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A5409" w:rsidRDefault="005A5409" w:rsidP="005A5409">
      <w:pPr>
        <w:pStyle w:val="CoverReportSubTitle"/>
        <w:rPr>
          <w:color w:val="FFFFFF" w:themeColor="background1"/>
          <w:sz w:val="60"/>
        </w:rPr>
      </w:pPr>
    </w:p>
    <w:p w:rsidR="005A5409" w:rsidRDefault="005A5409" w:rsidP="005A5409"/>
    <w:p w:rsidR="005A5409" w:rsidRPr="005A5409" w:rsidRDefault="005A5409" w:rsidP="005A5409"/>
    <w:p w:rsidR="005A5409" w:rsidRDefault="005A5409" w:rsidP="005A5409">
      <w:pPr>
        <w:pStyle w:val="CoverReportSubTitle"/>
        <w:rPr>
          <w:color w:val="FFFFFF" w:themeColor="background1"/>
          <w:sz w:val="60"/>
        </w:rPr>
      </w:pPr>
    </w:p>
    <w:p w:rsidR="005A5409" w:rsidRDefault="005A5409" w:rsidP="005A5409">
      <w:pPr>
        <w:pStyle w:val="CoverReportSubTitle"/>
        <w:rPr>
          <w:color w:val="FFFFFF" w:themeColor="background1"/>
          <w:sz w:val="60"/>
        </w:rPr>
      </w:pPr>
    </w:p>
    <w:p w:rsidR="005A5409" w:rsidRDefault="005A5409" w:rsidP="005A5409">
      <w:pPr>
        <w:pStyle w:val="CoverReportSubTitle"/>
        <w:rPr>
          <w:color w:val="FFFFFF" w:themeColor="background1"/>
          <w:sz w:val="60"/>
        </w:rPr>
      </w:pPr>
    </w:p>
    <w:p w:rsidR="005A5409" w:rsidRDefault="005A5409" w:rsidP="005A5409">
      <w:pPr>
        <w:pStyle w:val="CoverReportSubTitle"/>
        <w:rPr>
          <w:color w:val="FFFFFF" w:themeColor="background1"/>
          <w:sz w:val="60"/>
        </w:rPr>
      </w:pPr>
    </w:p>
    <w:p w:rsidR="00F6273B" w:rsidRDefault="00F6273B" w:rsidP="00F6273B">
      <w:pPr>
        <w:pStyle w:val="CoverReportSubTitle"/>
      </w:pPr>
      <w:r>
        <w:rPr>
          <w:color w:val="FFFFFF" w:themeColor="background1"/>
          <w:sz w:val="40"/>
          <w:szCs w:val="40"/>
        </w:rPr>
        <w:tab/>
      </w:r>
    </w:p>
    <w:p w:rsidR="00F6273B" w:rsidRDefault="00F6273B" w:rsidP="00F6273B">
      <w:pPr>
        <w:pStyle w:val="CoverReportSubTitle"/>
      </w:pPr>
    </w:p>
    <w:p w:rsidR="00F6273B" w:rsidRDefault="00F6273B" w:rsidP="00F6273B">
      <w:pPr>
        <w:pStyle w:val="CoverReportSubTitle"/>
      </w:pPr>
    </w:p>
    <w:p w:rsidR="00F6273B" w:rsidRDefault="00F6273B" w:rsidP="00F6273B">
      <w:pPr>
        <w:pStyle w:val="CoverReportSubTitle"/>
      </w:pPr>
    </w:p>
    <w:p w:rsidR="00F6273B" w:rsidRDefault="00F6273B" w:rsidP="00F6273B">
      <w:pPr>
        <w:pStyle w:val="CoverReportSubTitle"/>
        <w:rPr>
          <w:sz w:val="60"/>
        </w:rPr>
      </w:pPr>
      <w:r>
        <w:rPr>
          <w:noProof/>
          <w:lang w:eastAsia="en-AU"/>
        </w:rPr>
        <mc:AlternateContent>
          <mc:Choice Requires="wps">
            <w:drawing>
              <wp:anchor distT="0" distB="0" distL="114300" distR="114300" simplePos="0" relativeHeight="251658240" behindDoc="1" locked="0" layoutInCell="1" allowOverlap="1" wp14:anchorId="0EEAACD5" wp14:editId="5BF51F0D">
                <wp:simplePos x="0" y="0"/>
                <wp:positionH relativeFrom="page">
                  <wp:align>left</wp:align>
                </wp:positionH>
                <wp:positionV relativeFrom="paragraph">
                  <wp:posOffset>384735</wp:posOffset>
                </wp:positionV>
                <wp:extent cx="7749540" cy="1790700"/>
                <wp:effectExtent l="0" t="0" r="3810" b="0"/>
                <wp:wrapNone/>
                <wp:docPr id="4" name="Rectangle 4" title="Background image"/>
                <wp:cNvGraphicFramePr/>
                <a:graphic xmlns:a="http://schemas.openxmlformats.org/drawingml/2006/main">
                  <a:graphicData uri="http://schemas.microsoft.com/office/word/2010/wordprocessingShape">
                    <wps:wsp>
                      <wps:cNvSpPr/>
                      <wps:spPr>
                        <a:xfrm>
                          <a:off x="0" y="0"/>
                          <a:ext cx="7749540" cy="1790700"/>
                        </a:xfrm>
                        <a:prstGeom prst="rect">
                          <a:avLst/>
                        </a:prstGeom>
                        <a:solidFill>
                          <a:srgbClr val="26374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CF666B" w:rsidRDefault="00CF666B" w:rsidP="00F6273B"/>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EEAACD5" id="Rectangle 4" o:spid="_x0000_s1026" alt="Title: Background image" style="position:absolute;margin-left:0;margin-top:30.3pt;width:610.2pt;height:141pt;z-index:-251658240;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" fillcolor="#263746" stroked="f" strokeweight="2pt">
                <v:textbox>
                  <w:txbxContent>
                    <w:p w:rsidR="00CF666B" w:rsidRDefault="00CF666B" w:rsidP="00F6273B"/>
                  </w:txbxContent>
                </v:textbox>
                <w10:wrap anchorx="page"/>
              </v:rect>
            </w:pict>
          </mc:Fallback>
        </mc:AlternateContent>
      </w:r>
    </w:p>
    <w:p w:rsidR="00F6273B" w:rsidRDefault="00F6273B" w:rsidP="00F6273B"/>
    <w:p w:rsidR="00F6273B" w:rsidRDefault="00F6273B" w:rsidP="00F6273B">
      <w:pPr>
        <w:pStyle w:val="Default"/>
      </w:pPr>
    </w:p>
    <w:p w:rsidR="00F6273B" w:rsidRPr="00136B51" w:rsidRDefault="00F6273B" w:rsidP="00864736">
      <w:pPr>
        <w:pStyle w:val="Pa0"/>
        <w:rPr>
          <w:rStyle w:val="A0"/>
          <w:rFonts w:eastAsia="Calibri"/>
          <w:color w:val="FFFFFF" w:themeColor="background1"/>
          <w:sz w:val="40"/>
          <w:szCs w:val="40"/>
        </w:rPr>
      </w:pPr>
      <w:r w:rsidRPr="00136B51">
        <w:rPr>
          <w:rStyle w:val="A0"/>
          <w:rFonts w:eastAsia="Calibri"/>
          <w:color w:val="FFFFFF" w:themeColor="background1"/>
          <w:sz w:val="40"/>
          <w:szCs w:val="40"/>
        </w:rPr>
        <w:t>Textile, Clothing and Footwear Compliance Phase Campaign Report</w:t>
      </w:r>
      <w:bookmarkStart w:id="0" w:name="_GoBack"/>
    </w:p>
    <w:p w:rsidR="00F6273B" w:rsidRPr="00136B51" w:rsidRDefault="00F6273B" w:rsidP="00F6273B">
      <w:pPr>
        <w:rPr>
          <w:rStyle w:val="A0"/>
          <w:rFonts w:eastAsia="Calibri"/>
          <w:sz w:val="36"/>
          <w:szCs w:val="36"/>
        </w:rPr>
      </w:pPr>
    </w:p>
    <w:p w:rsidR="00F6273B" w:rsidRDefault="00F6273B" w:rsidP="00F6273B">
      <w:pPr>
        <w:rPr>
          <w:rStyle w:val="A0"/>
          <w:rFonts w:eastAsia="Calibri"/>
        </w:rPr>
      </w:pPr>
    </w:p>
    <w:p w:rsidR="00411E51" w:rsidRDefault="00411E51" w:rsidP="00F6273B">
      <w:pPr>
        <w:rPr>
          <w:szCs w:val="22"/>
        </w:rPr>
      </w:pPr>
    </w:p>
    <w:p w:rsidR="00411E51" w:rsidRDefault="00411E51" w:rsidP="00F6273B">
      <w:pPr>
        <w:rPr>
          <w:szCs w:val="22"/>
        </w:rPr>
      </w:pPr>
    </w:p>
    <w:p w:rsidR="00411E51" w:rsidRDefault="00411E51" w:rsidP="00F6273B">
      <w:pPr>
        <w:rPr>
          <w:szCs w:val="22"/>
        </w:rPr>
      </w:pPr>
    </w:p>
    <w:p w:rsidR="00411E51" w:rsidRDefault="00411E51" w:rsidP="00F6273B">
      <w:pPr>
        <w:rPr>
          <w:szCs w:val="22"/>
        </w:rPr>
      </w:pPr>
    </w:p>
    <w:bookmarkEnd w:id="0"/>
    <w:p w:rsidR="00F6273B" w:rsidRPr="006B4F35" w:rsidRDefault="002E6FEB" w:rsidP="00F6273B">
      <w:pPr>
        <w:rPr>
          <w:szCs w:val="22"/>
        </w:rPr>
      </w:pPr>
      <w:r>
        <w:rPr>
          <w:szCs w:val="22"/>
        </w:rPr>
        <w:t>January 2019</w:t>
      </w:r>
    </w:p>
    <w:p w:rsidR="00D22BA0" w:rsidRDefault="00F6273B" w:rsidP="00136B51">
      <w:pPr>
        <w:pStyle w:val="CoverReportSubTitle"/>
        <w:tabs>
          <w:tab w:val="left" w:pos="2815"/>
        </w:tabs>
        <w:spacing w:line="360" w:lineRule="auto"/>
        <w:rPr>
          <w:color w:val="FFFFFF" w:themeColor="background1"/>
          <w:sz w:val="40"/>
          <w:szCs w:val="40"/>
        </w:rPr>
      </w:pPr>
      <w:r w:rsidRPr="00136B51">
        <w:rPr>
          <w:sz w:val="22"/>
        </w:rPr>
        <w:t>© Commonwealth of Australia, 201</w:t>
      </w:r>
      <w:r w:rsidR="002E6FEB">
        <w:rPr>
          <w:sz w:val="22"/>
        </w:rPr>
        <w:t>9</w:t>
      </w:r>
      <w:r>
        <w:br w:type="page"/>
      </w:r>
    </w:p>
    <w:p w:rsidR="003E3E89" w:rsidRDefault="003E3E89" w:rsidP="005A5409">
      <w:r>
        <w:rPr>
          <w:noProof/>
          <w:lang w:eastAsia="en-AU"/>
        </w:rPr>
        <w:lastRenderedPageBreak/>
        <w:drawing>
          <wp:anchor distT="0" distB="0" distL="114300" distR="114300" simplePos="0" relativeHeight="251659264" behindDoc="0" locked="0" layoutInCell="1" allowOverlap="1" wp14:anchorId="39F9AC6C" wp14:editId="36588E12">
            <wp:simplePos x="0" y="0"/>
            <wp:positionH relativeFrom="page">
              <wp:align>left</wp:align>
            </wp:positionH>
            <wp:positionV relativeFrom="paragraph">
              <wp:posOffset>-810261</wp:posOffset>
            </wp:positionV>
            <wp:extent cx="7556360" cy="10688185"/>
            <wp:effectExtent l="0" t="0" r="6985" b="0"/>
            <wp:wrapNone/>
            <wp:docPr id="3" name="Picture 3" descr="Infographic of textile, clothing and footwear compliance phase report" title="Infographic of textile, clothing and footwear compliance phase re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extile_v2.png"/>
                    <pic:cNvPicPr/>
                  </pic:nvPicPr>
                  <pic:blipFill>
                    <a:blip r:embed="rId13">
                      <a:extLst>
                        <a:ext uri="{28A0092B-C50C-407E-A947-70E740481C1C}">
                          <a14:useLocalDpi xmlns:a14="http://schemas.microsoft.com/office/drawing/2010/main" val="0"/>
                        </a:ext>
                      </a:extLst>
                    </a:blip>
                    <a:stretch>
                      <a:fillRect/>
                    </a:stretch>
                  </pic:blipFill>
                  <pic:spPr>
                    <a:xfrm>
                      <a:off x="0" y="0"/>
                      <a:ext cx="7572769" cy="10711395"/>
                    </a:xfrm>
                    <a:prstGeom prst="rect">
                      <a:avLst/>
                    </a:prstGeom>
                  </pic:spPr>
                </pic:pic>
              </a:graphicData>
            </a:graphic>
            <wp14:sizeRelH relativeFrom="page">
              <wp14:pctWidth>0</wp14:pctWidth>
            </wp14:sizeRelH>
            <wp14:sizeRelV relativeFrom="page">
              <wp14:pctHeight>0</wp14:pctHeight>
            </wp14:sizeRelV>
          </wp:anchor>
        </w:drawing>
      </w:r>
    </w:p>
    <w:p w:rsidR="001F20C3" w:rsidRPr="006A412C" w:rsidRDefault="003E3E89" w:rsidP="003E3E89">
      <w:pPr>
        <w:spacing w:after="0" w:line="240" w:lineRule="auto"/>
      </w:pPr>
      <w:r>
        <w:br w:type="page"/>
      </w:r>
    </w:p>
    <w:p w:rsidR="00BF0029" w:rsidRPr="00357936" w:rsidRDefault="00357936" w:rsidP="005C5138">
      <w:pPr>
        <w:pStyle w:val="Heading1"/>
      </w:pPr>
      <w:bookmarkStart w:id="1" w:name="_Toc531876774"/>
      <w:bookmarkStart w:id="2" w:name="_Toc534882868"/>
      <w:bookmarkStart w:id="3" w:name="_Toc534888168"/>
      <w:r w:rsidRPr="00357936">
        <w:lastRenderedPageBreak/>
        <w:t>Table of Contents</w:t>
      </w:r>
      <w:bookmarkEnd w:id="1"/>
      <w:bookmarkEnd w:id="2"/>
      <w:bookmarkEnd w:id="3"/>
    </w:p>
    <w:p w:rsidR="007F0C98" w:rsidRDefault="00BF0029">
      <w:pPr>
        <w:pStyle w:val="TOC1"/>
        <w:rPr>
          <w:rFonts w:eastAsiaTheme="minorEastAsia" w:cstheme="minorBidi"/>
          <w:noProof/>
          <w:spacing w:val="0"/>
          <w:szCs w:val="22"/>
          <w:lang w:eastAsia="en-AU"/>
        </w:rPr>
      </w:pPr>
      <w:r w:rsidRPr="009026D7">
        <w:rPr>
          <w:rFonts w:cstheme="minorHAnsi"/>
          <w:b/>
        </w:rPr>
        <w:fldChar w:fldCharType="begin"/>
      </w:r>
      <w:r w:rsidRPr="009026D7">
        <w:rPr>
          <w:rFonts w:cstheme="minorHAnsi"/>
          <w:b/>
        </w:rPr>
        <w:instrText xml:space="preserve"> TOC \o "1-2" \h \z \u </w:instrText>
      </w:r>
      <w:r w:rsidRPr="009026D7">
        <w:rPr>
          <w:rFonts w:cstheme="minorHAnsi"/>
          <w:b/>
        </w:rPr>
        <w:fldChar w:fldCharType="separate"/>
      </w:r>
      <w:hyperlink w:anchor="_Toc534888169" w:history="1">
        <w:r w:rsidR="007F0C98" w:rsidRPr="00003281">
          <w:rPr>
            <w:rStyle w:val="Hyperlink"/>
            <w:noProof/>
          </w:rPr>
          <w:t>Executive summary</w:t>
        </w:r>
        <w:r w:rsidR="007F0C98">
          <w:rPr>
            <w:noProof/>
            <w:webHidden/>
          </w:rPr>
          <w:tab/>
        </w:r>
        <w:r w:rsidR="007F0C98">
          <w:rPr>
            <w:noProof/>
            <w:webHidden/>
          </w:rPr>
          <w:fldChar w:fldCharType="begin"/>
        </w:r>
        <w:r w:rsidR="007F0C98">
          <w:rPr>
            <w:noProof/>
            <w:webHidden/>
          </w:rPr>
          <w:instrText xml:space="preserve"> PAGEREF _Toc534888169 \h </w:instrText>
        </w:r>
        <w:r w:rsidR="007F0C98">
          <w:rPr>
            <w:noProof/>
            <w:webHidden/>
          </w:rPr>
        </w:r>
        <w:r w:rsidR="007F0C98">
          <w:rPr>
            <w:noProof/>
            <w:webHidden/>
          </w:rPr>
          <w:fldChar w:fldCharType="separate"/>
        </w:r>
        <w:r w:rsidR="006145E5">
          <w:rPr>
            <w:noProof/>
            <w:webHidden/>
          </w:rPr>
          <w:t>4</w:t>
        </w:r>
        <w:r w:rsidR="007F0C98">
          <w:rPr>
            <w:noProof/>
            <w:webHidden/>
          </w:rPr>
          <w:fldChar w:fldCharType="end"/>
        </w:r>
      </w:hyperlink>
    </w:p>
    <w:p w:rsidR="007F0C98" w:rsidRDefault="0045395C">
      <w:pPr>
        <w:pStyle w:val="TOC1"/>
        <w:rPr>
          <w:rFonts w:eastAsiaTheme="minorEastAsia" w:cstheme="minorBidi"/>
          <w:noProof/>
          <w:spacing w:val="0"/>
          <w:szCs w:val="22"/>
          <w:lang w:eastAsia="en-AU"/>
        </w:rPr>
      </w:pPr>
      <w:hyperlink w:anchor="_Toc534888170" w:history="1">
        <w:r w:rsidR="007F0C98" w:rsidRPr="00003281">
          <w:rPr>
            <w:rStyle w:val="Hyperlink"/>
            <w:noProof/>
          </w:rPr>
          <w:t>Background</w:t>
        </w:r>
        <w:r w:rsidR="007F0C98">
          <w:rPr>
            <w:noProof/>
            <w:webHidden/>
          </w:rPr>
          <w:tab/>
        </w:r>
        <w:r w:rsidR="007F0C98">
          <w:rPr>
            <w:noProof/>
            <w:webHidden/>
          </w:rPr>
          <w:fldChar w:fldCharType="begin"/>
        </w:r>
        <w:r w:rsidR="007F0C98">
          <w:rPr>
            <w:noProof/>
            <w:webHidden/>
          </w:rPr>
          <w:instrText xml:space="preserve"> PAGEREF _Toc534888170 \h </w:instrText>
        </w:r>
        <w:r w:rsidR="007F0C98">
          <w:rPr>
            <w:noProof/>
            <w:webHidden/>
          </w:rPr>
        </w:r>
        <w:r w:rsidR="007F0C98">
          <w:rPr>
            <w:noProof/>
            <w:webHidden/>
          </w:rPr>
          <w:fldChar w:fldCharType="separate"/>
        </w:r>
        <w:r w:rsidR="006145E5">
          <w:rPr>
            <w:noProof/>
            <w:webHidden/>
          </w:rPr>
          <w:t>5</w:t>
        </w:r>
        <w:r w:rsidR="007F0C98">
          <w:rPr>
            <w:noProof/>
            <w:webHidden/>
          </w:rPr>
          <w:fldChar w:fldCharType="end"/>
        </w:r>
      </w:hyperlink>
    </w:p>
    <w:p w:rsidR="007F0C98" w:rsidRDefault="0045395C">
      <w:pPr>
        <w:pStyle w:val="TOC2"/>
        <w:rPr>
          <w:rFonts w:eastAsiaTheme="minorEastAsia" w:cstheme="minorBidi"/>
          <w:noProof/>
          <w:szCs w:val="22"/>
          <w:lang w:eastAsia="en-AU"/>
        </w:rPr>
      </w:pPr>
      <w:hyperlink w:anchor="_Toc534888171" w:history="1">
        <w:r w:rsidR="007F0C98" w:rsidRPr="00003281">
          <w:rPr>
            <w:rStyle w:val="Hyperlink"/>
            <w:noProof/>
          </w:rPr>
          <w:t>Market settings</w:t>
        </w:r>
        <w:r w:rsidR="007F0C98">
          <w:rPr>
            <w:noProof/>
            <w:webHidden/>
          </w:rPr>
          <w:tab/>
        </w:r>
        <w:r w:rsidR="007F0C98">
          <w:rPr>
            <w:noProof/>
            <w:webHidden/>
          </w:rPr>
          <w:fldChar w:fldCharType="begin"/>
        </w:r>
        <w:r w:rsidR="007F0C98">
          <w:rPr>
            <w:noProof/>
            <w:webHidden/>
          </w:rPr>
          <w:instrText xml:space="preserve"> PAGEREF _Toc534888171 \h </w:instrText>
        </w:r>
        <w:r w:rsidR="007F0C98">
          <w:rPr>
            <w:noProof/>
            <w:webHidden/>
          </w:rPr>
        </w:r>
        <w:r w:rsidR="007F0C98">
          <w:rPr>
            <w:noProof/>
            <w:webHidden/>
          </w:rPr>
          <w:fldChar w:fldCharType="separate"/>
        </w:r>
        <w:r w:rsidR="006145E5">
          <w:rPr>
            <w:noProof/>
            <w:webHidden/>
          </w:rPr>
          <w:t>8</w:t>
        </w:r>
        <w:r w:rsidR="007F0C98">
          <w:rPr>
            <w:noProof/>
            <w:webHidden/>
          </w:rPr>
          <w:fldChar w:fldCharType="end"/>
        </w:r>
      </w:hyperlink>
    </w:p>
    <w:p w:rsidR="007F0C98" w:rsidRDefault="0045395C">
      <w:pPr>
        <w:pStyle w:val="TOC1"/>
        <w:rPr>
          <w:rFonts w:eastAsiaTheme="minorEastAsia" w:cstheme="minorBidi"/>
          <w:noProof/>
          <w:spacing w:val="0"/>
          <w:szCs w:val="22"/>
          <w:lang w:eastAsia="en-AU"/>
        </w:rPr>
      </w:pPr>
      <w:hyperlink w:anchor="_Toc534888172" w:history="1">
        <w:r w:rsidR="007F0C98" w:rsidRPr="00003281">
          <w:rPr>
            <w:rStyle w:val="Hyperlink"/>
            <w:noProof/>
          </w:rPr>
          <w:t>Workplace relations settings</w:t>
        </w:r>
        <w:r w:rsidR="007F0C98">
          <w:rPr>
            <w:noProof/>
            <w:webHidden/>
          </w:rPr>
          <w:tab/>
        </w:r>
        <w:r w:rsidR="007F0C98">
          <w:rPr>
            <w:noProof/>
            <w:webHidden/>
          </w:rPr>
          <w:fldChar w:fldCharType="begin"/>
        </w:r>
        <w:r w:rsidR="007F0C98">
          <w:rPr>
            <w:noProof/>
            <w:webHidden/>
          </w:rPr>
          <w:instrText xml:space="preserve"> PAGEREF _Toc534888172 \h </w:instrText>
        </w:r>
        <w:r w:rsidR="007F0C98">
          <w:rPr>
            <w:noProof/>
            <w:webHidden/>
          </w:rPr>
        </w:r>
        <w:r w:rsidR="007F0C98">
          <w:rPr>
            <w:noProof/>
            <w:webHidden/>
          </w:rPr>
          <w:fldChar w:fldCharType="separate"/>
        </w:r>
        <w:r w:rsidR="006145E5">
          <w:rPr>
            <w:noProof/>
            <w:webHidden/>
          </w:rPr>
          <w:t>12</w:t>
        </w:r>
        <w:r w:rsidR="007F0C98">
          <w:rPr>
            <w:noProof/>
            <w:webHidden/>
          </w:rPr>
          <w:fldChar w:fldCharType="end"/>
        </w:r>
      </w:hyperlink>
    </w:p>
    <w:p w:rsidR="007F0C98" w:rsidRDefault="0045395C">
      <w:pPr>
        <w:pStyle w:val="TOC1"/>
        <w:rPr>
          <w:rFonts w:eastAsiaTheme="minorEastAsia" w:cstheme="minorBidi"/>
          <w:noProof/>
          <w:spacing w:val="0"/>
          <w:szCs w:val="22"/>
          <w:lang w:eastAsia="en-AU"/>
        </w:rPr>
      </w:pPr>
      <w:hyperlink w:anchor="_Toc534888173" w:history="1">
        <w:r w:rsidR="007F0C98" w:rsidRPr="00003281">
          <w:rPr>
            <w:rStyle w:val="Hyperlink"/>
            <w:noProof/>
          </w:rPr>
          <w:t>Results</w:t>
        </w:r>
        <w:r w:rsidR="007F0C98">
          <w:rPr>
            <w:rStyle w:val="Hyperlink"/>
            <w:noProof/>
          </w:rPr>
          <w:tab/>
        </w:r>
        <w:r w:rsidR="007F0C98">
          <w:rPr>
            <w:noProof/>
            <w:webHidden/>
          </w:rPr>
          <w:tab/>
        </w:r>
        <w:r w:rsidR="007F0C98">
          <w:rPr>
            <w:noProof/>
            <w:webHidden/>
          </w:rPr>
          <w:fldChar w:fldCharType="begin"/>
        </w:r>
        <w:r w:rsidR="007F0C98">
          <w:rPr>
            <w:noProof/>
            <w:webHidden/>
          </w:rPr>
          <w:instrText xml:space="preserve"> PAGEREF _Toc534888173 \h </w:instrText>
        </w:r>
        <w:r w:rsidR="007F0C98">
          <w:rPr>
            <w:noProof/>
            <w:webHidden/>
          </w:rPr>
        </w:r>
        <w:r w:rsidR="007F0C98">
          <w:rPr>
            <w:noProof/>
            <w:webHidden/>
          </w:rPr>
          <w:fldChar w:fldCharType="separate"/>
        </w:r>
        <w:r w:rsidR="006145E5">
          <w:rPr>
            <w:noProof/>
            <w:webHidden/>
          </w:rPr>
          <w:t>15</w:t>
        </w:r>
        <w:r w:rsidR="007F0C98">
          <w:rPr>
            <w:noProof/>
            <w:webHidden/>
          </w:rPr>
          <w:fldChar w:fldCharType="end"/>
        </w:r>
      </w:hyperlink>
    </w:p>
    <w:p w:rsidR="007F0C98" w:rsidRDefault="0045395C">
      <w:pPr>
        <w:pStyle w:val="TOC2"/>
        <w:rPr>
          <w:rFonts w:eastAsiaTheme="minorEastAsia" w:cstheme="minorBidi"/>
          <w:noProof/>
          <w:szCs w:val="22"/>
          <w:lang w:eastAsia="en-AU"/>
        </w:rPr>
      </w:pPr>
      <w:hyperlink w:anchor="_Toc534888174" w:history="1">
        <w:r w:rsidR="007F0C98" w:rsidRPr="00003281">
          <w:rPr>
            <w:rStyle w:val="Hyperlink"/>
            <w:noProof/>
          </w:rPr>
          <w:t>Schedule F compliance results</w:t>
        </w:r>
        <w:r w:rsidR="007F0C98">
          <w:rPr>
            <w:noProof/>
            <w:webHidden/>
          </w:rPr>
          <w:tab/>
        </w:r>
        <w:r w:rsidR="007F0C98">
          <w:rPr>
            <w:noProof/>
            <w:webHidden/>
          </w:rPr>
          <w:fldChar w:fldCharType="begin"/>
        </w:r>
        <w:r w:rsidR="007F0C98">
          <w:rPr>
            <w:noProof/>
            <w:webHidden/>
          </w:rPr>
          <w:instrText xml:space="preserve"> PAGEREF _Toc534888174 \h </w:instrText>
        </w:r>
        <w:r w:rsidR="007F0C98">
          <w:rPr>
            <w:noProof/>
            <w:webHidden/>
          </w:rPr>
        </w:r>
        <w:r w:rsidR="007F0C98">
          <w:rPr>
            <w:noProof/>
            <w:webHidden/>
          </w:rPr>
          <w:fldChar w:fldCharType="separate"/>
        </w:r>
        <w:r w:rsidR="006145E5">
          <w:rPr>
            <w:noProof/>
            <w:webHidden/>
          </w:rPr>
          <w:t>15</w:t>
        </w:r>
        <w:r w:rsidR="007F0C98">
          <w:rPr>
            <w:noProof/>
            <w:webHidden/>
          </w:rPr>
          <w:fldChar w:fldCharType="end"/>
        </w:r>
      </w:hyperlink>
    </w:p>
    <w:p w:rsidR="007F0C98" w:rsidRDefault="0045395C">
      <w:pPr>
        <w:pStyle w:val="TOC2"/>
        <w:rPr>
          <w:rFonts w:eastAsiaTheme="minorEastAsia" w:cstheme="minorBidi"/>
          <w:noProof/>
          <w:szCs w:val="22"/>
          <w:lang w:eastAsia="en-AU"/>
        </w:rPr>
      </w:pPr>
      <w:hyperlink w:anchor="_Toc534888175" w:history="1">
        <w:r w:rsidR="007F0C98" w:rsidRPr="00003281">
          <w:rPr>
            <w:rStyle w:val="Hyperlink"/>
            <w:noProof/>
          </w:rPr>
          <w:t>Compliance and enforcement outcomes</w:t>
        </w:r>
        <w:r w:rsidR="007F0C98">
          <w:rPr>
            <w:noProof/>
            <w:webHidden/>
          </w:rPr>
          <w:tab/>
        </w:r>
        <w:r w:rsidR="007F0C98">
          <w:rPr>
            <w:noProof/>
            <w:webHidden/>
          </w:rPr>
          <w:fldChar w:fldCharType="begin"/>
        </w:r>
        <w:r w:rsidR="007F0C98">
          <w:rPr>
            <w:noProof/>
            <w:webHidden/>
          </w:rPr>
          <w:instrText xml:space="preserve"> PAGEREF _Toc534888175 \h </w:instrText>
        </w:r>
        <w:r w:rsidR="007F0C98">
          <w:rPr>
            <w:noProof/>
            <w:webHidden/>
          </w:rPr>
        </w:r>
        <w:r w:rsidR="007F0C98">
          <w:rPr>
            <w:noProof/>
            <w:webHidden/>
          </w:rPr>
          <w:fldChar w:fldCharType="separate"/>
        </w:r>
        <w:r w:rsidR="006145E5">
          <w:rPr>
            <w:noProof/>
            <w:webHidden/>
          </w:rPr>
          <w:t>16</w:t>
        </w:r>
        <w:r w:rsidR="007F0C98">
          <w:rPr>
            <w:noProof/>
            <w:webHidden/>
          </w:rPr>
          <w:fldChar w:fldCharType="end"/>
        </w:r>
      </w:hyperlink>
    </w:p>
    <w:p w:rsidR="007F0C98" w:rsidRDefault="0045395C">
      <w:pPr>
        <w:pStyle w:val="TOC2"/>
        <w:rPr>
          <w:rFonts w:eastAsiaTheme="minorEastAsia" w:cstheme="minorBidi"/>
          <w:noProof/>
          <w:szCs w:val="22"/>
          <w:lang w:eastAsia="en-AU"/>
        </w:rPr>
      </w:pPr>
      <w:hyperlink w:anchor="_Toc534888176" w:history="1">
        <w:r w:rsidR="007F0C98" w:rsidRPr="00003281">
          <w:rPr>
            <w:rStyle w:val="Hyperlink"/>
            <w:noProof/>
          </w:rPr>
          <w:t>Formal Caution</w:t>
        </w:r>
        <w:r w:rsidR="007F0C98">
          <w:rPr>
            <w:noProof/>
            <w:webHidden/>
          </w:rPr>
          <w:tab/>
        </w:r>
        <w:r w:rsidR="007F0C98">
          <w:rPr>
            <w:noProof/>
            <w:webHidden/>
          </w:rPr>
          <w:fldChar w:fldCharType="begin"/>
        </w:r>
        <w:r w:rsidR="007F0C98">
          <w:rPr>
            <w:noProof/>
            <w:webHidden/>
          </w:rPr>
          <w:instrText xml:space="preserve"> PAGEREF _Toc534888176 \h </w:instrText>
        </w:r>
        <w:r w:rsidR="007F0C98">
          <w:rPr>
            <w:noProof/>
            <w:webHidden/>
          </w:rPr>
        </w:r>
        <w:r w:rsidR="007F0C98">
          <w:rPr>
            <w:noProof/>
            <w:webHidden/>
          </w:rPr>
          <w:fldChar w:fldCharType="separate"/>
        </w:r>
        <w:r w:rsidR="006145E5">
          <w:rPr>
            <w:noProof/>
            <w:webHidden/>
          </w:rPr>
          <w:t>16</w:t>
        </w:r>
        <w:r w:rsidR="007F0C98">
          <w:rPr>
            <w:noProof/>
            <w:webHidden/>
          </w:rPr>
          <w:fldChar w:fldCharType="end"/>
        </w:r>
      </w:hyperlink>
    </w:p>
    <w:p w:rsidR="007F0C98" w:rsidRDefault="0045395C">
      <w:pPr>
        <w:pStyle w:val="TOC2"/>
        <w:rPr>
          <w:rFonts w:eastAsiaTheme="minorEastAsia" w:cstheme="minorBidi"/>
          <w:noProof/>
          <w:szCs w:val="22"/>
          <w:lang w:eastAsia="en-AU"/>
        </w:rPr>
      </w:pPr>
      <w:hyperlink w:anchor="_Toc534888177" w:history="1">
        <w:r w:rsidR="007F0C98" w:rsidRPr="00003281">
          <w:rPr>
            <w:rStyle w:val="Hyperlink"/>
            <w:noProof/>
          </w:rPr>
          <w:t>Infringement Notice</w:t>
        </w:r>
        <w:r w:rsidR="007F0C98">
          <w:rPr>
            <w:noProof/>
            <w:webHidden/>
          </w:rPr>
          <w:tab/>
        </w:r>
        <w:r w:rsidR="007F0C98">
          <w:rPr>
            <w:noProof/>
            <w:webHidden/>
          </w:rPr>
          <w:fldChar w:fldCharType="begin"/>
        </w:r>
        <w:r w:rsidR="007F0C98">
          <w:rPr>
            <w:noProof/>
            <w:webHidden/>
          </w:rPr>
          <w:instrText xml:space="preserve"> PAGEREF _Toc534888177 \h </w:instrText>
        </w:r>
        <w:r w:rsidR="007F0C98">
          <w:rPr>
            <w:noProof/>
            <w:webHidden/>
          </w:rPr>
        </w:r>
        <w:r w:rsidR="007F0C98">
          <w:rPr>
            <w:noProof/>
            <w:webHidden/>
          </w:rPr>
          <w:fldChar w:fldCharType="separate"/>
        </w:r>
        <w:r w:rsidR="006145E5">
          <w:rPr>
            <w:noProof/>
            <w:webHidden/>
          </w:rPr>
          <w:t>17</w:t>
        </w:r>
        <w:r w:rsidR="007F0C98">
          <w:rPr>
            <w:noProof/>
            <w:webHidden/>
          </w:rPr>
          <w:fldChar w:fldCharType="end"/>
        </w:r>
      </w:hyperlink>
    </w:p>
    <w:p w:rsidR="007F0C98" w:rsidRDefault="0045395C">
      <w:pPr>
        <w:pStyle w:val="TOC2"/>
        <w:rPr>
          <w:rFonts w:eastAsiaTheme="minorEastAsia" w:cstheme="minorBidi"/>
          <w:noProof/>
          <w:szCs w:val="22"/>
          <w:lang w:eastAsia="en-AU"/>
        </w:rPr>
      </w:pPr>
      <w:hyperlink w:anchor="_Toc534888178" w:history="1">
        <w:r w:rsidR="007F0C98" w:rsidRPr="00003281">
          <w:rPr>
            <w:rStyle w:val="Hyperlink"/>
            <w:noProof/>
          </w:rPr>
          <w:t>Compliance Notice</w:t>
        </w:r>
        <w:r w:rsidR="007F0C98">
          <w:rPr>
            <w:noProof/>
            <w:webHidden/>
          </w:rPr>
          <w:tab/>
        </w:r>
        <w:r w:rsidR="007F0C98">
          <w:rPr>
            <w:noProof/>
            <w:webHidden/>
          </w:rPr>
          <w:fldChar w:fldCharType="begin"/>
        </w:r>
        <w:r w:rsidR="007F0C98">
          <w:rPr>
            <w:noProof/>
            <w:webHidden/>
          </w:rPr>
          <w:instrText xml:space="preserve"> PAGEREF _Toc534888178 \h </w:instrText>
        </w:r>
        <w:r w:rsidR="007F0C98">
          <w:rPr>
            <w:noProof/>
            <w:webHidden/>
          </w:rPr>
        </w:r>
        <w:r w:rsidR="007F0C98">
          <w:rPr>
            <w:noProof/>
            <w:webHidden/>
          </w:rPr>
          <w:fldChar w:fldCharType="separate"/>
        </w:r>
        <w:r w:rsidR="006145E5">
          <w:rPr>
            <w:noProof/>
            <w:webHidden/>
          </w:rPr>
          <w:t>17</w:t>
        </w:r>
        <w:r w:rsidR="007F0C98">
          <w:rPr>
            <w:noProof/>
            <w:webHidden/>
          </w:rPr>
          <w:fldChar w:fldCharType="end"/>
        </w:r>
      </w:hyperlink>
    </w:p>
    <w:p w:rsidR="007F0C98" w:rsidRDefault="0045395C">
      <w:pPr>
        <w:pStyle w:val="TOC1"/>
        <w:rPr>
          <w:rFonts w:eastAsiaTheme="minorEastAsia" w:cstheme="minorBidi"/>
          <w:noProof/>
          <w:spacing w:val="0"/>
          <w:szCs w:val="22"/>
          <w:lang w:eastAsia="en-AU"/>
        </w:rPr>
      </w:pPr>
      <w:hyperlink w:anchor="_Toc534888179" w:history="1">
        <w:r w:rsidR="007F0C98" w:rsidRPr="00003281">
          <w:rPr>
            <w:rStyle w:val="Hyperlink"/>
            <w:noProof/>
          </w:rPr>
          <w:t>Comparison of findings</w:t>
        </w:r>
        <w:r w:rsidR="007F0C98">
          <w:rPr>
            <w:noProof/>
            <w:webHidden/>
          </w:rPr>
          <w:tab/>
        </w:r>
        <w:r w:rsidR="007F0C98">
          <w:rPr>
            <w:noProof/>
            <w:webHidden/>
          </w:rPr>
          <w:fldChar w:fldCharType="begin"/>
        </w:r>
        <w:r w:rsidR="007F0C98">
          <w:rPr>
            <w:noProof/>
            <w:webHidden/>
          </w:rPr>
          <w:instrText xml:space="preserve"> PAGEREF _Toc534888179 \h </w:instrText>
        </w:r>
        <w:r w:rsidR="007F0C98">
          <w:rPr>
            <w:noProof/>
            <w:webHidden/>
          </w:rPr>
        </w:r>
        <w:r w:rsidR="007F0C98">
          <w:rPr>
            <w:noProof/>
            <w:webHidden/>
          </w:rPr>
          <w:fldChar w:fldCharType="separate"/>
        </w:r>
        <w:r w:rsidR="006145E5">
          <w:rPr>
            <w:noProof/>
            <w:webHidden/>
          </w:rPr>
          <w:t>17</w:t>
        </w:r>
        <w:r w:rsidR="007F0C98">
          <w:rPr>
            <w:noProof/>
            <w:webHidden/>
          </w:rPr>
          <w:fldChar w:fldCharType="end"/>
        </w:r>
      </w:hyperlink>
    </w:p>
    <w:p w:rsidR="007F0C98" w:rsidRDefault="0045395C">
      <w:pPr>
        <w:pStyle w:val="TOC1"/>
        <w:rPr>
          <w:rFonts w:eastAsiaTheme="minorEastAsia" w:cstheme="minorBidi"/>
          <w:noProof/>
          <w:spacing w:val="0"/>
          <w:szCs w:val="22"/>
          <w:lang w:eastAsia="en-AU"/>
        </w:rPr>
      </w:pPr>
      <w:hyperlink w:anchor="_Toc534888180" w:history="1">
        <w:r w:rsidR="007F0C98" w:rsidRPr="00003281">
          <w:rPr>
            <w:rStyle w:val="Hyperlink"/>
            <w:noProof/>
          </w:rPr>
          <w:t>Conclusion</w:t>
        </w:r>
        <w:r w:rsidR="007F0C98">
          <w:rPr>
            <w:noProof/>
            <w:webHidden/>
          </w:rPr>
          <w:tab/>
        </w:r>
        <w:r w:rsidR="007F0C98">
          <w:rPr>
            <w:noProof/>
            <w:webHidden/>
          </w:rPr>
          <w:fldChar w:fldCharType="begin"/>
        </w:r>
        <w:r w:rsidR="007F0C98">
          <w:rPr>
            <w:noProof/>
            <w:webHidden/>
          </w:rPr>
          <w:instrText xml:space="preserve"> PAGEREF _Toc534888180 \h </w:instrText>
        </w:r>
        <w:r w:rsidR="007F0C98">
          <w:rPr>
            <w:noProof/>
            <w:webHidden/>
          </w:rPr>
        </w:r>
        <w:r w:rsidR="007F0C98">
          <w:rPr>
            <w:noProof/>
            <w:webHidden/>
          </w:rPr>
          <w:fldChar w:fldCharType="separate"/>
        </w:r>
        <w:r w:rsidR="006145E5">
          <w:rPr>
            <w:noProof/>
            <w:webHidden/>
          </w:rPr>
          <w:t>19</w:t>
        </w:r>
        <w:r w:rsidR="007F0C98">
          <w:rPr>
            <w:noProof/>
            <w:webHidden/>
          </w:rPr>
          <w:fldChar w:fldCharType="end"/>
        </w:r>
      </w:hyperlink>
    </w:p>
    <w:p w:rsidR="007F0C98" w:rsidRDefault="0045395C">
      <w:pPr>
        <w:pStyle w:val="TOC1"/>
        <w:rPr>
          <w:rFonts w:eastAsiaTheme="minorEastAsia" w:cstheme="minorBidi"/>
          <w:noProof/>
          <w:spacing w:val="0"/>
          <w:szCs w:val="22"/>
          <w:lang w:eastAsia="en-AU"/>
        </w:rPr>
      </w:pPr>
      <w:hyperlink w:anchor="_Toc534888181" w:history="1">
        <w:r w:rsidR="007F0C98" w:rsidRPr="00003281">
          <w:rPr>
            <w:rStyle w:val="Hyperlink"/>
            <w:noProof/>
          </w:rPr>
          <w:t>About the Fair Work Ombudsman</w:t>
        </w:r>
        <w:r w:rsidR="007F0C98">
          <w:rPr>
            <w:noProof/>
            <w:webHidden/>
          </w:rPr>
          <w:tab/>
        </w:r>
        <w:r w:rsidR="007F0C98">
          <w:rPr>
            <w:noProof/>
            <w:webHidden/>
          </w:rPr>
          <w:fldChar w:fldCharType="begin"/>
        </w:r>
        <w:r w:rsidR="007F0C98">
          <w:rPr>
            <w:noProof/>
            <w:webHidden/>
          </w:rPr>
          <w:instrText xml:space="preserve"> PAGEREF _Toc534888181 \h </w:instrText>
        </w:r>
        <w:r w:rsidR="007F0C98">
          <w:rPr>
            <w:noProof/>
            <w:webHidden/>
          </w:rPr>
        </w:r>
        <w:r w:rsidR="007F0C98">
          <w:rPr>
            <w:noProof/>
            <w:webHidden/>
          </w:rPr>
          <w:fldChar w:fldCharType="separate"/>
        </w:r>
        <w:r w:rsidR="006145E5">
          <w:rPr>
            <w:noProof/>
            <w:webHidden/>
          </w:rPr>
          <w:t>19</w:t>
        </w:r>
        <w:r w:rsidR="007F0C98">
          <w:rPr>
            <w:noProof/>
            <w:webHidden/>
          </w:rPr>
          <w:fldChar w:fldCharType="end"/>
        </w:r>
      </w:hyperlink>
    </w:p>
    <w:p w:rsidR="007F0C98" w:rsidRDefault="0045395C">
      <w:pPr>
        <w:pStyle w:val="TOC1"/>
        <w:rPr>
          <w:rFonts w:eastAsiaTheme="minorEastAsia" w:cstheme="minorBidi"/>
          <w:noProof/>
          <w:spacing w:val="0"/>
          <w:szCs w:val="22"/>
          <w:lang w:eastAsia="en-AU"/>
        </w:rPr>
      </w:pPr>
      <w:hyperlink w:anchor="_Toc534888182" w:history="1">
        <w:r w:rsidR="007F0C98" w:rsidRPr="00003281">
          <w:rPr>
            <w:rStyle w:val="Hyperlink"/>
            <w:noProof/>
          </w:rPr>
          <w:t>Appendix A</w:t>
        </w:r>
        <w:r w:rsidR="007F0C98">
          <w:rPr>
            <w:noProof/>
            <w:webHidden/>
          </w:rPr>
          <w:tab/>
        </w:r>
        <w:r w:rsidR="007F0C98">
          <w:rPr>
            <w:noProof/>
            <w:webHidden/>
          </w:rPr>
          <w:fldChar w:fldCharType="begin"/>
        </w:r>
        <w:r w:rsidR="007F0C98">
          <w:rPr>
            <w:noProof/>
            <w:webHidden/>
          </w:rPr>
          <w:instrText xml:space="preserve"> PAGEREF _Toc534888182 \h </w:instrText>
        </w:r>
        <w:r w:rsidR="007F0C98">
          <w:rPr>
            <w:noProof/>
            <w:webHidden/>
          </w:rPr>
        </w:r>
        <w:r w:rsidR="007F0C98">
          <w:rPr>
            <w:noProof/>
            <w:webHidden/>
          </w:rPr>
          <w:fldChar w:fldCharType="separate"/>
        </w:r>
        <w:r w:rsidR="006145E5">
          <w:rPr>
            <w:noProof/>
            <w:webHidden/>
          </w:rPr>
          <w:t>20</w:t>
        </w:r>
        <w:r w:rsidR="007F0C98">
          <w:rPr>
            <w:noProof/>
            <w:webHidden/>
          </w:rPr>
          <w:fldChar w:fldCharType="end"/>
        </w:r>
      </w:hyperlink>
    </w:p>
    <w:p w:rsidR="007F0C98" w:rsidRDefault="0045395C">
      <w:pPr>
        <w:pStyle w:val="TOC1"/>
        <w:rPr>
          <w:rFonts w:eastAsiaTheme="minorEastAsia" w:cstheme="minorBidi"/>
          <w:noProof/>
          <w:spacing w:val="0"/>
          <w:szCs w:val="22"/>
          <w:lang w:eastAsia="en-AU"/>
        </w:rPr>
      </w:pPr>
      <w:hyperlink w:anchor="_Toc534888183" w:history="1">
        <w:r w:rsidR="007F0C98" w:rsidRPr="00003281">
          <w:rPr>
            <w:rStyle w:val="Hyperlink"/>
            <w:noProof/>
          </w:rPr>
          <w:t>Appendix B</w:t>
        </w:r>
        <w:r w:rsidR="007F0C98">
          <w:rPr>
            <w:noProof/>
            <w:webHidden/>
          </w:rPr>
          <w:tab/>
        </w:r>
        <w:r w:rsidR="007F0C98">
          <w:rPr>
            <w:noProof/>
            <w:webHidden/>
          </w:rPr>
          <w:fldChar w:fldCharType="begin"/>
        </w:r>
        <w:r w:rsidR="007F0C98">
          <w:rPr>
            <w:noProof/>
            <w:webHidden/>
          </w:rPr>
          <w:instrText xml:space="preserve"> PAGEREF _Toc534888183 \h </w:instrText>
        </w:r>
        <w:r w:rsidR="007F0C98">
          <w:rPr>
            <w:noProof/>
            <w:webHidden/>
          </w:rPr>
        </w:r>
        <w:r w:rsidR="007F0C98">
          <w:rPr>
            <w:noProof/>
            <w:webHidden/>
          </w:rPr>
          <w:fldChar w:fldCharType="separate"/>
        </w:r>
        <w:r w:rsidR="006145E5">
          <w:rPr>
            <w:noProof/>
            <w:webHidden/>
          </w:rPr>
          <w:t>21</w:t>
        </w:r>
        <w:r w:rsidR="007F0C98">
          <w:rPr>
            <w:noProof/>
            <w:webHidden/>
          </w:rPr>
          <w:fldChar w:fldCharType="end"/>
        </w:r>
      </w:hyperlink>
    </w:p>
    <w:p w:rsidR="00BF0029" w:rsidRPr="00181475" w:rsidRDefault="00BF0029" w:rsidP="00BF0029">
      <w:r w:rsidRPr="009026D7">
        <w:rPr>
          <w:rFonts w:cstheme="minorHAnsi"/>
        </w:rPr>
        <w:fldChar w:fldCharType="end"/>
      </w:r>
    </w:p>
    <w:p w:rsidR="00BF0029" w:rsidRDefault="00BF0029">
      <w:pPr>
        <w:spacing w:after="0" w:line="240" w:lineRule="auto"/>
        <w:rPr>
          <w:rFonts w:eastAsiaTheme="minorHAnsi" w:cs="Times New Roman"/>
          <w:szCs w:val="22"/>
          <w:lang w:eastAsia="en-AU"/>
        </w:rPr>
      </w:pPr>
      <w:r>
        <w:rPr>
          <w:lang w:eastAsia="en-AU"/>
        </w:rPr>
        <w:br w:type="page"/>
      </w:r>
    </w:p>
    <w:p w:rsidR="008C5615" w:rsidRPr="008C5615" w:rsidRDefault="009026D7" w:rsidP="005C5138">
      <w:pPr>
        <w:pStyle w:val="Heading1"/>
      </w:pPr>
      <w:bookmarkStart w:id="4" w:name="_Toc531876775"/>
      <w:bookmarkStart w:id="5" w:name="_Toc534888169"/>
      <w:r>
        <w:lastRenderedPageBreak/>
        <w:t xml:space="preserve">Executive </w:t>
      </w:r>
      <w:r w:rsidR="00F37132">
        <w:t>s</w:t>
      </w:r>
      <w:r w:rsidR="008C5615" w:rsidRPr="008C5615">
        <w:t>ummary</w:t>
      </w:r>
      <w:bookmarkEnd w:id="4"/>
      <w:bookmarkEnd w:id="5"/>
    </w:p>
    <w:p w:rsidR="00CF1A8F" w:rsidRDefault="001A6905" w:rsidP="000915C9">
      <w:pPr>
        <w:pStyle w:val="CM17"/>
        <w:spacing w:after="120" w:line="360" w:lineRule="auto"/>
        <w:jc w:val="both"/>
        <w:rPr>
          <w:rFonts w:asciiTheme="minorHAnsi" w:hAnsiTheme="minorHAnsi" w:cstheme="minorHAnsi"/>
          <w:color w:val="000000"/>
          <w:sz w:val="22"/>
          <w:szCs w:val="22"/>
        </w:rPr>
      </w:pPr>
      <w:bookmarkStart w:id="6" w:name="_Toc508796235"/>
      <w:r>
        <w:rPr>
          <w:rFonts w:asciiTheme="minorHAnsi" w:hAnsiTheme="minorHAnsi" w:cstheme="minorHAnsi"/>
          <w:color w:val="000000"/>
          <w:sz w:val="22"/>
          <w:szCs w:val="22"/>
        </w:rPr>
        <w:t>The FWO conducted the</w:t>
      </w:r>
      <w:r w:rsidR="009026D7" w:rsidRPr="00CF1408">
        <w:rPr>
          <w:rFonts w:asciiTheme="minorHAnsi" w:hAnsiTheme="minorHAnsi" w:cstheme="minorHAnsi"/>
          <w:color w:val="000000"/>
          <w:sz w:val="22"/>
          <w:szCs w:val="22"/>
        </w:rPr>
        <w:t xml:space="preserve"> National Textile, C</w:t>
      </w:r>
      <w:r w:rsidR="008A0488" w:rsidRPr="00CF1408">
        <w:rPr>
          <w:rFonts w:asciiTheme="minorHAnsi" w:hAnsiTheme="minorHAnsi" w:cstheme="minorHAnsi"/>
          <w:color w:val="000000"/>
          <w:sz w:val="22"/>
          <w:szCs w:val="22"/>
        </w:rPr>
        <w:t xml:space="preserve">lothing and Footwear </w:t>
      </w:r>
      <w:r w:rsidR="0030544D">
        <w:rPr>
          <w:rFonts w:asciiTheme="minorHAnsi" w:hAnsiTheme="minorHAnsi" w:cstheme="minorHAnsi"/>
          <w:color w:val="000000"/>
          <w:sz w:val="22"/>
          <w:szCs w:val="22"/>
        </w:rPr>
        <w:t xml:space="preserve">(TCF) </w:t>
      </w:r>
      <w:r w:rsidR="008A0488" w:rsidRPr="00CF1408">
        <w:rPr>
          <w:rFonts w:asciiTheme="minorHAnsi" w:hAnsiTheme="minorHAnsi" w:cstheme="minorHAnsi"/>
          <w:color w:val="000000"/>
          <w:sz w:val="22"/>
          <w:szCs w:val="22"/>
        </w:rPr>
        <w:t xml:space="preserve">Campaign </w:t>
      </w:r>
      <w:r w:rsidR="009026D7" w:rsidRPr="00CF1408">
        <w:rPr>
          <w:rFonts w:asciiTheme="minorHAnsi" w:hAnsiTheme="minorHAnsi" w:cstheme="minorHAnsi"/>
          <w:color w:val="000000"/>
          <w:sz w:val="22"/>
          <w:szCs w:val="22"/>
        </w:rPr>
        <w:t>in two distinct phases</w:t>
      </w:r>
      <w:r w:rsidR="0043258D">
        <w:rPr>
          <w:rFonts w:asciiTheme="minorHAnsi" w:hAnsiTheme="minorHAnsi" w:cstheme="minorHAnsi"/>
          <w:color w:val="000000"/>
          <w:sz w:val="22"/>
          <w:szCs w:val="22"/>
        </w:rPr>
        <w:t>:</w:t>
      </w:r>
      <w:r w:rsidR="00CF1A8F">
        <w:rPr>
          <w:rFonts w:asciiTheme="minorHAnsi" w:hAnsiTheme="minorHAnsi" w:cstheme="minorHAnsi"/>
          <w:color w:val="000000"/>
          <w:sz w:val="22"/>
          <w:szCs w:val="22"/>
        </w:rPr>
        <w:t xml:space="preserve"> </w:t>
      </w:r>
      <w:r w:rsidR="000915C9">
        <w:rPr>
          <w:rFonts w:asciiTheme="minorHAnsi" w:hAnsiTheme="minorHAnsi" w:cstheme="minorHAnsi"/>
          <w:color w:val="000000"/>
          <w:sz w:val="22"/>
          <w:szCs w:val="22"/>
        </w:rPr>
        <w:t xml:space="preserve">an </w:t>
      </w:r>
      <w:r w:rsidR="00472FE5">
        <w:rPr>
          <w:rFonts w:asciiTheme="minorHAnsi" w:hAnsiTheme="minorHAnsi" w:cstheme="minorHAnsi"/>
          <w:color w:val="000000"/>
          <w:sz w:val="22"/>
          <w:szCs w:val="22"/>
        </w:rPr>
        <w:t>e</w:t>
      </w:r>
      <w:r w:rsidR="00472FE5" w:rsidRPr="00CF1408">
        <w:rPr>
          <w:rFonts w:asciiTheme="minorHAnsi" w:hAnsiTheme="minorHAnsi" w:cstheme="minorHAnsi"/>
          <w:color w:val="000000"/>
          <w:sz w:val="22"/>
          <w:szCs w:val="22"/>
        </w:rPr>
        <w:t xml:space="preserve">ducation </w:t>
      </w:r>
      <w:r w:rsidR="00472FE5">
        <w:rPr>
          <w:rFonts w:asciiTheme="minorHAnsi" w:hAnsiTheme="minorHAnsi" w:cstheme="minorHAnsi"/>
          <w:color w:val="000000"/>
          <w:sz w:val="22"/>
          <w:szCs w:val="22"/>
        </w:rPr>
        <w:t>p</w:t>
      </w:r>
      <w:r w:rsidR="00472FE5" w:rsidRPr="00CF1408">
        <w:rPr>
          <w:rFonts w:asciiTheme="minorHAnsi" w:hAnsiTheme="minorHAnsi" w:cstheme="minorHAnsi"/>
          <w:color w:val="000000"/>
          <w:sz w:val="22"/>
          <w:szCs w:val="22"/>
        </w:rPr>
        <w:t>hase</w:t>
      </w:r>
      <w:r w:rsidR="00472FE5">
        <w:rPr>
          <w:rFonts w:asciiTheme="minorHAnsi" w:hAnsiTheme="minorHAnsi" w:cstheme="minorHAnsi"/>
          <w:color w:val="000000"/>
          <w:sz w:val="22"/>
          <w:szCs w:val="22"/>
        </w:rPr>
        <w:t xml:space="preserve"> </w:t>
      </w:r>
      <w:r w:rsidR="00691266">
        <w:rPr>
          <w:rFonts w:asciiTheme="minorHAnsi" w:hAnsiTheme="minorHAnsi" w:cstheme="minorHAnsi"/>
          <w:color w:val="000000"/>
          <w:sz w:val="22"/>
          <w:szCs w:val="22"/>
        </w:rPr>
        <w:t xml:space="preserve">that commenced in March 2015, </w:t>
      </w:r>
      <w:r w:rsidR="000915C9">
        <w:rPr>
          <w:rFonts w:asciiTheme="minorHAnsi" w:hAnsiTheme="minorHAnsi" w:cstheme="minorHAnsi"/>
          <w:color w:val="000000"/>
          <w:sz w:val="22"/>
          <w:szCs w:val="22"/>
        </w:rPr>
        <w:t>followed by a compliance phase</w:t>
      </w:r>
      <w:r w:rsidR="00691266">
        <w:rPr>
          <w:rFonts w:asciiTheme="minorHAnsi" w:hAnsiTheme="minorHAnsi" w:cstheme="minorHAnsi"/>
          <w:color w:val="000000"/>
          <w:sz w:val="22"/>
          <w:szCs w:val="22"/>
        </w:rPr>
        <w:t xml:space="preserve"> that commenced in June 2016</w:t>
      </w:r>
      <w:r w:rsidR="000915C9">
        <w:rPr>
          <w:rFonts w:asciiTheme="minorHAnsi" w:hAnsiTheme="minorHAnsi" w:cstheme="minorHAnsi"/>
          <w:color w:val="000000"/>
          <w:sz w:val="22"/>
          <w:szCs w:val="22"/>
        </w:rPr>
        <w:t>.</w:t>
      </w:r>
    </w:p>
    <w:p w:rsidR="00531A48" w:rsidRDefault="00CF1A8F" w:rsidP="000915C9">
      <w:pPr>
        <w:jc w:val="both"/>
        <w:rPr>
          <w:lang w:eastAsia="en-AU"/>
        </w:rPr>
      </w:pPr>
      <w:r>
        <w:t>T</w:t>
      </w:r>
      <w:r w:rsidR="00472FE5">
        <w:t>he objective</w:t>
      </w:r>
      <w:r>
        <w:t>s</w:t>
      </w:r>
      <w:r w:rsidR="00472FE5">
        <w:t xml:space="preserve"> </w:t>
      </w:r>
      <w:r>
        <w:t>of the education phase were</w:t>
      </w:r>
      <w:r w:rsidR="00472FE5">
        <w:t xml:space="preserve"> </w:t>
      </w:r>
      <w:r w:rsidR="00FD5E70">
        <w:t xml:space="preserve">to </w:t>
      </w:r>
      <w:r w:rsidR="00472FE5" w:rsidRPr="009026D7">
        <w:t xml:space="preserve">increase awareness of workplace laws at all levels of </w:t>
      </w:r>
      <w:r w:rsidR="00EE0CAB">
        <w:t xml:space="preserve">labour </w:t>
      </w:r>
      <w:r w:rsidR="00472FE5" w:rsidRPr="009026D7">
        <w:t>supply chains (including outworkers</w:t>
      </w:r>
      <w:r w:rsidR="00472FE5">
        <w:t xml:space="preserve">) in </w:t>
      </w:r>
      <w:r w:rsidR="001A6905">
        <w:t xml:space="preserve">the </w:t>
      </w:r>
      <w:r w:rsidR="00472FE5">
        <w:t>TCF industry</w:t>
      </w:r>
      <w:r>
        <w:t xml:space="preserve"> and </w:t>
      </w:r>
      <w:r w:rsidR="001F7EBA">
        <w:t xml:space="preserve">encourage the use of </w:t>
      </w:r>
      <w:r w:rsidR="001A6905" w:rsidRPr="00DB5DAD">
        <w:t xml:space="preserve">free </w:t>
      </w:r>
      <w:r>
        <w:t xml:space="preserve">FWO </w:t>
      </w:r>
      <w:r w:rsidR="001A6905" w:rsidRPr="00DB5DAD">
        <w:t>tools and resources.</w:t>
      </w:r>
      <w:r w:rsidR="001A6905">
        <w:t xml:space="preserve"> </w:t>
      </w:r>
      <w:r>
        <w:t>Details of the education phase are discussed in the</w:t>
      </w:r>
      <w:r w:rsidR="00612FD6">
        <w:t xml:space="preserve"> FWO’s</w:t>
      </w:r>
      <w:r>
        <w:t xml:space="preserve"> </w:t>
      </w:r>
      <w:r w:rsidRPr="00DE0932">
        <w:rPr>
          <w:i/>
        </w:rPr>
        <w:t xml:space="preserve">Designed to </w:t>
      </w:r>
      <w:proofErr w:type="gramStart"/>
      <w:r w:rsidR="00F37132">
        <w:rPr>
          <w:i/>
        </w:rPr>
        <w:t>F</w:t>
      </w:r>
      <w:r w:rsidRPr="00DE0932">
        <w:rPr>
          <w:i/>
        </w:rPr>
        <w:t>it</w:t>
      </w:r>
      <w:proofErr w:type="gramEnd"/>
      <w:r>
        <w:t xml:space="preserve"> </w:t>
      </w:r>
      <w:r w:rsidR="003319AF">
        <w:t>campaign report.</w:t>
      </w:r>
      <w:r w:rsidR="003319AF">
        <w:rPr>
          <w:rStyle w:val="FootnoteReference"/>
          <w:color w:val="000000"/>
          <w:szCs w:val="22"/>
        </w:rPr>
        <w:footnoteReference w:id="2"/>
      </w:r>
    </w:p>
    <w:bookmarkEnd w:id="6"/>
    <w:p w:rsidR="00385DC2" w:rsidRDefault="001A6905" w:rsidP="00385DC2">
      <w:pPr>
        <w:jc w:val="both"/>
      </w:pPr>
      <w:r>
        <w:rPr>
          <w:rFonts w:cstheme="minorHAnsi"/>
          <w:color w:val="000000"/>
          <w:szCs w:val="22"/>
        </w:rPr>
        <w:t xml:space="preserve">This report concerns the </w:t>
      </w:r>
      <w:r w:rsidR="00965D45">
        <w:rPr>
          <w:rFonts w:cstheme="minorHAnsi"/>
          <w:color w:val="000000"/>
          <w:szCs w:val="22"/>
        </w:rPr>
        <w:t>compliance</w:t>
      </w:r>
      <w:r w:rsidR="003319AF">
        <w:rPr>
          <w:rFonts w:cstheme="minorHAnsi"/>
          <w:color w:val="000000"/>
          <w:szCs w:val="22"/>
        </w:rPr>
        <w:t xml:space="preserve"> </w:t>
      </w:r>
      <w:r w:rsidR="00965D45">
        <w:rPr>
          <w:rFonts w:cstheme="minorHAnsi"/>
          <w:color w:val="000000"/>
          <w:szCs w:val="22"/>
        </w:rPr>
        <w:t>phase</w:t>
      </w:r>
      <w:r w:rsidR="00F37FC6">
        <w:rPr>
          <w:rFonts w:cstheme="minorHAnsi"/>
          <w:color w:val="000000"/>
          <w:szCs w:val="22"/>
        </w:rPr>
        <w:t xml:space="preserve">, in which </w:t>
      </w:r>
      <w:r w:rsidR="003319AF">
        <w:rPr>
          <w:rFonts w:cstheme="minorHAnsi"/>
          <w:color w:val="000000"/>
          <w:szCs w:val="22"/>
        </w:rPr>
        <w:t xml:space="preserve">Fair Work Inspectors </w:t>
      </w:r>
      <w:r w:rsidR="00AB1F2B">
        <w:rPr>
          <w:rFonts w:cstheme="minorHAnsi"/>
          <w:color w:val="000000"/>
          <w:szCs w:val="22"/>
        </w:rPr>
        <w:t>returned</w:t>
      </w:r>
      <w:r w:rsidR="00F37FC6">
        <w:rPr>
          <w:rFonts w:cstheme="minorHAnsi"/>
          <w:color w:val="000000"/>
          <w:szCs w:val="22"/>
        </w:rPr>
        <w:t xml:space="preserve"> to businesses </w:t>
      </w:r>
      <w:r w:rsidR="00EE0CAB">
        <w:rPr>
          <w:rFonts w:cstheme="minorHAnsi"/>
          <w:color w:val="000000"/>
          <w:szCs w:val="22"/>
        </w:rPr>
        <w:t>the FWO interacted with</w:t>
      </w:r>
      <w:r w:rsidR="003319AF">
        <w:rPr>
          <w:rFonts w:cstheme="minorHAnsi"/>
          <w:color w:val="000000"/>
          <w:szCs w:val="22"/>
        </w:rPr>
        <w:t xml:space="preserve"> </w:t>
      </w:r>
      <w:r w:rsidR="00F37FC6">
        <w:rPr>
          <w:rFonts w:cstheme="minorHAnsi"/>
          <w:color w:val="000000"/>
          <w:szCs w:val="22"/>
        </w:rPr>
        <w:t xml:space="preserve">in </w:t>
      </w:r>
      <w:r w:rsidR="002E6864">
        <w:rPr>
          <w:rFonts w:cstheme="minorHAnsi"/>
          <w:color w:val="000000"/>
          <w:szCs w:val="22"/>
        </w:rPr>
        <w:t>phase</w:t>
      </w:r>
      <w:r w:rsidR="009026D7" w:rsidRPr="00CF1408">
        <w:rPr>
          <w:rFonts w:cstheme="minorHAnsi"/>
          <w:color w:val="000000"/>
          <w:szCs w:val="22"/>
        </w:rPr>
        <w:t xml:space="preserve"> </w:t>
      </w:r>
      <w:r w:rsidR="00EE0CAB">
        <w:rPr>
          <w:rFonts w:cstheme="minorHAnsi"/>
          <w:color w:val="000000"/>
          <w:szCs w:val="22"/>
        </w:rPr>
        <w:t xml:space="preserve">one and </w:t>
      </w:r>
      <w:r w:rsidR="00F37FC6">
        <w:rPr>
          <w:rFonts w:cstheme="minorHAnsi"/>
          <w:color w:val="000000"/>
          <w:szCs w:val="22"/>
        </w:rPr>
        <w:t>identified as appropriate for audit.</w:t>
      </w:r>
      <w:r w:rsidR="00385DC2">
        <w:rPr>
          <w:rFonts w:cstheme="minorHAnsi"/>
          <w:color w:val="000000"/>
          <w:szCs w:val="22"/>
        </w:rPr>
        <w:t xml:space="preserve"> </w:t>
      </w:r>
      <w:r w:rsidR="00385DC2">
        <w:t xml:space="preserve">The </w:t>
      </w:r>
      <w:r w:rsidR="001B3090">
        <w:t xml:space="preserve">FWO </w:t>
      </w:r>
      <w:r w:rsidR="00385DC2">
        <w:t xml:space="preserve">found that </w:t>
      </w:r>
      <w:r w:rsidR="00526556">
        <w:t xml:space="preserve">of the 371 </w:t>
      </w:r>
      <w:r w:rsidR="00385DC2">
        <w:t>audits conducted</w:t>
      </w:r>
      <w:r w:rsidR="00A43BE0">
        <w:t xml:space="preserve"> during this phase</w:t>
      </w:r>
      <w:r w:rsidR="00385DC2">
        <w:t>:</w:t>
      </w:r>
    </w:p>
    <w:p w:rsidR="00385DC2" w:rsidRPr="00085B06" w:rsidRDefault="00385DC2" w:rsidP="00385DC2">
      <w:pPr>
        <w:pStyle w:val="ListParagraph"/>
        <w:numPr>
          <w:ilvl w:val="0"/>
          <w:numId w:val="12"/>
        </w:numPr>
        <w:jc w:val="both"/>
        <w:rPr>
          <w:lang w:eastAsia="en-AU"/>
        </w:rPr>
      </w:pPr>
      <w:r w:rsidRPr="00085B06">
        <w:rPr>
          <w:lang w:eastAsia="en-AU"/>
        </w:rPr>
        <w:t xml:space="preserve">288 (78%) </w:t>
      </w:r>
      <w:r w:rsidR="00526556" w:rsidRPr="00085B06">
        <w:rPr>
          <w:lang w:eastAsia="en-AU"/>
        </w:rPr>
        <w:t xml:space="preserve">businesses </w:t>
      </w:r>
      <w:r w:rsidRPr="00085B06">
        <w:rPr>
          <w:lang w:eastAsia="en-AU"/>
        </w:rPr>
        <w:t xml:space="preserve">were paying their employees correctly </w:t>
      </w:r>
    </w:p>
    <w:p w:rsidR="00385DC2" w:rsidRPr="00085B06" w:rsidRDefault="00385DC2" w:rsidP="00385DC2">
      <w:pPr>
        <w:pStyle w:val="ListParagraph"/>
        <w:numPr>
          <w:ilvl w:val="0"/>
          <w:numId w:val="12"/>
        </w:numPr>
        <w:jc w:val="both"/>
        <w:rPr>
          <w:lang w:eastAsia="en-AU"/>
        </w:rPr>
      </w:pPr>
      <w:r w:rsidRPr="00085B06">
        <w:rPr>
          <w:lang w:eastAsia="en-AU"/>
        </w:rPr>
        <w:t xml:space="preserve">248 (67%) businesses were compliant with record-keeping and pay slip </w:t>
      </w:r>
      <w:r>
        <w:rPr>
          <w:lang w:eastAsia="en-AU"/>
        </w:rPr>
        <w:t xml:space="preserve">obligations </w:t>
      </w:r>
    </w:p>
    <w:p w:rsidR="00385DC2" w:rsidRDefault="00385DC2" w:rsidP="00385DC2">
      <w:pPr>
        <w:pStyle w:val="ListParagraph"/>
        <w:numPr>
          <w:ilvl w:val="0"/>
          <w:numId w:val="12"/>
        </w:numPr>
        <w:jc w:val="both"/>
      </w:pPr>
      <w:r w:rsidRPr="00085B06">
        <w:rPr>
          <w:lang w:eastAsia="en-AU"/>
        </w:rPr>
        <w:t xml:space="preserve">193 (52%) businesses were compliant with all </w:t>
      </w:r>
      <w:r>
        <w:rPr>
          <w:lang w:eastAsia="en-AU"/>
        </w:rPr>
        <w:t>requirements</w:t>
      </w:r>
    </w:p>
    <w:p w:rsidR="006032CC" w:rsidRPr="006032CC" w:rsidRDefault="00385DC2" w:rsidP="006032CC">
      <w:pPr>
        <w:pStyle w:val="ListParagraph"/>
        <w:numPr>
          <w:ilvl w:val="0"/>
          <w:numId w:val="12"/>
        </w:numPr>
        <w:jc w:val="both"/>
        <w:rPr>
          <w:rFonts w:cstheme="minorHAnsi"/>
          <w:color w:val="000000"/>
          <w:szCs w:val="22"/>
        </w:rPr>
      </w:pPr>
      <w:r>
        <w:rPr>
          <w:lang w:eastAsia="en-AU"/>
        </w:rPr>
        <w:t xml:space="preserve">178 (48%) </w:t>
      </w:r>
      <w:r w:rsidR="00330AFF">
        <w:rPr>
          <w:lang w:eastAsia="en-AU"/>
        </w:rPr>
        <w:t xml:space="preserve">were in breach of </w:t>
      </w:r>
      <w:r>
        <w:rPr>
          <w:lang w:eastAsia="en-AU"/>
        </w:rPr>
        <w:t xml:space="preserve">some aspect of </w:t>
      </w:r>
      <w:r w:rsidR="00330AFF">
        <w:rPr>
          <w:lang w:eastAsia="en-AU"/>
        </w:rPr>
        <w:t>their workplace relations obligations</w:t>
      </w:r>
      <w:r>
        <w:rPr>
          <w:lang w:eastAsia="en-AU"/>
        </w:rPr>
        <w:t>, whether monetary, non-monetary, or both</w:t>
      </w:r>
      <w:r w:rsidR="006032CC">
        <w:rPr>
          <w:lang w:eastAsia="en-AU"/>
        </w:rPr>
        <w:t>.</w:t>
      </w:r>
    </w:p>
    <w:p w:rsidR="009413B3" w:rsidRDefault="00385DC2" w:rsidP="009413B3">
      <w:pPr>
        <w:jc w:val="both"/>
        <w:rPr>
          <w:rFonts w:cstheme="minorHAnsi"/>
          <w:color w:val="000000"/>
          <w:szCs w:val="22"/>
        </w:rPr>
      </w:pPr>
      <w:r>
        <w:rPr>
          <w:rFonts w:cstheme="minorHAnsi"/>
          <w:color w:val="000000"/>
          <w:szCs w:val="22"/>
        </w:rPr>
        <w:t xml:space="preserve">Fair Work Inspectors </w:t>
      </w:r>
      <w:r w:rsidRPr="00DE0932">
        <w:rPr>
          <w:rFonts w:cstheme="minorHAnsi"/>
          <w:color w:val="000000"/>
          <w:szCs w:val="22"/>
        </w:rPr>
        <w:t xml:space="preserve">recovered a total of $84 846 </w:t>
      </w:r>
      <w:r>
        <w:rPr>
          <w:rFonts w:cstheme="minorHAnsi"/>
          <w:color w:val="000000"/>
          <w:szCs w:val="22"/>
        </w:rPr>
        <w:t xml:space="preserve">from 68 businesses </w:t>
      </w:r>
      <w:r w:rsidRPr="00DE0932">
        <w:rPr>
          <w:rFonts w:cstheme="minorHAnsi"/>
          <w:color w:val="000000"/>
          <w:szCs w:val="22"/>
        </w:rPr>
        <w:t>for 138 workers</w:t>
      </w:r>
      <w:r>
        <w:rPr>
          <w:rFonts w:cstheme="minorHAnsi"/>
          <w:color w:val="000000"/>
          <w:szCs w:val="22"/>
        </w:rPr>
        <w:t>.</w:t>
      </w:r>
      <w:r w:rsidR="00FD2358">
        <w:rPr>
          <w:rFonts w:cstheme="minorHAnsi"/>
          <w:color w:val="000000"/>
          <w:szCs w:val="22"/>
        </w:rPr>
        <w:t xml:space="preserve"> </w:t>
      </w:r>
      <w:r w:rsidR="006032CC">
        <w:rPr>
          <w:rFonts w:cstheme="minorHAnsi"/>
          <w:color w:val="000000"/>
          <w:szCs w:val="22"/>
        </w:rPr>
        <w:t>T</w:t>
      </w:r>
      <w:r w:rsidR="001B3090">
        <w:rPr>
          <w:rFonts w:cstheme="minorHAnsi"/>
          <w:color w:val="000000"/>
          <w:szCs w:val="22"/>
        </w:rPr>
        <w:t xml:space="preserve">he </w:t>
      </w:r>
      <w:r w:rsidR="001B3090">
        <w:t xml:space="preserve">majority of breaches </w:t>
      </w:r>
      <w:r w:rsidR="009413B3">
        <w:t>were</w:t>
      </w:r>
      <w:r w:rsidR="001B3090">
        <w:t xml:space="preserve"> non-monetary </w:t>
      </w:r>
      <w:r w:rsidR="009413B3">
        <w:t xml:space="preserve">in nature: </w:t>
      </w:r>
      <w:r w:rsidR="00D81816" w:rsidRPr="006032CC">
        <w:rPr>
          <w:rFonts w:cstheme="minorHAnsi"/>
          <w:color w:val="000000"/>
          <w:szCs w:val="22"/>
        </w:rPr>
        <w:t>36</w:t>
      </w:r>
      <w:r w:rsidR="00323C05" w:rsidRPr="006032CC">
        <w:rPr>
          <w:rFonts w:cstheme="minorHAnsi"/>
          <w:color w:val="000000"/>
          <w:szCs w:val="22"/>
        </w:rPr>
        <w:t xml:space="preserve">% </w:t>
      </w:r>
      <w:r w:rsidR="00F825B3" w:rsidRPr="006032CC">
        <w:rPr>
          <w:rFonts w:cstheme="minorHAnsi"/>
          <w:color w:val="000000"/>
          <w:szCs w:val="22"/>
        </w:rPr>
        <w:t xml:space="preserve">of all breaches </w:t>
      </w:r>
      <w:r w:rsidR="001B3090" w:rsidRPr="006032CC">
        <w:rPr>
          <w:rFonts w:cstheme="minorHAnsi"/>
          <w:color w:val="000000"/>
          <w:szCs w:val="22"/>
        </w:rPr>
        <w:t xml:space="preserve">concerned </w:t>
      </w:r>
      <w:r w:rsidR="00D81816" w:rsidRPr="006032CC">
        <w:rPr>
          <w:rFonts w:cstheme="minorHAnsi"/>
          <w:color w:val="000000"/>
          <w:szCs w:val="22"/>
        </w:rPr>
        <w:t>record</w:t>
      </w:r>
      <w:r w:rsidR="00F825B3" w:rsidRPr="006032CC">
        <w:rPr>
          <w:rFonts w:cstheme="minorHAnsi"/>
          <w:color w:val="000000"/>
          <w:szCs w:val="22"/>
        </w:rPr>
        <w:t>-</w:t>
      </w:r>
      <w:r w:rsidR="00C00E28" w:rsidRPr="006032CC">
        <w:rPr>
          <w:rFonts w:cstheme="minorHAnsi"/>
          <w:color w:val="000000"/>
          <w:szCs w:val="22"/>
        </w:rPr>
        <w:t xml:space="preserve">keeping </w:t>
      </w:r>
      <w:r w:rsidR="009413B3">
        <w:rPr>
          <w:rFonts w:cstheme="minorHAnsi"/>
          <w:color w:val="000000"/>
          <w:szCs w:val="22"/>
        </w:rPr>
        <w:t xml:space="preserve">obligations. Fair </w:t>
      </w:r>
      <w:r w:rsidR="00AB1F2B">
        <w:rPr>
          <w:rFonts w:cstheme="minorHAnsi"/>
          <w:color w:val="000000"/>
          <w:szCs w:val="22"/>
        </w:rPr>
        <w:t>W</w:t>
      </w:r>
      <w:r w:rsidR="009413B3">
        <w:rPr>
          <w:rFonts w:cstheme="minorHAnsi"/>
          <w:color w:val="000000"/>
          <w:szCs w:val="22"/>
        </w:rPr>
        <w:t>ork Inspectors also found:</w:t>
      </w:r>
    </w:p>
    <w:p w:rsidR="00323C05" w:rsidRDefault="00D81816" w:rsidP="006032CC">
      <w:pPr>
        <w:pStyle w:val="NormalWeb"/>
        <w:numPr>
          <w:ilvl w:val="0"/>
          <w:numId w:val="8"/>
        </w:numPr>
        <w:spacing w:before="0" w:beforeAutospacing="0" w:after="120" w:afterAutospacing="0" w:line="360" w:lineRule="auto"/>
        <w:jc w:val="both"/>
        <w:rPr>
          <w:rFonts w:asciiTheme="minorHAnsi" w:hAnsiTheme="minorHAnsi" w:cstheme="minorHAnsi"/>
          <w:color w:val="000000"/>
          <w:sz w:val="22"/>
          <w:szCs w:val="22"/>
          <w:lang w:eastAsia="en-US"/>
        </w:rPr>
      </w:pPr>
      <w:r w:rsidRPr="006032CC">
        <w:rPr>
          <w:rFonts w:asciiTheme="minorHAnsi" w:hAnsiTheme="minorHAnsi" w:cstheme="minorHAnsi"/>
          <w:color w:val="000000"/>
          <w:sz w:val="22"/>
          <w:szCs w:val="22"/>
          <w:lang w:eastAsia="en-US"/>
        </w:rPr>
        <w:t>31</w:t>
      </w:r>
      <w:r w:rsidR="00323C05" w:rsidRPr="006032CC">
        <w:rPr>
          <w:rFonts w:asciiTheme="minorHAnsi" w:hAnsiTheme="minorHAnsi" w:cstheme="minorHAnsi"/>
          <w:color w:val="000000"/>
          <w:sz w:val="22"/>
          <w:szCs w:val="22"/>
          <w:lang w:eastAsia="en-US"/>
        </w:rPr>
        <w:t>%</w:t>
      </w:r>
      <w:r w:rsidRPr="006032CC">
        <w:rPr>
          <w:rFonts w:asciiTheme="minorHAnsi" w:hAnsiTheme="minorHAnsi" w:cstheme="minorHAnsi"/>
          <w:color w:val="000000"/>
          <w:sz w:val="22"/>
          <w:szCs w:val="22"/>
          <w:lang w:eastAsia="en-US"/>
        </w:rPr>
        <w:t xml:space="preserve"> </w:t>
      </w:r>
      <w:r w:rsidR="00F825B3" w:rsidRPr="006032CC">
        <w:rPr>
          <w:rFonts w:asciiTheme="minorHAnsi" w:hAnsiTheme="minorHAnsi" w:cstheme="minorHAnsi"/>
          <w:color w:val="000000"/>
          <w:sz w:val="22"/>
          <w:szCs w:val="22"/>
          <w:lang w:eastAsia="en-US"/>
        </w:rPr>
        <w:t>of all breaches related to the underpayment of the hourly rate of pay</w:t>
      </w:r>
    </w:p>
    <w:p w:rsidR="009413B3" w:rsidRPr="009413B3" w:rsidRDefault="009413B3" w:rsidP="009413B3">
      <w:pPr>
        <w:pStyle w:val="ListParagraph"/>
        <w:numPr>
          <w:ilvl w:val="0"/>
          <w:numId w:val="8"/>
        </w:numPr>
        <w:jc w:val="both"/>
        <w:rPr>
          <w:rFonts w:cstheme="minorHAnsi"/>
          <w:color w:val="000000"/>
          <w:szCs w:val="22"/>
        </w:rPr>
      </w:pPr>
      <w:r w:rsidRPr="009413B3">
        <w:rPr>
          <w:rFonts w:cstheme="minorHAnsi"/>
          <w:color w:val="000000"/>
          <w:szCs w:val="22"/>
        </w:rPr>
        <w:t>20% of breaches related to the failure of businesses to provide pay slips to workers with the required information or within the required time</w:t>
      </w:r>
    </w:p>
    <w:p w:rsidR="00A43BE0" w:rsidRDefault="00B56C17" w:rsidP="006032CC">
      <w:pPr>
        <w:pStyle w:val="NormalWeb"/>
        <w:numPr>
          <w:ilvl w:val="0"/>
          <w:numId w:val="8"/>
        </w:numPr>
        <w:spacing w:before="0" w:beforeAutospacing="0" w:after="120" w:afterAutospacing="0" w:line="360" w:lineRule="auto"/>
        <w:jc w:val="both"/>
        <w:rPr>
          <w:rFonts w:asciiTheme="minorHAnsi" w:hAnsiTheme="minorHAnsi" w:cstheme="minorHAnsi"/>
          <w:color w:val="000000"/>
          <w:sz w:val="22"/>
          <w:szCs w:val="22"/>
          <w:lang w:eastAsia="en-US"/>
        </w:rPr>
      </w:pPr>
      <w:proofErr w:type="gramStart"/>
      <w:r w:rsidRPr="006032CC">
        <w:rPr>
          <w:rFonts w:asciiTheme="minorHAnsi" w:hAnsiTheme="minorHAnsi" w:cstheme="minorHAnsi"/>
          <w:color w:val="000000"/>
          <w:sz w:val="22"/>
          <w:szCs w:val="22"/>
          <w:lang w:eastAsia="en-US"/>
        </w:rPr>
        <w:t>n</w:t>
      </w:r>
      <w:r w:rsidR="00A43BE0" w:rsidRPr="006032CC">
        <w:rPr>
          <w:rFonts w:asciiTheme="minorHAnsi" w:hAnsiTheme="minorHAnsi" w:cstheme="minorHAnsi"/>
          <w:color w:val="000000"/>
          <w:sz w:val="22"/>
          <w:szCs w:val="22"/>
          <w:lang w:eastAsia="en-US"/>
        </w:rPr>
        <w:t>on-compliance</w:t>
      </w:r>
      <w:proofErr w:type="gramEnd"/>
      <w:r w:rsidR="00A43BE0" w:rsidRPr="006032CC">
        <w:rPr>
          <w:rFonts w:asciiTheme="minorHAnsi" w:hAnsiTheme="minorHAnsi" w:cstheme="minorHAnsi"/>
          <w:color w:val="000000"/>
          <w:sz w:val="22"/>
          <w:szCs w:val="22"/>
          <w:lang w:eastAsia="en-US"/>
        </w:rPr>
        <w:t xml:space="preserve"> relating to penalties</w:t>
      </w:r>
      <w:r w:rsidR="00F825B3" w:rsidRPr="006032CC">
        <w:rPr>
          <w:rFonts w:asciiTheme="minorHAnsi" w:hAnsiTheme="minorHAnsi" w:cstheme="minorHAnsi"/>
          <w:color w:val="000000"/>
          <w:sz w:val="22"/>
          <w:szCs w:val="22"/>
          <w:lang w:eastAsia="en-US"/>
        </w:rPr>
        <w:t xml:space="preserve">, allowances </w:t>
      </w:r>
      <w:r w:rsidR="00A43BE0" w:rsidRPr="006032CC">
        <w:rPr>
          <w:rFonts w:asciiTheme="minorHAnsi" w:hAnsiTheme="minorHAnsi" w:cstheme="minorHAnsi"/>
          <w:color w:val="000000"/>
          <w:sz w:val="22"/>
          <w:szCs w:val="22"/>
          <w:lang w:eastAsia="en-US"/>
        </w:rPr>
        <w:t>and overtime accounted for 5% of all breaches.</w:t>
      </w:r>
    </w:p>
    <w:p w:rsidR="003F111E" w:rsidRPr="002562C6" w:rsidRDefault="00FE5E21" w:rsidP="00526556">
      <w:pPr>
        <w:pStyle w:val="NormalWeb"/>
        <w:spacing w:before="0" w:beforeAutospacing="0" w:after="120" w:afterAutospacing="0" w:line="360" w:lineRule="auto"/>
        <w:jc w:val="both"/>
        <w:rPr>
          <w:rFonts w:asciiTheme="minorHAnsi" w:hAnsiTheme="minorHAnsi" w:cstheme="minorHAnsi"/>
          <w:color w:val="000000"/>
          <w:sz w:val="22"/>
          <w:szCs w:val="22"/>
          <w:lang w:eastAsia="en-US"/>
        </w:rPr>
      </w:pPr>
      <w:r>
        <w:rPr>
          <w:rFonts w:asciiTheme="minorHAnsi" w:hAnsiTheme="minorHAnsi" w:cstheme="minorHAnsi"/>
          <w:color w:val="000000"/>
          <w:sz w:val="22"/>
          <w:szCs w:val="22"/>
          <w:lang w:eastAsia="en-US"/>
        </w:rPr>
        <w:t>F</w:t>
      </w:r>
      <w:r w:rsidR="003F111E" w:rsidRPr="00FE5E21">
        <w:rPr>
          <w:rFonts w:asciiTheme="minorHAnsi" w:hAnsiTheme="minorHAnsi" w:cstheme="minorHAnsi"/>
          <w:color w:val="000000"/>
          <w:sz w:val="22"/>
          <w:szCs w:val="22"/>
          <w:lang w:eastAsia="en-US"/>
        </w:rPr>
        <w:t>air Work Inspectors issued:</w:t>
      </w:r>
    </w:p>
    <w:p w:rsidR="00FE5E21" w:rsidRPr="002562C6" w:rsidRDefault="00FE5E21" w:rsidP="00526556">
      <w:pPr>
        <w:pStyle w:val="NormalWeb"/>
        <w:numPr>
          <w:ilvl w:val="0"/>
          <w:numId w:val="8"/>
        </w:numPr>
        <w:spacing w:before="0" w:beforeAutospacing="0" w:after="120" w:afterAutospacing="0" w:line="360" w:lineRule="auto"/>
        <w:jc w:val="both"/>
        <w:rPr>
          <w:rFonts w:asciiTheme="minorHAnsi" w:hAnsiTheme="minorHAnsi" w:cstheme="minorHAnsi"/>
          <w:color w:val="000000"/>
          <w:sz w:val="22"/>
          <w:szCs w:val="22"/>
          <w:lang w:eastAsia="en-US"/>
        </w:rPr>
      </w:pPr>
      <w:r w:rsidRPr="00864736">
        <w:rPr>
          <w:rFonts w:asciiTheme="minorHAnsi" w:hAnsiTheme="minorHAnsi" w:cstheme="minorHAnsi"/>
          <w:color w:val="000000"/>
          <w:sz w:val="22"/>
          <w:szCs w:val="22"/>
          <w:lang w:eastAsia="en-US"/>
        </w:rPr>
        <w:t>107 Formal Cautions</w:t>
      </w:r>
    </w:p>
    <w:p w:rsidR="00FE5E21" w:rsidRPr="002562C6" w:rsidRDefault="00FE5E21" w:rsidP="00526556">
      <w:pPr>
        <w:pStyle w:val="NormalWeb"/>
        <w:numPr>
          <w:ilvl w:val="0"/>
          <w:numId w:val="8"/>
        </w:numPr>
        <w:spacing w:before="0" w:beforeAutospacing="0" w:after="120" w:afterAutospacing="0" w:line="360" w:lineRule="auto"/>
        <w:jc w:val="both"/>
        <w:rPr>
          <w:rFonts w:asciiTheme="minorHAnsi" w:hAnsiTheme="minorHAnsi" w:cstheme="minorHAnsi"/>
          <w:color w:val="000000"/>
          <w:sz w:val="22"/>
          <w:szCs w:val="22"/>
          <w:lang w:eastAsia="en-US"/>
        </w:rPr>
      </w:pPr>
      <w:r w:rsidRPr="00864736">
        <w:rPr>
          <w:rFonts w:asciiTheme="minorHAnsi" w:hAnsiTheme="minorHAnsi" w:cstheme="minorHAnsi"/>
          <w:color w:val="000000"/>
          <w:sz w:val="22"/>
          <w:szCs w:val="22"/>
          <w:lang w:eastAsia="en-US"/>
        </w:rPr>
        <w:t>31 Infringement Notice</w:t>
      </w:r>
    </w:p>
    <w:p w:rsidR="00FE5E21" w:rsidRDefault="0043258D" w:rsidP="00526556">
      <w:pPr>
        <w:pStyle w:val="NormalWeb"/>
        <w:numPr>
          <w:ilvl w:val="0"/>
          <w:numId w:val="8"/>
        </w:numPr>
        <w:spacing w:before="0" w:beforeAutospacing="0" w:after="120" w:afterAutospacing="0" w:line="360" w:lineRule="auto"/>
        <w:jc w:val="both"/>
        <w:rPr>
          <w:rFonts w:asciiTheme="minorHAnsi" w:hAnsiTheme="minorHAnsi" w:cstheme="minorHAnsi"/>
          <w:color w:val="000000"/>
          <w:sz w:val="22"/>
          <w:szCs w:val="22"/>
          <w:lang w:eastAsia="en-US"/>
        </w:rPr>
      </w:pPr>
      <w:proofErr w:type="gramStart"/>
      <w:r>
        <w:rPr>
          <w:rFonts w:asciiTheme="minorHAnsi" w:hAnsiTheme="minorHAnsi" w:cstheme="minorHAnsi"/>
          <w:color w:val="000000"/>
          <w:sz w:val="22"/>
          <w:szCs w:val="22"/>
          <w:lang w:eastAsia="en-US"/>
        </w:rPr>
        <w:t>f</w:t>
      </w:r>
      <w:r w:rsidR="00FE5E21" w:rsidRPr="00864736">
        <w:rPr>
          <w:rFonts w:asciiTheme="minorHAnsi" w:hAnsiTheme="minorHAnsi" w:cstheme="minorHAnsi"/>
          <w:color w:val="000000"/>
          <w:sz w:val="22"/>
          <w:szCs w:val="22"/>
          <w:lang w:eastAsia="en-US"/>
        </w:rPr>
        <w:t>our</w:t>
      </w:r>
      <w:proofErr w:type="gramEnd"/>
      <w:r w:rsidR="00FE5E21" w:rsidRPr="00864736">
        <w:rPr>
          <w:rFonts w:asciiTheme="minorHAnsi" w:hAnsiTheme="minorHAnsi" w:cstheme="minorHAnsi"/>
          <w:color w:val="000000"/>
          <w:sz w:val="22"/>
          <w:szCs w:val="22"/>
          <w:lang w:eastAsia="en-US"/>
        </w:rPr>
        <w:t xml:space="preserve"> </w:t>
      </w:r>
      <w:r>
        <w:rPr>
          <w:rFonts w:asciiTheme="minorHAnsi" w:hAnsiTheme="minorHAnsi" w:cstheme="minorHAnsi"/>
          <w:color w:val="000000"/>
          <w:sz w:val="22"/>
          <w:szCs w:val="22"/>
          <w:lang w:eastAsia="en-US"/>
        </w:rPr>
        <w:t>C</w:t>
      </w:r>
      <w:r w:rsidR="00FE5E21" w:rsidRPr="00864736">
        <w:rPr>
          <w:rFonts w:asciiTheme="minorHAnsi" w:hAnsiTheme="minorHAnsi" w:cstheme="minorHAnsi"/>
          <w:color w:val="000000"/>
          <w:sz w:val="22"/>
          <w:szCs w:val="22"/>
          <w:lang w:eastAsia="en-US"/>
        </w:rPr>
        <w:t xml:space="preserve">ompliance </w:t>
      </w:r>
      <w:r>
        <w:rPr>
          <w:rFonts w:asciiTheme="minorHAnsi" w:hAnsiTheme="minorHAnsi" w:cstheme="minorHAnsi"/>
          <w:color w:val="000000"/>
          <w:sz w:val="22"/>
          <w:szCs w:val="22"/>
          <w:lang w:eastAsia="en-US"/>
        </w:rPr>
        <w:t>N</w:t>
      </w:r>
      <w:r w:rsidR="00FE5E21" w:rsidRPr="00864736">
        <w:rPr>
          <w:rFonts w:asciiTheme="minorHAnsi" w:hAnsiTheme="minorHAnsi" w:cstheme="minorHAnsi"/>
          <w:color w:val="000000"/>
          <w:sz w:val="22"/>
          <w:szCs w:val="22"/>
          <w:lang w:eastAsia="en-US"/>
        </w:rPr>
        <w:t>otices</w:t>
      </w:r>
      <w:r w:rsidR="003C23DE">
        <w:rPr>
          <w:rFonts w:asciiTheme="minorHAnsi" w:hAnsiTheme="minorHAnsi" w:cstheme="minorHAnsi"/>
          <w:color w:val="000000"/>
          <w:sz w:val="22"/>
          <w:szCs w:val="22"/>
          <w:lang w:eastAsia="en-US"/>
        </w:rPr>
        <w:t>.</w:t>
      </w:r>
    </w:p>
    <w:p w:rsidR="002E6864" w:rsidDel="00893F95" w:rsidRDefault="00FD2358" w:rsidP="00526556">
      <w:pPr>
        <w:pStyle w:val="NormalWeb"/>
        <w:spacing w:before="0" w:beforeAutospacing="0" w:after="120" w:afterAutospacing="0" w:line="360" w:lineRule="auto"/>
        <w:jc w:val="both"/>
        <w:rPr>
          <w:rFonts w:eastAsiaTheme="minorHAnsi"/>
          <w:b/>
          <w:color w:val="17365D" w:themeColor="text2" w:themeShade="BF"/>
          <w:sz w:val="44"/>
          <w:szCs w:val="44"/>
        </w:rPr>
      </w:pPr>
      <w:r>
        <w:rPr>
          <w:rFonts w:asciiTheme="minorHAnsi" w:hAnsiTheme="minorHAnsi" w:cstheme="minorHAnsi"/>
          <w:color w:val="000000"/>
          <w:sz w:val="22"/>
          <w:szCs w:val="22"/>
          <w:lang w:eastAsia="en-US"/>
        </w:rPr>
        <w:t>Th</w:t>
      </w:r>
      <w:r w:rsidR="00B87B43">
        <w:rPr>
          <w:rFonts w:asciiTheme="minorHAnsi" w:hAnsiTheme="minorHAnsi" w:cstheme="minorHAnsi"/>
          <w:color w:val="000000"/>
          <w:sz w:val="22"/>
          <w:szCs w:val="22"/>
          <w:lang w:eastAsia="en-US"/>
        </w:rPr>
        <w:t>is</w:t>
      </w:r>
      <w:r>
        <w:rPr>
          <w:rFonts w:asciiTheme="minorHAnsi" w:hAnsiTheme="minorHAnsi" w:cstheme="minorHAnsi"/>
          <w:color w:val="000000"/>
          <w:sz w:val="22"/>
          <w:szCs w:val="22"/>
          <w:lang w:eastAsia="en-US"/>
        </w:rPr>
        <w:t xml:space="preserve"> report details</w:t>
      </w:r>
      <w:r w:rsidR="0030544D">
        <w:rPr>
          <w:rFonts w:asciiTheme="minorHAnsi" w:hAnsiTheme="minorHAnsi" w:cstheme="minorHAnsi"/>
          <w:color w:val="000000"/>
          <w:sz w:val="22"/>
          <w:szCs w:val="22"/>
          <w:lang w:eastAsia="en-US"/>
        </w:rPr>
        <w:t xml:space="preserve"> </w:t>
      </w:r>
      <w:r w:rsidR="00B87B43">
        <w:rPr>
          <w:rFonts w:asciiTheme="minorHAnsi" w:hAnsiTheme="minorHAnsi" w:cstheme="minorHAnsi"/>
          <w:color w:val="000000"/>
          <w:sz w:val="22"/>
          <w:szCs w:val="22"/>
          <w:lang w:eastAsia="en-US"/>
        </w:rPr>
        <w:t xml:space="preserve">the </w:t>
      </w:r>
      <w:r w:rsidR="0030544D">
        <w:rPr>
          <w:rFonts w:asciiTheme="minorHAnsi" w:hAnsiTheme="minorHAnsi" w:cstheme="minorHAnsi"/>
          <w:color w:val="000000"/>
          <w:sz w:val="22"/>
          <w:szCs w:val="22"/>
          <w:lang w:eastAsia="en-US"/>
        </w:rPr>
        <w:t xml:space="preserve">second phase of </w:t>
      </w:r>
      <w:r w:rsidR="00B87B43">
        <w:rPr>
          <w:rFonts w:asciiTheme="minorHAnsi" w:hAnsiTheme="minorHAnsi" w:cstheme="minorHAnsi"/>
          <w:color w:val="000000"/>
          <w:sz w:val="22"/>
          <w:szCs w:val="22"/>
          <w:lang w:eastAsia="en-US"/>
        </w:rPr>
        <w:t xml:space="preserve">the </w:t>
      </w:r>
      <w:r w:rsidR="008C3299">
        <w:rPr>
          <w:rFonts w:asciiTheme="minorHAnsi" w:hAnsiTheme="minorHAnsi" w:cstheme="minorHAnsi"/>
          <w:color w:val="000000"/>
          <w:sz w:val="22"/>
          <w:szCs w:val="22"/>
          <w:lang w:eastAsia="en-US"/>
        </w:rPr>
        <w:t>FWO’s</w:t>
      </w:r>
      <w:r w:rsidR="008C3299">
        <w:rPr>
          <w:rFonts w:asciiTheme="minorHAnsi" w:hAnsiTheme="minorHAnsi" w:cstheme="minorHAnsi"/>
          <w:color w:val="000000"/>
          <w:sz w:val="22"/>
          <w:szCs w:val="22"/>
        </w:rPr>
        <w:t xml:space="preserve"> </w:t>
      </w:r>
      <w:r w:rsidR="0030544D">
        <w:rPr>
          <w:rFonts w:asciiTheme="minorHAnsi" w:hAnsiTheme="minorHAnsi" w:cstheme="minorHAnsi"/>
          <w:color w:val="000000"/>
          <w:sz w:val="22"/>
          <w:szCs w:val="22"/>
        </w:rPr>
        <w:t>TCF</w:t>
      </w:r>
      <w:r w:rsidR="0030544D" w:rsidRPr="00CF1408">
        <w:rPr>
          <w:rFonts w:asciiTheme="minorHAnsi" w:hAnsiTheme="minorHAnsi" w:cstheme="minorHAnsi"/>
          <w:color w:val="000000"/>
          <w:sz w:val="22"/>
          <w:szCs w:val="22"/>
        </w:rPr>
        <w:t xml:space="preserve"> Campaign</w:t>
      </w:r>
      <w:r w:rsidR="00526556">
        <w:rPr>
          <w:rFonts w:asciiTheme="minorHAnsi" w:hAnsiTheme="minorHAnsi" w:cstheme="minorHAnsi"/>
          <w:color w:val="000000"/>
          <w:sz w:val="22"/>
          <w:szCs w:val="22"/>
        </w:rPr>
        <w:t>,</w:t>
      </w:r>
      <w:r w:rsidR="00B87B43">
        <w:rPr>
          <w:rFonts w:asciiTheme="minorHAnsi" w:hAnsiTheme="minorHAnsi" w:cstheme="minorHAnsi"/>
          <w:color w:val="000000"/>
          <w:sz w:val="22"/>
          <w:szCs w:val="22"/>
        </w:rPr>
        <w:t xml:space="preserve"> including the</w:t>
      </w:r>
      <w:r>
        <w:rPr>
          <w:rFonts w:asciiTheme="minorHAnsi" w:hAnsiTheme="minorHAnsi" w:cstheme="minorHAnsi"/>
          <w:color w:val="000000"/>
          <w:sz w:val="22"/>
          <w:szCs w:val="22"/>
        </w:rPr>
        <w:t xml:space="preserve"> </w:t>
      </w:r>
      <w:r w:rsidR="00526556">
        <w:rPr>
          <w:rFonts w:asciiTheme="minorHAnsi" w:hAnsiTheme="minorHAnsi" w:cstheme="minorHAnsi"/>
          <w:color w:val="000000"/>
          <w:sz w:val="22"/>
          <w:szCs w:val="22"/>
        </w:rPr>
        <w:t>industry settings</w:t>
      </w:r>
      <w:r w:rsidR="0030544D">
        <w:rPr>
          <w:rFonts w:asciiTheme="minorHAnsi" w:hAnsiTheme="minorHAnsi" w:cstheme="minorHAnsi"/>
          <w:color w:val="000000"/>
          <w:sz w:val="22"/>
          <w:szCs w:val="22"/>
        </w:rPr>
        <w:t xml:space="preserve">, </w:t>
      </w:r>
      <w:r w:rsidR="00526556">
        <w:rPr>
          <w:rFonts w:asciiTheme="minorHAnsi" w:hAnsiTheme="minorHAnsi" w:cstheme="minorHAnsi"/>
          <w:color w:val="000000"/>
          <w:sz w:val="22"/>
          <w:szCs w:val="22"/>
        </w:rPr>
        <w:t xml:space="preserve">findings and outcomes of the </w:t>
      </w:r>
      <w:r w:rsidR="0030544D">
        <w:rPr>
          <w:rFonts w:asciiTheme="minorHAnsi" w:hAnsiTheme="minorHAnsi" w:cstheme="minorHAnsi"/>
          <w:color w:val="000000"/>
          <w:sz w:val="22"/>
          <w:szCs w:val="22"/>
        </w:rPr>
        <w:t>activity</w:t>
      </w:r>
      <w:r w:rsidR="00526556">
        <w:rPr>
          <w:rFonts w:asciiTheme="minorHAnsi" w:hAnsiTheme="minorHAnsi" w:cstheme="minorHAnsi"/>
          <w:color w:val="000000"/>
          <w:sz w:val="22"/>
          <w:szCs w:val="22"/>
        </w:rPr>
        <w:t>.</w:t>
      </w:r>
      <w:r w:rsidR="0030544D">
        <w:rPr>
          <w:rFonts w:asciiTheme="minorHAnsi" w:hAnsiTheme="minorHAnsi" w:cstheme="minorHAnsi"/>
          <w:color w:val="000000"/>
          <w:sz w:val="22"/>
          <w:szCs w:val="22"/>
        </w:rPr>
        <w:t xml:space="preserve"> </w:t>
      </w:r>
      <w:r w:rsidR="00F37FC6">
        <w:br w:type="page"/>
      </w:r>
    </w:p>
    <w:p w:rsidR="00F37FC6" w:rsidRDefault="00531A48" w:rsidP="005C5138">
      <w:pPr>
        <w:pStyle w:val="Heading1"/>
      </w:pPr>
      <w:bookmarkStart w:id="7" w:name="_Toc531876776"/>
      <w:bookmarkStart w:id="8" w:name="_Toc534888170"/>
      <w:r w:rsidRPr="00F575D4">
        <w:lastRenderedPageBreak/>
        <w:t>Backg</w:t>
      </w:r>
      <w:r w:rsidR="004F36E6">
        <w:t>r</w:t>
      </w:r>
      <w:r w:rsidRPr="00F575D4">
        <w:t>ound</w:t>
      </w:r>
      <w:bookmarkEnd w:id="7"/>
      <w:bookmarkEnd w:id="8"/>
      <w:r w:rsidRPr="00F575D4">
        <w:t xml:space="preserve"> </w:t>
      </w:r>
    </w:p>
    <w:p w:rsidR="001A36DF" w:rsidRPr="006C1521" w:rsidRDefault="001A36DF" w:rsidP="001A36DF">
      <w:pPr>
        <w:jc w:val="both"/>
        <w:rPr>
          <w:rFonts w:eastAsia="Calibri" w:cstheme="minorHAnsi"/>
          <w:szCs w:val="22"/>
        </w:rPr>
      </w:pPr>
      <w:r>
        <w:rPr>
          <w:lang w:eastAsia="en-AU"/>
        </w:rPr>
        <w:t>Compliance levels in complex labour supply chains have lo</w:t>
      </w:r>
      <w:r w:rsidRPr="006C1521">
        <w:rPr>
          <w:rFonts w:eastAsia="Calibri" w:cstheme="minorHAnsi"/>
          <w:szCs w:val="22"/>
        </w:rPr>
        <w:t>ng been a key area of strategic focus for the FWO.</w:t>
      </w:r>
      <w:r w:rsidRPr="006C1521">
        <w:rPr>
          <w:rStyle w:val="FootnoteReference"/>
          <w:rFonts w:eastAsia="Calibri"/>
          <w:szCs w:val="22"/>
        </w:rPr>
        <w:footnoteReference w:id="3"/>
      </w:r>
      <w:r w:rsidRPr="006C1521">
        <w:rPr>
          <w:rFonts w:eastAsia="Calibri" w:cstheme="minorHAnsi"/>
          <w:szCs w:val="22"/>
        </w:rPr>
        <w:t xml:space="preserve"> </w:t>
      </w:r>
    </w:p>
    <w:p w:rsidR="00E247BF" w:rsidRDefault="00E247BF" w:rsidP="00E247BF">
      <w:pPr>
        <w:jc w:val="both"/>
      </w:pPr>
      <w:r>
        <w:t xml:space="preserve">The findings the FWO made in the </w:t>
      </w:r>
      <w:r w:rsidRPr="00DE0932">
        <w:rPr>
          <w:i/>
        </w:rPr>
        <w:t>Queensland Clothing Manufacturing Audit Program 2011-2012</w:t>
      </w:r>
      <w:r>
        <w:rPr>
          <w:i/>
        </w:rPr>
        <w:t xml:space="preserve"> (the Audit Program)</w:t>
      </w:r>
      <w:r>
        <w:t xml:space="preserve"> informed the two-phase design of the TCF Campaign.</w:t>
      </w:r>
      <w:r>
        <w:rPr>
          <w:rStyle w:val="FootnoteReference"/>
        </w:rPr>
        <w:footnoteReference w:id="4"/>
      </w:r>
      <w:r>
        <w:t xml:space="preserve"> </w:t>
      </w:r>
      <w:r w:rsidRPr="00DE0932">
        <w:t>These included</w:t>
      </w:r>
      <w:r>
        <w:t>:</w:t>
      </w:r>
    </w:p>
    <w:p w:rsidR="00E247BF" w:rsidRDefault="00E247BF" w:rsidP="00E247BF">
      <w:pPr>
        <w:pStyle w:val="ListParagraph"/>
        <w:numPr>
          <w:ilvl w:val="0"/>
          <w:numId w:val="29"/>
        </w:numPr>
        <w:contextualSpacing w:val="0"/>
        <w:jc w:val="both"/>
        <w:rPr>
          <w:lang w:eastAsia="en-AU"/>
        </w:rPr>
      </w:pPr>
      <w:r>
        <w:rPr>
          <w:lang w:eastAsia="en-AU"/>
        </w:rPr>
        <w:t>the difficulty in identifying outworkers in the manufacturing supply chain</w:t>
      </w:r>
    </w:p>
    <w:p w:rsidR="00E247BF" w:rsidRDefault="00E247BF" w:rsidP="00E247BF">
      <w:pPr>
        <w:pStyle w:val="ListParagraph"/>
        <w:numPr>
          <w:ilvl w:val="0"/>
          <w:numId w:val="29"/>
        </w:numPr>
        <w:contextualSpacing w:val="0"/>
        <w:jc w:val="both"/>
        <w:rPr>
          <w:lang w:eastAsia="en-AU"/>
        </w:rPr>
      </w:pPr>
      <w:r>
        <w:rPr>
          <w:lang w:eastAsia="en-AU"/>
        </w:rPr>
        <w:t xml:space="preserve">limited record keeping, compounding the risk of worker exploitation </w:t>
      </w:r>
    </w:p>
    <w:p w:rsidR="00E247BF" w:rsidRDefault="00360350" w:rsidP="00CF666B">
      <w:pPr>
        <w:pStyle w:val="ListParagraph"/>
        <w:numPr>
          <w:ilvl w:val="0"/>
          <w:numId w:val="29"/>
        </w:numPr>
        <w:contextualSpacing w:val="0"/>
        <w:jc w:val="both"/>
        <w:rPr>
          <w:lang w:eastAsia="en-AU"/>
        </w:rPr>
      </w:pPr>
      <w:proofErr w:type="gramStart"/>
      <w:r>
        <w:rPr>
          <w:lang w:eastAsia="en-AU"/>
        </w:rPr>
        <w:t>a</w:t>
      </w:r>
      <w:proofErr w:type="gramEnd"/>
      <w:r>
        <w:rPr>
          <w:lang w:eastAsia="en-AU"/>
        </w:rPr>
        <w:t xml:space="preserve"> </w:t>
      </w:r>
      <w:r w:rsidR="00E247BF" w:rsidRPr="00360350">
        <w:rPr>
          <w:lang w:eastAsia="en-AU"/>
        </w:rPr>
        <w:t xml:space="preserve">lack of familiarity among workplace participants </w:t>
      </w:r>
      <w:r w:rsidRPr="00360350">
        <w:rPr>
          <w:lang w:eastAsia="en-AU"/>
        </w:rPr>
        <w:t>with</w:t>
      </w:r>
      <w:r w:rsidR="00E247BF" w:rsidRPr="00360350">
        <w:rPr>
          <w:lang w:eastAsia="en-AU"/>
        </w:rPr>
        <w:t xml:space="preserve"> the outworker-related provisions of the </w:t>
      </w:r>
      <w:r w:rsidR="009E3CB0" w:rsidRPr="009E3CB0">
        <w:rPr>
          <w:i/>
          <w:lang w:eastAsia="en-AU"/>
        </w:rPr>
        <w:t>Textile, Clothing, Footwear and Associated Industries Award 2010</w:t>
      </w:r>
      <w:r w:rsidR="009E3CB0">
        <w:rPr>
          <w:lang w:eastAsia="en-AU"/>
        </w:rPr>
        <w:t xml:space="preserve"> </w:t>
      </w:r>
      <w:r w:rsidR="00FF7123">
        <w:rPr>
          <w:lang w:eastAsia="en-AU"/>
        </w:rPr>
        <w:t>(</w:t>
      </w:r>
      <w:r w:rsidR="009E3CB0">
        <w:rPr>
          <w:lang w:eastAsia="en-AU"/>
        </w:rPr>
        <w:t>the TCF Award</w:t>
      </w:r>
      <w:r w:rsidR="00FF7123">
        <w:rPr>
          <w:lang w:eastAsia="en-AU"/>
        </w:rPr>
        <w:t>).</w:t>
      </w:r>
      <w:r w:rsidR="00FF7123">
        <w:rPr>
          <w:rStyle w:val="FootnoteReference"/>
          <w:lang w:eastAsia="en-AU"/>
        </w:rPr>
        <w:footnoteReference w:id="5"/>
      </w:r>
    </w:p>
    <w:p w:rsidR="005862EF" w:rsidRDefault="00E247BF" w:rsidP="00E247BF">
      <w:pPr>
        <w:jc w:val="both"/>
      </w:pPr>
      <w:r>
        <w:rPr>
          <w:lang w:eastAsia="en-AU"/>
        </w:rPr>
        <w:t xml:space="preserve">The objectives of the </w:t>
      </w:r>
      <w:r w:rsidR="002E6DF5">
        <w:rPr>
          <w:lang w:eastAsia="en-AU"/>
        </w:rPr>
        <w:t>TCF</w:t>
      </w:r>
      <w:r w:rsidR="00A12660">
        <w:rPr>
          <w:lang w:eastAsia="en-AU"/>
        </w:rPr>
        <w:t xml:space="preserve"> Campaign</w:t>
      </w:r>
      <w:r>
        <w:rPr>
          <w:lang w:eastAsia="en-AU"/>
        </w:rPr>
        <w:t xml:space="preserve"> were</w:t>
      </w:r>
      <w:r w:rsidR="00A12660">
        <w:rPr>
          <w:lang w:eastAsia="en-AU"/>
        </w:rPr>
        <w:t xml:space="preserve"> </w:t>
      </w:r>
      <w:r w:rsidR="00F811E0">
        <w:rPr>
          <w:lang w:eastAsia="en-AU"/>
        </w:rPr>
        <w:t xml:space="preserve">to </w:t>
      </w:r>
      <w:r w:rsidR="002E6DF5">
        <w:rPr>
          <w:lang w:eastAsia="en-AU"/>
        </w:rPr>
        <w:t xml:space="preserve">educate workplace participants about their rights and obligations, and to </w:t>
      </w:r>
      <w:r w:rsidR="00F811E0">
        <w:rPr>
          <w:lang w:eastAsia="en-AU"/>
        </w:rPr>
        <w:t xml:space="preserve">promote compliance </w:t>
      </w:r>
      <w:r w:rsidR="002E6DF5">
        <w:rPr>
          <w:lang w:eastAsia="en-AU"/>
        </w:rPr>
        <w:t>with workplace relations laws.</w:t>
      </w:r>
    </w:p>
    <w:p w:rsidR="007407B7" w:rsidRDefault="007407B7" w:rsidP="001A36DF">
      <w:pPr>
        <w:jc w:val="both"/>
      </w:pPr>
      <w:r>
        <w:rPr>
          <w:lang w:eastAsia="en-AU"/>
        </w:rPr>
        <w:t xml:space="preserve">The FWO considers TCF workers are </w:t>
      </w:r>
      <w:r w:rsidR="00C65679">
        <w:rPr>
          <w:lang w:eastAsia="en-AU"/>
        </w:rPr>
        <w:t>especially vulnerable to exploitation</w:t>
      </w:r>
      <w:r w:rsidR="00183DD6">
        <w:rPr>
          <w:lang w:eastAsia="en-AU"/>
        </w:rPr>
        <w:t xml:space="preserve"> due to</w:t>
      </w:r>
      <w:r w:rsidR="005A3645">
        <w:rPr>
          <w:lang w:eastAsia="en-AU"/>
        </w:rPr>
        <w:t>:</w:t>
      </w:r>
      <w:r w:rsidR="00B41858">
        <w:rPr>
          <w:lang w:eastAsia="en-AU"/>
        </w:rPr>
        <w:t xml:space="preserve"> </w:t>
      </w:r>
      <w:r>
        <w:rPr>
          <w:lang w:eastAsia="en-AU"/>
        </w:rPr>
        <w:t xml:space="preserve"> </w:t>
      </w:r>
    </w:p>
    <w:p w:rsidR="007407B7" w:rsidRDefault="007407B7" w:rsidP="001A36DF">
      <w:pPr>
        <w:pStyle w:val="ListParagraph"/>
        <w:numPr>
          <w:ilvl w:val="0"/>
          <w:numId w:val="29"/>
        </w:numPr>
        <w:contextualSpacing w:val="0"/>
        <w:jc w:val="both"/>
      </w:pPr>
      <w:r>
        <w:rPr>
          <w:lang w:eastAsia="en-AU"/>
        </w:rPr>
        <w:t xml:space="preserve">a high proportion are </w:t>
      </w:r>
      <w:r w:rsidR="00B41858">
        <w:rPr>
          <w:lang w:eastAsia="en-AU"/>
        </w:rPr>
        <w:t xml:space="preserve">mature-aged </w:t>
      </w:r>
      <w:r w:rsidR="00722202">
        <w:rPr>
          <w:lang w:eastAsia="en-AU"/>
        </w:rPr>
        <w:t xml:space="preserve">migrant women, </w:t>
      </w:r>
      <w:r>
        <w:rPr>
          <w:lang w:eastAsia="en-AU"/>
        </w:rPr>
        <w:t>who face cultural and linguistic barriers to understanding and inquiring about their workplace entitlements</w:t>
      </w:r>
      <w:r w:rsidR="00B41858">
        <w:rPr>
          <w:lang w:eastAsia="en-AU"/>
        </w:rPr>
        <w:t xml:space="preserve"> </w:t>
      </w:r>
    </w:p>
    <w:p w:rsidR="00B41858" w:rsidRDefault="00B41858" w:rsidP="001A36DF">
      <w:pPr>
        <w:pStyle w:val="ListParagraph"/>
        <w:numPr>
          <w:ilvl w:val="0"/>
          <w:numId w:val="29"/>
        </w:numPr>
        <w:contextualSpacing w:val="0"/>
        <w:jc w:val="both"/>
      </w:pPr>
      <w:r>
        <w:rPr>
          <w:lang w:eastAsia="en-AU"/>
        </w:rPr>
        <w:t>an unverified</w:t>
      </w:r>
      <w:r w:rsidR="006A6188">
        <w:rPr>
          <w:lang w:eastAsia="en-AU"/>
        </w:rPr>
        <w:t xml:space="preserve"> </w:t>
      </w:r>
      <w:r>
        <w:rPr>
          <w:lang w:eastAsia="en-AU"/>
        </w:rPr>
        <w:t>number are outworkers, who work away from business premises (often at home)</w:t>
      </w:r>
      <w:r w:rsidR="00864CEA">
        <w:rPr>
          <w:lang w:eastAsia="en-AU"/>
        </w:rPr>
        <w:t xml:space="preserve"> at the end of </w:t>
      </w:r>
      <w:r w:rsidR="006A6188">
        <w:rPr>
          <w:lang w:eastAsia="en-AU"/>
        </w:rPr>
        <w:t xml:space="preserve">long and </w:t>
      </w:r>
      <w:r w:rsidR="00864CEA">
        <w:rPr>
          <w:lang w:eastAsia="en-AU"/>
        </w:rPr>
        <w:t xml:space="preserve">complex production </w:t>
      </w:r>
      <w:r>
        <w:rPr>
          <w:lang w:eastAsia="en-AU"/>
        </w:rPr>
        <w:t>supply chains</w:t>
      </w:r>
      <w:r w:rsidR="00612FD6">
        <w:rPr>
          <w:lang w:eastAsia="en-AU"/>
        </w:rPr>
        <w:t xml:space="preserve"> - and </w:t>
      </w:r>
      <w:r w:rsidR="00555411">
        <w:rPr>
          <w:lang w:eastAsia="en-AU"/>
        </w:rPr>
        <w:t xml:space="preserve">are </w:t>
      </w:r>
      <w:r w:rsidR="005A3645">
        <w:rPr>
          <w:lang w:eastAsia="en-AU"/>
        </w:rPr>
        <w:t>therefore difficult to identify</w:t>
      </w:r>
      <w:r w:rsidR="00612FD6">
        <w:rPr>
          <w:lang w:eastAsia="en-AU"/>
        </w:rPr>
        <w:t>, or ‘hidden’</w:t>
      </w:r>
    </w:p>
    <w:p w:rsidR="006A6188" w:rsidRDefault="00555411" w:rsidP="001A36DF">
      <w:pPr>
        <w:pStyle w:val="ListParagraph"/>
        <w:numPr>
          <w:ilvl w:val="0"/>
          <w:numId w:val="29"/>
        </w:numPr>
        <w:contextualSpacing w:val="0"/>
        <w:jc w:val="both"/>
      </w:pPr>
      <w:proofErr w:type="gramStart"/>
      <w:r>
        <w:rPr>
          <w:lang w:eastAsia="en-AU"/>
        </w:rPr>
        <w:t>the</w:t>
      </w:r>
      <w:proofErr w:type="gramEnd"/>
      <w:r w:rsidR="005A3645">
        <w:rPr>
          <w:lang w:eastAsia="en-AU"/>
        </w:rPr>
        <w:t xml:space="preserve"> pressure </w:t>
      </w:r>
      <w:r>
        <w:rPr>
          <w:lang w:eastAsia="en-AU"/>
        </w:rPr>
        <w:t xml:space="preserve">on domestic businesses </w:t>
      </w:r>
      <w:r w:rsidR="00C65679">
        <w:rPr>
          <w:lang w:eastAsia="en-AU"/>
        </w:rPr>
        <w:t xml:space="preserve">to remain cost-competitive </w:t>
      </w:r>
      <w:r w:rsidR="00AB71D6">
        <w:rPr>
          <w:lang w:eastAsia="en-AU"/>
        </w:rPr>
        <w:t xml:space="preserve">in the context of </w:t>
      </w:r>
      <w:r w:rsidR="007407B7">
        <w:rPr>
          <w:lang w:eastAsia="en-AU"/>
        </w:rPr>
        <w:t>reduced import tariffs</w:t>
      </w:r>
      <w:r w:rsidR="00CE4D35">
        <w:rPr>
          <w:lang w:eastAsia="en-AU"/>
        </w:rPr>
        <w:t>,</w:t>
      </w:r>
      <w:r w:rsidR="007407B7">
        <w:rPr>
          <w:lang w:eastAsia="en-AU"/>
        </w:rPr>
        <w:t xml:space="preserve"> and increasing competition from overseas manufacturers.</w:t>
      </w:r>
    </w:p>
    <w:p w:rsidR="004563BA" w:rsidRDefault="00E247BF" w:rsidP="00A57592">
      <w:pPr>
        <w:pStyle w:val="ListParagraph"/>
        <w:ind w:left="0"/>
        <w:contextualSpacing w:val="0"/>
        <w:jc w:val="both"/>
        <w:rPr>
          <w:rFonts w:eastAsia="Calibri" w:cs="Times New Roman"/>
          <w:color w:val="365F91" w:themeColor="accent1" w:themeShade="BF"/>
          <w:szCs w:val="22"/>
          <w:lang w:eastAsia="en-AU"/>
        </w:rPr>
      </w:pPr>
      <w:r>
        <w:t xml:space="preserve">These </w:t>
      </w:r>
      <w:r w:rsidR="00DF70A0">
        <w:t>factors</w:t>
      </w:r>
      <w:r>
        <w:t xml:space="preserve"> may explain why</w:t>
      </w:r>
      <w:r w:rsidR="00DF70A0">
        <w:t xml:space="preserve"> the TCF </w:t>
      </w:r>
      <w:r w:rsidR="00CF666B">
        <w:t>sector</w:t>
      </w:r>
      <w:r w:rsidR="00DF70A0">
        <w:t xml:space="preserve"> </w:t>
      </w:r>
      <w:r>
        <w:t>is</w:t>
      </w:r>
      <w:r w:rsidR="00DF70A0">
        <w:t xml:space="preserve"> under-represented in the number of workplace disputes the FWO has received </w:t>
      </w:r>
      <w:r>
        <w:t>from</w:t>
      </w:r>
      <w:r w:rsidR="00DF70A0">
        <w:t xml:space="preserve"> workers</w:t>
      </w:r>
      <w:r>
        <w:t xml:space="preserve"> in the sector</w:t>
      </w:r>
      <w:r w:rsidR="00183DD6">
        <w:t>.</w:t>
      </w:r>
      <w:r w:rsidR="00DF70A0">
        <w:rPr>
          <w:rStyle w:val="FootnoteReference"/>
        </w:rPr>
        <w:footnoteReference w:id="6"/>
      </w:r>
      <w:r w:rsidR="00DF70A0">
        <w:t xml:space="preserve"> </w:t>
      </w:r>
      <w:r w:rsidR="004563BA">
        <w:br w:type="page"/>
      </w:r>
    </w:p>
    <w:p w:rsidR="004563BA" w:rsidRDefault="004563BA" w:rsidP="00660F3B">
      <w:pPr>
        <w:pStyle w:val="Heading3"/>
        <w:spacing w:before="0" w:line="360" w:lineRule="auto"/>
      </w:pPr>
      <w:r w:rsidRPr="00022CD1">
        <w:lastRenderedPageBreak/>
        <w:t xml:space="preserve">National Textile, Clothing and Footwear (TCF) Campaign </w:t>
      </w:r>
      <w:r w:rsidR="005271EC">
        <w:t xml:space="preserve">- </w:t>
      </w:r>
      <w:r w:rsidR="006D4453">
        <w:t>e</w:t>
      </w:r>
      <w:r>
        <w:t xml:space="preserve">ducation </w:t>
      </w:r>
      <w:r w:rsidR="006D4453">
        <w:t>p</w:t>
      </w:r>
      <w:r w:rsidRPr="00022CD1">
        <w:t xml:space="preserve">hase </w:t>
      </w:r>
    </w:p>
    <w:p w:rsidR="00D46829" w:rsidRPr="00E247BF" w:rsidRDefault="00E247BF" w:rsidP="00660F3B">
      <w:pPr>
        <w:jc w:val="both"/>
      </w:pPr>
      <w:r>
        <w:t>The Campaign’s</w:t>
      </w:r>
      <w:r w:rsidR="00D46829" w:rsidRPr="00E247BF">
        <w:t xml:space="preserve"> initial </w:t>
      </w:r>
      <w:r w:rsidR="00FD67C3" w:rsidRPr="00E247BF">
        <w:t xml:space="preserve">education phase </w:t>
      </w:r>
      <w:r w:rsidR="00D46829" w:rsidRPr="00E247BF">
        <w:t>involved extensive consultation with</w:t>
      </w:r>
      <w:r w:rsidR="00FD67C3" w:rsidRPr="00E247BF">
        <w:t xml:space="preserve"> </w:t>
      </w:r>
      <w:r w:rsidR="00D46829" w:rsidRPr="00E247BF">
        <w:t>industry stakeholders</w:t>
      </w:r>
      <w:r>
        <w:t xml:space="preserve">, employers, workers </w:t>
      </w:r>
      <w:r w:rsidR="00D46829" w:rsidRPr="00E247BF">
        <w:t>and community organizations</w:t>
      </w:r>
      <w:r w:rsidR="00DF70A0" w:rsidRPr="00E247BF">
        <w:t xml:space="preserve"> </w:t>
      </w:r>
      <w:r w:rsidR="00D46829" w:rsidRPr="00E247BF">
        <w:t xml:space="preserve">and a dedicated </w:t>
      </w:r>
      <w:r w:rsidR="00FD67C3" w:rsidRPr="00E247BF">
        <w:t>communication</w:t>
      </w:r>
      <w:r w:rsidR="00D46829" w:rsidRPr="00E247BF">
        <w:t>s</w:t>
      </w:r>
      <w:r w:rsidR="00FD67C3" w:rsidRPr="00E247BF">
        <w:t xml:space="preserve"> campaign</w:t>
      </w:r>
      <w:r w:rsidR="00D46829" w:rsidRPr="00E247BF">
        <w:t xml:space="preserve"> that included:  </w:t>
      </w:r>
    </w:p>
    <w:p w:rsidR="00FD67C3" w:rsidRDefault="00B5409D" w:rsidP="00660F3B">
      <w:pPr>
        <w:pStyle w:val="ListParagraph"/>
        <w:numPr>
          <w:ilvl w:val="0"/>
          <w:numId w:val="24"/>
        </w:numPr>
        <w:ind w:left="357" w:hanging="357"/>
        <w:contextualSpacing w:val="0"/>
      </w:pPr>
      <w:r>
        <w:t>i</w:t>
      </w:r>
      <w:r w:rsidR="00FD67C3">
        <w:t>ndustry</w:t>
      </w:r>
      <w:r>
        <w:t>-</w:t>
      </w:r>
      <w:r w:rsidR="00FD67C3">
        <w:t xml:space="preserve">specific </w:t>
      </w:r>
      <w:r w:rsidR="00E247BF">
        <w:t>information for employers</w:t>
      </w:r>
      <w:r w:rsidR="00FD67C3">
        <w:t xml:space="preserve"> translated into Chinese and Vietnamese</w:t>
      </w:r>
    </w:p>
    <w:p w:rsidR="00B5409D" w:rsidRDefault="00B5409D" w:rsidP="00660F3B">
      <w:pPr>
        <w:pStyle w:val="ListParagraph"/>
        <w:numPr>
          <w:ilvl w:val="0"/>
          <w:numId w:val="24"/>
        </w:numPr>
        <w:ind w:left="357" w:hanging="357"/>
        <w:contextualSpacing w:val="0"/>
      </w:pPr>
      <w:r>
        <w:rPr>
          <w:szCs w:val="22"/>
        </w:rPr>
        <w:t xml:space="preserve">translated </w:t>
      </w:r>
      <w:r w:rsidR="00E247BF">
        <w:rPr>
          <w:szCs w:val="22"/>
        </w:rPr>
        <w:t>resources for workers</w:t>
      </w:r>
    </w:p>
    <w:p w:rsidR="00B5409D" w:rsidRDefault="00B5409D" w:rsidP="00660F3B">
      <w:pPr>
        <w:pStyle w:val="ListParagraph"/>
        <w:numPr>
          <w:ilvl w:val="0"/>
          <w:numId w:val="24"/>
        </w:numPr>
        <w:ind w:left="357" w:hanging="357"/>
        <w:contextualSpacing w:val="0"/>
        <w:rPr>
          <w:rFonts w:ascii="Arial" w:hAnsi="Arial"/>
          <w:szCs w:val="22"/>
        </w:rPr>
      </w:pPr>
      <w:r>
        <w:rPr>
          <w:szCs w:val="22"/>
        </w:rPr>
        <w:t>in-language radio and print advertising in Chinese &amp; Vietnamese</w:t>
      </w:r>
    </w:p>
    <w:p w:rsidR="00E247BF" w:rsidRDefault="00E247BF" w:rsidP="00660F3B">
      <w:pPr>
        <w:pStyle w:val="ListParagraph"/>
        <w:numPr>
          <w:ilvl w:val="0"/>
          <w:numId w:val="24"/>
        </w:numPr>
        <w:ind w:left="357" w:hanging="357"/>
        <w:contextualSpacing w:val="0"/>
      </w:pPr>
      <w:proofErr w:type="gramStart"/>
      <w:r>
        <w:t>social</w:t>
      </w:r>
      <w:proofErr w:type="gramEnd"/>
      <w:r>
        <w:t xml:space="preserve"> media posts and media statements.</w:t>
      </w:r>
    </w:p>
    <w:p w:rsidR="00967B3B" w:rsidRDefault="00967B3B" w:rsidP="00660F3B">
      <w:pPr>
        <w:pStyle w:val="Heading3"/>
        <w:spacing w:before="0" w:line="360" w:lineRule="auto"/>
      </w:pPr>
      <w:r w:rsidRPr="00022CD1">
        <w:t xml:space="preserve">National Textile, Clothing and Footwear (TCF) Campaign </w:t>
      </w:r>
      <w:r w:rsidR="005436FD">
        <w:t>-</w:t>
      </w:r>
      <w:r w:rsidRPr="00022CD1">
        <w:t xml:space="preserve"> </w:t>
      </w:r>
      <w:r w:rsidR="006D4453">
        <w:t>c</w:t>
      </w:r>
      <w:r>
        <w:t xml:space="preserve">ompliance </w:t>
      </w:r>
      <w:r w:rsidR="006D4453">
        <w:t>p</w:t>
      </w:r>
      <w:r w:rsidRPr="00022CD1">
        <w:t xml:space="preserve">hase </w:t>
      </w:r>
    </w:p>
    <w:p w:rsidR="005F25F4" w:rsidRDefault="00597437" w:rsidP="00660F3B">
      <w:pPr>
        <w:jc w:val="both"/>
        <w:rPr>
          <w:rFonts w:cstheme="minorHAnsi"/>
        </w:rPr>
      </w:pPr>
      <w:r>
        <w:rPr>
          <w:rFonts w:cstheme="minorHAnsi"/>
        </w:rPr>
        <w:t xml:space="preserve">The objective of </w:t>
      </w:r>
      <w:r w:rsidR="00CE4D35">
        <w:rPr>
          <w:rFonts w:cstheme="minorHAnsi"/>
        </w:rPr>
        <w:t>the second phase was</w:t>
      </w:r>
      <w:r w:rsidR="00FE4CAC">
        <w:rPr>
          <w:rFonts w:cstheme="minorHAnsi"/>
        </w:rPr>
        <w:t xml:space="preserve"> to deliver a compliance </w:t>
      </w:r>
      <w:r w:rsidR="00AA1819">
        <w:rPr>
          <w:rFonts w:cstheme="minorHAnsi"/>
        </w:rPr>
        <w:t xml:space="preserve">activity </w:t>
      </w:r>
      <w:r w:rsidR="00FE4CAC">
        <w:rPr>
          <w:rFonts w:cstheme="minorHAnsi"/>
        </w:rPr>
        <w:t>focus</w:t>
      </w:r>
      <w:r w:rsidR="00CE4D35">
        <w:rPr>
          <w:rFonts w:cstheme="minorHAnsi"/>
        </w:rPr>
        <w:t>s</w:t>
      </w:r>
      <w:r w:rsidR="006E7EAF">
        <w:rPr>
          <w:rFonts w:cstheme="minorHAnsi"/>
        </w:rPr>
        <w:t>ed</w:t>
      </w:r>
      <w:r w:rsidR="00FE4CAC">
        <w:rPr>
          <w:rFonts w:cstheme="minorHAnsi"/>
        </w:rPr>
        <w:t xml:space="preserve"> on businesses</w:t>
      </w:r>
      <w:r w:rsidR="00CE4D35">
        <w:rPr>
          <w:rFonts w:cstheme="minorHAnsi"/>
        </w:rPr>
        <w:t xml:space="preserve"> </w:t>
      </w:r>
      <w:r w:rsidR="006E7EAF">
        <w:rPr>
          <w:rFonts w:cstheme="minorHAnsi"/>
        </w:rPr>
        <w:t>that had been</w:t>
      </w:r>
      <w:r w:rsidR="00CE4D35">
        <w:rPr>
          <w:rFonts w:cstheme="minorHAnsi"/>
        </w:rPr>
        <w:t xml:space="preserve"> </w:t>
      </w:r>
      <w:r w:rsidR="00FE4CAC">
        <w:rPr>
          <w:rFonts w:cstheme="minorHAnsi"/>
        </w:rPr>
        <w:t>educat</w:t>
      </w:r>
      <w:r w:rsidR="00B5409D">
        <w:rPr>
          <w:rFonts w:cstheme="minorHAnsi"/>
        </w:rPr>
        <w:t xml:space="preserve">ed </w:t>
      </w:r>
      <w:r w:rsidR="00022CD1">
        <w:rPr>
          <w:rFonts w:cstheme="minorHAnsi"/>
        </w:rPr>
        <w:t>about</w:t>
      </w:r>
      <w:r w:rsidR="00B5409D">
        <w:rPr>
          <w:rFonts w:cstheme="minorHAnsi"/>
        </w:rPr>
        <w:t xml:space="preserve"> </w:t>
      </w:r>
      <w:r w:rsidR="00967B3B">
        <w:rPr>
          <w:rFonts w:cstheme="minorHAnsi"/>
        </w:rPr>
        <w:t xml:space="preserve">their </w:t>
      </w:r>
      <w:r w:rsidR="00B5409D">
        <w:rPr>
          <w:rFonts w:cstheme="minorHAnsi"/>
        </w:rPr>
        <w:t>industry</w:t>
      </w:r>
      <w:r w:rsidR="00967B3B">
        <w:rPr>
          <w:rFonts w:cstheme="minorHAnsi"/>
        </w:rPr>
        <w:t>-</w:t>
      </w:r>
      <w:r w:rsidR="00B5409D">
        <w:rPr>
          <w:rFonts w:cstheme="minorHAnsi"/>
        </w:rPr>
        <w:t>specific obligation</w:t>
      </w:r>
      <w:r w:rsidR="00022CD1">
        <w:rPr>
          <w:rFonts w:cstheme="minorHAnsi"/>
        </w:rPr>
        <w:t>s</w:t>
      </w:r>
      <w:r w:rsidR="00FE4CAC">
        <w:rPr>
          <w:rFonts w:cstheme="minorHAnsi"/>
        </w:rPr>
        <w:t xml:space="preserve"> in </w:t>
      </w:r>
      <w:r w:rsidR="00CE4D35">
        <w:rPr>
          <w:rFonts w:cstheme="minorHAnsi"/>
        </w:rPr>
        <w:t xml:space="preserve">the </w:t>
      </w:r>
      <w:r w:rsidR="00967B3B">
        <w:rPr>
          <w:rFonts w:cstheme="minorHAnsi"/>
        </w:rPr>
        <w:t xml:space="preserve">preceding </w:t>
      </w:r>
      <w:r w:rsidR="00CE4D35">
        <w:rPr>
          <w:rFonts w:cstheme="minorHAnsi"/>
        </w:rPr>
        <w:t>phase.</w:t>
      </w:r>
      <w:r w:rsidR="00B5409D">
        <w:rPr>
          <w:rFonts w:cstheme="minorHAnsi"/>
        </w:rPr>
        <w:t xml:space="preserve"> </w:t>
      </w:r>
      <w:r w:rsidR="00022CD1">
        <w:rPr>
          <w:rFonts w:cstheme="minorHAnsi"/>
        </w:rPr>
        <w:t>The activity also</w:t>
      </w:r>
      <w:r w:rsidR="00B5409D">
        <w:rPr>
          <w:rFonts w:cstheme="minorHAnsi"/>
        </w:rPr>
        <w:t xml:space="preserve"> </w:t>
      </w:r>
      <w:r w:rsidR="00022CD1">
        <w:rPr>
          <w:rFonts w:cstheme="minorHAnsi"/>
        </w:rPr>
        <w:t xml:space="preserve">targeted additional businesses in supply chains identified in the earlier interactions, and </w:t>
      </w:r>
      <w:r w:rsidR="00B5409D">
        <w:rPr>
          <w:rFonts w:cstheme="minorHAnsi"/>
        </w:rPr>
        <w:t xml:space="preserve">businesses </w:t>
      </w:r>
      <w:r w:rsidR="00967B3B">
        <w:rPr>
          <w:rFonts w:cstheme="minorHAnsi"/>
        </w:rPr>
        <w:t>of interest named by stakeholders</w:t>
      </w:r>
      <w:r w:rsidR="00022CD1">
        <w:rPr>
          <w:rFonts w:cstheme="minorHAnsi"/>
        </w:rPr>
        <w:t>.</w:t>
      </w:r>
      <w:r w:rsidR="00967B3B">
        <w:rPr>
          <w:rFonts w:cstheme="minorHAnsi"/>
        </w:rPr>
        <w:t xml:space="preserve"> </w:t>
      </w:r>
      <w:r w:rsidR="004D2DE0">
        <w:rPr>
          <w:rFonts w:cstheme="minorHAnsi"/>
        </w:rPr>
        <w:t xml:space="preserve"> </w:t>
      </w:r>
    </w:p>
    <w:p w:rsidR="00B57636" w:rsidRDefault="006E56F3" w:rsidP="00660F3B">
      <w:pPr>
        <w:pStyle w:val="Heading3"/>
        <w:spacing w:before="0" w:line="360" w:lineRule="auto"/>
      </w:pPr>
      <w:r w:rsidRPr="006E56F3">
        <w:t xml:space="preserve">Stakeholder and </w:t>
      </w:r>
      <w:r w:rsidR="005271EC">
        <w:t>c</w:t>
      </w:r>
      <w:r w:rsidRPr="006E56F3">
        <w:t xml:space="preserve">ommunication </w:t>
      </w:r>
      <w:r w:rsidR="005271EC">
        <w:t>a</w:t>
      </w:r>
      <w:r w:rsidRPr="006E56F3">
        <w:t>ctivities</w:t>
      </w:r>
    </w:p>
    <w:p w:rsidR="00AE6FBD" w:rsidRPr="00554B60" w:rsidRDefault="005F25F4" w:rsidP="00660F3B">
      <w:r w:rsidRPr="00073D23">
        <w:rPr>
          <w:rFonts w:cstheme="minorHAnsi"/>
        </w:rPr>
        <w:t>The</w:t>
      </w:r>
      <w:r w:rsidRPr="00554B60">
        <w:t xml:space="preserve"> </w:t>
      </w:r>
      <w:r w:rsidR="00022CD1" w:rsidRPr="00554B60">
        <w:t>FWO contacted k</w:t>
      </w:r>
      <w:r w:rsidR="000F7985" w:rsidRPr="00554B60">
        <w:t xml:space="preserve">ey stakeholders to advise them that the compliance </w:t>
      </w:r>
      <w:r w:rsidR="006E7EAF">
        <w:t xml:space="preserve">phase </w:t>
      </w:r>
      <w:r w:rsidR="000F7985" w:rsidRPr="00554B60">
        <w:t>was commencing</w:t>
      </w:r>
      <w:r w:rsidR="00022CD1" w:rsidRPr="00554B60">
        <w:t>,</w:t>
      </w:r>
      <w:r w:rsidR="000F7985" w:rsidRPr="00554B60">
        <w:t xml:space="preserve"> and to invite them to identify any additional industry participants for inclusion</w:t>
      </w:r>
      <w:r w:rsidR="006E7EAF">
        <w:t>.</w:t>
      </w:r>
      <w:r w:rsidR="006E56F3" w:rsidRPr="006E7EAF">
        <w:rPr>
          <w:rStyle w:val="FootnoteReference"/>
        </w:rPr>
        <w:footnoteReference w:id="7"/>
      </w:r>
      <w:r w:rsidR="00AE6FBD" w:rsidRPr="00554B60">
        <w:t xml:space="preserve"> </w:t>
      </w:r>
      <w:r w:rsidR="00554B60" w:rsidRPr="00554B60">
        <w:t>S</w:t>
      </w:r>
      <w:r w:rsidR="00AE6FBD" w:rsidRPr="00554B60">
        <w:t>takeholders included (but were not limited to):</w:t>
      </w:r>
    </w:p>
    <w:p w:rsidR="00AE6FBD" w:rsidRPr="00AE6FBD" w:rsidRDefault="00AE6FBD" w:rsidP="00660F3B">
      <w:pPr>
        <w:pStyle w:val="ListParagraph"/>
        <w:numPr>
          <w:ilvl w:val="0"/>
          <w:numId w:val="24"/>
        </w:numPr>
        <w:ind w:left="357" w:hanging="357"/>
        <w:contextualSpacing w:val="0"/>
        <w:rPr>
          <w:szCs w:val="22"/>
        </w:rPr>
      </w:pPr>
      <w:r w:rsidRPr="00AE6FBD">
        <w:rPr>
          <w:szCs w:val="22"/>
        </w:rPr>
        <w:t xml:space="preserve">Department of Employment </w:t>
      </w:r>
    </w:p>
    <w:p w:rsidR="00AE6FBD" w:rsidRPr="00AE6FBD" w:rsidRDefault="00AE6FBD" w:rsidP="00660F3B">
      <w:pPr>
        <w:pStyle w:val="ListParagraph"/>
        <w:numPr>
          <w:ilvl w:val="0"/>
          <w:numId w:val="24"/>
        </w:numPr>
        <w:ind w:left="357" w:hanging="357"/>
        <w:contextualSpacing w:val="0"/>
        <w:rPr>
          <w:szCs w:val="22"/>
        </w:rPr>
      </w:pPr>
      <w:r w:rsidRPr="00AE6FBD">
        <w:rPr>
          <w:szCs w:val="22"/>
        </w:rPr>
        <w:t>Department of Immigration and Border Protection</w:t>
      </w:r>
    </w:p>
    <w:p w:rsidR="00AE6FBD" w:rsidRPr="00AE6FBD" w:rsidRDefault="00AE6FBD" w:rsidP="00660F3B">
      <w:pPr>
        <w:pStyle w:val="ListParagraph"/>
        <w:numPr>
          <w:ilvl w:val="0"/>
          <w:numId w:val="24"/>
        </w:numPr>
        <w:ind w:left="357" w:hanging="357"/>
        <w:contextualSpacing w:val="0"/>
        <w:rPr>
          <w:szCs w:val="22"/>
        </w:rPr>
      </w:pPr>
      <w:r w:rsidRPr="00AE6FBD">
        <w:rPr>
          <w:szCs w:val="22"/>
        </w:rPr>
        <w:t xml:space="preserve">Australian Taxation Office </w:t>
      </w:r>
    </w:p>
    <w:p w:rsidR="00AE6FBD" w:rsidRPr="00AE6FBD" w:rsidRDefault="00AE6FBD" w:rsidP="00660F3B">
      <w:pPr>
        <w:pStyle w:val="ListParagraph"/>
        <w:numPr>
          <w:ilvl w:val="0"/>
          <w:numId w:val="24"/>
        </w:numPr>
        <w:ind w:left="357" w:hanging="357"/>
        <w:contextualSpacing w:val="0"/>
        <w:rPr>
          <w:szCs w:val="22"/>
        </w:rPr>
      </w:pPr>
      <w:r w:rsidRPr="00AE6FBD">
        <w:rPr>
          <w:szCs w:val="22"/>
        </w:rPr>
        <w:t>State/territory Work Cover agencies</w:t>
      </w:r>
    </w:p>
    <w:p w:rsidR="00AE6FBD" w:rsidRPr="00AE6FBD" w:rsidRDefault="00AE6FBD" w:rsidP="00660F3B">
      <w:pPr>
        <w:pStyle w:val="ListParagraph"/>
        <w:numPr>
          <w:ilvl w:val="0"/>
          <w:numId w:val="24"/>
        </w:numPr>
        <w:ind w:left="357" w:hanging="357"/>
        <w:contextualSpacing w:val="0"/>
        <w:rPr>
          <w:szCs w:val="22"/>
        </w:rPr>
      </w:pPr>
      <w:r w:rsidRPr="00AE6FBD">
        <w:rPr>
          <w:szCs w:val="22"/>
        </w:rPr>
        <w:t>Australian Industry Group</w:t>
      </w:r>
    </w:p>
    <w:p w:rsidR="00AE6FBD" w:rsidRPr="00AE6FBD" w:rsidRDefault="00AE6FBD" w:rsidP="00660F3B">
      <w:pPr>
        <w:pStyle w:val="ListParagraph"/>
        <w:numPr>
          <w:ilvl w:val="0"/>
          <w:numId w:val="24"/>
        </w:numPr>
        <w:ind w:left="357" w:hanging="357"/>
        <w:contextualSpacing w:val="0"/>
        <w:rPr>
          <w:szCs w:val="22"/>
        </w:rPr>
      </w:pPr>
      <w:r w:rsidRPr="00AE6FBD">
        <w:rPr>
          <w:szCs w:val="22"/>
        </w:rPr>
        <w:t>Australian Chamber of Commerce and Industry</w:t>
      </w:r>
    </w:p>
    <w:p w:rsidR="00AE6FBD" w:rsidRPr="00AE6FBD" w:rsidRDefault="00AE6FBD" w:rsidP="00660F3B">
      <w:pPr>
        <w:pStyle w:val="ListParagraph"/>
        <w:numPr>
          <w:ilvl w:val="0"/>
          <w:numId w:val="24"/>
        </w:numPr>
        <w:ind w:left="357" w:hanging="357"/>
        <w:contextualSpacing w:val="0"/>
        <w:rPr>
          <w:szCs w:val="22"/>
        </w:rPr>
      </w:pPr>
      <w:r w:rsidRPr="00AE6FBD">
        <w:rPr>
          <w:szCs w:val="22"/>
        </w:rPr>
        <w:t>Council of Textile and Fashion Industries Australia</w:t>
      </w:r>
    </w:p>
    <w:p w:rsidR="00AE6FBD" w:rsidRPr="00AE6FBD" w:rsidRDefault="00AE6FBD" w:rsidP="00660F3B">
      <w:pPr>
        <w:pStyle w:val="ListParagraph"/>
        <w:numPr>
          <w:ilvl w:val="0"/>
          <w:numId w:val="24"/>
        </w:numPr>
        <w:ind w:left="357" w:hanging="357"/>
        <w:contextualSpacing w:val="0"/>
        <w:rPr>
          <w:szCs w:val="22"/>
        </w:rPr>
      </w:pPr>
      <w:r w:rsidRPr="00AE6FBD">
        <w:rPr>
          <w:szCs w:val="22"/>
        </w:rPr>
        <w:t>Textile, Clothing and Footwear Union Australia</w:t>
      </w:r>
    </w:p>
    <w:p w:rsidR="00AE6FBD" w:rsidRPr="00AE6FBD" w:rsidRDefault="00AE6FBD" w:rsidP="00660F3B">
      <w:pPr>
        <w:pStyle w:val="ListParagraph"/>
        <w:numPr>
          <w:ilvl w:val="0"/>
          <w:numId w:val="24"/>
        </w:numPr>
        <w:ind w:left="357" w:hanging="357"/>
        <w:contextualSpacing w:val="0"/>
        <w:rPr>
          <w:szCs w:val="22"/>
        </w:rPr>
      </w:pPr>
      <w:r w:rsidRPr="00AE6FBD">
        <w:rPr>
          <w:szCs w:val="22"/>
        </w:rPr>
        <w:t>Asian Women At Work</w:t>
      </w:r>
    </w:p>
    <w:p w:rsidR="00AE6FBD" w:rsidRPr="00AE6FBD" w:rsidRDefault="00AE6FBD" w:rsidP="00660F3B">
      <w:pPr>
        <w:pStyle w:val="ListParagraph"/>
        <w:numPr>
          <w:ilvl w:val="0"/>
          <w:numId w:val="24"/>
        </w:numPr>
        <w:ind w:left="357" w:hanging="357"/>
        <w:contextualSpacing w:val="0"/>
        <w:rPr>
          <w:szCs w:val="22"/>
        </w:rPr>
      </w:pPr>
      <w:r w:rsidRPr="00AE6FBD">
        <w:rPr>
          <w:szCs w:val="22"/>
        </w:rPr>
        <w:t>Immigrant Women’s Speak Out</w:t>
      </w:r>
    </w:p>
    <w:p w:rsidR="00AE6FBD" w:rsidRPr="00AE6FBD" w:rsidRDefault="00AE6FBD" w:rsidP="00660F3B">
      <w:pPr>
        <w:pStyle w:val="ListParagraph"/>
        <w:numPr>
          <w:ilvl w:val="0"/>
          <w:numId w:val="24"/>
        </w:numPr>
        <w:ind w:left="357" w:hanging="357"/>
        <w:contextualSpacing w:val="0"/>
        <w:rPr>
          <w:szCs w:val="22"/>
        </w:rPr>
      </w:pPr>
      <w:r w:rsidRPr="00AE6FBD">
        <w:rPr>
          <w:szCs w:val="22"/>
        </w:rPr>
        <w:t>Working Women’s Centre SA/NT/QLD</w:t>
      </w:r>
      <w:r w:rsidR="00CF666B">
        <w:rPr>
          <w:szCs w:val="22"/>
        </w:rPr>
        <w:t>.</w:t>
      </w:r>
    </w:p>
    <w:p w:rsidR="00967B3B" w:rsidRPr="00554B60" w:rsidRDefault="00554B60" w:rsidP="004563BA">
      <w:pPr>
        <w:jc w:val="both"/>
        <w:rPr>
          <w:rFonts w:cstheme="minorHAnsi"/>
        </w:rPr>
      </w:pPr>
      <w:r w:rsidRPr="00554B60">
        <w:rPr>
          <w:rFonts w:cstheme="minorHAnsi"/>
        </w:rPr>
        <w:t>Given the extensive nature of the earlier communication campaign, communication activities announcing the commencement of the compliance phase were limited</w:t>
      </w:r>
      <w:r>
        <w:rPr>
          <w:rFonts w:cstheme="minorHAnsi"/>
        </w:rPr>
        <w:t xml:space="preserve"> to stakeholder notification and a media release</w:t>
      </w:r>
      <w:r w:rsidR="005A3881">
        <w:rPr>
          <w:rFonts w:cstheme="minorHAnsi"/>
        </w:rPr>
        <w:t>.</w:t>
      </w:r>
      <w:r>
        <w:rPr>
          <w:rStyle w:val="FootnoteReference"/>
        </w:rPr>
        <w:footnoteReference w:id="8"/>
      </w:r>
    </w:p>
    <w:p w:rsidR="002C5301" w:rsidRDefault="00F97A84" w:rsidP="004563BA">
      <w:pPr>
        <w:jc w:val="both"/>
        <w:rPr>
          <w:rFonts w:cstheme="minorHAnsi"/>
        </w:rPr>
      </w:pPr>
      <w:r>
        <w:rPr>
          <w:rFonts w:cstheme="minorHAnsi"/>
        </w:rPr>
        <w:t>The</w:t>
      </w:r>
      <w:r w:rsidR="00022CD1">
        <w:rPr>
          <w:rFonts w:cstheme="minorHAnsi"/>
        </w:rPr>
        <w:t xml:space="preserve"> FWO </w:t>
      </w:r>
      <w:r w:rsidR="005F25F4">
        <w:rPr>
          <w:rFonts w:cstheme="minorHAnsi"/>
        </w:rPr>
        <w:t>considered several</w:t>
      </w:r>
      <w:r w:rsidR="00022CD1">
        <w:rPr>
          <w:rFonts w:cstheme="minorHAnsi"/>
        </w:rPr>
        <w:t xml:space="preserve"> factors when</w:t>
      </w:r>
      <w:r w:rsidR="005F25F4">
        <w:rPr>
          <w:rFonts w:cstheme="minorHAnsi"/>
        </w:rPr>
        <w:t xml:space="preserve"> selecting business for audit</w:t>
      </w:r>
      <w:r w:rsidR="00022CD1">
        <w:rPr>
          <w:rFonts w:cstheme="minorHAnsi"/>
        </w:rPr>
        <w:t>,</w:t>
      </w:r>
      <w:r w:rsidR="006D7CDD">
        <w:rPr>
          <w:rFonts w:cstheme="minorHAnsi"/>
        </w:rPr>
        <w:t xml:space="preserve"> </w:t>
      </w:r>
      <w:r w:rsidR="002C5301">
        <w:rPr>
          <w:rFonts w:cstheme="minorHAnsi"/>
        </w:rPr>
        <w:t>including:</w:t>
      </w:r>
      <w:r w:rsidR="00EB421F">
        <w:rPr>
          <w:rFonts w:cstheme="minorHAnsi"/>
        </w:rPr>
        <w:t xml:space="preserve"> </w:t>
      </w:r>
    </w:p>
    <w:p w:rsidR="004563BA" w:rsidRDefault="004563BA" w:rsidP="004563BA">
      <w:pPr>
        <w:pStyle w:val="ListParagraph"/>
        <w:numPr>
          <w:ilvl w:val="0"/>
          <w:numId w:val="29"/>
        </w:numPr>
        <w:contextualSpacing w:val="0"/>
        <w:jc w:val="both"/>
        <w:rPr>
          <w:lang w:eastAsia="en-AU"/>
        </w:rPr>
      </w:pPr>
      <w:r>
        <w:rPr>
          <w:lang w:eastAsia="en-AU"/>
        </w:rPr>
        <w:t xml:space="preserve">previous interactions with the FWO </w:t>
      </w:r>
    </w:p>
    <w:p w:rsidR="002C5301" w:rsidRDefault="00B875CA" w:rsidP="004563BA">
      <w:pPr>
        <w:pStyle w:val="ListParagraph"/>
        <w:numPr>
          <w:ilvl w:val="0"/>
          <w:numId w:val="29"/>
        </w:numPr>
        <w:contextualSpacing w:val="0"/>
        <w:jc w:val="both"/>
        <w:rPr>
          <w:lang w:eastAsia="en-AU"/>
        </w:rPr>
      </w:pPr>
      <w:r>
        <w:rPr>
          <w:lang w:eastAsia="en-AU"/>
        </w:rPr>
        <w:t>t</w:t>
      </w:r>
      <w:r w:rsidR="002C5301" w:rsidRPr="00DE0932">
        <w:rPr>
          <w:lang w:eastAsia="en-AU"/>
        </w:rPr>
        <w:t>he level of awareness of workplace laws and industry-specific obligations</w:t>
      </w:r>
    </w:p>
    <w:p w:rsidR="00B875CA" w:rsidRDefault="00B875CA" w:rsidP="004563BA">
      <w:pPr>
        <w:pStyle w:val="ListParagraph"/>
        <w:numPr>
          <w:ilvl w:val="0"/>
          <w:numId w:val="29"/>
        </w:numPr>
        <w:contextualSpacing w:val="0"/>
        <w:jc w:val="both"/>
        <w:rPr>
          <w:lang w:eastAsia="en-AU"/>
        </w:rPr>
      </w:pPr>
      <w:r>
        <w:rPr>
          <w:lang w:eastAsia="en-AU"/>
        </w:rPr>
        <w:t>the use of outworkers</w:t>
      </w:r>
      <w:r w:rsidR="000C75B3">
        <w:rPr>
          <w:lang w:eastAsia="en-AU"/>
        </w:rPr>
        <w:t xml:space="preserve"> or potential use of outworkers in the labour supply chain </w:t>
      </w:r>
      <w:r>
        <w:rPr>
          <w:lang w:eastAsia="en-AU"/>
        </w:rPr>
        <w:t xml:space="preserve"> </w:t>
      </w:r>
    </w:p>
    <w:p w:rsidR="00EB421F" w:rsidRDefault="00B875CA" w:rsidP="004563BA">
      <w:pPr>
        <w:pStyle w:val="ListParagraph"/>
        <w:numPr>
          <w:ilvl w:val="0"/>
          <w:numId w:val="29"/>
        </w:numPr>
        <w:contextualSpacing w:val="0"/>
        <w:jc w:val="both"/>
        <w:rPr>
          <w:lang w:eastAsia="en-AU"/>
        </w:rPr>
      </w:pPr>
      <w:r>
        <w:rPr>
          <w:lang w:eastAsia="en-AU"/>
        </w:rPr>
        <w:t>t</w:t>
      </w:r>
      <w:r w:rsidR="002C5301" w:rsidRPr="00DE0932">
        <w:rPr>
          <w:lang w:eastAsia="en-AU"/>
        </w:rPr>
        <w:t>he risk of non-compliance</w:t>
      </w:r>
    </w:p>
    <w:p w:rsidR="002C5301" w:rsidRPr="00DE0932" w:rsidRDefault="00EB421F" w:rsidP="004563BA">
      <w:pPr>
        <w:pStyle w:val="ListParagraph"/>
        <w:numPr>
          <w:ilvl w:val="0"/>
          <w:numId w:val="29"/>
        </w:numPr>
        <w:contextualSpacing w:val="0"/>
        <w:jc w:val="both"/>
        <w:rPr>
          <w:lang w:eastAsia="en-AU"/>
        </w:rPr>
      </w:pPr>
      <w:r>
        <w:rPr>
          <w:lang w:eastAsia="en-AU"/>
        </w:rPr>
        <w:t xml:space="preserve">the need for on-site assessment to test the accuracy of the employer’s records </w:t>
      </w:r>
      <w:r w:rsidR="002C5301" w:rsidRPr="00DE0932">
        <w:rPr>
          <w:lang w:eastAsia="en-AU"/>
        </w:rPr>
        <w:t xml:space="preserve"> </w:t>
      </w:r>
    </w:p>
    <w:p w:rsidR="002C5301" w:rsidRDefault="00EB421F" w:rsidP="004563BA">
      <w:pPr>
        <w:pStyle w:val="ListParagraph"/>
        <w:numPr>
          <w:ilvl w:val="0"/>
          <w:numId w:val="29"/>
        </w:numPr>
        <w:contextualSpacing w:val="0"/>
        <w:jc w:val="both"/>
        <w:rPr>
          <w:lang w:eastAsia="en-AU"/>
        </w:rPr>
      </w:pPr>
      <w:proofErr w:type="gramStart"/>
      <w:r>
        <w:rPr>
          <w:lang w:eastAsia="en-AU"/>
        </w:rPr>
        <w:t>t</w:t>
      </w:r>
      <w:r w:rsidR="002C5301" w:rsidRPr="00DE0932">
        <w:rPr>
          <w:lang w:eastAsia="en-AU"/>
        </w:rPr>
        <w:t>he</w:t>
      </w:r>
      <w:proofErr w:type="gramEnd"/>
      <w:r w:rsidR="002C5301" w:rsidRPr="00DE0932">
        <w:rPr>
          <w:lang w:eastAsia="en-AU"/>
        </w:rPr>
        <w:t xml:space="preserve"> location of the business</w:t>
      </w:r>
      <w:r w:rsidR="00B875CA">
        <w:rPr>
          <w:lang w:eastAsia="en-AU"/>
        </w:rPr>
        <w:t>.</w:t>
      </w:r>
      <w:r w:rsidR="002C5301" w:rsidRPr="00DE0932">
        <w:rPr>
          <w:lang w:eastAsia="en-AU"/>
        </w:rPr>
        <w:t xml:space="preserve"> </w:t>
      </w:r>
    </w:p>
    <w:p w:rsidR="005865B5" w:rsidRDefault="005865B5" w:rsidP="007B6788">
      <w:pPr>
        <w:pStyle w:val="Heading3"/>
      </w:pPr>
    </w:p>
    <w:p w:rsidR="005865B5" w:rsidRDefault="005865B5" w:rsidP="007B6788">
      <w:pPr>
        <w:pStyle w:val="Heading3"/>
      </w:pPr>
      <w:r>
        <w:t xml:space="preserve">Methodology </w:t>
      </w:r>
    </w:p>
    <w:p w:rsidR="00930A95" w:rsidRDefault="00EB421F" w:rsidP="004563BA">
      <w:pPr>
        <w:jc w:val="both"/>
        <w:rPr>
          <w:lang w:eastAsia="en-AU"/>
        </w:rPr>
      </w:pPr>
      <w:r>
        <w:rPr>
          <w:rFonts w:cstheme="minorHAnsi"/>
        </w:rPr>
        <w:t xml:space="preserve">Fair Work Inspectors </w:t>
      </w:r>
      <w:r w:rsidR="00F97A84">
        <w:rPr>
          <w:rFonts w:cstheme="minorHAnsi"/>
        </w:rPr>
        <w:t>requested</w:t>
      </w:r>
      <w:r w:rsidR="00B875CA">
        <w:rPr>
          <w:rFonts w:cstheme="minorHAnsi"/>
        </w:rPr>
        <w:t xml:space="preserve"> </w:t>
      </w:r>
      <w:r w:rsidR="002C5301">
        <w:rPr>
          <w:rFonts w:cstheme="minorHAnsi"/>
        </w:rPr>
        <w:t>a sample of</w:t>
      </w:r>
      <w:r w:rsidR="00B875CA">
        <w:rPr>
          <w:rFonts w:cstheme="minorHAnsi"/>
        </w:rPr>
        <w:t xml:space="preserve"> workers’ time and wages records for assessment</w:t>
      </w:r>
      <w:r w:rsidR="00A5495B" w:rsidRPr="00A5495B">
        <w:rPr>
          <w:rFonts w:cstheme="minorHAnsi"/>
        </w:rPr>
        <w:t xml:space="preserve"> </w:t>
      </w:r>
      <w:r w:rsidR="00A5495B">
        <w:rPr>
          <w:rFonts w:cstheme="minorHAnsi"/>
        </w:rPr>
        <w:t>from target businesses</w:t>
      </w:r>
      <w:r>
        <w:rPr>
          <w:rFonts w:cstheme="minorHAnsi"/>
        </w:rPr>
        <w:t xml:space="preserve">. </w:t>
      </w:r>
      <w:r w:rsidR="00DF70A0">
        <w:rPr>
          <w:rFonts w:cstheme="minorHAnsi"/>
        </w:rPr>
        <w:t xml:space="preserve">They assessed </w:t>
      </w:r>
      <w:r w:rsidR="006D7CDD">
        <w:rPr>
          <w:rFonts w:cstheme="minorHAnsi"/>
        </w:rPr>
        <w:t xml:space="preserve">business compliance with the </w:t>
      </w:r>
      <w:r w:rsidR="006D7CDD" w:rsidRPr="00E12436">
        <w:rPr>
          <w:rFonts w:cstheme="minorHAnsi"/>
        </w:rPr>
        <w:t xml:space="preserve">requirements of the </w:t>
      </w:r>
      <w:r w:rsidR="006D7CDD" w:rsidRPr="00DE0932">
        <w:rPr>
          <w:rFonts w:cstheme="minorHAnsi"/>
          <w:i/>
        </w:rPr>
        <w:t>Fair Work Act 2009</w:t>
      </w:r>
      <w:r w:rsidR="006D7CDD" w:rsidRPr="00E12436">
        <w:rPr>
          <w:rFonts w:cstheme="minorHAnsi"/>
        </w:rPr>
        <w:t xml:space="preserve"> (the Act), the </w:t>
      </w:r>
      <w:r w:rsidR="006D7CDD" w:rsidRPr="00DE0932">
        <w:rPr>
          <w:rFonts w:cstheme="minorHAnsi"/>
          <w:i/>
        </w:rPr>
        <w:t>Fair Work Regulations 2009</w:t>
      </w:r>
      <w:r w:rsidR="006D7CDD" w:rsidRPr="00E12436">
        <w:rPr>
          <w:rFonts w:cstheme="minorHAnsi"/>
        </w:rPr>
        <w:t xml:space="preserve"> (the Regulations), </w:t>
      </w:r>
      <w:r w:rsidR="006D7CDD">
        <w:rPr>
          <w:rFonts w:cstheme="minorHAnsi"/>
        </w:rPr>
        <w:t xml:space="preserve">and </w:t>
      </w:r>
      <w:r w:rsidR="00930A95">
        <w:rPr>
          <w:rFonts w:cstheme="minorHAnsi"/>
        </w:rPr>
        <w:t>the applicable Modern Award</w:t>
      </w:r>
      <w:r w:rsidR="006D7CDD">
        <w:rPr>
          <w:rFonts w:cstheme="minorHAnsi"/>
        </w:rPr>
        <w:t xml:space="preserve">. </w:t>
      </w:r>
      <w:r w:rsidR="00930A95" w:rsidRPr="0074036C">
        <w:rPr>
          <w:rFonts w:cstheme="minorHAnsi"/>
        </w:rPr>
        <w:t>In most cases, this was the</w:t>
      </w:r>
      <w:r w:rsidR="0074036C" w:rsidRPr="0074036C">
        <w:rPr>
          <w:rFonts w:ascii="Calibri" w:hAnsi="Calibri" w:cs="Calibri"/>
          <w:b/>
          <w:bCs/>
          <w:color w:val="232323"/>
        </w:rPr>
        <w:t xml:space="preserve"> </w:t>
      </w:r>
      <w:r w:rsidR="006C1521" w:rsidRPr="0074036C">
        <w:rPr>
          <w:lang w:eastAsia="en-AU"/>
        </w:rPr>
        <w:t>TCF</w:t>
      </w:r>
      <w:r w:rsidR="00C07122" w:rsidRPr="0074036C">
        <w:rPr>
          <w:lang w:eastAsia="en-AU"/>
        </w:rPr>
        <w:t xml:space="preserve"> </w:t>
      </w:r>
      <w:r w:rsidR="00970A09" w:rsidRPr="0074036C">
        <w:rPr>
          <w:lang w:eastAsia="en-AU"/>
        </w:rPr>
        <w:t>Award</w:t>
      </w:r>
      <w:r w:rsidR="00930A95" w:rsidRPr="0074036C">
        <w:rPr>
          <w:lang w:eastAsia="en-AU"/>
        </w:rPr>
        <w:t>.</w:t>
      </w:r>
    </w:p>
    <w:p w:rsidR="00163F77" w:rsidRDefault="00163F77" w:rsidP="004563BA">
      <w:pPr>
        <w:jc w:val="both"/>
        <w:rPr>
          <w:lang w:eastAsia="en-AU"/>
        </w:rPr>
      </w:pPr>
      <w:r>
        <w:rPr>
          <w:rFonts w:cstheme="minorHAnsi"/>
        </w:rPr>
        <w:t xml:space="preserve">The FWO </w:t>
      </w:r>
      <w:r w:rsidR="00CE5808">
        <w:rPr>
          <w:rFonts w:cstheme="minorHAnsi"/>
        </w:rPr>
        <w:t xml:space="preserve">was able to </w:t>
      </w:r>
      <w:r>
        <w:rPr>
          <w:rFonts w:cstheme="minorHAnsi"/>
        </w:rPr>
        <w:t xml:space="preserve">confirm that </w:t>
      </w:r>
      <w:r w:rsidR="00FC624B">
        <w:rPr>
          <w:rFonts w:cstheme="minorHAnsi"/>
        </w:rPr>
        <w:t>46</w:t>
      </w:r>
      <w:r>
        <w:rPr>
          <w:rFonts w:cstheme="minorHAnsi"/>
        </w:rPr>
        <w:t xml:space="preserve"> of these businesses directly engaged outworkers and identified 1</w:t>
      </w:r>
      <w:r w:rsidR="00FC624B">
        <w:rPr>
          <w:rFonts w:cstheme="minorHAnsi"/>
        </w:rPr>
        <w:t>09</w:t>
      </w:r>
      <w:r>
        <w:rPr>
          <w:rFonts w:cstheme="minorHAnsi"/>
        </w:rPr>
        <w:t xml:space="preserve"> outworkers </w:t>
      </w:r>
      <w:r w:rsidR="00CE5808">
        <w:rPr>
          <w:rFonts w:cstheme="minorHAnsi"/>
        </w:rPr>
        <w:t>at the end of lab</w:t>
      </w:r>
      <w:r>
        <w:rPr>
          <w:rFonts w:cstheme="minorHAnsi"/>
        </w:rPr>
        <w:t>our</w:t>
      </w:r>
      <w:r w:rsidR="00FF2DAF">
        <w:rPr>
          <w:rFonts w:cstheme="minorHAnsi"/>
        </w:rPr>
        <w:t xml:space="preserve"> </w:t>
      </w:r>
      <w:r>
        <w:rPr>
          <w:rFonts w:cstheme="minorHAnsi"/>
        </w:rPr>
        <w:t>supply chains.</w:t>
      </w:r>
    </w:p>
    <w:p w:rsidR="00035D15" w:rsidRDefault="00177AC6" w:rsidP="00F97F7F">
      <w:pPr>
        <w:jc w:val="both"/>
        <w:rPr>
          <w:rFonts w:cstheme="minorHAnsi"/>
        </w:rPr>
      </w:pPr>
      <w:r>
        <w:rPr>
          <w:rFonts w:cstheme="minorHAnsi"/>
        </w:rPr>
        <w:t xml:space="preserve">Fair Work Inspectors </w:t>
      </w:r>
      <w:r w:rsidR="00882384">
        <w:rPr>
          <w:rFonts w:cstheme="minorHAnsi"/>
        </w:rPr>
        <w:t xml:space="preserve">required </w:t>
      </w:r>
      <w:r w:rsidR="00163F77">
        <w:rPr>
          <w:rFonts w:cstheme="minorHAnsi"/>
        </w:rPr>
        <w:t xml:space="preserve">any </w:t>
      </w:r>
      <w:r w:rsidR="00882384">
        <w:rPr>
          <w:rFonts w:cstheme="minorHAnsi"/>
        </w:rPr>
        <w:t>b</w:t>
      </w:r>
      <w:r w:rsidR="00035D15">
        <w:rPr>
          <w:rFonts w:cstheme="minorHAnsi"/>
        </w:rPr>
        <w:t>usiness that outsource</w:t>
      </w:r>
      <w:r>
        <w:rPr>
          <w:rFonts w:cstheme="minorHAnsi"/>
        </w:rPr>
        <w:t>d</w:t>
      </w:r>
      <w:r w:rsidR="00035D15">
        <w:rPr>
          <w:rFonts w:cstheme="minorHAnsi"/>
        </w:rPr>
        <w:t xml:space="preserve"> work or engage</w:t>
      </w:r>
      <w:r>
        <w:rPr>
          <w:rFonts w:cstheme="minorHAnsi"/>
        </w:rPr>
        <w:t>d</w:t>
      </w:r>
      <w:r w:rsidR="00035D15">
        <w:rPr>
          <w:rFonts w:cstheme="minorHAnsi"/>
        </w:rPr>
        <w:t xml:space="preserve"> outworkers </w:t>
      </w:r>
      <w:r w:rsidR="00882384">
        <w:rPr>
          <w:rFonts w:cstheme="minorHAnsi"/>
        </w:rPr>
        <w:t>to provide evidence of r</w:t>
      </w:r>
      <w:r w:rsidR="00035D15">
        <w:rPr>
          <w:rFonts w:cstheme="minorHAnsi"/>
        </w:rPr>
        <w:t>egist</w:t>
      </w:r>
      <w:r w:rsidR="00882384">
        <w:rPr>
          <w:rFonts w:cstheme="minorHAnsi"/>
        </w:rPr>
        <w:t xml:space="preserve">ration </w:t>
      </w:r>
      <w:r>
        <w:rPr>
          <w:rFonts w:cstheme="minorHAnsi"/>
        </w:rPr>
        <w:t xml:space="preserve">with </w:t>
      </w:r>
      <w:r w:rsidR="00882384">
        <w:rPr>
          <w:rFonts w:cstheme="minorHAnsi"/>
        </w:rPr>
        <w:t xml:space="preserve">the appropriate </w:t>
      </w:r>
      <w:r w:rsidR="0074036C" w:rsidRPr="00F97F7F">
        <w:rPr>
          <w:rFonts w:ascii="Calibri" w:hAnsi="Calibri" w:cs="Calibri"/>
          <w:b/>
          <w:bCs/>
          <w:color w:val="232323"/>
        </w:rPr>
        <w:t>Textile, Clothing, Footwear and Associated Industrie</w:t>
      </w:r>
      <w:r w:rsidR="00442F65" w:rsidRPr="00F97F7F">
        <w:rPr>
          <w:rFonts w:ascii="Calibri" w:hAnsi="Calibri" w:cs="Calibri"/>
          <w:b/>
          <w:bCs/>
          <w:color w:val="232323"/>
        </w:rPr>
        <w:t xml:space="preserve">s </w:t>
      </w:r>
      <w:r w:rsidR="00035D15" w:rsidRPr="00F97F7F">
        <w:rPr>
          <w:rFonts w:ascii="Calibri" w:hAnsi="Calibri" w:cs="Calibri"/>
          <w:b/>
          <w:color w:val="232323"/>
        </w:rPr>
        <w:t>Board of Reference</w:t>
      </w:r>
      <w:r w:rsidR="00035D15" w:rsidRPr="00F97F7F">
        <w:rPr>
          <w:rFonts w:ascii="Calibri" w:hAnsi="Calibri" w:cs="Calibri"/>
          <w:color w:val="232323"/>
        </w:rPr>
        <w:t xml:space="preserve"> </w:t>
      </w:r>
      <w:r w:rsidR="00F97F7F" w:rsidRPr="00F97F7F">
        <w:rPr>
          <w:rFonts w:ascii="Calibri" w:hAnsi="Calibri" w:cs="Calibri"/>
          <w:bCs/>
          <w:color w:val="232323"/>
        </w:rPr>
        <w:t>(</w:t>
      </w:r>
      <w:r w:rsidR="00035D15" w:rsidRPr="00F97F7F">
        <w:rPr>
          <w:rFonts w:cstheme="minorHAnsi"/>
        </w:rPr>
        <w:t xml:space="preserve">Board of </w:t>
      </w:r>
      <w:r w:rsidR="00F97F7F">
        <w:rPr>
          <w:rFonts w:cstheme="minorHAnsi"/>
        </w:rPr>
        <w:t>R</w:t>
      </w:r>
      <w:r w:rsidR="00035D15" w:rsidRPr="00F97F7F">
        <w:rPr>
          <w:rFonts w:cstheme="minorHAnsi"/>
        </w:rPr>
        <w:t>eference</w:t>
      </w:r>
      <w:r w:rsidR="00F97F7F" w:rsidRPr="00F97F7F">
        <w:rPr>
          <w:rFonts w:cstheme="minorHAnsi"/>
        </w:rPr>
        <w:t>)</w:t>
      </w:r>
      <w:r w:rsidR="001F7EBA">
        <w:rPr>
          <w:rFonts w:cstheme="minorHAnsi"/>
        </w:rPr>
        <w:t xml:space="preserve"> as required under Schedule F of the TCF </w:t>
      </w:r>
      <w:r w:rsidR="00FA32A8">
        <w:rPr>
          <w:rFonts w:cstheme="minorHAnsi"/>
        </w:rPr>
        <w:t>A</w:t>
      </w:r>
      <w:r w:rsidR="001F7EBA">
        <w:rPr>
          <w:rFonts w:cstheme="minorHAnsi"/>
        </w:rPr>
        <w:t>ward</w:t>
      </w:r>
      <w:r w:rsidR="007E5655">
        <w:rPr>
          <w:rFonts w:cstheme="minorHAnsi"/>
        </w:rPr>
        <w:t>.</w:t>
      </w:r>
      <w:r w:rsidR="00882384">
        <w:rPr>
          <w:rStyle w:val="FootnoteReference"/>
        </w:rPr>
        <w:footnoteReference w:id="9"/>
      </w:r>
      <w:r w:rsidR="00882384">
        <w:rPr>
          <w:rFonts w:cstheme="minorHAnsi"/>
        </w:rPr>
        <w:t xml:space="preserve"> They also assessed if businesses were compliant with the </w:t>
      </w:r>
      <w:r w:rsidR="00CE5808">
        <w:rPr>
          <w:rFonts w:cstheme="minorHAnsi"/>
        </w:rPr>
        <w:t>specific record-keeping provisions of</w:t>
      </w:r>
      <w:r w:rsidR="00882384">
        <w:rPr>
          <w:rFonts w:cstheme="minorHAnsi"/>
        </w:rPr>
        <w:t xml:space="preserve"> </w:t>
      </w:r>
      <w:r w:rsidR="001F7EBA">
        <w:rPr>
          <w:rFonts w:cstheme="minorHAnsi"/>
        </w:rPr>
        <w:t>the a</w:t>
      </w:r>
      <w:r w:rsidR="00035D15">
        <w:rPr>
          <w:rFonts w:cstheme="minorHAnsi"/>
        </w:rPr>
        <w:t>ward.</w:t>
      </w:r>
      <w:r w:rsidR="00442F65">
        <w:rPr>
          <w:rFonts w:cstheme="minorHAnsi"/>
        </w:rPr>
        <w:t xml:space="preserve">  </w:t>
      </w:r>
    </w:p>
    <w:p w:rsidR="00930A95" w:rsidRDefault="00930A95" w:rsidP="00035D15">
      <w:pPr>
        <w:jc w:val="both"/>
        <w:rPr>
          <w:lang w:eastAsia="en-AU"/>
        </w:rPr>
      </w:pPr>
      <w:r>
        <w:rPr>
          <w:lang w:eastAsia="en-AU"/>
        </w:rPr>
        <w:t xml:space="preserve">Depending on the nature of the business and its position in the supply chain, other </w:t>
      </w:r>
      <w:r w:rsidRPr="00930A95">
        <w:rPr>
          <w:lang w:eastAsia="en-AU"/>
        </w:rPr>
        <w:t>awards that applied to business</w:t>
      </w:r>
      <w:r w:rsidR="00992627">
        <w:rPr>
          <w:lang w:eastAsia="en-AU"/>
        </w:rPr>
        <w:t>es</w:t>
      </w:r>
      <w:r w:rsidRPr="00930A95">
        <w:rPr>
          <w:lang w:eastAsia="en-AU"/>
        </w:rPr>
        <w:t xml:space="preserve"> </w:t>
      </w:r>
      <w:r>
        <w:rPr>
          <w:lang w:eastAsia="en-AU"/>
        </w:rPr>
        <w:t xml:space="preserve">audited during the TCF Campaign </w:t>
      </w:r>
      <w:r w:rsidRPr="00930A95">
        <w:rPr>
          <w:lang w:eastAsia="en-AU"/>
        </w:rPr>
        <w:t>included the:</w:t>
      </w:r>
    </w:p>
    <w:p w:rsidR="00930A95" w:rsidRDefault="005C5138" w:rsidP="006E7EAF">
      <w:pPr>
        <w:pStyle w:val="ListParagraph"/>
        <w:numPr>
          <w:ilvl w:val="0"/>
          <w:numId w:val="29"/>
        </w:numPr>
        <w:contextualSpacing w:val="0"/>
        <w:rPr>
          <w:i/>
          <w:lang w:eastAsia="en-AU"/>
        </w:rPr>
      </w:pPr>
      <w:r w:rsidRPr="005C5138">
        <w:rPr>
          <w:i/>
          <w:lang w:eastAsia="en-AU"/>
        </w:rPr>
        <w:t>General Retail Industry Award 2010</w:t>
      </w:r>
    </w:p>
    <w:p w:rsidR="005C5138" w:rsidRDefault="005C5138" w:rsidP="006E7EAF">
      <w:pPr>
        <w:pStyle w:val="ListParagraph"/>
        <w:numPr>
          <w:ilvl w:val="0"/>
          <w:numId w:val="29"/>
        </w:numPr>
        <w:contextualSpacing w:val="0"/>
        <w:rPr>
          <w:i/>
          <w:lang w:eastAsia="en-AU"/>
        </w:rPr>
      </w:pPr>
      <w:r>
        <w:rPr>
          <w:i/>
          <w:lang w:eastAsia="en-AU"/>
        </w:rPr>
        <w:t>Commercial Sales Award 2010</w:t>
      </w:r>
    </w:p>
    <w:p w:rsidR="005C5138" w:rsidRDefault="005C5138" w:rsidP="006E7EAF">
      <w:pPr>
        <w:pStyle w:val="ListParagraph"/>
        <w:numPr>
          <w:ilvl w:val="0"/>
          <w:numId w:val="29"/>
        </w:numPr>
        <w:contextualSpacing w:val="0"/>
        <w:rPr>
          <w:i/>
          <w:lang w:eastAsia="en-AU"/>
        </w:rPr>
      </w:pPr>
      <w:r>
        <w:rPr>
          <w:i/>
          <w:lang w:eastAsia="en-AU"/>
        </w:rPr>
        <w:t>Storage Services and Wholesale Award 2010</w:t>
      </w:r>
      <w:r w:rsidR="00CF666B">
        <w:rPr>
          <w:i/>
          <w:lang w:eastAsia="en-AU"/>
        </w:rPr>
        <w:t>.</w:t>
      </w:r>
    </w:p>
    <w:p w:rsidR="009026D7" w:rsidRDefault="00DD4708" w:rsidP="00E32A5F">
      <w:pPr>
        <w:pStyle w:val="Heading2"/>
      </w:pPr>
      <w:bookmarkStart w:id="9" w:name="_Toc531876777"/>
      <w:bookmarkStart w:id="10" w:name="_Toc534888171"/>
      <w:r>
        <w:t xml:space="preserve">Market </w:t>
      </w:r>
      <w:r w:rsidR="00F37FC6">
        <w:t>s</w:t>
      </w:r>
      <w:r>
        <w:t>ettings</w:t>
      </w:r>
      <w:bookmarkEnd w:id="9"/>
      <w:bookmarkEnd w:id="10"/>
    </w:p>
    <w:p w:rsidR="00E35837" w:rsidRDefault="00937BD1" w:rsidP="003532ED">
      <w:pPr>
        <w:jc w:val="both"/>
        <w:rPr>
          <w:w w:val="104"/>
        </w:rPr>
      </w:pPr>
      <w:r>
        <w:rPr>
          <w:lang w:eastAsia="en-AU"/>
        </w:rPr>
        <w:t xml:space="preserve">The Australian </w:t>
      </w:r>
      <w:r w:rsidR="00934E13">
        <w:rPr>
          <w:w w:val="104"/>
        </w:rPr>
        <w:t>t</w:t>
      </w:r>
      <w:r w:rsidRPr="00642FA2">
        <w:rPr>
          <w:w w:val="104"/>
        </w:rPr>
        <w:t xml:space="preserve">extile, </w:t>
      </w:r>
      <w:r w:rsidR="00934E13">
        <w:rPr>
          <w:w w:val="104"/>
        </w:rPr>
        <w:t>c</w:t>
      </w:r>
      <w:r w:rsidRPr="00642FA2">
        <w:rPr>
          <w:w w:val="104"/>
        </w:rPr>
        <w:t xml:space="preserve">lothing and </w:t>
      </w:r>
      <w:r w:rsidR="00934E13">
        <w:rPr>
          <w:w w:val="104"/>
        </w:rPr>
        <w:t>f</w:t>
      </w:r>
      <w:r w:rsidRPr="00642FA2">
        <w:rPr>
          <w:w w:val="104"/>
        </w:rPr>
        <w:t>ootwear</w:t>
      </w:r>
      <w:r w:rsidR="00243F67">
        <w:rPr>
          <w:w w:val="104"/>
        </w:rPr>
        <w:t xml:space="preserve"> (TCF)</w:t>
      </w:r>
      <w:r w:rsidRPr="00642FA2">
        <w:rPr>
          <w:w w:val="104"/>
        </w:rPr>
        <w:t xml:space="preserve"> </w:t>
      </w:r>
      <w:r w:rsidR="00CE0199">
        <w:rPr>
          <w:w w:val="104"/>
        </w:rPr>
        <w:t>sector</w:t>
      </w:r>
      <w:r w:rsidR="00243F67">
        <w:rPr>
          <w:w w:val="104"/>
        </w:rPr>
        <w:t xml:space="preserve"> </w:t>
      </w:r>
      <w:r>
        <w:rPr>
          <w:w w:val="104"/>
        </w:rPr>
        <w:t>engage</w:t>
      </w:r>
      <w:r w:rsidR="00300339">
        <w:rPr>
          <w:w w:val="104"/>
        </w:rPr>
        <w:t>s</w:t>
      </w:r>
      <w:r w:rsidR="00CE270D">
        <w:rPr>
          <w:w w:val="104"/>
        </w:rPr>
        <w:t xml:space="preserve"> </w:t>
      </w:r>
      <w:r w:rsidR="009219E9">
        <w:rPr>
          <w:w w:val="104"/>
        </w:rPr>
        <w:t xml:space="preserve">over </w:t>
      </w:r>
      <w:r w:rsidR="001C55BD">
        <w:rPr>
          <w:w w:val="104"/>
        </w:rPr>
        <w:t>33</w:t>
      </w:r>
      <w:r w:rsidR="00421587">
        <w:rPr>
          <w:w w:val="104"/>
        </w:rPr>
        <w:t xml:space="preserve"> </w:t>
      </w:r>
      <w:r w:rsidR="001C55BD">
        <w:rPr>
          <w:w w:val="104"/>
        </w:rPr>
        <w:t>000</w:t>
      </w:r>
      <w:r w:rsidR="00F5213F">
        <w:rPr>
          <w:rStyle w:val="FootnoteReference"/>
          <w:w w:val="104"/>
        </w:rPr>
        <w:footnoteReference w:id="10"/>
      </w:r>
      <w:r>
        <w:rPr>
          <w:w w:val="104"/>
        </w:rPr>
        <w:t xml:space="preserve"> workers</w:t>
      </w:r>
      <w:r w:rsidR="00300339">
        <w:rPr>
          <w:w w:val="104"/>
        </w:rPr>
        <w:t xml:space="preserve"> across more than </w:t>
      </w:r>
      <w:r w:rsidR="001C55BD">
        <w:rPr>
          <w:w w:val="104"/>
        </w:rPr>
        <w:t>63</w:t>
      </w:r>
      <w:r w:rsidR="009219E9">
        <w:rPr>
          <w:w w:val="104"/>
        </w:rPr>
        <w:t>70</w:t>
      </w:r>
      <w:r w:rsidR="001C55BD">
        <w:rPr>
          <w:w w:val="104"/>
        </w:rPr>
        <w:t xml:space="preserve"> </w:t>
      </w:r>
      <w:r w:rsidR="003532ED">
        <w:rPr>
          <w:w w:val="104"/>
        </w:rPr>
        <w:t xml:space="preserve">(mostly micro) </w:t>
      </w:r>
      <w:r w:rsidR="001C55BD">
        <w:rPr>
          <w:w w:val="104"/>
        </w:rPr>
        <w:t>businesses</w:t>
      </w:r>
      <w:r w:rsidR="00874BB9">
        <w:rPr>
          <w:w w:val="104"/>
        </w:rPr>
        <w:t>.</w:t>
      </w:r>
      <w:r w:rsidR="001C55BD">
        <w:rPr>
          <w:rStyle w:val="FootnoteReference"/>
          <w:w w:val="104"/>
        </w:rPr>
        <w:footnoteReference w:id="11"/>
      </w:r>
      <w:r w:rsidR="00300339">
        <w:rPr>
          <w:w w:val="104"/>
        </w:rPr>
        <w:t xml:space="preserve"> </w:t>
      </w:r>
    </w:p>
    <w:p w:rsidR="00CE0199" w:rsidRDefault="006C1521" w:rsidP="003532ED">
      <w:pPr>
        <w:jc w:val="both"/>
        <w:rPr>
          <w:lang w:eastAsia="en-AU"/>
        </w:rPr>
      </w:pPr>
      <w:r w:rsidRPr="007C22EB">
        <w:rPr>
          <w:w w:val="104"/>
        </w:rPr>
        <w:t>Businesses are concentrated in the metro</w:t>
      </w:r>
      <w:r w:rsidR="003D6676" w:rsidRPr="007C22EB">
        <w:rPr>
          <w:w w:val="104"/>
        </w:rPr>
        <w:t xml:space="preserve">politan </w:t>
      </w:r>
      <w:r w:rsidRPr="007C22EB">
        <w:rPr>
          <w:w w:val="104"/>
        </w:rPr>
        <w:t xml:space="preserve">areas of </w:t>
      </w:r>
      <w:r w:rsidR="00C07122" w:rsidRPr="007C22EB">
        <w:rPr>
          <w:w w:val="104"/>
        </w:rPr>
        <w:t>Queensland, New South Wales and Victoria.</w:t>
      </w:r>
      <w:r w:rsidR="00C07122" w:rsidRPr="007C22EB">
        <w:rPr>
          <w:rStyle w:val="FootnoteReference"/>
          <w:w w:val="104"/>
        </w:rPr>
        <w:footnoteReference w:id="12"/>
      </w:r>
      <w:r w:rsidR="00CE0199" w:rsidRPr="007C22EB">
        <w:rPr>
          <w:w w:val="104"/>
        </w:rPr>
        <w:t xml:space="preserve"> </w:t>
      </w:r>
    </w:p>
    <w:p w:rsidR="00E35837" w:rsidRDefault="00CE0199" w:rsidP="00E35837">
      <w:pPr>
        <w:rPr>
          <w:lang w:eastAsia="en-AU"/>
        </w:rPr>
      </w:pPr>
      <w:r>
        <w:rPr>
          <w:lang w:eastAsia="en-AU"/>
        </w:rPr>
        <w:t>The sector</w:t>
      </w:r>
      <w:r w:rsidR="006B4F35">
        <w:rPr>
          <w:lang w:eastAsia="en-AU"/>
        </w:rPr>
        <w:t xml:space="preserve"> is broad and covers many different t</w:t>
      </w:r>
      <w:r w:rsidR="00874BB9">
        <w:rPr>
          <w:lang w:eastAsia="en-AU"/>
        </w:rPr>
        <w:t>ypes of manufacturing</w:t>
      </w:r>
      <w:r w:rsidR="00421587">
        <w:rPr>
          <w:lang w:eastAsia="en-AU"/>
        </w:rPr>
        <w:t>,</w:t>
      </w:r>
      <w:r w:rsidR="00874BB9">
        <w:rPr>
          <w:lang w:eastAsia="en-AU"/>
        </w:rPr>
        <w:t xml:space="preserve"> including</w:t>
      </w:r>
      <w:r w:rsidR="00522DE6">
        <w:rPr>
          <w:lang w:eastAsia="en-AU"/>
        </w:rPr>
        <w:t>:</w:t>
      </w:r>
    </w:p>
    <w:p w:rsidR="00522DE6" w:rsidRDefault="00421587" w:rsidP="00156C33">
      <w:pPr>
        <w:pStyle w:val="ListParagraph"/>
        <w:numPr>
          <w:ilvl w:val="0"/>
          <w:numId w:val="12"/>
        </w:numPr>
        <w:contextualSpacing w:val="0"/>
        <w:rPr>
          <w:lang w:eastAsia="en-AU"/>
        </w:rPr>
      </w:pPr>
      <w:r>
        <w:rPr>
          <w:lang w:eastAsia="en-AU"/>
        </w:rPr>
        <w:t>l</w:t>
      </w:r>
      <w:r w:rsidR="00522DE6">
        <w:rPr>
          <w:lang w:eastAsia="en-AU"/>
        </w:rPr>
        <w:t>eather tanning and leather product</w:t>
      </w:r>
      <w:r>
        <w:rPr>
          <w:lang w:eastAsia="en-AU"/>
        </w:rPr>
        <w:t>s</w:t>
      </w:r>
    </w:p>
    <w:p w:rsidR="00522DE6" w:rsidRDefault="00421587" w:rsidP="00156C33">
      <w:pPr>
        <w:pStyle w:val="ListParagraph"/>
        <w:numPr>
          <w:ilvl w:val="0"/>
          <w:numId w:val="12"/>
        </w:numPr>
        <w:contextualSpacing w:val="0"/>
        <w:rPr>
          <w:lang w:eastAsia="en-AU"/>
        </w:rPr>
      </w:pPr>
      <w:r>
        <w:rPr>
          <w:lang w:eastAsia="en-AU"/>
        </w:rPr>
        <w:t>t</w:t>
      </w:r>
      <w:r w:rsidR="0057406E">
        <w:rPr>
          <w:lang w:eastAsia="en-AU"/>
        </w:rPr>
        <w:t xml:space="preserve">extile </w:t>
      </w:r>
      <w:r w:rsidR="00522DE6">
        <w:rPr>
          <w:lang w:eastAsia="en-AU"/>
        </w:rPr>
        <w:t>product</w:t>
      </w:r>
      <w:r>
        <w:rPr>
          <w:lang w:eastAsia="en-AU"/>
        </w:rPr>
        <w:t>s</w:t>
      </w:r>
      <w:r w:rsidR="00185104">
        <w:rPr>
          <w:rStyle w:val="FootnoteReference"/>
          <w:lang w:eastAsia="en-AU"/>
        </w:rPr>
        <w:footnoteReference w:id="13"/>
      </w:r>
      <w:r w:rsidR="00522DE6">
        <w:rPr>
          <w:lang w:eastAsia="en-AU"/>
        </w:rPr>
        <w:t xml:space="preserve"> </w:t>
      </w:r>
    </w:p>
    <w:p w:rsidR="00522DE6" w:rsidRDefault="00421587" w:rsidP="00156C33">
      <w:pPr>
        <w:pStyle w:val="ListParagraph"/>
        <w:numPr>
          <w:ilvl w:val="0"/>
          <w:numId w:val="12"/>
        </w:numPr>
        <w:contextualSpacing w:val="0"/>
        <w:rPr>
          <w:lang w:eastAsia="en-AU"/>
        </w:rPr>
      </w:pPr>
      <w:r>
        <w:rPr>
          <w:lang w:eastAsia="en-AU"/>
        </w:rPr>
        <w:t>k</w:t>
      </w:r>
      <w:r w:rsidR="00522DE6">
        <w:rPr>
          <w:lang w:eastAsia="en-AU"/>
        </w:rPr>
        <w:t>nitted product</w:t>
      </w:r>
      <w:r>
        <w:rPr>
          <w:lang w:eastAsia="en-AU"/>
        </w:rPr>
        <w:t>s</w:t>
      </w:r>
      <w:r w:rsidR="00522DE6">
        <w:rPr>
          <w:lang w:eastAsia="en-AU"/>
        </w:rPr>
        <w:t xml:space="preserve"> </w:t>
      </w:r>
    </w:p>
    <w:p w:rsidR="00522DE6" w:rsidRDefault="00421587" w:rsidP="00156C33">
      <w:pPr>
        <w:pStyle w:val="ListParagraph"/>
        <w:numPr>
          <w:ilvl w:val="0"/>
          <w:numId w:val="12"/>
        </w:numPr>
        <w:contextualSpacing w:val="0"/>
        <w:rPr>
          <w:lang w:eastAsia="en-AU"/>
        </w:rPr>
      </w:pPr>
      <w:r>
        <w:rPr>
          <w:lang w:eastAsia="en-AU"/>
        </w:rPr>
        <w:t>c</w:t>
      </w:r>
      <w:r w:rsidR="00522DE6">
        <w:rPr>
          <w:lang w:eastAsia="en-AU"/>
        </w:rPr>
        <w:t xml:space="preserve">lothing </w:t>
      </w:r>
      <w:r w:rsidR="0029539C">
        <w:rPr>
          <w:lang w:eastAsia="en-AU"/>
        </w:rPr>
        <w:t>(the largest proportion of businesses in the sector</w:t>
      </w:r>
      <w:r w:rsidR="0029539C">
        <w:rPr>
          <w:rStyle w:val="FootnoteReference"/>
          <w:lang w:eastAsia="en-AU"/>
        </w:rPr>
        <w:footnoteReference w:id="14"/>
      </w:r>
      <w:r w:rsidR="0029539C">
        <w:rPr>
          <w:lang w:eastAsia="en-AU"/>
        </w:rPr>
        <w:t>)</w:t>
      </w:r>
    </w:p>
    <w:p w:rsidR="00522DE6" w:rsidRDefault="00421587" w:rsidP="00156C33">
      <w:pPr>
        <w:pStyle w:val="ListParagraph"/>
        <w:numPr>
          <w:ilvl w:val="0"/>
          <w:numId w:val="12"/>
        </w:numPr>
        <w:contextualSpacing w:val="0"/>
        <w:rPr>
          <w:lang w:eastAsia="en-AU"/>
        </w:rPr>
      </w:pPr>
      <w:proofErr w:type="gramStart"/>
      <w:r>
        <w:rPr>
          <w:lang w:eastAsia="en-AU"/>
        </w:rPr>
        <w:t>f</w:t>
      </w:r>
      <w:r w:rsidR="00522DE6">
        <w:rPr>
          <w:lang w:eastAsia="en-AU"/>
        </w:rPr>
        <w:t>ootwear</w:t>
      </w:r>
      <w:proofErr w:type="gramEnd"/>
      <w:r>
        <w:rPr>
          <w:lang w:eastAsia="en-AU"/>
        </w:rPr>
        <w:t>.</w:t>
      </w:r>
      <w:r w:rsidR="00522DE6">
        <w:rPr>
          <w:lang w:eastAsia="en-AU"/>
        </w:rPr>
        <w:t xml:space="preserve"> </w:t>
      </w:r>
    </w:p>
    <w:p w:rsidR="003532ED" w:rsidRDefault="00CE0199" w:rsidP="003532ED">
      <w:pPr>
        <w:rPr>
          <w:lang w:eastAsia="en-AU"/>
        </w:rPr>
      </w:pPr>
      <w:r>
        <w:rPr>
          <w:lang w:eastAsia="en-AU"/>
        </w:rPr>
        <w:t>Businesses in the sector</w:t>
      </w:r>
      <w:r w:rsidR="003532ED">
        <w:rPr>
          <w:lang w:eastAsia="en-AU"/>
        </w:rPr>
        <w:t xml:space="preserve"> can be involved in any stage of production, from the processing and treatment of raw materials through to the finishing of products for personal, household and industrial use.</w:t>
      </w:r>
    </w:p>
    <w:p w:rsidR="001836C4" w:rsidRDefault="001836C4" w:rsidP="007B6788">
      <w:pPr>
        <w:pStyle w:val="Heading3"/>
      </w:pPr>
      <w:r>
        <w:t>T</w:t>
      </w:r>
      <w:r w:rsidR="00DC344F">
        <w:t xml:space="preserve">he </w:t>
      </w:r>
      <w:r w:rsidR="00674C56">
        <w:t>s</w:t>
      </w:r>
      <w:r w:rsidR="00DC344F">
        <w:t>ector</w:t>
      </w:r>
    </w:p>
    <w:p w:rsidR="005C02C2" w:rsidRDefault="00DC344F" w:rsidP="005C02C2">
      <w:pPr>
        <w:jc w:val="both"/>
        <w:rPr>
          <w:lang w:eastAsia="en-AU"/>
        </w:rPr>
      </w:pPr>
      <w:r>
        <w:rPr>
          <w:lang w:eastAsia="en-AU"/>
        </w:rPr>
        <w:t xml:space="preserve">The TCF sector is labour intensive. </w:t>
      </w:r>
      <w:r w:rsidDel="00A80FD8">
        <w:rPr>
          <w:lang w:eastAsia="en-AU"/>
        </w:rPr>
        <w:t>O</w:t>
      </w:r>
      <w:r>
        <w:rPr>
          <w:lang w:eastAsia="en-AU"/>
        </w:rPr>
        <w:t>perating expenses vary depending on product specialisation</w:t>
      </w:r>
      <w:r w:rsidR="00CF66B9">
        <w:rPr>
          <w:lang w:eastAsia="en-AU"/>
        </w:rPr>
        <w:t xml:space="preserve">, however, as Table </w:t>
      </w:r>
      <w:r w:rsidR="005C02C2">
        <w:rPr>
          <w:lang w:eastAsia="en-AU"/>
        </w:rPr>
        <w:t xml:space="preserve">1 </w:t>
      </w:r>
      <w:r w:rsidR="00CF66B9">
        <w:rPr>
          <w:lang w:eastAsia="en-AU"/>
        </w:rPr>
        <w:t xml:space="preserve">below discloses, </w:t>
      </w:r>
      <w:r w:rsidRPr="004F7277">
        <w:rPr>
          <w:lang w:eastAsia="en-AU"/>
        </w:rPr>
        <w:t xml:space="preserve">wages </w:t>
      </w:r>
      <w:r w:rsidR="00CF66B9" w:rsidRPr="004F7277">
        <w:rPr>
          <w:lang w:eastAsia="en-AU"/>
        </w:rPr>
        <w:t>constitute</w:t>
      </w:r>
      <w:r>
        <w:rPr>
          <w:lang w:eastAsia="en-AU"/>
        </w:rPr>
        <w:t xml:space="preserve"> between 15-32% of annual</w:t>
      </w:r>
      <w:r w:rsidR="00F5335B">
        <w:rPr>
          <w:lang w:eastAsia="en-AU"/>
        </w:rPr>
        <w:t xml:space="preserve"> </w:t>
      </w:r>
      <w:r w:rsidR="00CF66B9">
        <w:rPr>
          <w:lang w:eastAsia="en-AU"/>
        </w:rPr>
        <w:t>operating costs</w:t>
      </w:r>
      <w:r>
        <w:rPr>
          <w:lang w:eastAsia="en-AU"/>
        </w:rPr>
        <w:t xml:space="preserve">, and are consistently higher as a proportion of </w:t>
      </w:r>
      <w:r w:rsidR="00CF66B9">
        <w:rPr>
          <w:lang w:eastAsia="en-AU"/>
        </w:rPr>
        <w:t>business cost</w:t>
      </w:r>
      <w:r w:rsidR="00F5335B">
        <w:rPr>
          <w:lang w:eastAsia="en-AU"/>
        </w:rPr>
        <w:t>s</w:t>
      </w:r>
      <w:r w:rsidR="00CF66B9">
        <w:rPr>
          <w:lang w:eastAsia="en-AU"/>
        </w:rPr>
        <w:t xml:space="preserve"> </w:t>
      </w:r>
      <w:r>
        <w:rPr>
          <w:lang w:eastAsia="en-AU"/>
        </w:rPr>
        <w:t xml:space="preserve">than for manufacturing as a whole. </w:t>
      </w:r>
    </w:p>
    <w:p w:rsidR="005C02C2" w:rsidRDefault="005C02C2" w:rsidP="005C02C2">
      <w:pPr>
        <w:jc w:val="both"/>
        <w:rPr>
          <w:w w:val="104"/>
        </w:rPr>
      </w:pPr>
      <w:r>
        <w:rPr>
          <w:lang w:eastAsia="en-AU"/>
        </w:rPr>
        <w:t xml:space="preserve">Since publication of the FWO’s Audit Program Report, the TCF sector has undergone further regulatory reform resulting in the need for businesses to adapt to increased competition from new markets. For instance, tariffs on most imported </w:t>
      </w:r>
      <w:r>
        <w:rPr>
          <w:w w:val="104"/>
        </w:rPr>
        <w:t>TCF</w:t>
      </w:r>
      <w:r w:rsidRPr="00642FA2">
        <w:rPr>
          <w:w w:val="104"/>
        </w:rPr>
        <w:t xml:space="preserve"> </w:t>
      </w:r>
      <w:r>
        <w:rPr>
          <w:lang w:eastAsia="en-AU"/>
        </w:rPr>
        <w:t xml:space="preserve">goods currently attract a </w:t>
      </w:r>
      <w:r>
        <w:rPr>
          <w:w w:val="104"/>
        </w:rPr>
        <w:t>5% rate</w:t>
      </w:r>
      <w:r>
        <w:rPr>
          <w:rStyle w:val="FootnoteReference"/>
          <w:lang w:eastAsia="en-AU"/>
        </w:rPr>
        <w:footnoteReference w:id="15"/>
      </w:r>
      <w:r>
        <w:rPr>
          <w:w w:val="104"/>
        </w:rPr>
        <w:t xml:space="preserve"> and a number of free trade agreements have removed pricing barriers for overseas manufacturers. Most significantly, the China-Australia Free-Trade Agreement has removed all tariffs on the vast majority of clothing made in China</w:t>
      </w:r>
      <w:r>
        <w:rPr>
          <w:rStyle w:val="FootnoteReference"/>
          <w:w w:val="104"/>
        </w:rPr>
        <w:footnoteReference w:id="16"/>
      </w:r>
      <w:r>
        <w:rPr>
          <w:w w:val="104"/>
        </w:rPr>
        <w:t>, which accounts for around two-thirds of imported clothing.</w:t>
      </w:r>
      <w:r>
        <w:rPr>
          <w:rStyle w:val="FootnoteReference"/>
          <w:w w:val="104"/>
        </w:rPr>
        <w:footnoteReference w:id="17"/>
      </w:r>
      <w:r>
        <w:rPr>
          <w:w w:val="104"/>
        </w:rPr>
        <w:t xml:space="preserve">  </w:t>
      </w:r>
    </w:p>
    <w:p w:rsidR="00DC344F" w:rsidRPr="00494380" w:rsidRDefault="00DC344F" w:rsidP="007B6788">
      <w:pPr>
        <w:pStyle w:val="Heading4"/>
      </w:pPr>
      <w:r>
        <w:t xml:space="preserve">Table 1: </w:t>
      </w:r>
      <w:r w:rsidR="00CF666B">
        <w:t>TCF sector</w:t>
      </w:r>
      <w:r w:rsidRPr="00494380">
        <w:t xml:space="preserve"> – </w:t>
      </w:r>
      <w:r>
        <w:t>m</w:t>
      </w:r>
      <w:r w:rsidRPr="00494380">
        <w:t xml:space="preserve">anufacturing </w:t>
      </w:r>
      <w:r w:rsidR="00CF666B">
        <w:t>industry</w:t>
      </w:r>
      <w:r w:rsidRPr="00494380">
        <w:t xml:space="preserve"> </w:t>
      </w:r>
      <w:r>
        <w:t>v</w:t>
      </w:r>
      <w:r w:rsidRPr="00494380">
        <w:t xml:space="preserve"> </w:t>
      </w:r>
      <w:r w:rsidR="00CF666B">
        <w:t>TCF sector</w:t>
      </w:r>
      <w:r w:rsidRPr="00494380">
        <w:t xml:space="preserve"> </w:t>
      </w:r>
      <w:r>
        <w:t>c</w:t>
      </w:r>
      <w:r w:rsidRPr="00494380">
        <w:t>osts</w:t>
      </w:r>
      <w:r w:rsidR="001E1835">
        <w:rPr>
          <w:rStyle w:val="FootnoteReference"/>
        </w:rPr>
        <w:footnoteReference w:id="18"/>
      </w:r>
    </w:p>
    <w:tbl>
      <w:tblPr>
        <w:tblW w:w="9186" w:type="dxa"/>
        <w:tblInd w:w="-5" w:type="dxa"/>
        <w:tblLook w:val="04A0" w:firstRow="1" w:lastRow="0" w:firstColumn="1" w:lastColumn="0" w:noHBand="0" w:noVBand="1"/>
      </w:tblPr>
      <w:tblGrid>
        <w:gridCol w:w="2410"/>
        <w:gridCol w:w="808"/>
        <w:gridCol w:w="656"/>
        <w:gridCol w:w="977"/>
        <w:gridCol w:w="1387"/>
        <w:gridCol w:w="880"/>
        <w:gridCol w:w="937"/>
        <w:gridCol w:w="1131"/>
      </w:tblGrid>
      <w:tr w:rsidR="00DC344F" w:rsidRPr="00A758D9" w:rsidTr="00CF666B">
        <w:trPr>
          <w:trHeight w:val="576"/>
        </w:trPr>
        <w:tc>
          <w:tcPr>
            <w:tcW w:w="2410" w:type="dxa"/>
            <w:tcBorders>
              <w:top w:val="single" w:sz="4" w:space="0" w:color="auto"/>
              <w:left w:val="single" w:sz="4" w:space="0" w:color="auto"/>
              <w:bottom w:val="single" w:sz="4" w:space="0" w:color="auto"/>
              <w:right w:val="single" w:sz="4" w:space="0" w:color="auto"/>
            </w:tcBorders>
            <w:shd w:val="clear" w:color="000000" w:fill="BDE7EE"/>
            <w:vAlign w:val="center"/>
          </w:tcPr>
          <w:p w:rsidR="00DC344F" w:rsidRPr="0030556B" w:rsidRDefault="00DC344F" w:rsidP="00C07122">
            <w:pPr>
              <w:spacing w:after="0" w:line="240" w:lineRule="auto"/>
              <w:rPr>
                <w:rFonts w:cstheme="minorHAnsi"/>
                <w:b/>
                <w:color w:val="000000"/>
                <w:szCs w:val="22"/>
                <w:lang w:eastAsia="en-AU"/>
              </w:rPr>
            </w:pPr>
          </w:p>
        </w:tc>
        <w:tc>
          <w:tcPr>
            <w:tcW w:w="808" w:type="dxa"/>
            <w:tcBorders>
              <w:top w:val="single" w:sz="4" w:space="0" w:color="auto"/>
              <w:left w:val="nil"/>
              <w:bottom w:val="single" w:sz="4" w:space="0" w:color="auto"/>
              <w:right w:val="single" w:sz="4" w:space="0" w:color="auto"/>
            </w:tcBorders>
            <w:shd w:val="clear" w:color="000000" w:fill="BDE7EE"/>
            <w:noWrap/>
            <w:vAlign w:val="center"/>
            <w:hideMark/>
          </w:tcPr>
          <w:p w:rsidR="00DC344F" w:rsidRPr="0030556B" w:rsidRDefault="00DC344F" w:rsidP="00C07122">
            <w:pPr>
              <w:spacing w:after="0" w:line="240" w:lineRule="auto"/>
              <w:jc w:val="center"/>
              <w:rPr>
                <w:rFonts w:cstheme="minorHAnsi"/>
                <w:color w:val="000000"/>
                <w:szCs w:val="22"/>
                <w:lang w:eastAsia="en-AU"/>
              </w:rPr>
            </w:pPr>
            <w:r w:rsidRPr="0030556B">
              <w:rPr>
                <w:rFonts w:cstheme="minorHAnsi"/>
                <w:color w:val="000000"/>
                <w:szCs w:val="22"/>
                <w:lang w:eastAsia="en-AU"/>
              </w:rPr>
              <w:t>Profit</w:t>
            </w:r>
          </w:p>
        </w:tc>
        <w:tc>
          <w:tcPr>
            <w:tcW w:w="656" w:type="dxa"/>
            <w:tcBorders>
              <w:top w:val="single" w:sz="4" w:space="0" w:color="auto"/>
              <w:left w:val="nil"/>
              <w:bottom w:val="single" w:sz="4" w:space="0" w:color="auto"/>
              <w:right w:val="single" w:sz="4" w:space="0" w:color="auto"/>
            </w:tcBorders>
            <w:shd w:val="clear" w:color="000000" w:fill="BDE7EE"/>
            <w:noWrap/>
            <w:vAlign w:val="center"/>
            <w:hideMark/>
          </w:tcPr>
          <w:p w:rsidR="00DC344F" w:rsidRPr="0030556B" w:rsidRDefault="00DC344F" w:rsidP="00C07122">
            <w:pPr>
              <w:spacing w:after="0" w:line="240" w:lineRule="auto"/>
              <w:jc w:val="center"/>
              <w:rPr>
                <w:rFonts w:cstheme="minorHAnsi"/>
                <w:color w:val="000000"/>
                <w:szCs w:val="22"/>
                <w:lang w:eastAsia="en-AU"/>
              </w:rPr>
            </w:pPr>
            <w:r w:rsidRPr="0030556B">
              <w:rPr>
                <w:rFonts w:cstheme="minorHAnsi"/>
                <w:color w:val="000000"/>
                <w:szCs w:val="22"/>
                <w:lang w:eastAsia="en-AU"/>
              </w:rPr>
              <w:t>Rent</w:t>
            </w:r>
          </w:p>
        </w:tc>
        <w:tc>
          <w:tcPr>
            <w:tcW w:w="977" w:type="dxa"/>
            <w:tcBorders>
              <w:top w:val="single" w:sz="4" w:space="0" w:color="auto"/>
              <w:left w:val="nil"/>
              <w:bottom w:val="single" w:sz="4" w:space="0" w:color="auto"/>
              <w:right w:val="single" w:sz="4" w:space="0" w:color="auto"/>
            </w:tcBorders>
            <w:shd w:val="clear" w:color="000000" w:fill="BDE7EE"/>
            <w:vAlign w:val="center"/>
            <w:hideMark/>
          </w:tcPr>
          <w:p w:rsidR="00DC344F" w:rsidRPr="0030556B" w:rsidRDefault="00DC344F" w:rsidP="00C07122">
            <w:pPr>
              <w:spacing w:after="0" w:line="240" w:lineRule="auto"/>
              <w:jc w:val="center"/>
              <w:rPr>
                <w:rFonts w:cstheme="minorHAnsi"/>
                <w:color w:val="000000"/>
                <w:szCs w:val="22"/>
                <w:lang w:eastAsia="en-AU"/>
              </w:rPr>
            </w:pPr>
            <w:r w:rsidRPr="0030556B">
              <w:rPr>
                <w:rFonts w:cstheme="minorHAnsi"/>
                <w:color w:val="000000"/>
                <w:szCs w:val="22"/>
                <w:lang w:eastAsia="en-AU"/>
              </w:rPr>
              <w:t>Utilities</w:t>
            </w:r>
          </w:p>
        </w:tc>
        <w:tc>
          <w:tcPr>
            <w:tcW w:w="1387" w:type="dxa"/>
            <w:tcBorders>
              <w:top w:val="single" w:sz="4" w:space="0" w:color="auto"/>
              <w:left w:val="nil"/>
              <w:bottom w:val="single" w:sz="4" w:space="0" w:color="auto"/>
              <w:right w:val="single" w:sz="4" w:space="0" w:color="auto"/>
            </w:tcBorders>
            <w:shd w:val="clear" w:color="000000" w:fill="BDE7EE"/>
            <w:vAlign w:val="center"/>
            <w:hideMark/>
          </w:tcPr>
          <w:p w:rsidR="00DC344F" w:rsidRPr="0030556B" w:rsidRDefault="00DC344F" w:rsidP="00C07122">
            <w:pPr>
              <w:spacing w:after="0" w:line="240" w:lineRule="auto"/>
              <w:jc w:val="center"/>
              <w:rPr>
                <w:rFonts w:cstheme="minorHAnsi"/>
                <w:color w:val="000000"/>
                <w:szCs w:val="22"/>
                <w:lang w:eastAsia="en-AU"/>
              </w:rPr>
            </w:pPr>
            <w:r w:rsidRPr="0030556B">
              <w:rPr>
                <w:rFonts w:cstheme="minorHAnsi"/>
                <w:color w:val="000000"/>
                <w:szCs w:val="22"/>
                <w:lang w:eastAsia="en-AU"/>
              </w:rPr>
              <w:t>Depreciation</w:t>
            </w:r>
          </w:p>
        </w:tc>
        <w:tc>
          <w:tcPr>
            <w:tcW w:w="880" w:type="dxa"/>
            <w:tcBorders>
              <w:top w:val="single" w:sz="4" w:space="0" w:color="auto"/>
              <w:left w:val="nil"/>
              <w:bottom w:val="single" w:sz="4" w:space="0" w:color="auto"/>
              <w:right w:val="single" w:sz="4" w:space="0" w:color="auto"/>
            </w:tcBorders>
            <w:shd w:val="clear" w:color="000000" w:fill="BDE7EE"/>
            <w:vAlign w:val="center"/>
            <w:hideMark/>
          </w:tcPr>
          <w:p w:rsidR="00DC344F" w:rsidRPr="0030556B" w:rsidRDefault="00DC344F" w:rsidP="00C07122">
            <w:pPr>
              <w:spacing w:after="0" w:line="240" w:lineRule="auto"/>
              <w:jc w:val="center"/>
              <w:rPr>
                <w:rFonts w:cstheme="minorHAnsi"/>
                <w:color w:val="000000"/>
                <w:szCs w:val="22"/>
                <w:lang w:eastAsia="en-AU"/>
              </w:rPr>
            </w:pPr>
            <w:r w:rsidRPr="0030556B">
              <w:rPr>
                <w:rFonts w:cstheme="minorHAnsi"/>
                <w:color w:val="000000"/>
                <w:szCs w:val="22"/>
                <w:lang w:eastAsia="en-AU"/>
              </w:rPr>
              <w:t>Other</w:t>
            </w:r>
            <w:r w:rsidRPr="0030556B">
              <w:rPr>
                <w:rStyle w:val="FootnoteReference"/>
                <w:rFonts w:cstheme="minorHAnsi"/>
                <w:color w:val="000000"/>
                <w:szCs w:val="22"/>
                <w:lang w:eastAsia="en-AU"/>
              </w:rPr>
              <w:footnoteReference w:id="19"/>
            </w:r>
          </w:p>
        </w:tc>
        <w:tc>
          <w:tcPr>
            <w:tcW w:w="937" w:type="dxa"/>
            <w:tcBorders>
              <w:top w:val="single" w:sz="4" w:space="0" w:color="auto"/>
              <w:left w:val="nil"/>
              <w:bottom w:val="single" w:sz="4" w:space="0" w:color="auto"/>
              <w:right w:val="single" w:sz="4" w:space="0" w:color="auto"/>
            </w:tcBorders>
            <w:shd w:val="clear" w:color="000000" w:fill="BDE7EE"/>
            <w:vAlign w:val="center"/>
            <w:hideMark/>
          </w:tcPr>
          <w:p w:rsidR="00DC344F" w:rsidRPr="00AE6FBD" w:rsidRDefault="00DC344F" w:rsidP="00C07122">
            <w:pPr>
              <w:spacing w:after="0" w:line="240" w:lineRule="auto"/>
              <w:jc w:val="center"/>
              <w:rPr>
                <w:rFonts w:cstheme="minorHAnsi"/>
                <w:b/>
                <w:color w:val="000000"/>
                <w:szCs w:val="22"/>
                <w:lang w:eastAsia="en-AU"/>
              </w:rPr>
            </w:pPr>
            <w:r w:rsidRPr="00AE6FBD">
              <w:rPr>
                <w:rFonts w:cstheme="minorHAnsi"/>
                <w:b/>
                <w:color w:val="000000"/>
                <w:szCs w:val="22"/>
                <w:lang w:eastAsia="en-AU"/>
              </w:rPr>
              <w:t>Wages</w:t>
            </w:r>
          </w:p>
        </w:tc>
        <w:tc>
          <w:tcPr>
            <w:tcW w:w="1131" w:type="dxa"/>
            <w:tcBorders>
              <w:top w:val="single" w:sz="4" w:space="0" w:color="auto"/>
              <w:left w:val="nil"/>
              <w:bottom w:val="single" w:sz="4" w:space="0" w:color="auto"/>
              <w:right w:val="single" w:sz="4" w:space="0" w:color="auto"/>
            </w:tcBorders>
            <w:shd w:val="clear" w:color="000000" w:fill="BDE7EE"/>
            <w:vAlign w:val="center"/>
            <w:hideMark/>
          </w:tcPr>
          <w:p w:rsidR="00DC344F" w:rsidRPr="0030556B" w:rsidRDefault="00DC344F" w:rsidP="00C07122">
            <w:pPr>
              <w:spacing w:after="0" w:line="240" w:lineRule="auto"/>
              <w:jc w:val="center"/>
              <w:rPr>
                <w:rFonts w:cstheme="minorHAnsi"/>
                <w:color w:val="000000"/>
                <w:szCs w:val="22"/>
                <w:lang w:eastAsia="en-AU"/>
              </w:rPr>
            </w:pPr>
            <w:r w:rsidRPr="0030556B">
              <w:rPr>
                <w:rFonts w:cstheme="minorHAnsi"/>
                <w:color w:val="000000"/>
                <w:szCs w:val="22"/>
                <w:lang w:eastAsia="en-AU"/>
              </w:rPr>
              <w:t>Purchases</w:t>
            </w:r>
          </w:p>
        </w:tc>
      </w:tr>
      <w:tr w:rsidR="00DC344F" w:rsidRPr="00A758D9" w:rsidTr="00CF666B">
        <w:trPr>
          <w:trHeight w:val="668"/>
        </w:trPr>
        <w:tc>
          <w:tcPr>
            <w:tcW w:w="2410" w:type="dxa"/>
            <w:tcBorders>
              <w:top w:val="nil"/>
              <w:left w:val="single" w:sz="4" w:space="0" w:color="auto"/>
              <w:bottom w:val="single" w:sz="4" w:space="0" w:color="auto"/>
              <w:right w:val="single" w:sz="4" w:space="0" w:color="auto"/>
            </w:tcBorders>
            <w:shd w:val="clear" w:color="auto" w:fill="auto"/>
            <w:vAlign w:val="center"/>
            <w:hideMark/>
          </w:tcPr>
          <w:p w:rsidR="00DC344F" w:rsidRPr="0030556B" w:rsidRDefault="00DC344F" w:rsidP="00CF666B">
            <w:pPr>
              <w:spacing w:before="120" w:line="240" w:lineRule="auto"/>
              <w:rPr>
                <w:rFonts w:cstheme="minorHAnsi"/>
                <w:color w:val="000000"/>
                <w:szCs w:val="22"/>
                <w:lang w:eastAsia="en-AU"/>
              </w:rPr>
            </w:pPr>
            <w:r w:rsidRPr="0030556B">
              <w:rPr>
                <w:rFonts w:cstheme="minorHAnsi"/>
                <w:color w:val="000000"/>
                <w:szCs w:val="22"/>
                <w:lang w:eastAsia="en-AU"/>
              </w:rPr>
              <w:t xml:space="preserve">Manufacturing </w:t>
            </w:r>
            <w:r w:rsidR="00CF666B">
              <w:rPr>
                <w:rFonts w:cstheme="minorHAnsi"/>
                <w:color w:val="000000"/>
                <w:szCs w:val="22"/>
                <w:lang w:eastAsia="en-AU"/>
              </w:rPr>
              <w:t>industry</w:t>
            </w:r>
          </w:p>
        </w:tc>
        <w:tc>
          <w:tcPr>
            <w:tcW w:w="808"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7.6%</w:t>
            </w:r>
          </w:p>
        </w:tc>
        <w:tc>
          <w:tcPr>
            <w:tcW w:w="656"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1.8%</w:t>
            </w:r>
          </w:p>
        </w:tc>
        <w:tc>
          <w:tcPr>
            <w:tcW w:w="977"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4.5%</w:t>
            </w:r>
          </w:p>
        </w:tc>
        <w:tc>
          <w:tcPr>
            <w:tcW w:w="1387"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3.3%</w:t>
            </w:r>
          </w:p>
        </w:tc>
        <w:tc>
          <w:tcPr>
            <w:tcW w:w="880"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8.2%</w:t>
            </w:r>
          </w:p>
        </w:tc>
        <w:tc>
          <w:tcPr>
            <w:tcW w:w="937" w:type="dxa"/>
            <w:tcBorders>
              <w:top w:val="nil"/>
              <w:left w:val="nil"/>
              <w:bottom w:val="single" w:sz="4" w:space="0" w:color="auto"/>
              <w:right w:val="single" w:sz="4" w:space="0" w:color="auto"/>
            </w:tcBorders>
            <w:shd w:val="clear" w:color="auto" w:fill="auto"/>
            <w:vAlign w:val="center"/>
            <w:hideMark/>
          </w:tcPr>
          <w:p w:rsidR="00DC344F" w:rsidRPr="00AE6FBD" w:rsidRDefault="00DC344F" w:rsidP="00E24C4C">
            <w:pPr>
              <w:spacing w:before="120" w:line="240" w:lineRule="auto"/>
              <w:jc w:val="center"/>
              <w:rPr>
                <w:rFonts w:cstheme="minorHAnsi"/>
                <w:b/>
                <w:color w:val="000000"/>
                <w:szCs w:val="22"/>
                <w:lang w:eastAsia="en-AU"/>
              </w:rPr>
            </w:pPr>
            <w:r w:rsidRPr="00AE6FBD">
              <w:rPr>
                <w:rFonts w:cstheme="minorHAnsi"/>
                <w:b/>
                <w:color w:val="000000"/>
                <w:szCs w:val="22"/>
                <w:lang w:eastAsia="en-AU"/>
              </w:rPr>
              <w:t>14.5%</w:t>
            </w:r>
          </w:p>
        </w:tc>
        <w:tc>
          <w:tcPr>
            <w:tcW w:w="1131"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60.1%</w:t>
            </w:r>
          </w:p>
        </w:tc>
      </w:tr>
      <w:tr w:rsidR="00DC344F" w:rsidRPr="00A758D9" w:rsidTr="00CF666B">
        <w:trPr>
          <w:trHeight w:val="288"/>
        </w:trPr>
        <w:tc>
          <w:tcPr>
            <w:tcW w:w="2410" w:type="dxa"/>
            <w:tcBorders>
              <w:top w:val="nil"/>
              <w:left w:val="single" w:sz="4" w:space="0" w:color="auto"/>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rPr>
                <w:rFonts w:cstheme="minorHAnsi"/>
                <w:color w:val="000000"/>
                <w:szCs w:val="22"/>
                <w:lang w:eastAsia="en-AU"/>
              </w:rPr>
            </w:pPr>
            <w:r w:rsidRPr="0030556B">
              <w:rPr>
                <w:rFonts w:cstheme="minorHAnsi"/>
                <w:color w:val="000000"/>
                <w:szCs w:val="22"/>
                <w:lang w:eastAsia="en-AU"/>
              </w:rPr>
              <w:t xml:space="preserve">Men and </w:t>
            </w:r>
            <w:r>
              <w:rPr>
                <w:rFonts w:cstheme="minorHAnsi"/>
                <w:bCs/>
                <w:color w:val="000000"/>
                <w:szCs w:val="22"/>
                <w:lang w:eastAsia="en-AU"/>
              </w:rPr>
              <w:t>b</w:t>
            </w:r>
            <w:r w:rsidRPr="0030556B">
              <w:rPr>
                <w:rFonts w:cstheme="minorHAnsi"/>
                <w:bCs/>
                <w:color w:val="000000"/>
                <w:szCs w:val="22"/>
                <w:lang w:eastAsia="en-AU"/>
              </w:rPr>
              <w:t xml:space="preserve">oys’ </w:t>
            </w:r>
            <w:r>
              <w:rPr>
                <w:rFonts w:cstheme="minorHAnsi"/>
                <w:bCs/>
                <w:color w:val="000000"/>
                <w:szCs w:val="22"/>
                <w:lang w:eastAsia="en-AU"/>
              </w:rPr>
              <w:t>w</w:t>
            </w:r>
            <w:r w:rsidRPr="0030556B">
              <w:rPr>
                <w:rFonts w:cstheme="minorHAnsi"/>
                <w:color w:val="000000"/>
                <w:szCs w:val="22"/>
                <w:lang w:eastAsia="en-AU"/>
              </w:rPr>
              <w:t>ear</w:t>
            </w:r>
          </w:p>
        </w:tc>
        <w:tc>
          <w:tcPr>
            <w:tcW w:w="808"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4.8%</w:t>
            </w:r>
          </w:p>
        </w:tc>
        <w:tc>
          <w:tcPr>
            <w:tcW w:w="656"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6.5%</w:t>
            </w:r>
          </w:p>
        </w:tc>
        <w:tc>
          <w:tcPr>
            <w:tcW w:w="977"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0.3%</w:t>
            </w:r>
          </w:p>
        </w:tc>
        <w:tc>
          <w:tcPr>
            <w:tcW w:w="1387"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1.5%</w:t>
            </w:r>
          </w:p>
        </w:tc>
        <w:tc>
          <w:tcPr>
            <w:tcW w:w="880"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9.8%</w:t>
            </w:r>
          </w:p>
        </w:tc>
        <w:tc>
          <w:tcPr>
            <w:tcW w:w="937" w:type="dxa"/>
            <w:tcBorders>
              <w:top w:val="nil"/>
              <w:left w:val="nil"/>
              <w:bottom w:val="single" w:sz="4" w:space="0" w:color="auto"/>
              <w:right w:val="single" w:sz="4" w:space="0" w:color="auto"/>
            </w:tcBorders>
            <w:shd w:val="clear" w:color="auto" w:fill="auto"/>
            <w:vAlign w:val="center"/>
            <w:hideMark/>
          </w:tcPr>
          <w:p w:rsidR="00DC344F" w:rsidRPr="00951043" w:rsidRDefault="00DC344F" w:rsidP="00E24C4C">
            <w:pPr>
              <w:spacing w:before="120" w:line="240" w:lineRule="auto"/>
              <w:jc w:val="center"/>
              <w:rPr>
                <w:rFonts w:cstheme="minorHAnsi"/>
                <w:color w:val="000000"/>
                <w:szCs w:val="22"/>
                <w:lang w:eastAsia="en-AU"/>
              </w:rPr>
            </w:pPr>
            <w:r w:rsidRPr="00951043">
              <w:rPr>
                <w:rFonts w:cstheme="minorHAnsi"/>
                <w:color w:val="000000"/>
                <w:szCs w:val="22"/>
                <w:lang w:eastAsia="en-AU"/>
              </w:rPr>
              <w:t>32%</w:t>
            </w:r>
          </w:p>
        </w:tc>
        <w:tc>
          <w:tcPr>
            <w:tcW w:w="1131"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45.1%</w:t>
            </w:r>
          </w:p>
        </w:tc>
      </w:tr>
      <w:tr w:rsidR="00DC344F" w:rsidRPr="00A758D9" w:rsidTr="00CF666B">
        <w:trPr>
          <w:trHeight w:val="288"/>
        </w:trPr>
        <w:tc>
          <w:tcPr>
            <w:tcW w:w="2410" w:type="dxa"/>
            <w:tcBorders>
              <w:top w:val="nil"/>
              <w:left w:val="single" w:sz="4" w:space="0" w:color="auto"/>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rPr>
                <w:rFonts w:cstheme="minorHAnsi"/>
                <w:color w:val="000000"/>
                <w:szCs w:val="22"/>
                <w:lang w:eastAsia="en-AU"/>
              </w:rPr>
            </w:pPr>
            <w:r w:rsidRPr="0030556B">
              <w:rPr>
                <w:rFonts w:cstheme="minorHAnsi"/>
                <w:color w:val="000000"/>
                <w:szCs w:val="22"/>
                <w:lang w:eastAsia="en-AU"/>
              </w:rPr>
              <w:t xml:space="preserve">Women’s and </w:t>
            </w:r>
            <w:r>
              <w:rPr>
                <w:rFonts w:cstheme="minorHAnsi"/>
                <w:color w:val="000000"/>
                <w:szCs w:val="22"/>
                <w:lang w:eastAsia="en-AU"/>
              </w:rPr>
              <w:t>g</w:t>
            </w:r>
            <w:r w:rsidRPr="0030556B">
              <w:rPr>
                <w:rFonts w:cstheme="minorHAnsi"/>
                <w:color w:val="000000"/>
                <w:szCs w:val="22"/>
                <w:lang w:eastAsia="en-AU"/>
              </w:rPr>
              <w:t xml:space="preserve">irls’ </w:t>
            </w:r>
            <w:r>
              <w:rPr>
                <w:rFonts w:cstheme="minorHAnsi"/>
                <w:color w:val="000000"/>
                <w:szCs w:val="22"/>
                <w:lang w:eastAsia="en-AU"/>
              </w:rPr>
              <w:t>w</w:t>
            </w:r>
            <w:r w:rsidRPr="0030556B">
              <w:rPr>
                <w:rFonts w:cstheme="minorHAnsi"/>
                <w:color w:val="000000"/>
                <w:szCs w:val="22"/>
                <w:lang w:eastAsia="en-AU"/>
              </w:rPr>
              <w:t>ear</w:t>
            </w:r>
          </w:p>
        </w:tc>
        <w:tc>
          <w:tcPr>
            <w:tcW w:w="808"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4%</w:t>
            </w:r>
          </w:p>
        </w:tc>
        <w:tc>
          <w:tcPr>
            <w:tcW w:w="656"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7.5%</w:t>
            </w:r>
          </w:p>
        </w:tc>
        <w:tc>
          <w:tcPr>
            <w:tcW w:w="977"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1.1%</w:t>
            </w:r>
          </w:p>
        </w:tc>
        <w:tc>
          <w:tcPr>
            <w:tcW w:w="1387"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1.6%</w:t>
            </w:r>
          </w:p>
        </w:tc>
        <w:tc>
          <w:tcPr>
            <w:tcW w:w="880"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17.9%</w:t>
            </w:r>
          </w:p>
        </w:tc>
        <w:tc>
          <w:tcPr>
            <w:tcW w:w="937" w:type="dxa"/>
            <w:tcBorders>
              <w:top w:val="nil"/>
              <w:left w:val="nil"/>
              <w:bottom w:val="single" w:sz="4" w:space="0" w:color="auto"/>
              <w:right w:val="single" w:sz="4" w:space="0" w:color="auto"/>
            </w:tcBorders>
            <w:shd w:val="clear" w:color="auto" w:fill="auto"/>
            <w:vAlign w:val="center"/>
            <w:hideMark/>
          </w:tcPr>
          <w:p w:rsidR="00DC344F" w:rsidRPr="00951043" w:rsidRDefault="00DC344F" w:rsidP="00E24C4C">
            <w:pPr>
              <w:spacing w:before="120" w:line="240" w:lineRule="auto"/>
              <w:jc w:val="center"/>
              <w:rPr>
                <w:rFonts w:cstheme="minorHAnsi"/>
                <w:color w:val="000000"/>
                <w:szCs w:val="22"/>
                <w:lang w:eastAsia="en-AU"/>
              </w:rPr>
            </w:pPr>
            <w:r w:rsidRPr="00951043">
              <w:rPr>
                <w:rFonts w:cstheme="minorHAnsi"/>
                <w:color w:val="000000"/>
                <w:szCs w:val="22"/>
                <w:lang w:eastAsia="en-AU"/>
              </w:rPr>
              <w:t>22.3%</w:t>
            </w:r>
          </w:p>
        </w:tc>
        <w:tc>
          <w:tcPr>
            <w:tcW w:w="1131"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45.6%</w:t>
            </w:r>
          </w:p>
        </w:tc>
      </w:tr>
      <w:tr w:rsidR="00DC344F" w:rsidRPr="00A758D9" w:rsidTr="00CF666B">
        <w:trPr>
          <w:trHeight w:val="576"/>
        </w:trPr>
        <w:tc>
          <w:tcPr>
            <w:tcW w:w="2410" w:type="dxa"/>
            <w:tcBorders>
              <w:top w:val="nil"/>
              <w:left w:val="single" w:sz="4" w:space="0" w:color="auto"/>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rPr>
                <w:rFonts w:cstheme="minorHAnsi"/>
                <w:color w:val="000000"/>
                <w:szCs w:val="22"/>
                <w:lang w:eastAsia="en-AU"/>
              </w:rPr>
            </w:pPr>
            <w:r w:rsidRPr="0030556B">
              <w:rPr>
                <w:rFonts w:cstheme="minorHAnsi"/>
                <w:color w:val="000000"/>
                <w:szCs w:val="22"/>
                <w:lang w:eastAsia="en-AU"/>
              </w:rPr>
              <w:t xml:space="preserve">Sleepwear, </w:t>
            </w:r>
            <w:r>
              <w:rPr>
                <w:rFonts w:cstheme="minorHAnsi"/>
                <w:bCs/>
                <w:color w:val="000000"/>
                <w:szCs w:val="22"/>
                <w:lang w:eastAsia="en-AU"/>
              </w:rPr>
              <w:t>u</w:t>
            </w:r>
            <w:r w:rsidRPr="0030556B">
              <w:rPr>
                <w:rFonts w:cstheme="minorHAnsi"/>
                <w:bCs/>
                <w:color w:val="000000"/>
                <w:szCs w:val="22"/>
                <w:lang w:eastAsia="en-AU"/>
              </w:rPr>
              <w:t xml:space="preserve">nderwear, </w:t>
            </w:r>
            <w:r>
              <w:rPr>
                <w:rFonts w:cstheme="minorHAnsi"/>
                <w:bCs/>
                <w:color w:val="000000"/>
                <w:szCs w:val="22"/>
                <w:lang w:eastAsia="en-AU"/>
              </w:rPr>
              <w:t>i</w:t>
            </w:r>
            <w:r w:rsidRPr="0030556B">
              <w:rPr>
                <w:rFonts w:cstheme="minorHAnsi"/>
                <w:bCs/>
                <w:color w:val="000000"/>
                <w:szCs w:val="22"/>
                <w:lang w:eastAsia="en-AU"/>
              </w:rPr>
              <w:t>nfant</w:t>
            </w:r>
            <w:r>
              <w:rPr>
                <w:rFonts w:cstheme="minorHAnsi"/>
                <w:bCs/>
                <w:color w:val="000000"/>
                <w:szCs w:val="22"/>
                <w:lang w:eastAsia="en-AU"/>
              </w:rPr>
              <w:t xml:space="preserve"> c</w:t>
            </w:r>
            <w:r w:rsidRPr="0030556B">
              <w:rPr>
                <w:rFonts w:cstheme="minorHAnsi"/>
                <w:color w:val="000000"/>
                <w:szCs w:val="22"/>
                <w:lang w:eastAsia="en-AU"/>
              </w:rPr>
              <w:t>lothing</w:t>
            </w:r>
          </w:p>
        </w:tc>
        <w:tc>
          <w:tcPr>
            <w:tcW w:w="808"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5%</w:t>
            </w:r>
          </w:p>
        </w:tc>
        <w:tc>
          <w:tcPr>
            <w:tcW w:w="656"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6.5%</w:t>
            </w:r>
          </w:p>
        </w:tc>
        <w:tc>
          <w:tcPr>
            <w:tcW w:w="977"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0.2%</w:t>
            </w:r>
          </w:p>
        </w:tc>
        <w:tc>
          <w:tcPr>
            <w:tcW w:w="1387"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1.6%</w:t>
            </w:r>
          </w:p>
        </w:tc>
        <w:tc>
          <w:tcPr>
            <w:tcW w:w="880"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25.6%</w:t>
            </w:r>
          </w:p>
        </w:tc>
        <w:tc>
          <w:tcPr>
            <w:tcW w:w="937" w:type="dxa"/>
            <w:tcBorders>
              <w:top w:val="nil"/>
              <w:left w:val="nil"/>
              <w:bottom w:val="single" w:sz="4" w:space="0" w:color="auto"/>
              <w:right w:val="single" w:sz="4" w:space="0" w:color="auto"/>
            </w:tcBorders>
            <w:shd w:val="clear" w:color="auto" w:fill="auto"/>
            <w:vAlign w:val="center"/>
            <w:hideMark/>
          </w:tcPr>
          <w:p w:rsidR="00DC344F" w:rsidRPr="00951043" w:rsidRDefault="00DC344F" w:rsidP="00E24C4C">
            <w:pPr>
              <w:spacing w:before="120" w:line="240" w:lineRule="auto"/>
              <w:jc w:val="center"/>
              <w:rPr>
                <w:rFonts w:cstheme="minorHAnsi"/>
                <w:color w:val="000000"/>
                <w:szCs w:val="22"/>
                <w:lang w:eastAsia="en-AU"/>
              </w:rPr>
            </w:pPr>
            <w:r w:rsidRPr="00951043">
              <w:rPr>
                <w:rFonts w:cstheme="minorHAnsi"/>
                <w:color w:val="000000"/>
                <w:szCs w:val="22"/>
                <w:lang w:eastAsia="en-AU"/>
              </w:rPr>
              <w:t>17.5%</w:t>
            </w:r>
          </w:p>
        </w:tc>
        <w:tc>
          <w:tcPr>
            <w:tcW w:w="1131"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43.6%</w:t>
            </w:r>
          </w:p>
        </w:tc>
      </w:tr>
      <w:tr w:rsidR="00DC344F" w:rsidRPr="00A758D9" w:rsidTr="00CF666B">
        <w:trPr>
          <w:trHeight w:val="58"/>
        </w:trPr>
        <w:tc>
          <w:tcPr>
            <w:tcW w:w="2410" w:type="dxa"/>
            <w:tcBorders>
              <w:top w:val="nil"/>
              <w:left w:val="single" w:sz="4" w:space="0" w:color="auto"/>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rPr>
                <w:rFonts w:cstheme="minorHAnsi"/>
                <w:color w:val="000000"/>
                <w:szCs w:val="22"/>
                <w:lang w:eastAsia="en-AU"/>
              </w:rPr>
            </w:pPr>
            <w:r w:rsidRPr="0030556B">
              <w:rPr>
                <w:rFonts w:cstheme="minorHAnsi"/>
                <w:color w:val="000000"/>
                <w:szCs w:val="22"/>
                <w:lang w:eastAsia="en-AU"/>
              </w:rPr>
              <w:t xml:space="preserve">Clothing </w:t>
            </w:r>
            <w:r>
              <w:rPr>
                <w:rFonts w:cstheme="minorHAnsi"/>
                <w:color w:val="000000"/>
                <w:szCs w:val="22"/>
                <w:lang w:eastAsia="en-AU"/>
              </w:rPr>
              <w:t>a</w:t>
            </w:r>
            <w:r w:rsidRPr="0030556B">
              <w:rPr>
                <w:rFonts w:cstheme="minorHAnsi"/>
                <w:color w:val="000000"/>
                <w:szCs w:val="22"/>
                <w:lang w:eastAsia="en-AU"/>
              </w:rPr>
              <w:t>ccessories</w:t>
            </w:r>
          </w:p>
        </w:tc>
        <w:tc>
          <w:tcPr>
            <w:tcW w:w="808"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6.5%</w:t>
            </w:r>
          </w:p>
        </w:tc>
        <w:tc>
          <w:tcPr>
            <w:tcW w:w="656"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7.3%</w:t>
            </w:r>
          </w:p>
        </w:tc>
        <w:tc>
          <w:tcPr>
            <w:tcW w:w="977"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1.8%</w:t>
            </w:r>
          </w:p>
        </w:tc>
        <w:tc>
          <w:tcPr>
            <w:tcW w:w="1387"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1.7%</w:t>
            </w:r>
          </w:p>
        </w:tc>
        <w:tc>
          <w:tcPr>
            <w:tcW w:w="880"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15.8%</w:t>
            </w:r>
          </w:p>
        </w:tc>
        <w:tc>
          <w:tcPr>
            <w:tcW w:w="937" w:type="dxa"/>
            <w:tcBorders>
              <w:top w:val="nil"/>
              <w:left w:val="nil"/>
              <w:bottom w:val="single" w:sz="4" w:space="0" w:color="auto"/>
              <w:right w:val="single" w:sz="4" w:space="0" w:color="auto"/>
            </w:tcBorders>
            <w:shd w:val="clear" w:color="auto" w:fill="auto"/>
            <w:vAlign w:val="center"/>
            <w:hideMark/>
          </w:tcPr>
          <w:p w:rsidR="00DC344F" w:rsidRPr="00951043" w:rsidRDefault="00DC344F" w:rsidP="00E24C4C">
            <w:pPr>
              <w:spacing w:before="120" w:line="240" w:lineRule="auto"/>
              <w:jc w:val="center"/>
              <w:rPr>
                <w:rFonts w:cstheme="minorHAnsi"/>
                <w:color w:val="000000"/>
                <w:szCs w:val="22"/>
                <w:lang w:eastAsia="en-AU"/>
              </w:rPr>
            </w:pPr>
            <w:r w:rsidRPr="00951043">
              <w:rPr>
                <w:rFonts w:cstheme="minorHAnsi"/>
                <w:color w:val="000000"/>
                <w:szCs w:val="22"/>
                <w:lang w:eastAsia="en-AU"/>
              </w:rPr>
              <w:t>21.6%</w:t>
            </w:r>
          </w:p>
        </w:tc>
        <w:tc>
          <w:tcPr>
            <w:tcW w:w="1131"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45.3%</w:t>
            </w:r>
          </w:p>
        </w:tc>
      </w:tr>
      <w:tr w:rsidR="00DC344F" w:rsidRPr="00A758D9" w:rsidTr="00CF666B">
        <w:trPr>
          <w:trHeight w:val="288"/>
        </w:trPr>
        <w:tc>
          <w:tcPr>
            <w:tcW w:w="2410" w:type="dxa"/>
            <w:tcBorders>
              <w:top w:val="nil"/>
              <w:left w:val="single" w:sz="4" w:space="0" w:color="auto"/>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rPr>
                <w:rFonts w:cstheme="minorHAnsi"/>
                <w:color w:val="000000"/>
                <w:szCs w:val="22"/>
                <w:lang w:eastAsia="en-AU"/>
              </w:rPr>
            </w:pPr>
            <w:r w:rsidRPr="0030556B">
              <w:rPr>
                <w:rFonts w:cstheme="minorHAnsi"/>
                <w:color w:val="000000"/>
                <w:szCs w:val="22"/>
                <w:lang w:eastAsia="en-AU"/>
              </w:rPr>
              <w:t>Footwear</w:t>
            </w:r>
          </w:p>
        </w:tc>
        <w:tc>
          <w:tcPr>
            <w:tcW w:w="808"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10.2%</w:t>
            </w:r>
          </w:p>
        </w:tc>
        <w:tc>
          <w:tcPr>
            <w:tcW w:w="656"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3.7%</w:t>
            </w:r>
          </w:p>
        </w:tc>
        <w:tc>
          <w:tcPr>
            <w:tcW w:w="977"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2.6%</w:t>
            </w:r>
          </w:p>
        </w:tc>
        <w:tc>
          <w:tcPr>
            <w:tcW w:w="1387"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2.9%</w:t>
            </w:r>
          </w:p>
        </w:tc>
        <w:tc>
          <w:tcPr>
            <w:tcW w:w="880"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6%</w:t>
            </w:r>
          </w:p>
        </w:tc>
        <w:tc>
          <w:tcPr>
            <w:tcW w:w="937" w:type="dxa"/>
            <w:tcBorders>
              <w:top w:val="nil"/>
              <w:left w:val="nil"/>
              <w:bottom w:val="single" w:sz="4" w:space="0" w:color="auto"/>
              <w:right w:val="single" w:sz="4" w:space="0" w:color="auto"/>
            </w:tcBorders>
            <w:shd w:val="clear" w:color="auto" w:fill="auto"/>
            <w:vAlign w:val="center"/>
            <w:hideMark/>
          </w:tcPr>
          <w:p w:rsidR="00DC344F" w:rsidRPr="00951043" w:rsidRDefault="00DC344F" w:rsidP="00E24C4C">
            <w:pPr>
              <w:spacing w:before="120" w:line="240" w:lineRule="auto"/>
              <w:jc w:val="center"/>
              <w:rPr>
                <w:rFonts w:cstheme="minorHAnsi"/>
                <w:color w:val="000000"/>
                <w:szCs w:val="22"/>
                <w:lang w:eastAsia="en-AU"/>
              </w:rPr>
            </w:pPr>
            <w:r w:rsidRPr="00951043">
              <w:rPr>
                <w:rFonts w:cstheme="minorHAnsi"/>
                <w:color w:val="000000"/>
                <w:szCs w:val="22"/>
                <w:lang w:eastAsia="en-AU"/>
              </w:rPr>
              <w:t>15.2%</w:t>
            </w:r>
          </w:p>
        </w:tc>
        <w:tc>
          <w:tcPr>
            <w:tcW w:w="1131" w:type="dxa"/>
            <w:tcBorders>
              <w:top w:val="nil"/>
              <w:left w:val="nil"/>
              <w:bottom w:val="single" w:sz="4" w:space="0" w:color="auto"/>
              <w:right w:val="single" w:sz="4" w:space="0" w:color="auto"/>
            </w:tcBorders>
            <w:shd w:val="clear" w:color="auto" w:fill="auto"/>
            <w:vAlign w:val="center"/>
            <w:hideMark/>
          </w:tcPr>
          <w:p w:rsidR="00DC344F" w:rsidRPr="0030556B" w:rsidRDefault="00DC344F" w:rsidP="00E24C4C">
            <w:pPr>
              <w:spacing w:before="120" w:line="240" w:lineRule="auto"/>
              <w:jc w:val="center"/>
              <w:rPr>
                <w:rFonts w:cstheme="minorHAnsi"/>
                <w:color w:val="000000"/>
                <w:szCs w:val="22"/>
                <w:lang w:eastAsia="en-AU"/>
              </w:rPr>
            </w:pPr>
            <w:r w:rsidRPr="0030556B">
              <w:rPr>
                <w:rFonts w:cstheme="minorHAnsi"/>
                <w:color w:val="000000"/>
                <w:szCs w:val="22"/>
                <w:lang w:eastAsia="en-AU"/>
              </w:rPr>
              <w:t>59.4%</w:t>
            </w:r>
          </w:p>
        </w:tc>
      </w:tr>
    </w:tbl>
    <w:p w:rsidR="00DC344F" w:rsidRDefault="00DC344F" w:rsidP="00DC344F">
      <w:pPr>
        <w:spacing w:line="240" w:lineRule="auto"/>
        <w:rPr>
          <w:lang w:eastAsia="en-AU"/>
        </w:rPr>
      </w:pPr>
    </w:p>
    <w:p w:rsidR="00646639" w:rsidRDefault="00DC344F" w:rsidP="00DC344F">
      <w:pPr>
        <w:jc w:val="both"/>
        <w:rPr>
          <w:lang w:eastAsia="en-AU"/>
        </w:rPr>
      </w:pPr>
      <w:r>
        <w:rPr>
          <w:w w:val="104"/>
        </w:rPr>
        <w:t xml:space="preserve">In addition to facilitating greater export opportunities, </w:t>
      </w:r>
      <w:r w:rsidR="008E079C">
        <w:rPr>
          <w:w w:val="104"/>
        </w:rPr>
        <w:t xml:space="preserve">these </w:t>
      </w:r>
      <w:r>
        <w:rPr>
          <w:w w:val="104"/>
        </w:rPr>
        <w:t xml:space="preserve">tariff </w:t>
      </w:r>
      <w:r w:rsidR="008E079C">
        <w:rPr>
          <w:w w:val="104"/>
        </w:rPr>
        <w:t xml:space="preserve">measures </w:t>
      </w:r>
      <w:r>
        <w:rPr>
          <w:w w:val="104"/>
        </w:rPr>
        <w:t xml:space="preserve">require </w:t>
      </w:r>
      <w:r w:rsidR="00243EFC">
        <w:rPr>
          <w:w w:val="104"/>
        </w:rPr>
        <w:t>l</w:t>
      </w:r>
      <w:r w:rsidR="00E639BB">
        <w:rPr>
          <w:lang w:eastAsia="en-AU"/>
        </w:rPr>
        <w:t xml:space="preserve">ocal </w:t>
      </w:r>
      <w:r w:rsidR="00243EFC">
        <w:rPr>
          <w:lang w:eastAsia="en-AU"/>
        </w:rPr>
        <w:t>businesses</w:t>
      </w:r>
      <w:r w:rsidR="004B156E">
        <w:rPr>
          <w:lang w:eastAsia="en-AU"/>
        </w:rPr>
        <w:t xml:space="preserve"> </w:t>
      </w:r>
      <w:r>
        <w:rPr>
          <w:lang w:eastAsia="en-AU"/>
        </w:rPr>
        <w:t>to compete</w:t>
      </w:r>
      <w:r w:rsidR="008E079C">
        <w:rPr>
          <w:lang w:eastAsia="en-AU"/>
        </w:rPr>
        <w:t xml:space="preserve"> </w:t>
      </w:r>
      <w:r w:rsidR="00243EFC">
        <w:rPr>
          <w:lang w:eastAsia="en-AU"/>
        </w:rPr>
        <w:t>with overseas manufacturers</w:t>
      </w:r>
      <w:r w:rsidR="008E079C">
        <w:rPr>
          <w:lang w:eastAsia="en-AU"/>
        </w:rPr>
        <w:t xml:space="preserve"> for a share of the domestic market. Typically, overseas businesses </w:t>
      </w:r>
      <w:r w:rsidR="008E079C">
        <w:rPr>
          <w:w w:val="104"/>
        </w:rPr>
        <w:t>have lower operating costs</w:t>
      </w:r>
      <w:r w:rsidR="008E079C" w:rsidRPr="008E079C">
        <w:rPr>
          <w:w w:val="104"/>
        </w:rPr>
        <w:t xml:space="preserve"> </w:t>
      </w:r>
      <w:r w:rsidR="008E079C">
        <w:rPr>
          <w:w w:val="104"/>
        </w:rPr>
        <w:t>and are able to produce lower cost</w:t>
      </w:r>
      <w:r w:rsidR="009B6509">
        <w:rPr>
          <w:w w:val="104"/>
        </w:rPr>
        <w:t xml:space="preserve"> items</w:t>
      </w:r>
      <w:r w:rsidR="008E079C">
        <w:rPr>
          <w:w w:val="104"/>
        </w:rPr>
        <w:t xml:space="preserve">. </w:t>
      </w:r>
      <w:r w:rsidR="00EA7735">
        <w:rPr>
          <w:w w:val="104"/>
        </w:rPr>
        <w:t>To complete,</w:t>
      </w:r>
      <w:r w:rsidR="00646639" w:rsidRPr="00646639">
        <w:rPr>
          <w:lang w:eastAsia="en-AU"/>
        </w:rPr>
        <w:t xml:space="preserve"> </w:t>
      </w:r>
      <w:r w:rsidR="0086222D">
        <w:rPr>
          <w:lang w:eastAsia="en-AU"/>
        </w:rPr>
        <w:t xml:space="preserve">many </w:t>
      </w:r>
      <w:r w:rsidR="00646639">
        <w:rPr>
          <w:lang w:eastAsia="en-AU"/>
        </w:rPr>
        <w:t xml:space="preserve">local businesses have </w:t>
      </w:r>
      <w:r w:rsidR="009B6509">
        <w:rPr>
          <w:lang w:eastAsia="en-AU"/>
        </w:rPr>
        <w:t xml:space="preserve">moved part or all of their </w:t>
      </w:r>
      <w:r w:rsidR="00646639">
        <w:rPr>
          <w:lang w:eastAsia="en-AU"/>
        </w:rPr>
        <w:t xml:space="preserve">production offshore, or closed down operations entirely. </w:t>
      </w:r>
      <w:r w:rsidR="00B63210">
        <w:rPr>
          <w:lang w:eastAsia="en-AU"/>
        </w:rPr>
        <w:t>O</w:t>
      </w:r>
      <w:r w:rsidR="00646639">
        <w:rPr>
          <w:lang w:eastAsia="en-AU"/>
        </w:rPr>
        <w:t>nline shopping, favouring international products increases th</w:t>
      </w:r>
      <w:r w:rsidR="009B6509">
        <w:rPr>
          <w:lang w:eastAsia="en-AU"/>
        </w:rPr>
        <w:t>e</w:t>
      </w:r>
      <w:r w:rsidR="00646639">
        <w:rPr>
          <w:lang w:eastAsia="en-AU"/>
        </w:rPr>
        <w:t xml:space="preserve"> </w:t>
      </w:r>
      <w:r w:rsidR="009B6509">
        <w:rPr>
          <w:lang w:eastAsia="en-AU"/>
        </w:rPr>
        <w:t xml:space="preserve">competitive </w:t>
      </w:r>
      <w:r w:rsidR="00646639">
        <w:rPr>
          <w:lang w:eastAsia="en-AU"/>
        </w:rPr>
        <w:t>pressure on local business</w:t>
      </w:r>
      <w:r w:rsidR="009607CC">
        <w:rPr>
          <w:lang w:eastAsia="en-AU"/>
        </w:rPr>
        <w:t xml:space="preserve">, as does the demand for </w:t>
      </w:r>
      <w:r w:rsidR="006B4F35">
        <w:rPr>
          <w:lang w:eastAsia="en-AU"/>
        </w:rPr>
        <w:t>lower cost</w:t>
      </w:r>
      <w:r w:rsidR="005271EC">
        <w:rPr>
          <w:lang w:eastAsia="en-AU"/>
        </w:rPr>
        <w:t xml:space="preserve"> </w:t>
      </w:r>
      <w:r w:rsidR="009607CC">
        <w:rPr>
          <w:lang w:eastAsia="en-AU"/>
        </w:rPr>
        <w:t>single</w:t>
      </w:r>
      <w:r w:rsidR="005271EC">
        <w:rPr>
          <w:lang w:eastAsia="en-AU"/>
        </w:rPr>
        <w:t>-</w:t>
      </w:r>
      <w:r w:rsidR="009607CC">
        <w:rPr>
          <w:lang w:eastAsia="en-AU"/>
        </w:rPr>
        <w:t xml:space="preserve">season </w:t>
      </w:r>
      <w:r>
        <w:rPr>
          <w:lang w:eastAsia="en-AU"/>
        </w:rPr>
        <w:t xml:space="preserve">and/or ‘fast’ </w:t>
      </w:r>
      <w:r w:rsidR="009607CC">
        <w:rPr>
          <w:lang w:eastAsia="en-AU"/>
        </w:rPr>
        <w:t>fashion</w:t>
      </w:r>
      <w:r w:rsidR="00646639">
        <w:rPr>
          <w:lang w:eastAsia="en-AU"/>
        </w:rPr>
        <w:t>.</w:t>
      </w:r>
      <w:r w:rsidR="00646639">
        <w:rPr>
          <w:rStyle w:val="FootnoteReference"/>
          <w:lang w:eastAsia="en-AU"/>
        </w:rPr>
        <w:footnoteReference w:id="20"/>
      </w:r>
    </w:p>
    <w:p w:rsidR="004813EA" w:rsidRDefault="00F575D4" w:rsidP="00DC344F">
      <w:pPr>
        <w:jc w:val="both"/>
        <w:rPr>
          <w:lang w:eastAsia="en-AU"/>
        </w:rPr>
      </w:pPr>
      <w:r>
        <w:rPr>
          <w:lang w:eastAsia="en-AU"/>
        </w:rPr>
        <w:t>B</w:t>
      </w:r>
      <w:r w:rsidR="00994A9A">
        <w:rPr>
          <w:lang w:eastAsia="en-AU"/>
        </w:rPr>
        <w:t xml:space="preserve">usiness </w:t>
      </w:r>
      <w:r w:rsidR="00D74204">
        <w:rPr>
          <w:lang w:eastAsia="en-AU"/>
        </w:rPr>
        <w:t xml:space="preserve">and </w:t>
      </w:r>
      <w:r w:rsidR="00994A9A">
        <w:rPr>
          <w:lang w:eastAsia="en-AU"/>
        </w:rPr>
        <w:t xml:space="preserve">employment </w:t>
      </w:r>
      <w:r w:rsidR="00D74204">
        <w:rPr>
          <w:lang w:eastAsia="en-AU"/>
        </w:rPr>
        <w:t>numbers</w:t>
      </w:r>
      <w:r w:rsidR="00D74204">
        <w:rPr>
          <w:w w:val="104"/>
        </w:rPr>
        <w:t xml:space="preserve"> in </w:t>
      </w:r>
      <w:r>
        <w:rPr>
          <w:w w:val="104"/>
        </w:rPr>
        <w:t xml:space="preserve">the </w:t>
      </w:r>
      <w:r w:rsidR="00EA7735">
        <w:rPr>
          <w:w w:val="104"/>
        </w:rPr>
        <w:t>TCF</w:t>
      </w:r>
      <w:r w:rsidR="00DC344F">
        <w:rPr>
          <w:w w:val="104"/>
        </w:rPr>
        <w:t xml:space="preserve"> sector </w:t>
      </w:r>
      <w:r w:rsidR="009219E9">
        <w:rPr>
          <w:lang w:eastAsia="en-AU"/>
        </w:rPr>
        <w:t>decline</w:t>
      </w:r>
      <w:r>
        <w:rPr>
          <w:lang w:eastAsia="en-AU"/>
        </w:rPr>
        <w:t>d</w:t>
      </w:r>
      <w:r w:rsidR="009219E9">
        <w:rPr>
          <w:lang w:eastAsia="en-AU"/>
        </w:rPr>
        <w:t xml:space="preserve"> </w:t>
      </w:r>
      <w:r w:rsidR="00EA7735">
        <w:rPr>
          <w:lang w:eastAsia="en-AU"/>
        </w:rPr>
        <w:t xml:space="preserve">over </w:t>
      </w:r>
      <w:r w:rsidR="00994A9A">
        <w:rPr>
          <w:lang w:eastAsia="en-AU"/>
        </w:rPr>
        <w:t xml:space="preserve">the five-year period spanning </w:t>
      </w:r>
      <w:r w:rsidR="00AF1BAC">
        <w:rPr>
          <w:lang w:eastAsia="en-AU"/>
        </w:rPr>
        <w:t xml:space="preserve">July </w:t>
      </w:r>
      <w:r w:rsidR="00994A9A">
        <w:rPr>
          <w:lang w:eastAsia="en-AU"/>
        </w:rPr>
        <w:t>2013</w:t>
      </w:r>
      <w:r>
        <w:rPr>
          <w:lang w:eastAsia="en-AU"/>
        </w:rPr>
        <w:t xml:space="preserve"> to </w:t>
      </w:r>
      <w:r w:rsidR="00AF1BAC">
        <w:rPr>
          <w:lang w:eastAsia="en-AU"/>
        </w:rPr>
        <w:t xml:space="preserve">June </w:t>
      </w:r>
      <w:r w:rsidR="00994A9A">
        <w:rPr>
          <w:lang w:eastAsia="en-AU"/>
        </w:rPr>
        <w:t>2017.</w:t>
      </w:r>
      <w:r w:rsidR="00911B3F">
        <w:rPr>
          <w:lang w:eastAsia="en-AU"/>
        </w:rPr>
        <w:t xml:space="preserve"> </w:t>
      </w:r>
      <w:r w:rsidR="009219E9">
        <w:rPr>
          <w:lang w:eastAsia="en-AU"/>
        </w:rPr>
        <w:t xml:space="preserve">The number </w:t>
      </w:r>
      <w:r w:rsidR="00DC344F">
        <w:rPr>
          <w:lang w:eastAsia="en-AU"/>
        </w:rPr>
        <w:t xml:space="preserve">of </w:t>
      </w:r>
      <w:r>
        <w:rPr>
          <w:lang w:eastAsia="en-AU"/>
        </w:rPr>
        <w:t xml:space="preserve">TCF </w:t>
      </w:r>
      <w:r w:rsidR="009219E9">
        <w:rPr>
          <w:lang w:eastAsia="en-AU"/>
        </w:rPr>
        <w:t>businesses fell by 11%</w:t>
      </w:r>
      <w:r w:rsidR="003238E4">
        <w:rPr>
          <w:lang w:eastAsia="en-AU"/>
        </w:rPr>
        <w:t xml:space="preserve">, </w:t>
      </w:r>
      <w:r>
        <w:rPr>
          <w:lang w:eastAsia="en-AU"/>
        </w:rPr>
        <w:t xml:space="preserve">which was at a higher rate than </w:t>
      </w:r>
      <w:r w:rsidR="003238E4">
        <w:rPr>
          <w:lang w:eastAsia="en-AU"/>
        </w:rPr>
        <w:t xml:space="preserve">the manufacturing industry as a whole </w:t>
      </w:r>
      <w:r w:rsidR="00AF1BAC">
        <w:rPr>
          <w:lang w:eastAsia="en-AU"/>
        </w:rPr>
        <w:t>(</w:t>
      </w:r>
      <w:r w:rsidR="0022251C">
        <w:rPr>
          <w:lang w:eastAsia="en-AU"/>
        </w:rPr>
        <w:t>6.</w:t>
      </w:r>
      <w:r w:rsidR="003238E4">
        <w:rPr>
          <w:lang w:eastAsia="en-AU"/>
        </w:rPr>
        <w:t>2%)</w:t>
      </w:r>
      <w:r w:rsidR="00A1678D">
        <w:rPr>
          <w:lang w:eastAsia="en-AU"/>
        </w:rPr>
        <w:t>.</w:t>
      </w:r>
      <w:r w:rsidR="00BA1814">
        <w:rPr>
          <w:rStyle w:val="FootnoteReference"/>
          <w:lang w:eastAsia="en-AU"/>
        </w:rPr>
        <w:footnoteReference w:id="21"/>
      </w:r>
      <w:r w:rsidR="003238E4">
        <w:rPr>
          <w:lang w:eastAsia="en-AU"/>
        </w:rPr>
        <w:t xml:space="preserve"> Over the same period, employee numbers in the </w:t>
      </w:r>
      <w:r w:rsidR="00EA7735">
        <w:rPr>
          <w:w w:val="104"/>
        </w:rPr>
        <w:t>TCF</w:t>
      </w:r>
      <w:r w:rsidR="003238E4" w:rsidRPr="00642FA2">
        <w:rPr>
          <w:w w:val="104"/>
        </w:rPr>
        <w:t xml:space="preserve"> </w:t>
      </w:r>
      <w:r w:rsidR="00EA7735">
        <w:rPr>
          <w:w w:val="104"/>
        </w:rPr>
        <w:t xml:space="preserve">industry </w:t>
      </w:r>
      <w:r w:rsidR="003238E4">
        <w:rPr>
          <w:lang w:eastAsia="en-AU"/>
        </w:rPr>
        <w:t>fell by 13%</w:t>
      </w:r>
      <w:r w:rsidR="00BA1814">
        <w:rPr>
          <w:lang w:eastAsia="en-AU"/>
        </w:rPr>
        <w:t xml:space="preserve"> (</w:t>
      </w:r>
      <w:r w:rsidR="003238E4">
        <w:rPr>
          <w:lang w:eastAsia="en-AU"/>
        </w:rPr>
        <w:t>from 38,000 to 33,088</w:t>
      </w:r>
      <w:r w:rsidR="00BA1814">
        <w:rPr>
          <w:lang w:eastAsia="en-AU"/>
        </w:rPr>
        <w:t>)</w:t>
      </w:r>
      <w:r w:rsidR="003238E4">
        <w:rPr>
          <w:lang w:eastAsia="en-AU"/>
        </w:rPr>
        <w:t xml:space="preserve"> </w:t>
      </w:r>
      <w:r w:rsidR="004813EA">
        <w:rPr>
          <w:lang w:eastAsia="en-AU"/>
        </w:rPr>
        <w:t xml:space="preserve">compared to a </w:t>
      </w:r>
      <w:r w:rsidR="003238E4">
        <w:rPr>
          <w:lang w:eastAsia="en-AU"/>
        </w:rPr>
        <w:t>6%</w:t>
      </w:r>
      <w:r w:rsidR="004813EA">
        <w:rPr>
          <w:lang w:eastAsia="en-AU"/>
        </w:rPr>
        <w:t xml:space="preserve"> decline for the manufacturing industry</w:t>
      </w:r>
      <w:r w:rsidR="007F39ED">
        <w:rPr>
          <w:lang w:eastAsia="en-AU"/>
        </w:rPr>
        <w:t xml:space="preserve"> as a whole</w:t>
      </w:r>
      <w:r w:rsidR="00A1678D">
        <w:rPr>
          <w:lang w:eastAsia="en-AU"/>
        </w:rPr>
        <w:t>.</w:t>
      </w:r>
      <w:r w:rsidR="00657D0D">
        <w:rPr>
          <w:rStyle w:val="FootnoteReference"/>
          <w:lang w:eastAsia="en-AU"/>
        </w:rPr>
        <w:footnoteReference w:id="22"/>
      </w:r>
      <w:r w:rsidR="004813EA">
        <w:rPr>
          <w:lang w:eastAsia="en-AU"/>
        </w:rPr>
        <w:t xml:space="preserve"> </w:t>
      </w:r>
    </w:p>
    <w:p w:rsidR="00AF1695" w:rsidRDefault="00AF1695" w:rsidP="00E35837">
      <w:pPr>
        <w:rPr>
          <w:lang w:eastAsia="en-AU"/>
        </w:rPr>
      </w:pPr>
      <w:r>
        <w:rPr>
          <w:lang w:eastAsia="en-AU"/>
        </w:rPr>
        <w:t>The FWO’s experience is that wages</w:t>
      </w:r>
      <w:r w:rsidR="00AE26F1">
        <w:rPr>
          <w:lang w:eastAsia="en-AU"/>
        </w:rPr>
        <w:t xml:space="preserve"> </w:t>
      </w:r>
      <w:r w:rsidR="004B156E">
        <w:rPr>
          <w:lang w:eastAsia="en-AU"/>
        </w:rPr>
        <w:t>are</w:t>
      </w:r>
      <w:r>
        <w:rPr>
          <w:lang w:eastAsia="en-AU"/>
        </w:rPr>
        <w:t xml:space="preserve"> more susceptible to </w:t>
      </w:r>
      <w:r w:rsidR="00AE26F1">
        <w:rPr>
          <w:lang w:eastAsia="en-AU"/>
        </w:rPr>
        <w:t>an employer’s cost-</w:t>
      </w:r>
      <w:r>
        <w:rPr>
          <w:lang w:eastAsia="en-AU"/>
        </w:rPr>
        <w:t>cutting efforts tha</w:t>
      </w:r>
      <w:r w:rsidR="00081FCF">
        <w:rPr>
          <w:lang w:eastAsia="en-AU"/>
        </w:rPr>
        <w:t>n</w:t>
      </w:r>
      <w:r w:rsidR="001F7EBA">
        <w:rPr>
          <w:lang w:eastAsia="en-AU"/>
        </w:rPr>
        <w:t xml:space="preserve"> a reduction of</w:t>
      </w:r>
      <w:r>
        <w:rPr>
          <w:lang w:eastAsia="en-AU"/>
        </w:rPr>
        <w:t xml:space="preserve"> fixed costs, particularly where businesses operate in a</w:t>
      </w:r>
      <w:r w:rsidR="00CF66B9">
        <w:rPr>
          <w:lang w:eastAsia="en-AU"/>
        </w:rPr>
        <w:t xml:space="preserve"> competitive market environment.</w:t>
      </w:r>
    </w:p>
    <w:p w:rsidR="006E36D8" w:rsidRDefault="006E36D8" w:rsidP="007B6788">
      <w:pPr>
        <w:pStyle w:val="Heading3"/>
      </w:pPr>
      <w:r>
        <w:t xml:space="preserve">The workforce </w:t>
      </w:r>
    </w:p>
    <w:p w:rsidR="00883F46" w:rsidRDefault="002B2671" w:rsidP="0050667A">
      <w:pPr>
        <w:jc w:val="both"/>
        <w:rPr>
          <w:lang w:eastAsia="en-AU"/>
        </w:rPr>
      </w:pPr>
      <w:r w:rsidRPr="00BC636D">
        <w:rPr>
          <w:lang w:eastAsia="en-AU"/>
        </w:rPr>
        <w:t xml:space="preserve">Workers in the </w:t>
      </w:r>
      <w:r w:rsidR="0050667A">
        <w:rPr>
          <w:lang w:eastAsia="en-AU"/>
        </w:rPr>
        <w:t>TCF sector possess characteristics associated with vulnerability, including</w:t>
      </w:r>
      <w:r w:rsidR="00883F46">
        <w:rPr>
          <w:lang w:eastAsia="en-AU"/>
        </w:rPr>
        <w:t xml:space="preserve"> a higher </w:t>
      </w:r>
      <w:r w:rsidR="00114F54">
        <w:rPr>
          <w:lang w:eastAsia="en-AU"/>
        </w:rPr>
        <w:t xml:space="preserve">overall </w:t>
      </w:r>
      <w:r w:rsidR="00883F46">
        <w:rPr>
          <w:lang w:eastAsia="en-AU"/>
        </w:rPr>
        <w:t>proportion of:</w:t>
      </w:r>
    </w:p>
    <w:p w:rsidR="00883F46" w:rsidRDefault="00883F46" w:rsidP="008A32CE">
      <w:pPr>
        <w:pStyle w:val="Bullet"/>
        <w:numPr>
          <w:ilvl w:val="0"/>
          <w:numId w:val="37"/>
        </w:numPr>
        <w:spacing w:before="0" w:line="360" w:lineRule="auto"/>
        <w:rPr>
          <w:lang w:eastAsia="en-AU"/>
        </w:rPr>
      </w:pPr>
      <w:r>
        <w:rPr>
          <w:lang w:eastAsia="en-AU"/>
        </w:rPr>
        <w:t>women</w:t>
      </w:r>
    </w:p>
    <w:p w:rsidR="00883F46" w:rsidRDefault="0050667A" w:rsidP="008A32CE">
      <w:pPr>
        <w:pStyle w:val="Bullet"/>
        <w:numPr>
          <w:ilvl w:val="0"/>
          <w:numId w:val="37"/>
        </w:numPr>
        <w:spacing w:before="0" w:line="360" w:lineRule="auto"/>
        <w:rPr>
          <w:lang w:eastAsia="en-AU"/>
        </w:rPr>
      </w:pPr>
      <w:r>
        <w:rPr>
          <w:lang w:eastAsia="en-AU"/>
        </w:rPr>
        <w:t>migrant</w:t>
      </w:r>
      <w:r w:rsidR="001F7EBA">
        <w:rPr>
          <w:lang w:eastAsia="en-AU"/>
        </w:rPr>
        <w:t>s</w:t>
      </w:r>
      <w:r>
        <w:rPr>
          <w:lang w:eastAsia="en-AU"/>
        </w:rPr>
        <w:t xml:space="preserve"> </w:t>
      </w:r>
    </w:p>
    <w:p w:rsidR="00883F46" w:rsidRDefault="0050667A" w:rsidP="008A32CE">
      <w:pPr>
        <w:pStyle w:val="Bullet"/>
        <w:numPr>
          <w:ilvl w:val="0"/>
          <w:numId w:val="37"/>
        </w:numPr>
        <w:spacing w:before="0" w:line="360" w:lineRule="auto"/>
        <w:rPr>
          <w:lang w:eastAsia="en-AU"/>
        </w:rPr>
      </w:pPr>
      <w:r>
        <w:rPr>
          <w:lang w:eastAsia="en-AU"/>
        </w:rPr>
        <w:t>mature age</w:t>
      </w:r>
      <w:r w:rsidR="001F7EBA">
        <w:rPr>
          <w:lang w:eastAsia="en-AU"/>
        </w:rPr>
        <w:t>d</w:t>
      </w:r>
      <w:r>
        <w:rPr>
          <w:lang w:eastAsia="en-AU"/>
        </w:rPr>
        <w:t xml:space="preserve">, and </w:t>
      </w:r>
    </w:p>
    <w:p w:rsidR="00883F46" w:rsidRDefault="00883F46" w:rsidP="008A32CE">
      <w:pPr>
        <w:pStyle w:val="Bullet"/>
        <w:numPr>
          <w:ilvl w:val="0"/>
          <w:numId w:val="37"/>
        </w:numPr>
        <w:spacing w:before="0" w:line="360" w:lineRule="auto"/>
        <w:rPr>
          <w:lang w:eastAsia="en-AU"/>
        </w:rPr>
      </w:pPr>
      <w:proofErr w:type="gramStart"/>
      <w:r>
        <w:rPr>
          <w:lang w:eastAsia="en-AU"/>
        </w:rPr>
        <w:t>unqualified</w:t>
      </w:r>
      <w:proofErr w:type="gramEnd"/>
      <w:r>
        <w:rPr>
          <w:lang w:eastAsia="en-AU"/>
        </w:rPr>
        <w:t xml:space="preserve"> workers, with less educational attainment</w:t>
      </w:r>
      <w:r w:rsidR="00D81816">
        <w:rPr>
          <w:lang w:eastAsia="en-AU"/>
        </w:rPr>
        <w:t xml:space="preserve"> overall</w:t>
      </w:r>
      <w:r>
        <w:rPr>
          <w:lang w:eastAsia="en-AU"/>
        </w:rPr>
        <w:t>.</w:t>
      </w:r>
    </w:p>
    <w:p w:rsidR="00E15D89" w:rsidRPr="00BC636D" w:rsidRDefault="001F7EBA" w:rsidP="0050667A">
      <w:pPr>
        <w:jc w:val="both"/>
        <w:rPr>
          <w:lang w:eastAsia="en-AU"/>
        </w:rPr>
      </w:pPr>
      <w:r>
        <w:rPr>
          <w:lang w:eastAsia="en-AU"/>
        </w:rPr>
        <w:t>Women</w:t>
      </w:r>
      <w:r w:rsidR="00E15D89" w:rsidRPr="00BC636D">
        <w:rPr>
          <w:lang w:eastAsia="en-AU"/>
        </w:rPr>
        <w:t xml:space="preserve"> </w:t>
      </w:r>
      <w:r w:rsidR="00403132">
        <w:rPr>
          <w:lang w:eastAsia="en-AU"/>
        </w:rPr>
        <w:t>comprise</w:t>
      </w:r>
      <w:r w:rsidR="00E15D89" w:rsidRPr="00BC636D">
        <w:rPr>
          <w:lang w:eastAsia="en-AU"/>
        </w:rPr>
        <w:t xml:space="preserve"> 59.1% of TCF </w:t>
      </w:r>
      <w:r w:rsidR="00136B51">
        <w:rPr>
          <w:lang w:eastAsia="en-AU"/>
        </w:rPr>
        <w:t xml:space="preserve">workers </w:t>
      </w:r>
      <w:r w:rsidR="00D81816">
        <w:rPr>
          <w:lang w:eastAsia="en-AU"/>
        </w:rPr>
        <w:t xml:space="preserve">- </w:t>
      </w:r>
      <w:r w:rsidR="00E15D89" w:rsidRPr="00BC636D">
        <w:rPr>
          <w:lang w:eastAsia="en-AU"/>
        </w:rPr>
        <w:t>compared to 48% for all industries combined</w:t>
      </w:r>
      <w:r w:rsidR="00E15D89" w:rsidRPr="00864736">
        <w:rPr>
          <w:rStyle w:val="FootnoteReference"/>
        </w:rPr>
        <w:footnoteReference w:id="23"/>
      </w:r>
      <w:r w:rsidR="00E15D89">
        <w:t xml:space="preserve"> </w:t>
      </w:r>
      <w:r w:rsidR="00136B51">
        <w:t xml:space="preserve">and </w:t>
      </w:r>
      <w:r w:rsidR="00211EA9">
        <w:rPr>
          <w:lang w:eastAsia="en-AU"/>
        </w:rPr>
        <w:t>2</w:t>
      </w:r>
      <w:r w:rsidR="003F0F15">
        <w:rPr>
          <w:lang w:eastAsia="en-AU"/>
        </w:rPr>
        <w:t>8</w:t>
      </w:r>
      <w:r w:rsidR="00211EA9">
        <w:rPr>
          <w:lang w:eastAsia="en-AU"/>
        </w:rPr>
        <w:t xml:space="preserve">% </w:t>
      </w:r>
      <w:r w:rsidR="00136B51">
        <w:rPr>
          <w:lang w:eastAsia="en-AU"/>
        </w:rPr>
        <w:t>for manufacturing</w:t>
      </w:r>
      <w:r w:rsidR="00E15D89" w:rsidDel="00211EA9">
        <w:rPr>
          <w:lang w:eastAsia="en-AU"/>
        </w:rPr>
        <w:t xml:space="preserve"> as a whole</w:t>
      </w:r>
      <w:r w:rsidR="00211EA9">
        <w:rPr>
          <w:lang w:eastAsia="en-AU"/>
        </w:rPr>
        <w:t>.</w:t>
      </w:r>
      <w:r w:rsidR="00E15D89" w:rsidRPr="00864736">
        <w:rPr>
          <w:rStyle w:val="FootnoteReference"/>
        </w:rPr>
        <w:footnoteReference w:id="24"/>
      </w:r>
      <w:r w:rsidR="00136B51">
        <w:t xml:space="preserve"> This </w:t>
      </w:r>
      <w:r w:rsidR="00403132">
        <w:t xml:space="preserve">share of the workforce </w:t>
      </w:r>
      <w:r w:rsidR="00136B51">
        <w:t>is reflected in FWO</w:t>
      </w:r>
      <w:r w:rsidR="00E15D89">
        <w:t xml:space="preserve"> </w:t>
      </w:r>
      <w:r w:rsidR="00E15D89" w:rsidRPr="00BC636D">
        <w:rPr>
          <w:lang w:eastAsia="en-AU"/>
        </w:rPr>
        <w:t>workplace dispute data</w:t>
      </w:r>
      <w:r w:rsidR="00114F54">
        <w:rPr>
          <w:lang w:eastAsia="en-AU"/>
        </w:rPr>
        <w:t xml:space="preserve"> </w:t>
      </w:r>
      <w:r w:rsidR="00136B51">
        <w:rPr>
          <w:lang w:eastAsia="en-AU"/>
        </w:rPr>
        <w:t>with</w:t>
      </w:r>
      <w:r w:rsidR="00E15D89" w:rsidRPr="00BC636D">
        <w:rPr>
          <w:lang w:eastAsia="en-AU"/>
        </w:rPr>
        <w:t xml:space="preserve"> 56.9% of </w:t>
      </w:r>
      <w:r w:rsidR="00136B51">
        <w:rPr>
          <w:lang w:eastAsia="en-AU"/>
        </w:rPr>
        <w:t xml:space="preserve">TCF disputes </w:t>
      </w:r>
      <w:r w:rsidR="00740CF5">
        <w:rPr>
          <w:lang w:eastAsia="en-AU"/>
        </w:rPr>
        <w:t>originating from</w:t>
      </w:r>
      <w:r w:rsidR="00E15D89" w:rsidRPr="00BC636D">
        <w:rPr>
          <w:lang w:eastAsia="en-AU"/>
        </w:rPr>
        <w:t xml:space="preserve"> </w:t>
      </w:r>
      <w:r w:rsidR="00883F46">
        <w:rPr>
          <w:lang w:eastAsia="en-AU"/>
        </w:rPr>
        <w:t>women</w:t>
      </w:r>
      <w:r w:rsidR="00E15D89" w:rsidRPr="00BC636D">
        <w:rPr>
          <w:lang w:eastAsia="en-AU"/>
        </w:rPr>
        <w:t xml:space="preserve">, compared to </w:t>
      </w:r>
      <w:r w:rsidR="001976F2">
        <w:rPr>
          <w:lang w:eastAsia="en-AU"/>
        </w:rPr>
        <w:t xml:space="preserve">an average of </w:t>
      </w:r>
      <w:r w:rsidR="00E15D89" w:rsidRPr="00BC636D">
        <w:rPr>
          <w:lang w:eastAsia="en-AU"/>
        </w:rPr>
        <w:t>42</w:t>
      </w:r>
      <w:r w:rsidR="008E1DD2">
        <w:rPr>
          <w:lang w:eastAsia="en-AU"/>
        </w:rPr>
        <w:t>.9% for all industries combined.</w:t>
      </w:r>
    </w:p>
    <w:p w:rsidR="00E15D89" w:rsidRPr="00BC636D" w:rsidRDefault="00E15D89" w:rsidP="0089267E">
      <w:pPr>
        <w:jc w:val="both"/>
        <w:rPr>
          <w:lang w:eastAsia="en-AU"/>
        </w:rPr>
      </w:pPr>
      <w:r w:rsidRPr="00BC636D">
        <w:rPr>
          <w:lang w:eastAsia="en-AU"/>
        </w:rPr>
        <w:t xml:space="preserve">The </w:t>
      </w:r>
      <w:r w:rsidR="001976F2">
        <w:rPr>
          <w:lang w:eastAsia="en-AU"/>
        </w:rPr>
        <w:t xml:space="preserve">TCF </w:t>
      </w:r>
      <w:r w:rsidR="0089267E">
        <w:rPr>
          <w:lang w:eastAsia="en-AU"/>
        </w:rPr>
        <w:t>sector</w:t>
      </w:r>
      <w:r w:rsidRPr="00BC636D">
        <w:rPr>
          <w:lang w:eastAsia="en-AU"/>
        </w:rPr>
        <w:t xml:space="preserve"> also </w:t>
      </w:r>
      <w:r w:rsidR="00883F46">
        <w:rPr>
          <w:lang w:eastAsia="en-AU"/>
        </w:rPr>
        <w:t xml:space="preserve">employs </w:t>
      </w:r>
      <w:r w:rsidRPr="00BC636D">
        <w:rPr>
          <w:lang w:eastAsia="en-AU"/>
        </w:rPr>
        <w:t xml:space="preserve">a higher proportion of </w:t>
      </w:r>
      <w:r w:rsidR="00883F46">
        <w:rPr>
          <w:lang w:eastAsia="en-AU"/>
        </w:rPr>
        <w:t xml:space="preserve">people </w:t>
      </w:r>
      <w:r w:rsidRPr="00BC636D">
        <w:rPr>
          <w:lang w:eastAsia="en-AU"/>
        </w:rPr>
        <w:t xml:space="preserve">born </w:t>
      </w:r>
      <w:r w:rsidR="00883F46">
        <w:rPr>
          <w:lang w:eastAsia="en-AU"/>
        </w:rPr>
        <w:t xml:space="preserve">overseas </w:t>
      </w:r>
      <w:r w:rsidRPr="00BC636D">
        <w:rPr>
          <w:lang w:eastAsia="en-AU"/>
        </w:rPr>
        <w:t>(44%)</w:t>
      </w:r>
      <w:r w:rsidR="00883F46">
        <w:rPr>
          <w:lang w:eastAsia="en-AU"/>
        </w:rPr>
        <w:t>,</w:t>
      </w:r>
      <w:r w:rsidRPr="00BC636D">
        <w:rPr>
          <w:lang w:eastAsia="en-AU"/>
        </w:rPr>
        <w:t xml:space="preserve"> compared to all industries (30.4%).</w:t>
      </w:r>
      <w:r w:rsidRPr="00864736">
        <w:rPr>
          <w:rStyle w:val="FootnoteReference"/>
        </w:rPr>
        <w:footnoteReference w:id="25"/>
      </w:r>
      <w:r w:rsidR="0089267E">
        <w:t xml:space="preserve"> </w:t>
      </w:r>
      <w:r w:rsidR="0089267E">
        <w:rPr>
          <w:lang w:eastAsia="en-AU"/>
        </w:rPr>
        <w:t xml:space="preserve">The FWO’s experience </w:t>
      </w:r>
      <w:r w:rsidR="002B3256">
        <w:rPr>
          <w:lang w:eastAsia="en-AU"/>
        </w:rPr>
        <w:t>is that</w:t>
      </w:r>
      <w:r w:rsidR="0089267E">
        <w:rPr>
          <w:lang w:eastAsia="en-AU"/>
        </w:rPr>
        <w:t xml:space="preserve"> workers</w:t>
      </w:r>
      <w:r w:rsidR="00883F46">
        <w:rPr>
          <w:lang w:eastAsia="en-AU"/>
        </w:rPr>
        <w:t xml:space="preserve"> from </w:t>
      </w:r>
      <w:r w:rsidR="00883F46" w:rsidRPr="002562C6">
        <w:rPr>
          <w:lang w:eastAsia="en-AU"/>
        </w:rPr>
        <w:t>c</w:t>
      </w:r>
      <w:r w:rsidRPr="00BC636D">
        <w:rPr>
          <w:lang w:eastAsia="en-AU"/>
        </w:rPr>
        <w:t>ultural</w:t>
      </w:r>
      <w:r w:rsidR="00883F46">
        <w:rPr>
          <w:lang w:eastAsia="en-AU"/>
        </w:rPr>
        <w:t>ly</w:t>
      </w:r>
      <w:r w:rsidRPr="00BC636D">
        <w:rPr>
          <w:lang w:eastAsia="en-AU"/>
        </w:rPr>
        <w:t xml:space="preserve"> and linguistic</w:t>
      </w:r>
      <w:r w:rsidR="00883F46">
        <w:rPr>
          <w:lang w:eastAsia="en-AU"/>
        </w:rPr>
        <w:t xml:space="preserve">ally diverse backgrounds are less likely to </w:t>
      </w:r>
      <w:r w:rsidRPr="00BC636D">
        <w:rPr>
          <w:lang w:eastAsia="en-AU"/>
        </w:rPr>
        <w:t xml:space="preserve">understand their </w:t>
      </w:r>
      <w:r w:rsidR="00883F46">
        <w:rPr>
          <w:lang w:eastAsia="en-AU"/>
        </w:rPr>
        <w:t xml:space="preserve">workplace </w:t>
      </w:r>
      <w:r w:rsidRPr="00BC636D">
        <w:rPr>
          <w:lang w:eastAsia="en-AU"/>
        </w:rPr>
        <w:t xml:space="preserve">rights </w:t>
      </w:r>
      <w:r w:rsidR="00883F46">
        <w:rPr>
          <w:lang w:eastAsia="en-AU"/>
        </w:rPr>
        <w:t xml:space="preserve">and </w:t>
      </w:r>
      <w:r w:rsidRPr="00BC636D">
        <w:rPr>
          <w:lang w:eastAsia="en-AU"/>
        </w:rPr>
        <w:t>entitlements</w:t>
      </w:r>
      <w:r w:rsidR="00883F46">
        <w:rPr>
          <w:lang w:eastAsia="en-AU"/>
        </w:rPr>
        <w:t xml:space="preserve">. </w:t>
      </w:r>
      <w:r w:rsidR="0089267E">
        <w:rPr>
          <w:lang w:eastAsia="en-AU"/>
        </w:rPr>
        <w:t>Moreover,</w:t>
      </w:r>
      <w:r w:rsidR="008A32CE">
        <w:rPr>
          <w:lang w:eastAsia="en-AU"/>
        </w:rPr>
        <w:t xml:space="preserve"> vulnerable workers are </w:t>
      </w:r>
      <w:r w:rsidR="00883F46">
        <w:rPr>
          <w:lang w:eastAsia="en-AU"/>
        </w:rPr>
        <w:t>less likely to</w:t>
      </w:r>
      <w:r w:rsidRPr="00BC636D">
        <w:rPr>
          <w:lang w:eastAsia="en-AU"/>
        </w:rPr>
        <w:t xml:space="preserve"> approach their employer or the FWO </w:t>
      </w:r>
      <w:r w:rsidR="00883F46">
        <w:rPr>
          <w:lang w:eastAsia="en-AU"/>
        </w:rPr>
        <w:t xml:space="preserve">with </w:t>
      </w:r>
      <w:r w:rsidRPr="00BC636D">
        <w:rPr>
          <w:lang w:eastAsia="en-AU"/>
        </w:rPr>
        <w:t>concerns about their wor</w:t>
      </w:r>
      <w:r w:rsidR="00FE7393">
        <w:rPr>
          <w:lang w:eastAsia="en-AU"/>
        </w:rPr>
        <w:t>k</w:t>
      </w:r>
      <w:r w:rsidR="00883F46">
        <w:rPr>
          <w:lang w:eastAsia="en-AU"/>
        </w:rPr>
        <w:t>ing conditions</w:t>
      </w:r>
      <w:r w:rsidR="0029648C">
        <w:rPr>
          <w:lang w:eastAsia="en-AU"/>
        </w:rPr>
        <w:t>.</w:t>
      </w:r>
    </w:p>
    <w:p w:rsidR="00BC636D" w:rsidRPr="00BC636D" w:rsidRDefault="00BC636D" w:rsidP="0089267E">
      <w:pPr>
        <w:jc w:val="both"/>
        <w:rPr>
          <w:lang w:eastAsia="en-AU"/>
        </w:rPr>
      </w:pPr>
      <w:r w:rsidRPr="00BC636D">
        <w:rPr>
          <w:lang w:eastAsia="en-AU"/>
        </w:rPr>
        <w:t xml:space="preserve">The age profile of the TCF </w:t>
      </w:r>
      <w:r w:rsidR="0089267E">
        <w:rPr>
          <w:lang w:eastAsia="en-AU"/>
        </w:rPr>
        <w:t>sector</w:t>
      </w:r>
      <w:r w:rsidRPr="00BC636D">
        <w:rPr>
          <w:lang w:eastAsia="en-AU"/>
        </w:rPr>
        <w:t xml:space="preserve"> is notably older than that of both the manufacturing sector and all other industries taken as a whole. The industry has a comparatively low proportion of workers aged between 15-34 years</w:t>
      </w:r>
      <w:r w:rsidR="0089267E">
        <w:rPr>
          <w:lang w:eastAsia="en-AU"/>
        </w:rPr>
        <w:t>, similarly,</w:t>
      </w:r>
      <w:r w:rsidRPr="00BC636D">
        <w:rPr>
          <w:lang w:eastAsia="en-AU"/>
        </w:rPr>
        <w:t xml:space="preserve"> reflected in FWO dispute data</w:t>
      </w:r>
      <w:r w:rsidR="0029648C">
        <w:rPr>
          <w:lang w:eastAsia="en-AU"/>
        </w:rPr>
        <w:t>.</w:t>
      </w:r>
      <w:r w:rsidR="0029648C">
        <w:rPr>
          <w:rStyle w:val="FootnoteReference"/>
          <w:lang w:eastAsia="en-AU"/>
        </w:rPr>
        <w:footnoteReference w:id="26"/>
      </w:r>
    </w:p>
    <w:p w:rsidR="00DC67AA" w:rsidRDefault="009F4C5B" w:rsidP="009F4C5B">
      <w:pPr>
        <w:jc w:val="both"/>
        <w:rPr>
          <w:lang w:eastAsia="en-AU"/>
        </w:rPr>
      </w:pPr>
      <w:r>
        <w:rPr>
          <w:lang w:eastAsia="en-AU"/>
        </w:rPr>
        <w:t>A</w:t>
      </w:r>
      <w:r w:rsidR="00BC636D" w:rsidRPr="00BC636D">
        <w:rPr>
          <w:lang w:eastAsia="en-AU"/>
        </w:rPr>
        <w:t xml:space="preserve">s Table 2 shows, the </w:t>
      </w:r>
      <w:r>
        <w:rPr>
          <w:lang w:eastAsia="en-AU"/>
        </w:rPr>
        <w:t>sector</w:t>
      </w:r>
      <w:r w:rsidR="00BC636D" w:rsidRPr="00BC636D">
        <w:rPr>
          <w:lang w:eastAsia="en-AU"/>
        </w:rPr>
        <w:t xml:space="preserve"> employs a greater proportion of workers over 45 years of age. Significantly, </w:t>
      </w:r>
      <w:r w:rsidR="00FB63FD">
        <w:rPr>
          <w:lang w:eastAsia="en-AU"/>
        </w:rPr>
        <w:t xml:space="preserve">the </w:t>
      </w:r>
      <w:r w:rsidR="00BC636D" w:rsidRPr="00BC636D">
        <w:rPr>
          <w:lang w:eastAsia="en-AU"/>
        </w:rPr>
        <w:t>greatest proportion of workers engaged in the industry are 55 years of age or older (30.6%), whereas for all other industries the largest proportion of the labour-force is between 25-34 years of age (34.4%). Given the declining size of the industry, and the difficulties that older employees may face in finding alternative employment, or in re-skilling, this a</w:t>
      </w:r>
      <w:r w:rsidR="00FB63FD">
        <w:rPr>
          <w:lang w:eastAsia="en-AU"/>
        </w:rPr>
        <w:t xml:space="preserve">ge profile may be considered a further </w:t>
      </w:r>
      <w:r w:rsidR="00BC636D" w:rsidRPr="00BC636D">
        <w:rPr>
          <w:lang w:eastAsia="en-AU"/>
        </w:rPr>
        <w:t>indicator of workforce vulnerability.</w:t>
      </w:r>
    </w:p>
    <w:p w:rsidR="00CF666B" w:rsidRDefault="00CF666B" w:rsidP="009F4C5B">
      <w:pPr>
        <w:jc w:val="both"/>
        <w:rPr>
          <w:lang w:eastAsia="en-AU"/>
        </w:rPr>
      </w:pPr>
    </w:p>
    <w:p w:rsidR="00BC636D" w:rsidRPr="00494380" w:rsidRDefault="00BC636D" w:rsidP="007B6788">
      <w:pPr>
        <w:pStyle w:val="Heading3"/>
      </w:pPr>
      <w:r w:rsidRPr="00494380">
        <w:t xml:space="preserve">Table </w:t>
      </w:r>
      <w:r>
        <w:t>2</w:t>
      </w:r>
      <w:r w:rsidRPr="00494380">
        <w:t xml:space="preserve">: </w:t>
      </w:r>
      <w:r>
        <w:t>Age profile</w:t>
      </w:r>
      <w:r w:rsidRPr="00494380">
        <w:t xml:space="preserve"> </w:t>
      </w:r>
      <w:r>
        <w:t xml:space="preserve">comparison </w:t>
      </w:r>
      <w:r w:rsidRPr="00494380">
        <w:t xml:space="preserve">– </w:t>
      </w:r>
      <w:r w:rsidR="00934E13">
        <w:t>t</w:t>
      </w:r>
      <w:r>
        <w:t xml:space="preserve">extile, </w:t>
      </w:r>
      <w:r w:rsidR="00934E13">
        <w:t>c</w:t>
      </w:r>
      <w:r>
        <w:t xml:space="preserve">lothing and </w:t>
      </w:r>
      <w:r w:rsidR="00934E13">
        <w:t>f</w:t>
      </w:r>
      <w:r>
        <w:t xml:space="preserve">ootwear v </w:t>
      </w:r>
      <w:r w:rsidR="00934E13">
        <w:t>m</w:t>
      </w:r>
      <w:r>
        <w:t>anufacturing &amp; all industries</w:t>
      </w:r>
      <w:r w:rsidR="00E3522C">
        <w:rPr>
          <w:rStyle w:val="FootnoteReference"/>
        </w:rPr>
        <w:footnoteReference w:id="27"/>
      </w:r>
    </w:p>
    <w:tbl>
      <w:tblPr>
        <w:tblW w:w="8931" w:type="dxa"/>
        <w:tblInd w:w="-5" w:type="dxa"/>
        <w:tblLook w:val="04A0" w:firstRow="1" w:lastRow="0" w:firstColumn="1" w:lastColumn="0" w:noHBand="0" w:noVBand="1"/>
      </w:tblPr>
      <w:tblGrid>
        <w:gridCol w:w="3119"/>
        <w:gridCol w:w="1131"/>
        <w:gridCol w:w="982"/>
        <w:gridCol w:w="1005"/>
        <w:gridCol w:w="1134"/>
        <w:gridCol w:w="1560"/>
      </w:tblGrid>
      <w:tr w:rsidR="00BC636D" w:rsidRPr="00A758D9" w:rsidTr="007A5B4A">
        <w:trPr>
          <w:trHeight w:val="560"/>
        </w:trPr>
        <w:tc>
          <w:tcPr>
            <w:tcW w:w="3119" w:type="dxa"/>
            <w:tcBorders>
              <w:top w:val="single" w:sz="4" w:space="0" w:color="auto"/>
              <w:left w:val="single" w:sz="4" w:space="0" w:color="auto"/>
              <w:bottom w:val="single" w:sz="4" w:space="0" w:color="auto"/>
              <w:right w:val="single" w:sz="4" w:space="0" w:color="auto"/>
            </w:tcBorders>
            <w:shd w:val="clear" w:color="000000" w:fill="BDE7EE"/>
            <w:vAlign w:val="center"/>
            <w:hideMark/>
          </w:tcPr>
          <w:p w:rsidR="00BC636D" w:rsidRPr="00A758D9" w:rsidRDefault="00BC636D" w:rsidP="006B4F35">
            <w:pPr>
              <w:spacing w:after="0" w:line="240" w:lineRule="auto"/>
              <w:jc w:val="center"/>
              <w:rPr>
                <w:rFonts w:ascii="Calibri" w:hAnsi="Calibri" w:cs="Calibri"/>
                <w:b/>
                <w:bCs/>
                <w:color w:val="000000"/>
                <w:lang w:eastAsia="en-AU"/>
              </w:rPr>
            </w:pPr>
            <w:r>
              <w:rPr>
                <w:rFonts w:ascii="Calibri" w:hAnsi="Calibri" w:cs="Calibri"/>
                <w:b/>
                <w:bCs/>
                <w:color w:val="000000"/>
                <w:lang w:eastAsia="en-AU"/>
              </w:rPr>
              <w:t xml:space="preserve">Employing Industries </w:t>
            </w:r>
          </w:p>
        </w:tc>
        <w:tc>
          <w:tcPr>
            <w:tcW w:w="1131" w:type="dxa"/>
            <w:tcBorders>
              <w:top w:val="single" w:sz="4" w:space="0" w:color="auto"/>
              <w:left w:val="nil"/>
              <w:bottom w:val="single" w:sz="4" w:space="0" w:color="auto"/>
              <w:right w:val="single" w:sz="4" w:space="0" w:color="auto"/>
            </w:tcBorders>
            <w:shd w:val="clear" w:color="000000" w:fill="BDE7EE"/>
            <w:noWrap/>
            <w:vAlign w:val="center"/>
          </w:tcPr>
          <w:p w:rsidR="00BC636D" w:rsidRDefault="00BC636D" w:rsidP="006B4F35">
            <w:pPr>
              <w:spacing w:after="0" w:line="240" w:lineRule="auto"/>
              <w:jc w:val="center"/>
              <w:rPr>
                <w:rFonts w:ascii="Calibri" w:hAnsi="Calibri" w:cs="Calibri"/>
                <w:color w:val="000000"/>
                <w:lang w:eastAsia="en-AU"/>
              </w:rPr>
            </w:pPr>
          </w:p>
          <w:p w:rsidR="00BC636D" w:rsidRDefault="00BC636D" w:rsidP="006B4F35">
            <w:pPr>
              <w:spacing w:after="0" w:line="240" w:lineRule="auto"/>
              <w:jc w:val="center"/>
              <w:rPr>
                <w:rFonts w:ascii="Calibri" w:hAnsi="Calibri" w:cs="Calibri"/>
                <w:color w:val="000000"/>
                <w:lang w:eastAsia="en-AU"/>
              </w:rPr>
            </w:pPr>
            <w:r>
              <w:rPr>
                <w:rFonts w:ascii="Calibri" w:hAnsi="Calibri" w:cs="Calibri"/>
                <w:color w:val="000000"/>
                <w:lang w:eastAsia="en-AU"/>
              </w:rPr>
              <w:t>15-24</w:t>
            </w:r>
          </w:p>
          <w:p w:rsidR="00BC636D" w:rsidRPr="00A758D9" w:rsidRDefault="00BC636D" w:rsidP="006B4F35">
            <w:pPr>
              <w:spacing w:after="0" w:line="240" w:lineRule="auto"/>
              <w:jc w:val="center"/>
              <w:rPr>
                <w:rFonts w:ascii="Calibri" w:hAnsi="Calibri" w:cs="Calibri"/>
                <w:color w:val="000000"/>
                <w:lang w:eastAsia="en-AU"/>
              </w:rPr>
            </w:pPr>
          </w:p>
        </w:tc>
        <w:tc>
          <w:tcPr>
            <w:tcW w:w="982" w:type="dxa"/>
            <w:tcBorders>
              <w:top w:val="single" w:sz="4" w:space="0" w:color="auto"/>
              <w:left w:val="nil"/>
              <w:bottom w:val="single" w:sz="4" w:space="0" w:color="auto"/>
              <w:right w:val="single" w:sz="4" w:space="0" w:color="auto"/>
            </w:tcBorders>
            <w:shd w:val="clear" w:color="000000" w:fill="BDE7EE"/>
            <w:noWrap/>
            <w:vAlign w:val="center"/>
          </w:tcPr>
          <w:p w:rsidR="00BC636D" w:rsidRDefault="00BC636D" w:rsidP="006B4F35">
            <w:pPr>
              <w:spacing w:after="0" w:line="240" w:lineRule="auto"/>
              <w:jc w:val="center"/>
              <w:rPr>
                <w:rFonts w:ascii="Calibri" w:hAnsi="Calibri" w:cs="Calibri"/>
                <w:color w:val="000000"/>
                <w:lang w:eastAsia="en-AU"/>
              </w:rPr>
            </w:pPr>
          </w:p>
          <w:p w:rsidR="00BC636D" w:rsidRDefault="00BC636D" w:rsidP="006B4F35">
            <w:pPr>
              <w:spacing w:after="0" w:line="240" w:lineRule="auto"/>
              <w:jc w:val="center"/>
              <w:rPr>
                <w:rFonts w:ascii="Calibri" w:hAnsi="Calibri" w:cs="Calibri"/>
                <w:color w:val="000000"/>
                <w:lang w:eastAsia="en-AU"/>
              </w:rPr>
            </w:pPr>
            <w:r>
              <w:rPr>
                <w:rFonts w:ascii="Calibri" w:hAnsi="Calibri" w:cs="Calibri"/>
                <w:color w:val="000000"/>
                <w:lang w:eastAsia="en-AU"/>
              </w:rPr>
              <w:t>25-34</w:t>
            </w:r>
          </w:p>
          <w:p w:rsidR="00BC636D" w:rsidRPr="00A758D9" w:rsidRDefault="00BC636D" w:rsidP="006B4F35">
            <w:pPr>
              <w:spacing w:after="0" w:line="240" w:lineRule="auto"/>
              <w:jc w:val="center"/>
              <w:rPr>
                <w:rFonts w:ascii="Calibri" w:hAnsi="Calibri" w:cs="Calibri"/>
                <w:color w:val="000000"/>
                <w:lang w:eastAsia="en-AU"/>
              </w:rPr>
            </w:pPr>
          </w:p>
        </w:tc>
        <w:tc>
          <w:tcPr>
            <w:tcW w:w="1005" w:type="dxa"/>
            <w:tcBorders>
              <w:top w:val="single" w:sz="4" w:space="0" w:color="auto"/>
              <w:left w:val="nil"/>
              <w:bottom w:val="single" w:sz="4" w:space="0" w:color="auto"/>
              <w:right w:val="single" w:sz="4" w:space="0" w:color="auto"/>
            </w:tcBorders>
            <w:shd w:val="clear" w:color="000000" w:fill="BDE7EE"/>
            <w:vAlign w:val="center"/>
          </w:tcPr>
          <w:p w:rsidR="00BC636D" w:rsidRDefault="00BC636D" w:rsidP="006B4F35">
            <w:pPr>
              <w:spacing w:after="0" w:line="240" w:lineRule="auto"/>
              <w:jc w:val="center"/>
              <w:rPr>
                <w:rFonts w:ascii="Calibri" w:hAnsi="Calibri" w:cs="Calibri"/>
                <w:color w:val="000000"/>
                <w:lang w:eastAsia="en-AU"/>
              </w:rPr>
            </w:pPr>
          </w:p>
          <w:p w:rsidR="00BC636D" w:rsidRDefault="00BC636D" w:rsidP="006B4F35">
            <w:pPr>
              <w:spacing w:after="0" w:line="240" w:lineRule="auto"/>
              <w:jc w:val="center"/>
              <w:rPr>
                <w:rFonts w:ascii="Calibri" w:hAnsi="Calibri" w:cs="Calibri"/>
                <w:color w:val="000000"/>
                <w:lang w:eastAsia="en-AU"/>
              </w:rPr>
            </w:pPr>
            <w:r>
              <w:rPr>
                <w:rFonts w:ascii="Calibri" w:hAnsi="Calibri" w:cs="Calibri"/>
                <w:color w:val="000000"/>
                <w:lang w:eastAsia="en-AU"/>
              </w:rPr>
              <w:t>35-44</w:t>
            </w:r>
          </w:p>
          <w:p w:rsidR="00BC636D" w:rsidRPr="00A758D9" w:rsidRDefault="00BC636D" w:rsidP="006B4F35">
            <w:pPr>
              <w:spacing w:after="0" w:line="240" w:lineRule="auto"/>
              <w:jc w:val="center"/>
              <w:rPr>
                <w:rFonts w:ascii="Calibri" w:hAnsi="Calibri" w:cs="Calibri"/>
                <w:color w:val="000000"/>
                <w:lang w:eastAsia="en-AU"/>
              </w:rPr>
            </w:pPr>
          </w:p>
        </w:tc>
        <w:tc>
          <w:tcPr>
            <w:tcW w:w="1134" w:type="dxa"/>
            <w:tcBorders>
              <w:top w:val="single" w:sz="4" w:space="0" w:color="auto"/>
              <w:left w:val="nil"/>
              <w:bottom w:val="single" w:sz="4" w:space="0" w:color="auto"/>
              <w:right w:val="single" w:sz="4" w:space="0" w:color="auto"/>
            </w:tcBorders>
            <w:shd w:val="clear" w:color="000000" w:fill="BDE7EE"/>
            <w:vAlign w:val="center"/>
          </w:tcPr>
          <w:p w:rsidR="00BC636D" w:rsidRPr="00A758D9" w:rsidRDefault="00BC636D" w:rsidP="006B4F35">
            <w:pPr>
              <w:spacing w:after="0" w:line="240" w:lineRule="auto"/>
              <w:jc w:val="center"/>
              <w:rPr>
                <w:rFonts w:ascii="Calibri" w:hAnsi="Calibri" w:cs="Calibri"/>
                <w:color w:val="000000"/>
                <w:lang w:eastAsia="en-AU"/>
              </w:rPr>
            </w:pPr>
            <w:r>
              <w:rPr>
                <w:rFonts w:ascii="Calibri" w:hAnsi="Calibri" w:cs="Calibri"/>
                <w:color w:val="000000"/>
                <w:lang w:eastAsia="en-AU"/>
              </w:rPr>
              <w:t>45-54</w:t>
            </w:r>
          </w:p>
        </w:tc>
        <w:tc>
          <w:tcPr>
            <w:tcW w:w="1560" w:type="dxa"/>
            <w:tcBorders>
              <w:top w:val="single" w:sz="4" w:space="0" w:color="auto"/>
              <w:left w:val="nil"/>
              <w:bottom w:val="single" w:sz="4" w:space="0" w:color="auto"/>
              <w:right w:val="single" w:sz="4" w:space="0" w:color="auto"/>
            </w:tcBorders>
            <w:shd w:val="clear" w:color="000000" w:fill="BDE7EE"/>
            <w:vAlign w:val="center"/>
          </w:tcPr>
          <w:p w:rsidR="00BC636D" w:rsidRPr="00A758D9" w:rsidRDefault="00BC636D" w:rsidP="006B4F35">
            <w:pPr>
              <w:spacing w:after="0" w:line="240" w:lineRule="auto"/>
              <w:jc w:val="center"/>
              <w:rPr>
                <w:rFonts w:ascii="Calibri" w:hAnsi="Calibri" w:cs="Calibri"/>
                <w:color w:val="000000"/>
                <w:lang w:eastAsia="en-AU"/>
              </w:rPr>
            </w:pPr>
            <w:r>
              <w:rPr>
                <w:rFonts w:ascii="Calibri" w:hAnsi="Calibri" w:cs="Calibri"/>
                <w:color w:val="000000"/>
                <w:lang w:eastAsia="en-AU"/>
              </w:rPr>
              <w:t>55+</w:t>
            </w:r>
          </w:p>
        </w:tc>
      </w:tr>
      <w:tr w:rsidR="00BC636D" w:rsidRPr="00A758D9" w:rsidTr="007A5B4A">
        <w:trPr>
          <w:trHeight w:val="317"/>
        </w:trPr>
        <w:tc>
          <w:tcPr>
            <w:tcW w:w="3119" w:type="dxa"/>
            <w:tcBorders>
              <w:top w:val="nil"/>
              <w:left w:val="single" w:sz="4" w:space="0" w:color="auto"/>
              <w:bottom w:val="single" w:sz="4" w:space="0" w:color="auto"/>
              <w:right w:val="single" w:sz="4" w:space="0" w:color="auto"/>
            </w:tcBorders>
            <w:shd w:val="clear" w:color="auto" w:fill="auto"/>
            <w:vAlign w:val="center"/>
            <w:hideMark/>
          </w:tcPr>
          <w:p w:rsidR="00BC636D" w:rsidRPr="00A758D9" w:rsidRDefault="00BC636D" w:rsidP="00E24C4C">
            <w:pPr>
              <w:spacing w:before="120" w:line="240" w:lineRule="auto"/>
              <w:jc w:val="center"/>
              <w:rPr>
                <w:rFonts w:ascii="Calibri" w:hAnsi="Calibri" w:cs="Calibri"/>
                <w:bCs/>
                <w:color w:val="000000"/>
                <w:lang w:eastAsia="en-AU"/>
              </w:rPr>
            </w:pPr>
            <w:r>
              <w:rPr>
                <w:rFonts w:ascii="Calibri" w:hAnsi="Calibri" w:cs="Calibri"/>
                <w:bCs/>
                <w:color w:val="000000"/>
                <w:lang w:eastAsia="en-AU"/>
              </w:rPr>
              <w:t xml:space="preserve">All Industries </w:t>
            </w:r>
          </w:p>
        </w:tc>
        <w:tc>
          <w:tcPr>
            <w:tcW w:w="1131" w:type="dxa"/>
            <w:tcBorders>
              <w:top w:val="nil"/>
              <w:left w:val="nil"/>
              <w:bottom w:val="single" w:sz="4" w:space="0" w:color="auto"/>
              <w:right w:val="single" w:sz="4" w:space="0" w:color="auto"/>
            </w:tcBorders>
            <w:shd w:val="clear" w:color="auto" w:fill="auto"/>
            <w:vAlign w:val="center"/>
          </w:tcPr>
          <w:p w:rsidR="00BC636D" w:rsidRPr="00A758D9" w:rsidRDefault="00BC636D" w:rsidP="00E24C4C">
            <w:pPr>
              <w:spacing w:before="120" w:line="240" w:lineRule="auto"/>
              <w:jc w:val="center"/>
              <w:rPr>
                <w:rFonts w:ascii="Calibri" w:hAnsi="Calibri" w:cs="Calibri"/>
                <w:bCs/>
                <w:color w:val="000000"/>
                <w:lang w:eastAsia="en-AU"/>
              </w:rPr>
            </w:pPr>
            <w:r w:rsidRPr="005401A6">
              <w:rPr>
                <w:rFonts w:ascii="Calibri" w:hAnsi="Calibri" w:cs="Calibri"/>
                <w:bCs/>
                <w:color w:val="000000"/>
                <w:lang w:eastAsia="en-AU"/>
              </w:rPr>
              <w:t>14.3%</w:t>
            </w:r>
          </w:p>
        </w:tc>
        <w:tc>
          <w:tcPr>
            <w:tcW w:w="982" w:type="dxa"/>
            <w:tcBorders>
              <w:top w:val="nil"/>
              <w:left w:val="nil"/>
              <w:bottom w:val="single" w:sz="4" w:space="0" w:color="auto"/>
              <w:right w:val="single" w:sz="4" w:space="0" w:color="auto"/>
            </w:tcBorders>
            <w:shd w:val="clear" w:color="auto" w:fill="auto"/>
            <w:vAlign w:val="center"/>
          </w:tcPr>
          <w:p w:rsidR="00BC636D" w:rsidRPr="00A758D9" w:rsidRDefault="00BC636D" w:rsidP="00E24C4C">
            <w:pPr>
              <w:spacing w:before="120" w:line="240" w:lineRule="auto"/>
              <w:jc w:val="center"/>
              <w:rPr>
                <w:rFonts w:ascii="Calibri" w:hAnsi="Calibri" w:cs="Calibri"/>
                <w:bCs/>
                <w:color w:val="000000"/>
                <w:lang w:eastAsia="en-AU"/>
              </w:rPr>
            </w:pPr>
            <w:r w:rsidRPr="005401A6">
              <w:rPr>
                <w:rFonts w:ascii="Calibri" w:hAnsi="Calibri" w:cs="Calibri"/>
                <w:bCs/>
                <w:color w:val="000000"/>
                <w:lang w:eastAsia="en-AU"/>
              </w:rPr>
              <w:t>34.4%</w:t>
            </w:r>
          </w:p>
        </w:tc>
        <w:tc>
          <w:tcPr>
            <w:tcW w:w="1005" w:type="dxa"/>
            <w:tcBorders>
              <w:top w:val="nil"/>
              <w:left w:val="nil"/>
              <w:bottom w:val="single" w:sz="4" w:space="0" w:color="auto"/>
              <w:right w:val="single" w:sz="4" w:space="0" w:color="auto"/>
            </w:tcBorders>
            <w:shd w:val="clear" w:color="auto" w:fill="auto"/>
            <w:vAlign w:val="center"/>
          </w:tcPr>
          <w:p w:rsidR="00BC636D" w:rsidRPr="00A758D9" w:rsidRDefault="00BC636D" w:rsidP="00E24C4C">
            <w:pPr>
              <w:spacing w:before="120" w:line="240" w:lineRule="auto"/>
              <w:jc w:val="center"/>
              <w:rPr>
                <w:rFonts w:ascii="Calibri" w:hAnsi="Calibri" w:cs="Calibri"/>
                <w:bCs/>
                <w:color w:val="000000"/>
                <w:lang w:eastAsia="en-AU"/>
              </w:rPr>
            </w:pPr>
            <w:r w:rsidRPr="005401A6">
              <w:rPr>
                <w:rFonts w:ascii="Calibri" w:hAnsi="Calibri" w:cs="Calibri"/>
                <w:bCs/>
                <w:color w:val="000000"/>
                <w:lang w:eastAsia="en-AU"/>
              </w:rPr>
              <w:t>22.1%</w:t>
            </w:r>
          </w:p>
        </w:tc>
        <w:tc>
          <w:tcPr>
            <w:tcW w:w="1134" w:type="dxa"/>
            <w:tcBorders>
              <w:top w:val="nil"/>
              <w:left w:val="nil"/>
              <w:bottom w:val="single" w:sz="4" w:space="0" w:color="auto"/>
              <w:right w:val="single" w:sz="4" w:space="0" w:color="auto"/>
            </w:tcBorders>
            <w:shd w:val="clear" w:color="auto" w:fill="auto"/>
            <w:vAlign w:val="center"/>
          </w:tcPr>
          <w:p w:rsidR="00BC636D" w:rsidRPr="00A758D9" w:rsidRDefault="00BC636D" w:rsidP="00E24C4C">
            <w:pPr>
              <w:spacing w:before="120" w:line="240" w:lineRule="auto"/>
              <w:jc w:val="center"/>
              <w:rPr>
                <w:rFonts w:ascii="Calibri" w:hAnsi="Calibri" w:cs="Calibri"/>
                <w:bCs/>
                <w:color w:val="000000"/>
                <w:lang w:eastAsia="en-AU"/>
              </w:rPr>
            </w:pPr>
            <w:r w:rsidRPr="005401A6">
              <w:rPr>
                <w:rFonts w:ascii="Calibri" w:hAnsi="Calibri" w:cs="Calibri"/>
                <w:bCs/>
                <w:color w:val="000000"/>
                <w:lang w:eastAsia="en-AU"/>
              </w:rPr>
              <w:t>21.6%</w:t>
            </w:r>
          </w:p>
        </w:tc>
        <w:tc>
          <w:tcPr>
            <w:tcW w:w="1560" w:type="dxa"/>
            <w:tcBorders>
              <w:top w:val="nil"/>
              <w:left w:val="nil"/>
              <w:bottom w:val="single" w:sz="4" w:space="0" w:color="auto"/>
              <w:right w:val="single" w:sz="4" w:space="0" w:color="auto"/>
            </w:tcBorders>
            <w:shd w:val="clear" w:color="auto" w:fill="auto"/>
            <w:vAlign w:val="center"/>
          </w:tcPr>
          <w:p w:rsidR="00BC636D" w:rsidRPr="00A758D9" w:rsidRDefault="00BC636D" w:rsidP="00E24C4C">
            <w:pPr>
              <w:spacing w:before="120" w:line="240" w:lineRule="auto"/>
              <w:jc w:val="center"/>
              <w:rPr>
                <w:rFonts w:ascii="Calibri" w:hAnsi="Calibri" w:cs="Calibri"/>
                <w:bCs/>
                <w:color w:val="000000"/>
                <w:lang w:eastAsia="en-AU"/>
              </w:rPr>
            </w:pPr>
            <w:r w:rsidRPr="005401A6">
              <w:rPr>
                <w:rFonts w:ascii="Calibri" w:hAnsi="Calibri" w:cs="Calibri"/>
                <w:bCs/>
                <w:color w:val="000000"/>
                <w:lang w:eastAsia="en-AU"/>
              </w:rPr>
              <w:t>19.1%</w:t>
            </w:r>
          </w:p>
        </w:tc>
      </w:tr>
      <w:tr w:rsidR="00BC636D" w:rsidRPr="00A758D9" w:rsidTr="007A5B4A">
        <w:trPr>
          <w:trHeight w:val="288"/>
        </w:trPr>
        <w:tc>
          <w:tcPr>
            <w:tcW w:w="3119" w:type="dxa"/>
            <w:tcBorders>
              <w:top w:val="nil"/>
              <w:left w:val="single" w:sz="4" w:space="0" w:color="auto"/>
              <w:bottom w:val="single" w:sz="4" w:space="0" w:color="auto"/>
              <w:right w:val="single" w:sz="4" w:space="0" w:color="auto"/>
            </w:tcBorders>
            <w:shd w:val="clear" w:color="auto" w:fill="auto"/>
            <w:vAlign w:val="center"/>
            <w:hideMark/>
          </w:tcPr>
          <w:p w:rsidR="00BC636D" w:rsidRPr="00A758D9" w:rsidRDefault="00BC636D" w:rsidP="00E24C4C">
            <w:pPr>
              <w:spacing w:before="120" w:line="240" w:lineRule="auto"/>
              <w:jc w:val="center"/>
              <w:rPr>
                <w:rFonts w:ascii="Calibri" w:hAnsi="Calibri" w:cs="Calibri"/>
                <w:color w:val="000000"/>
                <w:lang w:eastAsia="en-AU"/>
              </w:rPr>
            </w:pPr>
            <w:r>
              <w:rPr>
                <w:rFonts w:ascii="Calibri" w:hAnsi="Calibri" w:cs="Calibri"/>
                <w:bCs/>
                <w:color w:val="000000"/>
                <w:lang w:eastAsia="en-AU"/>
              </w:rPr>
              <w:t>Manufacturing</w:t>
            </w:r>
          </w:p>
        </w:tc>
        <w:tc>
          <w:tcPr>
            <w:tcW w:w="1131" w:type="dxa"/>
            <w:tcBorders>
              <w:top w:val="nil"/>
              <w:left w:val="nil"/>
              <w:bottom w:val="single" w:sz="4" w:space="0" w:color="auto"/>
              <w:right w:val="single" w:sz="4" w:space="0" w:color="auto"/>
            </w:tcBorders>
            <w:shd w:val="clear" w:color="auto" w:fill="auto"/>
            <w:vAlign w:val="center"/>
          </w:tcPr>
          <w:p w:rsidR="00BC636D" w:rsidRPr="007A5B4A" w:rsidRDefault="00BC636D" w:rsidP="00E24C4C">
            <w:pPr>
              <w:spacing w:before="120" w:line="240" w:lineRule="auto"/>
              <w:jc w:val="center"/>
              <w:rPr>
                <w:rFonts w:ascii="Calibri" w:hAnsi="Calibri" w:cs="Calibri"/>
                <w:color w:val="000000"/>
                <w:szCs w:val="22"/>
                <w:lang w:eastAsia="en-AU"/>
              </w:rPr>
            </w:pPr>
            <w:r w:rsidRPr="007A5B4A">
              <w:rPr>
                <w:rFonts w:ascii="Calibri" w:hAnsi="Calibri" w:cs="Calibri"/>
                <w:color w:val="000000"/>
                <w:szCs w:val="22"/>
                <w:lang w:eastAsia="en-AU"/>
              </w:rPr>
              <w:t>11%</w:t>
            </w:r>
          </w:p>
        </w:tc>
        <w:tc>
          <w:tcPr>
            <w:tcW w:w="982" w:type="dxa"/>
            <w:tcBorders>
              <w:top w:val="nil"/>
              <w:left w:val="nil"/>
              <w:bottom w:val="single" w:sz="4" w:space="0" w:color="auto"/>
              <w:right w:val="single" w:sz="4" w:space="0" w:color="auto"/>
            </w:tcBorders>
            <w:shd w:val="clear" w:color="auto" w:fill="auto"/>
            <w:vAlign w:val="center"/>
          </w:tcPr>
          <w:p w:rsidR="00BC636D" w:rsidRPr="007A5B4A" w:rsidRDefault="00BC636D" w:rsidP="00E24C4C">
            <w:pPr>
              <w:spacing w:before="120" w:line="240" w:lineRule="auto"/>
              <w:jc w:val="center"/>
              <w:rPr>
                <w:rFonts w:ascii="Calibri" w:hAnsi="Calibri" w:cs="Calibri"/>
                <w:color w:val="000000"/>
                <w:szCs w:val="22"/>
                <w:lang w:eastAsia="en-AU"/>
              </w:rPr>
            </w:pPr>
            <w:r w:rsidRPr="007A5B4A">
              <w:rPr>
                <w:rFonts w:ascii="Calibri" w:hAnsi="Calibri" w:cs="Calibri"/>
                <w:color w:val="000000"/>
                <w:szCs w:val="22"/>
                <w:lang w:eastAsia="en-AU"/>
              </w:rPr>
              <w:t>20%</w:t>
            </w:r>
          </w:p>
        </w:tc>
        <w:tc>
          <w:tcPr>
            <w:tcW w:w="1005" w:type="dxa"/>
            <w:tcBorders>
              <w:top w:val="nil"/>
              <w:left w:val="nil"/>
              <w:bottom w:val="single" w:sz="4" w:space="0" w:color="auto"/>
              <w:right w:val="single" w:sz="4" w:space="0" w:color="auto"/>
            </w:tcBorders>
            <w:shd w:val="clear" w:color="auto" w:fill="auto"/>
            <w:vAlign w:val="center"/>
          </w:tcPr>
          <w:p w:rsidR="00BC636D" w:rsidRPr="007A5B4A" w:rsidRDefault="00BC636D" w:rsidP="00E24C4C">
            <w:pPr>
              <w:spacing w:before="120" w:line="240" w:lineRule="auto"/>
              <w:jc w:val="center"/>
              <w:rPr>
                <w:rFonts w:ascii="Calibri" w:hAnsi="Calibri" w:cs="Calibri"/>
                <w:color w:val="000000"/>
                <w:szCs w:val="22"/>
                <w:lang w:eastAsia="en-AU"/>
              </w:rPr>
            </w:pPr>
            <w:r w:rsidRPr="007A5B4A">
              <w:rPr>
                <w:rFonts w:ascii="Calibri" w:hAnsi="Calibri" w:cs="Calibri"/>
                <w:color w:val="000000"/>
                <w:szCs w:val="22"/>
                <w:lang w:eastAsia="en-AU"/>
              </w:rPr>
              <w:t>24%</w:t>
            </w:r>
          </w:p>
        </w:tc>
        <w:tc>
          <w:tcPr>
            <w:tcW w:w="1134" w:type="dxa"/>
            <w:tcBorders>
              <w:top w:val="nil"/>
              <w:left w:val="nil"/>
              <w:bottom w:val="single" w:sz="4" w:space="0" w:color="auto"/>
              <w:right w:val="single" w:sz="4" w:space="0" w:color="auto"/>
            </w:tcBorders>
            <w:shd w:val="clear" w:color="auto" w:fill="auto"/>
            <w:vAlign w:val="center"/>
          </w:tcPr>
          <w:p w:rsidR="00BC636D" w:rsidRPr="007A5B4A" w:rsidRDefault="00BC636D" w:rsidP="00E24C4C">
            <w:pPr>
              <w:spacing w:before="120" w:line="240" w:lineRule="auto"/>
              <w:jc w:val="center"/>
              <w:rPr>
                <w:rFonts w:ascii="Calibri" w:hAnsi="Calibri" w:cs="Calibri"/>
                <w:color w:val="000000"/>
                <w:szCs w:val="22"/>
                <w:lang w:eastAsia="en-AU"/>
              </w:rPr>
            </w:pPr>
            <w:r w:rsidRPr="007A5B4A">
              <w:rPr>
                <w:rFonts w:ascii="Calibri" w:hAnsi="Calibri" w:cs="Calibri"/>
                <w:color w:val="000000"/>
                <w:szCs w:val="22"/>
                <w:lang w:eastAsia="en-AU"/>
              </w:rPr>
              <w:t>25%</w:t>
            </w:r>
          </w:p>
        </w:tc>
        <w:tc>
          <w:tcPr>
            <w:tcW w:w="1560" w:type="dxa"/>
            <w:tcBorders>
              <w:top w:val="nil"/>
              <w:left w:val="nil"/>
              <w:bottom w:val="single" w:sz="4" w:space="0" w:color="auto"/>
              <w:right w:val="single" w:sz="4" w:space="0" w:color="auto"/>
            </w:tcBorders>
            <w:shd w:val="clear" w:color="auto" w:fill="auto"/>
            <w:vAlign w:val="center"/>
          </w:tcPr>
          <w:p w:rsidR="00BC636D" w:rsidRPr="007A5B4A" w:rsidRDefault="00BC636D" w:rsidP="00E24C4C">
            <w:pPr>
              <w:spacing w:before="120" w:line="240" w:lineRule="auto"/>
              <w:jc w:val="center"/>
              <w:rPr>
                <w:rFonts w:ascii="Calibri" w:hAnsi="Calibri" w:cs="Calibri"/>
                <w:color w:val="000000"/>
                <w:szCs w:val="22"/>
                <w:lang w:eastAsia="en-AU"/>
              </w:rPr>
            </w:pPr>
            <w:r w:rsidRPr="007A5B4A">
              <w:rPr>
                <w:rFonts w:ascii="Calibri" w:hAnsi="Calibri" w:cs="Calibri"/>
                <w:color w:val="000000"/>
                <w:szCs w:val="22"/>
                <w:lang w:eastAsia="en-AU"/>
              </w:rPr>
              <w:t>20%</w:t>
            </w:r>
          </w:p>
        </w:tc>
      </w:tr>
      <w:tr w:rsidR="00BC636D" w:rsidRPr="00A758D9" w:rsidTr="007A5B4A">
        <w:trPr>
          <w:trHeight w:val="288"/>
        </w:trPr>
        <w:tc>
          <w:tcPr>
            <w:tcW w:w="3119" w:type="dxa"/>
            <w:tcBorders>
              <w:top w:val="nil"/>
              <w:left w:val="single" w:sz="4" w:space="0" w:color="auto"/>
              <w:bottom w:val="single" w:sz="4" w:space="0" w:color="auto"/>
              <w:right w:val="single" w:sz="4" w:space="0" w:color="auto"/>
            </w:tcBorders>
            <w:shd w:val="clear" w:color="auto" w:fill="auto"/>
            <w:vAlign w:val="center"/>
            <w:hideMark/>
          </w:tcPr>
          <w:p w:rsidR="00BC636D" w:rsidRPr="007A5B4A" w:rsidRDefault="00BC636D" w:rsidP="00E24C4C">
            <w:pPr>
              <w:spacing w:before="120" w:line="240" w:lineRule="auto"/>
              <w:jc w:val="center"/>
              <w:rPr>
                <w:rFonts w:ascii="Calibri" w:hAnsi="Calibri" w:cs="Calibri"/>
                <w:color w:val="000000"/>
                <w:szCs w:val="22"/>
                <w:lang w:eastAsia="en-AU"/>
              </w:rPr>
            </w:pPr>
            <w:r w:rsidRPr="007A5B4A">
              <w:rPr>
                <w:rFonts w:ascii="Calibri" w:hAnsi="Calibri" w:cs="Calibri"/>
                <w:color w:val="000000"/>
                <w:szCs w:val="22"/>
                <w:lang w:eastAsia="en-AU"/>
              </w:rPr>
              <w:t xml:space="preserve">Textile, </w:t>
            </w:r>
            <w:r w:rsidR="00934E13">
              <w:rPr>
                <w:rFonts w:ascii="Calibri" w:hAnsi="Calibri" w:cs="Calibri"/>
                <w:color w:val="000000"/>
                <w:szCs w:val="22"/>
                <w:lang w:eastAsia="en-AU"/>
              </w:rPr>
              <w:t>c</w:t>
            </w:r>
            <w:r w:rsidRPr="007A5B4A">
              <w:rPr>
                <w:rFonts w:ascii="Calibri" w:hAnsi="Calibri" w:cs="Calibri"/>
                <w:color w:val="000000"/>
                <w:szCs w:val="22"/>
                <w:lang w:eastAsia="en-AU"/>
              </w:rPr>
              <w:t xml:space="preserve">lothing and </w:t>
            </w:r>
            <w:r w:rsidR="00934E13">
              <w:rPr>
                <w:rFonts w:ascii="Calibri" w:hAnsi="Calibri" w:cs="Calibri"/>
                <w:color w:val="000000"/>
                <w:szCs w:val="22"/>
                <w:lang w:eastAsia="en-AU"/>
              </w:rPr>
              <w:t>f</w:t>
            </w:r>
            <w:r w:rsidRPr="007A5B4A">
              <w:rPr>
                <w:rFonts w:ascii="Calibri" w:hAnsi="Calibri" w:cs="Calibri"/>
                <w:color w:val="000000"/>
                <w:szCs w:val="22"/>
                <w:lang w:eastAsia="en-AU"/>
              </w:rPr>
              <w:t>ootwear</w:t>
            </w:r>
          </w:p>
        </w:tc>
        <w:tc>
          <w:tcPr>
            <w:tcW w:w="1131" w:type="dxa"/>
            <w:tcBorders>
              <w:top w:val="nil"/>
              <w:left w:val="nil"/>
              <w:bottom w:val="single" w:sz="4" w:space="0" w:color="auto"/>
              <w:right w:val="single" w:sz="4" w:space="0" w:color="auto"/>
            </w:tcBorders>
            <w:shd w:val="clear" w:color="auto" w:fill="auto"/>
            <w:vAlign w:val="center"/>
          </w:tcPr>
          <w:p w:rsidR="00BC636D" w:rsidRPr="007A5B4A" w:rsidRDefault="00BC636D" w:rsidP="00E24C4C">
            <w:pPr>
              <w:spacing w:before="120" w:line="240" w:lineRule="auto"/>
              <w:jc w:val="center"/>
              <w:rPr>
                <w:rFonts w:ascii="Calibri" w:hAnsi="Calibri" w:cs="Calibri"/>
                <w:color w:val="000000"/>
                <w:szCs w:val="22"/>
                <w:lang w:eastAsia="en-AU"/>
              </w:rPr>
            </w:pPr>
            <w:r w:rsidRPr="007A5B4A">
              <w:rPr>
                <w:rFonts w:ascii="Calibri" w:hAnsi="Calibri" w:cs="Calibri"/>
                <w:color w:val="000000"/>
                <w:szCs w:val="22"/>
                <w:lang w:eastAsia="en-AU"/>
              </w:rPr>
              <w:t>7.4%</w:t>
            </w:r>
          </w:p>
        </w:tc>
        <w:tc>
          <w:tcPr>
            <w:tcW w:w="982" w:type="dxa"/>
            <w:tcBorders>
              <w:top w:val="nil"/>
              <w:left w:val="nil"/>
              <w:bottom w:val="single" w:sz="4" w:space="0" w:color="auto"/>
              <w:right w:val="single" w:sz="4" w:space="0" w:color="auto"/>
            </w:tcBorders>
            <w:shd w:val="clear" w:color="auto" w:fill="auto"/>
            <w:vAlign w:val="center"/>
          </w:tcPr>
          <w:p w:rsidR="00BC636D" w:rsidRPr="007A5B4A" w:rsidRDefault="00BC636D" w:rsidP="00E24C4C">
            <w:pPr>
              <w:spacing w:before="120" w:line="240" w:lineRule="auto"/>
              <w:jc w:val="center"/>
              <w:rPr>
                <w:rFonts w:ascii="Calibri" w:hAnsi="Calibri" w:cs="Calibri"/>
                <w:color w:val="000000"/>
                <w:szCs w:val="22"/>
                <w:lang w:eastAsia="en-AU"/>
              </w:rPr>
            </w:pPr>
            <w:r w:rsidRPr="007A5B4A">
              <w:rPr>
                <w:rFonts w:ascii="Calibri" w:hAnsi="Calibri" w:cs="Calibri"/>
                <w:color w:val="000000"/>
                <w:szCs w:val="22"/>
                <w:lang w:eastAsia="en-AU"/>
              </w:rPr>
              <w:t>15.1%</w:t>
            </w:r>
          </w:p>
        </w:tc>
        <w:tc>
          <w:tcPr>
            <w:tcW w:w="1005" w:type="dxa"/>
            <w:tcBorders>
              <w:top w:val="nil"/>
              <w:left w:val="nil"/>
              <w:bottom w:val="single" w:sz="4" w:space="0" w:color="auto"/>
              <w:right w:val="single" w:sz="4" w:space="0" w:color="auto"/>
            </w:tcBorders>
            <w:shd w:val="clear" w:color="auto" w:fill="auto"/>
            <w:vAlign w:val="center"/>
          </w:tcPr>
          <w:p w:rsidR="00BC636D" w:rsidRPr="007A5B4A" w:rsidRDefault="00BC636D" w:rsidP="00E24C4C">
            <w:pPr>
              <w:spacing w:before="120" w:line="240" w:lineRule="auto"/>
              <w:jc w:val="center"/>
              <w:rPr>
                <w:rFonts w:ascii="Calibri" w:hAnsi="Calibri" w:cs="Calibri"/>
                <w:color w:val="000000"/>
                <w:szCs w:val="22"/>
                <w:lang w:eastAsia="en-AU"/>
              </w:rPr>
            </w:pPr>
            <w:r w:rsidRPr="007A5B4A">
              <w:rPr>
                <w:rFonts w:ascii="Calibri" w:hAnsi="Calibri" w:cs="Calibri"/>
                <w:color w:val="000000"/>
                <w:szCs w:val="22"/>
                <w:lang w:eastAsia="en-AU"/>
              </w:rPr>
              <w:t>19.3%</w:t>
            </w:r>
          </w:p>
        </w:tc>
        <w:tc>
          <w:tcPr>
            <w:tcW w:w="1134" w:type="dxa"/>
            <w:tcBorders>
              <w:top w:val="nil"/>
              <w:left w:val="nil"/>
              <w:bottom w:val="single" w:sz="4" w:space="0" w:color="auto"/>
              <w:right w:val="single" w:sz="4" w:space="0" w:color="auto"/>
            </w:tcBorders>
            <w:shd w:val="clear" w:color="auto" w:fill="auto"/>
            <w:vAlign w:val="center"/>
          </w:tcPr>
          <w:p w:rsidR="00BC636D" w:rsidRPr="007A5B4A" w:rsidRDefault="00BC636D" w:rsidP="00E24C4C">
            <w:pPr>
              <w:spacing w:before="120" w:line="240" w:lineRule="auto"/>
              <w:jc w:val="center"/>
              <w:rPr>
                <w:rFonts w:ascii="Calibri" w:hAnsi="Calibri" w:cs="Calibri"/>
                <w:color w:val="000000"/>
                <w:szCs w:val="22"/>
                <w:lang w:eastAsia="en-AU"/>
              </w:rPr>
            </w:pPr>
            <w:r w:rsidRPr="007A5B4A">
              <w:rPr>
                <w:rFonts w:ascii="Calibri" w:hAnsi="Calibri" w:cs="Calibri"/>
                <w:color w:val="000000"/>
                <w:szCs w:val="22"/>
                <w:lang w:eastAsia="en-AU"/>
              </w:rPr>
              <w:t>27.5%</w:t>
            </w:r>
          </w:p>
        </w:tc>
        <w:tc>
          <w:tcPr>
            <w:tcW w:w="1560" w:type="dxa"/>
            <w:tcBorders>
              <w:top w:val="nil"/>
              <w:left w:val="nil"/>
              <w:bottom w:val="single" w:sz="4" w:space="0" w:color="auto"/>
              <w:right w:val="single" w:sz="4" w:space="0" w:color="auto"/>
            </w:tcBorders>
            <w:shd w:val="clear" w:color="auto" w:fill="auto"/>
            <w:vAlign w:val="center"/>
          </w:tcPr>
          <w:p w:rsidR="00BC636D" w:rsidRPr="007A5B4A" w:rsidRDefault="00BC636D" w:rsidP="00E24C4C">
            <w:pPr>
              <w:spacing w:before="120" w:line="240" w:lineRule="auto"/>
              <w:jc w:val="center"/>
              <w:rPr>
                <w:rFonts w:ascii="Calibri" w:hAnsi="Calibri" w:cs="Calibri"/>
                <w:color w:val="000000"/>
                <w:szCs w:val="22"/>
                <w:lang w:eastAsia="en-AU"/>
              </w:rPr>
            </w:pPr>
            <w:r w:rsidRPr="007A5B4A">
              <w:rPr>
                <w:rFonts w:ascii="Calibri" w:hAnsi="Calibri" w:cs="Calibri"/>
                <w:color w:val="000000"/>
                <w:szCs w:val="22"/>
                <w:lang w:eastAsia="en-AU"/>
              </w:rPr>
              <w:t>30.6%</w:t>
            </w:r>
          </w:p>
        </w:tc>
      </w:tr>
    </w:tbl>
    <w:p w:rsidR="0029648C" w:rsidRDefault="0029648C" w:rsidP="00864736">
      <w:pPr>
        <w:spacing w:line="240" w:lineRule="auto"/>
        <w:rPr>
          <w:lang w:eastAsia="en-AU"/>
        </w:rPr>
      </w:pPr>
    </w:p>
    <w:p w:rsidR="00FE7393" w:rsidRDefault="00BC77AE" w:rsidP="009F4C5B">
      <w:pPr>
        <w:jc w:val="both"/>
        <w:rPr>
          <w:lang w:eastAsia="en-AU"/>
        </w:rPr>
      </w:pPr>
      <w:r>
        <w:rPr>
          <w:lang w:eastAsia="en-AU"/>
        </w:rPr>
        <w:t xml:space="preserve">The percentage of </w:t>
      </w:r>
      <w:r w:rsidR="002C40EE">
        <w:rPr>
          <w:lang w:eastAsia="en-AU"/>
        </w:rPr>
        <w:t>TCF workers possessing trade</w:t>
      </w:r>
      <w:r w:rsidR="00BB636B">
        <w:rPr>
          <w:lang w:eastAsia="en-AU"/>
        </w:rPr>
        <w:t>-</w:t>
      </w:r>
      <w:r w:rsidR="002C40EE">
        <w:rPr>
          <w:lang w:eastAsia="en-AU"/>
        </w:rPr>
        <w:t xml:space="preserve">related qualifications or </w:t>
      </w:r>
      <w:r w:rsidR="00901978">
        <w:rPr>
          <w:lang w:eastAsia="en-AU"/>
        </w:rPr>
        <w:t xml:space="preserve">a formal </w:t>
      </w:r>
      <w:r w:rsidR="002C40EE">
        <w:rPr>
          <w:lang w:eastAsia="en-AU"/>
        </w:rPr>
        <w:t xml:space="preserve">education beyond secondary </w:t>
      </w:r>
      <w:r w:rsidR="00901978">
        <w:rPr>
          <w:lang w:eastAsia="en-AU"/>
        </w:rPr>
        <w:t>level</w:t>
      </w:r>
      <w:r w:rsidR="002C40EE">
        <w:rPr>
          <w:lang w:eastAsia="en-AU"/>
        </w:rPr>
        <w:t xml:space="preserve"> is lower than the average for all other industries combined</w:t>
      </w:r>
      <w:r w:rsidR="00207C31">
        <w:rPr>
          <w:lang w:eastAsia="en-AU"/>
        </w:rPr>
        <w:t>.</w:t>
      </w:r>
      <w:r>
        <w:rPr>
          <w:rStyle w:val="FootnoteReference"/>
          <w:lang w:eastAsia="en-AU"/>
        </w:rPr>
        <w:footnoteReference w:id="28"/>
      </w:r>
      <w:r w:rsidR="002C40EE">
        <w:rPr>
          <w:lang w:eastAsia="en-AU"/>
        </w:rPr>
        <w:t xml:space="preserve"> </w:t>
      </w:r>
      <w:r w:rsidR="008F17DC">
        <w:rPr>
          <w:lang w:eastAsia="en-AU"/>
        </w:rPr>
        <w:t>T</w:t>
      </w:r>
      <w:r w:rsidR="00901978">
        <w:rPr>
          <w:lang w:eastAsia="en-AU"/>
        </w:rPr>
        <w:t>he lack of higher</w:t>
      </w:r>
      <w:r w:rsidR="008F17DC">
        <w:rPr>
          <w:lang w:eastAsia="en-AU"/>
        </w:rPr>
        <w:t>-</w:t>
      </w:r>
      <w:r w:rsidR="00901978">
        <w:rPr>
          <w:lang w:eastAsia="en-AU"/>
        </w:rPr>
        <w:t>level educational attainment</w:t>
      </w:r>
      <w:r>
        <w:rPr>
          <w:lang w:eastAsia="en-AU"/>
        </w:rPr>
        <w:t xml:space="preserve"> </w:t>
      </w:r>
      <w:r w:rsidR="008F17DC">
        <w:rPr>
          <w:lang w:eastAsia="en-AU"/>
        </w:rPr>
        <w:t xml:space="preserve">compounds the vulnerability of a labour force by imposing further barriers to alternative employment options. </w:t>
      </w:r>
    </w:p>
    <w:p w:rsidR="00BC636D" w:rsidRPr="00BC636D" w:rsidRDefault="00BC636D" w:rsidP="00BC636D">
      <w:pPr>
        <w:rPr>
          <w:rFonts w:eastAsia="Calibri" w:cs="Times New Roman"/>
          <w:b/>
          <w:color w:val="365F91" w:themeColor="accent1" w:themeShade="BF"/>
          <w:szCs w:val="22"/>
          <w:lang w:eastAsia="en-AU"/>
        </w:rPr>
      </w:pPr>
      <w:r w:rsidRPr="00BC636D">
        <w:rPr>
          <w:rFonts w:eastAsia="Calibri" w:cs="Times New Roman"/>
          <w:b/>
          <w:color w:val="365F91" w:themeColor="accent1" w:themeShade="BF"/>
          <w:szCs w:val="22"/>
          <w:lang w:eastAsia="en-AU"/>
        </w:rPr>
        <w:t>Outworkers</w:t>
      </w:r>
    </w:p>
    <w:p w:rsidR="00586C96" w:rsidRDefault="00586C96" w:rsidP="009F4C5B">
      <w:pPr>
        <w:jc w:val="both"/>
      </w:pPr>
      <w:r>
        <w:t xml:space="preserve">Outworkers are contractors or employees who work from home, or at a location not normally classified as a business premises (for example, a </w:t>
      </w:r>
      <w:r w:rsidR="00975A09">
        <w:t xml:space="preserve">garage </w:t>
      </w:r>
      <w:r>
        <w:t>attached to residential premises). For this reason, outworkers have</w:t>
      </w:r>
      <w:r w:rsidR="00E615B6">
        <w:t xml:space="preserve"> </w:t>
      </w:r>
      <w:r w:rsidR="00FB6476">
        <w:t xml:space="preserve">long </w:t>
      </w:r>
      <w:r>
        <w:t xml:space="preserve">been described </w:t>
      </w:r>
      <w:r w:rsidR="00404AD2">
        <w:t>as</w:t>
      </w:r>
      <w:r>
        <w:t xml:space="preserve"> a ‘hidden’ labour force</w:t>
      </w:r>
      <w:r w:rsidR="001332E1">
        <w:t>.</w:t>
      </w:r>
      <w:r w:rsidR="00E615B6">
        <w:rPr>
          <w:rStyle w:val="FootnoteReference"/>
        </w:rPr>
        <w:footnoteReference w:id="29"/>
      </w:r>
      <w:r>
        <w:t xml:space="preserve"> </w:t>
      </w:r>
    </w:p>
    <w:p w:rsidR="00586C96" w:rsidRDefault="009F4C5B" w:rsidP="009F4C5B">
      <w:pPr>
        <w:jc w:val="both"/>
      </w:pPr>
      <w:r>
        <w:t>The education phase of this campaign disclosed</w:t>
      </w:r>
      <w:r w:rsidR="00586C96">
        <w:t xml:space="preserve"> </w:t>
      </w:r>
      <w:r w:rsidR="00E44117">
        <w:t>the</w:t>
      </w:r>
      <w:r w:rsidR="00586C96">
        <w:t xml:space="preserve"> majority of outworkers</w:t>
      </w:r>
      <w:r w:rsidR="00FE2ECF">
        <w:t xml:space="preserve"> appear to be </w:t>
      </w:r>
      <w:r w:rsidR="00586C96">
        <w:t>engaged in clothing production</w:t>
      </w:r>
      <w:r>
        <w:t>, sourcing</w:t>
      </w:r>
      <w:r w:rsidR="00586C96">
        <w:t xml:space="preserve"> work from industry participants operating at different stages of the supply chain, including retailers, wholesalers, manufacturers</w:t>
      </w:r>
      <w:r>
        <w:t>, intermediaries</w:t>
      </w:r>
      <w:r w:rsidR="00586C96">
        <w:t xml:space="preserve"> and even other outworkers. </w:t>
      </w:r>
    </w:p>
    <w:p w:rsidR="00586C96" w:rsidRDefault="00586C96" w:rsidP="009F4C5B">
      <w:pPr>
        <w:jc w:val="both"/>
      </w:pPr>
      <w:r>
        <w:t>Outworkers may take on multiple work orders at one time. The work they perform varies, but typically involves cutting, sewing, or finishing work such as embroidery, or sewing tags onto apparel.</w:t>
      </w:r>
    </w:p>
    <w:p w:rsidR="00586C96" w:rsidRDefault="00586C96" w:rsidP="009F4C5B">
      <w:pPr>
        <w:jc w:val="both"/>
      </w:pPr>
      <w:r>
        <w:t>Traditionally, the industry has relied on outworkers as a flexible source of labour to meet seasonal demand: their work can therefore fluctuate</w:t>
      </w:r>
      <w:r w:rsidR="001F27AE">
        <w:t>.</w:t>
      </w:r>
      <w:r w:rsidR="007C22EB">
        <w:rPr>
          <w:rStyle w:val="FootnoteReference"/>
        </w:rPr>
        <w:footnoteReference w:id="30"/>
      </w:r>
      <w:r>
        <w:t xml:space="preserve"> As they are the last link in </w:t>
      </w:r>
      <w:r w:rsidR="00975A09">
        <w:t xml:space="preserve">the manufacturing </w:t>
      </w:r>
      <w:r>
        <w:t xml:space="preserve">process, they </w:t>
      </w:r>
      <w:r w:rsidR="00975A09">
        <w:t>are also</w:t>
      </w:r>
      <w:r>
        <w:t xml:space="preserve"> vulnerable to the efforts of those further up the supply chain to remain cost-competitive. </w:t>
      </w:r>
    </w:p>
    <w:p w:rsidR="00586C96" w:rsidRDefault="00586C96" w:rsidP="009F4C5B">
      <w:pPr>
        <w:jc w:val="both"/>
      </w:pPr>
      <w:r>
        <w:t>The ‘hidden’ nature of outwork and the position of outworkers at the end of varied and complex supply chains makes it difficult to estimate their number. The failure of ma</w:t>
      </w:r>
      <w:r w:rsidR="00E44117">
        <w:t xml:space="preserve">ny businesses that outsource work to </w:t>
      </w:r>
      <w:r w:rsidR="005C02C2">
        <w:t>r</w:t>
      </w:r>
      <w:r w:rsidR="00E44117">
        <w:t xml:space="preserve">egister their </w:t>
      </w:r>
      <w:r>
        <w:t xml:space="preserve">arrangements with the Board of Reference (as required by the </w:t>
      </w:r>
      <w:r w:rsidR="00970A09">
        <w:t xml:space="preserve">TCF </w:t>
      </w:r>
      <w:r>
        <w:t>Award) compounds this lack of transparency. For th</w:t>
      </w:r>
      <w:r w:rsidR="00211EA9">
        <w:t>e</w:t>
      </w:r>
      <w:r>
        <w:t>s</w:t>
      </w:r>
      <w:r w:rsidR="00211EA9">
        <w:t>e</w:t>
      </w:r>
      <w:r>
        <w:t xml:space="preserve"> reason</w:t>
      </w:r>
      <w:r w:rsidR="00211EA9">
        <w:t>s</w:t>
      </w:r>
      <w:r>
        <w:t>, estimates vary</w:t>
      </w:r>
      <w:r w:rsidR="00FE2ECF">
        <w:t xml:space="preserve"> </w:t>
      </w:r>
      <w:r>
        <w:t>as to the n</w:t>
      </w:r>
      <w:r w:rsidR="00970A09">
        <w:t>umber of workers in the TCF</w:t>
      </w:r>
      <w:r>
        <w:t xml:space="preserve"> industry.</w:t>
      </w:r>
      <w:r w:rsidR="00975A09">
        <w:rPr>
          <w:rStyle w:val="FootnoteReference"/>
        </w:rPr>
        <w:footnoteReference w:id="31"/>
      </w:r>
      <w:r>
        <w:t xml:space="preserve"> </w:t>
      </w:r>
      <w:r w:rsidR="00E44117">
        <w:t xml:space="preserve"> </w:t>
      </w:r>
    </w:p>
    <w:p w:rsidR="00DD4708" w:rsidRPr="0086531C" w:rsidRDefault="00FD374F" w:rsidP="005C5138">
      <w:pPr>
        <w:pStyle w:val="Heading1"/>
      </w:pPr>
      <w:bookmarkStart w:id="11" w:name="_Toc531876778"/>
      <w:bookmarkStart w:id="12" w:name="_Toc534888172"/>
      <w:r>
        <w:t>W</w:t>
      </w:r>
      <w:r w:rsidR="00DD4708" w:rsidRPr="0086531C">
        <w:t>orkplace relations settings</w:t>
      </w:r>
      <w:bookmarkEnd w:id="11"/>
      <w:bookmarkEnd w:id="12"/>
    </w:p>
    <w:p w:rsidR="00822E1D" w:rsidRPr="00822E1D" w:rsidRDefault="00AE6FBD" w:rsidP="007B6788">
      <w:pPr>
        <w:pStyle w:val="Heading3"/>
      </w:pPr>
      <w:r w:rsidRPr="00822E1D">
        <w:t>The</w:t>
      </w:r>
      <w:r w:rsidR="00822E1D" w:rsidRPr="00822E1D">
        <w:t xml:space="preserve"> Fair Work Amendment (Textile, Clothing and Footwear Industry) Act 2012 </w:t>
      </w:r>
    </w:p>
    <w:p w:rsidR="003B5102" w:rsidRPr="00AF27E9" w:rsidRDefault="003B5102" w:rsidP="003B5102">
      <w:pPr>
        <w:jc w:val="both"/>
        <w:rPr>
          <w:lang w:eastAsia="en-AU"/>
        </w:rPr>
      </w:pPr>
      <w:r w:rsidRPr="00AF27E9">
        <w:rPr>
          <w:i/>
          <w:lang w:eastAsia="en-AU"/>
        </w:rPr>
        <w:t>The Fair Work Amendment (Textile, Clothing and Footwear Industry) Act 2012</w:t>
      </w:r>
      <w:r>
        <w:rPr>
          <w:lang w:eastAsia="en-AU"/>
        </w:rPr>
        <w:t xml:space="preserve"> extended most of the </w:t>
      </w:r>
      <w:r w:rsidR="00D52ED1">
        <w:rPr>
          <w:lang w:eastAsia="en-AU"/>
        </w:rPr>
        <w:t xml:space="preserve">provisions of the </w:t>
      </w:r>
      <w:r w:rsidR="00822E1D" w:rsidRPr="007B0E5A">
        <w:rPr>
          <w:i/>
          <w:lang w:eastAsia="en-AU"/>
        </w:rPr>
        <w:t xml:space="preserve">Fair Work </w:t>
      </w:r>
      <w:r w:rsidRPr="007B0E5A">
        <w:rPr>
          <w:i/>
          <w:lang w:eastAsia="en-AU"/>
        </w:rPr>
        <w:t>Act</w:t>
      </w:r>
      <w:r w:rsidR="00822E1D" w:rsidRPr="007B0E5A">
        <w:rPr>
          <w:i/>
          <w:lang w:eastAsia="en-AU"/>
        </w:rPr>
        <w:t xml:space="preserve"> 2009</w:t>
      </w:r>
      <w:r w:rsidR="00822E1D">
        <w:rPr>
          <w:lang w:eastAsia="en-AU"/>
        </w:rPr>
        <w:t xml:space="preserve"> </w:t>
      </w:r>
      <w:r w:rsidR="007B0E5A">
        <w:rPr>
          <w:lang w:eastAsia="en-AU"/>
        </w:rPr>
        <w:t>(</w:t>
      </w:r>
      <w:r w:rsidR="00822E1D">
        <w:rPr>
          <w:lang w:eastAsia="en-AU"/>
        </w:rPr>
        <w:t>the FW Act</w:t>
      </w:r>
      <w:r w:rsidR="007B0E5A">
        <w:rPr>
          <w:lang w:eastAsia="en-AU"/>
        </w:rPr>
        <w:t>)</w:t>
      </w:r>
      <w:r>
        <w:rPr>
          <w:lang w:eastAsia="en-AU"/>
        </w:rPr>
        <w:t xml:space="preserve">, including the </w:t>
      </w:r>
      <w:r w:rsidRPr="00AF27E9">
        <w:rPr>
          <w:lang w:eastAsia="en-AU"/>
        </w:rPr>
        <w:t xml:space="preserve">National Employment Standards, to </w:t>
      </w:r>
      <w:r>
        <w:rPr>
          <w:lang w:eastAsia="en-AU"/>
        </w:rPr>
        <w:t xml:space="preserve">cover </w:t>
      </w:r>
      <w:r w:rsidRPr="00AF27E9">
        <w:rPr>
          <w:lang w:eastAsia="en-AU"/>
        </w:rPr>
        <w:t>contract outworkers</w:t>
      </w:r>
      <w:r>
        <w:rPr>
          <w:lang w:eastAsia="en-AU"/>
        </w:rPr>
        <w:t>.</w:t>
      </w:r>
      <w:r w:rsidRPr="00AF27E9">
        <w:rPr>
          <w:lang w:eastAsia="en-AU"/>
        </w:rPr>
        <w:t xml:space="preserve"> </w:t>
      </w:r>
    </w:p>
    <w:p w:rsidR="0074036C" w:rsidRDefault="003B5102" w:rsidP="003B5102">
      <w:pPr>
        <w:jc w:val="both"/>
        <w:rPr>
          <w:lang w:eastAsia="en-AU"/>
        </w:rPr>
      </w:pPr>
      <w:r w:rsidRPr="00AF27E9">
        <w:rPr>
          <w:lang w:eastAsia="en-AU"/>
        </w:rPr>
        <w:t xml:space="preserve">The </w:t>
      </w:r>
      <w:r w:rsidR="00822E1D">
        <w:rPr>
          <w:lang w:eastAsia="en-AU"/>
        </w:rPr>
        <w:t>FW</w:t>
      </w:r>
      <w:r w:rsidRPr="00AF27E9">
        <w:rPr>
          <w:lang w:eastAsia="en-AU"/>
        </w:rPr>
        <w:t xml:space="preserve"> Act defines </w:t>
      </w:r>
      <w:r w:rsidR="0074036C">
        <w:rPr>
          <w:lang w:eastAsia="en-AU"/>
        </w:rPr>
        <w:t>an</w:t>
      </w:r>
      <w:r w:rsidRPr="00AF27E9">
        <w:rPr>
          <w:lang w:eastAsia="en-AU"/>
        </w:rPr>
        <w:t xml:space="preserve"> </w:t>
      </w:r>
      <w:r w:rsidR="0074036C">
        <w:rPr>
          <w:lang w:eastAsia="en-AU"/>
        </w:rPr>
        <w:t>‘</w:t>
      </w:r>
      <w:r w:rsidRPr="00AF27E9">
        <w:rPr>
          <w:lang w:eastAsia="en-AU"/>
        </w:rPr>
        <w:t>outworker</w:t>
      </w:r>
      <w:r w:rsidR="0074036C">
        <w:rPr>
          <w:lang w:eastAsia="en-AU"/>
        </w:rPr>
        <w:t>’</w:t>
      </w:r>
      <w:r w:rsidRPr="00AF27E9">
        <w:rPr>
          <w:lang w:eastAsia="en-AU"/>
        </w:rPr>
        <w:t xml:space="preserve"> as </w:t>
      </w:r>
      <w:r w:rsidR="0074036C">
        <w:rPr>
          <w:lang w:eastAsia="en-AU"/>
        </w:rPr>
        <w:t>an ‘employee who, for the purposes of the business of his</w:t>
      </w:r>
      <w:r w:rsidRPr="00AF27E9">
        <w:rPr>
          <w:lang w:eastAsia="en-AU"/>
        </w:rPr>
        <w:t xml:space="preserve"> or </w:t>
      </w:r>
      <w:r w:rsidR="0074036C">
        <w:rPr>
          <w:lang w:eastAsia="en-AU"/>
        </w:rPr>
        <w:t xml:space="preserve">her employer, performs work </w:t>
      </w:r>
      <w:r w:rsidRPr="00AF27E9">
        <w:rPr>
          <w:lang w:eastAsia="en-AU"/>
        </w:rPr>
        <w:t xml:space="preserve">at </w:t>
      </w:r>
      <w:r w:rsidR="0074036C">
        <w:rPr>
          <w:lang w:eastAsia="en-AU"/>
        </w:rPr>
        <w:t xml:space="preserve">residential premises or at other premises that would </w:t>
      </w:r>
      <w:r w:rsidRPr="00AF27E9">
        <w:rPr>
          <w:lang w:eastAsia="en-AU"/>
        </w:rPr>
        <w:t xml:space="preserve">not conventionally </w:t>
      </w:r>
      <w:r w:rsidR="0074036C">
        <w:rPr>
          <w:lang w:eastAsia="en-AU"/>
        </w:rPr>
        <w:t xml:space="preserve">be </w:t>
      </w:r>
      <w:r w:rsidRPr="00AF27E9">
        <w:rPr>
          <w:lang w:eastAsia="en-AU"/>
        </w:rPr>
        <w:t xml:space="preserve">regarded as being </w:t>
      </w:r>
      <w:r w:rsidR="0074036C">
        <w:rPr>
          <w:lang w:eastAsia="en-AU"/>
        </w:rPr>
        <w:t>business premises’, or, an individual who, ‘for the purpose of a contract for the provision of services, performs work in the textile, clothing or footwear industry’</w:t>
      </w:r>
      <w:r>
        <w:rPr>
          <w:lang w:eastAsia="en-AU"/>
        </w:rPr>
        <w:t>.</w:t>
      </w:r>
      <w:r>
        <w:rPr>
          <w:rStyle w:val="FootnoteReference"/>
          <w:lang w:eastAsia="en-AU"/>
        </w:rPr>
        <w:footnoteReference w:id="32"/>
      </w:r>
      <w:r w:rsidRPr="00AF27E9">
        <w:rPr>
          <w:lang w:eastAsia="en-AU"/>
        </w:rPr>
        <w:t xml:space="preserve"> </w:t>
      </w:r>
    </w:p>
    <w:p w:rsidR="003B5102" w:rsidRPr="00907E38" w:rsidRDefault="003B5102" w:rsidP="003B5102">
      <w:pPr>
        <w:jc w:val="both"/>
        <w:rPr>
          <w:lang w:eastAsia="en-AU"/>
        </w:rPr>
      </w:pPr>
      <w:r w:rsidRPr="00AF27E9">
        <w:rPr>
          <w:lang w:eastAsia="en-AU"/>
        </w:rPr>
        <w:t>P</w:t>
      </w:r>
      <w:r w:rsidRPr="00AF27E9">
        <w:t xml:space="preserve">ersons (legal or natural) who arrange to have work performed for their business </w:t>
      </w:r>
      <w:r w:rsidRPr="00AF27E9">
        <w:rPr>
          <w:szCs w:val="22"/>
        </w:rPr>
        <w:t xml:space="preserve">that </w:t>
      </w:r>
      <w:r w:rsidRPr="00AF27E9">
        <w:t>‘is of a kind often performed by outworkers</w:t>
      </w:r>
      <w:r w:rsidR="00D52ED1">
        <w:t>’</w:t>
      </w:r>
      <w:r w:rsidRPr="00AF27E9">
        <w:t xml:space="preserve"> are defined as ‘outworker entities’</w:t>
      </w:r>
      <w:r w:rsidR="00FB0DE9">
        <w:t>.</w:t>
      </w:r>
      <w:r>
        <w:rPr>
          <w:rStyle w:val="FootnoteReference"/>
        </w:rPr>
        <w:footnoteReference w:id="33"/>
      </w:r>
    </w:p>
    <w:p w:rsidR="007B0E5A" w:rsidRDefault="007B0E5A" w:rsidP="007B6788">
      <w:pPr>
        <w:pStyle w:val="Heading3"/>
      </w:pPr>
      <w:r w:rsidRPr="007B0E5A">
        <w:t>Textile, Clothing</w:t>
      </w:r>
      <w:r>
        <w:t>,</w:t>
      </w:r>
      <w:r w:rsidRPr="007B0E5A">
        <w:t xml:space="preserve"> Footwear and Associated Industries Award 2010 </w:t>
      </w:r>
      <w:r>
        <w:t>(</w:t>
      </w:r>
      <w:r w:rsidRPr="007B0E5A">
        <w:t>TCF Award)</w:t>
      </w:r>
    </w:p>
    <w:p w:rsidR="00EE2C74" w:rsidRDefault="00EE2C74" w:rsidP="00EE2C74">
      <w:pPr>
        <w:jc w:val="both"/>
        <w:rPr>
          <w:szCs w:val="22"/>
        </w:rPr>
      </w:pPr>
      <w:r w:rsidRPr="00A23898">
        <w:rPr>
          <w:szCs w:val="22"/>
        </w:rPr>
        <w:t>The TCF Award</w:t>
      </w:r>
      <w:r w:rsidRPr="00A23898">
        <w:rPr>
          <w:i/>
          <w:szCs w:val="22"/>
        </w:rPr>
        <w:t xml:space="preserve"> </w:t>
      </w:r>
      <w:r w:rsidRPr="00A23898">
        <w:rPr>
          <w:szCs w:val="22"/>
        </w:rPr>
        <w:t xml:space="preserve">covers employers </w:t>
      </w:r>
      <w:r>
        <w:rPr>
          <w:szCs w:val="22"/>
        </w:rPr>
        <w:t xml:space="preserve">operating in </w:t>
      </w:r>
      <w:r w:rsidRPr="00A23898">
        <w:rPr>
          <w:szCs w:val="22"/>
        </w:rPr>
        <w:t>TCF industry</w:t>
      </w:r>
      <w:r>
        <w:rPr>
          <w:szCs w:val="22"/>
        </w:rPr>
        <w:t xml:space="preserve"> </w:t>
      </w:r>
      <w:r w:rsidRPr="00A23898">
        <w:rPr>
          <w:szCs w:val="22"/>
        </w:rPr>
        <w:t>and their employees undertaking work covered by the award’s classifications.</w:t>
      </w:r>
      <w:r>
        <w:rPr>
          <w:szCs w:val="22"/>
        </w:rPr>
        <w:t xml:space="preserve"> As the ‘TCF industry’ is itself composed of many different sub-industries, employers may operate businesses engaged in:</w:t>
      </w:r>
    </w:p>
    <w:p w:rsidR="00EE2C74" w:rsidRPr="00F93677" w:rsidRDefault="00EE2C74" w:rsidP="00EE2C74">
      <w:pPr>
        <w:pStyle w:val="ListParagraph"/>
        <w:numPr>
          <w:ilvl w:val="0"/>
          <w:numId w:val="38"/>
        </w:numPr>
        <w:jc w:val="both"/>
        <w:rPr>
          <w:szCs w:val="22"/>
        </w:rPr>
      </w:pPr>
      <w:r w:rsidRPr="00F93677">
        <w:rPr>
          <w:szCs w:val="22"/>
        </w:rPr>
        <w:t xml:space="preserve">textile </w:t>
      </w:r>
      <w:r>
        <w:rPr>
          <w:szCs w:val="22"/>
        </w:rPr>
        <w:t>manufacture</w:t>
      </w:r>
    </w:p>
    <w:p w:rsidR="00EE2C74" w:rsidRPr="00FC054C" w:rsidRDefault="00EE2C74" w:rsidP="00EE2C74">
      <w:pPr>
        <w:pStyle w:val="ListParagraph"/>
        <w:numPr>
          <w:ilvl w:val="0"/>
          <w:numId w:val="38"/>
        </w:numPr>
        <w:jc w:val="both"/>
        <w:rPr>
          <w:szCs w:val="22"/>
        </w:rPr>
      </w:pPr>
      <w:r w:rsidRPr="00FC054C">
        <w:rPr>
          <w:szCs w:val="22"/>
        </w:rPr>
        <w:t xml:space="preserve">clothing </w:t>
      </w:r>
      <w:r>
        <w:rPr>
          <w:szCs w:val="22"/>
        </w:rPr>
        <w:t>manufacture</w:t>
      </w:r>
    </w:p>
    <w:p w:rsidR="00EE2C74" w:rsidRPr="00FC054C" w:rsidRDefault="00EE2C74" w:rsidP="00EE2C74">
      <w:pPr>
        <w:pStyle w:val="ListParagraph"/>
        <w:numPr>
          <w:ilvl w:val="0"/>
          <w:numId w:val="38"/>
        </w:numPr>
        <w:jc w:val="both"/>
        <w:rPr>
          <w:szCs w:val="22"/>
        </w:rPr>
      </w:pPr>
      <w:r w:rsidRPr="00FC054C">
        <w:rPr>
          <w:szCs w:val="22"/>
        </w:rPr>
        <w:t xml:space="preserve">bag making </w:t>
      </w:r>
    </w:p>
    <w:p w:rsidR="00EE2C74" w:rsidRPr="00FC054C" w:rsidRDefault="00EE2C74" w:rsidP="00EE2C74">
      <w:pPr>
        <w:pStyle w:val="ListParagraph"/>
        <w:numPr>
          <w:ilvl w:val="0"/>
          <w:numId w:val="38"/>
        </w:numPr>
        <w:jc w:val="both"/>
        <w:rPr>
          <w:szCs w:val="22"/>
        </w:rPr>
      </w:pPr>
      <w:r w:rsidRPr="00FC054C">
        <w:rPr>
          <w:szCs w:val="22"/>
        </w:rPr>
        <w:t xml:space="preserve">button making </w:t>
      </w:r>
    </w:p>
    <w:p w:rsidR="00EE2C74" w:rsidRPr="00F93677" w:rsidRDefault="00EE2C74" w:rsidP="00EE2C74">
      <w:pPr>
        <w:pStyle w:val="ListParagraph"/>
        <w:numPr>
          <w:ilvl w:val="0"/>
          <w:numId w:val="38"/>
        </w:numPr>
        <w:jc w:val="both"/>
        <w:rPr>
          <w:szCs w:val="22"/>
        </w:rPr>
      </w:pPr>
      <w:r w:rsidRPr="00FC054C">
        <w:rPr>
          <w:szCs w:val="22"/>
        </w:rPr>
        <w:t xml:space="preserve">footwear </w:t>
      </w:r>
      <w:r>
        <w:rPr>
          <w:szCs w:val="22"/>
        </w:rPr>
        <w:t>manufacture</w:t>
      </w:r>
    </w:p>
    <w:p w:rsidR="00EE2C74" w:rsidRPr="00F93677" w:rsidRDefault="00EE2C74" w:rsidP="00EE2C74">
      <w:pPr>
        <w:pStyle w:val="ListParagraph"/>
        <w:numPr>
          <w:ilvl w:val="0"/>
          <w:numId w:val="38"/>
        </w:numPr>
        <w:jc w:val="both"/>
        <w:rPr>
          <w:szCs w:val="22"/>
        </w:rPr>
      </w:pPr>
      <w:proofErr w:type="gramStart"/>
      <w:r w:rsidRPr="00F93677">
        <w:rPr>
          <w:szCs w:val="22"/>
        </w:rPr>
        <w:t>allied</w:t>
      </w:r>
      <w:proofErr w:type="gramEnd"/>
      <w:r w:rsidRPr="00F93677">
        <w:rPr>
          <w:szCs w:val="22"/>
        </w:rPr>
        <w:t xml:space="preserve"> manufacturing and fabricating industries</w:t>
      </w:r>
      <w:r w:rsidR="00A1678D">
        <w:rPr>
          <w:szCs w:val="22"/>
        </w:rPr>
        <w:t>.</w:t>
      </w:r>
      <w:r>
        <w:rPr>
          <w:rStyle w:val="FootnoteReference"/>
          <w:szCs w:val="22"/>
        </w:rPr>
        <w:footnoteReference w:id="34"/>
      </w:r>
    </w:p>
    <w:p w:rsidR="00DB3364" w:rsidRDefault="00DB3364" w:rsidP="00EE2C74">
      <w:pPr>
        <w:jc w:val="both"/>
        <w:rPr>
          <w:szCs w:val="22"/>
        </w:rPr>
      </w:pPr>
      <w:r>
        <w:rPr>
          <w:szCs w:val="22"/>
        </w:rPr>
        <w:br w:type="page"/>
      </w:r>
    </w:p>
    <w:p w:rsidR="00EE2C74" w:rsidRPr="00A23898" w:rsidRDefault="00EE2C74">
      <w:pPr>
        <w:jc w:val="both"/>
        <w:rPr>
          <w:szCs w:val="22"/>
        </w:rPr>
      </w:pPr>
      <w:r>
        <w:rPr>
          <w:szCs w:val="22"/>
        </w:rPr>
        <w:t>TCF Award c</w:t>
      </w:r>
      <w:r w:rsidRPr="00A23898">
        <w:rPr>
          <w:szCs w:val="22"/>
        </w:rPr>
        <w:t xml:space="preserve">lassifications </w:t>
      </w:r>
      <w:r>
        <w:rPr>
          <w:szCs w:val="22"/>
        </w:rPr>
        <w:t xml:space="preserve">cover workers engaged in roles that include </w:t>
      </w:r>
      <w:r w:rsidRPr="00A23898">
        <w:rPr>
          <w:szCs w:val="22"/>
        </w:rPr>
        <w:t xml:space="preserve">(but </w:t>
      </w:r>
      <w:r>
        <w:rPr>
          <w:szCs w:val="22"/>
        </w:rPr>
        <w:t xml:space="preserve">are </w:t>
      </w:r>
      <w:r w:rsidRPr="00A23898">
        <w:rPr>
          <w:szCs w:val="22"/>
        </w:rPr>
        <w:t>not limited to) the following</w:t>
      </w:r>
      <w:r>
        <w:rPr>
          <w:szCs w:val="22"/>
        </w:rPr>
        <w:t xml:space="preserve">: </w:t>
      </w:r>
    </w:p>
    <w:p w:rsidR="00EE2C74" w:rsidRPr="00A23898" w:rsidRDefault="00EE2C74" w:rsidP="00E24C4C">
      <w:pPr>
        <w:pStyle w:val="ListParagraph"/>
        <w:numPr>
          <w:ilvl w:val="0"/>
          <w:numId w:val="38"/>
        </w:numPr>
        <w:contextualSpacing w:val="0"/>
        <w:jc w:val="both"/>
        <w:rPr>
          <w:szCs w:val="22"/>
        </w:rPr>
      </w:pPr>
      <w:r w:rsidRPr="00A23898">
        <w:rPr>
          <w:szCs w:val="22"/>
        </w:rPr>
        <w:t>store-workers</w:t>
      </w:r>
    </w:p>
    <w:p w:rsidR="00EE2C74" w:rsidRPr="00A23898" w:rsidRDefault="00EE2C74" w:rsidP="00E24C4C">
      <w:pPr>
        <w:pStyle w:val="ListParagraph"/>
        <w:numPr>
          <w:ilvl w:val="0"/>
          <w:numId w:val="38"/>
        </w:numPr>
        <w:contextualSpacing w:val="0"/>
        <w:jc w:val="both"/>
        <w:rPr>
          <w:szCs w:val="22"/>
        </w:rPr>
      </w:pPr>
      <w:r w:rsidRPr="00A23898">
        <w:rPr>
          <w:szCs w:val="22"/>
        </w:rPr>
        <w:t>forklift drivers</w:t>
      </w:r>
    </w:p>
    <w:p w:rsidR="00EE2C74" w:rsidRPr="00A23898" w:rsidRDefault="00EE2C74" w:rsidP="00E24C4C">
      <w:pPr>
        <w:pStyle w:val="ListParagraph"/>
        <w:numPr>
          <w:ilvl w:val="0"/>
          <w:numId w:val="38"/>
        </w:numPr>
        <w:contextualSpacing w:val="0"/>
        <w:jc w:val="both"/>
        <w:rPr>
          <w:szCs w:val="22"/>
        </w:rPr>
      </w:pPr>
      <w:r w:rsidRPr="00A23898">
        <w:rPr>
          <w:szCs w:val="22"/>
        </w:rPr>
        <w:t>designers</w:t>
      </w:r>
    </w:p>
    <w:p w:rsidR="00EE2C74" w:rsidRPr="00A23898" w:rsidRDefault="00EE2C74" w:rsidP="00E24C4C">
      <w:pPr>
        <w:pStyle w:val="ListParagraph"/>
        <w:numPr>
          <w:ilvl w:val="0"/>
          <w:numId w:val="38"/>
        </w:numPr>
        <w:contextualSpacing w:val="0"/>
        <w:jc w:val="both"/>
        <w:rPr>
          <w:szCs w:val="22"/>
        </w:rPr>
      </w:pPr>
      <w:r w:rsidRPr="00A23898">
        <w:rPr>
          <w:szCs w:val="22"/>
        </w:rPr>
        <w:t>technical drawers (who prepare stencils, and films for screen printing)</w:t>
      </w:r>
    </w:p>
    <w:p w:rsidR="00EE2C74" w:rsidRPr="00A23898" w:rsidRDefault="00EE2C74" w:rsidP="00E24C4C">
      <w:pPr>
        <w:pStyle w:val="ListParagraph"/>
        <w:numPr>
          <w:ilvl w:val="0"/>
          <w:numId w:val="38"/>
        </w:numPr>
        <w:contextualSpacing w:val="0"/>
        <w:jc w:val="both"/>
        <w:rPr>
          <w:szCs w:val="22"/>
        </w:rPr>
      </w:pPr>
      <w:r w:rsidRPr="00A23898">
        <w:rPr>
          <w:szCs w:val="22"/>
        </w:rPr>
        <w:t>machine operators – including sewing machinists</w:t>
      </w:r>
    </w:p>
    <w:p w:rsidR="00EE2C74" w:rsidRPr="00A23898" w:rsidRDefault="00EE2C74" w:rsidP="00E24C4C">
      <w:pPr>
        <w:pStyle w:val="ListParagraph"/>
        <w:numPr>
          <w:ilvl w:val="0"/>
          <w:numId w:val="38"/>
        </w:numPr>
        <w:contextualSpacing w:val="0"/>
        <w:jc w:val="both"/>
        <w:rPr>
          <w:szCs w:val="22"/>
        </w:rPr>
      </w:pPr>
      <w:proofErr w:type="gramStart"/>
      <w:r w:rsidRPr="00A23898">
        <w:rPr>
          <w:szCs w:val="22"/>
        </w:rPr>
        <w:t>textile</w:t>
      </w:r>
      <w:proofErr w:type="gramEnd"/>
      <w:r w:rsidRPr="00A23898">
        <w:rPr>
          <w:szCs w:val="22"/>
        </w:rPr>
        <w:t xml:space="preserve"> machine and sewing machine mechanics.</w:t>
      </w:r>
    </w:p>
    <w:p w:rsidR="00D86019" w:rsidRDefault="00D86019" w:rsidP="00E24C4C">
      <w:pPr>
        <w:pStyle w:val="ListParagraph"/>
        <w:ind w:left="0"/>
        <w:contextualSpacing w:val="0"/>
        <w:jc w:val="both"/>
        <w:rPr>
          <w:szCs w:val="22"/>
        </w:rPr>
      </w:pPr>
      <w:r>
        <w:rPr>
          <w:szCs w:val="22"/>
        </w:rPr>
        <w:t>At the time of publication of this report, t</w:t>
      </w:r>
      <w:r w:rsidRPr="00D86019">
        <w:rPr>
          <w:szCs w:val="22"/>
        </w:rPr>
        <w:t xml:space="preserve">he minimum </w:t>
      </w:r>
      <w:r w:rsidR="004806AC">
        <w:rPr>
          <w:szCs w:val="22"/>
        </w:rPr>
        <w:t xml:space="preserve">hourly </w:t>
      </w:r>
      <w:r w:rsidRPr="00D86019">
        <w:rPr>
          <w:szCs w:val="22"/>
        </w:rPr>
        <w:t xml:space="preserve">rate of pay for any </w:t>
      </w:r>
      <w:r w:rsidR="0086531C">
        <w:rPr>
          <w:szCs w:val="22"/>
        </w:rPr>
        <w:t xml:space="preserve">full or part-time </w:t>
      </w:r>
      <w:r w:rsidRPr="00D86019">
        <w:rPr>
          <w:szCs w:val="22"/>
        </w:rPr>
        <w:t xml:space="preserve">factory-based employee </w:t>
      </w:r>
      <w:r w:rsidR="004806AC">
        <w:rPr>
          <w:szCs w:val="22"/>
        </w:rPr>
        <w:t>covered by</w:t>
      </w:r>
      <w:r w:rsidRPr="00D86019">
        <w:rPr>
          <w:szCs w:val="22"/>
        </w:rPr>
        <w:t xml:space="preserve"> the </w:t>
      </w:r>
      <w:r w:rsidR="00FA32A8">
        <w:rPr>
          <w:szCs w:val="22"/>
        </w:rPr>
        <w:t xml:space="preserve">TCF </w:t>
      </w:r>
      <w:r w:rsidRPr="00D86019">
        <w:rPr>
          <w:szCs w:val="22"/>
        </w:rPr>
        <w:t>Award is $18.93</w:t>
      </w:r>
      <w:r w:rsidR="00FA32A8">
        <w:rPr>
          <w:szCs w:val="22"/>
        </w:rPr>
        <w:t>.</w:t>
      </w:r>
      <w:r w:rsidR="00313DE7">
        <w:rPr>
          <w:rStyle w:val="FootnoteReference"/>
          <w:szCs w:val="22"/>
        </w:rPr>
        <w:footnoteReference w:id="35"/>
      </w:r>
      <w:r w:rsidR="004806AC">
        <w:rPr>
          <w:szCs w:val="22"/>
        </w:rPr>
        <w:t xml:space="preserve"> </w:t>
      </w:r>
    </w:p>
    <w:p w:rsidR="003B5102" w:rsidRDefault="003B5102" w:rsidP="00E24C4C">
      <w:pPr>
        <w:pStyle w:val="ListParagraph"/>
        <w:ind w:left="0"/>
        <w:contextualSpacing w:val="0"/>
        <w:jc w:val="both"/>
        <w:rPr>
          <w:szCs w:val="22"/>
        </w:rPr>
      </w:pPr>
      <w:r>
        <w:rPr>
          <w:szCs w:val="22"/>
        </w:rPr>
        <w:t xml:space="preserve">Fair Work Inspectors </w:t>
      </w:r>
      <w:r w:rsidR="006B5652">
        <w:rPr>
          <w:szCs w:val="22"/>
        </w:rPr>
        <w:t>identified</w:t>
      </w:r>
      <w:r>
        <w:rPr>
          <w:szCs w:val="22"/>
        </w:rPr>
        <w:t xml:space="preserve"> </w:t>
      </w:r>
      <w:r w:rsidR="006B5652">
        <w:rPr>
          <w:szCs w:val="22"/>
        </w:rPr>
        <w:t xml:space="preserve">that </w:t>
      </w:r>
      <w:r>
        <w:rPr>
          <w:szCs w:val="22"/>
        </w:rPr>
        <w:t xml:space="preserve">many of </w:t>
      </w:r>
      <w:r w:rsidR="00AD71AB">
        <w:rPr>
          <w:szCs w:val="22"/>
        </w:rPr>
        <w:t xml:space="preserve">the </w:t>
      </w:r>
      <w:r w:rsidR="006B5652">
        <w:rPr>
          <w:szCs w:val="22"/>
        </w:rPr>
        <w:t>f</w:t>
      </w:r>
      <w:r>
        <w:rPr>
          <w:szCs w:val="22"/>
        </w:rPr>
        <w:t xml:space="preserve">actory-based workers </w:t>
      </w:r>
      <w:r w:rsidR="0086531C">
        <w:rPr>
          <w:szCs w:val="22"/>
        </w:rPr>
        <w:t xml:space="preserve">in the </w:t>
      </w:r>
      <w:r w:rsidR="00934E13">
        <w:rPr>
          <w:szCs w:val="22"/>
        </w:rPr>
        <w:t>TCF C</w:t>
      </w:r>
      <w:r w:rsidR="0086531C">
        <w:rPr>
          <w:szCs w:val="22"/>
        </w:rPr>
        <w:t xml:space="preserve">ampaign </w:t>
      </w:r>
      <w:r w:rsidR="00A214F1">
        <w:rPr>
          <w:szCs w:val="22"/>
        </w:rPr>
        <w:t>were machinists</w:t>
      </w:r>
      <w:r w:rsidR="0086531C">
        <w:rPr>
          <w:szCs w:val="22"/>
        </w:rPr>
        <w:t xml:space="preserve">, entitled to classification as ‘Skill Level 2’ </w:t>
      </w:r>
      <w:r w:rsidR="004E68D2">
        <w:rPr>
          <w:szCs w:val="22"/>
        </w:rPr>
        <w:t xml:space="preserve">as set out by </w:t>
      </w:r>
      <w:r w:rsidR="0086531C">
        <w:rPr>
          <w:szCs w:val="22"/>
        </w:rPr>
        <w:t xml:space="preserve">the </w:t>
      </w:r>
      <w:r w:rsidR="004E68D2">
        <w:rPr>
          <w:szCs w:val="22"/>
        </w:rPr>
        <w:t xml:space="preserve">TCF </w:t>
      </w:r>
      <w:r w:rsidR="0086531C">
        <w:rPr>
          <w:szCs w:val="22"/>
        </w:rPr>
        <w:t>Award.</w:t>
      </w:r>
      <w:r w:rsidR="0086531C">
        <w:rPr>
          <w:rStyle w:val="FootnoteReference"/>
          <w:szCs w:val="22"/>
        </w:rPr>
        <w:footnoteReference w:id="36"/>
      </w:r>
      <w:r w:rsidR="0086531C">
        <w:rPr>
          <w:szCs w:val="22"/>
        </w:rPr>
        <w:t xml:space="preserve"> A</w:t>
      </w:r>
      <w:r w:rsidR="007B0E5A">
        <w:rPr>
          <w:szCs w:val="22"/>
        </w:rPr>
        <w:t>t</w:t>
      </w:r>
      <w:r w:rsidR="0086531C">
        <w:rPr>
          <w:szCs w:val="22"/>
        </w:rPr>
        <w:t xml:space="preserve"> the time of this report, the </w:t>
      </w:r>
      <w:r w:rsidR="007B0E5A">
        <w:rPr>
          <w:szCs w:val="22"/>
        </w:rPr>
        <w:t xml:space="preserve">minimum hourly </w:t>
      </w:r>
      <w:r w:rsidR="0086531C">
        <w:rPr>
          <w:szCs w:val="22"/>
        </w:rPr>
        <w:t>rate for workers at this level is $20.22 (for full or part-time workers).</w:t>
      </w:r>
    </w:p>
    <w:p w:rsidR="002E6864" w:rsidRPr="000C1C88" w:rsidRDefault="002E6864" w:rsidP="00161A37">
      <w:pPr>
        <w:pStyle w:val="Heading3"/>
        <w:spacing w:before="0" w:line="360" w:lineRule="auto"/>
      </w:pPr>
      <w:r w:rsidRPr="000C1C88">
        <w:t xml:space="preserve">Schedule F </w:t>
      </w:r>
    </w:p>
    <w:p w:rsidR="00013855" w:rsidRPr="00F718CA" w:rsidRDefault="00013855" w:rsidP="00161A37">
      <w:pPr>
        <w:jc w:val="both"/>
        <w:rPr>
          <w:szCs w:val="22"/>
        </w:rPr>
      </w:pPr>
      <w:r>
        <w:rPr>
          <w:szCs w:val="22"/>
        </w:rPr>
        <w:t xml:space="preserve">Schedule F </w:t>
      </w:r>
      <w:r w:rsidR="00C00E28">
        <w:rPr>
          <w:szCs w:val="22"/>
        </w:rPr>
        <w:t xml:space="preserve">of the </w:t>
      </w:r>
      <w:r w:rsidR="00501F11">
        <w:rPr>
          <w:szCs w:val="22"/>
        </w:rPr>
        <w:t>a</w:t>
      </w:r>
      <w:r w:rsidR="00C00E28">
        <w:rPr>
          <w:szCs w:val="22"/>
        </w:rPr>
        <w:t>ward</w:t>
      </w:r>
      <w:r>
        <w:rPr>
          <w:szCs w:val="22"/>
        </w:rPr>
        <w:t xml:space="preserve"> requires that all outworkers</w:t>
      </w:r>
      <w:r w:rsidRPr="00F718CA">
        <w:rPr>
          <w:szCs w:val="22"/>
        </w:rPr>
        <w:t xml:space="preserve"> </w:t>
      </w:r>
      <w:r>
        <w:rPr>
          <w:szCs w:val="22"/>
        </w:rPr>
        <w:t xml:space="preserve">(whether </w:t>
      </w:r>
      <w:r w:rsidRPr="00F718CA">
        <w:rPr>
          <w:szCs w:val="22"/>
        </w:rPr>
        <w:t>employees or contractors</w:t>
      </w:r>
      <w:r>
        <w:rPr>
          <w:szCs w:val="22"/>
        </w:rPr>
        <w:t>)</w:t>
      </w:r>
      <w:r w:rsidRPr="00F718CA">
        <w:rPr>
          <w:szCs w:val="22"/>
        </w:rPr>
        <w:t xml:space="preserve"> receive </w:t>
      </w:r>
      <w:r>
        <w:rPr>
          <w:szCs w:val="22"/>
        </w:rPr>
        <w:t>certain</w:t>
      </w:r>
      <w:r w:rsidRPr="00F718CA">
        <w:rPr>
          <w:szCs w:val="22"/>
        </w:rPr>
        <w:t xml:space="preserve"> </w:t>
      </w:r>
      <w:r>
        <w:rPr>
          <w:szCs w:val="22"/>
        </w:rPr>
        <w:t>minimum entitlements</w:t>
      </w:r>
      <w:r w:rsidRPr="00F718CA">
        <w:rPr>
          <w:szCs w:val="22"/>
        </w:rPr>
        <w:t xml:space="preserve"> including:</w:t>
      </w:r>
    </w:p>
    <w:p w:rsidR="00013855" w:rsidRPr="00E12436" w:rsidRDefault="00013855" w:rsidP="00161A37">
      <w:pPr>
        <w:pStyle w:val="ListParagraph"/>
        <w:numPr>
          <w:ilvl w:val="0"/>
          <w:numId w:val="12"/>
        </w:numPr>
        <w:jc w:val="both"/>
        <w:rPr>
          <w:lang w:eastAsia="en-AU"/>
        </w:rPr>
      </w:pPr>
      <w:r w:rsidRPr="00E12436">
        <w:rPr>
          <w:lang w:eastAsia="en-AU"/>
        </w:rPr>
        <w:t>minimum h</w:t>
      </w:r>
      <w:r w:rsidR="00695C2C">
        <w:rPr>
          <w:lang w:eastAsia="en-AU"/>
        </w:rPr>
        <w:t xml:space="preserve">ourly rates as prescribed by the </w:t>
      </w:r>
      <w:r w:rsidR="004E68D2">
        <w:rPr>
          <w:lang w:eastAsia="en-AU"/>
        </w:rPr>
        <w:t xml:space="preserve">TCF </w:t>
      </w:r>
      <w:r w:rsidR="00695C2C">
        <w:rPr>
          <w:lang w:eastAsia="en-AU"/>
        </w:rPr>
        <w:t>A</w:t>
      </w:r>
      <w:r w:rsidRPr="00E12436">
        <w:rPr>
          <w:lang w:eastAsia="en-AU"/>
        </w:rPr>
        <w:t xml:space="preserve">ward </w:t>
      </w:r>
    </w:p>
    <w:p w:rsidR="00013855" w:rsidRPr="00E12436" w:rsidRDefault="00013855" w:rsidP="00161A37">
      <w:pPr>
        <w:pStyle w:val="ListParagraph"/>
        <w:numPr>
          <w:ilvl w:val="0"/>
          <w:numId w:val="12"/>
        </w:numPr>
        <w:jc w:val="both"/>
        <w:rPr>
          <w:lang w:eastAsia="en-AU"/>
        </w:rPr>
      </w:pPr>
      <w:r w:rsidRPr="00E12436">
        <w:rPr>
          <w:lang w:eastAsia="en-AU"/>
        </w:rPr>
        <w:t>overtime, allowances and penalties</w:t>
      </w:r>
    </w:p>
    <w:p w:rsidR="00013855" w:rsidRDefault="00013855" w:rsidP="00161A37">
      <w:pPr>
        <w:pStyle w:val="ListParagraph"/>
        <w:numPr>
          <w:ilvl w:val="0"/>
          <w:numId w:val="12"/>
        </w:numPr>
        <w:jc w:val="both"/>
        <w:rPr>
          <w:lang w:eastAsia="en-AU"/>
        </w:rPr>
      </w:pPr>
      <w:proofErr w:type="gramStart"/>
      <w:r w:rsidRPr="00E12436">
        <w:rPr>
          <w:lang w:eastAsia="en-AU"/>
        </w:rPr>
        <w:t>the</w:t>
      </w:r>
      <w:proofErr w:type="gramEnd"/>
      <w:r w:rsidRPr="00E12436">
        <w:rPr>
          <w:lang w:eastAsia="en-AU"/>
        </w:rPr>
        <w:t xml:space="preserve"> minimum entitlements set out by the National Employment Standards</w:t>
      </w:r>
      <w:r w:rsidR="00695C2C">
        <w:rPr>
          <w:lang w:eastAsia="en-AU"/>
        </w:rPr>
        <w:t>.</w:t>
      </w:r>
    </w:p>
    <w:p w:rsidR="00013855" w:rsidRDefault="00013855" w:rsidP="00161A37">
      <w:pPr>
        <w:jc w:val="both"/>
        <w:rPr>
          <w:lang w:eastAsia="en-AU"/>
        </w:rPr>
      </w:pPr>
      <w:r>
        <w:rPr>
          <w:lang w:eastAsia="en-AU"/>
        </w:rPr>
        <w:t xml:space="preserve">Under the terms of Schedule F, outworkers can only be engaged full-time (for 38 hours per week), or on a regular part-time basis. </w:t>
      </w:r>
      <w:r w:rsidR="00D41798">
        <w:rPr>
          <w:lang w:eastAsia="en-AU"/>
        </w:rPr>
        <w:t>If part-time</w:t>
      </w:r>
      <w:r w:rsidR="00ED2681">
        <w:rPr>
          <w:lang w:eastAsia="en-AU"/>
        </w:rPr>
        <w:t>,</w:t>
      </w:r>
      <w:r w:rsidR="00D41798">
        <w:rPr>
          <w:lang w:eastAsia="en-AU"/>
        </w:rPr>
        <w:t xml:space="preserve"> t</w:t>
      </w:r>
      <w:r>
        <w:rPr>
          <w:lang w:eastAsia="en-AU"/>
        </w:rPr>
        <w:t>hey are entitled to no less than 15 hours per week, or ten with the consent of both the worker and the Union.</w:t>
      </w:r>
      <w:r>
        <w:rPr>
          <w:rStyle w:val="FootnoteReference"/>
          <w:lang w:eastAsia="en-AU"/>
        </w:rPr>
        <w:footnoteReference w:id="37"/>
      </w:r>
      <w:r>
        <w:rPr>
          <w:lang w:eastAsia="en-AU"/>
        </w:rPr>
        <w:t xml:space="preserve"> </w:t>
      </w:r>
    </w:p>
    <w:p w:rsidR="00D0287E" w:rsidRDefault="00215220" w:rsidP="00161A37">
      <w:pPr>
        <w:rPr>
          <w:szCs w:val="22"/>
        </w:rPr>
      </w:pPr>
      <w:r w:rsidRPr="00F718CA">
        <w:rPr>
          <w:szCs w:val="22"/>
        </w:rPr>
        <w:t>Schedule F</w:t>
      </w:r>
      <w:r w:rsidR="00A007CE">
        <w:rPr>
          <w:szCs w:val="22"/>
        </w:rPr>
        <w:t xml:space="preserve"> </w:t>
      </w:r>
      <w:r w:rsidRPr="00F718CA">
        <w:rPr>
          <w:szCs w:val="22"/>
        </w:rPr>
        <w:t xml:space="preserve">imposes obligations on </w:t>
      </w:r>
      <w:r w:rsidR="005B57AB">
        <w:rPr>
          <w:szCs w:val="22"/>
        </w:rPr>
        <w:t>employers or outwork</w:t>
      </w:r>
      <w:r w:rsidR="007B0E5A">
        <w:rPr>
          <w:szCs w:val="22"/>
        </w:rPr>
        <w:t>er</w:t>
      </w:r>
      <w:r w:rsidR="005B57AB">
        <w:rPr>
          <w:szCs w:val="22"/>
        </w:rPr>
        <w:t xml:space="preserve"> entities </w:t>
      </w:r>
      <w:r w:rsidR="005B57AB" w:rsidRPr="00F718CA">
        <w:rPr>
          <w:szCs w:val="22"/>
        </w:rPr>
        <w:t>(kn</w:t>
      </w:r>
      <w:r w:rsidR="005B57AB" w:rsidRPr="00456604">
        <w:rPr>
          <w:szCs w:val="22"/>
        </w:rPr>
        <w:t>own as ‘</w:t>
      </w:r>
      <w:r w:rsidR="00C00E28" w:rsidRPr="00456604">
        <w:rPr>
          <w:szCs w:val="22"/>
        </w:rPr>
        <w:t>princip</w:t>
      </w:r>
      <w:r w:rsidR="004600E3" w:rsidRPr="00456604">
        <w:rPr>
          <w:szCs w:val="22"/>
        </w:rPr>
        <w:t>al</w:t>
      </w:r>
      <w:r w:rsidR="00C00E28" w:rsidRPr="00456604">
        <w:rPr>
          <w:szCs w:val="22"/>
        </w:rPr>
        <w:t>s</w:t>
      </w:r>
      <w:r w:rsidR="005B57AB" w:rsidRPr="00456604">
        <w:rPr>
          <w:szCs w:val="22"/>
        </w:rPr>
        <w:t>’)</w:t>
      </w:r>
      <w:r w:rsidR="005B57AB" w:rsidRPr="00F718CA">
        <w:rPr>
          <w:szCs w:val="22"/>
        </w:rPr>
        <w:t xml:space="preserve"> </w:t>
      </w:r>
      <w:r w:rsidR="005B57AB">
        <w:rPr>
          <w:szCs w:val="22"/>
        </w:rPr>
        <w:t>who</w:t>
      </w:r>
      <w:r w:rsidRPr="00F718CA">
        <w:rPr>
          <w:szCs w:val="22"/>
        </w:rPr>
        <w:t xml:space="preserve"> </w:t>
      </w:r>
      <w:r w:rsidR="005B57AB">
        <w:rPr>
          <w:szCs w:val="22"/>
        </w:rPr>
        <w:t xml:space="preserve">outsource any aspect of </w:t>
      </w:r>
      <w:r w:rsidR="00861090">
        <w:rPr>
          <w:szCs w:val="22"/>
        </w:rPr>
        <w:t xml:space="preserve">their </w:t>
      </w:r>
      <w:r w:rsidR="005B57AB">
        <w:rPr>
          <w:szCs w:val="22"/>
        </w:rPr>
        <w:t>production</w:t>
      </w:r>
      <w:r w:rsidR="00D0287E">
        <w:rPr>
          <w:szCs w:val="22"/>
        </w:rPr>
        <w:t>.</w:t>
      </w:r>
      <w:r w:rsidR="00325746">
        <w:rPr>
          <w:rStyle w:val="FootnoteReference"/>
          <w:szCs w:val="22"/>
        </w:rPr>
        <w:footnoteReference w:id="38"/>
      </w:r>
      <w:r w:rsidR="00D0287E">
        <w:rPr>
          <w:szCs w:val="22"/>
        </w:rPr>
        <w:t xml:space="preserve"> </w:t>
      </w:r>
      <w:r w:rsidR="00861090">
        <w:rPr>
          <w:szCs w:val="22"/>
        </w:rPr>
        <w:t>They must:</w:t>
      </w:r>
    </w:p>
    <w:p w:rsidR="00D0287E" w:rsidRPr="00951043" w:rsidRDefault="00D0287E" w:rsidP="00161A37">
      <w:pPr>
        <w:pStyle w:val="ListParagraph"/>
        <w:numPr>
          <w:ilvl w:val="0"/>
          <w:numId w:val="12"/>
        </w:numPr>
        <w:jc w:val="both"/>
        <w:rPr>
          <w:lang w:eastAsia="en-AU"/>
        </w:rPr>
      </w:pPr>
      <w:r w:rsidRPr="00951043">
        <w:rPr>
          <w:lang w:eastAsia="en-AU"/>
        </w:rPr>
        <w:t>register with a Board of Reference prior to outsourcing work</w:t>
      </w:r>
    </w:p>
    <w:p w:rsidR="00D0287E" w:rsidRDefault="00D0287E" w:rsidP="00161A37">
      <w:pPr>
        <w:pStyle w:val="ListParagraph"/>
        <w:numPr>
          <w:ilvl w:val="0"/>
          <w:numId w:val="12"/>
        </w:numPr>
        <w:jc w:val="both"/>
        <w:rPr>
          <w:lang w:eastAsia="en-AU"/>
        </w:rPr>
      </w:pPr>
      <w:proofErr w:type="gramStart"/>
      <w:r w:rsidRPr="00951043">
        <w:rPr>
          <w:lang w:eastAsia="en-AU"/>
        </w:rPr>
        <w:t>maintain</w:t>
      </w:r>
      <w:proofErr w:type="gramEnd"/>
      <w:r w:rsidRPr="00951043">
        <w:rPr>
          <w:lang w:eastAsia="en-AU"/>
        </w:rPr>
        <w:t xml:space="preserve"> a list of individuals or businesses they outsource work to, and submit updated lists on a quarterly basis to the </w:t>
      </w:r>
      <w:r w:rsidR="007B0E5A">
        <w:t xml:space="preserve">General Manager of the Fair Work Commission and the </w:t>
      </w:r>
      <w:r w:rsidR="00F13832">
        <w:t>s</w:t>
      </w:r>
      <w:r w:rsidR="007B0E5A">
        <w:t>tate branch of the Union.</w:t>
      </w:r>
      <w:r w:rsidR="008E3162">
        <w:rPr>
          <w:rStyle w:val="FootnoteReference"/>
          <w:lang w:eastAsia="en-AU"/>
        </w:rPr>
        <w:footnoteReference w:id="39"/>
      </w:r>
    </w:p>
    <w:p w:rsidR="00861090" w:rsidRDefault="00ED2681" w:rsidP="00161A37">
      <w:pPr>
        <w:pStyle w:val="ListParagraph"/>
        <w:numPr>
          <w:ilvl w:val="0"/>
          <w:numId w:val="12"/>
        </w:numPr>
        <w:rPr>
          <w:szCs w:val="22"/>
        </w:rPr>
      </w:pPr>
      <w:proofErr w:type="gramStart"/>
      <w:r>
        <w:rPr>
          <w:szCs w:val="22"/>
        </w:rPr>
        <w:t>supply</w:t>
      </w:r>
      <w:proofErr w:type="gramEnd"/>
      <w:r>
        <w:rPr>
          <w:szCs w:val="22"/>
        </w:rPr>
        <w:t xml:space="preserve"> a </w:t>
      </w:r>
      <w:r w:rsidR="00861090" w:rsidRPr="00E9340B">
        <w:rPr>
          <w:szCs w:val="22"/>
        </w:rPr>
        <w:t xml:space="preserve">copy of a written agreement </w:t>
      </w:r>
      <w:r w:rsidR="008E3162">
        <w:rPr>
          <w:szCs w:val="22"/>
        </w:rPr>
        <w:t>to the</w:t>
      </w:r>
      <w:r w:rsidR="00861090" w:rsidRPr="00E9340B">
        <w:rPr>
          <w:szCs w:val="22"/>
        </w:rPr>
        <w:t xml:space="preserve"> outworker specifying whether they are</w:t>
      </w:r>
      <w:r w:rsidR="00861090">
        <w:rPr>
          <w:szCs w:val="22"/>
        </w:rPr>
        <w:t xml:space="preserve"> to be </w:t>
      </w:r>
      <w:r w:rsidR="00861090" w:rsidRPr="00E9340B">
        <w:rPr>
          <w:szCs w:val="22"/>
        </w:rPr>
        <w:t>engaged on a full</w:t>
      </w:r>
      <w:r>
        <w:rPr>
          <w:szCs w:val="22"/>
        </w:rPr>
        <w:t>-</w:t>
      </w:r>
      <w:r w:rsidR="00861090" w:rsidRPr="00E9340B">
        <w:rPr>
          <w:szCs w:val="22"/>
        </w:rPr>
        <w:t>time or part</w:t>
      </w:r>
      <w:r>
        <w:rPr>
          <w:szCs w:val="22"/>
        </w:rPr>
        <w:t>-</w:t>
      </w:r>
      <w:r w:rsidR="00861090" w:rsidRPr="00E9340B">
        <w:rPr>
          <w:szCs w:val="22"/>
        </w:rPr>
        <w:t>time basis</w:t>
      </w:r>
      <w:r>
        <w:rPr>
          <w:szCs w:val="22"/>
        </w:rPr>
        <w:t xml:space="preserve"> -</w:t>
      </w:r>
      <w:r w:rsidR="00861090">
        <w:rPr>
          <w:szCs w:val="22"/>
        </w:rPr>
        <w:t xml:space="preserve"> outworkers cannot be engaged on a casual basis</w:t>
      </w:r>
      <w:r w:rsidR="00FD39BE">
        <w:rPr>
          <w:szCs w:val="22"/>
        </w:rPr>
        <w:t>.</w:t>
      </w:r>
    </w:p>
    <w:p w:rsidR="00D0287E" w:rsidRPr="00951043" w:rsidRDefault="00861090" w:rsidP="00161A37">
      <w:pPr>
        <w:jc w:val="both"/>
        <w:rPr>
          <w:lang w:eastAsia="en-AU"/>
        </w:rPr>
      </w:pPr>
      <w:r>
        <w:rPr>
          <w:szCs w:val="22"/>
        </w:rPr>
        <w:t xml:space="preserve">Importantly, a </w:t>
      </w:r>
      <w:r w:rsidR="00C00E28">
        <w:rPr>
          <w:szCs w:val="22"/>
        </w:rPr>
        <w:t>principal</w:t>
      </w:r>
      <w:r>
        <w:rPr>
          <w:szCs w:val="22"/>
        </w:rPr>
        <w:t xml:space="preserve"> must </w:t>
      </w:r>
      <w:r w:rsidR="00D0287E" w:rsidRPr="00951043">
        <w:rPr>
          <w:lang w:eastAsia="en-AU"/>
        </w:rPr>
        <w:t xml:space="preserve">supply </w:t>
      </w:r>
      <w:r w:rsidRPr="00951043">
        <w:rPr>
          <w:lang w:eastAsia="en-AU"/>
        </w:rPr>
        <w:t xml:space="preserve">the </w:t>
      </w:r>
      <w:r w:rsidR="00D0287E" w:rsidRPr="00951043">
        <w:rPr>
          <w:lang w:eastAsia="en-AU"/>
        </w:rPr>
        <w:t xml:space="preserve">outworker </w:t>
      </w:r>
      <w:r w:rsidR="00ED2681">
        <w:rPr>
          <w:lang w:eastAsia="en-AU"/>
        </w:rPr>
        <w:t xml:space="preserve">with </w:t>
      </w:r>
      <w:r w:rsidR="00D0287E" w:rsidRPr="00951043">
        <w:rPr>
          <w:lang w:eastAsia="en-AU"/>
        </w:rPr>
        <w:t xml:space="preserve">a copy of a written work record for each outsourcing arrangement that includes (but is not limited to): </w:t>
      </w:r>
    </w:p>
    <w:p w:rsidR="00D0287E" w:rsidRPr="00F718CA" w:rsidRDefault="00861090" w:rsidP="00161A37">
      <w:pPr>
        <w:pStyle w:val="ListParagraph"/>
        <w:numPr>
          <w:ilvl w:val="0"/>
          <w:numId w:val="34"/>
        </w:numPr>
        <w:jc w:val="both"/>
        <w:rPr>
          <w:szCs w:val="22"/>
        </w:rPr>
      </w:pPr>
      <w:r>
        <w:rPr>
          <w:szCs w:val="22"/>
        </w:rPr>
        <w:t xml:space="preserve">the </w:t>
      </w:r>
      <w:r w:rsidR="00C00E28">
        <w:rPr>
          <w:szCs w:val="22"/>
        </w:rPr>
        <w:t>principal</w:t>
      </w:r>
      <w:r>
        <w:rPr>
          <w:szCs w:val="22"/>
        </w:rPr>
        <w:t xml:space="preserve">’s </w:t>
      </w:r>
      <w:r w:rsidRPr="00F718CA">
        <w:rPr>
          <w:szCs w:val="22"/>
        </w:rPr>
        <w:t>Board of Reference</w:t>
      </w:r>
      <w:r>
        <w:rPr>
          <w:szCs w:val="22"/>
        </w:rPr>
        <w:t xml:space="preserve"> registration number</w:t>
      </w:r>
    </w:p>
    <w:p w:rsidR="00861090" w:rsidRPr="00951043" w:rsidRDefault="00861090" w:rsidP="00161A37">
      <w:pPr>
        <w:pStyle w:val="ListParagraph"/>
        <w:numPr>
          <w:ilvl w:val="0"/>
          <w:numId w:val="34"/>
        </w:numPr>
        <w:jc w:val="both"/>
        <w:rPr>
          <w:lang w:eastAsia="en-AU"/>
        </w:rPr>
      </w:pPr>
      <w:r>
        <w:rPr>
          <w:szCs w:val="22"/>
        </w:rPr>
        <w:t>a description of the work required, including instructions</w:t>
      </w:r>
      <w:r w:rsidR="00ED2681">
        <w:rPr>
          <w:szCs w:val="22"/>
        </w:rPr>
        <w:t xml:space="preserve"> on how it is to be completed</w:t>
      </w:r>
    </w:p>
    <w:p w:rsidR="00861090" w:rsidRPr="00E12436" w:rsidRDefault="00861090" w:rsidP="00161A37">
      <w:pPr>
        <w:pStyle w:val="ListParagraph"/>
        <w:numPr>
          <w:ilvl w:val="0"/>
          <w:numId w:val="34"/>
        </w:numPr>
        <w:jc w:val="both"/>
        <w:rPr>
          <w:lang w:eastAsia="en-AU"/>
        </w:rPr>
      </w:pPr>
      <w:r>
        <w:rPr>
          <w:szCs w:val="22"/>
        </w:rPr>
        <w:t>t</w:t>
      </w:r>
      <w:r w:rsidRPr="00E12436">
        <w:rPr>
          <w:lang w:eastAsia="en-AU"/>
        </w:rPr>
        <w:t xml:space="preserve">he number of units </w:t>
      </w:r>
      <w:r w:rsidR="00695C2C">
        <w:rPr>
          <w:lang w:eastAsia="en-AU"/>
        </w:rPr>
        <w:t>to be worked on</w:t>
      </w:r>
    </w:p>
    <w:p w:rsidR="00861090" w:rsidRPr="00E12436" w:rsidRDefault="00861090" w:rsidP="00161A37">
      <w:pPr>
        <w:pStyle w:val="ListParagraph"/>
        <w:numPr>
          <w:ilvl w:val="0"/>
          <w:numId w:val="34"/>
        </w:numPr>
        <w:jc w:val="both"/>
        <w:rPr>
          <w:lang w:eastAsia="en-AU"/>
        </w:rPr>
      </w:pPr>
      <w:r>
        <w:rPr>
          <w:lang w:eastAsia="en-AU"/>
        </w:rPr>
        <w:t>h</w:t>
      </w:r>
      <w:r w:rsidRPr="00E12436">
        <w:rPr>
          <w:lang w:eastAsia="en-AU"/>
        </w:rPr>
        <w:t>ow many minutes it is expected that each unit of work will take to complete</w:t>
      </w:r>
    </w:p>
    <w:p w:rsidR="00861090" w:rsidRDefault="00ED2681" w:rsidP="00161A37">
      <w:pPr>
        <w:pStyle w:val="ListParagraph"/>
        <w:numPr>
          <w:ilvl w:val="0"/>
          <w:numId w:val="34"/>
        </w:numPr>
        <w:jc w:val="both"/>
        <w:rPr>
          <w:lang w:eastAsia="en-AU"/>
        </w:rPr>
      </w:pPr>
      <w:r>
        <w:rPr>
          <w:lang w:eastAsia="en-AU"/>
        </w:rPr>
        <w:t>t</w:t>
      </w:r>
      <w:r w:rsidR="00861090" w:rsidRPr="00E12436">
        <w:rPr>
          <w:lang w:eastAsia="en-AU"/>
        </w:rPr>
        <w:t xml:space="preserve">he number of </w:t>
      </w:r>
      <w:r>
        <w:rPr>
          <w:lang w:eastAsia="en-AU"/>
        </w:rPr>
        <w:t xml:space="preserve">working </w:t>
      </w:r>
      <w:r w:rsidR="00861090" w:rsidRPr="00E12436">
        <w:rPr>
          <w:lang w:eastAsia="en-AU"/>
        </w:rPr>
        <w:t xml:space="preserve">hours </w:t>
      </w:r>
      <w:r w:rsidR="00695C2C">
        <w:rPr>
          <w:lang w:eastAsia="en-AU"/>
        </w:rPr>
        <w:t>this require</w:t>
      </w:r>
      <w:r w:rsidR="00E4056C">
        <w:rPr>
          <w:lang w:eastAsia="en-AU"/>
        </w:rPr>
        <w:t>s</w:t>
      </w:r>
    </w:p>
    <w:p w:rsidR="007B0E5A" w:rsidRDefault="007B0E5A" w:rsidP="00951043">
      <w:pPr>
        <w:pStyle w:val="ListParagraph"/>
        <w:numPr>
          <w:ilvl w:val="0"/>
          <w:numId w:val="34"/>
        </w:numPr>
        <w:jc w:val="both"/>
        <w:rPr>
          <w:lang w:eastAsia="en-AU"/>
        </w:rPr>
      </w:pPr>
      <w:proofErr w:type="gramStart"/>
      <w:r>
        <w:rPr>
          <w:lang w:eastAsia="en-AU"/>
        </w:rPr>
        <w:t>the</w:t>
      </w:r>
      <w:proofErr w:type="gramEnd"/>
      <w:r>
        <w:rPr>
          <w:lang w:eastAsia="en-AU"/>
        </w:rPr>
        <w:t xml:space="preserve"> total amount to be paid to the worker.</w:t>
      </w:r>
    </w:p>
    <w:p w:rsidR="00861090" w:rsidRDefault="00861090" w:rsidP="00C00E28">
      <w:pPr>
        <w:jc w:val="both"/>
        <w:rPr>
          <w:szCs w:val="22"/>
        </w:rPr>
      </w:pPr>
      <w:r w:rsidRPr="00861090">
        <w:rPr>
          <w:szCs w:val="22"/>
        </w:rPr>
        <w:t xml:space="preserve">Schedule F establishes an ordinary minute rate as well as minute rates that apply to work performed on weekends and public holidays. At the time of publication of this report, the minimum </w:t>
      </w:r>
      <w:r w:rsidR="00ED2681">
        <w:rPr>
          <w:szCs w:val="22"/>
        </w:rPr>
        <w:t xml:space="preserve">minute </w:t>
      </w:r>
      <w:r w:rsidRPr="00861090">
        <w:rPr>
          <w:szCs w:val="22"/>
        </w:rPr>
        <w:t>rates are:</w:t>
      </w:r>
    </w:p>
    <w:p w:rsidR="00695C2C" w:rsidRDefault="00C6081F" w:rsidP="007B6788">
      <w:pPr>
        <w:pStyle w:val="Heading3"/>
      </w:pPr>
      <w:r>
        <w:t xml:space="preserve">Table 3: Minimum applicable minute rates for outworkers </w:t>
      </w:r>
      <w:r w:rsidR="00DD06E5">
        <w:t>under</w:t>
      </w:r>
      <w:r>
        <w:t xml:space="preserve"> the </w:t>
      </w:r>
      <w:r w:rsidR="004E68D2">
        <w:t>TCF</w:t>
      </w:r>
      <w:r>
        <w:t xml:space="preserve"> Award (as at 1 July 2018)</w:t>
      </w:r>
      <w:r w:rsidR="00EE2C74" w:rsidRPr="00EE2C74">
        <w:rPr>
          <w:rStyle w:val="FootnoteReference"/>
          <w:b w:val="0"/>
        </w:rPr>
        <w:footnoteReference w:id="40"/>
      </w:r>
    </w:p>
    <w:tbl>
      <w:tblPr>
        <w:tblW w:w="8931" w:type="dxa"/>
        <w:tblInd w:w="-5" w:type="dxa"/>
        <w:tblLook w:val="04A0" w:firstRow="1" w:lastRow="0" w:firstColumn="1" w:lastColumn="0" w:noHBand="0" w:noVBand="1"/>
      </w:tblPr>
      <w:tblGrid>
        <w:gridCol w:w="3119"/>
        <w:gridCol w:w="3969"/>
        <w:gridCol w:w="1843"/>
      </w:tblGrid>
      <w:tr w:rsidR="00861090" w:rsidRPr="00A758D9" w:rsidTr="00861090">
        <w:trPr>
          <w:trHeight w:val="309"/>
        </w:trPr>
        <w:tc>
          <w:tcPr>
            <w:tcW w:w="3119" w:type="dxa"/>
            <w:tcBorders>
              <w:top w:val="single" w:sz="4" w:space="0" w:color="auto"/>
              <w:left w:val="single" w:sz="4" w:space="0" w:color="auto"/>
              <w:bottom w:val="single" w:sz="4" w:space="0" w:color="auto"/>
              <w:right w:val="single" w:sz="4" w:space="0" w:color="auto"/>
            </w:tcBorders>
            <w:shd w:val="clear" w:color="000000" w:fill="BDE7EE"/>
          </w:tcPr>
          <w:p w:rsidR="00861090" w:rsidRPr="00A758D9" w:rsidRDefault="00861090" w:rsidP="00861090">
            <w:pPr>
              <w:spacing w:after="0" w:line="240" w:lineRule="auto"/>
              <w:jc w:val="center"/>
              <w:rPr>
                <w:rFonts w:ascii="Calibri" w:hAnsi="Calibri" w:cs="Calibri"/>
                <w:b/>
                <w:bCs/>
                <w:color w:val="000000"/>
                <w:lang w:eastAsia="en-AU"/>
              </w:rPr>
            </w:pPr>
            <w:r>
              <w:rPr>
                <w:rFonts w:ascii="Calibri" w:hAnsi="Calibri" w:cs="Calibri"/>
                <w:b/>
                <w:bCs/>
                <w:color w:val="000000"/>
                <w:lang w:eastAsia="en-AU"/>
              </w:rPr>
              <w:t>Ordinary minute rate</w:t>
            </w:r>
          </w:p>
        </w:tc>
        <w:tc>
          <w:tcPr>
            <w:tcW w:w="3969" w:type="dxa"/>
            <w:tcBorders>
              <w:top w:val="single" w:sz="4" w:space="0" w:color="auto"/>
              <w:left w:val="nil"/>
              <w:bottom w:val="single" w:sz="4" w:space="0" w:color="auto"/>
              <w:right w:val="single" w:sz="4" w:space="0" w:color="auto"/>
            </w:tcBorders>
            <w:shd w:val="clear" w:color="000000" w:fill="BDE7EE"/>
            <w:noWrap/>
          </w:tcPr>
          <w:p w:rsidR="00861090" w:rsidRPr="00B448D3" w:rsidRDefault="00861090" w:rsidP="00861090">
            <w:pPr>
              <w:spacing w:after="0" w:line="240" w:lineRule="auto"/>
              <w:jc w:val="center"/>
              <w:rPr>
                <w:rFonts w:ascii="Calibri" w:hAnsi="Calibri" w:cs="Calibri"/>
                <w:b/>
                <w:bCs/>
                <w:color w:val="000000"/>
                <w:lang w:eastAsia="en-AU"/>
              </w:rPr>
            </w:pPr>
            <w:r w:rsidRPr="00B448D3">
              <w:rPr>
                <w:rFonts w:ascii="Calibri" w:hAnsi="Calibri" w:cs="Calibri"/>
                <w:b/>
                <w:bCs/>
                <w:color w:val="000000"/>
                <w:lang w:eastAsia="en-AU"/>
              </w:rPr>
              <w:t>Saturday, Sunday or public holiday</w:t>
            </w:r>
          </w:p>
        </w:tc>
        <w:tc>
          <w:tcPr>
            <w:tcW w:w="1843" w:type="dxa"/>
            <w:tcBorders>
              <w:top w:val="single" w:sz="4" w:space="0" w:color="auto"/>
              <w:left w:val="nil"/>
              <w:bottom w:val="single" w:sz="4" w:space="0" w:color="auto"/>
              <w:right w:val="single" w:sz="4" w:space="0" w:color="auto"/>
            </w:tcBorders>
            <w:shd w:val="clear" w:color="000000" w:fill="BDE7EE"/>
            <w:noWrap/>
          </w:tcPr>
          <w:p w:rsidR="00861090" w:rsidRPr="00B448D3" w:rsidRDefault="00695C2C" w:rsidP="00951043">
            <w:pPr>
              <w:tabs>
                <w:tab w:val="left" w:pos="300"/>
                <w:tab w:val="center" w:pos="813"/>
              </w:tabs>
              <w:spacing w:after="0" w:line="240" w:lineRule="auto"/>
              <w:rPr>
                <w:rFonts w:ascii="Calibri" w:hAnsi="Calibri" w:cs="Calibri"/>
                <w:b/>
                <w:bCs/>
                <w:color w:val="000000"/>
                <w:lang w:eastAsia="en-AU"/>
              </w:rPr>
            </w:pPr>
            <w:r>
              <w:rPr>
                <w:rFonts w:ascii="Calibri" w:hAnsi="Calibri" w:cs="Calibri"/>
                <w:b/>
                <w:bCs/>
                <w:color w:val="000000"/>
                <w:lang w:eastAsia="en-AU"/>
              </w:rPr>
              <w:tab/>
            </w:r>
            <w:r>
              <w:rPr>
                <w:rFonts w:ascii="Calibri" w:hAnsi="Calibri" w:cs="Calibri"/>
                <w:b/>
                <w:bCs/>
                <w:color w:val="000000"/>
                <w:lang w:eastAsia="en-AU"/>
              </w:rPr>
              <w:tab/>
            </w:r>
            <w:r w:rsidR="00861090" w:rsidRPr="00B448D3">
              <w:rPr>
                <w:rFonts w:ascii="Calibri" w:hAnsi="Calibri" w:cs="Calibri"/>
                <w:b/>
                <w:bCs/>
                <w:color w:val="000000"/>
                <w:lang w:eastAsia="en-AU"/>
              </w:rPr>
              <w:t>Overtime</w:t>
            </w:r>
          </w:p>
        </w:tc>
      </w:tr>
      <w:tr w:rsidR="00861090" w:rsidRPr="00A758D9" w:rsidTr="00861090">
        <w:trPr>
          <w:trHeight w:val="317"/>
        </w:trPr>
        <w:tc>
          <w:tcPr>
            <w:tcW w:w="3119" w:type="dxa"/>
            <w:tcBorders>
              <w:top w:val="nil"/>
              <w:left w:val="single" w:sz="4" w:space="0" w:color="auto"/>
              <w:bottom w:val="single" w:sz="4" w:space="0" w:color="auto"/>
              <w:right w:val="single" w:sz="4" w:space="0" w:color="auto"/>
            </w:tcBorders>
            <w:shd w:val="clear" w:color="auto" w:fill="auto"/>
            <w:vAlign w:val="center"/>
          </w:tcPr>
          <w:p w:rsidR="00861090" w:rsidRPr="00A758D9" w:rsidRDefault="00861090" w:rsidP="00861090">
            <w:pPr>
              <w:spacing w:after="0" w:line="240" w:lineRule="auto"/>
              <w:jc w:val="center"/>
              <w:rPr>
                <w:rFonts w:ascii="Calibri" w:hAnsi="Calibri" w:cs="Calibri"/>
                <w:bCs/>
                <w:color w:val="000000"/>
                <w:lang w:eastAsia="en-AU"/>
              </w:rPr>
            </w:pPr>
            <w:r>
              <w:rPr>
                <w:rFonts w:ascii="Calibri" w:hAnsi="Calibri" w:cs="Calibri"/>
                <w:bCs/>
                <w:color w:val="000000"/>
                <w:lang w:eastAsia="en-AU"/>
              </w:rPr>
              <w:t>$0.34</w:t>
            </w:r>
          </w:p>
        </w:tc>
        <w:tc>
          <w:tcPr>
            <w:tcW w:w="3969" w:type="dxa"/>
            <w:tcBorders>
              <w:top w:val="nil"/>
              <w:left w:val="nil"/>
              <w:bottom w:val="single" w:sz="4" w:space="0" w:color="auto"/>
              <w:right w:val="single" w:sz="4" w:space="0" w:color="auto"/>
            </w:tcBorders>
            <w:shd w:val="clear" w:color="auto" w:fill="auto"/>
            <w:vAlign w:val="center"/>
          </w:tcPr>
          <w:p w:rsidR="00861090" w:rsidRPr="00A758D9" w:rsidRDefault="00861090" w:rsidP="00861090">
            <w:pPr>
              <w:spacing w:after="0" w:line="240" w:lineRule="auto"/>
              <w:jc w:val="center"/>
              <w:rPr>
                <w:rFonts w:ascii="Calibri" w:hAnsi="Calibri" w:cs="Calibri"/>
                <w:bCs/>
                <w:color w:val="000000"/>
                <w:lang w:eastAsia="en-AU"/>
              </w:rPr>
            </w:pPr>
            <w:r>
              <w:rPr>
                <w:rFonts w:ascii="Calibri" w:hAnsi="Calibri" w:cs="Calibri"/>
                <w:bCs/>
                <w:color w:val="000000"/>
                <w:lang w:eastAsia="en-AU"/>
              </w:rPr>
              <w:t>$0.68</w:t>
            </w:r>
          </w:p>
        </w:tc>
        <w:tc>
          <w:tcPr>
            <w:tcW w:w="1843" w:type="dxa"/>
            <w:tcBorders>
              <w:top w:val="nil"/>
              <w:left w:val="nil"/>
              <w:bottom w:val="single" w:sz="4" w:space="0" w:color="auto"/>
              <w:right w:val="single" w:sz="4" w:space="0" w:color="auto"/>
            </w:tcBorders>
            <w:shd w:val="clear" w:color="auto" w:fill="auto"/>
            <w:vAlign w:val="center"/>
          </w:tcPr>
          <w:p w:rsidR="00861090" w:rsidRPr="00A758D9" w:rsidRDefault="00861090" w:rsidP="00861090">
            <w:pPr>
              <w:spacing w:after="0" w:line="240" w:lineRule="auto"/>
              <w:jc w:val="center"/>
              <w:rPr>
                <w:rFonts w:ascii="Calibri" w:hAnsi="Calibri" w:cs="Calibri"/>
                <w:bCs/>
                <w:color w:val="000000"/>
                <w:lang w:eastAsia="en-AU"/>
              </w:rPr>
            </w:pPr>
            <w:r>
              <w:rPr>
                <w:rFonts w:ascii="Calibri" w:hAnsi="Calibri" w:cs="Calibri"/>
                <w:bCs/>
                <w:color w:val="000000"/>
                <w:lang w:eastAsia="en-AU"/>
              </w:rPr>
              <w:t>$0.51</w:t>
            </w:r>
          </w:p>
        </w:tc>
      </w:tr>
    </w:tbl>
    <w:p w:rsidR="00D41798" w:rsidRDefault="00D41798" w:rsidP="00161A37">
      <w:pPr>
        <w:spacing w:before="240"/>
        <w:jc w:val="both"/>
        <w:rPr>
          <w:lang w:eastAsia="en-AU"/>
        </w:rPr>
      </w:pPr>
      <w:r>
        <w:rPr>
          <w:lang w:eastAsia="en-AU"/>
        </w:rPr>
        <w:t xml:space="preserve">Applying the ordinary minute rate above, the minimum </w:t>
      </w:r>
      <w:r w:rsidR="00695C2C">
        <w:rPr>
          <w:lang w:eastAsia="en-AU"/>
        </w:rPr>
        <w:t>h</w:t>
      </w:r>
      <w:r>
        <w:rPr>
          <w:lang w:eastAsia="en-AU"/>
        </w:rPr>
        <w:t xml:space="preserve">ourly rate to which an outworker is entitled (at the time of this report) is </w:t>
      </w:r>
      <w:r w:rsidRPr="00F718CA">
        <w:rPr>
          <w:szCs w:val="22"/>
        </w:rPr>
        <w:t>$20.40.</w:t>
      </w:r>
    </w:p>
    <w:p w:rsidR="00724A54" w:rsidRDefault="00ED2681" w:rsidP="00C00E28">
      <w:pPr>
        <w:jc w:val="both"/>
      </w:pPr>
      <w:r>
        <w:rPr>
          <w:szCs w:val="22"/>
        </w:rPr>
        <w:t xml:space="preserve">Additionally, the </w:t>
      </w:r>
      <w:r w:rsidR="00C00E28">
        <w:rPr>
          <w:szCs w:val="22"/>
        </w:rPr>
        <w:t>principal</w:t>
      </w:r>
      <w:r>
        <w:rPr>
          <w:szCs w:val="22"/>
        </w:rPr>
        <w:t xml:space="preserve"> must </w:t>
      </w:r>
      <w:r>
        <w:t xml:space="preserve">supply the outworker with a copy of </w:t>
      </w:r>
      <w:r w:rsidR="00D0287E" w:rsidRPr="00E9340B">
        <w:t>Schedule F</w:t>
      </w:r>
      <w:r>
        <w:t xml:space="preserve">, </w:t>
      </w:r>
      <w:r w:rsidR="00D0287E" w:rsidRPr="00E9340B">
        <w:t xml:space="preserve">and an information sheet </w:t>
      </w:r>
      <w:r>
        <w:t xml:space="preserve">about their </w:t>
      </w:r>
      <w:r w:rsidR="00D0287E">
        <w:t>workplace r</w:t>
      </w:r>
      <w:r w:rsidR="00D0287E" w:rsidRPr="00E9340B">
        <w:t>ights and entitlements</w:t>
      </w:r>
      <w:r>
        <w:t xml:space="preserve">. All documents, including the written agreement, must be in a language the outworker can understand. </w:t>
      </w:r>
    </w:p>
    <w:p w:rsidR="007B6788" w:rsidRDefault="007B6788" w:rsidP="005C5138">
      <w:pPr>
        <w:pStyle w:val="Heading1"/>
      </w:pPr>
      <w:bookmarkStart w:id="13" w:name="_Toc531876779"/>
      <w:r>
        <w:br w:type="page"/>
      </w:r>
    </w:p>
    <w:p w:rsidR="003A1605" w:rsidRPr="00251815" w:rsidRDefault="005A4A96" w:rsidP="005C5138">
      <w:pPr>
        <w:pStyle w:val="Heading1"/>
      </w:pPr>
      <w:bookmarkStart w:id="14" w:name="_Toc534888173"/>
      <w:r>
        <w:t>R</w:t>
      </w:r>
      <w:r w:rsidR="00893F95" w:rsidRPr="008579C6">
        <w:t>esults</w:t>
      </w:r>
      <w:bookmarkEnd w:id="13"/>
      <w:bookmarkEnd w:id="14"/>
      <w:r w:rsidR="001E5A19">
        <w:t xml:space="preserve"> </w:t>
      </w:r>
    </w:p>
    <w:p w:rsidR="009026D7" w:rsidRDefault="00C00E28" w:rsidP="009026D7">
      <w:r>
        <w:t>The Campaign</w:t>
      </w:r>
      <w:r w:rsidR="00893F95">
        <w:t xml:space="preserve"> found that of </w:t>
      </w:r>
      <w:r w:rsidR="009026D7">
        <w:t>the 37</w:t>
      </w:r>
      <w:r w:rsidR="006057BF">
        <w:t>1</w:t>
      </w:r>
      <w:r w:rsidR="009026D7">
        <w:t xml:space="preserve"> audits </w:t>
      </w:r>
      <w:r>
        <w:t>conducted</w:t>
      </w:r>
      <w:r w:rsidR="007C349A">
        <w:t xml:space="preserve"> in the compliance phase of the </w:t>
      </w:r>
      <w:r w:rsidR="00934E13">
        <w:t>TCF C</w:t>
      </w:r>
      <w:r w:rsidR="007C349A">
        <w:t>ampaign</w:t>
      </w:r>
      <w:r w:rsidR="00893F95">
        <w:t>:</w:t>
      </w:r>
    </w:p>
    <w:p w:rsidR="00FA25D2" w:rsidRPr="00085B06" w:rsidRDefault="00FA25D2" w:rsidP="00FA25D2">
      <w:pPr>
        <w:pStyle w:val="ListParagraph"/>
        <w:numPr>
          <w:ilvl w:val="0"/>
          <w:numId w:val="12"/>
        </w:numPr>
        <w:jc w:val="both"/>
        <w:rPr>
          <w:lang w:eastAsia="en-AU"/>
        </w:rPr>
      </w:pPr>
      <w:r w:rsidRPr="00085B06">
        <w:rPr>
          <w:lang w:eastAsia="en-AU"/>
        </w:rPr>
        <w:t xml:space="preserve">288 (78%) businesses were paying their employees correctly </w:t>
      </w:r>
    </w:p>
    <w:p w:rsidR="00FA25D2" w:rsidRPr="00085B06" w:rsidRDefault="00FA25D2" w:rsidP="00FA25D2">
      <w:pPr>
        <w:pStyle w:val="ListParagraph"/>
        <w:numPr>
          <w:ilvl w:val="0"/>
          <w:numId w:val="12"/>
        </w:numPr>
        <w:jc w:val="both"/>
        <w:rPr>
          <w:lang w:eastAsia="en-AU"/>
        </w:rPr>
      </w:pPr>
      <w:r w:rsidRPr="00085B06">
        <w:rPr>
          <w:lang w:eastAsia="en-AU"/>
        </w:rPr>
        <w:t xml:space="preserve">248 (67%) businesses were compliant with record-keeping and pay slip </w:t>
      </w:r>
      <w:r>
        <w:rPr>
          <w:lang w:eastAsia="en-AU"/>
        </w:rPr>
        <w:t xml:space="preserve">obligations </w:t>
      </w:r>
    </w:p>
    <w:p w:rsidR="00FA25D2" w:rsidRDefault="00FA25D2" w:rsidP="00864736">
      <w:pPr>
        <w:pStyle w:val="ListParagraph"/>
        <w:numPr>
          <w:ilvl w:val="0"/>
          <w:numId w:val="12"/>
        </w:numPr>
        <w:jc w:val="both"/>
      </w:pPr>
      <w:r w:rsidRPr="00085B06">
        <w:rPr>
          <w:lang w:eastAsia="en-AU"/>
        </w:rPr>
        <w:t xml:space="preserve">193 (52%) businesses were compliant with all </w:t>
      </w:r>
      <w:r>
        <w:rPr>
          <w:lang w:eastAsia="en-AU"/>
        </w:rPr>
        <w:t>requirements</w:t>
      </w:r>
    </w:p>
    <w:p w:rsidR="004A5430" w:rsidRPr="00DE0932" w:rsidRDefault="00FA25D2" w:rsidP="00DE0932">
      <w:pPr>
        <w:pStyle w:val="ListParagraph"/>
        <w:numPr>
          <w:ilvl w:val="0"/>
          <w:numId w:val="12"/>
        </w:numPr>
        <w:jc w:val="both"/>
        <w:rPr>
          <w:rFonts w:cstheme="minorHAnsi"/>
          <w:color w:val="000000"/>
          <w:szCs w:val="22"/>
        </w:rPr>
      </w:pPr>
      <w:r>
        <w:rPr>
          <w:lang w:eastAsia="en-AU"/>
        </w:rPr>
        <w:t>178 (</w:t>
      </w:r>
      <w:r w:rsidR="00951043">
        <w:rPr>
          <w:lang w:eastAsia="en-AU"/>
        </w:rPr>
        <w:t>48</w:t>
      </w:r>
      <w:r>
        <w:rPr>
          <w:lang w:eastAsia="en-AU"/>
        </w:rPr>
        <w:t>%) were in breach of some aspect of their workplace relations obligations</w:t>
      </w:r>
      <w:r w:rsidR="00682F90">
        <w:rPr>
          <w:lang w:eastAsia="en-AU"/>
        </w:rPr>
        <w:t xml:space="preserve">, whether monetary, non-monetary, or both. </w:t>
      </w:r>
    </w:p>
    <w:p w:rsidR="004A5430" w:rsidRDefault="00654E3E" w:rsidP="00DE0932">
      <w:pPr>
        <w:jc w:val="both"/>
        <w:rPr>
          <w:rFonts w:cstheme="minorHAnsi"/>
          <w:color w:val="000000"/>
          <w:szCs w:val="22"/>
        </w:rPr>
      </w:pPr>
      <w:r>
        <w:rPr>
          <w:rFonts w:cstheme="minorHAnsi"/>
          <w:color w:val="000000"/>
          <w:szCs w:val="22"/>
        </w:rPr>
        <w:t xml:space="preserve">Fair Work Inspectors </w:t>
      </w:r>
      <w:r w:rsidR="004A5430" w:rsidRPr="00DE0932">
        <w:rPr>
          <w:rFonts w:cstheme="minorHAnsi"/>
          <w:color w:val="000000"/>
          <w:szCs w:val="22"/>
        </w:rPr>
        <w:t xml:space="preserve">recovered a total of $84 846 </w:t>
      </w:r>
      <w:r w:rsidR="004A5430">
        <w:rPr>
          <w:rFonts w:cstheme="minorHAnsi"/>
          <w:color w:val="000000"/>
          <w:szCs w:val="22"/>
        </w:rPr>
        <w:t xml:space="preserve">from 68 businesses </w:t>
      </w:r>
      <w:r w:rsidR="004A5430" w:rsidRPr="00DE0932">
        <w:rPr>
          <w:rFonts w:cstheme="minorHAnsi"/>
          <w:color w:val="000000"/>
          <w:szCs w:val="22"/>
        </w:rPr>
        <w:t>for 138 workers</w:t>
      </w:r>
      <w:r w:rsidR="00332E21">
        <w:rPr>
          <w:rStyle w:val="FootnoteReference"/>
          <w:color w:val="000000"/>
          <w:szCs w:val="22"/>
        </w:rPr>
        <w:footnoteReference w:id="41"/>
      </w:r>
      <w:r w:rsidR="00A1678D">
        <w:rPr>
          <w:rFonts w:cstheme="minorHAnsi"/>
          <w:color w:val="000000"/>
          <w:szCs w:val="22"/>
        </w:rPr>
        <w:t>,</w:t>
      </w:r>
      <w:r w:rsidR="00A3587A">
        <w:rPr>
          <w:rFonts w:cstheme="minorHAnsi"/>
          <w:color w:val="000000"/>
          <w:szCs w:val="22"/>
        </w:rPr>
        <w:t xml:space="preserve"> including $2174 recovered for five outworkers </w:t>
      </w:r>
      <w:r w:rsidR="00360350">
        <w:rPr>
          <w:rFonts w:cstheme="minorHAnsi"/>
          <w:color w:val="000000"/>
          <w:szCs w:val="22"/>
        </w:rPr>
        <w:t>from four</w:t>
      </w:r>
      <w:r w:rsidR="00A3587A">
        <w:rPr>
          <w:rFonts w:cstheme="minorHAnsi"/>
          <w:color w:val="000000"/>
          <w:szCs w:val="22"/>
        </w:rPr>
        <w:t xml:space="preserve"> businesses (outworking entities).</w:t>
      </w:r>
    </w:p>
    <w:p w:rsidR="001E5A19" w:rsidRDefault="00C00E28" w:rsidP="00F754A4">
      <w:pPr>
        <w:pStyle w:val="ListParagraph"/>
        <w:ind w:left="0"/>
      </w:pPr>
      <w:r>
        <w:rPr>
          <w:lang w:eastAsia="en-AU"/>
        </w:rPr>
        <w:t>T</w:t>
      </w:r>
      <w:r w:rsidR="008579C6">
        <w:rPr>
          <w:lang w:eastAsia="en-AU"/>
        </w:rPr>
        <w:t xml:space="preserve">he most common </w:t>
      </w:r>
      <w:r w:rsidR="00354CCD">
        <w:rPr>
          <w:lang w:eastAsia="en-AU"/>
        </w:rPr>
        <w:t>issues</w:t>
      </w:r>
      <w:r w:rsidR="001E5A19">
        <w:rPr>
          <w:lang w:eastAsia="en-AU"/>
        </w:rPr>
        <w:t xml:space="preserve"> that Fair Work Inspectors identifie</w:t>
      </w:r>
      <w:r w:rsidR="00251815">
        <w:rPr>
          <w:lang w:eastAsia="en-AU"/>
        </w:rPr>
        <w:t>d</w:t>
      </w:r>
      <w:r w:rsidR="001E5A19">
        <w:rPr>
          <w:lang w:eastAsia="en-AU"/>
        </w:rPr>
        <w:t xml:space="preserve"> were:</w:t>
      </w:r>
    </w:p>
    <w:p w:rsidR="008579C6" w:rsidRDefault="008579C6" w:rsidP="00F754A4">
      <w:pPr>
        <w:pStyle w:val="ListParagraph"/>
        <w:numPr>
          <w:ilvl w:val="0"/>
          <w:numId w:val="12"/>
        </w:numPr>
        <w:jc w:val="both"/>
        <w:rPr>
          <w:lang w:eastAsia="en-AU"/>
        </w:rPr>
      </w:pPr>
      <w:r>
        <w:rPr>
          <w:lang w:eastAsia="en-AU"/>
        </w:rPr>
        <w:t>record-keeping breaches (36%</w:t>
      </w:r>
      <w:r w:rsidR="001B3090" w:rsidRPr="001B3090">
        <w:rPr>
          <w:lang w:eastAsia="en-AU"/>
        </w:rPr>
        <w:t xml:space="preserve"> </w:t>
      </w:r>
      <w:r w:rsidR="001B3090">
        <w:rPr>
          <w:lang w:eastAsia="en-AU"/>
        </w:rPr>
        <w:t>of all breaches</w:t>
      </w:r>
      <w:r>
        <w:rPr>
          <w:lang w:eastAsia="en-AU"/>
        </w:rPr>
        <w:t>)</w:t>
      </w:r>
    </w:p>
    <w:p w:rsidR="008579C6" w:rsidRDefault="008579C6" w:rsidP="008579C6">
      <w:pPr>
        <w:pStyle w:val="ListParagraph"/>
        <w:numPr>
          <w:ilvl w:val="0"/>
          <w:numId w:val="12"/>
        </w:numPr>
        <w:jc w:val="both"/>
        <w:rPr>
          <w:lang w:eastAsia="en-AU"/>
        </w:rPr>
      </w:pPr>
      <w:proofErr w:type="gramStart"/>
      <w:r w:rsidRPr="00085B06">
        <w:rPr>
          <w:lang w:eastAsia="en-AU"/>
        </w:rPr>
        <w:t>underpayment</w:t>
      </w:r>
      <w:proofErr w:type="gramEnd"/>
      <w:r w:rsidRPr="00085B06">
        <w:rPr>
          <w:lang w:eastAsia="en-AU"/>
        </w:rPr>
        <w:t xml:space="preserve"> of the hourly rat</w:t>
      </w:r>
      <w:r>
        <w:rPr>
          <w:lang w:eastAsia="en-AU"/>
        </w:rPr>
        <w:t>e (31%)</w:t>
      </w:r>
    </w:p>
    <w:p w:rsidR="00251815" w:rsidRDefault="006C6B1B" w:rsidP="00864736">
      <w:pPr>
        <w:pStyle w:val="ListParagraph"/>
        <w:numPr>
          <w:ilvl w:val="0"/>
          <w:numId w:val="12"/>
        </w:numPr>
        <w:jc w:val="both"/>
        <w:rPr>
          <w:lang w:eastAsia="en-AU"/>
        </w:rPr>
      </w:pPr>
      <w:proofErr w:type="gramStart"/>
      <w:r>
        <w:rPr>
          <w:lang w:eastAsia="en-AU"/>
        </w:rPr>
        <w:t>p</w:t>
      </w:r>
      <w:r w:rsidR="00354CCD">
        <w:rPr>
          <w:lang w:eastAsia="en-AU"/>
        </w:rPr>
        <w:t>ay</w:t>
      </w:r>
      <w:proofErr w:type="gramEnd"/>
      <w:r>
        <w:rPr>
          <w:lang w:eastAsia="en-AU"/>
        </w:rPr>
        <w:t xml:space="preserve"> </w:t>
      </w:r>
      <w:r w:rsidR="00354CCD">
        <w:rPr>
          <w:lang w:eastAsia="en-AU"/>
        </w:rPr>
        <w:t>slip</w:t>
      </w:r>
      <w:r>
        <w:rPr>
          <w:lang w:eastAsia="en-AU"/>
        </w:rPr>
        <w:t xml:space="preserve"> breaches</w:t>
      </w:r>
      <w:r w:rsidR="00354CCD">
        <w:rPr>
          <w:lang w:eastAsia="en-AU"/>
        </w:rPr>
        <w:t xml:space="preserve"> </w:t>
      </w:r>
      <w:r>
        <w:rPr>
          <w:lang w:eastAsia="en-AU"/>
        </w:rPr>
        <w:t>–</w:t>
      </w:r>
      <w:r w:rsidR="008579C6">
        <w:rPr>
          <w:lang w:eastAsia="en-AU"/>
        </w:rPr>
        <w:t xml:space="preserve"> </w:t>
      </w:r>
      <w:r>
        <w:rPr>
          <w:lang w:eastAsia="en-AU"/>
        </w:rPr>
        <w:t xml:space="preserve">the </w:t>
      </w:r>
      <w:r w:rsidR="008579C6">
        <w:rPr>
          <w:lang w:eastAsia="en-AU"/>
        </w:rPr>
        <w:t>failure to provide in the prescribed form or within the required time (20%)</w:t>
      </w:r>
    </w:p>
    <w:p w:rsidR="002562C6" w:rsidRDefault="002562C6" w:rsidP="002562C6">
      <w:pPr>
        <w:jc w:val="both"/>
        <w:rPr>
          <w:lang w:eastAsia="en-AU"/>
        </w:rPr>
      </w:pPr>
      <w:r>
        <w:rPr>
          <w:lang w:eastAsia="en-AU"/>
        </w:rPr>
        <w:t>Non-compliance relating to penalties and overtime accounted for 5% of all breaches.</w:t>
      </w:r>
    </w:p>
    <w:p w:rsidR="008563B2" w:rsidRDefault="00332E21" w:rsidP="00DE0932">
      <w:pPr>
        <w:jc w:val="both"/>
        <w:rPr>
          <w:lang w:eastAsia="en-AU"/>
        </w:rPr>
      </w:pPr>
      <w:r>
        <w:rPr>
          <w:lang w:eastAsia="en-AU"/>
        </w:rPr>
        <w:t>The FWO found that overall</w:t>
      </w:r>
      <w:r w:rsidR="003B053D">
        <w:rPr>
          <w:lang w:eastAsia="en-AU"/>
        </w:rPr>
        <w:t>,</w:t>
      </w:r>
      <w:r>
        <w:rPr>
          <w:lang w:eastAsia="en-AU"/>
        </w:rPr>
        <w:t xml:space="preserve"> </w:t>
      </w:r>
      <w:r w:rsidR="003B053D">
        <w:rPr>
          <w:lang w:eastAsia="en-AU"/>
        </w:rPr>
        <w:t xml:space="preserve">larger </w:t>
      </w:r>
      <w:r>
        <w:rPr>
          <w:lang w:eastAsia="en-AU"/>
        </w:rPr>
        <w:t xml:space="preserve">businesses in the industry were </w:t>
      </w:r>
      <w:r w:rsidR="003B053D">
        <w:rPr>
          <w:lang w:eastAsia="en-AU"/>
        </w:rPr>
        <w:t>more</w:t>
      </w:r>
      <w:r>
        <w:rPr>
          <w:lang w:eastAsia="en-AU"/>
        </w:rPr>
        <w:t xml:space="preserve"> </w:t>
      </w:r>
      <w:r w:rsidR="0006417D">
        <w:rPr>
          <w:lang w:eastAsia="en-AU"/>
        </w:rPr>
        <w:t>complian</w:t>
      </w:r>
      <w:r>
        <w:rPr>
          <w:lang w:eastAsia="en-AU"/>
        </w:rPr>
        <w:t>t tha</w:t>
      </w:r>
      <w:r w:rsidR="0006417D">
        <w:rPr>
          <w:lang w:eastAsia="en-AU"/>
        </w:rPr>
        <w:t>n</w:t>
      </w:r>
      <w:r>
        <w:rPr>
          <w:lang w:eastAsia="en-AU"/>
        </w:rPr>
        <w:t xml:space="preserve"> </w:t>
      </w:r>
      <w:r w:rsidR="003B053D">
        <w:rPr>
          <w:lang w:eastAsia="en-AU"/>
        </w:rPr>
        <w:t>smaller</w:t>
      </w:r>
      <w:r>
        <w:rPr>
          <w:lang w:eastAsia="en-AU"/>
        </w:rPr>
        <w:t xml:space="preserve"> business</w:t>
      </w:r>
      <w:r w:rsidR="00270049">
        <w:rPr>
          <w:lang w:eastAsia="en-AU"/>
        </w:rPr>
        <w:t>es</w:t>
      </w:r>
      <w:r>
        <w:rPr>
          <w:lang w:eastAsia="en-AU"/>
        </w:rPr>
        <w:t xml:space="preserve">. The compliance rate for businesses with fifteen </w:t>
      </w:r>
      <w:r w:rsidR="003B053D">
        <w:rPr>
          <w:lang w:eastAsia="en-AU"/>
        </w:rPr>
        <w:t xml:space="preserve">or more </w:t>
      </w:r>
      <w:r>
        <w:rPr>
          <w:lang w:eastAsia="en-AU"/>
        </w:rPr>
        <w:t xml:space="preserve">employees was </w:t>
      </w:r>
      <w:r w:rsidR="008563B2">
        <w:rPr>
          <w:lang w:eastAsia="en-AU"/>
        </w:rPr>
        <w:t>68%</w:t>
      </w:r>
      <w:r w:rsidR="003B053D">
        <w:rPr>
          <w:lang w:eastAsia="en-AU"/>
        </w:rPr>
        <w:t>, compared to 47%</w:t>
      </w:r>
      <w:r w:rsidR="008563B2">
        <w:rPr>
          <w:lang w:eastAsia="en-AU"/>
        </w:rPr>
        <w:t xml:space="preserve"> for those with </w:t>
      </w:r>
      <w:r w:rsidR="003B053D">
        <w:rPr>
          <w:lang w:eastAsia="en-AU"/>
        </w:rPr>
        <w:t xml:space="preserve">less than </w:t>
      </w:r>
      <w:r w:rsidR="008563B2">
        <w:rPr>
          <w:lang w:eastAsia="en-AU"/>
        </w:rPr>
        <w:t>15 employees</w:t>
      </w:r>
      <w:r w:rsidR="003B053D">
        <w:rPr>
          <w:lang w:eastAsia="en-AU"/>
        </w:rPr>
        <w:t xml:space="preserve">. The </w:t>
      </w:r>
      <w:r w:rsidR="008563B2">
        <w:rPr>
          <w:lang w:eastAsia="en-AU"/>
        </w:rPr>
        <w:t>FWO has found across all industries</w:t>
      </w:r>
      <w:r w:rsidR="003B053D">
        <w:rPr>
          <w:lang w:eastAsia="en-AU"/>
        </w:rPr>
        <w:t xml:space="preserve"> that</w:t>
      </w:r>
      <w:r w:rsidR="008563B2">
        <w:rPr>
          <w:lang w:eastAsia="en-AU"/>
        </w:rPr>
        <w:t xml:space="preserve"> larger businesses tend to have higher compliance rates as they often engage staff in dedicate</w:t>
      </w:r>
      <w:r w:rsidR="00695C2C">
        <w:rPr>
          <w:lang w:eastAsia="en-AU"/>
        </w:rPr>
        <w:t>d</w:t>
      </w:r>
      <w:r w:rsidR="008563B2">
        <w:rPr>
          <w:lang w:eastAsia="en-AU"/>
        </w:rPr>
        <w:t xml:space="preserve"> payroll or human resources function</w:t>
      </w:r>
      <w:r w:rsidR="003B053D">
        <w:rPr>
          <w:lang w:eastAsia="en-AU"/>
        </w:rPr>
        <w:t>s</w:t>
      </w:r>
      <w:r w:rsidR="008563B2">
        <w:rPr>
          <w:lang w:eastAsia="en-AU"/>
        </w:rPr>
        <w:t>.</w:t>
      </w:r>
    </w:p>
    <w:p w:rsidR="00BB4937" w:rsidRDefault="00E34C7C" w:rsidP="00DE0932">
      <w:pPr>
        <w:jc w:val="both"/>
      </w:pPr>
      <w:r>
        <w:rPr>
          <w:lang w:eastAsia="en-AU"/>
        </w:rPr>
        <w:t xml:space="preserve">Reflecting the positive effect that professional support and advice has on compliance, the FWO </w:t>
      </w:r>
      <w:r w:rsidR="003B053D">
        <w:rPr>
          <w:lang w:eastAsia="en-AU"/>
        </w:rPr>
        <w:t xml:space="preserve">also </w:t>
      </w:r>
      <w:r>
        <w:rPr>
          <w:lang w:eastAsia="en-AU"/>
        </w:rPr>
        <w:t>found that members of industry associations were more compliant than</w:t>
      </w:r>
      <w:r w:rsidR="00864468">
        <w:rPr>
          <w:lang w:eastAsia="en-AU"/>
        </w:rPr>
        <w:t xml:space="preserve"> </w:t>
      </w:r>
      <w:r>
        <w:rPr>
          <w:lang w:eastAsia="en-AU"/>
        </w:rPr>
        <w:t>non</w:t>
      </w:r>
      <w:r w:rsidR="00695C2C">
        <w:rPr>
          <w:lang w:eastAsia="en-AU"/>
        </w:rPr>
        <w:t>-</w:t>
      </w:r>
      <w:r>
        <w:rPr>
          <w:lang w:eastAsia="en-AU"/>
        </w:rPr>
        <w:t xml:space="preserve">members. </w:t>
      </w:r>
      <w:r>
        <w:t xml:space="preserve">Overall, 67% of members were compliant with their workplace relations obligations, compared with the low compliance rate of 47% for non-members. </w:t>
      </w:r>
    </w:p>
    <w:p w:rsidR="00863F08" w:rsidRPr="00163F77" w:rsidRDefault="00863F08" w:rsidP="00E32A5F">
      <w:pPr>
        <w:pStyle w:val="Heading2"/>
      </w:pPr>
      <w:bookmarkStart w:id="15" w:name="_Toc531876780"/>
      <w:bookmarkStart w:id="16" w:name="_Toc534888174"/>
      <w:r w:rsidRPr="00163F77">
        <w:t xml:space="preserve">Schedule F </w:t>
      </w:r>
      <w:r w:rsidR="00F37132">
        <w:t>c</w:t>
      </w:r>
      <w:r w:rsidR="003B053D" w:rsidRPr="00163F77">
        <w:t xml:space="preserve">ompliance </w:t>
      </w:r>
      <w:r w:rsidR="00F37132">
        <w:t>r</w:t>
      </w:r>
      <w:r w:rsidR="00BB4937" w:rsidRPr="00163F77">
        <w:t>esults</w:t>
      </w:r>
      <w:bookmarkEnd w:id="15"/>
      <w:bookmarkEnd w:id="16"/>
    </w:p>
    <w:p w:rsidR="00666615" w:rsidRDefault="00666615" w:rsidP="00675D36">
      <w:pPr>
        <w:rPr>
          <w:lang w:eastAsia="en-AU"/>
        </w:rPr>
      </w:pPr>
      <w:r>
        <w:rPr>
          <w:lang w:eastAsia="en-AU"/>
        </w:rPr>
        <w:t>Fair Work Inspectors identified that o</w:t>
      </w:r>
      <w:r w:rsidR="004F7277">
        <w:rPr>
          <w:lang w:eastAsia="en-AU"/>
        </w:rPr>
        <w:t>f the 178 non-co</w:t>
      </w:r>
      <w:r>
        <w:rPr>
          <w:lang w:eastAsia="en-AU"/>
        </w:rPr>
        <w:t>mpliant businesses</w:t>
      </w:r>
      <w:r w:rsidR="00675D36">
        <w:rPr>
          <w:lang w:eastAsia="en-AU"/>
        </w:rPr>
        <w:t xml:space="preserve">, </w:t>
      </w:r>
      <w:r>
        <w:rPr>
          <w:lang w:eastAsia="en-AU"/>
        </w:rPr>
        <w:t xml:space="preserve">70 were in breach of one or more of the obligations set out by Schedule F </w:t>
      </w:r>
      <w:r w:rsidR="00A3587A">
        <w:rPr>
          <w:lang w:eastAsia="en-AU"/>
        </w:rPr>
        <w:t>of the TCF Award</w:t>
      </w:r>
      <w:r w:rsidR="00675D36">
        <w:rPr>
          <w:lang w:eastAsia="en-AU"/>
        </w:rPr>
        <w:t>. Of these 70 businesses:</w:t>
      </w:r>
    </w:p>
    <w:p w:rsidR="00666615" w:rsidRDefault="00666615" w:rsidP="00666615">
      <w:pPr>
        <w:pStyle w:val="ListParagraph"/>
        <w:numPr>
          <w:ilvl w:val="0"/>
          <w:numId w:val="12"/>
        </w:numPr>
        <w:jc w:val="both"/>
        <w:rPr>
          <w:lang w:eastAsia="en-AU"/>
        </w:rPr>
      </w:pPr>
      <w:r>
        <w:rPr>
          <w:lang w:eastAsia="en-AU"/>
        </w:rPr>
        <w:t>58 failed to register their outsourcing arrangements with a Board of Reference</w:t>
      </w:r>
      <w:r w:rsidR="00F13832">
        <w:rPr>
          <w:lang w:eastAsia="en-AU"/>
        </w:rPr>
        <w:t xml:space="preserve"> </w:t>
      </w:r>
    </w:p>
    <w:p w:rsidR="00666615" w:rsidRDefault="00666615" w:rsidP="00666615">
      <w:pPr>
        <w:pStyle w:val="ListParagraph"/>
        <w:numPr>
          <w:ilvl w:val="0"/>
          <w:numId w:val="12"/>
        </w:numPr>
        <w:jc w:val="both"/>
        <w:rPr>
          <w:lang w:eastAsia="en-AU"/>
        </w:rPr>
      </w:pPr>
      <w:r>
        <w:rPr>
          <w:lang w:eastAsia="en-AU"/>
        </w:rPr>
        <w:t xml:space="preserve">33 were in breach of </w:t>
      </w:r>
      <w:r w:rsidR="00F13832">
        <w:rPr>
          <w:lang w:eastAsia="en-AU"/>
        </w:rPr>
        <w:t>the requirement to maintain, keep a</w:t>
      </w:r>
      <w:r w:rsidR="00A3587A">
        <w:rPr>
          <w:lang w:eastAsia="en-AU"/>
        </w:rPr>
        <w:t>nd</w:t>
      </w:r>
      <w:r w:rsidR="00F13832">
        <w:rPr>
          <w:lang w:eastAsia="en-AU"/>
        </w:rPr>
        <w:t xml:space="preserve"> supply appropriate work records</w:t>
      </w:r>
      <w:r>
        <w:rPr>
          <w:lang w:eastAsia="en-AU"/>
        </w:rPr>
        <w:t xml:space="preserve"> </w:t>
      </w:r>
      <w:r w:rsidR="00A3587A">
        <w:rPr>
          <w:lang w:eastAsia="en-AU"/>
        </w:rPr>
        <w:t>when entering into outsourcing arrangements</w:t>
      </w:r>
    </w:p>
    <w:p w:rsidR="00675D36" w:rsidRDefault="00675D36" w:rsidP="00666615">
      <w:pPr>
        <w:pStyle w:val="ListParagraph"/>
        <w:numPr>
          <w:ilvl w:val="0"/>
          <w:numId w:val="12"/>
        </w:numPr>
        <w:jc w:val="both"/>
        <w:rPr>
          <w:lang w:eastAsia="en-AU"/>
        </w:rPr>
      </w:pPr>
      <w:r>
        <w:rPr>
          <w:lang w:eastAsia="en-AU"/>
        </w:rPr>
        <w:t>28 engaged outworkers</w:t>
      </w:r>
    </w:p>
    <w:p w:rsidR="00666615" w:rsidRDefault="00666615" w:rsidP="00F13832">
      <w:pPr>
        <w:pStyle w:val="ListParagraph"/>
        <w:numPr>
          <w:ilvl w:val="0"/>
          <w:numId w:val="12"/>
        </w:numPr>
        <w:jc w:val="both"/>
        <w:rPr>
          <w:lang w:eastAsia="en-AU"/>
        </w:rPr>
      </w:pPr>
      <w:r>
        <w:rPr>
          <w:lang w:eastAsia="en-AU"/>
        </w:rPr>
        <w:t>Nine were in breach of the requirement to maintain and submit quarterly</w:t>
      </w:r>
      <w:r w:rsidR="00F518C0">
        <w:rPr>
          <w:lang w:eastAsia="en-AU"/>
        </w:rPr>
        <w:t xml:space="preserve"> lists </w:t>
      </w:r>
      <w:r w:rsidR="00F518C0" w:rsidRPr="00951043">
        <w:rPr>
          <w:lang w:eastAsia="en-AU"/>
        </w:rPr>
        <w:t xml:space="preserve">of </w:t>
      </w:r>
      <w:r w:rsidR="00F518C0">
        <w:rPr>
          <w:lang w:eastAsia="en-AU"/>
        </w:rPr>
        <w:t>their outsourcing arrangements</w:t>
      </w:r>
      <w:r w:rsidR="00F13832">
        <w:rPr>
          <w:lang w:eastAsia="en-AU"/>
        </w:rPr>
        <w:t xml:space="preserve"> to the General Manager </w:t>
      </w:r>
      <w:r w:rsidR="00F13832">
        <w:t>of the Fair Work Commission and state branch of the Union</w:t>
      </w:r>
      <w:r w:rsidR="00A3587A">
        <w:t>.</w:t>
      </w:r>
    </w:p>
    <w:p w:rsidR="003A1605" w:rsidRPr="004640FD" w:rsidRDefault="001E5A19" w:rsidP="00E32A5F">
      <w:pPr>
        <w:pStyle w:val="Heading2"/>
      </w:pPr>
      <w:bookmarkStart w:id="17" w:name="_Toc531876781"/>
      <w:bookmarkStart w:id="18" w:name="_Toc534888175"/>
      <w:r w:rsidRPr="004640FD">
        <w:t xml:space="preserve">Compliance and </w:t>
      </w:r>
      <w:r w:rsidR="00F37132">
        <w:t>e</w:t>
      </w:r>
      <w:r w:rsidRPr="004640FD">
        <w:t xml:space="preserve">nforcement </w:t>
      </w:r>
      <w:r w:rsidR="00F37132">
        <w:t>o</w:t>
      </w:r>
      <w:r w:rsidRPr="004640FD">
        <w:t>utcomes</w:t>
      </w:r>
      <w:bookmarkEnd w:id="17"/>
      <w:bookmarkEnd w:id="18"/>
      <w:r w:rsidRPr="004640FD">
        <w:t xml:space="preserve"> </w:t>
      </w:r>
    </w:p>
    <w:p w:rsidR="00E310EA" w:rsidRDefault="00E70D94" w:rsidP="0006417D">
      <w:pPr>
        <w:jc w:val="both"/>
      </w:pPr>
      <w:r>
        <w:t>In the Campaign’s education phase, t</w:t>
      </w:r>
      <w:r w:rsidR="00E310EA">
        <w:t xml:space="preserve">he </w:t>
      </w:r>
      <w:r w:rsidR="004A5430">
        <w:t xml:space="preserve">FWO conducted </w:t>
      </w:r>
      <w:r w:rsidR="00E310EA">
        <w:t>an extensive communication campaign about industry</w:t>
      </w:r>
      <w:r w:rsidR="00C7450C">
        <w:t>-</w:t>
      </w:r>
      <w:r w:rsidR="00E310EA">
        <w:t>specific rights and obligations</w:t>
      </w:r>
      <w:r w:rsidR="004A5430">
        <w:t>,</w:t>
      </w:r>
      <w:r w:rsidR="00E310EA">
        <w:t xml:space="preserve"> targeting all level</w:t>
      </w:r>
      <w:r w:rsidR="003C4078">
        <w:t>s</w:t>
      </w:r>
      <w:r w:rsidR="00E310EA">
        <w:t xml:space="preserve"> of the supply chain</w:t>
      </w:r>
      <w:r w:rsidR="004A5430">
        <w:t xml:space="preserve">. The majority of businesses audited in </w:t>
      </w:r>
      <w:r>
        <w:t>the Campaign’s</w:t>
      </w:r>
      <w:r w:rsidR="004A5430">
        <w:t xml:space="preserve"> compliance phase had </w:t>
      </w:r>
      <w:r>
        <w:t>received education from a Fair Work Inspector</w:t>
      </w:r>
      <w:r w:rsidR="004A5430">
        <w:t xml:space="preserve"> on their workplace relations obligations</w:t>
      </w:r>
      <w:r>
        <w:t>.</w:t>
      </w:r>
      <w:r w:rsidR="004A5430">
        <w:t xml:space="preserve"> </w:t>
      </w:r>
      <w:r w:rsidR="0019134A">
        <w:t xml:space="preserve">This was a key consideration in the exercise of the </w:t>
      </w:r>
      <w:r w:rsidR="00C7450C">
        <w:t xml:space="preserve">compliance and enforcement </w:t>
      </w:r>
      <w:r w:rsidR="0019134A">
        <w:t>tools</w:t>
      </w:r>
      <w:r w:rsidR="00CD4778">
        <w:t xml:space="preserve"> toward those employers found to be non-compliant</w:t>
      </w:r>
      <w:r w:rsidR="00C7450C">
        <w:t xml:space="preserve">. </w:t>
      </w:r>
    </w:p>
    <w:p w:rsidR="00C7450C" w:rsidRDefault="00C7450C" w:rsidP="0006417D">
      <w:pPr>
        <w:jc w:val="both"/>
      </w:pPr>
      <w:r>
        <w:t xml:space="preserve">Of 178 businesses identified as non-compliant, Fair Work Inspectors issued </w:t>
      </w:r>
      <w:r w:rsidR="00654A59">
        <w:t>132</w:t>
      </w:r>
      <w:r>
        <w:t xml:space="preserve"> </w:t>
      </w:r>
      <w:r w:rsidR="00654A59">
        <w:t xml:space="preserve">business </w:t>
      </w:r>
      <w:r>
        <w:t>with compliance and enforcement tools</w:t>
      </w:r>
      <w:r w:rsidR="00654A59">
        <w:t xml:space="preserve">. </w:t>
      </w:r>
      <w:r>
        <w:t>This included:</w:t>
      </w:r>
    </w:p>
    <w:p w:rsidR="00C7450C" w:rsidRDefault="00C7450C" w:rsidP="0006417D">
      <w:pPr>
        <w:pStyle w:val="ListParagraph"/>
        <w:numPr>
          <w:ilvl w:val="0"/>
          <w:numId w:val="12"/>
        </w:numPr>
        <w:jc w:val="both"/>
        <w:rPr>
          <w:lang w:eastAsia="en-AU"/>
        </w:rPr>
      </w:pPr>
      <w:r w:rsidRPr="00085B06">
        <w:rPr>
          <w:lang w:eastAsia="en-AU"/>
        </w:rPr>
        <w:t>31 Infringement Notices</w:t>
      </w:r>
      <w:r>
        <w:rPr>
          <w:lang w:eastAsia="en-AU"/>
        </w:rPr>
        <w:t>,</w:t>
      </w:r>
      <w:r w:rsidRPr="00085B06">
        <w:rPr>
          <w:lang w:eastAsia="en-AU"/>
        </w:rPr>
        <w:t xml:space="preserve"> totalling $7560 in on</w:t>
      </w:r>
      <w:r>
        <w:rPr>
          <w:lang w:eastAsia="en-AU"/>
        </w:rPr>
        <w:t>-</w:t>
      </w:r>
      <w:r w:rsidRPr="00085B06">
        <w:rPr>
          <w:lang w:eastAsia="en-AU"/>
        </w:rPr>
        <w:t>the</w:t>
      </w:r>
      <w:r>
        <w:rPr>
          <w:lang w:eastAsia="en-AU"/>
        </w:rPr>
        <w:t>-</w:t>
      </w:r>
      <w:r w:rsidRPr="00085B06">
        <w:rPr>
          <w:lang w:eastAsia="en-AU"/>
        </w:rPr>
        <w:t>spot fines</w:t>
      </w:r>
      <w:r w:rsidR="004640FD">
        <w:rPr>
          <w:lang w:eastAsia="en-AU"/>
        </w:rPr>
        <w:t xml:space="preserve"> for pay slip or record</w:t>
      </w:r>
      <w:r w:rsidR="009E03FA">
        <w:rPr>
          <w:lang w:eastAsia="en-AU"/>
        </w:rPr>
        <w:t>-</w:t>
      </w:r>
      <w:r w:rsidR="004640FD">
        <w:rPr>
          <w:lang w:eastAsia="en-AU"/>
        </w:rPr>
        <w:t xml:space="preserve">keeping breaches </w:t>
      </w:r>
    </w:p>
    <w:p w:rsidR="00891653" w:rsidRDefault="00C7450C" w:rsidP="004F7277">
      <w:pPr>
        <w:pStyle w:val="ListParagraph"/>
        <w:numPr>
          <w:ilvl w:val="0"/>
          <w:numId w:val="12"/>
        </w:numPr>
        <w:jc w:val="both"/>
        <w:rPr>
          <w:lang w:eastAsia="en-AU"/>
        </w:rPr>
      </w:pPr>
      <w:r w:rsidRPr="00085B06">
        <w:rPr>
          <w:lang w:eastAsia="en-AU"/>
        </w:rPr>
        <w:t xml:space="preserve">107 </w:t>
      </w:r>
      <w:r w:rsidR="00654A59">
        <w:rPr>
          <w:lang w:eastAsia="en-AU"/>
        </w:rPr>
        <w:t>Formal Cautions</w:t>
      </w:r>
      <w:r w:rsidR="004640FD">
        <w:rPr>
          <w:lang w:eastAsia="en-AU"/>
        </w:rPr>
        <w:t>,</w:t>
      </w:r>
      <w:r w:rsidR="00891653">
        <w:rPr>
          <w:lang w:eastAsia="en-AU"/>
        </w:rPr>
        <w:t xml:space="preserve"> </w:t>
      </w:r>
      <w:r w:rsidR="009F3149">
        <w:rPr>
          <w:lang w:eastAsia="en-AU"/>
        </w:rPr>
        <w:t>55</w:t>
      </w:r>
      <w:r w:rsidRPr="00085B06">
        <w:rPr>
          <w:lang w:eastAsia="en-AU"/>
        </w:rPr>
        <w:t xml:space="preserve"> </w:t>
      </w:r>
      <w:r w:rsidR="00891653">
        <w:rPr>
          <w:lang w:eastAsia="en-AU"/>
        </w:rPr>
        <w:t>of which w</w:t>
      </w:r>
      <w:r w:rsidR="004640FD">
        <w:rPr>
          <w:lang w:eastAsia="en-AU"/>
        </w:rPr>
        <w:t xml:space="preserve">ere </w:t>
      </w:r>
      <w:r w:rsidRPr="00085B06">
        <w:rPr>
          <w:lang w:eastAsia="en-AU"/>
        </w:rPr>
        <w:t xml:space="preserve">issued to businesses </w:t>
      </w:r>
      <w:r w:rsidR="009F3149">
        <w:rPr>
          <w:lang w:eastAsia="en-AU"/>
        </w:rPr>
        <w:t xml:space="preserve">for </w:t>
      </w:r>
      <w:r w:rsidR="004640FD">
        <w:rPr>
          <w:lang w:eastAsia="en-AU"/>
        </w:rPr>
        <w:t>fail</w:t>
      </w:r>
      <w:r w:rsidR="003772E5">
        <w:rPr>
          <w:lang w:eastAsia="en-AU"/>
        </w:rPr>
        <w:t>ing</w:t>
      </w:r>
      <w:r w:rsidR="004640FD">
        <w:rPr>
          <w:lang w:eastAsia="en-AU"/>
        </w:rPr>
        <w:t xml:space="preserve"> to</w:t>
      </w:r>
      <w:r w:rsidR="009F3149">
        <w:rPr>
          <w:lang w:eastAsia="en-AU"/>
        </w:rPr>
        <w:t xml:space="preserve"> satisfy the specific requirements of </w:t>
      </w:r>
      <w:r w:rsidRPr="00085B06">
        <w:rPr>
          <w:lang w:eastAsia="en-AU"/>
        </w:rPr>
        <w:t>Schedule F</w:t>
      </w:r>
      <w:r w:rsidR="004640FD">
        <w:rPr>
          <w:lang w:eastAsia="en-AU"/>
        </w:rPr>
        <w:t xml:space="preserve"> </w:t>
      </w:r>
    </w:p>
    <w:p w:rsidR="00654A59" w:rsidRDefault="005271EC" w:rsidP="0006417D">
      <w:pPr>
        <w:pStyle w:val="ListParagraph"/>
        <w:numPr>
          <w:ilvl w:val="0"/>
          <w:numId w:val="12"/>
        </w:numPr>
        <w:jc w:val="both"/>
        <w:rPr>
          <w:lang w:eastAsia="en-AU"/>
        </w:rPr>
      </w:pPr>
      <w:proofErr w:type="gramStart"/>
      <w:r>
        <w:rPr>
          <w:lang w:eastAsia="en-AU"/>
        </w:rPr>
        <w:t>f</w:t>
      </w:r>
      <w:r w:rsidR="00360350">
        <w:rPr>
          <w:lang w:eastAsia="en-AU"/>
        </w:rPr>
        <w:t>our</w:t>
      </w:r>
      <w:proofErr w:type="gramEnd"/>
      <w:r w:rsidR="00C7450C">
        <w:rPr>
          <w:lang w:eastAsia="en-AU"/>
        </w:rPr>
        <w:t xml:space="preserve"> </w:t>
      </w:r>
      <w:r w:rsidR="00C7450C" w:rsidRPr="00085B06">
        <w:rPr>
          <w:lang w:eastAsia="en-AU"/>
        </w:rPr>
        <w:t>Compliance Notices</w:t>
      </w:r>
      <w:r w:rsidR="00C7450C">
        <w:rPr>
          <w:lang w:eastAsia="en-AU"/>
        </w:rPr>
        <w:t xml:space="preserve">, compelling businesses to pay </w:t>
      </w:r>
      <w:r w:rsidR="00C7450C" w:rsidRPr="00085B06">
        <w:rPr>
          <w:lang w:eastAsia="en-AU"/>
        </w:rPr>
        <w:t>$23</w:t>
      </w:r>
      <w:r w:rsidR="004A5430">
        <w:rPr>
          <w:lang w:eastAsia="en-AU"/>
        </w:rPr>
        <w:t xml:space="preserve"> </w:t>
      </w:r>
      <w:r w:rsidR="00C7450C" w:rsidRPr="00085B06">
        <w:rPr>
          <w:lang w:eastAsia="en-AU"/>
        </w:rPr>
        <w:t xml:space="preserve">158 </w:t>
      </w:r>
      <w:r w:rsidR="00C7450C">
        <w:rPr>
          <w:lang w:eastAsia="en-AU"/>
        </w:rPr>
        <w:t xml:space="preserve">to </w:t>
      </w:r>
      <w:r w:rsidR="004640FD">
        <w:rPr>
          <w:lang w:eastAsia="en-AU"/>
        </w:rPr>
        <w:t xml:space="preserve">eight </w:t>
      </w:r>
      <w:r w:rsidR="00C7450C">
        <w:rPr>
          <w:lang w:eastAsia="en-AU"/>
        </w:rPr>
        <w:t>workers</w:t>
      </w:r>
      <w:r w:rsidR="00654A59">
        <w:rPr>
          <w:lang w:eastAsia="en-AU"/>
        </w:rPr>
        <w:t>.</w:t>
      </w:r>
    </w:p>
    <w:p w:rsidR="00676760" w:rsidRDefault="00676760" w:rsidP="0006417D">
      <w:pPr>
        <w:pStyle w:val="ListParagraph"/>
        <w:ind w:left="0"/>
        <w:jc w:val="both"/>
        <w:rPr>
          <w:lang w:eastAsia="en-AU"/>
        </w:rPr>
      </w:pPr>
      <w:r>
        <w:rPr>
          <w:lang w:eastAsia="en-AU"/>
        </w:rPr>
        <w:t xml:space="preserve">The following case studies discuss the use of these tools. </w:t>
      </w:r>
    </w:p>
    <w:p w:rsidR="004640FD" w:rsidRDefault="004640FD" w:rsidP="00E32A5F">
      <w:pPr>
        <w:pStyle w:val="Heading2"/>
      </w:pPr>
      <w:bookmarkStart w:id="19" w:name="_Toc531876782"/>
      <w:bookmarkStart w:id="20" w:name="_Toc534888176"/>
      <w:r>
        <w:t xml:space="preserve">Formal </w:t>
      </w:r>
      <w:r w:rsidR="00A1678D">
        <w:t>C</w:t>
      </w:r>
      <w:r>
        <w:t>aution</w:t>
      </w:r>
      <w:bookmarkEnd w:id="19"/>
      <w:bookmarkEnd w:id="20"/>
      <w:r>
        <w:t xml:space="preserve">  </w:t>
      </w:r>
    </w:p>
    <w:p w:rsidR="009F3149" w:rsidRDefault="004640FD" w:rsidP="00143A90">
      <w:pPr>
        <w:jc w:val="both"/>
        <w:rPr>
          <w:szCs w:val="22"/>
        </w:rPr>
      </w:pPr>
      <w:r>
        <w:rPr>
          <w:szCs w:val="22"/>
        </w:rPr>
        <w:t>Fair Work Inspectors issue Formal Cautions when they identify breaches</w:t>
      </w:r>
      <w:r w:rsidR="00333DA5">
        <w:rPr>
          <w:szCs w:val="22"/>
        </w:rPr>
        <w:t>,</w:t>
      </w:r>
      <w:r>
        <w:rPr>
          <w:szCs w:val="22"/>
        </w:rPr>
        <w:t xml:space="preserve"> and it is appropriate to put a business on notice </w:t>
      </w:r>
      <w:r w:rsidR="00143A90">
        <w:rPr>
          <w:szCs w:val="22"/>
        </w:rPr>
        <w:t>in writing</w:t>
      </w:r>
      <w:r>
        <w:rPr>
          <w:szCs w:val="22"/>
        </w:rPr>
        <w:t xml:space="preserve"> that future non-compliance could result in the FWO seeking financial penalties</w:t>
      </w:r>
      <w:r w:rsidR="00333DA5">
        <w:rPr>
          <w:szCs w:val="22"/>
        </w:rPr>
        <w:t>.</w:t>
      </w:r>
      <w:r>
        <w:rPr>
          <w:szCs w:val="22"/>
        </w:rPr>
        <w:t xml:space="preserve"> </w:t>
      </w:r>
    </w:p>
    <w:p w:rsidR="004F0D3C" w:rsidRPr="004F0D3C" w:rsidRDefault="004F0D3C" w:rsidP="004F0D3C">
      <w:pPr>
        <w:pStyle w:val="Calloutbox1"/>
      </w:pPr>
      <w:r w:rsidRPr="004F0D3C">
        <w:t>Fair Work Inspectors audited a high-end fashion retail outlet</w:t>
      </w:r>
      <w:r w:rsidR="00047BDD">
        <w:t xml:space="preserve"> that received </w:t>
      </w:r>
      <w:r w:rsidRPr="004F0D3C">
        <w:t xml:space="preserve">education materials in </w:t>
      </w:r>
      <w:r w:rsidR="00047BDD">
        <w:t>the first p</w:t>
      </w:r>
      <w:r w:rsidRPr="004F0D3C">
        <w:t xml:space="preserve">hase of the </w:t>
      </w:r>
      <w:r w:rsidR="00934E13">
        <w:t>TCF C</w:t>
      </w:r>
      <w:r w:rsidRPr="004F0D3C">
        <w:t>ampaign. The outlet</w:t>
      </w:r>
      <w:r w:rsidR="00143A90">
        <w:t xml:space="preserve"> had</w:t>
      </w:r>
      <w:r w:rsidRPr="004F0D3C">
        <w:t xml:space="preserve"> placed garment orders with a manufacturing business</w:t>
      </w:r>
      <w:r w:rsidR="00143A90">
        <w:t xml:space="preserve"> but had failed to </w:t>
      </w:r>
      <w:r w:rsidRPr="004F0D3C">
        <w:t xml:space="preserve">register with the Board of Reference prior to entering into </w:t>
      </w:r>
      <w:r w:rsidR="00143A90">
        <w:t>the</w:t>
      </w:r>
      <w:r w:rsidRPr="004F0D3C">
        <w:t xml:space="preserve"> arrangement </w:t>
      </w:r>
      <w:r w:rsidR="00143A90">
        <w:t>(as per Schedule F of the TCF Award)</w:t>
      </w:r>
      <w:r w:rsidR="00AB2A48">
        <w:t>.</w:t>
      </w:r>
      <w:r w:rsidRPr="004F0D3C">
        <w:t xml:space="preserve">   The outlet was also required to provide a list of the individuals and businesses involved in </w:t>
      </w:r>
      <w:r w:rsidR="00143A90">
        <w:t>these</w:t>
      </w:r>
      <w:r w:rsidRPr="004F0D3C">
        <w:t xml:space="preserve"> arrangements to the Board of Reference and to the relevant state branch of the Textile, Clothing and Footwear Union of Australia (or other relevant union).</w:t>
      </w:r>
      <w:r w:rsidR="00143A90">
        <w:t xml:space="preserve"> A</w:t>
      </w:r>
      <w:r w:rsidRPr="004F0D3C">
        <w:t xml:space="preserve"> Formal Caution </w:t>
      </w:r>
      <w:r w:rsidR="00143A90">
        <w:t>was issued on t</w:t>
      </w:r>
      <w:r w:rsidRPr="004F0D3C">
        <w:t>he business</w:t>
      </w:r>
      <w:r w:rsidR="00143A90">
        <w:t>,</w:t>
      </w:r>
      <w:r w:rsidRPr="004F0D3C">
        <w:t xml:space="preserve"> putting it on notice that future non-compliance with these </w:t>
      </w:r>
      <w:r>
        <w:t>ob</w:t>
      </w:r>
      <w:r w:rsidRPr="004F0D3C">
        <w:t xml:space="preserve">ligations might result in court-ordered penalties. </w:t>
      </w:r>
    </w:p>
    <w:p w:rsidR="004F0D3C" w:rsidRPr="004F0D3C" w:rsidRDefault="004F0D3C" w:rsidP="004F0D3C">
      <w:pPr>
        <w:pStyle w:val="Calloutbox1"/>
      </w:pPr>
      <w:r w:rsidRPr="004F0D3C">
        <w:t xml:space="preserve">Following the supply chain, Fair Work Inspectors audited the manufacturing business </w:t>
      </w:r>
      <w:r w:rsidR="00143A90">
        <w:t xml:space="preserve">in question </w:t>
      </w:r>
      <w:r w:rsidR="007D4E3D">
        <w:t>and identified that</w:t>
      </w:r>
      <w:r w:rsidR="00AB2A48" w:rsidRPr="004F0D3C">
        <w:t xml:space="preserve"> </w:t>
      </w:r>
      <w:r w:rsidR="007D4E3D">
        <w:t xml:space="preserve">it </w:t>
      </w:r>
      <w:r w:rsidR="00AB2A48" w:rsidRPr="004F0D3C">
        <w:t>outsourced sewing work to five contractor outworkers.</w:t>
      </w:r>
      <w:r w:rsidR="007D4E3D">
        <w:t xml:space="preserve"> </w:t>
      </w:r>
      <w:r w:rsidR="00143A90">
        <w:t>The audit disclosed</w:t>
      </w:r>
      <w:r w:rsidRPr="004F0D3C">
        <w:t xml:space="preserve"> that th</w:t>
      </w:r>
      <w:r w:rsidR="007D4E3D">
        <w:t>is</w:t>
      </w:r>
      <w:r w:rsidRPr="004F0D3C">
        <w:t xml:space="preserve"> business had also failed to register with the Board of Reference o</w:t>
      </w:r>
      <w:r w:rsidR="007D4E3D">
        <w:t>r</w:t>
      </w:r>
      <w:r w:rsidRPr="004F0D3C">
        <w:t xml:space="preserve"> </w:t>
      </w:r>
      <w:r w:rsidR="00143A90">
        <w:t>supply</w:t>
      </w:r>
      <w:r w:rsidRPr="004F0D3C">
        <w:t xml:space="preserve"> details of their arrangements to either the Board </w:t>
      </w:r>
      <w:r w:rsidR="007D4E3D">
        <w:t xml:space="preserve">or </w:t>
      </w:r>
      <w:r w:rsidRPr="004F0D3C">
        <w:t xml:space="preserve">a </w:t>
      </w:r>
      <w:r w:rsidR="007D4E3D">
        <w:t>u</w:t>
      </w:r>
      <w:r w:rsidRPr="004F0D3C">
        <w:t>nion.</w:t>
      </w:r>
      <w:r>
        <w:t xml:space="preserve"> Fair Work Inspectors</w:t>
      </w:r>
      <w:r w:rsidRPr="004F0D3C">
        <w:t xml:space="preserve"> issued this business with a </w:t>
      </w:r>
      <w:r w:rsidR="00921321">
        <w:t>Formal</w:t>
      </w:r>
      <w:r w:rsidRPr="004F0D3C">
        <w:t xml:space="preserve"> Caution for </w:t>
      </w:r>
      <w:r>
        <w:t xml:space="preserve">failure to observe the provisions of Schedule F, </w:t>
      </w:r>
      <w:r w:rsidR="00143A90">
        <w:t>ensuring</w:t>
      </w:r>
      <w:r>
        <w:t xml:space="preserve"> all levels of the supply chain were compliant wit</w:t>
      </w:r>
      <w:r w:rsidR="00303442">
        <w:t>h their legislative obligations.</w:t>
      </w:r>
    </w:p>
    <w:p w:rsidR="007B6788" w:rsidRDefault="007B6788" w:rsidP="00E32A5F">
      <w:pPr>
        <w:pStyle w:val="Heading2"/>
      </w:pPr>
      <w:bookmarkStart w:id="21" w:name="_Toc531876783"/>
      <w:r>
        <w:br w:type="page"/>
      </w:r>
    </w:p>
    <w:p w:rsidR="003772E5" w:rsidRDefault="00331BD3" w:rsidP="00E32A5F">
      <w:pPr>
        <w:pStyle w:val="Heading2"/>
      </w:pPr>
      <w:bookmarkStart w:id="22" w:name="_Toc534888177"/>
      <w:r>
        <w:t>I</w:t>
      </w:r>
      <w:r w:rsidR="003772E5">
        <w:t xml:space="preserve">nfringement </w:t>
      </w:r>
      <w:r w:rsidR="00A1678D">
        <w:t>N</w:t>
      </w:r>
      <w:r w:rsidR="003772E5">
        <w:t>otice</w:t>
      </w:r>
      <w:bookmarkEnd w:id="21"/>
      <w:bookmarkEnd w:id="22"/>
    </w:p>
    <w:p w:rsidR="003772E5" w:rsidRDefault="003772E5" w:rsidP="003772E5">
      <w:pPr>
        <w:rPr>
          <w:rFonts w:eastAsiaTheme="minorHAnsi" w:cs="Times New Roman"/>
          <w:szCs w:val="20"/>
        </w:rPr>
      </w:pPr>
      <w:r w:rsidRPr="004F7FC6">
        <w:rPr>
          <w:rFonts w:eastAsiaTheme="minorHAnsi" w:cs="Times New Roman"/>
          <w:szCs w:val="20"/>
        </w:rPr>
        <w:t xml:space="preserve">An Infringement Notice is a fine for non-compliance with </w:t>
      </w:r>
      <w:r>
        <w:rPr>
          <w:rFonts w:eastAsiaTheme="minorHAnsi" w:cs="Times New Roman"/>
          <w:szCs w:val="20"/>
        </w:rPr>
        <w:t xml:space="preserve">the </w:t>
      </w:r>
      <w:r w:rsidRPr="004F7FC6">
        <w:rPr>
          <w:rFonts w:eastAsiaTheme="minorHAnsi" w:cs="Times New Roman"/>
          <w:szCs w:val="20"/>
        </w:rPr>
        <w:t>record-keeping or pay slip requirements</w:t>
      </w:r>
      <w:r>
        <w:rPr>
          <w:rFonts w:eastAsiaTheme="minorHAnsi" w:cs="Times New Roman"/>
          <w:szCs w:val="20"/>
        </w:rPr>
        <w:t xml:space="preserve"> of the Act and Regulations. </w:t>
      </w:r>
    </w:p>
    <w:p w:rsidR="00244BB9" w:rsidRDefault="00303442" w:rsidP="00244BB9">
      <w:pPr>
        <w:pStyle w:val="Calloutbox1"/>
      </w:pPr>
      <w:r w:rsidRPr="004F0D3C">
        <w:t>Fair Work Inspectors</w:t>
      </w:r>
      <w:r w:rsidR="00244BB9" w:rsidRPr="00D91105">
        <w:t xml:space="preserve"> audited a school and work</w:t>
      </w:r>
      <w:r w:rsidR="00244BB9">
        <w:t>-</w:t>
      </w:r>
      <w:r w:rsidR="00244BB9" w:rsidRPr="00D91105">
        <w:t>wear manufacturer</w:t>
      </w:r>
      <w:r w:rsidR="00244BB9">
        <w:t xml:space="preserve"> and found that the business was not providing the required information on its pay slips. The pay slips did not contain the Employer’s name or ABN, the pay period, the net amount paid or any information about the employee’s superannuation fund. </w:t>
      </w:r>
    </w:p>
    <w:p w:rsidR="00244BB9" w:rsidRDefault="00303442" w:rsidP="00244BB9">
      <w:pPr>
        <w:pStyle w:val="Calloutbox1"/>
      </w:pPr>
      <w:r>
        <w:t>The I</w:t>
      </w:r>
      <w:r w:rsidRPr="004F0D3C">
        <w:t>nspectors</w:t>
      </w:r>
      <w:r>
        <w:t xml:space="preserve"> </w:t>
      </w:r>
      <w:r w:rsidR="00244BB9">
        <w:t>also detected</w:t>
      </w:r>
      <w:r>
        <w:t xml:space="preserve"> issues with the business’s </w:t>
      </w:r>
      <w:r w:rsidR="00244BB9">
        <w:t xml:space="preserve">time records, </w:t>
      </w:r>
      <w:r>
        <w:t>finding that</w:t>
      </w:r>
      <w:r w:rsidR="00244BB9">
        <w:t xml:space="preserve"> the hours of work recorded were inconsistent with the observations </w:t>
      </w:r>
      <w:r>
        <w:t xml:space="preserve">they made </w:t>
      </w:r>
      <w:r w:rsidR="00244BB9">
        <w:t>on the day of the site visit</w:t>
      </w:r>
      <w:r w:rsidRPr="00303442">
        <w:t xml:space="preserve"> </w:t>
      </w:r>
      <w:r>
        <w:t>about worker attendance</w:t>
      </w:r>
      <w:r w:rsidR="00244BB9">
        <w:t xml:space="preserve">. </w:t>
      </w:r>
    </w:p>
    <w:p w:rsidR="00244BB9" w:rsidRPr="00D91105" w:rsidRDefault="00F1183C" w:rsidP="00244BB9">
      <w:pPr>
        <w:pStyle w:val="Calloutbox1"/>
        <w:rPr>
          <w:rFonts w:ascii="Calibri" w:eastAsia="Calibri" w:hAnsi="Calibri" w:cs="Calibri"/>
        </w:rPr>
      </w:pPr>
      <w:r>
        <w:t>T</w:t>
      </w:r>
      <w:r w:rsidR="00244BB9">
        <w:t xml:space="preserve">he </w:t>
      </w:r>
      <w:r w:rsidR="00303442">
        <w:t>FWO issued the b</w:t>
      </w:r>
      <w:r w:rsidR="00244BB9">
        <w:t>usiness</w:t>
      </w:r>
      <w:r w:rsidR="00303442">
        <w:t xml:space="preserve"> </w:t>
      </w:r>
      <w:r w:rsidR="00244BB9">
        <w:t xml:space="preserve">with an Infringement Notice </w:t>
      </w:r>
      <w:r w:rsidR="00303442">
        <w:t>fin</w:t>
      </w:r>
      <w:r w:rsidR="00BE09C2">
        <w:t xml:space="preserve">ing it </w:t>
      </w:r>
      <w:r w:rsidR="00244BB9">
        <w:t xml:space="preserve">$360. </w:t>
      </w:r>
    </w:p>
    <w:p w:rsidR="002562C6" w:rsidRPr="00F73A1F" w:rsidRDefault="002562C6" w:rsidP="00E32A5F">
      <w:pPr>
        <w:pStyle w:val="Heading2"/>
      </w:pPr>
      <w:bookmarkStart w:id="23" w:name="_Toc531876784"/>
      <w:bookmarkStart w:id="24" w:name="_Toc534888178"/>
      <w:r w:rsidRPr="00F73A1F">
        <w:t xml:space="preserve">Compliance </w:t>
      </w:r>
      <w:r w:rsidR="00A1678D">
        <w:t>N</w:t>
      </w:r>
      <w:r w:rsidRPr="00F73A1F">
        <w:t>otice</w:t>
      </w:r>
      <w:bookmarkEnd w:id="23"/>
      <w:bookmarkEnd w:id="24"/>
      <w:r w:rsidRPr="00F73A1F">
        <w:t xml:space="preserve"> </w:t>
      </w:r>
    </w:p>
    <w:p w:rsidR="00E52DAD" w:rsidRPr="00F73A1F" w:rsidRDefault="002562C6" w:rsidP="00F73A1F">
      <w:pPr>
        <w:rPr>
          <w:rFonts w:eastAsiaTheme="minorHAnsi" w:cs="Times New Roman"/>
          <w:szCs w:val="20"/>
        </w:rPr>
      </w:pPr>
      <w:r w:rsidRPr="00F73A1F">
        <w:rPr>
          <w:rFonts w:eastAsiaTheme="minorHAnsi" w:cs="Times New Roman"/>
          <w:szCs w:val="20"/>
        </w:rPr>
        <w:t xml:space="preserve">A Compliance Notice is a written notice legally requiring a business to rectify breaches of the Act. Failure to comply with a Notice </w:t>
      </w:r>
      <w:r w:rsidR="00F73A1F">
        <w:rPr>
          <w:rFonts w:eastAsiaTheme="minorHAnsi" w:cs="Times New Roman"/>
          <w:szCs w:val="20"/>
        </w:rPr>
        <w:t xml:space="preserve">can </w:t>
      </w:r>
      <w:r w:rsidRPr="00F73A1F">
        <w:rPr>
          <w:rFonts w:eastAsiaTheme="minorHAnsi" w:cs="Times New Roman"/>
          <w:szCs w:val="20"/>
        </w:rPr>
        <w:t>result in the FWO commencing legal proceedings</w:t>
      </w:r>
      <w:r w:rsidR="00F73A1F">
        <w:rPr>
          <w:rFonts w:eastAsiaTheme="minorHAnsi" w:cs="Times New Roman"/>
          <w:szCs w:val="20"/>
        </w:rPr>
        <w:t>.</w:t>
      </w:r>
    </w:p>
    <w:p w:rsidR="005C5138" w:rsidRDefault="005C5138" w:rsidP="005C5138">
      <w:pPr>
        <w:pStyle w:val="Calloutbox1"/>
      </w:pPr>
      <w:r>
        <w:t xml:space="preserve">During a visit to a garment making business, </w:t>
      </w:r>
      <w:r w:rsidR="00A32A3E" w:rsidRPr="004F0D3C">
        <w:t>Fair Work Inspectors</w:t>
      </w:r>
      <w:r w:rsidR="00A32A3E" w:rsidRPr="00D91105">
        <w:t xml:space="preserve"> </w:t>
      </w:r>
      <w:r w:rsidR="00A32A3E">
        <w:t xml:space="preserve">identified </w:t>
      </w:r>
      <w:r>
        <w:t>underpayments of three production employees</w:t>
      </w:r>
      <w:r w:rsidR="00A32A3E">
        <w:t xml:space="preserve">. </w:t>
      </w:r>
      <w:r>
        <w:t>T</w:t>
      </w:r>
      <w:r w:rsidR="00A32A3E">
        <w:t xml:space="preserve">he employer had classified the workers as Level 1 employees </w:t>
      </w:r>
      <w:r>
        <w:t xml:space="preserve">under the </w:t>
      </w:r>
      <w:r w:rsidR="004E68D2" w:rsidRPr="004E68D2">
        <w:t>TCF Award</w:t>
      </w:r>
      <w:r w:rsidR="00A32A3E" w:rsidRPr="004E68D2">
        <w:t>.</w:t>
      </w:r>
      <w:r w:rsidR="00A32A3E">
        <w:rPr>
          <w:i/>
        </w:rPr>
        <w:t xml:space="preserve"> </w:t>
      </w:r>
      <w:r w:rsidR="00A32A3E" w:rsidRPr="00A32A3E">
        <w:t>However</w:t>
      </w:r>
      <w:r w:rsidRPr="00A32A3E">
        <w:t xml:space="preserve">, </w:t>
      </w:r>
      <w:r>
        <w:t>after observi</w:t>
      </w:r>
      <w:r w:rsidR="00A32A3E">
        <w:t>ng</w:t>
      </w:r>
      <w:r>
        <w:t xml:space="preserve"> their duties, Fair Work Inspectors determined th</w:t>
      </w:r>
      <w:r w:rsidR="00A32A3E">
        <w:t>at</w:t>
      </w:r>
      <w:r>
        <w:t xml:space="preserve"> </w:t>
      </w:r>
      <w:r w:rsidR="00A32A3E">
        <w:t xml:space="preserve">they were performing work that </w:t>
      </w:r>
      <w:r>
        <w:t xml:space="preserve">required </w:t>
      </w:r>
      <w:r w:rsidR="00A32A3E">
        <w:t xml:space="preserve">the </w:t>
      </w:r>
      <w:r>
        <w:t>employe</w:t>
      </w:r>
      <w:r w:rsidR="00A32A3E">
        <w:t xml:space="preserve">r to classify them </w:t>
      </w:r>
      <w:r>
        <w:t>at Skill Level 2.</w:t>
      </w:r>
    </w:p>
    <w:p w:rsidR="005C5138" w:rsidRDefault="005C5138" w:rsidP="005C5138">
      <w:pPr>
        <w:pStyle w:val="Calloutbox1"/>
      </w:pPr>
      <w:r>
        <w:t xml:space="preserve">This meant that the three production staff had been underpaid a total of </w:t>
      </w:r>
      <w:r w:rsidRPr="00D52E51">
        <w:t>$3747.19</w:t>
      </w:r>
      <w:r>
        <w:t xml:space="preserve"> over the course of 12 months.</w:t>
      </w:r>
    </w:p>
    <w:p w:rsidR="005C5138" w:rsidRPr="00D91105" w:rsidRDefault="005C5138" w:rsidP="005C5138">
      <w:pPr>
        <w:pStyle w:val="Calloutbox1"/>
      </w:pPr>
      <w:r w:rsidRPr="00D91105">
        <w:t>The FWO issued a Compliance Notice on the</w:t>
      </w:r>
      <w:r>
        <w:t xml:space="preserve"> </w:t>
      </w:r>
      <w:r w:rsidRPr="00D91105">
        <w:t>employer</w:t>
      </w:r>
      <w:r>
        <w:t>, legally compelling them to rectify the underpayment. T</w:t>
      </w:r>
      <w:r w:rsidRPr="00D91105">
        <w:t xml:space="preserve">he employer </w:t>
      </w:r>
      <w:r>
        <w:t xml:space="preserve">complied with the Notice and </w:t>
      </w:r>
      <w:r w:rsidRPr="00D91105">
        <w:t xml:space="preserve">back-paid </w:t>
      </w:r>
      <w:r>
        <w:t>the full amount owing to the</w:t>
      </w:r>
      <w:r w:rsidRPr="00D91105">
        <w:t xml:space="preserve"> </w:t>
      </w:r>
      <w:r>
        <w:t>three employees</w:t>
      </w:r>
      <w:r w:rsidR="00A32A3E">
        <w:t>,</w:t>
      </w:r>
    </w:p>
    <w:p w:rsidR="00113E77" w:rsidRDefault="005C5138" w:rsidP="00AB3029">
      <w:pPr>
        <w:pStyle w:val="Heading1"/>
      </w:pPr>
      <w:bookmarkStart w:id="25" w:name="_Toc531876785"/>
      <w:bookmarkStart w:id="26" w:name="_Toc534888179"/>
      <w:r>
        <w:t>C</w:t>
      </w:r>
      <w:r w:rsidR="00113E77">
        <w:t xml:space="preserve">omparison of </w:t>
      </w:r>
      <w:r w:rsidR="00F37132">
        <w:t>f</w:t>
      </w:r>
      <w:r w:rsidR="00113E77">
        <w:t>indings</w:t>
      </w:r>
      <w:bookmarkEnd w:id="25"/>
      <w:bookmarkEnd w:id="26"/>
    </w:p>
    <w:p w:rsidR="007A3D77" w:rsidRDefault="007A3D77" w:rsidP="00101627">
      <w:pPr>
        <w:jc w:val="both"/>
      </w:pPr>
      <w:r>
        <w:t xml:space="preserve">The </w:t>
      </w:r>
      <w:r w:rsidR="00101627">
        <w:t>findings</w:t>
      </w:r>
      <w:r>
        <w:t xml:space="preserve"> of th</w:t>
      </w:r>
      <w:r w:rsidR="00E940EA">
        <w:t>e</w:t>
      </w:r>
      <w:r>
        <w:t xml:space="preserve"> </w:t>
      </w:r>
      <w:r w:rsidR="00E940EA">
        <w:t xml:space="preserve">compliance </w:t>
      </w:r>
      <w:r>
        <w:t xml:space="preserve">phase </w:t>
      </w:r>
      <w:r w:rsidR="00E940EA">
        <w:t xml:space="preserve">of the </w:t>
      </w:r>
      <w:r w:rsidR="00934E13">
        <w:t xml:space="preserve">TCF </w:t>
      </w:r>
      <w:r w:rsidR="00E940EA">
        <w:t xml:space="preserve">Campaign </w:t>
      </w:r>
      <w:r>
        <w:t xml:space="preserve">confirm that the TCF </w:t>
      </w:r>
      <w:r w:rsidR="00186057">
        <w:t>i</w:t>
      </w:r>
      <w:r>
        <w:t xml:space="preserve">ndustry has a </w:t>
      </w:r>
      <w:r w:rsidR="00101627">
        <w:t>similar</w:t>
      </w:r>
      <w:r>
        <w:t xml:space="preserve"> rate of compliance </w:t>
      </w:r>
      <w:r w:rsidR="00E940EA">
        <w:t xml:space="preserve">when compared </w:t>
      </w:r>
      <w:r>
        <w:t>to other industries operatin</w:t>
      </w:r>
      <w:r w:rsidR="00E32A5F">
        <w:t xml:space="preserve">g in the manufacturing sector. </w:t>
      </w:r>
      <w:r>
        <w:t xml:space="preserve">The FWO identified that only 52% of businesses audited in this campaign were </w:t>
      </w:r>
      <w:r w:rsidR="00101627">
        <w:t>complia</w:t>
      </w:r>
      <w:r>
        <w:t>nt with all workplace relations obligations. The average compliance rate for all manufacturing businesses audited during the 2016-2017</w:t>
      </w:r>
      <w:r w:rsidR="007B6800">
        <w:t xml:space="preserve"> period</w:t>
      </w:r>
      <w:r>
        <w:t xml:space="preserve"> was only marginally</w:t>
      </w:r>
      <w:r w:rsidR="007B6800">
        <w:t xml:space="preserve"> higher</w:t>
      </w:r>
      <w:r>
        <w:t xml:space="preserve"> at 54%. </w:t>
      </w:r>
      <w:r w:rsidR="00101627">
        <w:t xml:space="preserve"> </w:t>
      </w:r>
      <w:r>
        <w:t xml:space="preserve">Businesses in </w:t>
      </w:r>
      <w:r w:rsidR="00E966F9">
        <w:t xml:space="preserve">the </w:t>
      </w:r>
      <w:r>
        <w:t>manufacturing sector were among the least compliant businesses audited during this period.</w:t>
      </w:r>
      <w:r>
        <w:rPr>
          <w:rStyle w:val="FootnoteReference"/>
        </w:rPr>
        <w:footnoteReference w:id="42"/>
      </w:r>
      <w:r>
        <w:t xml:space="preserve">  </w:t>
      </w:r>
    </w:p>
    <w:p w:rsidR="00D52ED1" w:rsidRDefault="00EF70E6" w:rsidP="003B760B">
      <w:pPr>
        <w:jc w:val="both"/>
      </w:pPr>
      <w:r>
        <w:t>T</w:t>
      </w:r>
      <w:r w:rsidR="00D52ED1">
        <w:t xml:space="preserve">he proportion of business identified as compliant with monetary obligations was higher than the average compliance rate of all businesses subject to proactive compliance audits during the </w:t>
      </w:r>
      <w:r>
        <w:t>corresponding audit</w:t>
      </w:r>
      <w:r w:rsidR="00D52ED1">
        <w:t xml:space="preserve"> period (the 2016-2017 financial year)</w:t>
      </w:r>
      <w:r w:rsidR="002A0278">
        <w:t>.</w:t>
      </w:r>
      <w:r w:rsidR="002A0278" w:rsidRPr="002A0278">
        <w:t xml:space="preserve"> </w:t>
      </w:r>
      <w:r w:rsidR="002A0278">
        <w:t>However, the percentage of business in breach of their non-monetary obligations was lower that the all</w:t>
      </w:r>
      <w:r>
        <w:t>- campaign average for the same period.</w:t>
      </w:r>
    </w:p>
    <w:p w:rsidR="002A0278" w:rsidRDefault="00D52ED1" w:rsidP="007B6788">
      <w:pPr>
        <w:pStyle w:val="Heading3"/>
      </w:pPr>
      <w:r w:rsidRPr="002A0278">
        <w:t xml:space="preserve">Table </w:t>
      </w:r>
      <w:r w:rsidR="002A0278">
        <w:t>4</w:t>
      </w:r>
      <w:r w:rsidRPr="002A0278">
        <w:t xml:space="preserve">: A comparison of the average compliance rates of all FWO campaigns for the 2016-2017 period with those of </w:t>
      </w:r>
      <w:r w:rsidR="00934E13">
        <w:t>TCF</w:t>
      </w:r>
      <w:r w:rsidR="002A0278" w:rsidRPr="002A0278">
        <w:t xml:space="preserve"> Campaign</w:t>
      </w:r>
      <w:r w:rsidR="00F04AEF">
        <w:t xml:space="preserve"> </w:t>
      </w:r>
      <w:r w:rsidR="002A0278" w:rsidRPr="002A0278">
        <w:t>-</w:t>
      </w:r>
      <w:r w:rsidR="00F04AEF">
        <w:t xml:space="preserve"> </w:t>
      </w:r>
      <w:r w:rsidR="002A0278" w:rsidRPr="002A0278">
        <w:t>Compliance Phase</w:t>
      </w:r>
      <w:r w:rsidRPr="002A0278">
        <w:t>.</w:t>
      </w:r>
    </w:p>
    <w:tbl>
      <w:tblPr>
        <w:tblW w:w="9498" w:type="dxa"/>
        <w:tblInd w:w="-5" w:type="dxa"/>
        <w:tblLook w:val="04A0" w:firstRow="1" w:lastRow="0" w:firstColumn="1" w:lastColumn="0" w:noHBand="0" w:noVBand="1"/>
      </w:tblPr>
      <w:tblGrid>
        <w:gridCol w:w="2977"/>
        <w:gridCol w:w="2693"/>
        <w:gridCol w:w="3828"/>
      </w:tblGrid>
      <w:tr w:rsidR="00D52ED1" w:rsidRPr="00D52ED1" w:rsidTr="003067A7">
        <w:trPr>
          <w:trHeight w:val="274"/>
          <w:tblHeader/>
        </w:trPr>
        <w:tc>
          <w:tcPr>
            <w:tcW w:w="2977" w:type="dxa"/>
            <w:tcBorders>
              <w:top w:val="single" w:sz="4" w:space="0" w:color="auto"/>
              <w:left w:val="single" w:sz="4" w:space="0" w:color="auto"/>
              <w:bottom w:val="single" w:sz="4" w:space="0" w:color="auto"/>
              <w:right w:val="single" w:sz="4" w:space="0" w:color="auto"/>
            </w:tcBorders>
            <w:shd w:val="clear" w:color="000000" w:fill="BDE7EE"/>
            <w:noWrap/>
            <w:vAlign w:val="center"/>
            <w:hideMark/>
          </w:tcPr>
          <w:p w:rsidR="00D52ED1" w:rsidRPr="00D52ED1" w:rsidRDefault="00D52ED1" w:rsidP="003B760B">
            <w:pPr>
              <w:jc w:val="center"/>
              <w:rPr>
                <w:rFonts w:ascii="Calibri" w:hAnsi="Calibri" w:cs="Times New Roman"/>
                <w:color w:val="000000"/>
                <w:sz w:val="20"/>
                <w:szCs w:val="20"/>
                <w:lang w:eastAsia="en-AU"/>
              </w:rPr>
            </w:pPr>
            <w:r w:rsidRPr="00D52ED1">
              <w:rPr>
                <w:rFonts w:ascii="Calibri" w:hAnsi="Calibri" w:cs="Times New Roman"/>
                <w:color w:val="000000"/>
                <w:sz w:val="20"/>
                <w:szCs w:val="20"/>
                <w:lang w:eastAsia="en-AU"/>
              </w:rPr>
              <w:t>Workplace Relations Obligations</w:t>
            </w:r>
          </w:p>
        </w:tc>
        <w:tc>
          <w:tcPr>
            <w:tcW w:w="2693" w:type="dxa"/>
            <w:tcBorders>
              <w:top w:val="single" w:sz="4" w:space="0" w:color="auto"/>
              <w:left w:val="nil"/>
              <w:bottom w:val="single" w:sz="4" w:space="0" w:color="auto"/>
              <w:right w:val="single" w:sz="4" w:space="0" w:color="auto"/>
            </w:tcBorders>
            <w:shd w:val="clear" w:color="000000" w:fill="BDE7EE"/>
            <w:vAlign w:val="center"/>
          </w:tcPr>
          <w:p w:rsidR="00D52ED1" w:rsidRPr="00D52ED1" w:rsidRDefault="00D52ED1" w:rsidP="003B760B">
            <w:pPr>
              <w:jc w:val="center"/>
              <w:rPr>
                <w:rFonts w:ascii="Calibri" w:hAnsi="Calibri" w:cs="Times New Roman"/>
                <w:color w:val="000000"/>
                <w:sz w:val="20"/>
                <w:szCs w:val="20"/>
                <w:lang w:eastAsia="en-AU"/>
              </w:rPr>
            </w:pPr>
            <w:r w:rsidRPr="00D52ED1">
              <w:rPr>
                <w:rFonts w:ascii="Calibri" w:hAnsi="Calibri" w:cs="Times New Roman"/>
                <w:color w:val="000000"/>
                <w:sz w:val="20"/>
                <w:szCs w:val="20"/>
                <w:lang w:eastAsia="en-AU"/>
              </w:rPr>
              <w:t>All Campaigns</w:t>
            </w:r>
          </w:p>
          <w:p w:rsidR="00D52ED1" w:rsidRPr="00D52ED1" w:rsidRDefault="00D52ED1" w:rsidP="003B760B">
            <w:pPr>
              <w:jc w:val="center"/>
              <w:rPr>
                <w:rFonts w:ascii="Calibri" w:hAnsi="Calibri" w:cs="Times New Roman"/>
                <w:color w:val="000000"/>
                <w:sz w:val="20"/>
                <w:szCs w:val="20"/>
                <w:lang w:eastAsia="en-AU"/>
              </w:rPr>
            </w:pPr>
            <w:r w:rsidRPr="00D52ED1">
              <w:rPr>
                <w:rFonts w:ascii="Calibri" w:hAnsi="Calibri" w:cs="Times New Roman"/>
                <w:color w:val="000000"/>
                <w:sz w:val="20"/>
                <w:szCs w:val="20"/>
                <w:lang w:eastAsia="en-AU"/>
              </w:rPr>
              <w:t>2016-2017</w:t>
            </w:r>
          </w:p>
        </w:tc>
        <w:tc>
          <w:tcPr>
            <w:tcW w:w="3828" w:type="dxa"/>
            <w:tcBorders>
              <w:top w:val="single" w:sz="4" w:space="0" w:color="auto"/>
              <w:left w:val="single" w:sz="4" w:space="0" w:color="auto"/>
              <w:bottom w:val="single" w:sz="4" w:space="0" w:color="auto"/>
              <w:right w:val="single" w:sz="4" w:space="0" w:color="auto"/>
            </w:tcBorders>
            <w:shd w:val="clear" w:color="000000" w:fill="BDE7EE"/>
            <w:vAlign w:val="center"/>
          </w:tcPr>
          <w:p w:rsidR="00D52ED1" w:rsidRPr="00D52ED1" w:rsidRDefault="00934E13" w:rsidP="003B760B">
            <w:pPr>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TCF</w:t>
            </w:r>
            <w:r w:rsidR="00D52ED1" w:rsidRPr="00D52ED1">
              <w:rPr>
                <w:rFonts w:ascii="Calibri" w:hAnsi="Calibri" w:cs="Times New Roman"/>
                <w:color w:val="000000"/>
                <w:sz w:val="20"/>
                <w:szCs w:val="20"/>
                <w:lang w:eastAsia="en-AU"/>
              </w:rPr>
              <w:t xml:space="preserve"> Campaign</w:t>
            </w:r>
            <w:r>
              <w:rPr>
                <w:rFonts w:ascii="Calibri" w:hAnsi="Calibri" w:cs="Times New Roman"/>
                <w:color w:val="000000"/>
                <w:sz w:val="20"/>
                <w:szCs w:val="20"/>
                <w:lang w:eastAsia="en-AU"/>
              </w:rPr>
              <w:t xml:space="preserve"> - </w:t>
            </w:r>
            <w:r w:rsidR="00D52ED1" w:rsidRPr="00D52ED1">
              <w:rPr>
                <w:rFonts w:ascii="Calibri" w:hAnsi="Calibri" w:cs="Times New Roman"/>
                <w:color w:val="000000"/>
                <w:sz w:val="20"/>
                <w:szCs w:val="20"/>
                <w:lang w:eastAsia="en-AU"/>
              </w:rPr>
              <w:t>Compliance Phase</w:t>
            </w:r>
          </w:p>
        </w:tc>
      </w:tr>
      <w:tr w:rsidR="00D52ED1" w:rsidRPr="00D52ED1" w:rsidTr="003067A7">
        <w:trPr>
          <w:trHeight w:val="288"/>
          <w:tblHeader/>
        </w:trPr>
        <w:tc>
          <w:tcPr>
            <w:tcW w:w="2977" w:type="dxa"/>
            <w:tcBorders>
              <w:top w:val="nil"/>
              <w:left w:val="single" w:sz="4" w:space="0" w:color="auto"/>
              <w:bottom w:val="single" w:sz="4" w:space="0" w:color="auto"/>
              <w:right w:val="single" w:sz="4" w:space="0" w:color="auto"/>
            </w:tcBorders>
            <w:shd w:val="clear" w:color="auto" w:fill="auto"/>
            <w:noWrap/>
            <w:vAlign w:val="bottom"/>
          </w:tcPr>
          <w:p w:rsidR="00D52ED1" w:rsidRPr="00D52ED1" w:rsidRDefault="00D52ED1" w:rsidP="003B760B">
            <w:pPr>
              <w:rPr>
                <w:rFonts w:ascii="Calibri" w:hAnsi="Calibri" w:cs="Times New Roman"/>
                <w:color w:val="000000"/>
                <w:sz w:val="20"/>
                <w:szCs w:val="20"/>
                <w:lang w:eastAsia="en-AU"/>
              </w:rPr>
            </w:pPr>
            <w:r w:rsidRPr="00D52ED1">
              <w:rPr>
                <w:rFonts w:ascii="Calibri" w:hAnsi="Calibri" w:cs="Times New Roman"/>
                <w:color w:val="000000"/>
                <w:sz w:val="20"/>
                <w:szCs w:val="20"/>
                <w:lang w:eastAsia="en-AU"/>
              </w:rPr>
              <w:t xml:space="preserve">Monetary </w:t>
            </w:r>
          </w:p>
        </w:tc>
        <w:tc>
          <w:tcPr>
            <w:tcW w:w="2693" w:type="dxa"/>
            <w:tcBorders>
              <w:top w:val="nil"/>
              <w:left w:val="nil"/>
              <w:bottom w:val="single" w:sz="4" w:space="0" w:color="auto"/>
              <w:right w:val="single" w:sz="4" w:space="0" w:color="auto"/>
            </w:tcBorders>
          </w:tcPr>
          <w:p w:rsidR="00D52ED1" w:rsidRPr="00D52ED1" w:rsidRDefault="00D52ED1" w:rsidP="003B760B">
            <w:pPr>
              <w:jc w:val="center"/>
              <w:rPr>
                <w:rFonts w:ascii="Calibri" w:hAnsi="Calibri" w:cs="Times New Roman"/>
                <w:color w:val="000000"/>
                <w:sz w:val="20"/>
                <w:szCs w:val="20"/>
                <w:lang w:eastAsia="en-AU"/>
              </w:rPr>
            </w:pPr>
            <w:r w:rsidRPr="00D52ED1">
              <w:rPr>
                <w:rFonts w:ascii="Calibri" w:hAnsi="Calibri" w:cs="Times New Roman"/>
                <w:color w:val="000000"/>
                <w:sz w:val="20"/>
                <w:szCs w:val="20"/>
                <w:lang w:eastAsia="en-AU"/>
              </w:rPr>
              <w:t>70%</w:t>
            </w:r>
          </w:p>
        </w:tc>
        <w:tc>
          <w:tcPr>
            <w:tcW w:w="3828" w:type="dxa"/>
            <w:tcBorders>
              <w:top w:val="nil"/>
              <w:left w:val="single" w:sz="4" w:space="0" w:color="auto"/>
              <w:bottom w:val="single" w:sz="4" w:space="0" w:color="auto"/>
              <w:right w:val="single" w:sz="4" w:space="0" w:color="auto"/>
            </w:tcBorders>
          </w:tcPr>
          <w:p w:rsidR="00D52ED1" w:rsidRPr="00D52ED1" w:rsidRDefault="00D52ED1" w:rsidP="003B760B">
            <w:pPr>
              <w:jc w:val="center"/>
              <w:rPr>
                <w:rFonts w:ascii="Calibri" w:hAnsi="Calibri" w:cs="Times New Roman"/>
                <w:color w:val="000000"/>
                <w:sz w:val="20"/>
                <w:szCs w:val="20"/>
                <w:lang w:eastAsia="en-AU"/>
              </w:rPr>
            </w:pPr>
            <w:r w:rsidRPr="00D52ED1">
              <w:rPr>
                <w:rFonts w:ascii="Calibri" w:hAnsi="Calibri" w:cs="Times New Roman"/>
                <w:color w:val="000000"/>
                <w:sz w:val="20"/>
                <w:szCs w:val="20"/>
                <w:lang w:eastAsia="en-AU"/>
              </w:rPr>
              <w:t>78%</w:t>
            </w:r>
          </w:p>
        </w:tc>
      </w:tr>
      <w:tr w:rsidR="00D52ED1" w:rsidRPr="00D52ED1" w:rsidTr="003067A7">
        <w:trPr>
          <w:trHeight w:val="288"/>
          <w:tblHeader/>
        </w:trPr>
        <w:tc>
          <w:tcPr>
            <w:tcW w:w="2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D52ED1" w:rsidRPr="00D52ED1" w:rsidRDefault="00D52ED1" w:rsidP="003B760B">
            <w:pPr>
              <w:rPr>
                <w:rFonts w:ascii="Calibri" w:hAnsi="Calibri" w:cs="Times New Roman"/>
                <w:color w:val="000000"/>
                <w:sz w:val="20"/>
                <w:szCs w:val="20"/>
                <w:lang w:eastAsia="en-AU"/>
              </w:rPr>
            </w:pPr>
            <w:r w:rsidRPr="00D52ED1">
              <w:rPr>
                <w:rFonts w:ascii="Calibri" w:hAnsi="Calibri" w:cs="Times New Roman"/>
                <w:color w:val="000000"/>
                <w:sz w:val="20"/>
                <w:szCs w:val="20"/>
                <w:lang w:eastAsia="en-AU"/>
              </w:rPr>
              <w:t xml:space="preserve">Non-monetary </w:t>
            </w:r>
          </w:p>
        </w:tc>
        <w:tc>
          <w:tcPr>
            <w:tcW w:w="2693" w:type="dxa"/>
            <w:tcBorders>
              <w:top w:val="single" w:sz="4" w:space="0" w:color="auto"/>
              <w:left w:val="nil"/>
              <w:bottom w:val="single" w:sz="4" w:space="0" w:color="auto"/>
              <w:right w:val="single" w:sz="4" w:space="0" w:color="auto"/>
            </w:tcBorders>
          </w:tcPr>
          <w:p w:rsidR="00D52ED1" w:rsidRPr="00D52ED1" w:rsidRDefault="00D52ED1" w:rsidP="003B760B">
            <w:pPr>
              <w:jc w:val="center"/>
              <w:rPr>
                <w:rFonts w:ascii="Calibri" w:hAnsi="Calibri" w:cs="Times New Roman"/>
                <w:color w:val="000000"/>
                <w:sz w:val="20"/>
                <w:szCs w:val="20"/>
                <w:lang w:eastAsia="en-AU"/>
              </w:rPr>
            </w:pPr>
            <w:r w:rsidRPr="00D52ED1">
              <w:rPr>
                <w:rFonts w:ascii="Calibri" w:hAnsi="Calibri" w:cs="Times New Roman"/>
                <w:color w:val="000000"/>
                <w:sz w:val="20"/>
                <w:szCs w:val="20"/>
                <w:lang w:eastAsia="en-AU"/>
              </w:rPr>
              <w:t>75%</w:t>
            </w:r>
          </w:p>
        </w:tc>
        <w:tc>
          <w:tcPr>
            <w:tcW w:w="3828" w:type="dxa"/>
            <w:tcBorders>
              <w:top w:val="single" w:sz="4" w:space="0" w:color="auto"/>
              <w:left w:val="single" w:sz="4" w:space="0" w:color="auto"/>
              <w:bottom w:val="single" w:sz="4" w:space="0" w:color="auto"/>
              <w:right w:val="single" w:sz="4" w:space="0" w:color="auto"/>
            </w:tcBorders>
          </w:tcPr>
          <w:p w:rsidR="00D52ED1" w:rsidRPr="00D52ED1" w:rsidRDefault="00D52ED1" w:rsidP="003B760B">
            <w:pPr>
              <w:jc w:val="center"/>
              <w:rPr>
                <w:rFonts w:ascii="Calibri" w:hAnsi="Calibri" w:cs="Times New Roman"/>
                <w:color w:val="000000"/>
                <w:sz w:val="20"/>
                <w:szCs w:val="20"/>
                <w:lang w:eastAsia="en-AU"/>
              </w:rPr>
            </w:pPr>
            <w:r w:rsidRPr="00D52ED1">
              <w:rPr>
                <w:rFonts w:ascii="Calibri" w:hAnsi="Calibri" w:cs="Times New Roman"/>
                <w:color w:val="000000"/>
                <w:sz w:val="20"/>
                <w:szCs w:val="20"/>
                <w:lang w:eastAsia="en-AU"/>
              </w:rPr>
              <w:t>67%</w:t>
            </w:r>
          </w:p>
        </w:tc>
      </w:tr>
    </w:tbl>
    <w:p w:rsidR="007D5016" w:rsidRDefault="007D5016" w:rsidP="003B760B">
      <w:pPr>
        <w:spacing w:before="120"/>
        <w:jc w:val="both"/>
      </w:pPr>
      <w:r>
        <w:t xml:space="preserve">The greatest proportion of breaches identified in the </w:t>
      </w:r>
      <w:r w:rsidR="00934E13">
        <w:t>TCF Campaign</w:t>
      </w:r>
      <w:r>
        <w:t xml:space="preserve"> related specifically to record-keeping obligations (36%). </w:t>
      </w:r>
      <w:r w:rsidR="00C6081F">
        <w:t>As Table 5 below shows, t</w:t>
      </w:r>
      <w:r>
        <w:t>his is comparatively high when contrasted with the results of other campaigns conducted during the same period</w:t>
      </w:r>
      <w:r w:rsidR="00C6081F">
        <w:t xml:space="preserve"> (t</w:t>
      </w:r>
      <w:r>
        <w:t xml:space="preserve">he FWO’s experience is that majority of breaches </w:t>
      </w:r>
      <w:r w:rsidR="00F04AEF">
        <w:t xml:space="preserve">identified though its campaign activities </w:t>
      </w:r>
      <w:r>
        <w:t xml:space="preserve">typically relate to </w:t>
      </w:r>
      <w:r w:rsidR="00F04AEF">
        <w:t xml:space="preserve">an </w:t>
      </w:r>
      <w:r>
        <w:t>underpayment of the hourly rate, or concern payslips</w:t>
      </w:r>
      <w:r w:rsidR="00C6081F">
        <w:t>)</w:t>
      </w:r>
      <w:r>
        <w:t>.</w:t>
      </w:r>
      <w:r w:rsidR="00C6081F">
        <w:t xml:space="preserve"> </w:t>
      </w:r>
    </w:p>
    <w:p w:rsidR="00C6081F" w:rsidRDefault="00C6081F" w:rsidP="007B6788">
      <w:pPr>
        <w:pStyle w:val="Heading3"/>
      </w:pPr>
      <w:r w:rsidRPr="002A0278">
        <w:t xml:space="preserve">Table </w:t>
      </w:r>
      <w:r>
        <w:t>5</w:t>
      </w:r>
      <w:r w:rsidRPr="002A0278">
        <w:t xml:space="preserve">: </w:t>
      </w:r>
      <w:r w:rsidR="00A3587A">
        <w:t>The proportion of r</w:t>
      </w:r>
      <w:r>
        <w:t>ecord-keeping</w:t>
      </w:r>
      <w:r w:rsidR="009439AB">
        <w:t xml:space="preserve"> </w:t>
      </w:r>
      <w:r w:rsidR="00A3587A">
        <w:t xml:space="preserve">breaches identified </w:t>
      </w:r>
      <w:r w:rsidR="009439AB">
        <w:t>in the</w:t>
      </w:r>
      <w:r w:rsidR="009439AB" w:rsidRPr="009439AB">
        <w:t xml:space="preserve"> </w:t>
      </w:r>
      <w:r w:rsidR="009439AB">
        <w:t>TCF Campaign</w:t>
      </w:r>
      <w:r w:rsidR="005A30D0">
        <w:t>,</w:t>
      </w:r>
      <w:r w:rsidR="009439AB">
        <w:t xml:space="preserve"> </w:t>
      </w:r>
      <w:r w:rsidR="005A30D0">
        <w:t xml:space="preserve">compared with the results of </w:t>
      </w:r>
      <w:r>
        <w:t>major national campaign</w:t>
      </w:r>
      <w:r w:rsidR="005A30D0">
        <w:t xml:space="preserve">s </w:t>
      </w:r>
      <w:r w:rsidR="009439AB">
        <w:t xml:space="preserve">undertaken </w:t>
      </w:r>
      <w:r>
        <w:t xml:space="preserve">during the </w:t>
      </w:r>
      <w:r w:rsidRPr="002A0278">
        <w:t xml:space="preserve">2016-2017 </w:t>
      </w:r>
      <w:r>
        <w:t>period.</w:t>
      </w:r>
      <w:r w:rsidR="00A3587A">
        <w:t xml:space="preserve"> </w:t>
      </w:r>
    </w:p>
    <w:tbl>
      <w:tblPr>
        <w:tblW w:w="9356" w:type="dxa"/>
        <w:tblInd w:w="-5" w:type="dxa"/>
        <w:tblLook w:val="04A0" w:firstRow="1" w:lastRow="0" w:firstColumn="1" w:lastColumn="0" w:noHBand="0" w:noVBand="1"/>
      </w:tblPr>
      <w:tblGrid>
        <w:gridCol w:w="3119"/>
        <w:gridCol w:w="2977"/>
        <w:gridCol w:w="3260"/>
      </w:tblGrid>
      <w:tr w:rsidR="00DA0529" w:rsidRPr="00805EDA" w:rsidTr="00C6081F">
        <w:trPr>
          <w:trHeight w:val="274"/>
          <w:tblHeader/>
        </w:trPr>
        <w:tc>
          <w:tcPr>
            <w:tcW w:w="3119" w:type="dxa"/>
            <w:tcBorders>
              <w:top w:val="single" w:sz="4" w:space="0" w:color="auto"/>
              <w:left w:val="single" w:sz="4" w:space="0" w:color="auto"/>
              <w:bottom w:val="single" w:sz="4" w:space="0" w:color="auto"/>
              <w:right w:val="single" w:sz="4" w:space="0" w:color="auto"/>
            </w:tcBorders>
            <w:shd w:val="clear" w:color="000000" w:fill="BDE7EE"/>
            <w:noWrap/>
            <w:vAlign w:val="center"/>
            <w:hideMark/>
          </w:tcPr>
          <w:p w:rsidR="00DA0529" w:rsidRPr="00805EDA" w:rsidRDefault="00DA0529" w:rsidP="003B760B">
            <w:pPr>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Food Precincts Activities 2016-2017</w:t>
            </w:r>
          </w:p>
        </w:tc>
        <w:tc>
          <w:tcPr>
            <w:tcW w:w="2977" w:type="dxa"/>
            <w:tcBorders>
              <w:top w:val="single" w:sz="4" w:space="0" w:color="auto"/>
              <w:left w:val="nil"/>
              <w:bottom w:val="single" w:sz="4" w:space="0" w:color="auto"/>
              <w:right w:val="single" w:sz="4" w:space="0" w:color="auto"/>
            </w:tcBorders>
            <w:shd w:val="clear" w:color="000000" w:fill="BDE7EE"/>
            <w:vAlign w:val="center"/>
          </w:tcPr>
          <w:p w:rsidR="00DA0529" w:rsidRDefault="00DA0529" w:rsidP="003B760B">
            <w:pPr>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 xml:space="preserve">National Compliance Monitoring Campaign 2016-2017 </w:t>
            </w:r>
          </w:p>
        </w:tc>
        <w:tc>
          <w:tcPr>
            <w:tcW w:w="3260" w:type="dxa"/>
            <w:tcBorders>
              <w:top w:val="single" w:sz="4" w:space="0" w:color="auto"/>
              <w:left w:val="single" w:sz="4" w:space="0" w:color="auto"/>
              <w:bottom w:val="single" w:sz="4" w:space="0" w:color="auto"/>
              <w:right w:val="single" w:sz="4" w:space="0" w:color="auto"/>
            </w:tcBorders>
            <w:shd w:val="clear" w:color="000000" w:fill="BDE7EE"/>
            <w:vAlign w:val="center"/>
          </w:tcPr>
          <w:p w:rsidR="00DA0529" w:rsidRPr="00805EDA" w:rsidRDefault="00934E13" w:rsidP="003B760B">
            <w:pPr>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TCF</w:t>
            </w:r>
            <w:r w:rsidRPr="00D52ED1">
              <w:rPr>
                <w:rFonts w:ascii="Calibri" w:hAnsi="Calibri" w:cs="Times New Roman"/>
                <w:color w:val="000000"/>
                <w:sz w:val="20"/>
                <w:szCs w:val="20"/>
                <w:lang w:eastAsia="en-AU"/>
              </w:rPr>
              <w:t xml:space="preserve"> Campaign</w:t>
            </w:r>
            <w:r>
              <w:rPr>
                <w:rFonts w:ascii="Calibri" w:hAnsi="Calibri" w:cs="Times New Roman"/>
                <w:color w:val="000000"/>
                <w:sz w:val="20"/>
                <w:szCs w:val="20"/>
                <w:lang w:eastAsia="en-AU"/>
              </w:rPr>
              <w:t xml:space="preserve"> - </w:t>
            </w:r>
            <w:r w:rsidRPr="00D52ED1">
              <w:rPr>
                <w:rFonts w:ascii="Calibri" w:hAnsi="Calibri" w:cs="Times New Roman"/>
                <w:color w:val="000000"/>
                <w:sz w:val="20"/>
                <w:szCs w:val="20"/>
                <w:lang w:eastAsia="en-AU"/>
              </w:rPr>
              <w:t>Compliance Phase</w:t>
            </w:r>
          </w:p>
        </w:tc>
      </w:tr>
      <w:tr w:rsidR="00DA0529" w:rsidRPr="00805EDA" w:rsidTr="00C6081F">
        <w:trPr>
          <w:trHeight w:val="288"/>
          <w:tblHeader/>
        </w:trPr>
        <w:tc>
          <w:tcPr>
            <w:tcW w:w="3119" w:type="dxa"/>
            <w:tcBorders>
              <w:top w:val="nil"/>
              <w:left w:val="single" w:sz="4" w:space="0" w:color="auto"/>
              <w:bottom w:val="single" w:sz="4" w:space="0" w:color="auto"/>
              <w:right w:val="single" w:sz="4" w:space="0" w:color="auto"/>
            </w:tcBorders>
            <w:shd w:val="clear" w:color="auto" w:fill="auto"/>
            <w:noWrap/>
            <w:vAlign w:val="bottom"/>
          </w:tcPr>
          <w:p w:rsidR="00DA0529" w:rsidRPr="00805EDA" w:rsidRDefault="00DA0529" w:rsidP="003B760B">
            <w:pPr>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 xml:space="preserve">14% </w:t>
            </w:r>
          </w:p>
        </w:tc>
        <w:tc>
          <w:tcPr>
            <w:tcW w:w="2977" w:type="dxa"/>
            <w:tcBorders>
              <w:top w:val="nil"/>
              <w:left w:val="nil"/>
              <w:bottom w:val="single" w:sz="4" w:space="0" w:color="auto"/>
              <w:right w:val="single" w:sz="4" w:space="0" w:color="auto"/>
            </w:tcBorders>
          </w:tcPr>
          <w:p w:rsidR="00DA0529" w:rsidRDefault="00DA0529" w:rsidP="003B760B">
            <w:pPr>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7.5%</w:t>
            </w:r>
          </w:p>
        </w:tc>
        <w:tc>
          <w:tcPr>
            <w:tcW w:w="3260" w:type="dxa"/>
            <w:tcBorders>
              <w:top w:val="nil"/>
              <w:left w:val="single" w:sz="4" w:space="0" w:color="auto"/>
              <w:bottom w:val="single" w:sz="4" w:space="0" w:color="auto"/>
              <w:right w:val="single" w:sz="4" w:space="0" w:color="auto"/>
            </w:tcBorders>
          </w:tcPr>
          <w:p w:rsidR="00DA0529" w:rsidRPr="00805EDA" w:rsidRDefault="00DA0529" w:rsidP="003B760B">
            <w:pPr>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3</w:t>
            </w:r>
            <w:r w:rsidR="004304BB">
              <w:rPr>
                <w:rFonts w:ascii="Calibri" w:hAnsi="Calibri" w:cs="Times New Roman"/>
                <w:color w:val="000000"/>
                <w:sz w:val="20"/>
                <w:szCs w:val="20"/>
                <w:lang w:eastAsia="en-AU"/>
              </w:rPr>
              <w:t>6</w:t>
            </w:r>
            <w:r>
              <w:rPr>
                <w:rFonts w:ascii="Calibri" w:hAnsi="Calibri" w:cs="Times New Roman"/>
                <w:color w:val="000000"/>
                <w:sz w:val="20"/>
                <w:szCs w:val="20"/>
                <w:lang w:eastAsia="en-AU"/>
              </w:rPr>
              <w:t>%</w:t>
            </w:r>
          </w:p>
        </w:tc>
      </w:tr>
    </w:tbl>
    <w:p w:rsidR="007A3D77" w:rsidRDefault="007A3D77" w:rsidP="003B760B">
      <w:pPr>
        <w:spacing w:before="120"/>
      </w:pPr>
      <w:r>
        <w:t>As discussed earlier in this report, th</w:t>
      </w:r>
      <w:r w:rsidR="00FD4DF3">
        <w:t>is</w:t>
      </w:r>
      <w:r>
        <w:t xml:space="preserve"> result reflects the number of businesses identified as non-compliant with the technical requirements of Schedule F of the </w:t>
      </w:r>
      <w:r w:rsidR="004E68D2">
        <w:t xml:space="preserve">TCF </w:t>
      </w:r>
      <w:r>
        <w:t>Award</w:t>
      </w:r>
      <w:r w:rsidR="00FD4DF3">
        <w:t xml:space="preserve"> in this campaign.</w:t>
      </w:r>
    </w:p>
    <w:p w:rsidR="00A3587A" w:rsidRDefault="00A3587A" w:rsidP="007A3D77"/>
    <w:p w:rsidR="007B6788" w:rsidRDefault="007B6788" w:rsidP="005C5138">
      <w:pPr>
        <w:pStyle w:val="Heading1"/>
      </w:pPr>
      <w:bookmarkStart w:id="27" w:name="_Toc531876786"/>
      <w:r>
        <w:br w:type="page"/>
      </w:r>
    </w:p>
    <w:p w:rsidR="007316D7" w:rsidRDefault="00E26846" w:rsidP="005C5138">
      <w:pPr>
        <w:pStyle w:val="Heading1"/>
      </w:pPr>
      <w:bookmarkStart w:id="28" w:name="_Toc534888180"/>
      <w:r w:rsidRPr="00E26846">
        <w:t>Conclusion</w:t>
      </w:r>
      <w:bookmarkEnd w:id="27"/>
      <w:bookmarkEnd w:id="28"/>
    </w:p>
    <w:p w:rsidR="00D053C5" w:rsidRDefault="000C47F0" w:rsidP="00101627">
      <w:pPr>
        <w:jc w:val="both"/>
        <w:rPr>
          <w:lang w:eastAsia="en-AU"/>
        </w:rPr>
      </w:pPr>
      <w:r>
        <w:rPr>
          <w:lang w:eastAsia="en-AU"/>
        </w:rPr>
        <w:t>The FWO commenced the two-phase</w:t>
      </w:r>
      <w:r w:rsidR="001B2539">
        <w:rPr>
          <w:lang w:eastAsia="en-AU"/>
        </w:rPr>
        <w:t>d</w:t>
      </w:r>
      <w:r>
        <w:rPr>
          <w:lang w:eastAsia="en-AU"/>
        </w:rPr>
        <w:t xml:space="preserve"> TCF Campaign to promote awareness of and compliance with industry</w:t>
      </w:r>
      <w:r w:rsidR="00D053C5">
        <w:rPr>
          <w:lang w:eastAsia="en-AU"/>
        </w:rPr>
        <w:t>-</w:t>
      </w:r>
      <w:r>
        <w:rPr>
          <w:lang w:eastAsia="en-AU"/>
        </w:rPr>
        <w:t xml:space="preserve">specific </w:t>
      </w:r>
      <w:r w:rsidR="00101627">
        <w:rPr>
          <w:lang w:eastAsia="en-AU"/>
        </w:rPr>
        <w:t>regulations</w:t>
      </w:r>
      <w:r w:rsidR="00D053C5">
        <w:rPr>
          <w:lang w:eastAsia="en-AU"/>
        </w:rPr>
        <w:t xml:space="preserve">. </w:t>
      </w:r>
    </w:p>
    <w:p w:rsidR="00D053C5" w:rsidRDefault="00D053C5" w:rsidP="00101627">
      <w:pPr>
        <w:jc w:val="both"/>
        <w:rPr>
          <w:lang w:eastAsia="en-AU"/>
        </w:rPr>
      </w:pPr>
      <w:r>
        <w:rPr>
          <w:lang w:eastAsia="en-AU"/>
        </w:rPr>
        <w:t xml:space="preserve">The first phase provided the FWO with an opportunity to reach out to the industry’s vulnerable workforce and their employers. </w:t>
      </w:r>
      <w:r w:rsidR="00101627">
        <w:rPr>
          <w:lang w:eastAsia="en-AU"/>
        </w:rPr>
        <w:t xml:space="preserve"> The FWO </w:t>
      </w:r>
      <w:r>
        <w:rPr>
          <w:lang w:eastAsia="en-AU"/>
        </w:rPr>
        <w:t xml:space="preserve">educated </w:t>
      </w:r>
      <w:r w:rsidR="00101627">
        <w:rPr>
          <w:lang w:eastAsia="en-AU"/>
        </w:rPr>
        <w:t>workplace participants</w:t>
      </w:r>
      <w:r>
        <w:rPr>
          <w:lang w:eastAsia="en-AU"/>
        </w:rPr>
        <w:t xml:space="preserve"> about their rights and obligations, and about the tools and resources the FWO provide</w:t>
      </w:r>
      <w:r w:rsidR="00422096">
        <w:rPr>
          <w:lang w:eastAsia="en-AU"/>
        </w:rPr>
        <w:t xml:space="preserve">s </w:t>
      </w:r>
      <w:r w:rsidR="00F13E69">
        <w:rPr>
          <w:lang w:eastAsia="en-AU"/>
        </w:rPr>
        <w:t>to make</w:t>
      </w:r>
      <w:r>
        <w:rPr>
          <w:lang w:eastAsia="en-AU"/>
        </w:rPr>
        <w:t xml:space="preserve"> compliance with workplace laws easier to </w:t>
      </w:r>
      <w:r w:rsidR="00422096">
        <w:rPr>
          <w:lang w:eastAsia="en-AU"/>
        </w:rPr>
        <w:t xml:space="preserve">understand and </w:t>
      </w:r>
      <w:r>
        <w:rPr>
          <w:lang w:eastAsia="en-AU"/>
        </w:rPr>
        <w:t xml:space="preserve">achieve. </w:t>
      </w:r>
    </w:p>
    <w:p w:rsidR="009008FB" w:rsidRDefault="00951043" w:rsidP="00101627">
      <w:pPr>
        <w:jc w:val="both"/>
      </w:pPr>
      <w:r>
        <w:t xml:space="preserve">The results of the </w:t>
      </w:r>
      <w:r w:rsidR="00101627">
        <w:t>campaign</w:t>
      </w:r>
      <w:r>
        <w:t xml:space="preserve"> </w:t>
      </w:r>
      <w:r w:rsidR="00D053C5">
        <w:t xml:space="preserve">phase </w:t>
      </w:r>
      <w:r>
        <w:t xml:space="preserve">reveal </w:t>
      </w:r>
      <w:r w:rsidR="00D053C5">
        <w:t xml:space="preserve">the extent and nature of </w:t>
      </w:r>
      <w:r>
        <w:t xml:space="preserve">non-compliance in the </w:t>
      </w:r>
      <w:r w:rsidR="00186057">
        <w:t>i</w:t>
      </w:r>
      <w:r>
        <w:t xml:space="preserve">ndustry. Nearly half (48%) of the businesses audited in the </w:t>
      </w:r>
      <w:r w:rsidR="00934E13">
        <w:t>TCF Campaign</w:t>
      </w:r>
      <w:r>
        <w:t xml:space="preserve"> were in breach of </w:t>
      </w:r>
      <w:r w:rsidR="00C67DD0">
        <w:t xml:space="preserve">some aspect of </w:t>
      </w:r>
      <w:r>
        <w:t xml:space="preserve">their workplace </w:t>
      </w:r>
      <w:r w:rsidR="00C67DD0">
        <w:t xml:space="preserve">relations </w:t>
      </w:r>
      <w:r>
        <w:t>obligations</w:t>
      </w:r>
      <w:r w:rsidR="00703EDA">
        <w:t>. The majority of breaches were non-monetary</w:t>
      </w:r>
      <w:r w:rsidR="00C67DD0">
        <w:t xml:space="preserve"> </w:t>
      </w:r>
      <w:r w:rsidR="006C498E">
        <w:t xml:space="preserve">in nature. </w:t>
      </w:r>
    </w:p>
    <w:p w:rsidR="00C67DD0" w:rsidRDefault="00422096" w:rsidP="00101627">
      <w:pPr>
        <w:jc w:val="both"/>
      </w:pPr>
      <w:r>
        <w:t xml:space="preserve">Contributing to this result, </w:t>
      </w:r>
      <w:r w:rsidR="00F518C0">
        <w:t xml:space="preserve">70 businesses </w:t>
      </w:r>
      <w:r>
        <w:t xml:space="preserve">were </w:t>
      </w:r>
      <w:r w:rsidR="00360350">
        <w:t>in</w:t>
      </w:r>
      <w:r>
        <w:t xml:space="preserve"> breach of </w:t>
      </w:r>
      <w:r w:rsidR="00BB73C8">
        <w:t xml:space="preserve">the outworker-related </w:t>
      </w:r>
      <w:r>
        <w:t>provision</w:t>
      </w:r>
      <w:r w:rsidR="00BB73C8">
        <w:t xml:space="preserve">s of the </w:t>
      </w:r>
      <w:r w:rsidR="004E68D2">
        <w:t xml:space="preserve">TCF </w:t>
      </w:r>
      <w:r w:rsidR="00BB73C8">
        <w:t>Award</w:t>
      </w:r>
      <w:r>
        <w:t xml:space="preserve">, in particular the failure to register with </w:t>
      </w:r>
      <w:r w:rsidR="00902BBA">
        <w:t>a</w:t>
      </w:r>
      <w:r>
        <w:t xml:space="preserve"> Board of Reference.</w:t>
      </w:r>
      <w:r w:rsidR="00C67DD0">
        <w:t xml:space="preserve"> The FWO has responded by</w:t>
      </w:r>
      <w:r w:rsidR="00B550A7">
        <w:t xml:space="preserve"> putting </w:t>
      </w:r>
      <w:r w:rsidR="00C67DD0">
        <w:t xml:space="preserve">these businesses on notice that it may seek penalties before the courts should it identify any future non-compliance with the law. </w:t>
      </w:r>
      <w:r w:rsidR="00101627">
        <w:t>The FWO has also indicated i</w:t>
      </w:r>
      <w:r w:rsidR="00B550A7">
        <w:t>t</w:t>
      </w:r>
      <w:r w:rsidR="00C67DD0">
        <w:t xml:space="preserve"> may revisit these businesses as part of its ongoing National Compliance Monitoring Program</w:t>
      </w:r>
      <w:r w:rsidR="00B550A7">
        <w:t>.</w:t>
      </w:r>
    </w:p>
    <w:p w:rsidR="00E52DAD" w:rsidRPr="00E52DAD" w:rsidRDefault="007A3D77" w:rsidP="005C5138">
      <w:pPr>
        <w:pStyle w:val="Heading1"/>
      </w:pPr>
      <w:bookmarkStart w:id="29" w:name="_Toc531876787"/>
      <w:bookmarkStart w:id="30" w:name="_Toc534888181"/>
      <w:r>
        <w:t>A</w:t>
      </w:r>
      <w:r w:rsidR="00E52DAD" w:rsidRPr="00E52DAD">
        <w:t>bout the Fair Work Ombudsman</w:t>
      </w:r>
      <w:bookmarkEnd w:id="29"/>
      <w:bookmarkEnd w:id="30"/>
    </w:p>
    <w:p w:rsidR="004936C7" w:rsidRPr="004936C7" w:rsidRDefault="004936C7" w:rsidP="00101627">
      <w:pPr>
        <w:jc w:val="both"/>
        <w:rPr>
          <w:lang w:eastAsia="en-AU"/>
        </w:rPr>
      </w:pPr>
      <w:r w:rsidRPr="004936C7">
        <w:rPr>
          <w:lang w:eastAsia="en-AU"/>
        </w:rPr>
        <w:t xml:space="preserve">The Fair Work Ombudsman is an independent agency created by the </w:t>
      </w:r>
      <w:r w:rsidRPr="004936C7">
        <w:rPr>
          <w:i/>
          <w:lang w:eastAsia="en-AU"/>
        </w:rPr>
        <w:t>Fair Work Act 2009</w:t>
      </w:r>
      <w:r w:rsidRPr="004936C7">
        <w:rPr>
          <w:lang w:eastAsia="en-AU"/>
        </w:rPr>
        <w:t xml:space="preserve"> on 1 July 2009. </w:t>
      </w:r>
      <w:r w:rsidR="00101627">
        <w:rPr>
          <w:lang w:eastAsia="en-AU"/>
        </w:rPr>
        <w:t xml:space="preserve">The </w:t>
      </w:r>
      <w:r w:rsidR="00101627" w:rsidRPr="004936C7">
        <w:rPr>
          <w:lang w:eastAsia="en-AU"/>
        </w:rPr>
        <w:t>Fair Work Ombudsman</w:t>
      </w:r>
      <w:r w:rsidR="00101627">
        <w:rPr>
          <w:lang w:eastAsia="en-AU"/>
        </w:rPr>
        <w:t>’s</w:t>
      </w:r>
      <w:r w:rsidRPr="004936C7">
        <w:rPr>
          <w:lang w:eastAsia="en-AU"/>
        </w:rPr>
        <w:t xml:space="preserve"> role is to promote harmonious, productive and </w:t>
      </w:r>
      <w:r w:rsidR="002B3256">
        <w:rPr>
          <w:lang w:eastAsia="en-AU"/>
        </w:rPr>
        <w:t>inclusive Australian workplaces</w:t>
      </w:r>
      <w:r w:rsidR="00101627">
        <w:rPr>
          <w:lang w:eastAsia="en-AU"/>
        </w:rPr>
        <w:t xml:space="preserve"> as well as ensure compliance</w:t>
      </w:r>
      <w:r w:rsidR="00CF5F04">
        <w:rPr>
          <w:lang w:eastAsia="en-AU"/>
        </w:rPr>
        <w:t xml:space="preserve"> with Commonwealth workplace laws</w:t>
      </w:r>
      <w:r w:rsidRPr="004936C7">
        <w:rPr>
          <w:lang w:eastAsia="en-AU"/>
        </w:rPr>
        <w:t>.</w:t>
      </w:r>
    </w:p>
    <w:p w:rsidR="00CF5F04" w:rsidRDefault="00101627" w:rsidP="00101627">
      <w:pPr>
        <w:jc w:val="both"/>
        <w:rPr>
          <w:rFonts w:eastAsia="Calibri"/>
          <w:szCs w:val="22"/>
        </w:rPr>
      </w:pPr>
      <w:r>
        <w:rPr>
          <w:rFonts w:eastAsia="Calibri"/>
          <w:szCs w:val="22"/>
        </w:rPr>
        <w:t>T</w:t>
      </w:r>
      <w:r w:rsidR="004936C7" w:rsidRPr="004936C7">
        <w:rPr>
          <w:rFonts w:eastAsia="Calibri"/>
          <w:szCs w:val="22"/>
        </w:rPr>
        <w:t xml:space="preserve">he Fair Work Ombudsman </w:t>
      </w:r>
      <w:r w:rsidR="00CF5F04">
        <w:rPr>
          <w:rFonts w:eastAsia="Calibri"/>
          <w:szCs w:val="22"/>
        </w:rPr>
        <w:t xml:space="preserve">regularly </w:t>
      </w:r>
      <w:r>
        <w:rPr>
          <w:rFonts w:eastAsia="Calibri"/>
          <w:szCs w:val="22"/>
        </w:rPr>
        <w:t>conduct</w:t>
      </w:r>
      <w:r w:rsidR="00CF5F04">
        <w:rPr>
          <w:rFonts w:eastAsia="Calibri"/>
          <w:szCs w:val="22"/>
        </w:rPr>
        <w:t>s</w:t>
      </w:r>
      <w:r>
        <w:rPr>
          <w:rFonts w:eastAsia="Calibri"/>
          <w:szCs w:val="22"/>
        </w:rPr>
        <w:t xml:space="preserve"> </w:t>
      </w:r>
      <w:r w:rsidR="004936C7" w:rsidRPr="004936C7">
        <w:rPr>
          <w:rFonts w:eastAsia="Calibri"/>
          <w:szCs w:val="22"/>
        </w:rPr>
        <w:t>proactive campaigns</w:t>
      </w:r>
      <w:r>
        <w:rPr>
          <w:rFonts w:eastAsia="Calibri"/>
          <w:szCs w:val="22"/>
        </w:rPr>
        <w:t xml:space="preserve"> targeting </w:t>
      </w:r>
      <w:r w:rsidR="00CF5F04">
        <w:rPr>
          <w:rFonts w:eastAsia="Calibri"/>
          <w:szCs w:val="22"/>
        </w:rPr>
        <w:t xml:space="preserve">at-risk employers and employees as part of its </w:t>
      </w:r>
      <w:r>
        <w:rPr>
          <w:rFonts w:eastAsia="Calibri"/>
          <w:szCs w:val="22"/>
        </w:rPr>
        <w:t>monitoring function</w:t>
      </w:r>
      <w:r w:rsidR="00CF5F04">
        <w:rPr>
          <w:rFonts w:eastAsia="Calibri"/>
          <w:szCs w:val="22"/>
        </w:rPr>
        <w:t>.</w:t>
      </w:r>
      <w:r w:rsidR="002B3256">
        <w:rPr>
          <w:rFonts w:eastAsia="Calibri"/>
          <w:szCs w:val="22"/>
        </w:rPr>
        <w:t xml:space="preserve"> As part of its role,</w:t>
      </w:r>
      <w:r w:rsidR="00CF5F04">
        <w:rPr>
          <w:rFonts w:eastAsia="Calibri"/>
          <w:szCs w:val="22"/>
        </w:rPr>
        <w:t xml:space="preserve"> the Fair Work Ombudsman encourage</w:t>
      </w:r>
      <w:r w:rsidR="002B3256">
        <w:rPr>
          <w:rFonts w:eastAsia="Calibri"/>
          <w:szCs w:val="22"/>
        </w:rPr>
        <w:t>s</w:t>
      </w:r>
      <w:r w:rsidR="00CF5F04">
        <w:rPr>
          <w:rFonts w:eastAsia="Calibri"/>
          <w:szCs w:val="22"/>
        </w:rPr>
        <w:t xml:space="preserve"> </w:t>
      </w:r>
      <w:r w:rsidR="002B3256">
        <w:rPr>
          <w:rFonts w:eastAsia="Calibri"/>
          <w:szCs w:val="22"/>
        </w:rPr>
        <w:t xml:space="preserve">employers to implement </w:t>
      </w:r>
      <w:r w:rsidR="00CF5F04">
        <w:rPr>
          <w:rFonts w:eastAsia="Calibri"/>
          <w:szCs w:val="22"/>
        </w:rPr>
        <w:t>sustainable self-monitoring compliance arrangements.</w:t>
      </w:r>
    </w:p>
    <w:p w:rsidR="004936C7" w:rsidRPr="004936C7" w:rsidRDefault="00CF5F04" w:rsidP="00101627">
      <w:pPr>
        <w:jc w:val="both"/>
        <w:rPr>
          <w:lang w:eastAsia="en-AU"/>
        </w:rPr>
      </w:pPr>
      <w:r>
        <w:rPr>
          <w:lang w:eastAsia="en-AU"/>
        </w:rPr>
        <w:t>For</w:t>
      </w:r>
      <w:r w:rsidR="004936C7" w:rsidRPr="004936C7">
        <w:rPr>
          <w:lang w:eastAsia="en-AU"/>
        </w:rPr>
        <w:t xml:space="preserve"> media enquiries please contact the media team at </w:t>
      </w:r>
      <w:hyperlink r:id="rId14" w:history="1">
        <w:r w:rsidR="004936C7" w:rsidRPr="004936C7">
          <w:rPr>
            <w:color w:val="0000FF"/>
            <w:u w:val="single"/>
            <w:lang w:eastAsia="en-AU"/>
          </w:rPr>
          <w:t>media@fwo.gov.au</w:t>
        </w:r>
      </w:hyperlink>
      <w:r w:rsidR="004936C7" w:rsidRPr="004936C7">
        <w:rPr>
          <w:lang w:eastAsia="en-AU"/>
        </w:rPr>
        <w:t xml:space="preserve">  </w:t>
      </w:r>
    </w:p>
    <w:p w:rsidR="004936C7" w:rsidRPr="004936C7" w:rsidRDefault="004936C7" w:rsidP="00101627">
      <w:pPr>
        <w:jc w:val="both"/>
      </w:pPr>
      <w:r w:rsidRPr="004936C7">
        <w:rPr>
          <w:lang w:eastAsia="en-AU"/>
        </w:rPr>
        <w:t xml:space="preserve">If you would like further information about the Fair Work Ombudsman’s campaigns please contact </w:t>
      </w:r>
      <w:r w:rsidR="00073D23">
        <w:rPr>
          <w:lang w:eastAsia="en-AU"/>
        </w:rPr>
        <w:t xml:space="preserve">Steven </w:t>
      </w:r>
      <w:proofErr w:type="spellStart"/>
      <w:r w:rsidR="00073D23">
        <w:rPr>
          <w:lang w:eastAsia="en-AU"/>
        </w:rPr>
        <w:t>Ronson</w:t>
      </w:r>
      <w:proofErr w:type="spellEnd"/>
      <w:r w:rsidRPr="004936C7">
        <w:rPr>
          <w:lang w:eastAsia="en-AU"/>
        </w:rPr>
        <w:t>, Executive Director - Proactive Compliance at</w:t>
      </w:r>
      <w:r w:rsidR="00073D23">
        <w:rPr>
          <w:lang w:eastAsia="en-AU"/>
        </w:rPr>
        <w:t>:</w:t>
      </w:r>
      <w:r w:rsidRPr="004936C7">
        <w:rPr>
          <w:lang w:eastAsia="en-AU"/>
        </w:rPr>
        <w:t xml:space="preserve"> </w:t>
      </w:r>
      <w:hyperlink r:id="rId15" w:history="1">
        <w:r w:rsidR="00073D23" w:rsidRPr="00A73E56">
          <w:rPr>
            <w:rStyle w:val="Hyperlink"/>
            <w:rFonts w:asciiTheme="minorHAnsi" w:hAnsiTheme="minorHAnsi"/>
            <w:szCs w:val="22"/>
            <w:lang w:eastAsia="en-AU"/>
          </w:rPr>
          <w:t>steven.ronson@fwo.gov.au</w:t>
        </w:r>
      </w:hyperlink>
      <w:r w:rsidRPr="004936C7">
        <w:rPr>
          <w:szCs w:val="22"/>
          <w:lang w:eastAsia="en-AU"/>
        </w:rPr>
        <w:t>.</w:t>
      </w:r>
    </w:p>
    <w:p w:rsidR="00BF0029" w:rsidRDefault="00BF0029">
      <w:pPr>
        <w:pStyle w:val="Quote"/>
      </w:pPr>
    </w:p>
    <w:p w:rsidR="00BA4AF4" w:rsidRDefault="00BA4AF4">
      <w:pPr>
        <w:spacing w:after="0" w:line="240" w:lineRule="auto"/>
      </w:pPr>
      <w:r>
        <w:br w:type="page"/>
      </w:r>
    </w:p>
    <w:p w:rsidR="00B124E5" w:rsidRDefault="00073D23" w:rsidP="005C5138">
      <w:pPr>
        <w:pStyle w:val="Heading1"/>
      </w:pPr>
      <w:bookmarkStart w:id="31" w:name="_Toc531876788"/>
      <w:bookmarkStart w:id="32" w:name="_Toc534888182"/>
      <w:r>
        <w:t>Appendix A</w:t>
      </w:r>
      <w:bookmarkEnd w:id="31"/>
      <w:bookmarkEnd w:id="32"/>
    </w:p>
    <w:tbl>
      <w:tblPr>
        <w:tblStyle w:val="TableGrid"/>
        <w:tblW w:w="8982" w:type="dxa"/>
        <w:tblInd w:w="-147" w:type="dxa"/>
        <w:tblCellMar>
          <w:left w:w="57" w:type="dxa"/>
        </w:tblCellMar>
        <w:tblLook w:val="04A0" w:firstRow="1" w:lastRow="0" w:firstColumn="1" w:lastColumn="0" w:noHBand="0" w:noVBand="1"/>
      </w:tblPr>
      <w:tblGrid>
        <w:gridCol w:w="8982"/>
      </w:tblGrid>
      <w:tr w:rsidR="00DD06E5" w:rsidRPr="001D41D8" w:rsidTr="004F7277">
        <w:trPr>
          <w:trHeight w:hRule="exact" w:val="454"/>
        </w:trPr>
        <w:tc>
          <w:tcPr>
            <w:tcW w:w="8982" w:type="dxa"/>
            <w:vAlign w:val="center"/>
          </w:tcPr>
          <w:p w:rsidR="00DD06E5" w:rsidRPr="001D41D8" w:rsidRDefault="00DD06E5" w:rsidP="004F7277">
            <w:pPr>
              <w:rPr>
                <w:rFonts w:ascii="Calibri" w:hAnsi="Calibri" w:cs="Calibri"/>
              </w:rPr>
            </w:pPr>
            <w:r w:rsidRPr="001D41D8">
              <w:rPr>
                <w:rFonts w:ascii="Calibri" w:hAnsi="Calibri" w:cs="Calibri"/>
              </w:rPr>
              <w:t>Asian Women At Work</w:t>
            </w:r>
          </w:p>
        </w:tc>
      </w:tr>
      <w:tr w:rsidR="00DD06E5" w:rsidRPr="001D41D8" w:rsidTr="004F7277">
        <w:trPr>
          <w:trHeight w:hRule="exact" w:val="454"/>
        </w:trPr>
        <w:tc>
          <w:tcPr>
            <w:tcW w:w="8982" w:type="dxa"/>
          </w:tcPr>
          <w:p w:rsidR="00DD06E5" w:rsidRPr="001D41D8" w:rsidRDefault="00DD06E5" w:rsidP="004F7277">
            <w:pPr>
              <w:rPr>
                <w:rFonts w:ascii="Calibri" w:hAnsi="Calibri" w:cs="Calibri"/>
              </w:rPr>
            </w:pPr>
            <w:r w:rsidRPr="001D41D8">
              <w:rPr>
                <w:rFonts w:ascii="Calibri" w:hAnsi="Calibri" w:cs="Calibri"/>
              </w:rPr>
              <w:t>Australian Chamber of Commerce and Industry</w:t>
            </w:r>
          </w:p>
        </w:tc>
      </w:tr>
      <w:tr w:rsidR="00DD06E5" w:rsidRPr="001D41D8" w:rsidTr="004F7277">
        <w:trPr>
          <w:trHeight w:hRule="exact" w:val="454"/>
        </w:trPr>
        <w:tc>
          <w:tcPr>
            <w:tcW w:w="8982" w:type="dxa"/>
          </w:tcPr>
          <w:p w:rsidR="00DD06E5" w:rsidRPr="001D41D8" w:rsidRDefault="00DD06E5" w:rsidP="004F7277">
            <w:pPr>
              <w:rPr>
                <w:rFonts w:ascii="Calibri" w:hAnsi="Calibri" w:cs="Calibri"/>
              </w:rPr>
            </w:pPr>
            <w:r w:rsidRPr="001D41D8">
              <w:rPr>
                <w:rFonts w:ascii="Calibri" w:hAnsi="Calibri" w:cs="Calibri"/>
              </w:rPr>
              <w:t>Australian Council of Trade Unions</w:t>
            </w:r>
          </w:p>
        </w:tc>
      </w:tr>
      <w:tr w:rsidR="00DD06E5" w:rsidRPr="001D41D8" w:rsidTr="004F7277">
        <w:trPr>
          <w:trHeight w:hRule="exact" w:val="454"/>
        </w:trPr>
        <w:tc>
          <w:tcPr>
            <w:tcW w:w="8982" w:type="dxa"/>
          </w:tcPr>
          <w:p w:rsidR="00DD06E5" w:rsidRPr="001D41D8" w:rsidRDefault="00DD06E5" w:rsidP="004F7277">
            <w:pPr>
              <w:rPr>
                <w:rFonts w:ascii="Calibri" w:hAnsi="Calibri" w:cs="Calibri"/>
              </w:rPr>
            </w:pPr>
            <w:r w:rsidRPr="001D41D8">
              <w:rPr>
                <w:rFonts w:ascii="Calibri" w:hAnsi="Calibri" w:cs="Calibri"/>
              </w:rPr>
              <w:t>Australian Industry Group</w:t>
            </w:r>
          </w:p>
        </w:tc>
      </w:tr>
      <w:tr w:rsidR="00DD06E5" w:rsidRPr="001D41D8" w:rsidTr="004F7277">
        <w:trPr>
          <w:trHeight w:hRule="exact" w:val="454"/>
        </w:trPr>
        <w:tc>
          <w:tcPr>
            <w:tcW w:w="8982" w:type="dxa"/>
          </w:tcPr>
          <w:p w:rsidR="00DD06E5" w:rsidRPr="001D41D8" w:rsidRDefault="00DD06E5" w:rsidP="004F7277">
            <w:pPr>
              <w:rPr>
                <w:rFonts w:ascii="Calibri" w:hAnsi="Calibri" w:cs="Calibri"/>
              </w:rPr>
            </w:pPr>
            <w:r w:rsidRPr="001D41D8">
              <w:rPr>
                <w:rFonts w:ascii="Calibri" w:hAnsi="Calibri" w:cs="Calibri"/>
              </w:rPr>
              <w:t>Australian Retailers Association</w:t>
            </w:r>
          </w:p>
        </w:tc>
      </w:tr>
      <w:tr w:rsidR="00DD06E5" w:rsidRPr="001D41D8" w:rsidTr="004F7277">
        <w:trPr>
          <w:trHeight w:hRule="exact" w:val="454"/>
        </w:trPr>
        <w:tc>
          <w:tcPr>
            <w:tcW w:w="8982" w:type="dxa"/>
          </w:tcPr>
          <w:p w:rsidR="00DD06E5" w:rsidRPr="001D41D8" w:rsidRDefault="00DD06E5" w:rsidP="004F7277">
            <w:pPr>
              <w:rPr>
                <w:rFonts w:ascii="Calibri" w:hAnsi="Calibri" w:cs="Calibri"/>
              </w:rPr>
            </w:pPr>
            <w:r w:rsidRPr="001D41D8">
              <w:rPr>
                <w:rFonts w:ascii="Calibri" w:hAnsi="Calibri" w:cs="Calibri"/>
              </w:rPr>
              <w:t>Brotherhood of St Laurence</w:t>
            </w:r>
          </w:p>
        </w:tc>
      </w:tr>
      <w:tr w:rsidR="00DD06E5" w:rsidRPr="001D41D8" w:rsidTr="004F7277">
        <w:trPr>
          <w:trHeight w:hRule="exact" w:val="454"/>
        </w:trPr>
        <w:tc>
          <w:tcPr>
            <w:tcW w:w="8982" w:type="dxa"/>
          </w:tcPr>
          <w:p w:rsidR="00DD06E5" w:rsidRPr="001D41D8" w:rsidRDefault="00DD06E5" w:rsidP="004F7277">
            <w:pPr>
              <w:rPr>
                <w:rFonts w:ascii="Calibri" w:hAnsi="Calibri" w:cs="Calibri"/>
              </w:rPr>
            </w:pPr>
            <w:r w:rsidRPr="001D41D8">
              <w:rPr>
                <w:rFonts w:ascii="Calibri" w:hAnsi="Calibri" w:cs="Calibri"/>
              </w:rPr>
              <w:t>Cabramatta Community Centre- Now 'CORE'</w:t>
            </w:r>
          </w:p>
        </w:tc>
      </w:tr>
      <w:tr w:rsidR="00DD06E5" w:rsidRPr="001D41D8" w:rsidTr="004F7277">
        <w:trPr>
          <w:trHeight w:hRule="exact" w:val="454"/>
        </w:trPr>
        <w:tc>
          <w:tcPr>
            <w:tcW w:w="8982" w:type="dxa"/>
          </w:tcPr>
          <w:p w:rsidR="00DD06E5" w:rsidRPr="001D41D8" w:rsidRDefault="00DD06E5" w:rsidP="004F7277">
            <w:pPr>
              <w:rPr>
                <w:rFonts w:ascii="Calibri" w:hAnsi="Calibri" w:cs="Calibri"/>
              </w:rPr>
            </w:pPr>
            <w:r w:rsidRPr="006730F8">
              <w:rPr>
                <w:rFonts w:ascii="Calibri" w:hAnsi="Calibri" w:cs="Calibri"/>
              </w:rPr>
              <w:t>CFMEU - Manufactu</w:t>
            </w:r>
            <w:r w:rsidR="00360350">
              <w:rPr>
                <w:rFonts w:ascii="Calibri" w:hAnsi="Calibri" w:cs="Calibri"/>
              </w:rPr>
              <w:t>r</w:t>
            </w:r>
            <w:r w:rsidRPr="006730F8">
              <w:rPr>
                <w:rFonts w:ascii="Calibri" w:hAnsi="Calibri" w:cs="Calibri"/>
              </w:rPr>
              <w:t>ing Division – TCF Sector (Formerly TCFUA)</w:t>
            </w:r>
          </w:p>
        </w:tc>
      </w:tr>
      <w:tr w:rsidR="00DD06E5" w:rsidRPr="001D41D8" w:rsidTr="004F7277">
        <w:trPr>
          <w:trHeight w:hRule="exact" w:val="454"/>
        </w:trPr>
        <w:tc>
          <w:tcPr>
            <w:tcW w:w="8982" w:type="dxa"/>
          </w:tcPr>
          <w:p w:rsidR="00DD06E5" w:rsidRPr="001D41D8" w:rsidRDefault="00DD06E5" w:rsidP="004F7277">
            <w:pPr>
              <w:rPr>
                <w:rFonts w:ascii="Calibri" w:hAnsi="Calibri" w:cs="Calibri"/>
              </w:rPr>
            </w:pPr>
            <w:r w:rsidRPr="001D41D8">
              <w:rPr>
                <w:rFonts w:ascii="Calibri" w:hAnsi="Calibri" w:cs="Calibri"/>
              </w:rPr>
              <w:t>Council of Textile and Fashion Industries Australia</w:t>
            </w:r>
          </w:p>
        </w:tc>
      </w:tr>
      <w:tr w:rsidR="00DD06E5" w:rsidRPr="001D41D8" w:rsidTr="004F7277">
        <w:trPr>
          <w:trHeight w:hRule="exact" w:val="454"/>
        </w:trPr>
        <w:tc>
          <w:tcPr>
            <w:tcW w:w="8982" w:type="dxa"/>
          </w:tcPr>
          <w:p w:rsidR="00DD06E5" w:rsidRPr="001D41D8" w:rsidRDefault="00DD06E5" w:rsidP="004F7277">
            <w:pPr>
              <w:rPr>
                <w:rFonts w:ascii="Calibri" w:hAnsi="Calibri" w:cs="Calibri"/>
              </w:rPr>
            </w:pPr>
            <w:r w:rsidRPr="001D41D8">
              <w:rPr>
                <w:rFonts w:ascii="Calibri" w:hAnsi="Calibri" w:cs="Calibri"/>
              </w:rPr>
              <w:t>Ethical Clothing Australia</w:t>
            </w:r>
          </w:p>
        </w:tc>
      </w:tr>
      <w:tr w:rsidR="00DD06E5" w:rsidRPr="001D41D8" w:rsidTr="004F7277">
        <w:trPr>
          <w:trHeight w:hRule="exact" w:val="454"/>
        </w:trPr>
        <w:tc>
          <w:tcPr>
            <w:tcW w:w="8982" w:type="dxa"/>
          </w:tcPr>
          <w:p w:rsidR="00DD06E5" w:rsidRPr="001D41D8" w:rsidRDefault="00DD06E5" w:rsidP="004F7277">
            <w:pPr>
              <w:rPr>
                <w:rFonts w:ascii="Calibri" w:hAnsi="Calibri" w:cs="Calibri"/>
              </w:rPr>
            </w:pPr>
            <w:r w:rsidRPr="001D41D8">
              <w:rPr>
                <w:rFonts w:ascii="Calibri" w:hAnsi="Calibri" w:cs="Calibri"/>
              </w:rPr>
              <w:t>Ethnic Communities' Council of NSW</w:t>
            </w:r>
          </w:p>
        </w:tc>
      </w:tr>
      <w:tr w:rsidR="00DD06E5" w:rsidRPr="001D41D8" w:rsidTr="004F7277">
        <w:trPr>
          <w:trHeight w:hRule="exact" w:val="454"/>
        </w:trPr>
        <w:tc>
          <w:tcPr>
            <w:tcW w:w="8982" w:type="dxa"/>
          </w:tcPr>
          <w:p w:rsidR="00DD06E5" w:rsidRPr="001D41D8" w:rsidRDefault="00DD06E5" w:rsidP="004F7277">
            <w:pPr>
              <w:rPr>
                <w:rFonts w:ascii="Calibri" w:hAnsi="Calibri" w:cs="Calibri"/>
              </w:rPr>
            </w:pPr>
            <w:r w:rsidRPr="001D41D8">
              <w:rPr>
                <w:rFonts w:ascii="Calibri" w:hAnsi="Calibri" w:cs="Calibri"/>
              </w:rPr>
              <w:t xml:space="preserve">Immigrant Women’s Speak Out Association of NSW </w:t>
            </w:r>
            <w:r w:rsidR="00360350" w:rsidRPr="001D41D8">
              <w:rPr>
                <w:rFonts w:ascii="Calibri" w:hAnsi="Calibri" w:cs="Calibri"/>
              </w:rPr>
              <w:t>Inc.</w:t>
            </w:r>
          </w:p>
        </w:tc>
      </w:tr>
      <w:tr w:rsidR="00DD06E5" w:rsidRPr="001D41D8" w:rsidTr="004F7277">
        <w:trPr>
          <w:trHeight w:hRule="exact" w:val="454"/>
        </w:trPr>
        <w:tc>
          <w:tcPr>
            <w:tcW w:w="8982" w:type="dxa"/>
          </w:tcPr>
          <w:p w:rsidR="00DD06E5" w:rsidRPr="001D41D8" w:rsidRDefault="00DD06E5" w:rsidP="00AF3799">
            <w:pPr>
              <w:rPr>
                <w:rFonts w:ascii="Calibri" w:hAnsi="Calibri" w:cs="Calibri"/>
              </w:rPr>
            </w:pPr>
            <w:r w:rsidRPr="001D41D8">
              <w:rPr>
                <w:rFonts w:ascii="Calibri" w:hAnsi="Calibri" w:cs="Calibri"/>
              </w:rPr>
              <w:t>Metro Assist (formerly Metro Migrant Resource Centre)</w:t>
            </w:r>
          </w:p>
        </w:tc>
      </w:tr>
      <w:tr w:rsidR="00DD06E5" w:rsidRPr="001D41D8" w:rsidTr="004F7277">
        <w:trPr>
          <w:trHeight w:hRule="exact" w:val="454"/>
        </w:trPr>
        <w:tc>
          <w:tcPr>
            <w:tcW w:w="8982" w:type="dxa"/>
          </w:tcPr>
          <w:p w:rsidR="00DD06E5" w:rsidRPr="001D41D8" w:rsidRDefault="00DD06E5" w:rsidP="004F7277">
            <w:pPr>
              <w:rPr>
                <w:rFonts w:ascii="Calibri" w:hAnsi="Calibri" w:cs="Calibri"/>
              </w:rPr>
            </w:pPr>
            <w:r w:rsidRPr="001D41D8">
              <w:rPr>
                <w:rFonts w:ascii="Calibri" w:hAnsi="Calibri" w:cs="Calibri"/>
              </w:rPr>
              <w:t xml:space="preserve">Migrant Resource Centre North West Region </w:t>
            </w:r>
            <w:r w:rsidR="00360350" w:rsidRPr="001D41D8">
              <w:rPr>
                <w:rFonts w:ascii="Calibri" w:hAnsi="Calibri" w:cs="Calibri"/>
              </w:rPr>
              <w:t>Inc.</w:t>
            </w:r>
          </w:p>
        </w:tc>
      </w:tr>
      <w:tr w:rsidR="00DD06E5" w:rsidRPr="001D41D8" w:rsidTr="004F7277">
        <w:trPr>
          <w:trHeight w:hRule="exact" w:val="454"/>
        </w:trPr>
        <w:tc>
          <w:tcPr>
            <w:tcW w:w="8982" w:type="dxa"/>
          </w:tcPr>
          <w:p w:rsidR="00DD06E5" w:rsidRPr="001D41D8" w:rsidRDefault="00DD06E5" w:rsidP="004F7277">
            <w:pPr>
              <w:rPr>
                <w:rFonts w:ascii="Calibri" w:hAnsi="Calibri" w:cs="Calibri"/>
              </w:rPr>
            </w:pPr>
            <w:r w:rsidRPr="001D41D8">
              <w:rPr>
                <w:rFonts w:ascii="Calibri" w:hAnsi="Calibri" w:cs="Calibri"/>
              </w:rPr>
              <w:t xml:space="preserve">Migrant Resource Centre of SA </w:t>
            </w:r>
            <w:r w:rsidR="00360350" w:rsidRPr="001D41D8">
              <w:rPr>
                <w:rFonts w:ascii="Calibri" w:hAnsi="Calibri" w:cs="Calibri"/>
              </w:rPr>
              <w:t>Inc.</w:t>
            </w:r>
          </w:p>
        </w:tc>
      </w:tr>
      <w:tr w:rsidR="00DD06E5" w:rsidRPr="001D41D8" w:rsidTr="004F7277">
        <w:trPr>
          <w:trHeight w:hRule="exact" w:val="454"/>
        </w:trPr>
        <w:tc>
          <w:tcPr>
            <w:tcW w:w="8982" w:type="dxa"/>
          </w:tcPr>
          <w:p w:rsidR="00DD06E5" w:rsidRPr="001D41D8" w:rsidRDefault="00DD06E5" w:rsidP="004F7277">
            <w:pPr>
              <w:rPr>
                <w:rFonts w:ascii="Calibri" w:hAnsi="Calibri" w:cs="Calibri"/>
              </w:rPr>
            </w:pPr>
            <w:r w:rsidRPr="001D41D8">
              <w:rPr>
                <w:rFonts w:ascii="Calibri" w:hAnsi="Calibri" w:cs="Calibri"/>
              </w:rPr>
              <w:t>Multicultural Communities Council of South Australia</w:t>
            </w:r>
          </w:p>
        </w:tc>
      </w:tr>
      <w:tr w:rsidR="00DD06E5" w:rsidRPr="001D41D8" w:rsidTr="004F7277">
        <w:trPr>
          <w:trHeight w:hRule="exact" w:val="454"/>
        </w:trPr>
        <w:tc>
          <w:tcPr>
            <w:tcW w:w="8982" w:type="dxa"/>
          </w:tcPr>
          <w:p w:rsidR="00DD06E5" w:rsidRPr="001D41D8" w:rsidRDefault="00DD06E5" w:rsidP="004F7277">
            <w:pPr>
              <w:rPr>
                <w:rFonts w:ascii="Calibri" w:hAnsi="Calibri" w:cs="Calibri"/>
              </w:rPr>
            </w:pPr>
            <w:r w:rsidRPr="001D41D8">
              <w:rPr>
                <w:rFonts w:ascii="Calibri" w:hAnsi="Calibri" w:cs="Calibri"/>
              </w:rPr>
              <w:t>NSW Business Chamber</w:t>
            </w:r>
          </w:p>
        </w:tc>
      </w:tr>
      <w:tr w:rsidR="00DD06E5" w:rsidRPr="001D41D8" w:rsidTr="004F7277">
        <w:trPr>
          <w:trHeight w:hRule="exact" w:val="454"/>
        </w:trPr>
        <w:tc>
          <w:tcPr>
            <w:tcW w:w="8982" w:type="dxa"/>
          </w:tcPr>
          <w:p w:rsidR="00DD06E5" w:rsidRPr="001D41D8" w:rsidRDefault="00DD06E5" w:rsidP="004F7277">
            <w:pPr>
              <w:rPr>
                <w:rFonts w:ascii="Calibri" w:hAnsi="Calibri" w:cs="Calibri"/>
              </w:rPr>
            </w:pPr>
            <w:r w:rsidRPr="001D41D8">
              <w:rPr>
                <w:rFonts w:ascii="Calibri" w:hAnsi="Calibri" w:cs="Calibri"/>
              </w:rPr>
              <w:t>Oxfam</w:t>
            </w:r>
          </w:p>
        </w:tc>
      </w:tr>
      <w:tr w:rsidR="00DD06E5" w:rsidRPr="001D41D8" w:rsidTr="004F7277">
        <w:trPr>
          <w:trHeight w:hRule="exact" w:val="454"/>
        </w:trPr>
        <w:tc>
          <w:tcPr>
            <w:tcW w:w="8982" w:type="dxa"/>
          </w:tcPr>
          <w:p w:rsidR="00DD06E5" w:rsidRPr="001D41D8" w:rsidRDefault="00DD06E5" w:rsidP="004F7277">
            <w:pPr>
              <w:rPr>
                <w:rFonts w:ascii="Calibri" w:hAnsi="Calibri" w:cs="Calibri"/>
              </w:rPr>
            </w:pPr>
            <w:r w:rsidRPr="001D41D8">
              <w:rPr>
                <w:rFonts w:ascii="Calibri" w:hAnsi="Calibri" w:cs="Calibri"/>
              </w:rPr>
              <w:t>Spectrum Migrant Resource Centre</w:t>
            </w:r>
          </w:p>
        </w:tc>
      </w:tr>
      <w:tr w:rsidR="00DD06E5" w:rsidRPr="001D41D8" w:rsidTr="004F7277">
        <w:trPr>
          <w:trHeight w:hRule="exact" w:val="454"/>
        </w:trPr>
        <w:tc>
          <w:tcPr>
            <w:tcW w:w="8982" w:type="dxa"/>
          </w:tcPr>
          <w:p w:rsidR="00DD06E5" w:rsidRPr="001D41D8" w:rsidRDefault="00DD06E5" w:rsidP="004F7277">
            <w:pPr>
              <w:rPr>
                <w:rFonts w:ascii="Calibri" w:hAnsi="Calibri" w:cs="Calibri"/>
              </w:rPr>
            </w:pPr>
            <w:r w:rsidRPr="001D41D8">
              <w:rPr>
                <w:rFonts w:ascii="Calibri" w:hAnsi="Calibri" w:cs="Calibri"/>
              </w:rPr>
              <w:t>Working Women Queensland</w:t>
            </w:r>
          </w:p>
        </w:tc>
      </w:tr>
      <w:tr w:rsidR="00DD06E5" w:rsidRPr="001D41D8" w:rsidTr="004F7277">
        <w:trPr>
          <w:trHeight w:hRule="exact" w:val="454"/>
        </w:trPr>
        <w:tc>
          <w:tcPr>
            <w:tcW w:w="8982" w:type="dxa"/>
          </w:tcPr>
          <w:p w:rsidR="00DD06E5" w:rsidRPr="001D41D8" w:rsidRDefault="00DD06E5" w:rsidP="004F7277">
            <w:pPr>
              <w:rPr>
                <w:rFonts w:ascii="Calibri" w:hAnsi="Calibri" w:cs="Calibri"/>
              </w:rPr>
            </w:pPr>
            <w:r w:rsidRPr="001D41D8">
              <w:rPr>
                <w:rFonts w:ascii="Calibri" w:hAnsi="Calibri" w:cs="Calibri"/>
              </w:rPr>
              <w:t>Working Women’s Centre - South Australia</w:t>
            </w:r>
          </w:p>
        </w:tc>
      </w:tr>
    </w:tbl>
    <w:p w:rsidR="00B124E5" w:rsidRDefault="00B124E5" w:rsidP="00DE0932"/>
    <w:p w:rsidR="00B124E5" w:rsidRDefault="00B124E5" w:rsidP="005C5138">
      <w:pPr>
        <w:pStyle w:val="Heading1"/>
      </w:pPr>
      <w:bookmarkStart w:id="33" w:name="_Toc531876789"/>
      <w:bookmarkStart w:id="34" w:name="_Toc534888183"/>
      <w:r>
        <w:t>Appendix B</w:t>
      </w:r>
      <w:bookmarkEnd w:id="33"/>
      <w:bookmarkEnd w:id="34"/>
    </w:p>
    <w:p w:rsidR="00073D23" w:rsidRPr="00A73E56" w:rsidRDefault="00270667" w:rsidP="007B6788">
      <w:pPr>
        <w:pStyle w:val="Heading3"/>
      </w:pPr>
      <w:r w:rsidRPr="00073D23">
        <w:t xml:space="preserve">Compliance results by state and territory </w:t>
      </w:r>
    </w:p>
    <w:tbl>
      <w:tblPr>
        <w:tblW w:w="9923" w:type="dxa"/>
        <w:tblInd w:w="-147" w:type="dxa"/>
        <w:tblLook w:val="04A0" w:firstRow="1" w:lastRow="0" w:firstColumn="1" w:lastColumn="0" w:noHBand="0" w:noVBand="1"/>
        <w:tblCaption w:val="Table 3: A comparison of major industry compliance rates between all FWO campaigns and the National Compliance Monitoring, for the 2016-2017 period"/>
        <w:tblDescription w:val="Table comparing compliances rates by industry sector for the average of all FWO audit campagns and this Campaign"/>
      </w:tblPr>
      <w:tblGrid>
        <w:gridCol w:w="1013"/>
        <w:gridCol w:w="913"/>
        <w:gridCol w:w="1053"/>
        <w:gridCol w:w="1053"/>
        <w:gridCol w:w="1390"/>
        <w:gridCol w:w="1297"/>
        <w:gridCol w:w="1040"/>
        <w:gridCol w:w="1040"/>
        <w:gridCol w:w="1124"/>
      </w:tblGrid>
      <w:tr w:rsidR="00073D23" w:rsidRPr="007F1CF3" w:rsidTr="00073D23">
        <w:trPr>
          <w:trHeight w:val="274"/>
          <w:tblHeader/>
        </w:trPr>
        <w:tc>
          <w:tcPr>
            <w:tcW w:w="1013" w:type="dxa"/>
            <w:tcBorders>
              <w:top w:val="single" w:sz="4" w:space="0" w:color="auto"/>
              <w:left w:val="single" w:sz="4" w:space="0" w:color="auto"/>
              <w:bottom w:val="single" w:sz="4" w:space="0" w:color="auto"/>
              <w:right w:val="single" w:sz="4" w:space="0" w:color="auto"/>
            </w:tcBorders>
            <w:shd w:val="clear" w:color="000000" w:fill="BDE7EE"/>
            <w:noWrap/>
            <w:vAlign w:val="center"/>
            <w:hideMark/>
          </w:tcPr>
          <w:p w:rsidR="00270667" w:rsidRDefault="00270667" w:rsidP="00073D23">
            <w:pPr>
              <w:spacing w:after="0" w:line="240" w:lineRule="auto"/>
              <w:jc w:val="center"/>
              <w:rPr>
                <w:rFonts w:ascii="Calibri" w:hAnsi="Calibri" w:cs="Times New Roman"/>
                <w:color w:val="000000"/>
                <w:sz w:val="20"/>
                <w:szCs w:val="20"/>
                <w:lang w:eastAsia="en-AU"/>
              </w:rPr>
            </w:pPr>
            <w:r w:rsidRPr="00805EDA">
              <w:rPr>
                <w:rFonts w:ascii="Calibri" w:hAnsi="Calibri" w:cs="Times New Roman"/>
                <w:color w:val="000000"/>
                <w:sz w:val="20"/>
                <w:szCs w:val="20"/>
                <w:lang w:eastAsia="en-AU"/>
              </w:rPr>
              <w:t>State</w:t>
            </w:r>
            <w:r>
              <w:rPr>
                <w:rFonts w:ascii="Calibri" w:hAnsi="Calibri" w:cs="Times New Roman"/>
                <w:color w:val="000000"/>
                <w:sz w:val="20"/>
                <w:szCs w:val="20"/>
                <w:lang w:eastAsia="en-AU"/>
              </w:rPr>
              <w:t xml:space="preserve"> /</w:t>
            </w:r>
          </w:p>
          <w:p w:rsidR="00270667" w:rsidRPr="00805EDA" w:rsidRDefault="00270667" w:rsidP="00073D23">
            <w:pPr>
              <w:spacing w:after="0" w:line="240" w:lineRule="auto"/>
              <w:jc w:val="center"/>
              <w:rPr>
                <w:rFonts w:ascii="Calibri" w:hAnsi="Calibri" w:cs="Times New Roman"/>
                <w:color w:val="000000"/>
                <w:sz w:val="20"/>
                <w:szCs w:val="20"/>
                <w:lang w:eastAsia="en-AU"/>
              </w:rPr>
            </w:pPr>
            <w:r w:rsidRPr="00805EDA">
              <w:rPr>
                <w:rFonts w:ascii="Calibri" w:hAnsi="Calibri" w:cs="Times New Roman"/>
                <w:color w:val="000000"/>
                <w:sz w:val="20"/>
                <w:szCs w:val="20"/>
                <w:lang w:eastAsia="en-AU"/>
              </w:rPr>
              <w:t>Territory</w:t>
            </w:r>
          </w:p>
        </w:tc>
        <w:tc>
          <w:tcPr>
            <w:tcW w:w="913" w:type="dxa"/>
            <w:tcBorders>
              <w:top w:val="single" w:sz="4" w:space="0" w:color="auto"/>
              <w:left w:val="nil"/>
              <w:bottom w:val="single" w:sz="4" w:space="0" w:color="auto"/>
              <w:right w:val="single" w:sz="4" w:space="0" w:color="auto"/>
            </w:tcBorders>
            <w:shd w:val="clear" w:color="000000" w:fill="BDE7EE"/>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Audits</w:t>
            </w:r>
          </w:p>
        </w:tc>
        <w:tc>
          <w:tcPr>
            <w:tcW w:w="1053" w:type="dxa"/>
            <w:tcBorders>
              <w:top w:val="single" w:sz="4" w:space="0" w:color="auto"/>
              <w:left w:val="single" w:sz="4" w:space="0" w:color="auto"/>
              <w:bottom w:val="single" w:sz="4" w:space="0" w:color="auto"/>
              <w:right w:val="single" w:sz="4" w:space="0" w:color="auto"/>
            </w:tcBorders>
            <w:shd w:val="clear" w:color="000000" w:fill="BDE7EE"/>
            <w:noWrap/>
            <w:vAlign w:val="center"/>
            <w:hideMark/>
          </w:tcPr>
          <w:p w:rsidR="00270667" w:rsidRPr="00805EDA" w:rsidRDefault="00270667" w:rsidP="00073D23">
            <w:pPr>
              <w:spacing w:after="0" w:line="240" w:lineRule="auto"/>
              <w:jc w:val="center"/>
              <w:rPr>
                <w:rFonts w:ascii="Calibri" w:hAnsi="Calibri" w:cs="Times New Roman"/>
                <w:color w:val="000000"/>
                <w:sz w:val="20"/>
                <w:szCs w:val="20"/>
                <w:lang w:eastAsia="en-AU"/>
              </w:rPr>
            </w:pPr>
            <w:r w:rsidRPr="00805EDA">
              <w:rPr>
                <w:rFonts w:ascii="Calibri" w:hAnsi="Calibri" w:cs="Times New Roman"/>
                <w:color w:val="000000"/>
                <w:sz w:val="20"/>
                <w:szCs w:val="20"/>
                <w:lang w:eastAsia="en-AU"/>
              </w:rPr>
              <w:t>Compliant</w:t>
            </w:r>
          </w:p>
        </w:tc>
        <w:tc>
          <w:tcPr>
            <w:tcW w:w="0" w:type="auto"/>
            <w:tcBorders>
              <w:top w:val="single" w:sz="4" w:space="0" w:color="auto"/>
              <w:left w:val="nil"/>
              <w:bottom w:val="single" w:sz="4" w:space="0" w:color="auto"/>
              <w:right w:val="single" w:sz="4" w:space="0" w:color="auto"/>
            </w:tcBorders>
            <w:shd w:val="clear" w:color="000000" w:fill="BDE7EE"/>
            <w:noWrap/>
            <w:vAlign w:val="center"/>
            <w:hideMark/>
          </w:tcPr>
          <w:p w:rsidR="00270667" w:rsidRPr="00805EDA" w:rsidRDefault="00270667" w:rsidP="00073D23">
            <w:pPr>
              <w:spacing w:after="0" w:line="240" w:lineRule="auto"/>
              <w:jc w:val="center"/>
              <w:rPr>
                <w:rFonts w:ascii="Calibri" w:hAnsi="Calibri" w:cs="Times New Roman"/>
                <w:color w:val="000000"/>
                <w:sz w:val="20"/>
                <w:szCs w:val="20"/>
                <w:lang w:eastAsia="en-AU"/>
              </w:rPr>
            </w:pPr>
            <w:r w:rsidRPr="00805EDA">
              <w:rPr>
                <w:rFonts w:ascii="Calibri" w:hAnsi="Calibri" w:cs="Times New Roman"/>
                <w:color w:val="000000"/>
                <w:sz w:val="20"/>
                <w:szCs w:val="20"/>
                <w:lang w:eastAsia="en-AU"/>
              </w:rPr>
              <w:t>Not</w:t>
            </w:r>
          </w:p>
          <w:p w:rsidR="00270667" w:rsidRPr="00805EDA" w:rsidRDefault="00270667" w:rsidP="00073D23">
            <w:pPr>
              <w:spacing w:after="0" w:line="240" w:lineRule="auto"/>
              <w:jc w:val="center"/>
              <w:rPr>
                <w:rFonts w:ascii="Calibri" w:hAnsi="Calibri" w:cs="Times New Roman"/>
                <w:color w:val="000000"/>
                <w:sz w:val="20"/>
                <w:szCs w:val="20"/>
                <w:lang w:eastAsia="en-AU"/>
              </w:rPr>
            </w:pPr>
            <w:r w:rsidRPr="00805EDA">
              <w:rPr>
                <w:rFonts w:ascii="Calibri" w:hAnsi="Calibri" w:cs="Times New Roman"/>
                <w:color w:val="000000"/>
                <w:sz w:val="20"/>
                <w:szCs w:val="20"/>
                <w:lang w:eastAsia="en-AU"/>
              </w:rPr>
              <w:t>Compliant</w:t>
            </w:r>
          </w:p>
        </w:tc>
        <w:tc>
          <w:tcPr>
            <w:tcW w:w="1390" w:type="dxa"/>
            <w:tcBorders>
              <w:top w:val="single" w:sz="4" w:space="0" w:color="auto"/>
              <w:left w:val="nil"/>
              <w:bottom w:val="single" w:sz="4" w:space="0" w:color="auto"/>
              <w:right w:val="single" w:sz="4" w:space="0" w:color="auto"/>
            </w:tcBorders>
            <w:shd w:val="clear" w:color="000000" w:fill="BDE7EE"/>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sidRPr="00805EDA">
              <w:rPr>
                <w:rFonts w:ascii="Calibri" w:hAnsi="Calibri" w:cs="Times New Roman"/>
                <w:color w:val="000000"/>
                <w:sz w:val="20"/>
                <w:szCs w:val="20"/>
                <w:lang w:eastAsia="en-AU"/>
              </w:rPr>
              <w:t>Compliant with monetary obligations</w:t>
            </w:r>
          </w:p>
        </w:tc>
        <w:tc>
          <w:tcPr>
            <w:tcW w:w="1297" w:type="dxa"/>
            <w:tcBorders>
              <w:top w:val="single" w:sz="4" w:space="0" w:color="auto"/>
              <w:left w:val="nil"/>
              <w:bottom w:val="single" w:sz="4" w:space="0" w:color="auto"/>
              <w:right w:val="single" w:sz="4" w:space="0" w:color="auto"/>
            </w:tcBorders>
            <w:shd w:val="clear" w:color="000000" w:fill="BDE7EE"/>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sidRPr="00805EDA">
              <w:rPr>
                <w:rFonts w:ascii="Calibri" w:hAnsi="Calibri" w:cs="Times New Roman"/>
                <w:color w:val="000000"/>
                <w:sz w:val="20"/>
                <w:szCs w:val="20"/>
                <w:lang w:eastAsia="en-AU"/>
              </w:rPr>
              <w:t>Compliant with non-monetary obligations</w:t>
            </w:r>
          </w:p>
        </w:tc>
        <w:tc>
          <w:tcPr>
            <w:tcW w:w="1040" w:type="dxa"/>
            <w:tcBorders>
              <w:top w:val="single" w:sz="4" w:space="0" w:color="auto"/>
              <w:left w:val="nil"/>
              <w:bottom w:val="single" w:sz="4" w:space="0" w:color="auto"/>
              <w:right w:val="single" w:sz="4" w:space="0" w:color="auto"/>
            </w:tcBorders>
            <w:shd w:val="clear" w:color="000000" w:fill="BDE7EE"/>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sidRPr="00805EDA">
              <w:rPr>
                <w:rFonts w:ascii="Calibri" w:hAnsi="Calibri" w:cs="Times New Roman"/>
                <w:color w:val="000000"/>
                <w:sz w:val="20"/>
                <w:szCs w:val="20"/>
                <w:lang w:eastAsia="en-AU"/>
              </w:rPr>
              <w:t>Money recovered</w:t>
            </w:r>
          </w:p>
        </w:tc>
        <w:tc>
          <w:tcPr>
            <w:tcW w:w="1040" w:type="dxa"/>
            <w:tcBorders>
              <w:top w:val="single" w:sz="4" w:space="0" w:color="auto"/>
              <w:left w:val="nil"/>
              <w:bottom w:val="single" w:sz="4" w:space="0" w:color="auto"/>
              <w:right w:val="single" w:sz="4" w:space="0" w:color="auto"/>
            </w:tcBorders>
            <w:shd w:val="clear" w:color="000000" w:fill="BDE7EE"/>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sidRPr="00805EDA">
              <w:rPr>
                <w:rFonts w:ascii="Calibri" w:hAnsi="Calibri" w:cs="Times New Roman"/>
                <w:color w:val="000000"/>
                <w:sz w:val="20"/>
                <w:szCs w:val="20"/>
                <w:lang w:eastAsia="en-AU"/>
              </w:rPr>
              <w:t>Workers recovered</w:t>
            </w:r>
          </w:p>
          <w:p w:rsidR="00270667" w:rsidRPr="00805EDA" w:rsidRDefault="00270667" w:rsidP="00073D23">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f</w:t>
            </w:r>
            <w:r w:rsidRPr="00805EDA">
              <w:rPr>
                <w:rFonts w:ascii="Calibri" w:hAnsi="Calibri" w:cs="Times New Roman"/>
                <w:color w:val="000000"/>
                <w:sz w:val="20"/>
                <w:szCs w:val="20"/>
                <w:lang w:eastAsia="en-AU"/>
              </w:rPr>
              <w:t>or</w:t>
            </w:r>
          </w:p>
        </w:tc>
        <w:tc>
          <w:tcPr>
            <w:tcW w:w="1124" w:type="dxa"/>
            <w:tcBorders>
              <w:top w:val="single" w:sz="4" w:space="0" w:color="auto"/>
              <w:left w:val="nil"/>
              <w:bottom w:val="single" w:sz="4" w:space="0" w:color="auto"/>
              <w:right w:val="single" w:sz="4" w:space="0" w:color="auto"/>
            </w:tcBorders>
            <w:shd w:val="clear" w:color="000000" w:fill="BDE7EE"/>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sidRPr="00805EDA">
              <w:rPr>
                <w:rFonts w:ascii="Calibri" w:hAnsi="Calibri" w:cs="Times New Roman"/>
                <w:color w:val="000000"/>
                <w:sz w:val="20"/>
                <w:szCs w:val="20"/>
                <w:lang w:eastAsia="en-AU"/>
              </w:rPr>
              <w:t>Businesses recovered from</w:t>
            </w:r>
          </w:p>
        </w:tc>
      </w:tr>
      <w:tr w:rsidR="00270667" w:rsidRPr="007F1CF3" w:rsidTr="00AB3029">
        <w:trPr>
          <w:trHeight w:val="438"/>
          <w:tblHeader/>
        </w:trPr>
        <w:tc>
          <w:tcPr>
            <w:tcW w:w="1013" w:type="dxa"/>
            <w:tcBorders>
              <w:top w:val="nil"/>
              <w:left w:val="single" w:sz="4" w:space="0" w:color="auto"/>
              <w:bottom w:val="single" w:sz="4" w:space="0" w:color="auto"/>
              <w:right w:val="single" w:sz="4" w:space="0" w:color="auto"/>
            </w:tcBorders>
            <w:shd w:val="clear" w:color="auto" w:fill="auto"/>
            <w:noWrap/>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QLD</w:t>
            </w:r>
          </w:p>
        </w:tc>
        <w:tc>
          <w:tcPr>
            <w:tcW w:w="913"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87</w:t>
            </w:r>
          </w:p>
        </w:tc>
        <w:tc>
          <w:tcPr>
            <w:tcW w:w="1053" w:type="dxa"/>
            <w:tcBorders>
              <w:top w:val="nil"/>
              <w:left w:val="single" w:sz="4" w:space="0" w:color="auto"/>
              <w:bottom w:val="single" w:sz="4" w:space="0" w:color="auto"/>
              <w:right w:val="single" w:sz="4" w:space="0" w:color="auto"/>
            </w:tcBorders>
            <w:shd w:val="clear" w:color="auto" w:fill="auto"/>
            <w:noWrap/>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lang w:eastAsia="en-AU"/>
              </w:rPr>
              <w:t>44</w:t>
            </w:r>
            <w:r w:rsidRPr="00085B06">
              <w:rPr>
                <w:lang w:eastAsia="en-AU"/>
              </w:rPr>
              <w:t xml:space="preserve"> (</w:t>
            </w:r>
            <w:r>
              <w:rPr>
                <w:lang w:eastAsia="en-AU"/>
              </w:rPr>
              <w:t>51</w:t>
            </w:r>
            <w:r w:rsidRPr="00085B06">
              <w:rPr>
                <w:lang w:eastAsia="en-AU"/>
              </w:rPr>
              <w:t>%)</w:t>
            </w:r>
          </w:p>
        </w:tc>
        <w:tc>
          <w:tcPr>
            <w:tcW w:w="0" w:type="auto"/>
            <w:tcBorders>
              <w:top w:val="nil"/>
              <w:left w:val="nil"/>
              <w:bottom w:val="single" w:sz="4" w:space="0" w:color="auto"/>
              <w:right w:val="single" w:sz="4" w:space="0" w:color="auto"/>
            </w:tcBorders>
            <w:shd w:val="clear" w:color="auto" w:fill="auto"/>
            <w:noWrap/>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lang w:eastAsia="en-AU"/>
              </w:rPr>
              <w:t>43 (49%)</w:t>
            </w:r>
          </w:p>
        </w:tc>
        <w:tc>
          <w:tcPr>
            <w:tcW w:w="1390"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lang w:eastAsia="en-AU"/>
              </w:rPr>
              <w:t>65</w:t>
            </w:r>
            <w:r w:rsidRPr="00085B06">
              <w:rPr>
                <w:lang w:eastAsia="en-AU"/>
              </w:rPr>
              <w:t xml:space="preserve"> (7</w:t>
            </w:r>
            <w:r>
              <w:rPr>
                <w:lang w:eastAsia="en-AU"/>
              </w:rPr>
              <w:t>5</w:t>
            </w:r>
            <w:r w:rsidRPr="00085B06">
              <w:rPr>
                <w:lang w:eastAsia="en-AU"/>
              </w:rPr>
              <w:t>%)</w:t>
            </w:r>
          </w:p>
        </w:tc>
        <w:tc>
          <w:tcPr>
            <w:tcW w:w="1297"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lang w:eastAsia="en-AU"/>
              </w:rPr>
              <w:t>56</w:t>
            </w:r>
            <w:r w:rsidRPr="00085B06">
              <w:rPr>
                <w:lang w:eastAsia="en-AU"/>
              </w:rPr>
              <w:t xml:space="preserve"> (6</w:t>
            </w:r>
            <w:r>
              <w:rPr>
                <w:lang w:eastAsia="en-AU"/>
              </w:rPr>
              <w:t>4</w:t>
            </w:r>
            <w:r w:rsidRPr="00085B06">
              <w:rPr>
                <w:lang w:eastAsia="en-AU"/>
              </w:rPr>
              <w:t>%)</w:t>
            </w:r>
          </w:p>
        </w:tc>
        <w:tc>
          <w:tcPr>
            <w:tcW w:w="1040"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$11 197</w:t>
            </w:r>
          </w:p>
        </w:tc>
        <w:tc>
          <w:tcPr>
            <w:tcW w:w="1040"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27</w:t>
            </w:r>
          </w:p>
        </w:tc>
        <w:tc>
          <w:tcPr>
            <w:tcW w:w="1124"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18</w:t>
            </w:r>
          </w:p>
        </w:tc>
      </w:tr>
      <w:tr w:rsidR="00073D23" w:rsidRPr="007F1CF3" w:rsidTr="00073D23">
        <w:trPr>
          <w:trHeight w:val="288"/>
          <w:tblHeader/>
        </w:trPr>
        <w:tc>
          <w:tcPr>
            <w:tcW w:w="1013" w:type="dxa"/>
            <w:tcBorders>
              <w:top w:val="nil"/>
              <w:left w:val="single" w:sz="4" w:space="0" w:color="auto"/>
              <w:bottom w:val="single" w:sz="4" w:space="0" w:color="auto"/>
              <w:right w:val="single" w:sz="4" w:space="0" w:color="auto"/>
            </w:tcBorders>
            <w:shd w:val="clear" w:color="auto" w:fill="auto"/>
            <w:noWrap/>
            <w:vAlign w:val="bottom"/>
          </w:tcPr>
          <w:p w:rsidR="00270667" w:rsidRDefault="00270667" w:rsidP="00A73E56">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NSW/ACT</w:t>
            </w:r>
          </w:p>
          <w:p w:rsidR="00073D23" w:rsidRPr="00805EDA" w:rsidRDefault="00073D23" w:rsidP="00A73E56">
            <w:pPr>
              <w:spacing w:after="0" w:line="240" w:lineRule="auto"/>
              <w:jc w:val="center"/>
              <w:rPr>
                <w:rFonts w:ascii="Calibri" w:hAnsi="Calibri" w:cs="Times New Roman"/>
                <w:color w:val="000000"/>
                <w:sz w:val="20"/>
                <w:szCs w:val="20"/>
                <w:lang w:eastAsia="en-AU"/>
              </w:rPr>
            </w:pPr>
          </w:p>
        </w:tc>
        <w:tc>
          <w:tcPr>
            <w:tcW w:w="913" w:type="dxa"/>
            <w:tcBorders>
              <w:top w:val="nil"/>
              <w:left w:val="nil"/>
              <w:bottom w:val="single" w:sz="4" w:space="0" w:color="auto"/>
              <w:right w:val="single" w:sz="4" w:space="0" w:color="auto"/>
            </w:tcBorders>
            <w:vAlign w:val="center"/>
          </w:tcPr>
          <w:p w:rsidR="00270667" w:rsidRDefault="00270667" w:rsidP="00073D23">
            <w:pPr>
              <w:spacing w:after="0" w:line="240" w:lineRule="auto"/>
              <w:jc w:val="center"/>
              <w:rPr>
                <w:lang w:eastAsia="en-AU"/>
              </w:rPr>
            </w:pPr>
            <w:r>
              <w:rPr>
                <w:lang w:eastAsia="en-AU"/>
              </w:rPr>
              <w:t>115</w:t>
            </w:r>
          </w:p>
        </w:tc>
        <w:tc>
          <w:tcPr>
            <w:tcW w:w="1053" w:type="dxa"/>
            <w:tcBorders>
              <w:top w:val="nil"/>
              <w:left w:val="single" w:sz="4" w:space="0" w:color="auto"/>
              <w:bottom w:val="single" w:sz="4" w:space="0" w:color="auto"/>
              <w:right w:val="single" w:sz="4" w:space="0" w:color="auto"/>
            </w:tcBorders>
            <w:shd w:val="clear" w:color="auto" w:fill="auto"/>
            <w:noWrap/>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lang w:eastAsia="en-AU"/>
              </w:rPr>
              <w:t>54 (46%)</w:t>
            </w:r>
          </w:p>
        </w:tc>
        <w:tc>
          <w:tcPr>
            <w:tcW w:w="0" w:type="auto"/>
            <w:tcBorders>
              <w:top w:val="nil"/>
              <w:left w:val="nil"/>
              <w:bottom w:val="single" w:sz="4" w:space="0" w:color="auto"/>
              <w:right w:val="single" w:sz="4" w:space="0" w:color="auto"/>
            </w:tcBorders>
            <w:shd w:val="clear" w:color="auto" w:fill="auto"/>
            <w:noWrap/>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lang w:eastAsia="en-AU"/>
              </w:rPr>
              <w:t>62 (54%)</w:t>
            </w:r>
          </w:p>
        </w:tc>
        <w:tc>
          <w:tcPr>
            <w:tcW w:w="1390"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lang w:eastAsia="en-AU"/>
              </w:rPr>
              <w:t>90</w:t>
            </w:r>
            <w:r w:rsidRPr="00085B06">
              <w:rPr>
                <w:lang w:eastAsia="en-AU"/>
              </w:rPr>
              <w:t xml:space="preserve"> (78%)</w:t>
            </w:r>
          </w:p>
        </w:tc>
        <w:tc>
          <w:tcPr>
            <w:tcW w:w="1297"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lang w:eastAsia="en-AU"/>
              </w:rPr>
              <w:t>75</w:t>
            </w:r>
            <w:r w:rsidRPr="00085B06">
              <w:rPr>
                <w:lang w:eastAsia="en-AU"/>
              </w:rPr>
              <w:t xml:space="preserve"> (6</w:t>
            </w:r>
            <w:r>
              <w:rPr>
                <w:lang w:eastAsia="en-AU"/>
              </w:rPr>
              <w:t>5</w:t>
            </w:r>
            <w:r w:rsidRPr="00085B06">
              <w:rPr>
                <w:lang w:eastAsia="en-AU"/>
              </w:rPr>
              <w:t>%)</w:t>
            </w:r>
          </w:p>
        </w:tc>
        <w:tc>
          <w:tcPr>
            <w:tcW w:w="1040"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$36 492</w:t>
            </w:r>
          </w:p>
        </w:tc>
        <w:tc>
          <w:tcPr>
            <w:tcW w:w="1040"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59</w:t>
            </w:r>
          </w:p>
        </w:tc>
        <w:tc>
          <w:tcPr>
            <w:tcW w:w="1124" w:type="dxa"/>
            <w:tcBorders>
              <w:top w:val="nil"/>
              <w:left w:val="nil"/>
              <w:bottom w:val="single" w:sz="4" w:space="0" w:color="auto"/>
              <w:right w:val="single" w:sz="4" w:space="0" w:color="auto"/>
            </w:tcBorders>
            <w:vAlign w:val="center"/>
          </w:tcPr>
          <w:p w:rsidR="00073D23" w:rsidRPr="00805EDA" w:rsidRDefault="00073D23" w:rsidP="00A73E56">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22</w:t>
            </w:r>
          </w:p>
        </w:tc>
      </w:tr>
      <w:tr w:rsidR="00073D23" w:rsidRPr="007F1CF3" w:rsidTr="00073D23">
        <w:trPr>
          <w:trHeight w:val="288"/>
          <w:tblHeader/>
        </w:trPr>
        <w:tc>
          <w:tcPr>
            <w:tcW w:w="1013" w:type="dxa"/>
            <w:tcBorders>
              <w:top w:val="nil"/>
              <w:left w:val="single" w:sz="4" w:space="0" w:color="auto"/>
              <w:bottom w:val="single" w:sz="4" w:space="0" w:color="auto"/>
              <w:right w:val="single" w:sz="4" w:space="0" w:color="auto"/>
            </w:tcBorders>
            <w:shd w:val="clear" w:color="auto" w:fill="auto"/>
            <w:noWrap/>
            <w:vAlign w:val="center"/>
          </w:tcPr>
          <w:p w:rsidR="00270667" w:rsidRDefault="00270667" w:rsidP="00073D23">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VIC</w:t>
            </w:r>
          </w:p>
          <w:p w:rsidR="00073D23" w:rsidRPr="00805EDA" w:rsidRDefault="00073D23" w:rsidP="00073D23">
            <w:pPr>
              <w:spacing w:after="0" w:line="240" w:lineRule="auto"/>
              <w:jc w:val="center"/>
              <w:rPr>
                <w:rFonts w:ascii="Calibri" w:hAnsi="Calibri" w:cs="Times New Roman"/>
                <w:color w:val="000000"/>
                <w:sz w:val="20"/>
                <w:szCs w:val="20"/>
                <w:lang w:eastAsia="en-AU"/>
              </w:rPr>
            </w:pPr>
          </w:p>
        </w:tc>
        <w:tc>
          <w:tcPr>
            <w:tcW w:w="913"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124</w:t>
            </w:r>
          </w:p>
        </w:tc>
        <w:tc>
          <w:tcPr>
            <w:tcW w:w="1053" w:type="dxa"/>
            <w:tcBorders>
              <w:top w:val="nil"/>
              <w:left w:val="single" w:sz="4" w:space="0" w:color="auto"/>
              <w:bottom w:val="single" w:sz="4" w:space="0" w:color="auto"/>
              <w:right w:val="single" w:sz="4" w:space="0" w:color="auto"/>
            </w:tcBorders>
            <w:shd w:val="clear" w:color="auto" w:fill="auto"/>
            <w:noWrap/>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lang w:eastAsia="en-AU"/>
              </w:rPr>
              <w:t>67</w:t>
            </w:r>
            <w:r w:rsidRPr="00085B06">
              <w:rPr>
                <w:lang w:eastAsia="en-AU"/>
              </w:rPr>
              <w:t xml:space="preserve"> (</w:t>
            </w:r>
            <w:r>
              <w:rPr>
                <w:lang w:eastAsia="en-AU"/>
              </w:rPr>
              <w:t>54</w:t>
            </w:r>
            <w:r w:rsidRPr="00085B06">
              <w:rPr>
                <w:lang w:eastAsia="en-AU"/>
              </w:rPr>
              <w:t>%)</w:t>
            </w:r>
          </w:p>
        </w:tc>
        <w:tc>
          <w:tcPr>
            <w:tcW w:w="0" w:type="auto"/>
            <w:tcBorders>
              <w:top w:val="nil"/>
              <w:left w:val="nil"/>
              <w:bottom w:val="single" w:sz="4" w:space="0" w:color="auto"/>
              <w:right w:val="single" w:sz="4" w:space="0" w:color="auto"/>
            </w:tcBorders>
            <w:shd w:val="clear" w:color="auto" w:fill="auto"/>
            <w:noWrap/>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lang w:eastAsia="en-AU"/>
              </w:rPr>
              <w:t>57 (46%)</w:t>
            </w:r>
          </w:p>
        </w:tc>
        <w:tc>
          <w:tcPr>
            <w:tcW w:w="1390"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lang w:eastAsia="en-AU"/>
              </w:rPr>
              <w:t>95</w:t>
            </w:r>
            <w:r w:rsidRPr="00085B06">
              <w:rPr>
                <w:lang w:eastAsia="en-AU"/>
              </w:rPr>
              <w:t xml:space="preserve"> (7</w:t>
            </w:r>
            <w:r>
              <w:rPr>
                <w:lang w:eastAsia="en-AU"/>
              </w:rPr>
              <w:t>7</w:t>
            </w:r>
            <w:r w:rsidRPr="00085B06">
              <w:rPr>
                <w:lang w:eastAsia="en-AU"/>
              </w:rPr>
              <w:t>%)</w:t>
            </w:r>
          </w:p>
        </w:tc>
        <w:tc>
          <w:tcPr>
            <w:tcW w:w="1297"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lang w:eastAsia="en-AU"/>
              </w:rPr>
              <w:t>86</w:t>
            </w:r>
            <w:r w:rsidRPr="00085B06">
              <w:rPr>
                <w:lang w:eastAsia="en-AU"/>
              </w:rPr>
              <w:t xml:space="preserve"> (6</w:t>
            </w:r>
            <w:r>
              <w:rPr>
                <w:lang w:eastAsia="en-AU"/>
              </w:rPr>
              <w:t>9</w:t>
            </w:r>
            <w:r w:rsidRPr="00085B06">
              <w:rPr>
                <w:lang w:eastAsia="en-AU"/>
              </w:rPr>
              <w:t>%)</w:t>
            </w:r>
          </w:p>
        </w:tc>
        <w:tc>
          <w:tcPr>
            <w:tcW w:w="1040"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$32 251</w:t>
            </w:r>
          </w:p>
        </w:tc>
        <w:tc>
          <w:tcPr>
            <w:tcW w:w="1040"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45</w:t>
            </w:r>
          </w:p>
        </w:tc>
        <w:tc>
          <w:tcPr>
            <w:tcW w:w="1124" w:type="dxa"/>
            <w:tcBorders>
              <w:top w:val="nil"/>
              <w:left w:val="nil"/>
              <w:bottom w:val="single" w:sz="4" w:space="0" w:color="auto"/>
              <w:right w:val="single" w:sz="4" w:space="0" w:color="auto"/>
            </w:tcBorders>
            <w:vAlign w:val="center"/>
          </w:tcPr>
          <w:p w:rsidR="00073D23" w:rsidRPr="00805EDA" w:rsidRDefault="00073D23" w:rsidP="00A73E56">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25</w:t>
            </w:r>
          </w:p>
        </w:tc>
      </w:tr>
      <w:tr w:rsidR="00073D23" w:rsidRPr="007F1CF3" w:rsidTr="00073D23">
        <w:trPr>
          <w:trHeight w:val="288"/>
          <w:tblHeader/>
        </w:trPr>
        <w:tc>
          <w:tcPr>
            <w:tcW w:w="1013" w:type="dxa"/>
            <w:tcBorders>
              <w:top w:val="nil"/>
              <w:left w:val="single" w:sz="4" w:space="0" w:color="auto"/>
              <w:bottom w:val="single" w:sz="4" w:space="0" w:color="auto"/>
              <w:right w:val="single" w:sz="4" w:space="0" w:color="auto"/>
            </w:tcBorders>
            <w:shd w:val="clear" w:color="auto" w:fill="auto"/>
            <w:noWrap/>
            <w:vAlign w:val="center"/>
          </w:tcPr>
          <w:p w:rsidR="00270667" w:rsidRDefault="00270667" w:rsidP="00073D23">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SA/NT</w:t>
            </w:r>
          </w:p>
          <w:p w:rsidR="00073D23" w:rsidRPr="00805EDA" w:rsidRDefault="00073D23" w:rsidP="00073D23">
            <w:pPr>
              <w:spacing w:after="0" w:line="240" w:lineRule="auto"/>
              <w:jc w:val="center"/>
              <w:rPr>
                <w:rFonts w:ascii="Calibri" w:hAnsi="Calibri" w:cs="Times New Roman"/>
                <w:color w:val="000000"/>
                <w:sz w:val="20"/>
                <w:szCs w:val="20"/>
                <w:lang w:eastAsia="en-AU"/>
              </w:rPr>
            </w:pPr>
          </w:p>
        </w:tc>
        <w:tc>
          <w:tcPr>
            <w:tcW w:w="913" w:type="dxa"/>
            <w:tcBorders>
              <w:top w:val="nil"/>
              <w:left w:val="nil"/>
              <w:bottom w:val="single" w:sz="4" w:space="0" w:color="auto"/>
              <w:right w:val="single" w:sz="4" w:space="0" w:color="auto"/>
            </w:tcBorders>
            <w:vAlign w:val="center"/>
          </w:tcPr>
          <w:p w:rsidR="00270667" w:rsidRDefault="00270667" w:rsidP="00073D23">
            <w:pPr>
              <w:spacing w:after="0" w:line="240" w:lineRule="auto"/>
              <w:jc w:val="center"/>
              <w:rPr>
                <w:lang w:eastAsia="en-AU"/>
              </w:rPr>
            </w:pPr>
            <w:r>
              <w:rPr>
                <w:lang w:eastAsia="en-AU"/>
              </w:rPr>
              <w:t>25</w:t>
            </w:r>
          </w:p>
        </w:tc>
        <w:tc>
          <w:tcPr>
            <w:tcW w:w="1053" w:type="dxa"/>
            <w:tcBorders>
              <w:top w:val="nil"/>
              <w:left w:val="single" w:sz="4" w:space="0" w:color="auto"/>
              <w:bottom w:val="single" w:sz="4" w:space="0" w:color="auto"/>
              <w:right w:val="single" w:sz="4" w:space="0" w:color="auto"/>
            </w:tcBorders>
            <w:shd w:val="clear" w:color="auto" w:fill="auto"/>
            <w:noWrap/>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lang w:eastAsia="en-AU"/>
              </w:rPr>
              <w:t>17</w:t>
            </w:r>
            <w:r w:rsidRPr="00085B06">
              <w:rPr>
                <w:lang w:eastAsia="en-AU"/>
              </w:rPr>
              <w:t xml:space="preserve"> (</w:t>
            </w:r>
            <w:r>
              <w:rPr>
                <w:lang w:eastAsia="en-AU"/>
              </w:rPr>
              <w:t>68</w:t>
            </w:r>
            <w:r w:rsidRPr="00085B06">
              <w:rPr>
                <w:lang w:eastAsia="en-AU"/>
              </w:rPr>
              <w:t>%)</w:t>
            </w:r>
          </w:p>
        </w:tc>
        <w:tc>
          <w:tcPr>
            <w:tcW w:w="0" w:type="auto"/>
            <w:tcBorders>
              <w:top w:val="nil"/>
              <w:left w:val="nil"/>
              <w:bottom w:val="single" w:sz="4" w:space="0" w:color="auto"/>
              <w:right w:val="single" w:sz="4" w:space="0" w:color="auto"/>
            </w:tcBorders>
            <w:shd w:val="clear" w:color="auto" w:fill="auto"/>
            <w:noWrap/>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lang w:eastAsia="en-AU"/>
              </w:rPr>
              <w:t>8 (32%)</w:t>
            </w:r>
          </w:p>
        </w:tc>
        <w:tc>
          <w:tcPr>
            <w:tcW w:w="1390"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lang w:eastAsia="en-AU"/>
              </w:rPr>
              <w:t>22</w:t>
            </w:r>
            <w:r w:rsidRPr="00085B06">
              <w:rPr>
                <w:lang w:eastAsia="en-AU"/>
              </w:rPr>
              <w:t xml:space="preserve"> (</w:t>
            </w:r>
            <w:r>
              <w:rPr>
                <w:lang w:eastAsia="en-AU"/>
              </w:rPr>
              <w:t>8</w:t>
            </w:r>
            <w:r w:rsidRPr="00085B06">
              <w:rPr>
                <w:lang w:eastAsia="en-AU"/>
              </w:rPr>
              <w:t>8%)</w:t>
            </w:r>
          </w:p>
        </w:tc>
        <w:tc>
          <w:tcPr>
            <w:tcW w:w="1297"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lang w:eastAsia="en-AU"/>
              </w:rPr>
              <w:t>19</w:t>
            </w:r>
            <w:r w:rsidRPr="00085B06">
              <w:rPr>
                <w:lang w:eastAsia="en-AU"/>
              </w:rPr>
              <w:t xml:space="preserve"> (</w:t>
            </w:r>
            <w:r>
              <w:rPr>
                <w:lang w:eastAsia="en-AU"/>
              </w:rPr>
              <w:t>76</w:t>
            </w:r>
            <w:r w:rsidRPr="00085B06">
              <w:rPr>
                <w:lang w:eastAsia="en-AU"/>
              </w:rPr>
              <w:t>%)</w:t>
            </w:r>
          </w:p>
        </w:tc>
        <w:tc>
          <w:tcPr>
            <w:tcW w:w="1040"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$4 510</w:t>
            </w:r>
          </w:p>
        </w:tc>
        <w:tc>
          <w:tcPr>
            <w:tcW w:w="1040"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6</w:t>
            </w:r>
          </w:p>
        </w:tc>
        <w:tc>
          <w:tcPr>
            <w:tcW w:w="1124" w:type="dxa"/>
            <w:tcBorders>
              <w:top w:val="nil"/>
              <w:left w:val="nil"/>
              <w:bottom w:val="single" w:sz="4" w:space="0" w:color="auto"/>
              <w:right w:val="single" w:sz="4" w:space="0" w:color="auto"/>
            </w:tcBorders>
            <w:vAlign w:val="center"/>
          </w:tcPr>
          <w:p w:rsidR="00073D23" w:rsidRPr="00805EDA" w:rsidRDefault="00073D23" w:rsidP="00A73E56">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2</w:t>
            </w:r>
          </w:p>
        </w:tc>
      </w:tr>
      <w:tr w:rsidR="00073D23" w:rsidRPr="007F1CF3" w:rsidTr="00073D23">
        <w:trPr>
          <w:trHeight w:val="288"/>
          <w:tblHeader/>
        </w:trPr>
        <w:tc>
          <w:tcPr>
            <w:tcW w:w="1013" w:type="dxa"/>
            <w:tcBorders>
              <w:top w:val="nil"/>
              <w:left w:val="single" w:sz="4" w:space="0" w:color="auto"/>
              <w:bottom w:val="single" w:sz="4" w:space="0" w:color="auto"/>
              <w:right w:val="single" w:sz="4" w:space="0" w:color="auto"/>
            </w:tcBorders>
            <w:shd w:val="clear" w:color="auto" w:fill="auto"/>
            <w:noWrap/>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TAS*</w:t>
            </w:r>
          </w:p>
        </w:tc>
        <w:tc>
          <w:tcPr>
            <w:tcW w:w="913"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8</w:t>
            </w:r>
          </w:p>
        </w:tc>
        <w:tc>
          <w:tcPr>
            <w:tcW w:w="1053" w:type="dxa"/>
            <w:tcBorders>
              <w:top w:val="nil"/>
              <w:left w:val="single" w:sz="4" w:space="0" w:color="auto"/>
              <w:bottom w:val="single" w:sz="4" w:space="0" w:color="auto"/>
              <w:right w:val="single" w:sz="4" w:space="0" w:color="auto"/>
            </w:tcBorders>
            <w:shd w:val="clear" w:color="auto" w:fill="auto"/>
            <w:noWrap/>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lang w:eastAsia="en-AU"/>
              </w:rPr>
              <w:t>4</w:t>
            </w:r>
            <w:r w:rsidRPr="00085B06">
              <w:rPr>
                <w:lang w:eastAsia="en-AU"/>
              </w:rPr>
              <w:t xml:space="preserve"> (</w:t>
            </w:r>
            <w:r>
              <w:rPr>
                <w:lang w:eastAsia="en-AU"/>
              </w:rPr>
              <w:t>50</w:t>
            </w:r>
            <w:r w:rsidRPr="00085B06">
              <w:rPr>
                <w:lang w:eastAsia="en-AU"/>
              </w:rPr>
              <w:t>%)</w:t>
            </w:r>
          </w:p>
        </w:tc>
        <w:tc>
          <w:tcPr>
            <w:tcW w:w="0" w:type="auto"/>
            <w:tcBorders>
              <w:top w:val="nil"/>
              <w:left w:val="nil"/>
              <w:bottom w:val="single" w:sz="4" w:space="0" w:color="auto"/>
              <w:right w:val="single" w:sz="4" w:space="0" w:color="auto"/>
            </w:tcBorders>
            <w:shd w:val="clear" w:color="auto" w:fill="auto"/>
            <w:noWrap/>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lang w:eastAsia="en-AU"/>
              </w:rPr>
              <w:t>4 (50%)</w:t>
            </w:r>
          </w:p>
        </w:tc>
        <w:tc>
          <w:tcPr>
            <w:tcW w:w="1390"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lang w:eastAsia="en-AU"/>
              </w:rPr>
              <w:t xml:space="preserve">7 </w:t>
            </w:r>
            <w:r w:rsidRPr="00085B06">
              <w:rPr>
                <w:lang w:eastAsia="en-AU"/>
              </w:rPr>
              <w:t>(</w:t>
            </w:r>
            <w:r>
              <w:rPr>
                <w:lang w:eastAsia="en-AU"/>
              </w:rPr>
              <w:t>88</w:t>
            </w:r>
            <w:r w:rsidRPr="00085B06">
              <w:rPr>
                <w:lang w:eastAsia="en-AU"/>
              </w:rPr>
              <w:t>%)</w:t>
            </w:r>
          </w:p>
        </w:tc>
        <w:tc>
          <w:tcPr>
            <w:tcW w:w="1297"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lang w:eastAsia="en-AU"/>
              </w:rPr>
              <w:t>5</w:t>
            </w:r>
            <w:r w:rsidRPr="00085B06">
              <w:rPr>
                <w:lang w:eastAsia="en-AU"/>
              </w:rPr>
              <w:t xml:space="preserve"> (</w:t>
            </w:r>
            <w:r>
              <w:rPr>
                <w:lang w:eastAsia="en-AU"/>
              </w:rPr>
              <w:t>63</w:t>
            </w:r>
            <w:r w:rsidRPr="00085B06">
              <w:rPr>
                <w:lang w:eastAsia="en-AU"/>
              </w:rPr>
              <w:t>%)</w:t>
            </w:r>
          </w:p>
        </w:tc>
        <w:tc>
          <w:tcPr>
            <w:tcW w:w="1040"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w:t>
            </w:r>
          </w:p>
        </w:tc>
        <w:tc>
          <w:tcPr>
            <w:tcW w:w="1040"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w:t>
            </w:r>
          </w:p>
        </w:tc>
        <w:tc>
          <w:tcPr>
            <w:tcW w:w="1124" w:type="dxa"/>
            <w:tcBorders>
              <w:top w:val="nil"/>
              <w:left w:val="nil"/>
              <w:bottom w:val="single" w:sz="4" w:space="0" w:color="auto"/>
              <w:right w:val="single" w:sz="4" w:space="0" w:color="auto"/>
            </w:tcBorders>
            <w:vAlign w:val="center"/>
          </w:tcPr>
          <w:p w:rsidR="00270667" w:rsidRDefault="00270667" w:rsidP="00073D23">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w:t>
            </w:r>
          </w:p>
          <w:p w:rsidR="00073D23" w:rsidRPr="00805EDA" w:rsidRDefault="00073D23" w:rsidP="00073D23">
            <w:pPr>
              <w:spacing w:after="0" w:line="240" w:lineRule="auto"/>
              <w:jc w:val="center"/>
              <w:rPr>
                <w:rFonts w:ascii="Calibri" w:hAnsi="Calibri" w:cs="Times New Roman"/>
                <w:color w:val="000000"/>
                <w:sz w:val="20"/>
                <w:szCs w:val="20"/>
                <w:lang w:eastAsia="en-AU"/>
              </w:rPr>
            </w:pPr>
          </w:p>
        </w:tc>
      </w:tr>
      <w:tr w:rsidR="00073D23" w:rsidRPr="007F1CF3" w:rsidTr="00F13832">
        <w:trPr>
          <w:trHeight w:val="352"/>
          <w:tblHeader/>
        </w:trPr>
        <w:tc>
          <w:tcPr>
            <w:tcW w:w="1013" w:type="dxa"/>
            <w:tcBorders>
              <w:top w:val="nil"/>
              <w:left w:val="single" w:sz="4" w:space="0" w:color="auto"/>
              <w:bottom w:val="single" w:sz="4" w:space="0" w:color="auto"/>
              <w:right w:val="single" w:sz="4" w:space="0" w:color="auto"/>
            </w:tcBorders>
            <w:shd w:val="clear" w:color="auto" w:fill="auto"/>
            <w:noWrap/>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WA</w:t>
            </w:r>
          </w:p>
        </w:tc>
        <w:tc>
          <w:tcPr>
            <w:tcW w:w="913"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11</w:t>
            </w:r>
          </w:p>
        </w:tc>
        <w:tc>
          <w:tcPr>
            <w:tcW w:w="1053" w:type="dxa"/>
            <w:tcBorders>
              <w:top w:val="nil"/>
              <w:left w:val="single" w:sz="4" w:space="0" w:color="auto"/>
              <w:bottom w:val="single" w:sz="4" w:space="0" w:color="auto"/>
              <w:right w:val="single" w:sz="4" w:space="0" w:color="auto"/>
            </w:tcBorders>
            <w:shd w:val="clear" w:color="auto" w:fill="auto"/>
            <w:noWrap/>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lang w:eastAsia="en-AU"/>
              </w:rPr>
              <w:t>7</w:t>
            </w:r>
            <w:r w:rsidRPr="00085B06">
              <w:rPr>
                <w:lang w:eastAsia="en-AU"/>
              </w:rPr>
              <w:t xml:space="preserve"> (</w:t>
            </w:r>
            <w:r>
              <w:rPr>
                <w:lang w:eastAsia="en-AU"/>
              </w:rPr>
              <w:t>64</w:t>
            </w:r>
            <w:r w:rsidRPr="00085B06">
              <w:rPr>
                <w:lang w:eastAsia="en-AU"/>
              </w:rPr>
              <w:t>%)</w:t>
            </w:r>
          </w:p>
        </w:tc>
        <w:tc>
          <w:tcPr>
            <w:tcW w:w="0" w:type="auto"/>
            <w:tcBorders>
              <w:top w:val="nil"/>
              <w:left w:val="nil"/>
              <w:bottom w:val="single" w:sz="4" w:space="0" w:color="auto"/>
              <w:right w:val="single" w:sz="4" w:space="0" w:color="auto"/>
            </w:tcBorders>
            <w:shd w:val="clear" w:color="auto" w:fill="auto"/>
            <w:noWrap/>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lang w:eastAsia="en-AU"/>
              </w:rPr>
              <w:t>4 (36%)</w:t>
            </w:r>
          </w:p>
        </w:tc>
        <w:tc>
          <w:tcPr>
            <w:tcW w:w="1390"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lang w:eastAsia="en-AU"/>
              </w:rPr>
              <w:t>9</w:t>
            </w:r>
            <w:r w:rsidRPr="00085B06">
              <w:rPr>
                <w:lang w:eastAsia="en-AU"/>
              </w:rPr>
              <w:t xml:space="preserve"> (</w:t>
            </w:r>
            <w:r>
              <w:rPr>
                <w:lang w:eastAsia="en-AU"/>
              </w:rPr>
              <w:t>82</w:t>
            </w:r>
            <w:r w:rsidRPr="00085B06">
              <w:rPr>
                <w:lang w:eastAsia="en-AU"/>
              </w:rPr>
              <w:t>%)</w:t>
            </w:r>
          </w:p>
        </w:tc>
        <w:tc>
          <w:tcPr>
            <w:tcW w:w="1297"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lang w:eastAsia="en-AU"/>
              </w:rPr>
              <w:t>7</w:t>
            </w:r>
            <w:r w:rsidRPr="00085B06">
              <w:rPr>
                <w:lang w:eastAsia="en-AU"/>
              </w:rPr>
              <w:t xml:space="preserve"> (</w:t>
            </w:r>
            <w:r>
              <w:rPr>
                <w:lang w:eastAsia="en-AU"/>
              </w:rPr>
              <w:t>64</w:t>
            </w:r>
            <w:r w:rsidRPr="00085B06">
              <w:rPr>
                <w:lang w:eastAsia="en-AU"/>
              </w:rPr>
              <w:t>%)</w:t>
            </w:r>
          </w:p>
        </w:tc>
        <w:tc>
          <w:tcPr>
            <w:tcW w:w="1040"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$397</w:t>
            </w:r>
          </w:p>
        </w:tc>
        <w:tc>
          <w:tcPr>
            <w:tcW w:w="1040" w:type="dxa"/>
            <w:tcBorders>
              <w:top w:val="nil"/>
              <w:left w:val="nil"/>
              <w:bottom w:val="single" w:sz="4" w:space="0" w:color="auto"/>
              <w:right w:val="single" w:sz="4" w:space="0" w:color="auto"/>
            </w:tcBorders>
            <w:vAlign w:val="center"/>
          </w:tcPr>
          <w:p w:rsidR="00270667" w:rsidRPr="00805EDA" w:rsidRDefault="00270667" w:rsidP="00073D23">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1</w:t>
            </w:r>
          </w:p>
        </w:tc>
        <w:tc>
          <w:tcPr>
            <w:tcW w:w="1124" w:type="dxa"/>
            <w:tcBorders>
              <w:top w:val="nil"/>
              <w:left w:val="nil"/>
              <w:bottom w:val="single" w:sz="4" w:space="0" w:color="auto"/>
              <w:right w:val="single" w:sz="4" w:space="0" w:color="auto"/>
            </w:tcBorders>
            <w:vAlign w:val="center"/>
          </w:tcPr>
          <w:p w:rsidR="00073D23" w:rsidRPr="00805EDA" w:rsidRDefault="00F13832" w:rsidP="00F13832">
            <w:pPr>
              <w:spacing w:after="0" w:line="240" w:lineRule="auto"/>
              <w:jc w:val="center"/>
              <w:rPr>
                <w:rFonts w:ascii="Calibri" w:hAnsi="Calibri" w:cs="Times New Roman"/>
                <w:color w:val="000000"/>
                <w:sz w:val="20"/>
                <w:szCs w:val="20"/>
                <w:lang w:eastAsia="en-AU"/>
              </w:rPr>
            </w:pPr>
            <w:r>
              <w:rPr>
                <w:rFonts w:ascii="Calibri" w:hAnsi="Calibri" w:cs="Times New Roman"/>
                <w:color w:val="000000"/>
                <w:sz w:val="20"/>
                <w:szCs w:val="20"/>
                <w:lang w:eastAsia="en-AU"/>
              </w:rPr>
              <w:t>1</w:t>
            </w:r>
          </w:p>
        </w:tc>
      </w:tr>
    </w:tbl>
    <w:p w:rsidR="00270667" w:rsidRDefault="00270667" w:rsidP="007B6788">
      <w:pPr>
        <w:pStyle w:val="Heading3"/>
      </w:pPr>
      <w:r>
        <w:t xml:space="preserve"> </w:t>
      </w:r>
    </w:p>
    <w:p w:rsidR="00B124E5" w:rsidRPr="00DE0932" w:rsidRDefault="00270667" w:rsidP="00073D23">
      <w:pPr>
        <w:pStyle w:val="Bullet"/>
        <w:ind w:left="-142"/>
        <w:rPr>
          <w:lang w:eastAsia="en-AU"/>
        </w:rPr>
      </w:pPr>
      <w:r w:rsidRPr="00073D23">
        <w:t xml:space="preserve">*Fair Work Inspectors identified non-compliance with monetary obligations in one audit. However, as the employer failed to keep sufficient records to enable calculations, the FWO was unable to </w:t>
      </w:r>
      <w:r w:rsidR="00BA4AF4">
        <w:t xml:space="preserve">evidence the breaches and </w:t>
      </w:r>
      <w:r w:rsidRPr="00073D23">
        <w:t xml:space="preserve">recover money for the employee on this occasion. </w:t>
      </w:r>
      <w:r w:rsidR="00073D23" w:rsidRPr="00162142">
        <w:t>Fair Work Inspectors</w:t>
      </w:r>
      <w:r w:rsidRPr="00073D23">
        <w:t xml:space="preserve"> issued </w:t>
      </w:r>
      <w:r w:rsidR="00073D23">
        <w:t xml:space="preserve">the employer </w:t>
      </w:r>
      <w:r w:rsidRPr="00073D23">
        <w:t>with a Formal Caution</w:t>
      </w:r>
      <w:r w:rsidR="00073D23">
        <w:t>.</w:t>
      </w:r>
      <w:r w:rsidDel="00270667">
        <w:t xml:space="preserve"> </w:t>
      </w:r>
    </w:p>
    <w:sectPr w:rsidR="00B124E5" w:rsidRPr="00DE0932" w:rsidSect="00806139">
      <w:headerReference w:type="even" r:id="rId16"/>
      <w:headerReference w:type="default" r:id="rId17"/>
      <w:footerReference w:type="even" r:id="rId18"/>
      <w:footerReference w:type="default" r:id="rId19"/>
      <w:headerReference w:type="first" r:id="rId20"/>
      <w:footerReference w:type="first" r:id="rId21"/>
      <w:type w:val="continuous"/>
      <w:pgSz w:w="11907" w:h="16840" w:code="9"/>
      <w:pgMar w:top="993" w:right="992" w:bottom="568" w:left="1276" w:header="0" w:footer="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F666B" w:rsidRDefault="00CF666B" w:rsidP="00AB27F9">
      <w:r>
        <w:separator/>
      </w:r>
    </w:p>
  </w:endnote>
  <w:endnote w:type="continuationSeparator" w:id="0">
    <w:p w:rsidR="00CF666B" w:rsidRDefault="00CF666B" w:rsidP="00AB27F9">
      <w:r>
        <w:continuationSeparator/>
      </w:r>
    </w:p>
  </w:endnote>
  <w:endnote w:type="continuationNotice" w:id="1">
    <w:p w:rsidR="00CF666B" w:rsidRDefault="00CF666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Helvetica">
    <w:panose1 w:val="020B0604020202020204"/>
    <w:charset w:val="00"/>
    <w:family w:val="swiss"/>
    <w:pitch w:val="variable"/>
    <w:sig w:usb0="E0002EFF" w:usb1="C0007843" w:usb2="00000009" w:usb3="00000000" w:csb0="000001FF" w:csb1="00000000"/>
  </w:font>
  <w:font w:name="Fair Work">
    <w:altName w:val="Times New Roman"/>
    <w:panose1 w:val="00000000000000000000"/>
    <w:charset w:val="00"/>
    <w:family w:val="roman"/>
    <w:notTrueType/>
    <w:pitch w:val="variable"/>
    <w:sig w:usb0="00000003" w:usb1="00000000" w:usb2="00000000" w:usb3="00000000" w:csb0="00000001" w:csb1="00000000"/>
  </w:font>
  <w:font w:name="Myriad Pro Light">
    <w:altName w:val="Arial"/>
    <w:panose1 w:val="00000000000000000000"/>
    <w:charset w:val="00"/>
    <w:family w:val="swiss"/>
    <w:notTrueType/>
    <w:pitch w:val="variable"/>
    <w:sig w:usb0="A00002AF" w:usb1="50002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666B" w:rsidRDefault="00CF666B" w:rsidP="00AB27F9">
    <w:r>
      <w:fldChar w:fldCharType="begin"/>
    </w:r>
    <w:r>
      <w:instrText xml:space="preserve">PAGE  </w:instrText>
    </w:r>
    <w:r>
      <w:fldChar w:fldCharType="separate"/>
    </w:r>
    <w:r>
      <w:rPr>
        <w:noProof/>
      </w:rPr>
      <w:t>2</w:t>
    </w:r>
    <w:r>
      <w:fldChar w:fldCharType="end"/>
    </w:r>
  </w:p>
  <w:p w:rsidR="00CF666B" w:rsidRDefault="00CF666B" w:rsidP="00AB27F9"/>
  <w:p w:rsidR="00CF666B" w:rsidRDefault="00CF666B"/>
  <w:p w:rsidR="00CF666B" w:rsidRDefault="00CF666B"/>
  <w:p w:rsidR="00CF666B" w:rsidRDefault="00CF666B"/>
  <w:p w:rsidR="00CF666B" w:rsidRDefault="00CF666B"/>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666B" w:rsidRPr="00586BE4" w:rsidRDefault="00CF666B">
    <w:pPr>
      <w:pStyle w:val="Footer"/>
      <w:rPr>
        <w:color w:val="808080" w:themeColor="background1" w:themeShade="80"/>
      </w:rPr>
    </w:pPr>
    <w:r>
      <w:tab/>
    </w:r>
    <w:r>
      <w:tab/>
    </w:r>
    <w:sdt>
      <w:sdtPr>
        <w:rPr>
          <w:color w:val="808080" w:themeColor="background1" w:themeShade="80"/>
        </w:rPr>
        <w:id w:val="1134764224"/>
        <w:docPartObj>
          <w:docPartGallery w:val="Page Numbers (Bottom of Page)"/>
          <w:docPartUnique/>
        </w:docPartObj>
      </w:sdtPr>
      <w:sdtEndPr/>
      <w:sdtContent>
        <w:sdt>
          <w:sdtPr>
            <w:rPr>
              <w:color w:val="808080" w:themeColor="background1" w:themeShade="80"/>
            </w:rPr>
            <w:id w:val="-1038192723"/>
            <w:docPartObj>
              <w:docPartGallery w:val="Page Numbers (Top of Page)"/>
              <w:docPartUnique/>
            </w:docPartObj>
          </w:sdtPr>
          <w:sdtEndPr/>
          <w:sdtContent>
            <w:r w:rsidRPr="00586BE4">
              <w:rPr>
                <w:color w:val="808080" w:themeColor="background1" w:themeShade="80"/>
              </w:rPr>
              <w:t xml:space="preserve">Page </w:t>
            </w:r>
            <w:r w:rsidRPr="00586BE4">
              <w:rPr>
                <w:b/>
                <w:bCs/>
                <w:color w:val="808080" w:themeColor="background1" w:themeShade="80"/>
                <w:sz w:val="24"/>
              </w:rPr>
              <w:fldChar w:fldCharType="begin"/>
            </w:r>
            <w:r w:rsidRPr="00586BE4">
              <w:rPr>
                <w:b/>
                <w:bCs/>
                <w:color w:val="808080" w:themeColor="background1" w:themeShade="80"/>
              </w:rPr>
              <w:instrText xml:space="preserve"> PAGE </w:instrText>
            </w:r>
            <w:r w:rsidRPr="00586BE4">
              <w:rPr>
                <w:b/>
                <w:bCs/>
                <w:color w:val="808080" w:themeColor="background1" w:themeShade="80"/>
                <w:sz w:val="24"/>
              </w:rPr>
              <w:fldChar w:fldCharType="separate"/>
            </w:r>
            <w:r w:rsidR="0045395C">
              <w:rPr>
                <w:b/>
                <w:bCs/>
                <w:noProof/>
                <w:color w:val="808080" w:themeColor="background1" w:themeShade="80"/>
              </w:rPr>
              <w:t>21</w:t>
            </w:r>
            <w:r w:rsidRPr="00586BE4">
              <w:rPr>
                <w:b/>
                <w:bCs/>
                <w:color w:val="808080" w:themeColor="background1" w:themeShade="80"/>
                <w:sz w:val="24"/>
              </w:rPr>
              <w:fldChar w:fldCharType="end"/>
            </w:r>
            <w:r w:rsidRPr="00586BE4">
              <w:rPr>
                <w:color w:val="808080" w:themeColor="background1" w:themeShade="80"/>
              </w:rPr>
              <w:t xml:space="preserve"> of </w:t>
            </w:r>
            <w:r w:rsidRPr="00586BE4">
              <w:rPr>
                <w:b/>
                <w:bCs/>
                <w:color w:val="808080" w:themeColor="background1" w:themeShade="80"/>
                <w:sz w:val="24"/>
              </w:rPr>
              <w:fldChar w:fldCharType="begin"/>
            </w:r>
            <w:r w:rsidRPr="00586BE4">
              <w:rPr>
                <w:b/>
                <w:bCs/>
                <w:color w:val="808080" w:themeColor="background1" w:themeShade="80"/>
              </w:rPr>
              <w:instrText xml:space="preserve"> NUMPAGES  </w:instrText>
            </w:r>
            <w:r w:rsidRPr="00586BE4">
              <w:rPr>
                <w:b/>
                <w:bCs/>
                <w:color w:val="808080" w:themeColor="background1" w:themeShade="80"/>
                <w:sz w:val="24"/>
              </w:rPr>
              <w:fldChar w:fldCharType="separate"/>
            </w:r>
            <w:r w:rsidR="0045395C">
              <w:rPr>
                <w:b/>
                <w:bCs/>
                <w:noProof/>
                <w:color w:val="808080" w:themeColor="background1" w:themeShade="80"/>
              </w:rPr>
              <w:t>21</w:t>
            </w:r>
            <w:r w:rsidRPr="00586BE4">
              <w:rPr>
                <w:b/>
                <w:bCs/>
                <w:color w:val="808080" w:themeColor="background1" w:themeShade="80"/>
                <w:sz w:val="24"/>
              </w:rPr>
              <w:fldChar w:fldCharType="end"/>
            </w:r>
          </w:sdtContent>
        </w:sdt>
      </w:sdtContent>
    </w:sdt>
  </w:p>
  <w:p w:rsidR="00CF666B" w:rsidRDefault="00CF666B" w:rsidP="008230BF">
    <w:pPr>
      <w:tabs>
        <w:tab w:val="left" w:pos="4153"/>
      </w:tabs>
    </w:pPr>
    <w:r>
      <w:tab/>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666B" w:rsidRDefault="0045395C">
    <w:pPr>
      <w:pStyle w:val="Footer"/>
      <w:jc w:val="right"/>
    </w:pPr>
    <w:r>
      <w:fldChar w:fldCharType="begin"/>
    </w:r>
    <w:r>
      <w:instrText xml:space="preserve"> DOCPROPERTY "mvRef" \* MERGEFORMAT </w:instrText>
    </w:r>
    <w:r>
      <w:fldChar w:fldCharType="separate"/>
    </w:r>
    <w:r w:rsidR="00CF666B">
      <w:t>Campaign Reports</w:t>
    </w:r>
    <w:proofErr w:type="gramStart"/>
    <w:r w:rsidR="00CF666B">
      <w:t>:DB</w:t>
    </w:r>
    <w:proofErr w:type="gramEnd"/>
    <w:r w:rsidR="00CF666B">
      <w:t>-1060182/1.0</w:t>
    </w:r>
    <w:r>
      <w:fldChar w:fldCharType="end"/>
    </w:r>
    <w:sdt>
      <w:sdtPr>
        <w:id w:val="-1694605591"/>
        <w:docPartObj>
          <w:docPartGallery w:val="Page Numbers (Bottom of Page)"/>
          <w:docPartUnique/>
        </w:docPartObj>
      </w:sdtPr>
      <w:sdtEndPr>
        <w:rPr>
          <w:noProof/>
        </w:rPr>
      </w:sdtEndPr>
      <w:sdtContent>
        <w:r w:rsidR="00CF666B">
          <w:fldChar w:fldCharType="begin"/>
        </w:r>
        <w:r w:rsidR="00CF666B">
          <w:instrText xml:space="preserve"> PAGE   \* MERGEFORMAT </w:instrText>
        </w:r>
        <w:r w:rsidR="00CF666B">
          <w:fldChar w:fldCharType="separate"/>
        </w:r>
        <w:r>
          <w:rPr>
            <w:noProof/>
          </w:rPr>
          <w:t>1</w:t>
        </w:r>
        <w:r w:rsidR="00CF666B">
          <w:rPr>
            <w:noProof/>
          </w:rPr>
          <w:fldChar w:fldCharType="end"/>
        </w:r>
      </w:sdtContent>
    </w:sdt>
  </w:p>
  <w:p w:rsidR="00CF666B" w:rsidRDefault="00CF666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F666B" w:rsidRDefault="00CF666B" w:rsidP="00AB27F9">
      <w:r>
        <w:separator/>
      </w:r>
    </w:p>
  </w:footnote>
  <w:footnote w:type="continuationSeparator" w:id="0">
    <w:p w:rsidR="00CF666B" w:rsidRDefault="00CF666B" w:rsidP="00AB27F9">
      <w:r>
        <w:continuationSeparator/>
      </w:r>
    </w:p>
  </w:footnote>
  <w:footnote w:type="continuationNotice" w:id="1">
    <w:p w:rsidR="00CF666B" w:rsidRDefault="00CF666B">
      <w:pPr>
        <w:spacing w:after="0" w:line="240" w:lineRule="auto"/>
      </w:pPr>
    </w:p>
  </w:footnote>
  <w:footnote w:id="2">
    <w:p w:rsidR="00CF666B" w:rsidRPr="007024BD" w:rsidRDefault="00CF666B" w:rsidP="00686801">
      <w:pPr>
        <w:spacing w:after="0" w:line="240" w:lineRule="auto"/>
        <w:ind w:right="482"/>
        <w:rPr>
          <w:sz w:val="16"/>
          <w:szCs w:val="16"/>
        </w:rPr>
      </w:pPr>
      <w:r w:rsidRPr="007024BD">
        <w:rPr>
          <w:rStyle w:val="FootnoteReference"/>
          <w:sz w:val="16"/>
          <w:szCs w:val="16"/>
        </w:rPr>
        <w:footnoteRef/>
      </w:r>
      <w:r w:rsidRPr="007024BD">
        <w:rPr>
          <w:sz w:val="16"/>
          <w:szCs w:val="16"/>
        </w:rPr>
        <w:t xml:space="preserve"> </w:t>
      </w:r>
      <w:r>
        <w:rPr>
          <w:sz w:val="16"/>
          <w:szCs w:val="16"/>
        </w:rPr>
        <w:t>Fair Work Ombudsm</w:t>
      </w:r>
      <w:r w:rsidRPr="00C357F2">
        <w:rPr>
          <w:sz w:val="16"/>
          <w:szCs w:val="16"/>
        </w:rPr>
        <w:t xml:space="preserve">an 2017, </w:t>
      </w:r>
      <w:r w:rsidRPr="00C357F2">
        <w:rPr>
          <w:i/>
          <w:sz w:val="16"/>
          <w:szCs w:val="16"/>
        </w:rPr>
        <w:t>Designed</w:t>
      </w:r>
      <w:r w:rsidRPr="00040D37">
        <w:rPr>
          <w:i/>
          <w:sz w:val="16"/>
          <w:szCs w:val="16"/>
        </w:rPr>
        <w:t xml:space="preserve"> to Fit</w:t>
      </w:r>
      <w:r>
        <w:rPr>
          <w:i/>
          <w:sz w:val="16"/>
          <w:szCs w:val="16"/>
        </w:rPr>
        <w:t>:</w:t>
      </w:r>
      <w:r w:rsidRPr="00040D37">
        <w:rPr>
          <w:rFonts w:cstheme="minorHAnsi"/>
          <w:i/>
          <w:sz w:val="16"/>
          <w:szCs w:val="16"/>
        </w:rPr>
        <w:t xml:space="preserve"> </w:t>
      </w:r>
      <w:r w:rsidRPr="00AE7065">
        <w:rPr>
          <w:rFonts w:cstheme="minorHAnsi"/>
          <w:i/>
          <w:sz w:val="16"/>
          <w:szCs w:val="16"/>
        </w:rPr>
        <w:t>Insights and outcomes from the Fair Work Ombudsman’s education phase of the National Textile, Clothing and Footwear Campaign 2015</w:t>
      </w:r>
      <w:r>
        <w:rPr>
          <w:sz w:val="16"/>
          <w:szCs w:val="16"/>
        </w:rPr>
        <w:t>, viewed 3 January 2019, h</w:t>
      </w:r>
      <w:r w:rsidRPr="00054789">
        <w:rPr>
          <w:rFonts w:cstheme="minorHAnsi"/>
          <w:bCs/>
          <w:sz w:val="16"/>
          <w:szCs w:val="16"/>
        </w:rPr>
        <w:t>ttps://www.fairwork.gov.au/ArticleDocuments/557/TCF-campaign-report.docx.aspx</w:t>
      </w:r>
      <w:r>
        <w:rPr>
          <w:sz w:val="16"/>
          <w:szCs w:val="16"/>
        </w:rPr>
        <w:t xml:space="preserve"> </w:t>
      </w:r>
    </w:p>
  </w:footnote>
  <w:footnote w:id="3">
    <w:p w:rsidR="00CF666B" w:rsidRPr="007F6474" w:rsidRDefault="00CF666B" w:rsidP="00747116">
      <w:pPr>
        <w:pStyle w:val="FootnoteText"/>
        <w:spacing w:after="0" w:line="240" w:lineRule="auto"/>
        <w:rPr>
          <w:rFonts w:cstheme="minorHAnsi"/>
          <w:bCs/>
          <w:sz w:val="16"/>
          <w:szCs w:val="16"/>
        </w:rPr>
      </w:pPr>
      <w:r w:rsidRPr="00E24C4C">
        <w:rPr>
          <w:rStyle w:val="FootnoteReference"/>
        </w:rPr>
        <w:footnoteRef/>
      </w:r>
      <w:r w:rsidRPr="00E24C4C">
        <w:rPr>
          <w:rStyle w:val="FootnoteReference"/>
        </w:rPr>
        <w:t xml:space="preserve"> </w:t>
      </w:r>
      <w:r w:rsidRPr="007F6474">
        <w:rPr>
          <w:rFonts w:cstheme="minorHAnsi"/>
          <w:bCs/>
          <w:sz w:val="16"/>
          <w:szCs w:val="16"/>
        </w:rPr>
        <w:t xml:space="preserve">The FWO has conducted several Inquiries into the contracting of trolley collection, transport, cleaning and poultry processing services. Reports on the findings are available on the FWO website </w:t>
      </w:r>
      <w:hyperlink r:id="rId1" w:history="1">
        <w:r w:rsidRPr="007F6474">
          <w:rPr>
            <w:rFonts w:cstheme="minorHAnsi"/>
            <w:bCs/>
            <w:sz w:val="16"/>
            <w:szCs w:val="16"/>
          </w:rPr>
          <w:t>https://www.fairwork.gov.au/about-us/access-accountability-and-reporting/inquiry-reports</w:t>
        </w:r>
      </w:hyperlink>
      <w:r>
        <w:rPr>
          <w:rFonts w:cstheme="minorHAnsi"/>
          <w:bCs/>
          <w:sz w:val="16"/>
          <w:szCs w:val="16"/>
        </w:rPr>
        <w:t xml:space="preserve"> </w:t>
      </w:r>
    </w:p>
  </w:footnote>
  <w:footnote w:id="4">
    <w:p w:rsidR="00CF666B" w:rsidRPr="007F6474" w:rsidRDefault="00CF666B" w:rsidP="00747116">
      <w:pPr>
        <w:pStyle w:val="FootnoteText"/>
        <w:spacing w:after="0" w:line="240" w:lineRule="auto"/>
        <w:rPr>
          <w:rFonts w:cstheme="minorHAnsi"/>
          <w:bCs/>
          <w:sz w:val="16"/>
          <w:szCs w:val="16"/>
        </w:rPr>
      </w:pPr>
      <w:r w:rsidRPr="00E24C4C">
        <w:rPr>
          <w:rStyle w:val="FootnoteReference"/>
        </w:rPr>
        <w:footnoteRef/>
      </w:r>
      <w:r w:rsidRPr="00E24C4C">
        <w:rPr>
          <w:rStyle w:val="FootnoteReference"/>
        </w:rPr>
        <w:t xml:space="preserve"> </w:t>
      </w:r>
      <w:r w:rsidRPr="007F6474">
        <w:rPr>
          <w:rFonts w:cstheme="minorHAnsi"/>
          <w:bCs/>
          <w:sz w:val="16"/>
          <w:szCs w:val="16"/>
        </w:rPr>
        <w:t>F</w:t>
      </w:r>
      <w:r>
        <w:rPr>
          <w:rFonts w:cstheme="minorHAnsi"/>
          <w:bCs/>
          <w:sz w:val="16"/>
          <w:szCs w:val="16"/>
        </w:rPr>
        <w:t>air Work Ombudsman 2013,</w:t>
      </w:r>
      <w:r w:rsidRPr="007F6474">
        <w:rPr>
          <w:rFonts w:cstheme="minorHAnsi"/>
          <w:bCs/>
          <w:sz w:val="16"/>
          <w:szCs w:val="16"/>
        </w:rPr>
        <w:t xml:space="preserve"> </w:t>
      </w:r>
      <w:r w:rsidRPr="007F6474">
        <w:rPr>
          <w:rFonts w:cstheme="minorHAnsi"/>
          <w:bCs/>
          <w:i/>
          <w:sz w:val="16"/>
          <w:szCs w:val="16"/>
        </w:rPr>
        <w:t>Queensland Clothing Manufacturing Audit Program 2011-2012</w:t>
      </w:r>
      <w:r>
        <w:rPr>
          <w:rFonts w:cstheme="minorHAnsi"/>
          <w:bCs/>
          <w:i/>
          <w:sz w:val="16"/>
          <w:szCs w:val="16"/>
        </w:rPr>
        <w:t>:</w:t>
      </w:r>
      <w:r w:rsidRPr="007F6474">
        <w:rPr>
          <w:rFonts w:cstheme="minorHAnsi"/>
          <w:bCs/>
          <w:sz w:val="16"/>
          <w:szCs w:val="16"/>
        </w:rPr>
        <w:t xml:space="preserve"> </w:t>
      </w:r>
      <w:r w:rsidRPr="000D30FA">
        <w:rPr>
          <w:rFonts w:cstheme="minorHAnsi"/>
          <w:bCs/>
          <w:i/>
          <w:sz w:val="16"/>
          <w:szCs w:val="16"/>
        </w:rPr>
        <w:t>final report 2013</w:t>
      </w:r>
      <w:r>
        <w:rPr>
          <w:rFonts w:cstheme="minorHAnsi"/>
          <w:bCs/>
          <w:sz w:val="16"/>
          <w:szCs w:val="16"/>
        </w:rPr>
        <w:t xml:space="preserve">, viewed 3 January 2019, </w:t>
      </w:r>
      <w:hyperlink r:id="rId2" w:history="1">
        <w:r w:rsidRPr="007F6474">
          <w:rPr>
            <w:rFonts w:cstheme="minorHAnsi"/>
            <w:bCs/>
            <w:sz w:val="16"/>
            <w:szCs w:val="16"/>
          </w:rPr>
          <w:t>https://www.fairwork.gov.au/ArticleDocuments/714/QLD-Clothing-Manufacturers-Audit-Program-2011-report.docx.aspx</w:t>
        </w:r>
      </w:hyperlink>
      <w:r>
        <w:rPr>
          <w:rFonts w:cstheme="minorHAnsi"/>
          <w:bCs/>
          <w:sz w:val="16"/>
          <w:szCs w:val="16"/>
        </w:rPr>
        <w:t xml:space="preserve"> </w:t>
      </w:r>
      <w:r>
        <w:rPr>
          <w:rFonts w:eastAsiaTheme="minorHAnsi" w:cstheme="minorHAnsi"/>
          <w:bCs/>
          <w:sz w:val="16"/>
          <w:szCs w:val="16"/>
        </w:rPr>
        <w:t xml:space="preserve"> </w:t>
      </w:r>
    </w:p>
  </w:footnote>
  <w:footnote w:id="5">
    <w:p w:rsidR="00CF666B" w:rsidRDefault="00CF666B" w:rsidP="00E24C4C">
      <w:pPr>
        <w:pStyle w:val="FootnoteText"/>
        <w:spacing w:after="0" w:line="240" w:lineRule="auto"/>
      </w:pPr>
      <w:r>
        <w:rPr>
          <w:rStyle w:val="FootnoteReference"/>
        </w:rPr>
        <w:footnoteRef/>
      </w:r>
      <w:r>
        <w:t xml:space="preserve"> </w:t>
      </w:r>
      <w:r w:rsidRPr="009E3CB0">
        <w:rPr>
          <w:rFonts w:cstheme="minorHAnsi"/>
          <w:bCs/>
          <w:sz w:val="16"/>
          <w:szCs w:val="16"/>
        </w:rPr>
        <w:t xml:space="preserve">The provisions are discussed in detail </w:t>
      </w:r>
      <w:r>
        <w:rPr>
          <w:rFonts w:cstheme="minorHAnsi"/>
          <w:bCs/>
          <w:sz w:val="16"/>
          <w:szCs w:val="16"/>
        </w:rPr>
        <w:t xml:space="preserve">on </w:t>
      </w:r>
      <w:r w:rsidRPr="009E3CB0">
        <w:rPr>
          <w:rFonts w:cstheme="minorHAnsi"/>
          <w:bCs/>
          <w:sz w:val="16"/>
          <w:szCs w:val="16"/>
        </w:rPr>
        <w:t xml:space="preserve">page 13 of this report. </w:t>
      </w:r>
      <w:r w:rsidRPr="005271EC">
        <w:rPr>
          <w:rFonts w:cstheme="minorHAnsi"/>
          <w:bCs/>
          <w:sz w:val="16"/>
          <w:szCs w:val="16"/>
        </w:rPr>
        <w:t>The TCF Award can</w:t>
      </w:r>
      <w:r w:rsidRPr="009E3CB0">
        <w:rPr>
          <w:rFonts w:cstheme="minorHAnsi"/>
          <w:bCs/>
          <w:sz w:val="16"/>
          <w:szCs w:val="16"/>
        </w:rPr>
        <w:t xml:space="preserve"> be accessed on the FWO website at</w:t>
      </w:r>
      <w:r>
        <w:rPr>
          <w:rFonts w:cstheme="minorHAnsi"/>
          <w:bCs/>
          <w:sz w:val="16"/>
          <w:szCs w:val="16"/>
        </w:rPr>
        <w:t xml:space="preserve">: </w:t>
      </w:r>
      <w:r w:rsidRPr="009E3CB0">
        <w:rPr>
          <w:rFonts w:cstheme="minorHAnsi"/>
          <w:bCs/>
          <w:sz w:val="16"/>
          <w:szCs w:val="16"/>
        </w:rPr>
        <w:t>http://awardviewer.fwo.gov.au/award/show/MA000017</w:t>
      </w:r>
      <w:r>
        <w:rPr>
          <w:rFonts w:cstheme="minorHAnsi"/>
          <w:bCs/>
          <w:sz w:val="16"/>
          <w:szCs w:val="16"/>
        </w:rPr>
        <w:t xml:space="preserve"> </w:t>
      </w:r>
      <w:r>
        <w:t xml:space="preserve"> </w:t>
      </w:r>
    </w:p>
  </w:footnote>
  <w:footnote w:id="6">
    <w:p w:rsidR="00CF666B" w:rsidRPr="007F6474" w:rsidRDefault="00CF666B" w:rsidP="00747116">
      <w:pPr>
        <w:pStyle w:val="FootnoteText"/>
        <w:spacing w:after="0" w:line="240" w:lineRule="auto"/>
        <w:rPr>
          <w:sz w:val="16"/>
          <w:szCs w:val="16"/>
        </w:rPr>
      </w:pPr>
      <w:r w:rsidRPr="00E24C4C">
        <w:rPr>
          <w:rStyle w:val="FootnoteReference"/>
        </w:rPr>
        <w:footnoteRef/>
      </w:r>
      <w:r w:rsidRPr="00E24C4C">
        <w:rPr>
          <w:rStyle w:val="FootnoteReference"/>
        </w:rPr>
        <w:t xml:space="preserve"> </w:t>
      </w:r>
      <w:r w:rsidRPr="007F6474">
        <w:rPr>
          <w:rFonts w:cstheme="minorHAnsi"/>
          <w:bCs/>
          <w:sz w:val="16"/>
          <w:szCs w:val="16"/>
        </w:rPr>
        <w:t>These barriers may be reflected in the relatively low proportion of workplace disputes the FWO has received from the TCF industry during the five</w:t>
      </w:r>
      <w:r>
        <w:rPr>
          <w:rFonts w:cstheme="minorHAnsi"/>
          <w:bCs/>
          <w:sz w:val="16"/>
          <w:szCs w:val="16"/>
        </w:rPr>
        <w:t>-</w:t>
      </w:r>
      <w:r w:rsidRPr="007F6474">
        <w:rPr>
          <w:rFonts w:cstheme="minorHAnsi"/>
          <w:bCs/>
          <w:sz w:val="16"/>
          <w:szCs w:val="16"/>
        </w:rPr>
        <w:t xml:space="preserve">year period July 1 2013-June 30 2018. The FWO received 354 disputes, </w:t>
      </w:r>
      <w:r>
        <w:rPr>
          <w:rFonts w:cstheme="minorHAnsi"/>
          <w:bCs/>
          <w:sz w:val="16"/>
          <w:szCs w:val="16"/>
        </w:rPr>
        <w:t xml:space="preserve">a lower number when </w:t>
      </w:r>
      <w:r w:rsidRPr="007F6474">
        <w:rPr>
          <w:rFonts w:cstheme="minorHAnsi"/>
          <w:bCs/>
          <w:sz w:val="16"/>
          <w:szCs w:val="16"/>
        </w:rPr>
        <w:t>compared with the average for all industries operating within t</w:t>
      </w:r>
      <w:r>
        <w:rPr>
          <w:rFonts w:cstheme="minorHAnsi"/>
          <w:bCs/>
          <w:sz w:val="16"/>
          <w:szCs w:val="16"/>
        </w:rPr>
        <w:t>he manufacturing sector (493)</w:t>
      </w:r>
    </w:p>
  </w:footnote>
  <w:footnote w:id="7">
    <w:p w:rsidR="00CF666B" w:rsidRDefault="00CF666B" w:rsidP="00930A95">
      <w:pPr>
        <w:pStyle w:val="FootnoteText"/>
        <w:spacing w:after="0" w:line="240" w:lineRule="auto"/>
      </w:pPr>
      <w:r w:rsidRPr="00E24C4C">
        <w:rPr>
          <w:rStyle w:val="FootnoteReference"/>
        </w:rPr>
        <w:footnoteRef/>
      </w:r>
      <w:r w:rsidRPr="00E24C4C">
        <w:rPr>
          <w:rStyle w:val="FootnoteReference"/>
        </w:rPr>
        <w:t xml:space="preserve"> </w:t>
      </w:r>
      <w:r w:rsidRPr="000530A5">
        <w:rPr>
          <w:rFonts w:cstheme="minorHAnsi"/>
          <w:bCs/>
          <w:sz w:val="16"/>
          <w:szCs w:val="16"/>
        </w:rPr>
        <w:t xml:space="preserve">A full list of the stakeholders contacted by FWO (in both phase </w:t>
      </w:r>
      <w:r>
        <w:rPr>
          <w:rFonts w:cstheme="minorHAnsi"/>
          <w:bCs/>
          <w:sz w:val="16"/>
          <w:szCs w:val="16"/>
        </w:rPr>
        <w:t>one</w:t>
      </w:r>
      <w:r w:rsidRPr="000530A5">
        <w:rPr>
          <w:rFonts w:cstheme="minorHAnsi"/>
          <w:bCs/>
          <w:sz w:val="16"/>
          <w:szCs w:val="16"/>
        </w:rPr>
        <w:t xml:space="preserve"> and phase </w:t>
      </w:r>
      <w:r>
        <w:rPr>
          <w:rFonts w:cstheme="minorHAnsi"/>
          <w:bCs/>
          <w:sz w:val="16"/>
          <w:szCs w:val="16"/>
        </w:rPr>
        <w:t>two</w:t>
      </w:r>
      <w:r w:rsidRPr="000530A5">
        <w:rPr>
          <w:rFonts w:cstheme="minorHAnsi"/>
          <w:bCs/>
          <w:sz w:val="16"/>
          <w:szCs w:val="16"/>
        </w:rPr>
        <w:t xml:space="preserve">) is provided </w:t>
      </w:r>
      <w:r>
        <w:rPr>
          <w:rFonts w:cstheme="minorHAnsi"/>
          <w:bCs/>
          <w:sz w:val="16"/>
          <w:szCs w:val="16"/>
        </w:rPr>
        <w:t>at</w:t>
      </w:r>
      <w:r w:rsidRPr="000530A5">
        <w:rPr>
          <w:rFonts w:cstheme="minorHAnsi"/>
          <w:bCs/>
          <w:sz w:val="16"/>
          <w:szCs w:val="16"/>
        </w:rPr>
        <w:t xml:space="preserve"> Appendix A</w:t>
      </w:r>
    </w:p>
  </w:footnote>
  <w:footnote w:id="8">
    <w:p w:rsidR="00CF666B" w:rsidRPr="000530A5" w:rsidRDefault="00CF666B" w:rsidP="00882384">
      <w:pPr>
        <w:pStyle w:val="FootnoteText"/>
        <w:spacing w:after="0" w:line="240" w:lineRule="auto"/>
        <w:rPr>
          <w:rFonts w:cstheme="minorHAnsi"/>
          <w:bCs/>
          <w:sz w:val="16"/>
          <w:szCs w:val="16"/>
          <w:highlight w:val="cyan"/>
        </w:rPr>
      </w:pPr>
      <w:r w:rsidRPr="00E24C4C">
        <w:rPr>
          <w:rStyle w:val="FootnoteReference"/>
        </w:rPr>
        <w:footnoteRef/>
      </w:r>
      <w:r w:rsidRPr="00E24C4C">
        <w:rPr>
          <w:rStyle w:val="FootnoteReference"/>
        </w:rPr>
        <w:t xml:space="preserve"> </w:t>
      </w:r>
      <w:r w:rsidRPr="000530A5">
        <w:rPr>
          <w:rFonts w:cstheme="minorHAnsi"/>
          <w:bCs/>
          <w:sz w:val="16"/>
          <w:szCs w:val="16"/>
        </w:rPr>
        <w:t xml:space="preserve">Fair Work Ombudsman </w:t>
      </w:r>
      <w:r w:rsidRPr="00C357F2">
        <w:rPr>
          <w:rFonts w:cstheme="minorHAnsi"/>
          <w:bCs/>
          <w:sz w:val="16"/>
          <w:szCs w:val="16"/>
        </w:rPr>
        <w:t xml:space="preserve">2016, </w:t>
      </w:r>
      <w:r w:rsidRPr="00C357F2">
        <w:rPr>
          <w:rFonts w:cstheme="minorHAnsi"/>
          <w:bCs/>
          <w:i/>
          <w:sz w:val="16"/>
          <w:szCs w:val="16"/>
        </w:rPr>
        <w:t>Second Phase of TCF Campaign</w:t>
      </w:r>
      <w:r w:rsidRPr="00C357F2">
        <w:rPr>
          <w:rFonts w:cstheme="minorHAnsi"/>
          <w:bCs/>
          <w:sz w:val="16"/>
          <w:szCs w:val="16"/>
        </w:rPr>
        <w:t>, media release, 21 July,</w:t>
      </w:r>
      <w:r w:rsidRPr="000530A5">
        <w:rPr>
          <w:rFonts w:cstheme="minorHAnsi"/>
          <w:bCs/>
          <w:sz w:val="16"/>
          <w:szCs w:val="16"/>
        </w:rPr>
        <w:t xml:space="preserve"> </w:t>
      </w:r>
      <w:r w:rsidRPr="00456604">
        <w:rPr>
          <w:rFonts w:cstheme="minorHAnsi"/>
          <w:bCs/>
          <w:sz w:val="16"/>
          <w:szCs w:val="16"/>
        </w:rPr>
        <w:t>https://www.fairwork.gov.au/about-us/news-media-releases/2016-media-releases/july-2016/20160721-textile-campaign-mr</w:t>
      </w:r>
    </w:p>
  </w:footnote>
  <w:footnote w:id="9">
    <w:p w:rsidR="00CF666B" w:rsidRPr="00177AC6" w:rsidRDefault="00CF666B" w:rsidP="00882384">
      <w:pPr>
        <w:pStyle w:val="FootnoteText"/>
        <w:spacing w:after="0" w:line="240" w:lineRule="auto"/>
        <w:rPr>
          <w:sz w:val="16"/>
          <w:szCs w:val="16"/>
        </w:rPr>
      </w:pPr>
      <w:r w:rsidRPr="00E24C4C">
        <w:rPr>
          <w:rStyle w:val="FootnoteReference"/>
        </w:rPr>
        <w:footnoteRef/>
      </w:r>
      <w:r w:rsidRPr="00E24C4C">
        <w:rPr>
          <w:rStyle w:val="FootnoteReference"/>
        </w:rPr>
        <w:t xml:space="preserve"> </w:t>
      </w:r>
      <w:r w:rsidRPr="000530A5">
        <w:rPr>
          <w:rFonts w:cstheme="minorHAnsi"/>
          <w:bCs/>
          <w:sz w:val="16"/>
          <w:szCs w:val="16"/>
        </w:rPr>
        <w:t xml:space="preserve">Schedule F of the TCF Award establishes Boards of Reference in every capital city (with the exception of Canberra and Darwin). Boards of Reference are usually chaired by the general manager of the Fair Work Commission or their delegate. They also consist of two union, and two business (‘principal’) representatives. Further information can be found at the FWO Website </w:t>
      </w:r>
      <w:hyperlink r:id="rId3" w:history="1">
        <w:r w:rsidRPr="000530A5">
          <w:rPr>
            <w:sz w:val="16"/>
            <w:szCs w:val="16"/>
          </w:rPr>
          <w:t>https://www.fairwork.gov.au/library/k600096_board-of-reference-in-the-textile-and-clothing-award</w:t>
        </w:r>
      </w:hyperlink>
      <w:r>
        <w:rPr>
          <w:sz w:val="16"/>
          <w:szCs w:val="16"/>
        </w:rPr>
        <w:t xml:space="preserve"> </w:t>
      </w:r>
    </w:p>
  </w:footnote>
  <w:footnote w:id="10">
    <w:p w:rsidR="00CF666B" w:rsidRPr="00F5213F" w:rsidRDefault="00CF666B" w:rsidP="00F5213F">
      <w:pPr>
        <w:pStyle w:val="FootnoteText"/>
        <w:spacing w:after="0" w:line="240" w:lineRule="auto"/>
      </w:pPr>
      <w:r w:rsidRPr="00E24C4C">
        <w:rPr>
          <w:rStyle w:val="FootnoteReference"/>
        </w:rPr>
        <w:footnoteRef/>
      </w:r>
      <w:r w:rsidRPr="00E24C4C">
        <w:rPr>
          <w:rStyle w:val="FootnoteReference"/>
        </w:rPr>
        <w:t xml:space="preserve"> </w:t>
      </w:r>
      <w:r w:rsidRPr="00F5213F">
        <w:rPr>
          <w:rFonts w:cstheme="minorHAnsi"/>
          <w:bCs/>
          <w:sz w:val="16"/>
          <w:szCs w:val="16"/>
        </w:rPr>
        <w:t xml:space="preserve">Australian Bureau of Statistics 2018, </w:t>
      </w:r>
      <w:r w:rsidRPr="00F5213F">
        <w:rPr>
          <w:rFonts w:cstheme="minorHAnsi"/>
          <w:bCs/>
          <w:i/>
          <w:sz w:val="16"/>
          <w:szCs w:val="16"/>
        </w:rPr>
        <w:t>Australian Industry, 2016-17</w:t>
      </w:r>
      <w:r w:rsidRPr="00F5213F">
        <w:rPr>
          <w:rFonts w:cstheme="minorHAnsi"/>
          <w:bCs/>
          <w:sz w:val="16"/>
          <w:szCs w:val="16"/>
        </w:rPr>
        <w:t xml:space="preserve">, ‘Manufacturing industry’, data cube: cat. no. 8155.0, viewed 2 November 2018, </w:t>
      </w:r>
      <w:hyperlink r:id="rId4" w:history="1">
        <w:r w:rsidRPr="00F5213F">
          <w:rPr>
            <w:rFonts w:cstheme="minorHAnsi"/>
            <w:bCs/>
            <w:sz w:val="16"/>
            <w:szCs w:val="16"/>
          </w:rPr>
          <w:t>http://www.abs.gov.au/AUSSTATS/abs@.nsf/DetailsPage/8155.02016-17?OpenDocument</w:t>
        </w:r>
      </w:hyperlink>
      <w:r>
        <w:rPr>
          <w:rFonts w:cstheme="minorHAnsi"/>
          <w:bCs/>
          <w:sz w:val="16"/>
          <w:szCs w:val="16"/>
        </w:rPr>
        <w:t xml:space="preserve"> </w:t>
      </w:r>
    </w:p>
  </w:footnote>
  <w:footnote w:id="11">
    <w:p w:rsidR="00CF666B" w:rsidRPr="00AF1BAC" w:rsidRDefault="00CF666B" w:rsidP="00D833B1">
      <w:pPr>
        <w:pStyle w:val="FootnoteText"/>
        <w:spacing w:after="0" w:line="240" w:lineRule="auto"/>
        <w:rPr>
          <w:rFonts w:cstheme="minorHAnsi"/>
          <w:bCs/>
          <w:sz w:val="16"/>
          <w:szCs w:val="16"/>
        </w:rPr>
      </w:pPr>
      <w:r w:rsidRPr="00E24C4C">
        <w:rPr>
          <w:rStyle w:val="FootnoteReference"/>
        </w:rPr>
        <w:footnoteRef/>
      </w:r>
      <w:r w:rsidRPr="00E24C4C">
        <w:rPr>
          <w:rStyle w:val="FootnoteReference"/>
        </w:rPr>
        <w:t xml:space="preserve"> </w:t>
      </w:r>
      <w:r w:rsidRPr="00F5213F">
        <w:rPr>
          <w:rFonts w:cstheme="minorHAnsi"/>
          <w:bCs/>
          <w:sz w:val="16"/>
          <w:szCs w:val="16"/>
        </w:rPr>
        <w:t xml:space="preserve">Australian Bureau of Statistics 2018, </w:t>
      </w:r>
      <w:r w:rsidRPr="00F5213F">
        <w:rPr>
          <w:rFonts w:cstheme="minorHAnsi"/>
          <w:bCs/>
          <w:i/>
          <w:sz w:val="16"/>
          <w:szCs w:val="16"/>
        </w:rPr>
        <w:t>Australian Industry, 2016-17</w:t>
      </w:r>
      <w:r w:rsidRPr="00F5213F">
        <w:rPr>
          <w:rFonts w:cstheme="minorHAnsi"/>
          <w:bCs/>
          <w:sz w:val="16"/>
          <w:szCs w:val="16"/>
        </w:rPr>
        <w:t xml:space="preserve">, ‘Australian industry by subdivision’, data cube: cat. no. 8155.0,  viewed 2 November 2018, </w:t>
      </w:r>
      <w:hyperlink r:id="rId5" w:history="1">
        <w:r w:rsidRPr="00F5213F">
          <w:rPr>
            <w:rFonts w:cstheme="minorHAnsi"/>
            <w:bCs/>
            <w:sz w:val="16"/>
            <w:szCs w:val="16"/>
          </w:rPr>
          <w:t>http://www.abs.gov.au/AUSSTATS/abs@.nsf/DetailsPage/8155.02016-17?OpenDocument</w:t>
        </w:r>
      </w:hyperlink>
    </w:p>
  </w:footnote>
  <w:footnote w:id="12">
    <w:p w:rsidR="00CF666B" w:rsidRDefault="00CF666B" w:rsidP="00D833B1">
      <w:pPr>
        <w:spacing w:after="0" w:line="240" w:lineRule="auto"/>
      </w:pPr>
      <w:r w:rsidRPr="00E24C4C">
        <w:rPr>
          <w:rStyle w:val="FootnoteReference"/>
        </w:rPr>
        <w:footnoteRef/>
      </w:r>
      <w:r w:rsidRPr="00E24C4C">
        <w:rPr>
          <w:rStyle w:val="FootnoteReference"/>
        </w:rPr>
        <w:t xml:space="preserve"> </w:t>
      </w:r>
      <w:r w:rsidRPr="00C357F2">
        <w:rPr>
          <w:rFonts w:cstheme="minorHAnsi"/>
          <w:bCs/>
          <w:sz w:val="16"/>
          <w:szCs w:val="16"/>
        </w:rPr>
        <w:t>Australian Industry and Skills Committee</w:t>
      </w:r>
      <w:r>
        <w:rPr>
          <w:rFonts w:cstheme="minorHAnsi"/>
          <w:bCs/>
          <w:sz w:val="16"/>
          <w:szCs w:val="16"/>
        </w:rPr>
        <w:t>,</w:t>
      </w:r>
      <w:r w:rsidRPr="00C357F2">
        <w:rPr>
          <w:rFonts w:cstheme="minorHAnsi"/>
          <w:bCs/>
          <w:sz w:val="16"/>
          <w:szCs w:val="16"/>
        </w:rPr>
        <w:t xml:space="preserve"> 2018, </w:t>
      </w:r>
      <w:r w:rsidRPr="00C357F2">
        <w:rPr>
          <w:rFonts w:cstheme="minorHAnsi"/>
          <w:bCs/>
          <w:i/>
          <w:sz w:val="16"/>
          <w:szCs w:val="16"/>
        </w:rPr>
        <w:t>National Industry Insights – Textile, Clothing and Footwear Industry</w:t>
      </w:r>
      <w:r w:rsidRPr="00C357F2">
        <w:rPr>
          <w:rFonts w:cstheme="minorHAnsi"/>
          <w:bCs/>
          <w:sz w:val="16"/>
          <w:szCs w:val="16"/>
        </w:rPr>
        <w:t>, Australian Industry and Skills Committee,  viewed 5 November 2018, https://nationalindustryinsights.aisc.net.au/industries/manufacturing-and-related-services/textiles-clothing-and-footwear</w:t>
      </w:r>
    </w:p>
  </w:footnote>
  <w:footnote w:id="13">
    <w:p w:rsidR="00CF666B" w:rsidRPr="00AF1BAC" w:rsidRDefault="00CF666B" w:rsidP="008E6B2B">
      <w:pPr>
        <w:spacing w:after="0" w:line="240" w:lineRule="auto"/>
        <w:rPr>
          <w:rFonts w:cstheme="minorHAnsi"/>
          <w:bCs/>
          <w:sz w:val="16"/>
          <w:szCs w:val="16"/>
        </w:rPr>
      </w:pPr>
      <w:r w:rsidRPr="00E24C4C">
        <w:rPr>
          <w:rStyle w:val="FootnoteReference"/>
        </w:rPr>
        <w:footnoteRef/>
      </w:r>
      <w:r w:rsidRPr="00E24C4C">
        <w:rPr>
          <w:rStyle w:val="FootnoteReference"/>
        </w:rPr>
        <w:t xml:space="preserve"> </w:t>
      </w:r>
      <w:r w:rsidRPr="00F9776E">
        <w:rPr>
          <w:rFonts w:cstheme="minorHAnsi"/>
          <w:bCs/>
          <w:sz w:val="16"/>
          <w:szCs w:val="16"/>
        </w:rPr>
        <w:t xml:space="preserve">Australian Bureau of Statistics, 2006, </w:t>
      </w:r>
      <w:r w:rsidRPr="00F9776E">
        <w:rPr>
          <w:rFonts w:cstheme="minorHAnsi"/>
          <w:bCs/>
          <w:i/>
          <w:sz w:val="16"/>
          <w:szCs w:val="16"/>
        </w:rPr>
        <w:t>Australian and New Zealand Standard Industrial Classification (ANZSIC),</w:t>
      </w:r>
      <w:r w:rsidRPr="00F9776E">
        <w:rPr>
          <w:rFonts w:cstheme="minorHAnsi"/>
          <w:bCs/>
          <w:sz w:val="16"/>
          <w:szCs w:val="16"/>
        </w:rPr>
        <w:t xml:space="preserve"> cat. no. 1292.0, viewed 5 November 2018, http://www.abs.gov.au/ausstats/abs@.nsf/Latestproducts/1582B107BF78B03ACA257B9500133CAF?opendocument</w:t>
      </w:r>
    </w:p>
  </w:footnote>
  <w:footnote w:id="14">
    <w:p w:rsidR="00CF666B" w:rsidRPr="000530A5" w:rsidRDefault="00CF666B" w:rsidP="00D833B1">
      <w:pPr>
        <w:pStyle w:val="FootnoteText"/>
        <w:spacing w:after="0" w:line="240" w:lineRule="auto"/>
        <w:rPr>
          <w:rFonts w:cstheme="minorHAnsi"/>
          <w:bCs/>
          <w:sz w:val="16"/>
          <w:szCs w:val="16"/>
          <w:highlight w:val="yellow"/>
        </w:rPr>
      </w:pPr>
      <w:r w:rsidRPr="00E24C4C">
        <w:rPr>
          <w:rStyle w:val="FootnoteReference"/>
        </w:rPr>
        <w:footnoteRef/>
      </w:r>
      <w:r w:rsidRPr="00E24C4C">
        <w:rPr>
          <w:rStyle w:val="FootnoteReference"/>
        </w:rPr>
        <w:t xml:space="preserve"> </w:t>
      </w:r>
      <w:r w:rsidRPr="00F9776E">
        <w:rPr>
          <w:rFonts w:cstheme="minorHAnsi"/>
          <w:bCs/>
          <w:sz w:val="16"/>
          <w:szCs w:val="16"/>
        </w:rPr>
        <w:t>Austra</w:t>
      </w:r>
      <w:r>
        <w:rPr>
          <w:rFonts w:cstheme="minorHAnsi"/>
          <w:bCs/>
          <w:sz w:val="16"/>
          <w:szCs w:val="16"/>
        </w:rPr>
        <w:t>lian Bureau of Statistics, 2018,</w:t>
      </w:r>
      <w:r w:rsidRPr="00F9776E">
        <w:rPr>
          <w:rFonts w:cstheme="minorHAnsi"/>
          <w:bCs/>
          <w:sz w:val="16"/>
          <w:szCs w:val="16"/>
        </w:rPr>
        <w:t xml:space="preserve"> </w:t>
      </w:r>
      <w:r w:rsidRPr="00F9776E">
        <w:rPr>
          <w:rFonts w:cstheme="minorHAnsi"/>
          <w:bCs/>
          <w:i/>
          <w:sz w:val="16"/>
          <w:szCs w:val="16"/>
        </w:rPr>
        <w:t>Australian Industry, 2016-17</w:t>
      </w:r>
      <w:r w:rsidRPr="00F9776E">
        <w:rPr>
          <w:rFonts w:cstheme="minorHAnsi"/>
          <w:bCs/>
          <w:sz w:val="16"/>
          <w:szCs w:val="16"/>
        </w:rPr>
        <w:t xml:space="preserve">, ‘Australian industry by subdivision’, data cube: cat. no. 8155.0, viewed 2 November 2018, </w:t>
      </w:r>
      <w:hyperlink r:id="rId6" w:history="1">
        <w:r w:rsidRPr="00F9776E">
          <w:rPr>
            <w:rFonts w:cstheme="minorHAnsi"/>
            <w:bCs/>
            <w:sz w:val="16"/>
            <w:szCs w:val="16"/>
          </w:rPr>
          <w:t>http://www.abs.gov.au/AUSSTATS/abs@.nsf/DetailsPage/8155.02016-17?OpenDocument</w:t>
        </w:r>
      </w:hyperlink>
    </w:p>
  </w:footnote>
  <w:footnote w:id="15">
    <w:p w:rsidR="00CF666B" w:rsidRPr="0070790E" w:rsidRDefault="00CF666B" w:rsidP="005C02C2">
      <w:pPr>
        <w:pStyle w:val="FootnoteText"/>
        <w:spacing w:after="0" w:line="240" w:lineRule="auto"/>
        <w:rPr>
          <w:rFonts w:cstheme="minorHAnsi"/>
          <w:bCs/>
          <w:sz w:val="16"/>
          <w:szCs w:val="16"/>
        </w:rPr>
      </w:pPr>
      <w:r w:rsidRPr="00E24C4C">
        <w:rPr>
          <w:rStyle w:val="FootnoteReference"/>
        </w:rPr>
        <w:footnoteRef/>
      </w:r>
      <w:r w:rsidRPr="00E24C4C">
        <w:rPr>
          <w:rStyle w:val="FootnoteReference"/>
        </w:rPr>
        <w:t xml:space="preserve"> </w:t>
      </w:r>
      <w:r>
        <w:rPr>
          <w:rFonts w:cstheme="minorHAnsi"/>
          <w:bCs/>
          <w:sz w:val="16"/>
          <w:szCs w:val="16"/>
        </w:rPr>
        <w:t xml:space="preserve">Department of Home </w:t>
      </w:r>
      <w:r w:rsidRPr="000530A5">
        <w:rPr>
          <w:rFonts w:cstheme="minorHAnsi"/>
          <w:bCs/>
          <w:sz w:val="16"/>
          <w:szCs w:val="16"/>
        </w:rPr>
        <w:t>Affairs</w:t>
      </w:r>
      <w:r>
        <w:rPr>
          <w:rFonts w:cstheme="minorHAnsi"/>
          <w:bCs/>
          <w:sz w:val="16"/>
          <w:szCs w:val="16"/>
        </w:rPr>
        <w:t>, 2017</w:t>
      </w:r>
      <w:r w:rsidRPr="000530A5">
        <w:rPr>
          <w:rFonts w:cstheme="minorHAnsi"/>
          <w:bCs/>
          <w:sz w:val="16"/>
          <w:szCs w:val="16"/>
        </w:rPr>
        <w:t>,</w:t>
      </w:r>
      <w:r w:rsidRPr="000530A5">
        <w:rPr>
          <w:rFonts w:cstheme="minorHAnsi"/>
          <w:bCs/>
          <w:i/>
          <w:sz w:val="16"/>
          <w:szCs w:val="16"/>
        </w:rPr>
        <w:t xml:space="preserve"> Combined Australian Customs Tariff Nomenclature and Statistical Classification Tariff Classification of Goods, Schedule 3 – Classification of  good and general and special rate of duty</w:t>
      </w:r>
      <w:r>
        <w:rPr>
          <w:rFonts w:cstheme="minorHAnsi"/>
          <w:bCs/>
          <w:sz w:val="16"/>
          <w:szCs w:val="16"/>
        </w:rPr>
        <w:t xml:space="preserve">, Department of Home Affairs, viewed 5 November 2018,  </w:t>
      </w:r>
      <w:hyperlink r:id="rId7" w:history="1">
        <w:r w:rsidRPr="002E0FE2">
          <w:rPr>
            <w:rFonts w:cstheme="minorHAnsi"/>
            <w:bCs/>
            <w:sz w:val="16"/>
            <w:szCs w:val="16"/>
          </w:rPr>
          <w:t>https://archive.homeaffairs.gov.au/busi/cargo-support-trade-and-goods/importing-goods/tariff-classification-of-goods/current-tariff-classification/schedule-3</w:t>
        </w:r>
      </w:hyperlink>
    </w:p>
  </w:footnote>
  <w:footnote w:id="16">
    <w:p w:rsidR="00CF666B" w:rsidRPr="0050667A" w:rsidRDefault="00CF666B" w:rsidP="005C02C2">
      <w:pPr>
        <w:pStyle w:val="FootnoteText"/>
        <w:spacing w:after="0" w:line="240" w:lineRule="auto"/>
        <w:rPr>
          <w:rFonts w:cstheme="minorHAnsi"/>
          <w:bCs/>
          <w:sz w:val="16"/>
          <w:szCs w:val="16"/>
        </w:rPr>
      </w:pPr>
      <w:r w:rsidRPr="00E24C4C">
        <w:rPr>
          <w:rStyle w:val="FootnoteReference"/>
        </w:rPr>
        <w:footnoteRef/>
      </w:r>
      <w:r w:rsidRPr="00E24C4C">
        <w:rPr>
          <w:rStyle w:val="FootnoteReference"/>
        </w:rPr>
        <w:t xml:space="preserve"> </w:t>
      </w:r>
      <w:r>
        <w:rPr>
          <w:rFonts w:cstheme="minorHAnsi"/>
          <w:bCs/>
          <w:sz w:val="16"/>
          <w:szCs w:val="16"/>
        </w:rPr>
        <w:t xml:space="preserve">Department of Foreign Affairs and Trade 2015, </w:t>
      </w:r>
      <w:r w:rsidRPr="005E772C">
        <w:rPr>
          <w:rFonts w:cstheme="minorHAnsi"/>
          <w:bCs/>
          <w:i/>
          <w:sz w:val="16"/>
          <w:szCs w:val="16"/>
        </w:rPr>
        <w:t>China-Australia Free Trade Agreement</w:t>
      </w:r>
      <w:r>
        <w:rPr>
          <w:rFonts w:cstheme="minorHAnsi"/>
          <w:bCs/>
          <w:i/>
          <w:sz w:val="16"/>
          <w:szCs w:val="16"/>
        </w:rPr>
        <w:t xml:space="preserve">, Chapter 2, Annex I: Schedules of Tariff Reduction Commitments of Australia and China, </w:t>
      </w:r>
      <w:r w:rsidRPr="005E772C">
        <w:rPr>
          <w:rFonts w:cstheme="minorHAnsi"/>
          <w:bCs/>
          <w:sz w:val="16"/>
          <w:szCs w:val="16"/>
        </w:rPr>
        <w:t>viewed 7 November 2018</w:t>
      </w:r>
      <w:r>
        <w:rPr>
          <w:rFonts w:cstheme="minorHAnsi"/>
          <w:bCs/>
          <w:i/>
          <w:sz w:val="16"/>
          <w:szCs w:val="16"/>
        </w:rPr>
        <w:t>,</w:t>
      </w:r>
      <w:r>
        <w:rPr>
          <w:rFonts w:cstheme="minorHAnsi"/>
          <w:bCs/>
          <w:sz w:val="16"/>
          <w:szCs w:val="16"/>
        </w:rPr>
        <w:t xml:space="preserve"> </w:t>
      </w:r>
      <w:r w:rsidRPr="00456604">
        <w:rPr>
          <w:rFonts w:cstheme="minorHAnsi"/>
          <w:bCs/>
          <w:sz w:val="16"/>
          <w:szCs w:val="16"/>
        </w:rPr>
        <w:t>https://dfat.gov.au/trade/agreements/in-force/chafta/official-documents/Pages/official-documents.aspx</w:t>
      </w:r>
    </w:p>
  </w:footnote>
  <w:footnote w:id="17">
    <w:p w:rsidR="00CF666B" w:rsidRPr="002E0FE2" w:rsidRDefault="00CF666B" w:rsidP="005C02C2">
      <w:pPr>
        <w:pStyle w:val="FootnoteText"/>
        <w:spacing w:after="0" w:line="240" w:lineRule="auto"/>
        <w:rPr>
          <w:rFonts w:cstheme="minorHAnsi"/>
          <w:bCs/>
          <w:sz w:val="16"/>
          <w:szCs w:val="16"/>
        </w:rPr>
      </w:pPr>
      <w:r w:rsidRPr="00E24C4C">
        <w:rPr>
          <w:rStyle w:val="FootnoteReference"/>
        </w:rPr>
        <w:footnoteRef/>
      </w:r>
      <w:r w:rsidRPr="00E24C4C">
        <w:rPr>
          <w:rStyle w:val="FootnoteReference"/>
        </w:rPr>
        <w:t xml:space="preserve"> </w:t>
      </w:r>
      <w:r w:rsidRPr="0050667A">
        <w:rPr>
          <w:rFonts w:cstheme="minorHAnsi"/>
          <w:bCs/>
          <w:sz w:val="16"/>
          <w:szCs w:val="16"/>
        </w:rPr>
        <w:t>Although Chinese products dominate the import market, this varies between industry subsectors. For example, in the 2017-2018 financial year, China accounted for 64.6% of men’s and boys’ wear imports, over 60% of Women’s and Girls’ wear imports. See</w:t>
      </w:r>
      <w:r>
        <w:rPr>
          <w:rFonts w:cstheme="minorHAnsi"/>
          <w:bCs/>
          <w:sz w:val="16"/>
          <w:szCs w:val="16"/>
        </w:rPr>
        <w:t>:</w:t>
      </w:r>
      <w:r w:rsidRPr="0050667A">
        <w:rPr>
          <w:rFonts w:cstheme="minorHAnsi"/>
          <w:bCs/>
          <w:sz w:val="16"/>
          <w:szCs w:val="16"/>
        </w:rPr>
        <w:t xml:space="preserve"> </w:t>
      </w:r>
      <w:r>
        <w:rPr>
          <w:rFonts w:cstheme="minorHAnsi"/>
          <w:bCs/>
          <w:sz w:val="16"/>
          <w:szCs w:val="16"/>
        </w:rPr>
        <w:t>IBISWorld,</w:t>
      </w:r>
      <w:r w:rsidRPr="00570D28">
        <w:rPr>
          <w:rFonts w:cstheme="minorHAnsi"/>
          <w:bCs/>
          <w:i/>
          <w:sz w:val="16"/>
          <w:szCs w:val="16"/>
        </w:rPr>
        <w:t xml:space="preserve"> Men’s and Boys’ Wear Manufacturing in Australia Report</w:t>
      </w:r>
      <w:r>
        <w:rPr>
          <w:rFonts w:cstheme="minorHAnsi"/>
          <w:bCs/>
          <w:i/>
          <w:sz w:val="16"/>
          <w:szCs w:val="16"/>
        </w:rPr>
        <w:t>,</w:t>
      </w:r>
      <w:r>
        <w:rPr>
          <w:rFonts w:cstheme="minorHAnsi"/>
          <w:bCs/>
          <w:sz w:val="16"/>
          <w:szCs w:val="16"/>
        </w:rPr>
        <w:t xml:space="preserve"> 2018 and</w:t>
      </w:r>
      <w:r w:rsidRPr="0050667A">
        <w:rPr>
          <w:rFonts w:cstheme="minorHAnsi"/>
          <w:bCs/>
          <w:sz w:val="16"/>
          <w:szCs w:val="16"/>
        </w:rPr>
        <w:t xml:space="preserve"> </w:t>
      </w:r>
      <w:r w:rsidRPr="00570D28">
        <w:rPr>
          <w:rFonts w:cstheme="minorHAnsi"/>
          <w:bCs/>
          <w:i/>
          <w:sz w:val="16"/>
          <w:szCs w:val="16"/>
        </w:rPr>
        <w:t>Women’s and Girls’ Wear Manufacturing in Australia</w:t>
      </w:r>
      <w:r>
        <w:rPr>
          <w:rFonts w:cstheme="minorHAnsi"/>
          <w:bCs/>
          <w:i/>
          <w:sz w:val="16"/>
          <w:szCs w:val="16"/>
        </w:rPr>
        <w:t>,</w:t>
      </w:r>
      <w:r w:rsidRPr="00570D28">
        <w:rPr>
          <w:rFonts w:cstheme="minorHAnsi"/>
          <w:bCs/>
          <w:sz w:val="16"/>
          <w:szCs w:val="16"/>
        </w:rPr>
        <w:t xml:space="preserve"> </w:t>
      </w:r>
      <w:r>
        <w:rPr>
          <w:rFonts w:cstheme="minorHAnsi"/>
          <w:bCs/>
          <w:sz w:val="16"/>
          <w:szCs w:val="16"/>
        </w:rPr>
        <w:t xml:space="preserve">2018, IBISWorld, viewed 1 November 2018, </w:t>
      </w:r>
      <w:r w:rsidRPr="00456604">
        <w:rPr>
          <w:rFonts w:cstheme="minorHAnsi"/>
          <w:bCs/>
          <w:sz w:val="16"/>
          <w:szCs w:val="16"/>
        </w:rPr>
        <w:t>https://www.ibisworld.com.au/industry-trends/market-research-reports/manufacturing/textile-leather-clothing-footwear/</w:t>
      </w:r>
    </w:p>
  </w:footnote>
  <w:footnote w:id="18">
    <w:p w:rsidR="00CF666B" w:rsidRDefault="00CF666B" w:rsidP="008E6B2B">
      <w:pPr>
        <w:autoSpaceDE w:val="0"/>
        <w:autoSpaceDN w:val="0"/>
        <w:adjustRightInd w:val="0"/>
        <w:spacing w:after="0" w:line="240" w:lineRule="auto"/>
      </w:pPr>
      <w:r w:rsidRPr="00E24C4C">
        <w:rPr>
          <w:rStyle w:val="FootnoteReference"/>
        </w:rPr>
        <w:footnoteRef/>
      </w:r>
      <w:r w:rsidRPr="00E24C4C">
        <w:rPr>
          <w:rStyle w:val="FootnoteReference"/>
        </w:rPr>
        <w:t xml:space="preserve">  </w:t>
      </w:r>
      <w:r w:rsidRPr="006F64BA">
        <w:rPr>
          <w:rFonts w:cstheme="minorHAnsi"/>
          <w:bCs/>
          <w:sz w:val="16"/>
          <w:szCs w:val="16"/>
        </w:rPr>
        <w:t xml:space="preserve">IBISWorld 2018, </w:t>
      </w:r>
      <w:r w:rsidRPr="008E6B2B">
        <w:rPr>
          <w:rFonts w:cstheme="minorHAnsi"/>
          <w:bCs/>
          <w:sz w:val="16"/>
          <w:szCs w:val="16"/>
        </w:rPr>
        <w:t>Textile, Leather, Clothing and Footwear Manufacturing in Australia Reports</w:t>
      </w:r>
      <w:r w:rsidRPr="006F64BA">
        <w:rPr>
          <w:rFonts w:cstheme="minorHAnsi"/>
          <w:bCs/>
          <w:sz w:val="16"/>
          <w:szCs w:val="16"/>
        </w:rPr>
        <w:t xml:space="preserve"> (Various)</w:t>
      </w:r>
      <w:r>
        <w:rPr>
          <w:rFonts w:cstheme="minorHAnsi"/>
          <w:bCs/>
          <w:sz w:val="16"/>
          <w:szCs w:val="16"/>
        </w:rPr>
        <w:t xml:space="preserve">, </w:t>
      </w:r>
      <w:r w:rsidRPr="006F64BA">
        <w:rPr>
          <w:rFonts w:cstheme="minorHAnsi"/>
          <w:bCs/>
          <w:sz w:val="16"/>
          <w:szCs w:val="16"/>
        </w:rPr>
        <w:t>viewed 1 November</w:t>
      </w:r>
      <w:r>
        <w:rPr>
          <w:rFonts w:cstheme="minorHAnsi"/>
          <w:bCs/>
          <w:sz w:val="16"/>
          <w:szCs w:val="16"/>
        </w:rPr>
        <w:t xml:space="preserve"> 2018, </w:t>
      </w:r>
      <w:r w:rsidRPr="00570D28">
        <w:rPr>
          <w:rFonts w:cstheme="minorHAnsi"/>
          <w:bCs/>
          <w:sz w:val="16"/>
          <w:szCs w:val="16"/>
        </w:rPr>
        <w:t>https://www.ibisworld.com.au/industry-trends/market-research-reports/manufacturing/textile-leather-clothing-footwear/</w:t>
      </w:r>
    </w:p>
  </w:footnote>
  <w:footnote w:id="19">
    <w:p w:rsidR="00CF666B" w:rsidRDefault="00CF666B" w:rsidP="00F5335B">
      <w:pPr>
        <w:autoSpaceDE w:val="0"/>
        <w:autoSpaceDN w:val="0"/>
        <w:adjustRightInd w:val="0"/>
        <w:spacing w:after="0" w:line="240" w:lineRule="auto"/>
      </w:pPr>
      <w:r w:rsidRPr="00E24C4C">
        <w:rPr>
          <w:rStyle w:val="FootnoteReference"/>
        </w:rPr>
        <w:footnoteRef/>
      </w:r>
      <w:r w:rsidRPr="00E24C4C">
        <w:rPr>
          <w:rStyle w:val="FootnoteReference"/>
        </w:rPr>
        <w:t xml:space="preserve"> </w:t>
      </w:r>
      <w:r w:rsidRPr="00AF1BAC">
        <w:rPr>
          <w:rFonts w:cstheme="minorHAnsi"/>
          <w:bCs/>
          <w:sz w:val="16"/>
          <w:szCs w:val="16"/>
        </w:rPr>
        <w:t>For example, communication, marketing, and administration expenses</w:t>
      </w:r>
    </w:p>
  </w:footnote>
  <w:footnote w:id="20">
    <w:p w:rsidR="00CF666B" w:rsidRPr="00F9776E" w:rsidRDefault="00CF666B" w:rsidP="00CE2EDE">
      <w:pPr>
        <w:pStyle w:val="FootnoteText"/>
        <w:spacing w:after="0" w:line="240" w:lineRule="auto"/>
        <w:rPr>
          <w:rFonts w:cstheme="minorHAnsi"/>
          <w:bCs/>
          <w:sz w:val="16"/>
          <w:szCs w:val="16"/>
        </w:rPr>
      </w:pPr>
      <w:r w:rsidRPr="00E24C4C">
        <w:rPr>
          <w:rStyle w:val="FootnoteReference"/>
        </w:rPr>
        <w:footnoteRef/>
      </w:r>
      <w:r w:rsidRPr="00E24C4C">
        <w:rPr>
          <w:rStyle w:val="FootnoteReference"/>
        </w:rPr>
        <w:t xml:space="preserve"> </w:t>
      </w:r>
      <w:r w:rsidRPr="0050667A">
        <w:rPr>
          <w:rFonts w:cstheme="minorHAnsi"/>
          <w:bCs/>
          <w:sz w:val="16"/>
          <w:szCs w:val="16"/>
        </w:rPr>
        <w:t>IBISWorld</w:t>
      </w:r>
      <w:r>
        <w:rPr>
          <w:rFonts w:cstheme="minorHAnsi"/>
          <w:bCs/>
          <w:sz w:val="16"/>
          <w:szCs w:val="16"/>
        </w:rPr>
        <w:t xml:space="preserve"> 2018,</w:t>
      </w:r>
      <w:r w:rsidRPr="0050667A">
        <w:rPr>
          <w:rFonts w:cstheme="minorHAnsi"/>
          <w:bCs/>
          <w:sz w:val="16"/>
          <w:szCs w:val="16"/>
        </w:rPr>
        <w:t xml:space="preserve"> </w:t>
      </w:r>
      <w:r w:rsidRPr="00570D28">
        <w:rPr>
          <w:rFonts w:cstheme="minorHAnsi"/>
          <w:bCs/>
          <w:i/>
          <w:sz w:val="16"/>
          <w:szCs w:val="16"/>
        </w:rPr>
        <w:t>Women’s and Girls’ Wear Manufacturing in Australia</w:t>
      </w:r>
      <w:r>
        <w:rPr>
          <w:rFonts w:cstheme="minorHAnsi"/>
          <w:bCs/>
          <w:i/>
          <w:sz w:val="16"/>
          <w:szCs w:val="16"/>
        </w:rPr>
        <w:t>,</w:t>
      </w:r>
      <w:r w:rsidRPr="00570D28">
        <w:rPr>
          <w:rFonts w:cstheme="minorHAnsi"/>
          <w:bCs/>
          <w:sz w:val="16"/>
          <w:szCs w:val="16"/>
        </w:rPr>
        <w:t xml:space="preserve"> </w:t>
      </w:r>
      <w:r>
        <w:rPr>
          <w:rFonts w:cstheme="minorHAnsi"/>
          <w:bCs/>
          <w:sz w:val="16"/>
          <w:szCs w:val="16"/>
        </w:rPr>
        <w:t xml:space="preserve">2018, IBISWorld, viewed 1 November 2018, </w:t>
      </w:r>
      <w:r w:rsidRPr="00F9776E">
        <w:rPr>
          <w:rFonts w:cstheme="minorHAnsi"/>
          <w:bCs/>
          <w:sz w:val="16"/>
          <w:szCs w:val="16"/>
        </w:rPr>
        <w:t>https://www.ibisworld.com.au/industry-trends/market-research-reports/manufacturing/text</w:t>
      </w:r>
      <w:r>
        <w:rPr>
          <w:rFonts w:cstheme="minorHAnsi"/>
          <w:bCs/>
          <w:sz w:val="16"/>
          <w:szCs w:val="16"/>
        </w:rPr>
        <w:t>ile-leather-clothing-footwear/</w:t>
      </w:r>
    </w:p>
  </w:footnote>
  <w:footnote w:id="21">
    <w:p w:rsidR="00CF666B" w:rsidRPr="002E0FE2" w:rsidRDefault="00CF666B" w:rsidP="00CE2EDE">
      <w:pPr>
        <w:pStyle w:val="FootnoteText"/>
        <w:spacing w:after="0" w:line="240" w:lineRule="auto"/>
        <w:rPr>
          <w:rFonts w:cstheme="minorHAnsi"/>
          <w:bCs/>
          <w:sz w:val="16"/>
          <w:szCs w:val="16"/>
        </w:rPr>
      </w:pPr>
      <w:r w:rsidRPr="00E24C4C">
        <w:rPr>
          <w:rStyle w:val="FootnoteReference"/>
        </w:rPr>
        <w:footnoteRef/>
      </w:r>
      <w:r w:rsidRPr="00E24C4C">
        <w:rPr>
          <w:rStyle w:val="FootnoteReference"/>
        </w:rPr>
        <w:t xml:space="preserve"> </w:t>
      </w:r>
      <w:r w:rsidRPr="00F9776E">
        <w:rPr>
          <w:rFonts w:cstheme="minorHAnsi"/>
          <w:bCs/>
          <w:sz w:val="16"/>
          <w:szCs w:val="16"/>
        </w:rPr>
        <w:t xml:space="preserve">Australian Bureau of Statistics 2018, </w:t>
      </w:r>
      <w:r w:rsidRPr="00F9776E">
        <w:rPr>
          <w:rFonts w:cstheme="minorHAnsi"/>
          <w:bCs/>
          <w:i/>
          <w:sz w:val="16"/>
          <w:szCs w:val="16"/>
        </w:rPr>
        <w:t>Counts of Australian Businesses, including Entries and Exits</w:t>
      </w:r>
      <w:r w:rsidRPr="00F9776E">
        <w:rPr>
          <w:rFonts w:cstheme="minorHAnsi"/>
          <w:bCs/>
          <w:sz w:val="16"/>
          <w:szCs w:val="16"/>
        </w:rPr>
        <w:t xml:space="preserve">, </w:t>
      </w:r>
      <w:r w:rsidRPr="00F9776E">
        <w:rPr>
          <w:rFonts w:cstheme="minorHAnsi"/>
          <w:bCs/>
          <w:i/>
          <w:sz w:val="16"/>
          <w:szCs w:val="16"/>
        </w:rPr>
        <w:t>June 2013 to June 2017</w:t>
      </w:r>
      <w:r w:rsidRPr="00F9776E">
        <w:rPr>
          <w:rFonts w:cstheme="minorHAnsi"/>
          <w:bCs/>
          <w:sz w:val="16"/>
          <w:szCs w:val="16"/>
        </w:rPr>
        <w:t>, ‘Businesses by Main State by Industry Class by Employment Size Ranges, data cube: cat. no. 8165.0, viewed 2 November 2018,</w:t>
      </w:r>
      <w:r w:rsidRPr="0050667A">
        <w:rPr>
          <w:rFonts w:cstheme="minorHAnsi"/>
          <w:bCs/>
          <w:sz w:val="16"/>
          <w:szCs w:val="16"/>
        </w:rPr>
        <w:t xml:space="preserve"> </w:t>
      </w:r>
      <w:hyperlink r:id="rId8" w:history="1">
        <w:r w:rsidRPr="0050667A">
          <w:rPr>
            <w:rFonts w:cstheme="minorHAnsi"/>
            <w:bCs/>
            <w:sz w:val="16"/>
            <w:szCs w:val="16"/>
          </w:rPr>
          <w:t>http://www.abs.gov.au/AUSSTATS/abs@.nsf/DetailsPage/8165.0Jun%202013%20to%20Jun%202017?OpenDocument</w:t>
        </w:r>
      </w:hyperlink>
    </w:p>
  </w:footnote>
  <w:footnote w:id="22">
    <w:p w:rsidR="00CF666B" w:rsidRPr="002E0FE2" w:rsidRDefault="00CF666B" w:rsidP="00CE2EDE">
      <w:pPr>
        <w:pStyle w:val="FootnoteText"/>
        <w:spacing w:after="0" w:line="240" w:lineRule="auto"/>
        <w:rPr>
          <w:rFonts w:cstheme="minorHAnsi"/>
          <w:bCs/>
          <w:sz w:val="16"/>
          <w:szCs w:val="16"/>
        </w:rPr>
      </w:pPr>
      <w:r w:rsidRPr="00E24C4C">
        <w:rPr>
          <w:rStyle w:val="FootnoteReference"/>
        </w:rPr>
        <w:footnoteRef/>
      </w:r>
      <w:r w:rsidRPr="00E24C4C">
        <w:rPr>
          <w:rStyle w:val="FootnoteReference"/>
        </w:rPr>
        <w:t xml:space="preserve"> </w:t>
      </w:r>
      <w:r w:rsidRPr="0050667A">
        <w:rPr>
          <w:rFonts w:cstheme="minorHAnsi"/>
          <w:bCs/>
          <w:sz w:val="16"/>
          <w:szCs w:val="16"/>
        </w:rPr>
        <w:t xml:space="preserve">Australian Bureau of Statistics 2018, 8155.0 </w:t>
      </w:r>
      <w:r w:rsidRPr="00456604">
        <w:rPr>
          <w:rFonts w:cstheme="minorHAnsi"/>
          <w:bCs/>
          <w:i/>
          <w:sz w:val="16"/>
          <w:szCs w:val="16"/>
        </w:rPr>
        <w:t>- Australian Industry</w:t>
      </w:r>
      <w:r>
        <w:rPr>
          <w:rFonts w:cstheme="minorHAnsi"/>
          <w:bCs/>
          <w:i/>
          <w:sz w:val="16"/>
          <w:szCs w:val="16"/>
        </w:rPr>
        <w:t>,</w:t>
      </w:r>
      <w:r w:rsidRPr="00456604">
        <w:rPr>
          <w:rFonts w:cstheme="minorHAnsi"/>
          <w:bCs/>
          <w:i/>
          <w:sz w:val="16"/>
          <w:szCs w:val="16"/>
        </w:rPr>
        <w:t xml:space="preserve"> 2016-17,</w:t>
      </w:r>
      <w:r w:rsidRPr="0050667A">
        <w:rPr>
          <w:rFonts w:cstheme="minorHAnsi"/>
          <w:bCs/>
          <w:sz w:val="16"/>
          <w:szCs w:val="16"/>
        </w:rPr>
        <w:t xml:space="preserve"> Data Cube – Manufacturing Industry, viewed 5 November 2018, </w:t>
      </w:r>
      <w:hyperlink r:id="rId9" w:history="1">
        <w:r w:rsidRPr="002E0FE2">
          <w:rPr>
            <w:rFonts w:cstheme="minorHAnsi"/>
            <w:bCs/>
            <w:sz w:val="16"/>
            <w:szCs w:val="16"/>
          </w:rPr>
          <w:t>http://www.abs.gov.au/AUSSTATS/abs@.nsf/DetailsPage/8155.02016-17?OpenDocument</w:t>
        </w:r>
      </w:hyperlink>
    </w:p>
  </w:footnote>
  <w:footnote w:id="23">
    <w:p w:rsidR="00CF666B" w:rsidRPr="003F0F15" w:rsidRDefault="00CF666B" w:rsidP="00E3522C">
      <w:pPr>
        <w:pStyle w:val="FootnoteText"/>
        <w:spacing w:after="0" w:line="240" w:lineRule="auto"/>
        <w:rPr>
          <w:rFonts w:cstheme="minorHAnsi"/>
          <w:sz w:val="16"/>
          <w:szCs w:val="16"/>
          <w:lang w:eastAsia="en-AU"/>
        </w:rPr>
      </w:pPr>
      <w:r w:rsidRPr="00E24C4C">
        <w:rPr>
          <w:rStyle w:val="FootnoteReference"/>
        </w:rPr>
        <w:footnoteRef/>
      </w:r>
      <w:r w:rsidRPr="00E24C4C">
        <w:rPr>
          <w:rStyle w:val="FootnoteReference"/>
        </w:rPr>
        <w:t xml:space="preserve"> </w:t>
      </w:r>
      <w:r w:rsidRPr="003F0F15">
        <w:rPr>
          <w:rFonts w:cstheme="minorHAnsi"/>
          <w:sz w:val="16"/>
          <w:szCs w:val="16"/>
          <w:lang w:eastAsia="en-AU"/>
        </w:rPr>
        <w:t xml:space="preserve">Australian Bureau of Statistics 2016, </w:t>
      </w:r>
      <w:r w:rsidRPr="003F0F15">
        <w:rPr>
          <w:rFonts w:cstheme="minorHAnsi"/>
          <w:i/>
          <w:sz w:val="16"/>
          <w:szCs w:val="16"/>
          <w:lang w:eastAsia="en-AU"/>
        </w:rPr>
        <w:t>Census (2016),</w:t>
      </w:r>
      <w:r w:rsidRPr="003F0F15">
        <w:rPr>
          <w:rFonts w:cstheme="minorHAnsi"/>
          <w:sz w:val="16"/>
          <w:szCs w:val="16"/>
          <w:lang w:eastAsia="en-AU"/>
        </w:rPr>
        <w:t xml:space="preserve"> </w:t>
      </w:r>
      <w:proofErr w:type="spellStart"/>
      <w:r w:rsidRPr="003F0F15">
        <w:rPr>
          <w:rFonts w:cstheme="minorHAnsi"/>
          <w:sz w:val="16"/>
          <w:szCs w:val="16"/>
          <w:lang w:eastAsia="en-AU"/>
        </w:rPr>
        <w:t>TableBuilder</w:t>
      </w:r>
      <w:proofErr w:type="spellEnd"/>
      <w:r w:rsidRPr="003F0F15">
        <w:rPr>
          <w:rFonts w:cstheme="minorHAnsi"/>
          <w:sz w:val="16"/>
          <w:szCs w:val="16"/>
          <w:lang w:eastAsia="en-AU"/>
        </w:rPr>
        <w:t>. Findi</w:t>
      </w:r>
      <w:r>
        <w:rPr>
          <w:rFonts w:cstheme="minorHAnsi"/>
          <w:sz w:val="16"/>
          <w:szCs w:val="16"/>
          <w:lang w:eastAsia="en-AU"/>
        </w:rPr>
        <w:t>ngs based on Table Builder data</w:t>
      </w:r>
    </w:p>
  </w:footnote>
  <w:footnote w:id="24">
    <w:p w:rsidR="00CF666B" w:rsidRPr="003F0F15" w:rsidRDefault="00CF666B" w:rsidP="00E3522C">
      <w:pPr>
        <w:pStyle w:val="FootnoteText"/>
        <w:spacing w:after="0" w:line="240" w:lineRule="auto"/>
        <w:rPr>
          <w:rFonts w:cstheme="minorHAnsi"/>
          <w:sz w:val="16"/>
          <w:szCs w:val="16"/>
          <w:lang w:eastAsia="en-AU"/>
        </w:rPr>
      </w:pPr>
      <w:r w:rsidRPr="00E24C4C">
        <w:rPr>
          <w:rStyle w:val="FootnoteReference"/>
        </w:rPr>
        <w:footnoteRef/>
      </w:r>
      <w:r w:rsidRPr="003F0F15">
        <w:rPr>
          <w:rFonts w:cstheme="minorHAnsi"/>
          <w:sz w:val="16"/>
          <w:szCs w:val="16"/>
          <w:lang w:eastAsia="en-AU"/>
        </w:rPr>
        <w:t xml:space="preserve"> Ibid </w:t>
      </w:r>
    </w:p>
  </w:footnote>
  <w:footnote w:id="25">
    <w:p w:rsidR="00CF666B" w:rsidRPr="003F0F15" w:rsidRDefault="00CF666B" w:rsidP="00E3522C">
      <w:pPr>
        <w:pStyle w:val="FootnoteText"/>
        <w:spacing w:after="0" w:line="240" w:lineRule="auto"/>
        <w:rPr>
          <w:rFonts w:cstheme="minorHAnsi"/>
          <w:sz w:val="16"/>
          <w:szCs w:val="16"/>
        </w:rPr>
      </w:pPr>
      <w:r w:rsidRPr="00E24C4C">
        <w:rPr>
          <w:rStyle w:val="FootnoteReference"/>
        </w:rPr>
        <w:footnoteRef/>
      </w:r>
      <w:r w:rsidRPr="00E24C4C">
        <w:rPr>
          <w:rStyle w:val="FootnoteReference"/>
        </w:rPr>
        <w:t xml:space="preserve"> </w:t>
      </w:r>
      <w:r w:rsidRPr="003F0F15">
        <w:rPr>
          <w:rFonts w:cstheme="minorHAnsi"/>
          <w:sz w:val="16"/>
          <w:szCs w:val="16"/>
          <w:lang w:eastAsia="en-AU"/>
        </w:rPr>
        <w:t>Ibid</w:t>
      </w:r>
    </w:p>
  </w:footnote>
  <w:footnote w:id="26">
    <w:p w:rsidR="00CF666B" w:rsidRPr="003F0F15" w:rsidRDefault="00CF666B" w:rsidP="00E3522C">
      <w:pPr>
        <w:pStyle w:val="FootnoteText"/>
        <w:spacing w:after="0" w:line="240" w:lineRule="auto"/>
        <w:rPr>
          <w:sz w:val="16"/>
          <w:szCs w:val="16"/>
        </w:rPr>
      </w:pPr>
      <w:r w:rsidRPr="00E24C4C">
        <w:rPr>
          <w:rStyle w:val="FootnoteReference"/>
        </w:rPr>
        <w:footnoteRef/>
      </w:r>
      <w:r w:rsidRPr="00E24C4C">
        <w:rPr>
          <w:rStyle w:val="FootnoteReference"/>
        </w:rPr>
        <w:t xml:space="preserve"> </w:t>
      </w:r>
      <w:r w:rsidRPr="003F0F15">
        <w:rPr>
          <w:rFonts w:cstheme="minorHAnsi"/>
          <w:sz w:val="16"/>
          <w:szCs w:val="16"/>
          <w:lang w:eastAsia="en-AU"/>
        </w:rPr>
        <w:t xml:space="preserve">Between July 2015 and June 2017 for example, only 18.8% of disputes came from TCF workers between 15 to 25 years, significantly lower than the average of 26.8% received from employees in this </w:t>
      </w:r>
      <w:r>
        <w:rPr>
          <w:rFonts w:cstheme="minorHAnsi"/>
          <w:sz w:val="16"/>
          <w:szCs w:val="16"/>
          <w:lang w:eastAsia="en-AU"/>
        </w:rPr>
        <w:t>age group across all industries</w:t>
      </w:r>
    </w:p>
  </w:footnote>
  <w:footnote w:id="27">
    <w:p w:rsidR="00CF666B" w:rsidRPr="00E3522C" w:rsidRDefault="00CF666B" w:rsidP="00E3522C">
      <w:pPr>
        <w:pStyle w:val="FootnoteText"/>
        <w:spacing w:after="0" w:line="240" w:lineRule="auto"/>
        <w:rPr>
          <w:sz w:val="16"/>
          <w:szCs w:val="16"/>
        </w:rPr>
      </w:pPr>
      <w:r w:rsidRPr="00E24C4C">
        <w:rPr>
          <w:rStyle w:val="FootnoteReference"/>
          <w:szCs w:val="22"/>
        </w:rPr>
        <w:footnoteRef/>
      </w:r>
      <w:r w:rsidRPr="00E24C4C">
        <w:rPr>
          <w:rStyle w:val="FootnoteReference"/>
          <w:szCs w:val="22"/>
        </w:rPr>
        <w:t xml:space="preserve"> </w:t>
      </w:r>
      <w:r w:rsidRPr="003F0F15">
        <w:rPr>
          <w:rFonts w:ascii="Calibri" w:hAnsi="Calibri" w:cs="Calibri"/>
          <w:sz w:val="16"/>
          <w:szCs w:val="16"/>
        </w:rPr>
        <w:t xml:space="preserve">Australian Bureau of Statistics 2016, </w:t>
      </w:r>
      <w:r w:rsidRPr="003F0F15">
        <w:rPr>
          <w:rFonts w:ascii="Calibri" w:hAnsi="Calibri" w:cs="Calibri"/>
          <w:i/>
          <w:iCs/>
          <w:sz w:val="16"/>
          <w:szCs w:val="16"/>
        </w:rPr>
        <w:t>Census (2016)</w:t>
      </w:r>
      <w:r w:rsidRPr="003F0F15">
        <w:rPr>
          <w:rFonts w:ascii="Calibri" w:hAnsi="Calibri" w:cs="Calibri"/>
          <w:sz w:val="16"/>
          <w:szCs w:val="16"/>
        </w:rPr>
        <w:t xml:space="preserve">, </w:t>
      </w:r>
      <w:proofErr w:type="spellStart"/>
      <w:r w:rsidRPr="003F0F15">
        <w:rPr>
          <w:rFonts w:ascii="Calibri" w:hAnsi="Calibri" w:cs="Calibri"/>
          <w:sz w:val="16"/>
          <w:szCs w:val="16"/>
        </w:rPr>
        <w:t>TableBuilder</w:t>
      </w:r>
      <w:proofErr w:type="spellEnd"/>
      <w:r w:rsidRPr="003F0F15">
        <w:rPr>
          <w:rFonts w:ascii="Calibri" w:hAnsi="Calibri" w:cs="Calibri"/>
          <w:sz w:val="16"/>
          <w:szCs w:val="16"/>
        </w:rPr>
        <w:t>.</w:t>
      </w:r>
      <w:r w:rsidRPr="003F0F15">
        <w:rPr>
          <w:rFonts w:cstheme="minorHAnsi"/>
          <w:sz w:val="16"/>
          <w:szCs w:val="16"/>
          <w:lang w:eastAsia="en-AU"/>
        </w:rPr>
        <w:t xml:space="preserve"> Findings based on Table Build</w:t>
      </w:r>
      <w:r w:rsidRPr="00E27270">
        <w:rPr>
          <w:rFonts w:cstheme="minorHAnsi"/>
          <w:sz w:val="16"/>
          <w:szCs w:val="16"/>
          <w:lang w:eastAsia="en-AU"/>
        </w:rPr>
        <w:t>er data</w:t>
      </w:r>
    </w:p>
  </w:footnote>
  <w:footnote w:id="28">
    <w:p w:rsidR="00CF666B" w:rsidRPr="00D47893" w:rsidRDefault="00CF666B" w:rsidP="007C22EB">
      <w:pPr>
        <w:pStyle w:val="FootnoteText"/>
        <w:spacing w:after="0" w:line="240" w:lineRule="auto"/>
        <w:rPr>
          <w:sz w:val="16"/>
          <w:szCs w:val="16"/>
        </w:rPr>
      </w:pPr>
      <w:r w:rsidRPr="00E24C4C">
        <w:rPr>
          <w:rStyle w:val="FootnoteReference"/>
          <w:szCs w:val="22"/>
        </w:rPr>
        <w:footnoteRef/>
      </w:r>
      <w:r w:rsidRPr="003F0F15">
        <w:rPr>
          <w:sz w:val="16"/>
          <w:szCs w:val="16"/>
        </w:rPr>
        <w:t xml:space="preserve"> </w:t>
      </w:r>
      <w:r w:rsidRPr="003F0F15">
        <w:rPr>
          <w:rFonts w:ascii="Calibri" w:hAnsi="Calibri" w:cs="Calibri"/>
          <w:sz w:val="16"/>
          <w:szCs w:val="16"/>
        </w:rPr>
        <w:t xml:space="preserve">Australian Bureau of Statistics 2016, </w:t>
      </w:r>
      <w:r w:rsidRPr="003F0F15">
        <w:rPr>
          <w:rFonts w:ascii="Calibri" w:hAnsi="Calibri" w:cs="Calibri"/>
          <w:i/>
          <w:sz w:val="16"/>
          <w:szCs w:val="16"/>
        </w:rPr>
        <w:t>Census (2016)</w:t>
      </w:r>
      <w:r w:rsidRPr="003F0F15">
        <w:rPr>
          <w:rFonts w:ascii="Calibri" w:hAnsi="Calibri" w:cs="Calibri"/>
          <w:sz w:val="16"/>
          <w:szCs w:val="16"/>
        </w:rPr>
        <w:t xml:space="preserve">, </w:t>
      </w:r>
      <w:proofErr w:type="spellStart"/>
      <w:r w:rsidRPr="003F0F15">
        <w:rPr>
          <w:rFonts w:ascii="Calibri" w:hAnsi="Calibri" w:cs="Calibri"/>
          <w:sz w:val="16"/>
          <w:szCs w:val="16"/>
        </w:rPr>
        <w:t>TableBuilder</w:t>
      </w:r>
      <w:proofErr w:type="spellEnd"/>
      <w:r w:rsidRPr="003F0F15">
        <w:rPr>
          <w:rFonts w:ascii="Calibri" w:hAnsi="Calibri" w:cs="Calibri"/>
          <w:sz w:val="16"/>
          <w:szCs w:val="16"/>
        </w:rPr>
        <w:t>.</w:t>
      </w:r>
      <w:r w:rsidRPr="003F0F15">
        <w:rPr>
          <w:rFonts w:cstheme="minorHAnsi"/>
          <w:sz w:val="16"/>
          <w:szCs w:val="16"/>
          <w:lang w:eastAsia="en-AU"/>
        </w:rPr>
        <w:t xml:space="preserve"> Findings based on Table Builder data</w:t>
      </w:r>
    </w:p>
  </w:footnote>
  <w:footnote w:id="29">
    <w:p w:rsidR="00CF666B" w:rsidRPr="00570D28" w:rsidRDefault="00CF666B" w:rsidP="00D47893">
      <w:pPr>
        <w:pStyle w:val="FootnoteText"/>
        <w:spacing w:after="0" w:line="240" w:lineRule="auto"/>
        <w:rPr>
          <w:rFonts w:cstheme="minorHAnsi"/>
          <w:bCs/>
          <w:sz w:val="16"/>
          <w:szCs w:val="16"/>
        </w:rPr>
      </w:pPr>
      <w:r w:rsidRPr="00E24C4C">
        <w:rPr>
          <w:rStyle w:val="FootnoteReference"/>
          <w:szCs w:val="22"/>
        </w:rPr>
        <w:footnoteRef/>
      </w:r>
      <w:r w:rsidRPr="00E24C4C">
        <w:rPr>
          <w:rStyle w:val="FootnoteReference"/>
          <w:szCs w:val="22"/>
        </w:rPr>
        <w:t xml:space="preserve"> </w:t>
      </w:r>
      <w:r w:rsidRPr="00E3522C">
        <w:rPr>
          <w:sz w:val="16"/>
          <w:szCs w:val="16"/>
        </w:rPr>
        <w:t>For example</w:t>
      </w:r>
      <w:r>
        <w:rPr>
          <w:sz w:val="16"/>
          <w:szCs w:val="16"/>
        </w:rPr>
        <w:t>:</w:t>
      </w:r>
      <w:r w:rsidRPr="00E3522C">
        <w:rPr>
          <w:sz w:val="16"/>
          <w:szCs w:val="16"/>
        </w:rPr>
        <w:t xml:space="preserve"> </w:t>
      </w:r>
      <w:r w:rsidRPr="00570D28">
        <w:rPr>
          <w:rFonts w:cstheme="minorHAnsi"/>
          <w:bCs/>
          <w:sz w:val="16"/>
          <w:szCs w:val="16"/>
        </w:rPr>
        <w:t>Textile, Clothing &amp; Footwear Union of</w:t>
      </w:r>
      <w:r>
        <w:rPr>
          <w:rFonts w:cstheme="minorHAnsi"/>
          <w:bCs/>
          <w:sz w:val="16"/>
          <w:szCs w:val="16"/>
        </w:rPr>
        <w:t xml:space="preserve"> </w:t>
      </w:r>
      <w:r w:rsidRPr="00570D28">
        <w:rPr>
          <w:rFonts w:cstheme="minorHAnsi"/>
          <w:bCs/>
          <w:sz w:val="16"/>
          <w:szCs w:val="16"/>
        </w:rPr>
        <w:t>Australia</w:t>
      </w:r>
      <w:r>
        <w:rPr>
          <w:rFonts w:cstheme="minorHAnsi"/>
          <w:bCs/>
          <w:sz w:val="16"/>
          <w:szCs w:val="16"/>
        </w:rPr>
        <w:t xml:space="preserve"> 1995,</w:t>
      </w:r>
      <w:r w:rsidRPr="00570D28">
        <w:rPr>
          <w:rFonts w:cstheme="minorHAnsi"/>
          <w:bCs/>
          <w:sz w:val="16"/>
          <w:szCs w:val="16"/>
        </w:rPr>
        <w:t xml:space="preserve"> </w:t>
      </w:r>
      <w:r w:rsidRPr="00CA18A2">
        <w:rPr>
          <w:rFonts w:cstheme="minorHAnsi"/>
          <w:bCs/>
          <w:i/>
          <w:sz w:val="16"/>
          <w:szCs w:val="16"/>
        </w:rPr>
        <w:t xml:space="preserve">The hidden cost of </w:t>
      </w:r>
      <w:r>
        <w:rPr>
          <w:rFonts w:cstheme="minorHAnsi"/>
          <w:bCs/>
          <w:i/>
          <w:sz w:val="16"/>
          <w:szCs w:val="16"/>
        </w:rPr>
        <w:t>f</w:t>
      </w:r>
      <w:r w:rsidRPr="00CA18A2">
        <w:rPr>
          <w:rFonts w:cstheme="minorHAnsi"/>
          <w:bCs/>
          <w:i/>
          <w:sz w:val="16"/>
          <w:szCs w:val="16"/>
        </w:rPr>
        <w:t xml:space="preserve">ashion – </w:t>
      </w:r>
      <w:r>
        <w:rPr>
          <w:rFonts w:cstheme="minorHAnsi"/>
          <w:bCs/>
          <w:i/>
          <w:sz w:val="16"/>
          <w:szCs w:val="16"/>
        </w:rPr>
        <w:t>r</w:t>
      </w:r>
      <w:r w:rsidRPr="00CA18A2">
        <w:rPr>
          <w:rFonts w:cstheme="minorHAnsi"/>
          <w:bCs/>
          <w:i/>
          <w:sz w:val="16"/>
          <w:szCs w:val="16"/>
        </w:rPr>
        <w:t>eport on the National Outwork Information</w:t>
      </w:r>
      <w:r>
        <w:rPr>
          <w:rFonts w:cstheme="minorHAnsi"/>
          <w:bCs/>
          <w:sz w:val="16"/>
          <w:szCs w:val="16"/>
        </w:rPr>
        <w:t>,</w:t>
      </w:r>
    </w:p>
    <w:p w:rsidR="00CF666B" w:rsidRPr="00E3522C" w:rsidRDefault="00CF666B" w:rsidP="00D47893">
      <w:pPr>
        <w:pStyle w:val="FootnoteText"/>
        <w:spacing w:after="0" w:line="240" w:lineRule="auto"/>
        <w:rPr>
          <w:sz w:val="16"/>
          <w:szCs w:val="16"/>
        </w:rPr>
      </w:pPr>
      <w:r w:rsidRPr="00CA18A2">
        <w:rPr>
          <w:rFonts w:cstheme="minorHAnsi"/>
          <w:bCs/>
          <w:i/>
          <w:sz w:val="16"/>
          <w:szCs w:val="16"/>
        </w:rPr>
        <w:t>Campaign</w:t>
      </w:r>
      <w:r>
        <w:rPr>
          <w:rFonts w:cstheme="minorHAnsi"/>
          <w:bCs/>
          <w:i/>
          <w:sz w:val="16"/>
          <w:szCs w:val="16"/>
        </w:rPr>
        <w:t>,</w:t>
      </w:r>
      <w:r w:rsidRPr="00CA18A2">
        <w:rPr>
          <w:rFonts w:cstheme="minorHAnsi"/>
          <w:bCs/>
          <w:i/>
          <w:sz w:val="16"/>
          <w:szCs w:val="16"/>
        </w:rPr>
        <w:t xml:space="preserve"> </w:t>
      </w:r>
      <w:r w:rsidRPr="00570D28">
        <w:rPr>
          <w:rFonts w:cstheme="minorHAnsi"/>
          <w:bCs/>
          <w:sz w:val="16"/>
          <w:szCs w:val="16"/>
        </w:rPr>
        <w:t xml:space="preserve">TCFUA, </w:t>
      </w:r>
      <w:r>
        <w:rPr>
          <w:rFonts w:cstheme="minorHAnsi"/>
          <w:bCs/>
          <w:sz w:val="16"/>
          <w:szCs w:val="16"/>
        </w:rPr>
        <w:t>Sydney, New South Wales</w:t>
      </w:r>
    </w:p>
  </w:footnote>
  <w:footnote w:id="30">
    <w:p w:rsidR="00CF666B" w:rsidRDefault="00CF666B" w:rsidP="00E27270">
      <w:pPr>
        <w:pStyle w:val="FootnoteText"/>
        <w:spacing w:after="0" w:line="240" w:lineRule="auto"/>
      </w:pPr>
      <w:r w:rsidRPr="00E24C4C">
        <w:rPr>
          <w:rStyle w:val="FootnoteReference"/>
          <w:szCs w:val="22"/>
        </w:rPr>
        <w:footnoteRef/>
      </w:r>
      <w:r w:rsidRPr="00E24C4C">
        <w:rPr>
          <w:rStyle w:val="FootnoteReference"/>
          <w:szCs w:val="22"/>
        </w:rPr>
        <w:t xml:space="preserve"> </w:t>
      </w:r>
      <w:r w:rsidRPr="002E0543">
        <w:rPr>
          <w:sz w:val="16"/>
          <w:szCs w:val="16"/>
        </w:rPr>
        <w:t xml:space="preserve">Senate Standing Committees on Economics 1997, </w:t>
      </w:r>
      <w:r w:rsidRPr="00B37069">
        <w:rPr>
          <w:i/>
          <w:sz w:val="16"/>
          <w:szCs w:val="16"/>
        </w:rPr>
        <w:t>Outworkers in the Garment Industry</w:t>
      </w:r>
      <w:r w:rsidRPr="002E0543">
        <w:rPr>
          <w:sz w:val="16"/>
          <w:szCs w:val="16"/>
        </w:rPr>
        <w:t>, general inquiry report, Senate Standing Committees on</w:t>
      </w:r>
      <w:r>
        <w:rPr>
          <w:sz w:val="16"/>
          <w:szCs w:val="16"/>
        </w:rPr>
        <w:t xml:space="preserve"> </w:t>
      </w:r>
      <w:r w:rsidRPr="002E0543">
        <w:rPr>
          <w:sz w:val="16"/>
          <w:szCs w:val="16"/>
        </w:rPr>
        <w:t xml:space="preserve">Economics, viewed 23 November 2018, </w:t>
      </w:r>
      <w:r w:rsidRPr="00456604">
        <w:rPr>
          <w:sz w:val="16"/>
          <w:szCs w:val="16"/>
        </w:rPr>
        <w:t>https://www.aph.gov.au/Parliamentary_Business/Committees/Senate/Economics/Completed_inquiries/1996-99/outworkers/report/index</w:t>
      </w:r>
    </w:p>
  </w:footnote>
  <w:footnote w:id="31">
    <w:p w:rsidR="00CF666B" w:rsidRPr="00DE0932" w:rsidRDefault="00CF666B" w:rsidP="00FD39BE">
      <w:pPr>
        <w:pStyle w:val="Default"/>
        <w:rPr>
          <w:sz w:val="16"/>
          <w:szCs w:val="16"/>
        </w:rPr>
      </w:pPr>
      <w:r w:rsidRPr="00E24C4C">
        <w:rPr>
          <w:rStyle w:val="FootnoteReference"/>
          <w:color w:val="auto"/>
          <w:sz w:val="22"/>
          <w:szCs w:val="22"/>
          <w:lang w:eastAsia="en-US"/>
        </w:rPr>
        <w:footnoteRef/>
      </w:r>
      <w:r w:rsidRPr="00E24C4C">
        <w:rPr>
          <w:rStyle w:val="FootnoteReference"/>
          <w:color w:val="auto"/>
          <w:sz w:val="22"/>
          <w:szCs w:val="22"/>
          <w:lang w:eastAsia="en-US"/>
        </w:rPr>
        <w:t xml:space="preserve"> </w:t>
      </w:r>
      <w:r w:rsidRPr="00FD39BE">
        <w:rPr>
          <w:rFonts w:asciiTheme="minorHAnsi" w:hAnsiTheme="minorHAnsi" w:cstheme="minorHAnsi"/>
          <w:sz w:val="16"/>
          <w:szCs w:val="16"/>
        </w:rPr>
        <w:t xml:space="preserve">The </w:t>
      </w:r>
      <w:r w:rsidRPr="00B37069">
        <w:rPr>
          <w:rFonts w:asciiTheme="minorHAnsi" w:hAnsiTheme="minorHAnsi" w:cstheme="minorHAnsi"/>
          <w:i/>
          <w:sz w:val="16"/>
          <w:szCs w:val="16"/>
        </w:rPr>
        <w:t>Post-implementation Review of the Fair Work Amendment (Textile, Clothing and Footwear Industry) Act 2012</w:t>
      </w:r>
      <w:r w:rsidRPr="00FD39BE">
        <w:rPr>
          <w:rFonts w:asciiTheme="minorHAnsi" w:hAnsiTheme="minorHAnsi" w:cstheme="minorHAnsi"/>
          <w:sz w:val="16"/>
          <w:szCs w:val="16"/>
        </w:rPr>
        <w:t xml:space="preserve"> noted that estimates of the number of outworkers have varied widely. Figures cited by the review range from over 300 000 (TCFUA, 1995) to 25,000. See: Department of Employment 2014, </w:t>
      </w:r>
      <w:r w:rsidRPr="00FD39BE">
        <w:rPr>
          <w:rFonts w:asciiTheme="minorHAnsi" w:hAnsiTheme="minorHAnsi" w:cstheme="minorHAnsi"/>
          <w:i/>
          <w:sz w:val="16"/>
          <w:szCs w:val="16"/>
        </w:rPr>
        <w:t>Post-implementation Review of the Fair Work Amendment (Textile, Clothing and Footwear Industry) Act 2012</w:t>
      </w:r>
      <w:r>
        <w:rPr>
          <w:rFonts w:asciiTheme="minorHAnsi" w:hAnsiTheme="minorHAnsi" w:cstheme="minorHAnsi"/>
          <w:sz w:val="16"/>
          <w:szCs w:val="16"/>
        </w:rPr>
        <w:t xml:space="preserve">, Department of Employment, </w:t>
      </w:r>
      <w:r w:rsidRPr="00FD39BE">
        <w:rPr>
          <w:rFonts w:asciiTheme="minorHAnsi" w:hAnsiTheme="minorHAnsi" w:cstheme="minorHAnsi"/>
          <w:sz w:val="16"/>
          <w:szCs w:val="16"/>
        </w:rPr>
        <w:t>viewed 2 November 2018, https://ris.pmc.gov.au/2015/12/16/fair-work-amendment-textile-clothing-and-footwear-industry-act-2012</w:t>
      </w:r>
    </w:p>
  </w:footnote>
  <w:footnote w:id="32">
    <w:p w:rsidR="00CF666B" w:rsidRPr="00951043" w:rsidRDefault="00CF666B" w:rsidP="00951043">
      <w:pPr>
        <w:pStyle w:val="FootnoteText"/>
        <w:spacing w:after="0" w:line="240" w:lineRule="auto"/>
        <w:rPr>
          <w:sz w:val="16"/>
          <w:szCs w:val="16"/>
        </w:rPr>
      </w:pPr>
      <w:r w:rsidRPr="00E24C4C">
        <w:rPr>
          <w:rStyle w:val="FootnoteReference"/>
          <w:szCs w:val="22"/>
        </w:rPr>
        <w:footnoteRef/>
      </w:r>
      <w:r w:rsidRPr="00E24C4C">
        <w:rPr>
          <w:rStyle w:val="FootnoteReference"/>
          <w:szCs w:val="22"/>
        </w:rPr>
        <w:t xml:space="preserve"> </w:t>
      </w:r>
      <w:r>
        <w:rPr>
          <w:i/>
          <w:sz w:val="16"/>
          <w:szCs w:val="16"/>
        </w:rPr>
        <w:t>Fair Work Act</w:t>
      </w:r>
      <w:r w:rsidRPr="00951043">
        <w:rPr>
          <w:i/>
          <w:sz w:val="16"/>
          <w:szCs w:val="16"/>
        </w:rPr>
        <w:t xml:space="preserve"> 2009</w:t>
      </w:r>
      <w:r>
        <w:rPr>
          <w:sz w:val="16"/>
          <w:szCs w:val="16"/>
        </w:rPr>
        <w:t>,</w:t>
      </w:r>
      <w:r w:rsidRPr="0086531C">
        <w:rPr>
          <w:sz w:val="16"/>
          <w:szCs w:val="16"/>
        </w:rPr>
        <w:t xml:space="preserve"> S12</w:t>
      </w:r>
    </w:p>
  </w:footnote>
  <w:footnote w:id="33">
    <w:p w:rsidR="00CF666B" w:rsidRPr="00951043" w:rsidRDefault="00CF666B" w:rsidP="00951043">
      <w:pPr>
        <w:pStyle w:val="FootnoteText"/>
        <w:spacing w:after="0" w:line="240" w:lineRule="auto"/>
        <w:rPr>
          <w:sz w:val="16"/>
          <w:szCs w:val="16"/>
        </w:rPr>
      </w:pPr>
      <w:r w:rsidRPr="00E24C4C">
        <w:rPr>
          <w:rStyle w:val="FootnoteReference"/>
          <w:szCs w:val="22"/>
        </w:rPr>
        <w:footnoteRef/>
      </w:r>
      <w:r>
        <w:rPr>
          <w:i/>
          <w:sz w:val="16"/>
          <w:szCs w:val="16"/>
        </w:rPr>
        <w:t xml:space="preserve"> Fair work Act</w:t>
      </w:r>
      <w:r w:rsidRPr="00061132">
        <w:rPr>
          <w:i/>
          <w:sz w:val="16"/>
          <w:szCs w:val="16"/>
        </w:rPr>
        <w:t xml:space="preserve"> 2009</w:t>
      </w:r>
      <w:r>
        <w:rPr>
          <w:i/>
          <w:sz w:val="16"/>
          <w:szCs w:val="16"/>
        </w:rPr>
        <w:t>,</w:t>
      </w:r>
      <w:r>
        <w:rPr>
          <w:sz w:val="16"/>
          <w:szCs w:val="16"/>
        </w:rPr>
        <w:t xml:space="preserve"> S30F (1)(a)&amp;(b)</w:t>
      </w:r>
    </w:p>
  </w:footnote>
  <w:footnote w:id="34">
    <w:p w:rsidR="00CF666B" w:rsidRDefault="00CF666B" w:rsidP="00EE2C74">
      <w:pPr>
        <w:pStyle w:val="FootnoteText"/>
        <w:spacing w:after="0" w:line="240" w:lineRule="auto"/>
      </w:pPr>
      <w:r w:rsidRPr="00E24C4C">
        <w:rPr>
          <w:rStyle w:val="FootnoteReference"/>
          <w:szCs w:val="22"/>
        </w:rPr>
        <w:footnoteRef/>
      </w:r>
      <w:r w:rsidRPr="00E24C4C">
        <w:rPr>
          <w:rStyle w:val="FootnoteReference"/>
          <w:szCs w:val="22"/>
        </w:rPr>
        <w:t xml:space="preserve"> </w:t>
      </w:r>
      <w:r w:rsidRPr="00FC054C">
        <w:rPr>
          <w:sz w:val="16"/>
          <w:szCs w:val="16"/>
        </w:rPr>
        <w:t xml:space="preserve">This category is broad and includes the processing and treatment of both natural and synthetic fibres, as well as weaving, printing, knitting, </w:t>
      </w:r>
      <w:r>
        <w:rPr>
          <w:sz w:val="16"/>
          <w:szCs w:val="16"/>
        </w:rPr>
        <w:t xml:space="preserve">the </w:t>
      </w:r>
      <w:r w:rsidRPr="00FC054C">
        <w:rPr>
          <w:sz w:val="16"/>
          <w:szCs w:val="16"/>
        </w:rPr>
        <w:t>repairing of fabrics and other incidental work connected with these operations</w:t>
      </w:r>
      <w:r>
        <w:rPr>
          <w:sz w:val="16"/>
          <w:szCs w:val="16"/>
        </w:rPr>
        <w:t>: see Clause 3,</w:t>
      </w:r>
      <w:r w:rsidRPr="00FF6D1F">
        <w:rPr>
          <w:sz w:val="16"/>
          <w:szCs w:val="16"/>
        </w:rPr>
        <w:t xml:space="preserve"> </w:t>
      </w:r>
      <w:r>
        <w:rPr>
          <w:sz w:val="16"/>
          <w:szCs w:val="16"/>
        </w:rPr>
        <w:t>TCF Award</w:t>
      </w:r>
    </w:p>
  </w:footnote>
  <w:footnote w:id="35">
    <w:p w:rsidR="00CF666B" w:rsidRPr="00951043" w:rsidRDefault="00CF666B" w:rsidP="005F25F4">
      <w:pPr>
        <w:pStyle w:val="FootnoteText"/>
        <w:spacing w:after="0" w:line="240" w:lineRule="auto"/>
        <w:rPr>
          <w:sz w:val="16"/>
          <w:szCs w:val="16"/>
        </w:rPr>
      </w:pPr>
      <w:r w:rsidRPr="00E24C4C">
        <w:rPr>
          <w:rStyle w:val="FootnoteReference"/>
          <w:lang w:eastAsia="en-AU"/>
        </w:rPr>
        <w:footnoteRef/>
      </w:r>
      <w:r w:rsidRPr="00E24C4C">
        <w:rPr>
          <w:rStyle w:val="FootnoteReference"/>
          <w:lang w:eastAsia="en-AU"/>
        </w:rPr>
        <w:t xml:space="preserve"> </w:t>
      </w:r>
      <w:r>
        <w:rPr>
          <w:sz w:val="16"/>
          <w:szCs w:val="16"/>
        </w:rPr>
        <w:t>T</w:t>
      </w:r>
      <w:r w:rsidRPr="00951043">
        <w:rPr>
          <w:sz w:val="16"/>
          <w:szCs w:val="16"/>
        </w:rPr>
        <w:t>he rate for an adult trainee engaged on</w:t>
      </w:r>
      <w:r>
        <w:rPr>
          <w:sz w:val="16"/>
          <w:szCs w:val="16"/>
        </w:rPr>
        <w:t xml:space="preserve"> a full-time or part-time basis</w:t>
      </w:r>
    </w:p>
  </w:footnote>
  <w:footnote w:id="36">
    <w:p w:rsidR="00CF666B" w:rsidRPr="008E3162" w:rsidRDefault="00CF666B" w:rsidP="00951043">
      <w:pPr>
        <w:pStyle w:val="FootnoteText"/>
        <w:spacing w:after="0" w:line="240" w:lineRule="auto"/>
        <w:rPr>
          <w:sz w:val="16"/>
          <w:szCs w:val="16"/>
        </w:rPr>
      </w:pPr>
      <w:r w:rsidRPr="00E24C4C">
        <w:rPr>
          <w:rStyle w:val="FootnoteReference"/>
          <w:lang w:eastAsia="en-AU"/>
        </w:rPr>
        <w:footnoteRef/>
      </w:r>
      <w:r w:rsidRPr="008E3162">
        <w:rPr>
          <w:sz w:val="16"/>
          <w:szCs w:val="16"/>
        </w:rPr>
        <w:t xml:space="preserve"> </w:t>
      </w:r>
      <w:r w:rsidRPr="00FD39BE">
        <w:rPr>
          <w:sz w:val="16"/>
          <w:szCs w:val="16"/>
        </w:rPr>
        <w:t>TCF Award,</w:t>
      </w:r>
      <w:r w:rsidRPr="008E3162">
        <w:rPr>
          <w:sz w:val="16"/>
          <w:szCs w:val="16"/>
        </w:rPr>
        <w:t xml:space="preserve"> Schedule B.3</w:t>
      </w:r>
    </w:p>
  </w:footnote>
  <w:footnote w:id="37">
    <w:p w:rsidR="00CF666B" w:rsidRPr="008E3162" w:rsidRDefault="00CF666B" w:rsidP="008E3162">
      <w:pPr>
        <w:pStyle w:val="FootnoteText"/>
        <w:spacing w:after="0" w:line="240" w:lineRule="auto"/>
        <w:rPr>
          <w:sz w:val="16"/>
          <w:szCs w:val="16"/>
        </w:rPr>
      </w:pPr>
      <w:r w:rsidRPr="00E24C4C">
        <w:rPr>
          <w:rStyle w:val="FootnoteReference"/>
          <w:lang w:eastAsia="en-AU"/>
        </w:rPr>
        <w:footnoteRef/>
      </w:r>
      <w:r w:rsidRPr="00E24C4C">
        <w:rPr>
          <w:rStyle w:val="FootnoteReference"/>
          <w:lang w:eastAsia="en-AU"/>
        </w:rPr>
        <w:t xml:space="preserve"> </w:t>
      </w:r>
      <w:r w:rsidRPr="008E3162">
        <w:rPr>
          <w:sz w:val="16"/>
          <w:szCs w:val="16"/>
        </w:rPr>
        <w:t>Textile, Clothing and Footwear Union of Australia (TCFUA)</w:t>
      </w:r>
    </w:p>
  </w:footnote>
  <w:footnote w:id="38">
    <w:p w:rsidR="00CF666B" w:rsidRPr="008E3162" w:rsidRDefault="00CF666B" w:rsidP="008E3162">
      <w:pPr>
        <w:pStyle w:val="FootnoteText"/>
        <w:spacing w:after="0" w:line="240" w:lineRule="auto"/>
        <w:rPr>
          <w:sz w:val="16"/>
          <w:szCs w:val="16"/>
        </w:rPr>
      </w:pPr>
      <w:r w:rsidRPr="00E24C4C">
        <w:rPr>
          <w:rStyle w:val="FootnoteReference"/>
          <w:lang w:eastAsia="en-AU"/>
        </w:rPr>
        <w:footnoteRef/>
      </w:r>
      <w:r w:rsidRPr="008E3162">
        <w:rPr>
          <w:sz w:val="16"/>
          <w:szCs w:val="16"/>
        </w:rPr>
        <w:t xml:space="preserve"> It is the only Modern Award to includ</w:t>
      </w:r>
      <w:r>
        <w:rPr>
          <w:sz w:val="16"/>
          <w:szCs w:val="16"/>
        </w:rPr>
        <w:t>e outworker-specific provisions</w:t>
      </w:r>
    </w:p>
  </w:footnote>
  <w:footnote w:id="39">
    <w:p w:rsidR="00CF666B" w:rsidRPr="008E3162" w:rsidRDefault="00CF666B" w:rsidP="008E3162">
      <w:pPr>
        <w:pStyle w:val="FootnoteText"/>
        <w:spacing w:after="0" w:line="240" w:lineRule="auto"/>
        <w:rPr>
          <w:sz w:val="16"/>
          <w:szCs w:val="16"/>
        </w:rPr>
      </w:pPr>
      <w:r w:rsidRPr="00E24C4C">
        <w:rPr>
          <w:rStyle w:val="FootnoteReference"/>
          <w:lang w:eastAsia="en-AU"/>
        </w:rPr>
        <w:footnoteRef/>
      </w:r>
      <w:r w:rsidRPr="00E24C4C">
        <w:rPr>
          <w:rStyle w:val="FootnoteReference"/>
          <w:lang w:eastAsia="en-AU"/>
        </w:rPr>
        <w:t xml:space="preserve"> </w:t>
      </w:r>
      <w:r w:rsidRPr="008E3162">
        <w:rPr>
          <w:sz w:val="16"/>
          <w:szCs w:val="16"/>
        </w:rPr>
        <w:t xml:space="preserve">Importantly, </w:t>
      </w:r>
      <w:r>
        <w:rPr>
          <w:sz w:val="16"/>
          <w:szCs w:val="16"/>
        </w:rPr>
        <w:t>principal</w:t>
      </w:r>
      <w:r w:rsidRPr="008E3162">
        <w:rPr>
          <w:sz w:val="16"/>
          <w:szCs w:val="16"/>
        </w:rPr>
        <w:t xml:space="preserve">s must not outsource work to another </w:t>
      </w:r>
      <w:r>
        <w:rPr>
          <w:sz w:val="16"/>
          <w:szCs w:val="16"/>
        </w:rPr>
        <w:t>principal</w:t>
      </w:r>
      <w:r w:rsidRPr="008E3162">
        <w:rPr>
          <w:sz w:val="16"/>
          <w:szCs w:val="16"/>
        </w:rPr>
        <w:t xml:space="preserve"> who is unregistered - ensuring that if that </w:t>
      </w:r>
      <w:r>
        <w:rPr>
          <w:sz w:val="16"/>
          <w:szCs w:val="16"/>
        </w:rPr>
        <w:t>principal</w:t>
      </w:r>
      <w:r w:rsidRPr="008E3162">
        <w:rPr>
          <w:sz w:val="16"/>
          <w:szCs w:val="16"/>
        </w:rPr>
        <w:t xml:space="preserve"> outsources work, labour supply arrangements in th</w:t>
      </w:r>
      <w:r>
        <w:rPr>
          <w:sz w:val="16"/>
          <w:szCs w:val="16"/>
        </w:rPr>
        <w:t>e supply chain remain traceable</w:t>
      </w:r>
    </w:p>
  </w:footnote>
  <w:footnote w:id="40">
    <w:p w:rsidR="00CF666B" w:rsidRPr="00EE2C74" w:rsidRDefault="00CF666B" w:rsidP="00EE2C74">
      <w:pPr>
        <w:pStyle w:val="CommentText"/>
        <w:spacing w:after="0" w:line="240" w:lineRule="auto"/>
        <w:rPr>
          <w:sz w:val="16"/>
          <w:szCs w:val="16"/>
        </w:rPr>
      </w:pPr>
      <w:r w:rsidRPr="00EE2C74">
        <w:rPr>
          <w:rStyle w:val="FootnoteReference"/>
          <w:sz w:val="16"/>
          <w:szCs w:val="16"/>
        </w:rPr>
        <w:footnoteRef/>
      </w:r>
      <w:r w:rsidRPr="00EE2C74">
        <w:rPr>
          <w:sz w:val="16"/>
          <w:szCs w:val="16"/>
        </w:rPr>
        <w:t xml:space="preserve"> </w:t>
      </w:r>
      <w:r>
        <w:rPr>
          <w:sz w:val="16"/>
          <w:szCs w:val="16"/>
        </w:rPr>
        <w:t>All</w:t>
      </w:r>
      <w:r w:rsidRPr="00EE2C74">
        <w:rPr>
          <w:sz w:val="16"/>
          <w:szCs w:val="16"/>
        </w:rPr>
        <w:t xml:space="preserve"> applicable rates of pay </w:t>
      </w:r>
      <w:r>
        <w:rPr>
          <w:sz w:val="16"/>
          <w:szCs w:val="16"/>
        </w:rPr>
        <w:t>are provided in the TCF Award Pay Guide provided on the FWO Website,</w:t>
      </w:r>
      <w:r w:rsidRPr="00EE2C74">
        <w:rPr>
          <w:rStyle w:val="Hyperlink"/>
          <w:rFonts w:asciiTheme="minorHAnsi" w:hAnsiTheme="minorHAnsi" w:cstheme="minorHAnsi"/>
          <w:sz w:val="16"/>
          <w:szCs w:val="16"/>
        </w:rPr>
        <w:t xml:space="preserve"> </w:t>
      </w:r>
      <w:r w:rsidRPr="00456604">
        <w:rPr>
          <w:sz w:val="16"/>
          <w:szCs w:val="16"/>
        </w:rPr>
        <w:t>https://www.fairwork.gov.au/ArticleDocuments/872/textile-clothing-footwear-and-associated-industries-award-ma000017-pay-guide.docx.aspx</w:t>
      </w:r>
    </w:p>
  </w:footnote>
  <w:footnote w:id="41">
    <w:p w:rsidR="00CF666B" w:rsidRPr="00161A37" w:rsidRDefault="00CF666B" w:rsidP="00161A37">
      <w:pPr>
        <w:spacing w:after="0" w:line="240" w:lineRule="auto"/>
        <w:jc w:val="both"/>
        <w:rPr>
          <w:sz w:val="16"/>
          <w:szCs w:val="16"/>
          <w:lang w:eastAsia="en-AU"/>
        </w:rPr>
      </w:pPr>
      <w:r w:rsidRPr="00EE2C74">
        <w:rPr>
          <w:rStyle w:val="FootnoteReference"/>
          <w:sz w:val="16"/>
          <w:szCs w:val="16"/>
        </w:rPr>
        <w:footnoteRef/>
      </w:r>
      <w:r w:rsidRPr="00EE2C74">
        <w:rPr>
          <w:sz w:val="16"/>
          <w:szCs w:val="16"/>
        </w:rPr>
        <w:t xml:space="preserve"> </w:t>
      </w:r>
      <w:r w:rsidRPr="00EE2C74">
        <w:rPr>
          <w:sz w:val="16"/>
          <w:szCs w:val="16"/>
          <w:lang w:eastAsia="en-AU"/>
        </w:rPr>
        <w:t>Individual State and Territory Results are provided in Appendix B</w:t>
      </w:r>
    </w:p>
  </w:footnote>
  <w:footnote w:id="42">
    <w:p w:rsidR="00CF666B" w:rsidRPr="00161A37" w:rsidRDefault="00CF666B" w:rsidP="00161A37">
      <w:pPr>
        <w:pStyle w:val="FootnoteText"/>
        <w:spacing w:after="0" w:line="240" w:lineRule="auto"/>
        <w:rPr>
          <w:sz w:val="16"/>
          <w:szCs w:val="16"/>
        </w:rPr>
      </w:pPr>
      <w:r w:rsidRPr="00EF70E6">
        <w:rPr>
          <w:rStyle w:val="FootnoteReference"/>
          <w:sz w:val="16"/>
          <w:szCs w:val="16"/>
        </w:rPr>
        <w:footnoteRef/>
      </w:r>
      <w:r w:rsidRPr="00EF70E6">
        <w:rPr>
          <w:sz w:val="16"/>
          <w:szCs w:val="16"/>
        </w:rPr>
        <w:t xml:space="preserve"> For a breakdown of compliance by sector, see</w:t>
      </w:r>
      <w:r>
        <w:rPr>
          <w:sz w:val="16"/>
          <w:szCs w:val="16"/>
        </w:rPr>
        <w:t xml:space="preserve">: Fair Work Ombudsman 2018, </w:t>
      </w:r>
      <w:r w:rsidRPr="00456604">
        <w:rPr>
          <w:i/>
          <w:sz w:val="16"/>
          <w:szCs w:val="16"/>
        </w:rPr>
        <w:t>National Compliance Monitoring Report 2016-2017</w:t>
      </w:r>
      <w:r>
        <w:rPr>
          <w:sz w:val="16"/>
          <w:szCs w:val="16"/>
        </w:rPr>
        <w:t xml:space="preserve">, </w:t>
      </w:r>
      <w:r w:rsidRPr="00456604">
        <w:rPr>
          <w:sz w:val="16"/>
          <w:szCs w:val="16"/>
        </w:rPr>
        <w:t>https://www.fairwork.gov.au/ArticleDocuments/714/national-compliance-monitoring-campaign-report-number-2.docx.aspx</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666B" w:rsidRDefault="00CF666B">
    <w:pPr>
      <w:pStyle w:val="Header"/>
    </w:pPr>
  </w:p>
  <w:p w:rsidR="00CF666B" w:rsidRDefault="00CF666B"/>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666B" w:rsidRDefault="00CF666B" w:rsidP="00A7427B">
    <w:pPr>
      <w:tabs>
        <w:tab w:val="left" w:pos="920"/>
      </w:tabs>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666B" w:rsidRPr="003952ED" w:rsidRDefault="00CF666B" w:rsidP="00AB27F9">
    <w:pPr>
      <w:rPr>
        <w:u w:val="single"/>
      </w:rPr>
    </w:pPr>
    <w:r>
      <w:rPr>
        <w:noProof/>
        <w:u w:val="single"/>
        <w:lang w:eastAsia="en-AU"/>
      </w:rPr>
      <w:drawing>
        <wp:anchor distT="0" distB="0" distL="114300" distR="114300" simplePos="0" relativeHeight="251658240" behindDoc="0" locked="0" layoutInCell="1" allowOverlap="1" wp14:anchorId="77511391" wp14:editId="5F568B14">
          <wp:simplePos x="0" y="0"/>
          <wp:positionH relativeFrom="page">
            <wp:align>right</wp:align>
          </wp:positionH>
          <wp:positionV relativeFrom="margin">
            <wp:posOffset>-790229</wp:posOffset>
          </wp:positionV>
          <wp:extent cx="7576249" cy="12864652"/>
          <wp:effectExtent l="0" t="0" r="5715"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6249" cy="12864652"/>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A698C5B2"/>
    <w:lvl w:ilvl="0">
      <w:numFmt w:val="decimal"/>
      <w:pStyle w:val="Caption"/>
      <w:lvlText w:val="*"/>
      <w:lvlJc w:val="left"/>
      <w:rPr>
        <w:rFonts w:cs="Times New Roman"/>
      </w:rPr>
    </w:lvl>
  </w:abstractNum>
  <w:abstractNum w:abstractNumId="1" w15:restartNumberingAfterBreak="0">
    <w:nsid w:val="0018498E"/>
    <w:multiLevelType w:val="hybridMultilevel"/>
    <w:tmpl w:val="06926AF6"/>
    <w:lvl w:ilvl="0" w:tplc="0D68BDAA">
      <w:start w:val="1"/>
      <w:numFmt w:val="bullet"/>
      <w:lvlText w:val=""/>
      <w:lvlJc w:val="left"/>
      <w:pPr>
        <w:ind w:left="360" w:hanging="360"/>
      </w:pPr>
      <w:rPr>
        <w:rFonts w:ascii="Wingdings" w:hAnsi="Wingdings" w:hint="default"/>
        <w:color w:val="17365D" w:themeColor="text2" w:themeShade="BF"/>
      </w:rPr>
    </w:lvl>
    <w:lvl w:ilvl="1" w:tplc="0C090003" w:tentative="1">
      <w:start w:val="1"/>
      <w:numFmt w:val="bullet"/>
      <w:lvlText w:val="o"/>
      <w:lvlJc w:val="left"/>
      <w:pPr>
        <w:ind w:left="-1059" w:hanging="360"/>
      </w:pPr>
      <w:rPr>
        <w:rFonts w:ascii="Courier New" w:hAnsi="Courier New" w:cs="Courier New" w:hint="default"/>
      </w:rPr>
    </w:lvl>
    <w:lvl w:ilvl="2" w:tplc="0C090005" w:tentative="1">
      <w:start w:val="1"/>
      <w:numFmt w:val="bullet"/>
      <w:lvlText w:val=""/>
      <w:lvlJc w:val="left"/>
      <w:pPr>
        <w:ind w:left="-339" w:hanging="360"/>
      </w:pPr>
      <w:rPr>
        <w:rFonts w:ascii="Wingdings" w:hAnsi="Wingdings" w:hint="default"/>
      </w:rPr>
    </w:lvl>
    <w:lvl w:ilvl="3" w:tplc="0C090001" w:tentative="1">
      <w:start w:val="1"/>
      <w:numFmt w:val="bullet"/>
      <w:lvlText w:val=""/>
      <w:lvlJc w:val="left"/>
      <w:pPr>
        <w:ind w:left="381" w:hanging="360"/>
      </w:pPr>
      <w:rPr>
        <w:rFonts w:ascii="Symbol" w:hAnsi="Symbol" w:hint="default"/>
      </w:rPr>
    </w:lvl>
    <w:lvl w:ilvl="4" w:tplc="0C090003" w:tentative="1">
      <w:start w:val="1"/>
      <w:numFmt w:val="bullet"/>
      <w:lvlText w:val="o"/>
      <w:lvlJc w:val="left"/>
      <w:pPr>
        <w:ind w:left="1101" w:hanging="360"/>
      </w:pPr>
      <w:rPr>
        <w:rFonts w:ascii="Courier New" w:hAnsi="Courier New" w:cs="Courier New" w:hint="default"/>
      </w:rPr>
    </w:lvl>
    <w:lvl w:ilvl="5" w:tplc="0C090005" w:tentative="1">
      <w:start w:val="1"/>
      <w:numFmt w:val="bullet"/>
      <w:lvlText w:val=""/>
      <w:lvlJc w:val="left"/>
      <w:pPr>
        <w:ind w:left="1821" w:hanging="360"/>
      </w:pPr>
      <w:rPr>
        <w:rFonts w:ascii="Wingdings" w:hAnsi="Wingdings" w:hint="default"/>
      </w:rPr>
    </w:lvl>
    <w:lvl w:ilvl="6" w:tplc="0C090001" w:tentative="1">
      <w:start w:val="1"/>
      <w:numFmt w:val="bullet"/>
      <w:lvlText w:val=""/>
      <w:lvlJc w:val="left"/>
      <w:pPr>
        <w:ind w:left="2541" w:hanging="360"/>
      </w:pPr>
      <w:rPr>
        <w:rFonts w:ascii="Symbol" w:hAnsi="Symbol" w:hint="default"/>
      </w:rPr>
    </w:lvl>
    <w:lvl w:ilvl="7" w:tplc="0C090003" w:tentative="1">
      <w:start w:val="1"/>
      <w:numFmt w:val="bullet"/>
      <w:lvlText w:val="o"/>
      <w:lvlJc w:val="left"/>
      <w:pPr>
        <w:ind w:left="3261" w:hanging="360"/>
      </w:pPr>
      <w:rPr>
        <w:rFonts w:ascii="Courier New" w:hAnsi="Courier New" w:cs="Courier New" w:hint="default"/>
      </w:rPr>
    </w:lvl>
    <w:lvl w:ilvl="8" w:tplc="0C090005" w:tentative="1">
      <w:start w:val="1"/>
      <w:numFmt w:val="bullet"/>
      <w:lvlText w:val=""/>
      <w:lvlJc w:val="left"/>
      <w:pPr>
        <w:ind w:left="3981" w:hanging="360"/>
      </w:pPr>
      <w:rPr>
        <w:rFonts w:ascii="Wingdings" w:hAnsi="Wingdings" w:hint="default"/>
      </w:rPr>
    </w:lvl>
  </w:abstractNum>
  <w:abstractNum w:abstractNumId="2" w15:restartNumberingAfterBreak="0">
    <w:nsid w:val="02F35363"/>
    <w:multiLevelType w:val="hybridMultilevel"/>
    <w:tmpl w:val="9E383BC2"/>
    <w:lvl w:ilvl="0" w:tplc="39747C98">
      <w:start w:val="1"/>
      <w:numFmt w:val="bullet"/>
      <w:lvlText w:val=""/>
      <w:lvlJc w:val="left"/>
      <w:pPr>
        <w:ind w:left="360" w:hanging="360"/>
      </w:pPr>
      <w:rPr>
        <w:rFonts w:ascii="Wingdings" w:hAnsi="Wingdings" w:hint="default"/>
        <w:color w:val="0F243E" w:themeColor="text2" w:themeShade="8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79F190A"/>
    <w:multiLevelType w:val="hybridMultilevel"/>
    <w:tmpl w:val="90EE9B4C"/>
    <w:lvl w:ilvl="0" w:tplc="0D68BDAA">
      <w:start w:val="1"/>
      <w:numFmt w:val="bullet"/>
      <w:lvlText w:val=""/>
      <w:lvlJc w:val="left"/>
      <w:pPr>
        <w:ind w:left="360" w:hanging="360"/>
      </w:pPr>
      <w:rPr>
        <w:rFonts w:ascii="Wingdings" w:hAnsi="Wingdings" w:hint="default"/>
        <w:color w:val="17365D" w:themeColor="text2" w:themeShade="BF"/>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A807B9E"/>
    <w:multiLevelType w:val="hybridMultilevel"/>
    <w:tmpl w:val="9CAE34B6"/>
    <w:lvl w:ilvl="0" w:tplc="39747C98">
      <w:start w:val="1"/>
      <w:numFmt w:val="bullet"/>
      <w:lvlText w:val=""/>
      <w:lvlJc w:val="left"/>
      <w:pPr>
        <w:ind w:left="360" w:hanging="360"/>
      </w:pPr>
      <w:rPr>
        <w:rFonts w:ascii="Wingdings" w:hAnsi="Wingdings" w:hint="default"/>
        <w:color w:val="0F243E" w:themeColor="text2" w:themeShade="80"/>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A9C3302"/>
    <w:multiLevelType w:val="hybridMultilevel"/>
    <w:tmpl w:val="7DEA206C"/>
    <w:lvl w:ilvl="0" w:tplc="0D68BDAA">
      <w:start w:val="1"/>
      <w:numFmt w:val="bullet"/>
      <w:lvlText w:val=""/>
      <w:lvlJc w:val="left"/>
      <w:pPr>
        <w:ind w:left="1083" w:hanging="360"/>
      </w:pPr>
      <w:rPr>
        <w:rFonts w:ascii="Wingdings" w:hAnsi="Wingdings" w:hint="default"/>
        <w:color w:val="17365D" w:themeColor="text2" w:themeShade="BF"/>
      </w:rPr>
    </w:lvl>
    <w:lvl w:ilvl="1" w:tplc="0C090003" w:tentative="1">
      <w:start w:val="1"/>
      <w:numFmt w:val="bullet"/>
      <w:lvlText w:val="o"/>
      <w:lvlJc w:val="left"/>
      <w:pPr>
        <w:ind w:left="1803" w:hanging="360"/>
      </w:pPr>
      <w:rPr>
        <w:rFonts w:ascii="Courier New" w:hAnsi="Courier New" w:cs="Courier New" w:hint="default"/>
      </w:rPr>
    </w:lvl>
    <w:lvl w:ilvl="2" w:tplc="0C090005" w:tentative="1">
      <w:start w:val="1"/>
      <w:numFmt w:val="bullet"/>
      <w:lvlText w:val=""/>
      <w:lvlJc w:val="left"/>
      <w:pPr>
        <w:ind w:left="2523" w:hanging="360"/>
      </w:pPr>
      <w:rPr>
        <w:rFonts w:ascii="Wingdings" w:hAnsi="Wingdings" w:hint="default"/>
      </w:rPr>
    </w:lvl>
    <w:lvl w:ilvl="3" w:tplc="0C090001" w:tentative="1">
      <w:start w:val="1"/>
      <w:numFmt w:val="bullet"/>
      <w:lvlText w:val=""/>
      <w:lvlJc w:val="left"/>
      <w:pPr>
        <w:ind w:left="3243" w:hanging="360"/>
      </w:pPr>
      <w:rPr>
        <w:rFonts w:ascii="Symbol" w:hAnsi="Symbol" w:hint="default"/>
      </w:rPr>
    </w:lvl>
    <w:lvl w:ilvl="4" w:tplc="0C090003" w:tentative="1">
      <w:start w:val="1"/>
      <w:numFmt w:val="bullet"/>
      <w:lvlText w:val="o"/>
      <w:lvlJc w:val="left"/>
      <w:pPr>
        <w:ind w:left="3963" w:hanging="360"/>
      </w:pPr>
      <w:rPr>
        <w:rFonts w:ascii="Courier New" w:hAnsi="Courier New" w:cs="Courier New" w:hint="default"/>
      </w:rPr>
    </w:lvl>
    <w:lvl w:ilvl="5" w:tplc="0C090005" w:tentative="1">
      <w:start w:val="1"/>
      <w:numFmt w:val="bullet"/>
      <w:lvlText w:val=""/>
      <w:lvlJc w:val="left"/>
      <w:pPr>
        <w:ind w:left="4683" w:hanging="360"/>
      </w:pPr>
      <w:rPr>
        <w:rFonts w:ascii="Wingdings" w:hAnsi="Wingdings" w:hint="default"/>
      </w:rPr>
    </w:lvl>
    <w:lvl w:ilvl="6" w:tplc="0C090001" w:tentative="1">
      <w:start w:val="1"/>
      <w:numFmt w:val="bullet"/>
      <w:lvlText w:val=""/>
      <w:lvlJc w:val="left"/>
      <w:pPr>
        <w:ind w:left="5403" w:hanging="360"/>
      </w:pPr>
      <w:rPr>
        <w:rFonts w:ascii="Symbol" w:hAnsi="Symbol" w:hint="default"/>
      </w:rPr>
    </w:lvl>
    <w:lvl w:ilvl="7" w:tplc="0C090003" w:tentative="1">
      <w:start w:val="1"/>
      <w:numFmt w:val="bullet"/>
      <w:lvlText w:val="o"/>
      <w:lvlJc w:val="left"/>
      <w:pPr>
        <w:ind w:left="6123" w:hanging="360"/>
      </w:pPr>
      <w:rPr>
        <w:rFonts w:ascii="Courier New" w:hAnsi="Courier New" w:cs="Courier New" w:hint="default"/>
      </w:rPr>
    </w:lvl>
    <w:lvl w:ilvl="8" w:tplc="0C090005" w:tentative="1">
      <w:start w:val="1"/>
      <w:numFmt w:val="bullet"/>
      <w:lvlText w:val=""/>
      <w:lvlJc w:val="left"/>
      <w:pPr>
        <w:ind w:left="6843" w:hanging="360"/>
      </w:pPr>
      <w:rPr>
        <w:rFonts w:ascii="Wingdings" w:hAnsi="Wingdings" w:hint="default"/>
      </w:rPr>
    </w:lvl>
  </w:abstractNum>
  <w:abstractNum w:abstractNumId="6" w15:restartNumberingAfterBreak="0">
    <w:nsid w:val="0B9F00E2"/>
    <w:multiLevelType w:val="hybridMultilevel"/>
    <w:tmpl w:val="F5184B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C2A52E3"/>
    <w:multiLevelType w:val="hybridMultilevel"/>
    <w:tmpl w:val="D346A7E2"/>
    <w:lvl w:ilvl="0" w:tplc="39747C98">
      <w:start w:val="1"/>
      <w:numFmt w:val="bullet"/>
      <w:lvlText w:val=""/>
      <w:lvlJc w:val="left"/>
      <w:pPr>
        <w:ind w:left="720" w:hanging="360"/>
      </w:pPr>
      <w:rPr>
        <w:rFonts w:ascii="Wingdings" w:hAnsi="Wingdings" w:hint="default"/>
        <w:color w:val="0F243E" w:themeColor="text2"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E7431E6"/>
    <w:multiLevelType w:val="hybridMultilevel"/>
    <w:tmpl w:val="D97CEA04"/>
    <w:lvl w:ilvl="0" w:tplc="11EABC3A">
      <w:start w:val="1"/>
      <w:numFmt w:val="bullet"/>
      <w:lvlText w:val=""/>
      <w:lvlJc w:val="left"/>
      <w:pPr>
        <w:ind w:left="720" w:hanging="360"/>
      </w:pPr>
      <w:rPr>
        <w:rFonts w:ascii="Wingdings" w:hAnsi="Wingdings" w:hint="default"/>
        <w:color w:val="0194A6"/>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F207698"/>
    <w:multiLevelType w:val="hybridMultilevel"/>
    <w:tmpl w:val="CABC1CA8"/>
    <w:lvl w:ilvl="0" w:tplc="0D68BDAA">
      <w:start w:val="1"/>
      <w:numFmt w:val="bullet"/>
      <w:lvlText w:val=""/>
      <w:lvlJc w:val="left"/>
      <w:pPr>
        <w:ind w:left="720" w:hanging="360"/>
      </w:pPr>
      <w:rPr>
        <w:rFonts w:ascii="Wingdings" w:hAnsi="Wingdings" w:hint="default"/>
        <w:color w:val="17365D" w:themeColor="text2"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7084D5B"/>
    <w:multiLevelType w:val="hybridMultilevel"/>
    <w:tmpl w:val="64D85228"/>
    <w:lvl w:ilvl="0" w:tplc="FF26E900">
      <w:numFmt w:val="bullet"/>
      <w:lvlText w:val="•"/>
      <w:lvlJc w:val="left"/>
      <w:pPr>
        <w:ind w:left="1185" w:hanging="825"/>
      </w:pPr>
      <w:rPr>
        <w:rFonts w:ascii="Arial" w:eastAsia="Times New Roman"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BD864C9"/>
    <w:multiLevelType w:val="hybridMultilevel"/>
    <w:tmpl w:val="7E6A462C"/>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1917542"/>
    <w:multiLevelType w:val="hybridMultilevel"/>
    <w:tmpl w:val="5538B6C6"/>
    <w:lvl w:ilvl="0" w:tplc="2974B152">
      <w:start w:val="1"/>
      <w:numFmt w:val="bullet"/>
      <w:lvlText w:val=""/>
      <w:lvlJc w:val="left"/>
      <w:pPr>
        <w:ind w:left="720" w:hanging="360"/>
      </w:pPr>
      <w:rPr>
        <w:rFonts w:ascii="Wingdings" w:hAnsi="Wingdings" w:hint="default"/>
        <w:color w:val="0194A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29A1C85"/>
    <w:multiLevelType w:val="hybridMultilevel"/>
    <w:tmpl w:val="C4825DAC"/>
    <w:lvl w:ilvl="0" w:tplc="2974B152">
      <w:start w:val="1"/>
      <w:numFmt w:val="bullet"/>
      <w:lvlText w:val=""/>
      <w:lvlJc w:val="left"/>
      <w:pPr>
        <w:ind w:left="360" w:hanging="360"/>
      </w:pPr>
      <w:rPr>
        <w:rFonts w:ascii="Wingdings" w:hAnsi="Wingdings" w:hint="default"/>
        <w:color w:val="0194A6"/>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23967C9A"/>
    <w:multiLevelType w:val="hybridMultilevel"/>
    <w:tmpl w:val="3CC6E30A"/>
    <w:lvl w:ilvl="0" w:tplc="AB86CA3C">
      <w:start w:val="1"/>
      <w:numFmt w:val="bullet"/>
      <w:pStyle w:val="Dotpoint"/>
      <w:lvlText w:val=""/>
      <w:lvlJc w:val="left"/>
      <w:pPr>
        <w:tabs>
          <w:tab w:val="num" w:pos="1385"/>
        </w:tabs>
        <w:ind w:left="1385" w:hanging="283"/>
      </w:pPr>
      <w:rPr>
        <w:rFonts w:ascii="Symbol" w:hAnsi="Symbol" w:hint="default"/>
      </w:rPr>
    </w:lvl>
    <w:lvl w:ilvl="1" w:tplc="0C090003" w:tentative="1">
      <w:start w:val="1"/>
      <w:numFmt w:val="bullet"/>
      <w:lvlText w:val="o"/>
      <w:lvlJc w:val="left"/>
      <w:pPr>
        <w:tabs>
          <w:tab w:val="num" w:pos="1462"/>
        </w:tabs>
        <w:ind w:left="1462" w:hanging="360"/>
      </w:pPr>
      <w:rPr>
        <w:rFonts w:ascii="Courier New" w:hAnsi="Courier New" w:hint="default"/>
      </w:rPr>
    </w:lvl>
    <w:lvl w:ilvl="2" w:tplc="0C090005" w:tentative="1">
      <w:start w:val="1"/>
      <w:numFmt w:val="bullet"/>
      <w:lvlText w:val=""/>
      <w:lvlJc w:val="left"/>
      <w:pPr>
        <w:tabs>
          <w:tab w:val="num" w:pos="2182"/>
        </w:tabs>
        <w:ind w:left="2182" w:hanging="360"/>
      </w:pPr>
      <w:rPr>
        <w:rFonts w:ascii="Wingdings" w:hAnsi="Wingdings" w:hint="default"/>
      </w:rPr>
    </w:lvl>
    <w:lvl w:ilvl="3" w:tplc="0C090001" w:tentative="1">
      <w:start w:val="1"/>
      <w:numFmt w:val="bullet"/>
      <w:lvlText w:val=""/>
      <w:lvlJc w:val="left"/>
      <w:pPr>
        <w:tabs>
          <w:tab w:val="num" w:pos="2902"/>
        </w:tabs>
        <w:ind w:left="2902" w:hanging="360"/>
      </w:pPr>
      <w:rPr>
        <w:rFonts w:ascii="Symbol" w:hAnsi="Symbol" w:hint="default"/>
      </w:rPr>
    </w:lvl>
    <w:lvl w:ilvl="4" w:tplc="0C090003" w:tentative="1">
      <w:start w:val="1"/>
      <w:numFmt w:val="bullet"/>
      <w:lvlText w:val="o"/>
      <w:lvlJc w:val="left"/>
      <w:pPr>
        <w:tabs>
          <w:tab w:val="num" w:pos="3622"/>
        </w:tabs>
        <w:ind w:left="3622" w:hanging="360"/>
      </w:pPr>
      <w:rPr>
        <w:rFonts w:ascii="Courier New" w:hAnsi="Courier New" w:hint="default"/>
      </w:rPr>
    </w:lvl>
    <w:lvl w:ilvl="5" w:tplc="0C090005" w:tentative="1">
      <w:start w:val="1"/>
      <w:numFmt w:val="bullet"/>
      <w:lvlText w:val=""/>
      <w:lvlJc w:val="left"/>
      <w:pPr>
        <w:tabs>
          <w:tab w:val="num" w:pos="4342"/>
        </w:tabs>
        <w:ind w:left="4342" w:hanging="360"/>
      </w:pPr>
      <w:rPr>
        <w:rFonts w:ascii="Wingdings" w:hAnsi="Wingdings" w:hint="default"/>
      </w:rPr>
    </w:lvl>
    <w:lvl w:ilvl="6" w:tplc="0C090001" w:tentative="1">
      <w:start w:val="1"/>
      <w:numFmt w:val="bullet"/>
      <w:lvlText w:val=""/>
      <w:lvlJc w:val="left"/>
      <w:pPr>
        <w:tabs>
          <w:tab w:val="num" w:pos="5062"/>
        </w:tabs>
        <w:ind w:left="5062" w:hanging="360"/>
      </w:pPr>
      <w:rPr>
        <w:rFonts w:ascii="Symbol" w:hAnsi="Symbol" w:hint="default"/>
      </w:rPr>
    </w:lvl>
    <w:lvl w:ilvl="7" w:tplc="0C090003" w:tentative="1">
      <w:start w:val="1"/>
      <w:numFmt w:val="bullet"/>
      <w:lvlText w:val="o"/>
      <w:lvlJc w:val="left"/>
      <w:pPr>
        <w:tabs>
          <w:tab w:val="num" w:pos="5782"/>
        </w:tabs>
        <w:ind w:left="5782" w:hanging="360"/>
      </w:pPr>
      <w:rPr>
        <w:rFonts w:ascii="Courier New" w:hAnsi="Courier New" w:hint="default"/>
      </w:rPr>
    </w:lvl>
    <w:lvl w:ilvl="8" w:tplc="0C090005" w:tentative="1">
      <w:start w:val="1"/>
      <w:numFmt w:val="bullet"/>
      <w:lvlText w:val=""/>
      <w:lvlJc w:val="left"/>
      <w:pPr>
        <w:tabs>
          <w:tab w:val="num" w:pos="6502"/>
        </w:tabs>
        <w:ind w:left="6502" w:hanging="360"/>
      </w:pPr>
      <w:rPr>
        <w:rFonts w:ascii="Wingdings" w:hAnsi="Wingdings" w:hint="default"/>
      </w:rPr>
    </w:lvl>
  </w:abstractNum>
  <w:abstractNum w:abstractNumId="15" w15:restartNumberingAfterBreak="0">
    <w:nsid w:val="23A066D1"/>
    <w:multiLevelType w:val="hybridMultilevel"/>
    <w:tmpl w:val="68645A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3F06AFB"/>
    <w:multiLevelType w:val="hybridMultilevel"/>
    <w:tmpl w:val="5B8693CE"/>
    <w:lvl w:ilvl="0" w:tplc="D55CD8EC">
      <w:start w:val="59"/>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72E43CF"/>
    <w:multiLevelType w:val="hybridMultilevel"/>
    <w:tmpl w:val="254C2B2C"/>
    <w:lvl w:ilvl="0" w:tplc="0D68BDAA">
      <w:start w:val="1"/>
      <w:numFmt w:val="bullet"/>
      <w:lvlText w:val=""/>
      <w:lvlJc w:val="left"/>
      <w:pPr>
        <w:ind w:left="1080" w:hanging="360"/>
      </w:pPr>
      <w:rPr>
        <w:rFonts w:ascii="Wingdings" w:hAnsi="Wingdings" w:hint="default"/>
        <w:color w:val="17365D" w:themeColor="text2" w:themeShade="BF"/>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8" w15:restartNumberingAfterBreak="0">
    <w:nsid w:val="2DF71737"/>
    <w:multiLevelType w:val="hybridMultilevel"/>
    <w:tmpl w:val="8C40E0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ED31885"/>
    <w:multiLevelType w:val="hybridMultilevel"/>
    <w:tmpl w:val="D6A4CEA8"/>
    <w:lvl w:ilvl="0" w:tplc="FD9E5EC6">
      <w:start w:val="1"/>
      <w:numFmt w:val="bullet"/>
      <w:lvlText w:val=""/>
      <w:lvlJc w:val="left"/>
      <w:pPr>
        <w:ind w:left="720" w:hanging="360"/>
      </w:pPr>
      <w:rPr>
        <w:rFonts w:ascii="Wingdings" w:hAnsi="Wingdings" w:hint="default"/>
        <w:color w:val="0F243E" w:themeColor="text2"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1431B15"/>
    <w:multiLevelType w:val="hybridMultilevel"/>
    <w:tmpl w:val="BA561B3A"/>
    <w:lvl w:ilvl="0" w:tplc="B5A2932E">
      <w:start w:val="7"/>
      <w:numFmt w:val="bullet"/>
      <w:lvlText w:val=""/>
      <w:lvlJc w:val="left"/>
      <w:pPr>
        <w:ind w:left="720" w:hanging="360"/>
      </w:pPr>
      <w:rPr>
        <w:rFonts w:ascii="Symbol" w:eastAsia="Calibri"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444600B"/>
    <w:multiLevelType w:val="hybridMultilevel"/>
    <w:tmpl w:val="84566CBE"/>
    <w:lvl w:ilvl="0" w:tplc="39747C98">
      <w:start w:val="1"/>
      <w:numFmt w:val="bullet"/>
      <w:lvlText w:val=""/>
      <w:lvlJc w:val="left"/>
      <w:pPr>
        <w:ind w:left="720" w:hanging="360"/>
      </w:pPr>
      <w:rPr>
        <w:rFonts w:ascii="Wingdings" w:hAnsi="Wingdings" w:hint="default"/>
        <w:color w:val="0F243E" w:themeColor="text2"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84147F7"/>
    <w:multiLevelType w:val="hybridMultilevel"/>
    <w:tmpl w:val="21E483F4"/>
    <w:lvl w:ilvl="0" w:tplc="F6C6B75E">
      <w:start w:val="7"/>
      <w:numFmt w:val="bullet"/>
      <w:lvlText w:val=""/>
      <w:lvlJc w:val="left"/>
      <w:pPr>
        <w:ind w:left="720" w:hanging="360"/>
      </w:pPr>
      <w:rPr>
        <w:rFonts w:ascii="Symbol" w:eastAsia="Calibri"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58C592B"/>
    <w:multiLevelType w:val="hybridMultilevel"/>
    <w:tmpl w:val="316A14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58F4449"/>
    <w:multiLevelType w:val="hybridMultilevel"/>
    <w:tmpl w:val="DC02EB70"/>
    <w:lvl w:ilvl="0" w:tplc="0C090003">
      <w:start w:val="1"/>
      <w:numFmt w:val="bullet"/>
      <w:lvlText w:val="o"/>
      <w:lvlJc w:val="left"/>
      <w:pPr>
        <w:ind w:left="1800" w:hanging="360"/>
      </w:pPr>
      <w:rPr>
        <w:rFonts w:ascii="Courier New" w:hAnsi="Courier New" w:cs="Courier New"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25" w15:restartNumberingAfterBreak="0">
    <w:nsid w:val="45AC0B36"/>
    <w:multiLevelType w:val="hybridMultilevel"/>
    <w:tmpl w:val="2F1C9190"/>
    <w:lvl w:ilvl="0" w:tplc="11EABC3A">
      <w:start w:val="1"/>
      <w:numFmt w:val="bullet"/>
      <w:lvlText w:val=""/>
      <w:lvlJc w:val="left"/>
      <w:pPr>
        <w:ind w:left="720" w:hanging="360"/>
      </w:pPr>
      <w:rPr>
        <w:rFonts w:ascii="Wingdings" w:hAnsi="Wingdings" w:hint="default"/>
        <w:color w:val="0194A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0DA011F"/>
    <w:multiLevelType w:val="hybridMultilevel"/>
    <w:tmpl w:val="652CB69E"/>
    <w:lvl w:ilvl="0" w:tplc="9986191E">
      <w:start w:val="1"/>
      <w:numFmt w:val="decimal"/>
      <w:lvlText w:val="%1."/>
      <w:lvlJc w:val="left"/>
      <w:pPr>
        <w:tabs>
          <w:tab w:val="num" w:pos="720"/>
        </w:tabs>
        <w:ind w:left="720" w:hanging="360"/>
      </w:pPr>
      <w:rPr>
        <w:rFonts w:asciiTheme="minorHAnsi" w:hAnsiTheme="minorHAnsi" w:cs="Times New Roman" w:hint="default"/>
        <w:b w:val="0"/>
        <w:i w:val="0"/>
      </w:rPr>
    </w:lvl>
    <w:lvl w:ilvl="1" w:tplc="C5B89A48">
      <w:start w:val="1"/>
      <w:numFmt w:val="lowerLetter"/>
      <w:lvlText w:val="%2."/>
      <w:lvlJc w:val="left"/>
      <w:pPr>
        <w:tabs>
          <w:tab w:val="num" w:pos="1440"/>
        </w:tabs>
        <w:ind w:left="1440" w:hanging="360"/>
      </w:pPr>
      <w:rPr>
        <w:rFonts w:asciiTheme="minorHAnsi" w:hAnsiTheme="minorHAnsi" w:hint="default"/>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27" w15:restartNumberingAfterBreak="0">
    <w:nsid w:val="513B0EFB"/>
    <w:multiLevelType w:val="hybridMultilevel"/>
    <w:tmpl w:val="CD000A76"/>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849241C"/>
    <w:multiLevelType w:val="hybridMultilevel"/>
    <w:tmpl w:val="218A1F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DE97A7F"/>
    <w:multiLevelType w:val="hybridMultilevel"/>
    <w:tmpl w:val="34DC4030"/>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0" w15:restartNumberingAfterBreak="0">
    <w:nsid w:val="6827604A"/>
    <w:multiLevelType w:val="hybridMultilevel"/>
    <w:tmpl w:val="99E0D082"/>
    <w:lvl w:ilvl="0" w:tplc="39747C98">
      <w:start w:val="1"/>
      <w:numFmt w:val="bullet"/>
      <w:lvlText w:val=""/>
      <w:lvlJc w:val="left"/>
      <w:pPr>
        <w:ind w:left="360" w:hanging="360"/>
      </w:pPr>
      <w:rPr>
        <w:rFonts w:ascii="Wingdings" w:hAnsi="Wingdings" w:hint="default"/>
        <w:color w:val="0F243E" w:themeColor="text2" w:themeShade="80"/>
      </w:rPr>
    </w:lvl>
    <w:lvl w:ilvl="1" w:tplc="0C090003">
      <w:start w:val="1"/>
      <w:numFmt w:val="bullet"/>
      <w:lvlText w:val="o"/>
      <w:lvlJc w:val="left"/>
      <w:pPr>
        <w:ind w:left="1476" w:hanging="756"/>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68473DC1"/>
    <w:multiLevelType w:val="hybridMultilevel"/>
    <w:tmpl w:val="D92E54EA"/>
    <w:lvl w:ilvl="0" w:tplc="EC145C1A">
      <w:start w:val="1"/>
      <w:numFmt w:val="bullet"/>
      <w:pStyle w:val="Dotpointtable"/>
      <w:lvlText w:val=""/>
      <w:lvlJc w:val="left"/>
      <w:pPr>
        <w:tabs>
          <w:tab w:val="num" w:pos="595"/>
        </w:tabs>
        <w:ind w:left="595" w:hanging="283"/>
      </w:pPr>
      <w:rPr>
        <w:rFonts w:ascii="Symbol" w:hAnsi="Symbol" w:hint="default"/>
      </w:rPr>
    </w:lvl>
    <w:lvl w:ilvl="1" w:tplc="0C090003" w:tentative="1">
      <w:start w:val="1"/>
      <w:numFmt w:val="bullet"/>
      <w:lvlText w:val="o"/>
      <w:lvlJc w:val="left"/>
      <w:pPr>
        <w:tabs>
          <w:tab w:val="num" w:pos="1468"/>
        </w:tabs>
        <w:ind w:left="1468" w:hanging="360"/>
      </w:pPr>
      <w:rPr>
        <w:rFonts w:ascii="Courier New" w:hAnsi="Courier New" w:hint="default"/>
      </w:rPr>
    </w:lvl>
    <w:lvl w:ilvl="2" w:tplc="0C090005" w:tentative="1">
      <w:start w:val="1"/>
      <w:numFmt w:val="bullet"/>
      <w:lvlText w:val=""/>
      <w:lvlJc w:val="left"/>
      <w:pPr>
        <w:tabs>
          <w:tab w:val="num" w:pos="2188"/>
        </w:tabs>
        <w:ind w:left="2188" w:hanging="360"/>
      </w:pPr>
      <w:rPr>
        <w:rFonts w:ascii="Wingdings" w:hAnsi="Wingdings" w:hint="default"/>
      </w:rPr>
    </w:lvl>
    <w:lvl w:ilvl="3" w:tplc="0C090001" w:tentative="1">
      <w:start w:val="1"/>
      <w:numFmt w:val="bullet"/>
      <w:lvlText w:val=""/>
      <w:lvlJc w:val="left"/>
      <w:pPr>
        <w:tabs>
          <w:tab w:val="num" w:pos="2908"/>
        </w:tabs>
        <w:ind w:left="2908" w:hanging="360"/>
      </w:pPr>
      <w:rPr>
        <w:rFonts w:ascii="Symbol" w:hAnsi="Symbol" w:hint="default"/>
      </w:rPr>
    </w:lvl>
    <w:lvl w:ilvl="4" w:tplc="0C090003" w:tentative="1">
      <w:start w:val="1"/>
      <w:numFmt w:val="bullet"/>
      <w:lvlText w:val="o"/>
      <w:lvlJc w:val="left"/>
      <w:pPr>
        <w:tabs>
          <w:tab w:val="num" w:pos="3628"/>
        </w:tabs>
        <w:ind w:left="3628" w:hanging="360"/>
      </w:pPr>
      <w:rPr>
        <w:rFonts w:ascii="Courier New" w:hAnsi="Courier New" w:hint="default"/>
      </w:rPr>
    </w:lvl>
    <w:lvl w:ilvl="5" w:tplc="0C090005" w:tentative="1">
      <w:start w:val="1"/>
      <w:numFmt w:val="bullet"/>
      <w:lvlText w:val=""/>
      <w:lvlJc w:val="left"/>
      <w:pPr>
        <w:tabs>
          <w:tab w:val="num" w:pos="4348"/>
        </w:tabs>
        <w:ind w:left="4348" w:hanging="360"/>
      </w:pPr>
      <w:rPr>
        <w:rFonts w:ascii="Wingdings" w:hAnsi="Wingdings" w:hint="default"/>
      </w:rPr>
    </w:lvl>
    <w:lvl w:ilvl="6" w:tplc="0C090001" w:tentative="1">
      <w:start w:val="1"/>
      <w:numFmt w:val="bullet"/>
      <w:lvlText w:val=""/>
      <w:lvlJc w:val="left"/>
      <w:pPr>
        <w:tabs>
          <w:tab w:val="num" w:pos="5068"/>
        </w:tabs>
        <w:ind w:left="5068" w:hanging="360"/>
      </w:pPr>
      <w:rPr>
        <w:rFonts w:ascii="Symbol" w:hAnsi="Symbol" w:hint="default"/>
      </w:rPr>
    </w:lvl>
    <w:lvl w:ilvl="7" w:tplc="0C090003" w:tentative="1">
      <w:start w:val="1"/>
      <w:numFmt w:val="bullet"/>
      <w:lvlText w:val="o"/>
      <w:lvlJc w:val="left"/>
      <w:pPr>
        <w:tabs>
          <w:tab w:val="num" w:pos="5788"/>
        </w:tabs>
        <w:ind w:left="5788" w:hanging="360"/>
      </w:pPr>
      <w:rPr>
        <w:rFonts w:ascii="Courier New" w:hAnsi="Courier New" w:hint="default"/>
      </w:rPr>
    </w:lvl>
    <w:lvl w:ilvl="8" w:tplc="0C090005" w:tentative="1">
      <w:start w:val="1"/>
      <w:numFmt w:val="bullet"/>
      <w:lvlText w:val=""/>
      <w:lvlJc w:val="left"/>
      <w:pPr>
        <w:tabs>
          <w:tab w:val="num" w:pos="6508"/>
        </w:tabs>
        <w:ind w:left="6508" w:hanging="360"/>
      </w:pPr>
      <w:rPr>
        <w:rFonts w:ascii="Wingdings" w:hAnsi="Wingdings" w:hint="default"/>
      </w:rPr>
    </w:lvl>
  </w:abstractNum>
  <w:abstractNum w:abstractNumId="32" w15:restartNumberingAfterBreak="0">
    <w:nsid w:val="6B126074"/>
    <w:multiLevelType w:val="multilevel"/>
    <w:tmpl w:val="17601736"/>
    <w:styleLink w:val="Numberletterbullets"/>
    <w:lvl w:ilvl="0">
      <w:start w:val="1"/>
      <w:numFmt w:val="decimal"/>
      <w:lvlText w:val="%1."/>
      <w:lvlJc w:val="left"/>
      <w:pPr>
        <w:tabs>
          <w:tab w:val="num" w:pos="720"/>
        </w:tabs>
        <w:ind w:left="720" w:hanging="360"/>
      </w:pPr>
      <w:rPr>
        <w:rFonts w:ascii="Arial" w:hAnsi="Arial" w:cs="Times New Roman"/>
        <w:bCs/>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3" w15:restartNumberingAfterBreak="0">
    <w:nsid w:val="71E228B1"/>
    <w:multiLevelType w:val="hybridMultilevel"/>
    <w:tmpl w:val="7CD0AA42"/>
    <w:lvl w:ilvl="0" w:tplc="9986191E">
      <w:start w:val="1"/>
      <w:numFmt w:val="decimal"/>
      <w:lvlText w:val="%1."/>
      <w:lvlJc w:val="left"/>
      <w:pPr>
        <w:tabs>
          <w:tab w:val="num" w:pos="720"/>
        </w:tabs>
        <w:ind w:left="720" w:hanging="360"/>
      </w:pPr>
      <w:rPr>
        <w:rFonts w:asciiTheme="minorHAnsi" w:hAnsiTheme="minorHAnsi" w:cs="Times New Roman" w:hint="default"/>
        <w:b w:val="0"/>
        <w:i w:val="0"/>
      </w:rPr>
    </w:lvl>
    <w:lvl w:ilvl="1" w:tplc="0D68BDAA">
      <w:start w:val="1"/>
      <w:numFmt w:val="bullet"/>
      <w:lvlText w:val=""/>
      <w:lvlJc w:val="left"/>
      <w:pPr>
        <w:tabs>
          <w:tab w:val="num" w:pos="1440"/>
        </w:tabs>
        <w:ind w:left="1440" w:hanging="360"/>
      </w:pPr>
      <w:rPr>
        <w:rFonts w:ascii="Wingdings" w:hAnsi="Wingdings" w:hint="default"/>
        <w:color w:val="17365D" w:themeColor="text2" w:themeShade="BF"/>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34" w15:restartNumberingAfterBreak="0">
    <w:nsid w:val="735A16A6"/>
    <w:multiLevelType w:val="multilevel"/>
    <w:tmpl w:val="B5FC094A"/>
    <w:styleLink w:val="BulletLevel1"/>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49E2673"/>
    <w:multiLevelType w:val="hybridMultilevel"/>
    <w:tmpl w:val="6892FFB2"/>
    <w:lvl w:ilvl="0" w:tplc="0C090001">
      <w:start w:val="1"/>
      <w:numFmt w:val="bullet"/>
      <w:lvlText w:val=""/>
      <w:lvlJc w:val="left"/>
      <w:pPr>
        <w:ind w:left="720" w:hanging="360"/>
      </w:pPr>
      <w:rPr>
        <w:rFonts w:ascii="Symbol" w:hAnsi="Symbol" w:hint="default"/>
      </w:rPr>
    </w:lvl>
    <w:lvl w:ilvl="1" w:tplc="E988A79A">
      <w:numFmt w:val="bullet"/>
      <w:lvlText w:val="•"/>
      <w:lvlJc w:val="left"/>
      <w:pPr>
        <w:ind w:left="1836" w:hanging="756"/>
      </w:pPr>
      <w:rPr>
        <w:rFonts w:ascii="Calibri" w:eastAsia="Times New Roman" w:hAnsi="Calibri" w:cs="Calibr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57B31A1"/>
    <w:multiLevelType w:val="hybridMultilevel"/>
    <w:tmpl w:val="DF94B236"/>
    <w:lvl w:ilvl="0" w:tplc="39747C98">
      <w:start w:val="1"/>
      <w:numFmt w:val="bullet"/>
      <w:lvlText w:val=""/>
      <w:lvlJc w:val="left"/>
      <w:pPr>
        <w:ind w:left="360" w:hanging="360"/>
      </w:pPr>
      <w:rPr>
        <w:rFonts w:ascii="Wingdings" w:hAnsi="Wingdings" w:hint="default"/>
        <w:color w:val="0F243E" w:themeColor="text2"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65443D9"/>
    <w:multiLevelType w:val="hybridMultilevel"/>
    <w:tmpl w:val="3A6E059E"/>
    <w:lvl w:ilvl="0" w:tplc="0D68BDAA">
      <w:start w:val="1"/>
      <w:numFmt w:val="bullet"/>
      <w:lvlText w:val=""/>
      <w:lvlJc w:val="left"/>
      <w:pPr>
        <w:ind w:left="720" w:hanging="360"/>
      </w:pPr>
      <w:rPr>
        <w:rFonts w:ascii="Wingdings" w:hAnsi="Wingdings" w:hint="default"/>
        <w:color w:val="17365D" w:themeColor="text2"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752532D"/>
    <w:multiLevelType w:val="hybridMultilevel"/>
    <w:tmpl w:val="763C76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8D7291B"/>
    <w:multiLevelType w:val="hybridMultilevel"/>
    <w:tmpl w:val="59EC307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476" w:hanging="756"/>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34"/>
  </w:num>
  <w:num w:numId="2">
    <w:abstractNumId w:val="0"/>
    <w:lvlOverride w:ilvl="0">
      <w:lvl w:ilvl="0">
        <w:start w:val="1"/>
        <w:numFmt w:val="bullet"/>
        <w:pStyle w:val="Caption"/>
        <w:lvlText w:val=""/>
        <w:legacy w:legacy="1" w:legacySpace="0" w:legacyIndent="120"/>
        <w:lvlJc w:val="left"/>
        <w:pPr>
          <w:ind w:left="1920" w:hanging="120"/>
        </w:pPr>
        <w:rPr>
          <w:rFonts w:ascii="Symbol" w:hAnsi="Symbol" w:hint="default"/>
          <w:sz w:val="18"/>
        </w:rPr>
      </w:lvl>
    </w:lvlOverride>
  </w:num>
  <w:num w:numId="3">
    <w:abstractNumId w:val="14"/>
  </w:num>
  <w:num w:numId="4">
    <w:abstractNumId w:val="31"/>
  </w:num>
  <w:num w:numId="5">
    <w:abstractNumId w:val="32"/>
  </w:num>
  <w:num w:numId="6">
    <w:abstractNumId w:val="17"/>
  </w:num>
  <w:num w:numId="7">
    <w:abstractNumId w:val="33"/>
  </w:num>
  <w:num w:numId="8">
    <w:abstractNumId w:val="1"/>
  </w:num>
  <w:num w:numId="9">
    <w:abstractNumId w:val="9"/>
  </w:num>
  <w:num w:numId="10">
    <w:abstractNumId w:val="37"/>
  </w:num>
  <w:num w:numId="11">
    <w:abstractNumId w:val="5"/>
  </w:num>
  <w:num w:numId="12">
    <w:abstractNumId w:val="4"/>
  </w:num>
  <w:num w:numId="13">
    <w:abstractNumId w:val="10"/>
  </w:num>
  <w:num w:numId="14">
    <w:abstractNumId w:val="18"/>
  </w:num>
  <w:num w:numId="15">
    <w:abstractNumId w:val="35"/>
  </w:num>
  <w:num w:numId="16">
    <w:abstractNumId w:val="24"/>
  </w:num>
  <w:num w:numId="17">
    <w:abstractNumId w:val="29"/>
  </w:num>
  <w:num w:numId="18">
    <w:abstractNumId w:val="39"/>
  </w:num>
  <w:num w:numId="19">
    <w:abstractNumId w:val="11"/>
  </w:num>
  <w:num w:numId="20">
    <w:abstractNumId w:val="15"/>
  </w:num>
  <w:num w:numId="21">
    <w:abstractNumId w:val="13"/>
  </w:num>
  <w:num w:numId="22">
    <w:abstractNumId w:val="25"/>
  </w:num>
  <w:num w:numId="23">
    <w:abstractNumId w:val="12"/>
  </w:num>
  <w:num w:numId="24">
    <w:abstractNumId w:val="36"/>
  </w:num>
  <w:num w:numId="25">
    <w:abstractNumId w:val="19"/>
  </w:num>
  <w:num w:numId="26">
    <w:abstractNumId w:val="26"/>
  </w:num>
  <w:num w:numId="27">
    <w:abstractNumId w:val="8"/>
  </w:num>
  <w:num w:numId="28">
    <w:abstractNumId w:val="38"/>
  </w:num>
  <w:num w:numId="29">
    <w:abstractNumId w:val="7"/>
  </w:num>
  <w:num w:numId="30">
    <w:abstractNumId w:val="6"/>
  </w:num>
  <w:num w:numId="31">
    <w:abstractNumId w:val="8"/>
  </w:num>
  <w:num w:numId="32">
    <w:abstractNumId w:val="23"/>
  </w:num>
  <w:num w:numId="33">
    <w:abstractNumId w:val="21"/>
  </w:num>
  <w:num w:numId="34">
    <w:abstractNumId w:val="30"/>
  </w:num>
  <w:num w:numId="35">
    <w:abstractNumId w:val="22"/>
  </w:num>
  <w:num w:numId="36">
    <w:abstractNumId w:val="20"/>
  </w:num>
  <w:num w:numId="37">
    <w:abstractNumId w:val="3"/>
  </w:num>
  <w:num w:numId="38">
    <w:abstractNumId w:val="2"/>
  </w:num>
  <w:num w:numId="39">
    <w:abstractNumId w:val="16"/>
  </w:num>
  <w:num w:numId="40">
    <w:abstractNumId w:val="27"/>
  </w:num>
  <w:num w:numId="41">
    <w:abstractNumId w:val="28"/>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rawingGridHorizontalSpacing w:val="187"/>
  <w:drawingGridVerticalSpacing w:val="187"/>
  <w:doNotUseMarginsForDrawingGridOrigin/>
  <w:drawingGridHorizontalOrigin w:val="1699"/>
  <w:drawingGridVerticalOrigin w:val="1987"/>
  <w:noPunctuationKerning/>
  <w:characterSpacingControl w:val="doNotCompress"/>
  <w:hdrShapeDefaults>
    <o:shapedefaults v:ext="edit" spidmax="1843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4D89"/>
    <w:rsid w:val="00002D46"/>
    <w:rsid w:val="0000366A"/>
    <w:rsid w:val="00003FF8"/>
    <w:rsid w:val="00006D48"/>
    <w:rsid w:val="00010D99"/>
    <w:rsid w:val="00011005"/>
    <w:rsid w:val="00013855"/>
    <w:rsid w:val="00015656"/>
    <w:rsid w:val="00020ED9"/>
    <w:rsid w:val="00021AB7"/>
    <w:rsid w:val="0002208F"/>
    <w:rsid w:val="00022335"/>
    <w:rsid w:val="00022CD1"/>
    <w:rsid w:val="00033187"/>
    <w:rsid w:val="00035D15"/>
    <w:rsid w:val="000362BD"/>
    <w:rsid w:val="00036FFD"/>
    <w:rsid w:val="00037C7F"/>
    <w:rsid w:val="00040D37"/>
    <w:rsid w:val="000411E4"/>
    <w:rsid w:val="000429D7"/>
    <w:rsid w:val="00043D63"/>
    <w:rsid w:val="00044A07"/>
    <w:rsid w:val="00047BDD"/>
    <w:rsid w:val="00050D65"/>
    <w:rsid w:val="00051793"/>
    <w:rsid w:val="000530A5"/>
    <w:rsid w:val="00053772"/>
    <w:rsid w:val="00054404"/>
    <w:rsid w:val="00054789"/>
    <w:rsid w:val="000562E0"/>
    <w:rsid w:val="000574E1"/>
    <w:rsid w:val="00057AE4"/>
    <w:rsid w:val="0006417D"/>
    <w:rsid w:val="00064562"/>
    <w:rsid w:val="000652ED"/>
    <w:rsid w:val="00067031"/>
    <w:rsid w:val="00070178"/>
    <w:rsid w:val="0007301D"/>
    <w:rsid w:val="00073D23"/>
    <w:rsid w:val="00077A07"/>
    <w:rsid w:val="00080FC2"/>
    <w:rsid w:val="00081FCF"/>
    <w:rsid w:val="00086BBE"/>
    <w:rsid w:val="00087BA1"/>
    <w:rsid w:val="00090047"/>
    <w:rsid w:val="000915C9"/>
    <w:rsid w:val="0009375E"/>
    <w:rsid w:val="00096E24"/>
    <w:rsid w:val="0009727F"/>
    <w:rsid w:val="000A098A"/>
    <w:rsid w:val="000A5FE4"/>
    <w:rsid w:val="000A7518"/>
    <w:rsid w:val="000B04DA"/>
    <w:rsid w:val="000B29A4"/>
    <w:rsid w:val="000B59F0"/>
    <w:rsid w:val="000C1C88"/>
    <w:rsid w:val="000C1DF4"/>
    <w:rsid w:val="000C359C"/>
    <w:rsid w:val="000C47F0"/>
    <w:rsid w:val="000C63F1"/>
    <w:rsid w:val="000C6A5F"/>
    <w:rsid w:val="000C75B3"/>
    <w:rsid w:val="000D1707"/>
    <w:rsid w:val="000D29E1"/>
    <w:rsid w:val="000D30FA"/>
    <w:rsid w:val="000E08E4"/>
    <w:rsid w:val="000E09C1"/>
    <w:rsid w:val="000E2601"/>
    <w:rsid w:val="000E362E"/>
    <w:rsid w:val="000E37AC"/>
    <w:rsid w:val="000E3C8F"/>
    <w:rsid w:val="000E53BC"/>
    <w:rsid w:val="000E6921"/>
    <w:rsid w:val="000F0FBA"/>
    <w:rsid w:val="000F2720"/>
    <w:rsid w:val="000F2897"/>
    <w:rsid w:val="000F4B5B"/>
    <w:rsid w:val="000F5DC4"/>
    <w:rsid w:val="000F5FB1"/>
    <w:rsid w:val="000F60FA"/>
    <w:rsid w:val="000F7985"/>
    <w:rsid w:val="001014A0"/>
    <w:rsid w:val="00101627"/>
    <w:rsid w:val="00102C65"/>
    <w:rsid w:val="00104C28"/>
    <w:rsid w:val="001052A8"/>
    <w:rsid w:val="00105CEF"/>
    <w:rsid w:val="00105CF2"/>
    <w:rsid w:val="00106B77"/>
    <w:rsid w:val="00106CEB"/>
    <w:rsid w:val="0010759F"/>
    <w:rsid w:val="0011153F"/>
    <w:rsid w:val="00111949"/>
    <w:rsid w:val="00111A59"/>
    <w:rsid w:val="00113E77"/>
    <w:rsid w:val="00114C2D"/>
    <w:rsid w:val="00114F54"/>
    <w:rsid w:val="00125A38"/>
    <w:rsid w:val="001272F1"/>
    <w:rsid w:val="00127C72"/>
    <w:rsid w:val="00131B78"/>
    <w:rsid w:val="00132A9B"/>
    <w:rsid w:val="001332E1"/>
    <w:rsid w:val="00133B21"/>
    <w:rsid w:val="0013580F"/>
    <w:rsid w:val="00136B51"/>
    <w:rsid w:val="001402B7"/>
    <w:rsid w:val="00141765"/>
    <w:rsid w:val="00142043"/>
    <w:rsid w:val="00143A90"/>
    <w:rsid w:val="00146362"/>
    <w:rsid w:val="001506E4"/>
    <w:rsid w:val="00153161"/>
    <w:rsid w:val="00156C33"/>
    <w:rsid w:val="001607FB"/>
    <w:rsid w:val="0016101D"/>
    <w:rsid w:val="00161A37"/>
    <w:rsid w:val="00163F77"/>
    <w:rsid w:val="001645D0"/>
    <w:rsid w:val="0016465A"/>
    <w:rsid w:val="001676B6"/>
    <w:rsid w:val="00172BAB"/>
    <w:rsid w:val="00173897"/>
    <w:rsid w:val="00177AC6"/>
    <w:rsid w:val="00177CFF"/>
    <w:rsid w:val="00181475"/>
    <w:rsid w:val="001836C4"/>
    <w:rsid w:val="00183DD6"/>
    <w:rsid w:val="001850B4"/>
    <w:rsid w:val="00185104"/>
    <w:rsid w:val="00186057"/>
    <w:rsid w:val="00186116"/>
    <w:rsid w:val="00187C4F"/>
    <w:rsid w:val="00190392"/>
    <w:rsid w:val="001906D1"/>
    <w:rsid w:val="0019080C"/>
    <w:rsid w:val="0019134A"/>
    <w:rsid w:val="001922C7"/>
    <w:rsid w:val="00192673"/>
    <w:rsid w:val="00194A0D"/>
    <w:rsid w:val="001971FB"/>
    <w:rsid w:val="001976F2"/>
    <w:rsid w:val="001A0ABA"/>
    <w:rsid w:val="001A1AAE"/>
    <w:rsid w:val="001A1B1A"/>
    <w:rsid w:val="001A36DF"/>
    <w:rsid w:val="001A4525"/>
    <w:rsid w:val="001A5E1E"/>
    <w:rsid w:val="001A6905"/>
    <w:rsid w:val="001B22EF"/>
    <w:rsid w:val="001B2539"/>
    <w:rsid w:val="001B2781"/>
    <w:rsid w:val="001B2A68"/>
    <w:rsid w:val="001B3090"/>
    <w:rsid w:val="001B31B2"/>
    <w:rsid w:val="001B6E38"/>
    <w:rsid w:val="001B7885"/>
    <w:rsid w:val="001C0A3D"/>
    <w:rsid w:val="001C55BD"/>
    <w:rsid w:val="001D6D36"/>
    <w:rsid w:val="001D6E22"/>
    <w:rsid w:val="001D75B0"/>
    <w:rsid w:val="001E1835"/>
    <w:rsid w:val="001E28BA"/>
    <w:rsid w:val="001E47B4"/>
    <w:rsid w:val="001E5A19"/>
    <w:rsid w:val="001F20C3"/>
    <w:rsid w:val="001F27AE"/>
    <w:rsid w:val="001F3149"/>
    <w:rsid w:val="001F3169"/>
    <w:rsid w:val="001F7EBA"/>
    <w:rsid w:val="00202018"/>
    <w:rsid w:val="002025B6"/>
    <w:rsid w:val="00202975"/>
    <w:rsid w:val="00202E5C"/>
    <w:rsid w:val="00205DBE"/>
    <w:rsid w:val="00207C31"/>
    <w:rsid w:val="00211EA9"/>
    <w:rsid w:val="00214011"/>
    <w:rsid w:val="00215220"/>
    <w:rsid w:val="00220C66"/>
    <w:rsid w:val="0022251C"/>
    <w:rsid w:val="00240C40"/>
    <w:rsid w:val="00242218"/>
    <w:rsid w:val="00243B6C"/>
    <w:rsid w:val="00243EFC"/>
    <w:rsid w:val="00243F67"/>
    <w:rsid w:val="00244BB9"/>
    <w:rsid w:val="00244EEE"/>
    <w:rsid w:val="002450DA"/>
    <w:rsid w:val="00245511"/>
    <w:rsid w:val="00251815"/>
    <w:rsid w:val="00252709"/>
    <w:rsid w:val="002533F0"/>
    <w:rsid w:val="0025534A"/>
    <w:rsid w:val="002558BF"/>
    <w:rsid w:val="00255D51"/>
    <w:rsid w:val="002562C6"/>
    <w:rsid w:val="00270049"/>
    <w:rsid w:val="00270667"/>
    <w:rsid w:val="00273E73"/>
    <w:rsid w:val="00274039"/>
    <w:rsid w:val="00274AEF"/>
    <w:rsid w:val="0027537F"/>
    <w:rsid w:val="00281C0D"/>
    <w:rsid w:val="0028208F"/>
    <w:rsid w:val="00284B20"/>
    <w:rsid w:val="002923E8"/>
    <w:rsid w:val="002928EF"/>
    <w:rsid w:val="00292AAB"/>
    <w:rsid w:val="00293C53"/>
    <w:rsid w:val="0029539C"/>
    <w:rsid w:val="002958C4"/>
    <w:rsid w:val="0029648C"/>
    <w:rsid w:val="002972A4"/>
    <w:rsid w:val="002A0278"/>
    <w:rsid w:val="002A26B6"/>
    <w:rsid w:val="002A3ECC"/>
    <w:rsid w:val="002A4276"/>
    <w:rsid w:val="002B210D"/>
    <w:rsid w:val="002B2671"/>
    <w:rsid w:val="002B3256"/>
    <w:rsid w:val="002B5FAD"/>
    <w:rsid w:val="002B621B"/>
    <w:rsid w:val="002C39B3"/>
    <w:rsid w:val="002C40EE"/>
    <w:rsid w:val="002C488D"/>
    <w:rsid w:val="002C4986"/>
    <w:rsid w:val="002C5301"/>
    <w:rsid w:val="002C769D"/>
    <w:rsid w:val="002D4156"/>
    <w:rsid w:val="002D4584"/>
    <w:rsid w:val="002D765C"/>
    <w:rsid w:val="002D7B33"/>
    <w:rsid w:val="002D7D4D"/>
    <w:rsid w:val="002E0FE2"/>
    <w:rsid w:val="002E23E2"/>
    <w:rsid w:val="002E5DD7"/>
    <w:rsid w:val="002E6864"/>
    <w:rsid w:val="002E6DF5"/>
    <w:rsid w:val="002E6E0C"/>
    <w:rsid w:val="002E6FEB"/>
    <w:rsid w:val="002F0C21"/>
    <w:rsid w:val="002F0DF6"/>
    <w:rsid w:val="002F21EB"/>
    <w:rsid w:val="002F59A4"/>
    <w:rsid w:val="002F61D0"/>
    <w:rsid w:val="00300339"/>
    <w:rsid w:val="00303442"/>
    <w:rsid w:val="0030544D"/>
    <w:rsid w:val="0030556B"/>
    <w:rsid w:val="003067A7"/>
    <w:rsid w:val="00306BA6"/>
    <w:rsid w:val="003079BE"/>
    <w:rsid w:val="003106D4"/>
    <w:rsid w:val="00312394"/>
    <w:rsid w:val="00313DE7"/>
    <w:rsid w:val="00315AB8"/>
    <w:rsid w:val="003164E9"/>
    <w:rsid w:val="0031795C"/>
    <w:rsid w:val="0032006D"/>
    <w:rsid w:val="003215C7"/>
    <w:rsid w:val="003238E4"/>
    <w:rsid w:val="00323C05"/>
    <w:rsid w:val="00325746"/>
    <w:rsid w:val="00326F2D"/>
    <w:rsid w:val="003275CC"/>
    <w:rsid w:val="00330AFF"/>
    <w:rsid w:val="00330F14"/>
    <w:rsid w:val="003314B3"/>
    <w:rsid w:val="003319AF"/>
    <w:rsid w:val="00331BD3"/>
    <w:rsid w:val="00332317"/>
    <w:rsid w:val="00332E21"/>
    <w:rsid w:val="00333DA5"/>
    <w:rsid w:val="0033684C"/>
    <w:rsid w:val="00340E0D"/>
    <w:rsid w:val="003412BC"/>
    <w:rsid w:val="00341A80"/>
    <w:rsid w:val="00342366"/>
    <w:rsid w:val="0034403B"/>
    <w:rsid w:val="003456D0"/>
    <w:rsid w:val="00345AD1"/>
    <w:rsid w:val="00345B81"/>
    <w:rsid w:val="00352890"/>
    <w:rsid w:val="003532ED"/>
    <w:rsid w:val="00354CCD"/>
    <w:rsid w:val="00355265"/>
    <w:rsid w:val="00357936"/>
    <w:rsid w:val="00357D51"/>
    <w:rsid w:val="00360350"/>
    <w:rsid w:val="00361176"/>
    <w:rsid w:val="00371258"/>
    <w:rsid w:val="00371305"/>
    <w:rsid w:val="00371E46"/>
    <w:rsid w:val="00372DFD"/>
    <w:rsid w:val="00373849"/>
    <w:rsid w:val="003749B1"/>
    <w:rsid w:val="00374EF9"/>
    <w:rsid w:val="003772E5"/>
    <w:rsid w:val="00380707"/>
    <w:rsid w:val="00382A68"/>
    <w:rsid w:val="0038439E"/>
    <w:rsid w:val="00385DC2"/>
    <w:rsid w:val="003861B5"/>
    <w:rsid w:val="00390616"/>
    <w:rsid w:val="003946A3"/>
    <w:rsid w:val="003952ED"/>
    <w:rsid w:val="00397581"/>
    <w:rsid w:val="003977DE"/>
    <w:rsid w:val="00397C03"/>
    <w:rsid w:val="003A1605"/>
    <w:rsid w:val="003A1BB6"/>
    <w:rsid w:val="003A2989"/>
    <w:rsid w:val="003A3704"/>
    <w:rsid w:val="003B053D"/>
    <w:rsid w:val="003B121D"/>
    <w:rsid w:val="003B2808"/>
    <w:rsid w:val="003B35B1"/>
    <w:rsid w:val="003B5102"/>
    <w:rsid w:val="003B62FE"/>
    <w:rsid w:val="003B760B"/>
    <w:rsid w:val="003C23DE"/>
    <w:rsid w:val="003C2A86"/>
    <w:rsid w:val="003C4078"/>
    <w:rsid w:val="003C6D5B"/>
    <w:rsid w:val="003D18E2"/>
    <w:rsid w:val="003D22B3"/>
    <w:rsid w:val="003D2933"/>
    <w:rsid w:val="003D2E94"/>
    <w:rsid w:val="003D6676"/>
    <w:rsid w:val="003D7FAD"/>
    <w:rsid w:val="003E0FDA"/>
    <w:rsid w:val="003E2FB5"/>
    <w:rsid w:val="003E387E"/>
    <w:rsid w:val="003E3E89"/>
    <w:rsid w:val="003F0F15"/>
    <w:rsid w:val="003F111E"/>
    <w:rsid w:val="003F2AEC"/>
    <w:rsid w:val="003F32A7"/>
    <w:rsid w:val="003F43F0"/>
    <w:rsid w:val="003F7115"/>
    <w:rsid w:val="00400743"/>
    <w:rsid w:val="0040294F"/>
    <w:rsid w:val="00403015"/>
    <w:rsid w:val="00403132"/>
    <w:rsid w:val="004033BF"/>
    <w:rsid w:val="004044C1"/>
    <w:rsid w:val="004046AC"/>
    <w:rsid w:val="00404AD2"/>
    <w:rsid w:val="0040543F"/>
    <w:rsid w:val="00405844"/>
    <w:rsid w:val="00405D05"/>
    <w:rsid w:val="00410018"/>
    <w:rsid w:val="00411E51"/>
    <w:rsid w:val="00416DD4"/>
    <w:rsid w:val="004171B5"/>
    <w:rsid w:val="00420AD0"/>
    <w:rsid w:val="00421587"/>
    <w:rsid w:val="00421BF7"/>
    <w:rsid w:val="00422096"/>
    <w:rsid w:val="004273B9"/>
    <w:rsid w:val="004275F7"/>
    <w:rsid w:val="004304BB"/>
    <w:rsid w:val="004308DA"/>
    <w:rsid w:val="0043258D"/>
    <w:rsid w:val="00433812"/>
    <w:rsid w:val="0043419F"/>
    <w:rsid w:val="00434F10"/>
    <w:rsid w:val="00436CD6"/>
    <w:rsid w:val="0044154A"/>
    <w:rsid w:val="0044294A"/>
    <w:rsid w:val="00442F65"/>
    <w:rsid w:val="00451CB0"/>
    <w:rsid w:val="0045285F"/>
    <w:rsid w:val="0045395C"/>
    <w:rsid w:val="0045600E"/>
    <w:rsid w:val="004563BA"/>
    <w:rsid w:val="00456604"/>
    <w:rsid w:val="004600E3"/>
    <w:rsid w:val="004607CC"/>
    <w:rsid w:val="00463370"/>
    <w:rsid w:val="00463F3A"/>
    <w:rsid w:val="004640FD"/>
    <w:rsid w:val="004641D9"/>
    <w:rsid w:val="004650C3"/>
    <w:rsid w:val="00467B47"/>
    <w:rsid w:val="00472FE5"/>
    <w:rsid w:val="0047474E"/>
    <w:rsid w:val="00475623"/>
    <w:rsid w:val="00475F07"/>
    <w:rsid w:val="00477C84"/>
    <w:rsid w:val="004806AC"/>
    <w:rsid w:val="004813EA"/>
    <w:rsid w:val="00484D84"/>
    <w:rsid w:val="00485130"/>
    <w:rsid w:val="00487612"/>
    <w:rsid w:val="004936C7"/>
    <w:rsid w:val="00494380"/>
    <w:rsid w:val="004947D1"/>
    <w:rsid w:val="00494BAC"/>
    <w:rsid w:val="00495545"/>
    <w:rsid w:val="00495DA8"/>
    <w:rsid w:val="00497F76"/>
    <w:rsid w:val="004A29A2"/>
    <w:rsid w:val="004A5430"/>
    <w:rsid w:val="004A67B5"/>
    <w:rsid w:val="004B0FB6"/>
    <w:rsid w:val="004B156E"/>
    <w:rsid w:val="004B2104"/>
    <w:rsid w:val="004B22F3"/>
    <w:rsid w:val="004B5241"/>
    <w:rsid w:val="004C0B44"/>
    <w:rsid w:val="004C0B58"/>
    <w:rsid w:val="004C0C17"/>
    <w:rsid w:val="004C1581"/>
    <w:rsid w:val="004C33F0"/>
    <w:rsid w:val="004C60C6"/>
    <w:rsid w:val="004C694A"/>
    <w:rsid w:val="004C6B22"/>
    <w:rsid w:val="004D111F"/>
    <w:rsid w:val="004D1A20"/>
    <w:rsid w:val="004D288E"/>
    <w:rsid w:val="004D2DE0"/>
    <w:rsid w:val="004D38FD"/>
    <w:rsid w:val="004D791A"/>
    <w:rsid w:val="004E2431"/>
    <w:rsid w:val="004E2466"/>
    <w:rsid w:val="004E3470"/>
    <w:rsid w:val="004E36F6"/>
    <w:rsid w:val="004E3AD5"/>
    <w:rsid w:val="004E68D2"/>
    <w:rsid w:val="004E7102"/>
    <w:rsid w:val="004E7C5C"/>
    <w:rsid w:val="004F0D3C"/>
    <w:rsid w:val="004F0DC6"/>
    <w:rsid w:val="004F15FA"/>
    <w:rsid w:val="004F237C"/>
    <w:rsid w:val="004F3284"/>
    <w:rsid w:val="004F36E6"/>
    <w:rsid w:val="004F4518"/>
    <w:rsid w:val="004F4F14"/>
    <w:rsid w:val="004F7277"/>
    <w:rsid w:val="00501D43"/>
    <w:rsid w:val="00501F11"/>
    <w:rsid w:val="00502485"/>
    <w:rsid w:val="00503E04"/>
    <w:rsid w:val="0050667A"/>
    <w:rsid w:val="005073AA"/>
    <w:rsid w:val="00507DCE"/>
    <w:rsid w:val="005103EE"/>
    <w:rsid w:val="005103F2"/>
    <w:rsid w:val="00511B75"/>
    <w:rsid w:val="0051238B"/>
    <w:rsid w:val="00512B40"/>
    <w:rsid w:val="00514189"/>
    <w:rsid w:val="0051449A"/>
    <w:rsid w:val="00522DE6"/>
    <w:rsid w:val="00523F90"/>
    <w:rsid w:val="00524C21"/>
    <w:rsid w:val="00526002"/>
    <w:rsid w:val="00526556"/>
    <w:rsid w:val="005271EC"/>
    <w:rsid w:val="0052732C"/>
    <w:rsid w:val="00530CE8"/>
    <w:rsid w:val="0053139C"/>
    <w:rsid w:val="00531810"/>
    <w:rsid w:val="00531A48"/>
    <w:rsid w:val="00533528"/>
    <w:rsid w:val="005339C3"/>
    <w:rsid w:val="00534999"/>
    <w:rsid w:val="00536B0B"/>
    <w:rsid w:val="005401A6"/>
    <w:rsid w:val="005436FD"/>
    <w:rsid w:val="0054474D"/>
    <w:rsid w:val="00546C2E"/>
    <w:rsid w:val="00546C5A"/>
    <w:rsid w:val="00551512"/>
    <w:rsid w:val="00553B6D"/>
    <w:rsid w:val="00554B60"/>
    <w:rsid w:val="00555411"/>
    <w:rsid w:val="00556505"/>
    <w:rsid w:val="005579BE"/>
    <w:rsid w:val="00563038"/>
    <w:rsid w:val="00567150"/>
    <w:rsid w:val="0056752B"/>
    <w:rsid w:val="00567AB0"/>
    <w:rsid w:val="00571267"/>
    <w:rsid w:val="00572AB9"/>
    <w:rsid w:val="0057406E"/>
    <w:rsid w:val="00582E38"/>
    <w:rsid w:val="00582F6F"/>
    <w:rsid w:val="00583B47"/>
    <w:rsid w:val="005862EF"/>
    <w:rsid w:val="005865B5"/>
    <w:rsid w:val="00586BE4"/>
    <w:rsid w:val="00586C96"/>
    <w:rsid w:val="00587007"/>
    <w:rsid w:val="00587A9D"/>
    <w:rsid w:val="005900AB"/>
    <w:rsid w:val="00591394"/>
    <w:rsid w:val="005913F7"/>
    <w:rsid w:val="00592A11"/>
    <w:rsid w:val="00592A13"/>
    <w:rsid w:val="00593E35"/>
    <w:rsid w:val="00596451"/>
    <w:rsid w:val="005967D0"/>
    <w:rsid w:val="00597437"/>
    <w:rsid w:val="005A30D0"/>
    <w:rsid w:val="005A3645"/>
    <w:rsid w:val="005A3881"/>
    <w:rsid w:val="005A4A96"/>
    <w:rsid w:val="005A5409"/>
    <w:rsid w:val="005B01CA"/>
    <w:rsid w:val="005B3334"/>
    <w:rsid w:val="005B3A17"/>
    <w:rsid w:val="005B513C"/>
    <w:rsid w:val="005B57AB"/>
    <w:rsid w:val="005C02C2"/>
    <w:rsid w:val="005C15C0"/>
    <w:rsid w:val="005C390A"/>
    <w:rsid w:val="005C5138"/>
    <w:rsid w:val="005C7FC2"/>
    <w:rsid w:val="005D107E"/>
    <w:rsid w:val="005D7019"/>
    <w:rsid w:val="005E0C8E"/>
    <w:rsid w:val="005E1A16"/>
    <w:rsid w:val="005E1B02"/>
    <w:rsid w:val="005E390A"/>
    <w:rsid w:val="005E3ED5"/>
    <w:rsid w:val="005E772C"/>
    <w:rsid w:val="005F105F"/>
    <w:rsid w:val="005F25F4"/>
    <w:rsid w:val="005F2CEB"/>
    <w:rsid w:val="005F6913"/>
    <w:rsid w:val="0060223A"/>
    <w:rsid w:val="00602CBE"/>
    <w:rsid w:val="006032CC"/>
    <w:rsid w:val="006057BF"/>
    <w:rsid w:val="00605AA3"/>
    <w:rsid w:val="0060649A"/>
    <w:rsid w:val="00607993"/>
    <w:rsid w:val="00611E91"/>
    <w:rsid w:val="00612257"/>
    <w:rsid w:val="00612FD6"/>
    <w:rsid w:val="006145E5"/>
    <w:rsid w:val="00616024"/>
    <w:rsid w:val="00616148"/>
    <w:rsid w:val="00616E4F"/>
    <w:rsid w:val="00623C28"/>
    <w:rsid w:val="00624A88"/>
    <w:rsid w:val="0062575C"/>
    <w:rsid w:val="00625825"/>
    <w:rsid w:val="00625E14"/>
    <w:rsid w:val="0062705E"/>
    <w:rsid w:val="00627C07"/>
    <w:rsid w:val="006300E6"/>
    <w:rsid w:val="00631685"/>
    <w:rsid w:val="006322DB"/>
    <w:rsid w:val="00632A39"/>
    <w:rsid w:val="006335C4"/>
    <w:rsid w:val="00635BD6"/>
    <w:rsid w:val="00636B7E"/>
    <w:rsid w:val="00636EA7"/>
    <w:rsid w:val="00637381"/>
    <w:rsid w:val="00637D93"/>
    <w:rsid w:val="00641B00"/>
    <w:rsid w:val="00646639"/>
    <w:rsid w:val="00651F38"/>
    <w:rsid w:val="006532E0"/>
    <w:rsid w:val="00653FFD"/>
    <w:rsid w:val="006543CE"/>
    <w:rsid w:val="00654A59"/>
    <w:rsid w:val="00654E3E"/>
    <w:rsid w:val="00657D0D"/>
    <w:rsid w:val="00657E45"/>
    <w:rsid w:val="00660194"/>
    <w:rsid w:val="00660F3B"/>
    <w:rsid w:val="006615E0"/>
    <w:rsid w:val="00663F9B"/>
    <w:rsid w:val="006645BF"/>
    <w:rsid w:val="00665EBD"/>
    <w:rsid w:val="00666615"/>
    <w:rsid w:val="00666675"/>
    <w:rsid w:val="00666A43"/>
    <w:rsid w:val="00666A7E"/>
    <w:rsid w:val="00666FD1"/>
    <w:rsid w:val="00673F9A"/>
    <w:rsid w:val="00674667"/>
    <w:rsid w:val="00674C56"/>
    <w:rsid w:val="00675D36"/>
    <w:rsid w:val="006762AA"/>
    <w:rsid w:val="00676760"/>
    <w:rsid w:val="00676BD5"/>
    <w:rsid w:val="00680DF5"/>
    <w:rsid w:val="00681844"/>
    <w:rsid w:val="006824E7"/>
    <w:rsid w:val="00682F90"/>
    <w:rsid w:val="006836FC"/>
    <w:rsid w:val="00686801"/>
    <w:rsid w:val="006878B3"/>
    <w:rsid w:val="00691266"/>
    <w:rsid w:val="00691F18"/>
    <w:rsid w:val="00693746"/>
    <w:rsid w:val="0069564F"/>
    <w:rsid w:val="00695C2C"/>
    <w:rsid w:val="006A11E0"/>
    <w:rsid w:val="006A3313"/>
    <w:rsid w:val="006A412C"/>
    <w:rsid w:val="006A4F83"/>
    <w:rsid w:val="006A6188"/>
    <w:rsid w:val="006A7370"/>
    <w:rsid w:val="006B1B9F"/>
    <w:rsid w:val="006B4F35"/>
    <w:rsid w:val="006B5652"/>
    <w:rsid w:val="006B5C2F"/>
    <w:rsid w:val="006B78AA"/>
    <w:rsid w:val="006B7D36"/>
    <w:rsid w:val="006C0B47"/>
    <w:rsid w:val="006C1521"/>
    <w:rsid w:val="006C2BEE"/>
    <w:rsid w:val="006C498E"/>
    <w:rsid w:val="006C5C41"/>
    <w:rsid w:val="006C65EE"/>
    <w:rsid w:val="006C6B1B"/>
    <w:rsid w:val="006D2C1F"/>
    <w:rsid w:val="006D2EA1"/>
    <w:rsid w:val="006D37D8"/>
    <w:rsid w:val="006D4453"/>
    <w:rsid w:val="006D7CDD"/>
    <w:rsid w:val="006E0516"/>
    <w:rsid w:val="006E192E"/>
    <w:rsid w:val="006E341D"/>
    <w:rsid w:val="006E34AE"/>
    <w:rsid w:val="006E36D8"/>
    <w:rsid w:val="006E4D7E"/>
    <w:rsid w:val="006E56F3"/>
    <w:rsid w:val="006E7D24"/>
    <w:rsid w:val="006E7EAF"/>
    <w:rsid w:val="006F47E1"/>
    <w:rsid w:val="007013DD"/>
    <w:rsid w:val="00703EDA"/>
    <w:rsid w:val="007040C0"/>
    <w:rsid w:val="00705463"/>
    <w:rsid w:val="00705561"/>
    <w:rsid w:val="0070790E"/>
    <w:rsid w:val="00717C75"/>
    <w:rsid w:val="007210A2"/>
    <w:rsid w:val="00722202"/>
    <w:rsid w:val="007238A1"/>
    <w:rsid w:val="00724A54"/>
    <w:rsid w:val="00727A1D"/>
    <w:rsid w:val="00730EE7"/>
    <w:rsid w:val="007316D7"/>
    <w:rsid w:val="007340DE"/>
    <w:rsid w:val="00736C10"/>
    <w:rsid w:val="00737382"/>
    <w:rsid w:val="0074036C"/>
    <w:rsid w:val="007407B7"/>
    <w:rsid w:val="00740CF5"/>
    <w:rsid w:val="007413E1"/>
    <w:rsid w:val="00743B2F"/>
    <w:rsid w:val="00747116"/>
    <w:rsid w:val="007508B5"/>
    <w:rsid w:val="00757A76"/>
    <w:rsid w:val="007608B3"/>
    <w:rsid w:val="00774166"/>
    <w:rsid w:val="00781058"/>
    <w:rsid w:val="00784E81"/>
    <w:rsid w:val="007915C1"/>
    <w:rsid w:val="00791818"/>
    <w:rsid w:val="007A2082"/>
    <w:rsid w:val="007A2D49"/>
    <w:rsid w:val="007A2DB9"/>
    <w:rsid w:val="007A3D77"/>
    <w:rsid w:val="007A553C"/>
    <w:rsid w:val="007A5B4A"/>
    <w:rsid w:val="007A6178"/>
    <w:rsid w:val="007A6309"/>
    <w:rsid w:val="007A71B8"/>
    <w:rsid w:val="007A7911"/>
    <w:rsid w:val="007B0612"/>
    <w:rsid w:val="007B0E5A"/>
    <w:rsid w:val="007B16EE"/>
    <w:rsid w:val="007B6788"/>
    <w:rsid w:val="007B6800"/>
    <w:rsid w:val="007C22EB"/>
    <w:rsid w:val="007C349A"/>
    <w:rsid w:val="007C3573"/>
    <w:rsid w:val="007D13E2"/>
    <w:rsid w:val="007D14BE"/>
    <w:rsid w:val="007D2152"/>
    <w:rsid w:val="007D427E"/>
    <w:rsid w:val="007D4E13"/>
    <w:rsid w:val="007D4E3D"/>
    <w:rsid w:val="007D5016"/>
    <w:rsid w:val="007D66FA"/>
    <w:rsid w:val="007E1B5B"/>
    <w:rsid w:val="007E3190"/>
    <w:rsid w:val="007E3577"/>
    <w:rsid w:val="007E4C63"/>
    <w:rsid w:val="007E5655"/>
    <w:rsid w:val="007E60CC"/>
    <w:rsid w:val="007E6493"/>
    <w:rsid w:val="007E6536"/>
    <w:rsid w:val="007F0566"/>
    <w:rsid w:val="007F0C98"/>
    <w:rsid w:val="007F2A01"/>
    <w:rsid w:val="007F39ED"/>
    <w:rsid w:val="007F6017"/>
    <w:rsid w:val="007F6474"/>
    <w:rsid w:val="00806139"/>
    <w:rsid w:val="00813552"/>
    <w:rsid w:val="0082018C"/>
    <w:rsid w:val="008205AC"/>
    <w:rsid w:val="008217E4"/>
    <w:rsid w:val="00822E1D"/>
    <w:rsid w:val="008230BF"/>
    <w:rsid w:val="00825CF2"/>
    <w:rsid w:val="008309AD"/>
    <w:rsid w:val="00830FF5"/>
    <w:rsid w:val="008324C6"/>
    <w:rsid w:val="008340F6"/>
    <w:rsid w:val="0083666C"/>
    <w:rsid w:val="00840399"/>
    <w:rsid w:val="00854950"/>
    <w:rsid w:val="00855160"/>
    <w:rsid w:val="0085586D"/>
    <w:rsid w:val="008563B2"/>
    <w:rsid w:val="00856E98"/>
    <w:rsid w:val="00856FA8"/>
    <w:rsid w:val="00857951"/>
    <w:rsid w:val="008579C6"/>
    <w:rsid w:val="00860091"/>
    <w:rsid w:val="00861090"/>
    <w:rsid w:val="0086222D"/>
    <w:rsid w:val="008625F3"/>
    <w:rsid w:val="00863590"/>
    <w:rsid w:val="00863F08"/>
    <w:rsid w:val="00864468"/>
    <w:rsid w:val="00864736"/>
    <w:rsid w:val="00864CEA"/>
    <w:rsid w:val="0086531C"/>
    <w:rsid w:val="008655B7"/>
    <w:rsid w:val="008664D1"/>
    <w:rsid w:val="00872779"/>
    <w:rsid w:val="008743F2"/>
    <w:rsid w:val="00874BB9"/>
    <w:rsid w:val="008770CF"/>
    <w:rsid w:val="00877300"/>
    <w:rsid w:val="00882384"/>
    <w:rsid w:val="00882E15"/>
    <w:rsid w:val="00883F46"/>
    <w:rsid w:val="008850A2"/>
    <w:rsid w:val="0088737E"/>
    <w:rsid w:val="00890504"/>
    <w:rsid w:val="00891653"/>
    <w:rsid w:val="0089249C"/>
    <w:rsid w:val="0089267E"/>
    <w:rsid w:val="00892902"/>
    <w:rsid w:val="00893F95"/>
    <w:rsid w:val="008967E4"/>
    <w:rsid w:val="008979FD"/>
    <w:rsid w:val="008A0488"/>
    <w:rsid w:val="008A32CE"/>
    <w:rsid w:val="008A5D18"/>
    <w:rsid w:val="008A6906"/>
    <w:rsid w:val="008B214B"/>
    <w:rsid w:val="008B2D7B"/>
    <w:rsid w:val="008B4B17"/>
    <w:rsid w:val="008B5A34"/>
    <w:rsid w:val="008B5B0A"/>
    <w:rsid w:val="008B64FB"/>
    <w:rsid w:val="008B7934"/>
    <w:rsid w:val="008C3299"/>
    <w:rsid w:val="008C494F"/>
    <w:rsid w:val="008C5615"/>
    <w:rsid w:val="008C68B5"/>
    <w:rsid w:val="008D05F1"/>
    <w:rsid w:val="008D1EE6"/>
    <w:rsid w:val="008D3434"/>
    <w:rsid w:val="008D7319"/>
    <w:rsid w:val="008D7F33"/>
    <w:rsid w:val="008E0608"/>
    <w:rsid w:val="008E079C"/>
    <w:rsid w:val="008E1DD2"/>
    <w:rsid w:val="008E3162"/>
    <w:rsid w:val="008E46F0"/>
    <w:rsid w:val="008E4C5F"/>
    <w:rsid w:val="008E55F1"/>
    <w:rsid w:val="008E5CCA"/>
    <w:rsid w:val="008E6B2B"/>
    <w:rsid w:val="008F17DC"/>
    <w:rsid w:val="008F22E5"/>
    <w:rsid w:val="008F2CC1"/>
    <w:rsid w:val="008F373C"/>
    <w:rsid w:val="008F5354"/>
    <w:rsid w:val="008F5E6D"/>
    <w:rsid w:val="008F7AFC"/>
    <w:rsid w:val="009008FB"/>
    <w:rsid w:val="00901978"/>
    <w:rsid w:val="009026D7"/>
    <w:rsid w:val="00902BBA"/>
    <w:rsid w:val="00904E4F"/>
    <w:rsid w:val="00911B3F"/>
    <w:rsid w:val="00911CB2"/>
    <w:rsid w:val="00911D94"/>
    <w:rsid w:val="0091246E"/>
    <w:rsid w:val="009137A7"/>
    <w:rsid w:val="0091403F"/>
    <w:rsid w:val="00916C89"/>
    <w:rsid w:val="00920E71"/>
    <w:rsid w:val="00921321"/>
    <w:rsid w:val="0092166A"/>
    <w:rsid w:val="009219E9"/>
    <w:rsid w:val="00921DC3"/>
    <w:rsid w:val="009222F0"/>
    <w:rsid w:val="009227B8"/>
    <w:rsid w:val="00922FCC"/>
    <w:rsid w:val="009231FC"/>
    <w:rsid w:val="00925B42"/>
    <w:rsid w:val="00925E99"/>
    <w:rsid w:val="00930A95"/>
    <w:rsid w:val="009344C6"/>
    <w:rsid w:val="00934E13"/>
    <w:rsid w:val="0093542C"/>
    <w:rsid w:val="00936511"/>
    <w:rsid w:val="00937BD1"/>
    <w:rsid w:val="009401AC"/>
    <w:rsid w:val="009413B3"/>
    <w:rsid w:val="009426FD"/>
    <w:rsid w:val="009439AB"/>
    <w:rsid w:val="00951043"/>
    <w:rsid w:val="00955244"/>
    <w:rsid w:val="009607CC"/>
    <w:rsid w:val="00960B57"/>
    <w:rsid w:val="00961444"/>
    <w:rsid w:val="009629F3"/>
    <w:rsid w:val="0096333B"/>
    <w:rsid w:val="00965D45"/>
    <w:rsid w:val="009668E9"/>
    <w:rsid w:val="00967B3B"/>
    <w:rsid w:val="00970A09"/>
    <w:rsid w:val="009711D3"/>
    <w:rsid w:val="00972C87"/>
    <w:rsid w:val="00973C4D"/>
    <w:rsid w:val="009742D2"/>
    <w:rsid w:val="00975A09"/>
    <w:rsid w:val="00984D53"/>
    <w:rsid w:val="00987D66"/>
    <w:rsid w:val="00992627"/>
    <w:rsid w:val="009932B1"/>
    <w:rsid w:val="0099423C"/>
    <w:rsid w:val="009943AB"/>
    <w:rsid w:val="00994A9A"/>
    <w:rsid w:val="009A0043"/>
    <w:rsid w:val="009A5655"/>
    <w:rsid w:val="009A6F07"/>
    <w:rsid w:val="009B05B7"/>
    <w:rsid w:val="009B0B6A"/>
    <w:rsid w:val="009B2DEE"/>
    <w:rsid w:val="009B4D89"/>
    <w:rsid w:val="009B6509"/>
    <w:rsid w:val="009B7EC2"/>
    <w:rsid w:val="009C10C3"/>
    <w:rsid w:val="009C14E2"/>
    <w:rsid w:val="009C30EE"/>
    <w:rsid w:val="009C44FD"/>
    <w:rsid w:val="009C76CC"/>
    <w:rsid w:val="009D1904"/>
    <w:rsid w:val="009D2725"/>
    <w:rsid w:val="009D7631"/>
    <w:rsid w:val="009D7B68"/>
    <w:rsid w:val="009E03FA"/>
    <w:rsid w:val="009E226F"/>
    <w:rsid w:val="009E366A"/>
    <w:rsid w:val="009E3CB0"/>
    <w:rsid w:val="009E5360"/>
    <w:rsid w:val="009F0C25"/>
    <w:rsid w:val="009F3149"/>
    <w:rsid w:val="009F4C5B"/>
    <w:rsid w:val="009F64E8"/>
    <w:rsid w:val="00A007CE"/>
    <w:rsid w:val="00A0184D"/>
    <w:rsid w:val="00A03A89"/>
    <w:rsid w:val="00A05A24"/>
    <w:rsid w:val="00A05AB5"/>
    <w:rsid w:val="00A07A1B"/>
    <w:rsid w:val="00A10A56"/>
    <w:rsid w:val="00A12660"/>
    <w:rsid w:val="00A12742"/>
    <w:rsid w:val="00A15574"/>
    <w:rsid w:val="00A1678D"/>
    <w:rsid w:val="00A214F1"/>
    <w:rsid w:val="00A225F6"/>
    <w:rsid w:val="00A2511C"/>
    <w:rsid w:val="00A3018C"/>
    <w:rsid w:val="00A31EED"/>
    <w:rsid w:val="00A32A3E"/>
    <w:rsid w:val="00A32E18"/>
    <w:rsid w:val="00A3587A"/>
    <w:rsid w:val="00A36FEC"/>
    <w:rsid w:val="00A37561"/>
    <w:rsid w:val="00A40015"/>
    <w:rsid w:val="00A41CDE"/>
    <w:rsid w:val="00A4391C"/>
    <w:rsid w:val="00A43BE0"/>
    <w:rsid w:val="00A46F23"/>
    <w:rsid w:val="00A50448"/>
    <w:rsid w:val="00A5495B"/>
    <w:rsid w:val="00A57142"/>
    <w:rsid w:val="00A57592"/>
    <w:rsid w:val="00A7186B"/>
    <w:rsid w:val="00A71FA8"/>
    <w:rsid w:val="00A737B2"/>
    <w:rsid w:val="00A73C8E"/>
    <w:rsid w:val="00A73E56"/>
    <w:rsid w:val="00A7427B"/>
    <w:rsid w:val="00A753BA"/>
    <w:rsid w:val="00A765FD"/>
    <w:rsid w:val="00A80FD8"/>
    <w:rsid w:val="00A82E86"/>
    <w:rsid w:val="00A83CA1"/>
    <w:rsid w:val="00A9000B"/>
    <w:rsid w:val="00A93743"/>
    <w:rsid w:val="00A946A9"/>
    <w:rsid w:val="00A95312"/>
    <w:rsid w:val="00A97103"/>
    <w:rsid w:val="00AA0A3E"/>
    <w:rsid w:val="00AA1819"/>
    <w:rsid w:val="00AA53A9"/>
    <w:rsid w:val="00AA7C6B"/>
    <w:rsid w:val="00AB098D"/>
    <w:rsid w:val="00AB1F2B"/>
    <w:rsid w:val="00AB27F9"/>
    <w:rsid w:val="00AB28E9"/>
    <w:rsid w:val="00AB2A48"/>
    <w:rsid w:val="00AB3029"/>
    <w:rsid w:val="00AB4841"/>
    <w:rsid w:val="00AB71D6"/>
    <w:rsid w:val="00AC17ED"/>
    <w:rsid w:val="00AC229B"/>
    <w:rsid w:val="00AC5A11"/>
    <w:rsid w:val="00AC6CC4"/>
    <w:rsid w:val="00AC7EC8"/>
    <w:rsid w:val="00AD0B0A"/>
    <w:rsid w:val="00AD3FD7"/>
    <w:rsid w:val="00AD5F7F"/>
    <w:rsid w:val="00AD64AF"/>
    <w:rsid w:val="00AD6F73"/>
    <w:rsid w:val="00AD71AB"/>
    <w:rsid w:val="00AD7ACB"/>
    <w:rsid w:val="00AE0C8C"/>
    <w:rsid w:val="00AE26F1"/>
    <w:rsid w:val="00AE5673"/>
    <w:rsid w:val="00AE6FBD"/>
    <w:rsid w:val="00AF0936"/>
    <w:rsid w:val="00AF1695"/>
    <w:rsid w:val="00AF1BAC"/>
    <w:rsid w:val="00AF2B4F"/>
    <w:rsid w:val="00AF3799"/>
    <w:rsid w:val="00AF40E3"/>
    <w:rsid w:val="00AF75B1"/>
    <w:rsid w:val="00B0049B"/>
    <w:rsid w:val="00B00BC8"/>
    <w:rsid w:val="00B052B2"/>
    <w:rsid w:val="00B0710E"/>
    <w:rsid w:val="00B07132"/>
    <w:rsid w:val="00B0742B"/>
    <w:rsid w:val="00B108EA"/>
    <w:rsid w:val="00B11DDC"/>
    <w:rsid w:val="00B123A0"/>
    <w:rsid w:val="00B124E5"/>
    <w:rsid w:val="00B13C89"/>
    <w:rsid w:val="00B148E4"/>
    <w:rsid w:val="00B14AD9"/>
    <w:rsid w:val="00B16A59"/>
    <w:rsid w:val="00B16BF5"/>
    <w:rsid w:val="00B176C4"/>
    <w:rsid w:val="00B176EB"/>
    <w:rsid w:val="00B203E5"/>
    <w:rsid w:val="00B206C4"/>
    <w:rsid w:val="00B26E4B"/>
    <w:rsid w:val="00B275A3"/>
    <w:rsid w:val="00B30C2D"/>
    <w:rsid w:val="00B33C57"/>
    <w:rsid w:val="00B37069"/>
    <w:rsid w:val="00B37DA7"/>
    <w:rsid w:val="00B408BA"/>
    <w:rsid w:val="00B41858"/>
    <w:rsid w:val="00B41FE3"/>
    <w:rsid w:val="00B50244"/>
    <w:rsid w:val="00B5409D"/>
    <w:rsid w:val="00B550A7"/>
    <w:rsid w:val="00B566B5"/>
    <w:rsid w:val="00B56C17"/>
    <w:rsid w:val="00B57636"/>
    <w:rsid w:val="00B623F5"/>
    <w:rsid w:val="00B631EF"/>
    <w:rsid w:val="00B63210"/>
    <w:rsid w:val="00B6596C"/>
    <w:rsid w:val="00B67D04"/>
    <w:rsid w:val="00B77C71"/>
    <w:rsid w:val="00B802C3"/>
    <w:rsid w:val="00B814B6"/>
    <w:rsid w:val="00B81F60"/>
    <w:rsid w:val="00B842F5"/>
    <w:rsid w:val="00B8655E"/>
    <w:rsid w:val="00B875CA"/>
    <w:rsid w:val="00B87B43"/>
    <w:rsid w:val="00B90991"/>
    <w:rsid w:val="00B91F92"/>
    <w:rsid w:val="00B923AD"/>
    <w:rsid w:val="00B9339B"/>
    <w:rsid w:val="00B93769"/>
    <w:rsid w:val="00B944AC"/>
    <w:rsid w:val="00B94A6B"/>
    <w:rsid w:val="00B97961"/>
    <w:rsid w:val="00BA1814"/>
    <w:rsid w:val="00BA1ACC"/>
    <w:rsid w:val="00BA4AF4"/>
    <w:rsid w:val="00BA4FF9"/>
    <w:rsid w:val="00BA602C"/>
    <w:rsid w:val="00BA7722"/>
    <w:rsid w:val="00BB185C"/>
    <w:rsid w:val="00BB25C4"/>
    <w:rsid w:val="00BB26EF"/>
    <w:rsid w:val="00BB27CC"/>
    <w:rsid w:val="00BB4937"/>
    <w:rsid w:val="00BB59AA"/>
    <w:rsid w:val="00BB636B"/>
    <w:rsid w:val="00BB73C8"/>
    <w:rsid w:val="00BC0280"/>
    <w:rsid w:val="00BC0C1F"/>
    <w:rsid w:val="00BC636D"/>
    <w:rsid w:val="00BC77AE"/>
    <w:rsid w:val="00BD0563"/>
    <w:rsid w:val="00BD0F55"/>
    <w:rsid w:val="00BD3A08"/>
    <w:rsid w:val="00BD79E5"/>
    <w:rsid w:val="00BE09C2"/>
    <w:rsid w:val="00BE15EC"/>
    <w:rsid w:val="00BE3880"/>
    <w:rsid w:val="00BF0029"/>
    <w:rsid w:val="00BF2A90"/>
    <w:rsid w:val="00C00C46"/>
    <w:rsid w:val="00C00E28"/>
    <w:rsid w:val="00C02BFF"/>
    <w:rsid w:val="00C03C7A"/>
    <w:rsid w:val="00C07122"/>
    <w:rsid w:val="00C11855"/>
    <w:rsid w:val="00C11D0C"/>
    <w:rsid w:val="00C12ADF"/>
    <w:rsid w:val="00C14135"/>
    <w:rsid w:val="00C20EBB"/>
    <w:rsid w:val="00C2298B"/>
    <w:rsid w:val="00C24A7A"/>
    <w:rsid w:val="00C258E6"/>
    <w:rsid w:val="00C333DC"/>
    <w:rsid w:val="00C3532C"/>
    <w:rsid w:val="00C357F2"/>
    <w:rsid w:val="00C36E87"/>
    <w:rsid w:val="00C423F4"/>
    <w:rsid w:val="00C42DEF"/>
    <w:rsid w:val="00C46495"/>
    <w:rsid w:val="00C46A9A"/>
    <w:rsid w:val="00C51199"/>
    <w:rsid w:val="00C538CC"/>
    <w:rsid w:val="00C56962"/>
    <w:rsid w:val="00C6081F"/>
    <w:rsid w:val="00C6213E"/>
    <w:rsid w:val="00C62ACD"/>
    <w:rsid w:val="00C6446B"/>
    <w:rsid w:val="00C65679"/>
    <w:rsid w:val="00C664B2"/>
    <w:rsid w:val="00C67A76"/>
    <w:rsid w:val="00C67DD0"/>
    <w:rsid w:val="00C67E04"/>
    <w:rsid w:val="00C72D97"/>
    <w:rsid w:val="00C7450C"/>
    <w:rsid w:val="00C7621D"/>
    <w:rsid w:val="00C81AF7"/>
    <w:rsid w:val="00C82C39"/>
    <w:rsid w:val="00C86259"/>
    <w:rsid w:val="00C87521"/>
    <w:rsid w:val="00C9231F"/>
    <w:rsid w:val="00C93A03"/>
    <w:rsid w:val="00C9610F"/>
    <w:rsid w:val="00CA732A"/>
    <w:rsid w:val="00CB117B"/>
    <w:rsid w:val="00CB4430"/>
    <w:rsid w:val="00CC0DCA"/>
    <w:rsid w:val="00CC2B81"/>
    <w:rsid w:val="00CC3FFC"/>
    <w:rsid w:val="00CC4032"/>
    <w:rsid w:val="00CC51FD"/>
    <w:rsid w:val="00CC540B"/>
    <w:rsid w:val="00CC7FFE"/>
    <w:rsid w:val="00CD404B"/>
    <w:rsid w:val="00CD4778"/>
    <w:rsid w:val="00CD699A"/>
    <w:rsid w:val="00CD6F15"/>
    <w:rsid w:val="00CE0199"/>
    <w:rsid w:val="00CE270D"/>
    <w:rsid w:val="00CE2EDE"/>
    <w:rsid w:val="00CE3D01"/>
    <w:rsid w:val="00CE4D35"/>
    <w:rsid w:val="00CE5808"/>
    <w:rsid w:val="00CE60A1"/>
    <w:rsid w:val="00CE63BE"/>
    <w:rsid w:val="00CF0FD2"/>
    <w:rsid w:val="00CF131B"/>
    <w:rsid w:val="00CF1408"/>
    <w:rsid w:val="00CF16F4"/>
    <w:rsid w:val="00CF1A8F"/>
    <w:rsid w:val="00CF3B06"/>
    <w:rsid w:val="00CF4054"/>
    <w:rsid w:val="00CF5F04"/>
    <w:rsid w:val="00CF666B"/>
    <w:rsid w:val="00CF66B9"/>
    <w:rsid w:val="00CF6D6D"/>
    <w:rsid w:val="00D01593"/>
    <w:rsid w:val="00D01BEC"/>
    <w:rsid w:val="00D0287E"/>
    <w:rsid w:val="00D03C19"/>
    <w:rsid w:val="00D048A5"/>
    <w:rsid w:val="00D053C5"/>
    <w:rsid w:val="00D07263"/>
    <w:rsid w:val="00D13A87"/>
    <w:rsid w:val="00D16C79"/>
    <w:rsid w:val="00D16DB4"/>
    <w:rsid w:val="00D22BA0"/>
    <w:rsid w:val="00D23843"/>
    <w:rsid w:val="00D24DE8"/>
    <w:rsid w:val="00D27F43"/>
    <w:rsid w:val="00D31283"/>
    <w:rsid w:val="00D32399"/>
    <w:rsid w:val="00D3277B"/>
    <w:rsid w:val="00D34C9E"/>
    <w:rsid w:val="00D35607"/>
    <w:rsid w:val="00D363DC"/>
    <w:rsid w:val="00D400F8"/>
    <w:rsid w:val="00D409A3"/>
    <w:rsid w:val="00D40E8E"/>
    <w:rsid w:val="00D41798"/>
    <w:rsid w:val="00D42894"/>
    <w:rsid w:val="00D46829"/>
    <w:rsid w:val="00D47893"/>
    <w:rsid w:val="00D52ED1"/>
    <w:rsid w:val="00D54581"/>
    <w:rsid w:val="00D552B8"/>
    <w:rsid w:val="00D55F54"/>
    <w:rsid w:val="00D6528F"/>
    <w:rsid w:val="00D666F4"/>
    <w:rsid w:val="00D7065B"/>
    <w:rsid w:val="00D72029"/>
    <w:rsid w:val="00D7342F"/>
    <w:rsid w:val="00D74204"/>
    <w:rsid w:val="00D7578E"/>
    <w:rsid w:val="00D75B78"/>
    <w:rsid w:val="00D77A35"/>
    <w:rsid w:val="00D81816"/>
    <w:rsid w:val="00D8198B"/>
    <w:rsid w:val="00D822DC"/>
    <w:rsid w:val="00D833B1"/>
    <w:rsid w:val="00D8560D"/>
    <w:rsid w:val="00D86019"/>
    <w:rsid w:val="00D870F2"/>
    <w:rsid w:val="00D87826"/>
    <w:rsid w:val="00D964E9"/>
    <w:rsid w:val="00DA0189"/>
    <w:rsid w:val="00DA0529"/>
    <w:rsid w:val="00DA096D"/>
    <w:rsid w:val="00DA1C24"/>
    <w:rsid w:val="00DA26C7"/>
    <w:rsid w:val="00DA57D3"/>
    <w:rsid w:val="00DA7E1A"/>
    <w:rsid w:val="00DB04E4"/>
    <w:rsid w:val="00DB07D3"/>
    <w:rsid w:val="00DB2A3D"/>
    <w:rsid w:val="00DB3364"/>
    <w:rsid w:val="00DB45EA"/>
    <w:rsid w:val="00DB5915"/>
    <w:rsid w:val="00DC0961"/>
    <w:rsid w:val="00DC1F8D"/>
    <w:rsid w:val="00DC344F"/>
    <w:rsid w:val="00DC42AC"/>
    <w:rsid w:val="00DC5A09"/>
    <w:rsid w:val="00DC67AA"/>
    <w:rsid w:val="00DC6E83"/>
    <w:rsid w:val="00DC7AC2"/>
    <w:rsid w:val="00DD06E5"/>
    <w:rsid w:val="00DD3E0C"/>
    <w:rsid w:val="00DD4708"/>
    <w:rsid w:val="00DD543A"/>
    <w:rsid w:val="00DE0932"/>
    <w:rsid w:val="00DE554E"/>
    <w:rsid w:val="00DE7C28"/>
    <w:rsid w:val="00DF025A"/>
    <w:rsid w:val="00DF4831"/>
    <w:rsid w:val="00DF6D17"/>
    <w:rsid w:val="00DF6D9F"/>
    <w:rsid w:val="00DF70A0"/>
    <w:rsid w:val="00DF72D3"/>
    <w:rsid w:val="00E0687F"/>
    <w:rsid w:val="00E07FAE"/>
    <w:rsid w:val="00E10583"/>
    <w:rsid w:val="00E126CB"/>
    <w:rsid w:val="00E12862"/>
    <w:rsid w:val="00E151A0"/>
    <w:rsid w:val="00E15D89"/>
    <w:rsid w:val="00E168B6"/>
    <w:rsid w:val="00E22203"/>
    <w:rsid w:val="00E2399E"/>
    <w:rsid w:val="00E23EAC"/>
    <w:rsid w:val="00E247BF"/>
    <w:rsid w:val="00E24C4C"/>
    <w:rsid w:val="00E26846"/>
    <w:rsid w:val="00E27270"/>
    <w:rsid w:val="00E310EA"/>
    <w:rsid w:val="00E32352"/>
    <w:rsid w:val="00E32A5F"/>
    <w:rsid w:val="00E34C7C"/>
    <w:rsid w:val="00E34F51"/>
    <w:rsid w:val="00E3522C"/>
    <w:rsid w:val="00E35837"/>
    <w:rsid w:val="00E402C2"/>
    <w:rsid w:val="00E403BA"/>
    <w:rsid w:val="00E4056C"/>
    <w:rsid w:val="00E40B94"/>
    <w:rsid w:val="00E42463"/>
    <w:rsid w:val="00E44117"/>
    <w:rsid w:val="00E46CCA"/>
    <w:rsid w:val="00E47350"/>
    <w:rsid w:val="00E476D7"/>
    <w:rsid w:val="00E5249E"/>
    <w:rsid w:val="00E52DAD"/>
    <w:rsid w:val="00E532C8"/>
    <w:rsid w:val="00E578E5"/>
    <w:rsid w:val="00E601F8"/>
    <w:rsid w:val="00E615B6"/>
    <w:rsid w:val="00E639BB"/>
    <w:rsid w:val="00E64EE0"/>
    <w:rsid w:val="00E65E59"/>
    <w:rsid w:val="00E6727F"/>
    <w:rsid w:val="00E70D94"/>
    <w:rsid w:val="00E73829"/>
    <w:rsid w:val="00E76505"/>
    <w:rsid w:val="00E772B1"/>
    <w:rsid w:val="00E84981"/>
    <w:rsid w:val="00E8678A"/>
    <w:rsid w:val="00E87A64"/>
    <w:rsid w:val="00E87F84"/>
    <w:rsid w:val="00E91398"/>
    <w:rsid w:val="00E9340B"/>
    <w:rsid w:val="00E940EA"/>
    <w:rsid w:val="00E944DC"/>
    <w:rsid w:val="00E966F9"/>
    <w:rsid w:val="00E974A6"/>
    <w:rsid w:val="00EA3492"/>
    <w:rsid w:val="00EA3FF5"/>
    <w:rsid w:val="00EA494B"/>
    <w:rsid w:val="00EA5329"/>
    <w:rsid w:val="00EA6181"/>
    <w:rsid w:val="00EA7735"/>
    <w:rsid w:val="00EA7EC4"/>
    <w:rsid w:val="00EB1522"/>
    <w:rsid w:val="00EB2C3E"/>
    <w:rsid w:val="00EB421F"/>
    <w:rsid w:val="00EC41E0"/>
    <w:rsid w:val="00EC55E6"/>
    <w:rsid w:val="00EC5955"/>
    <w:rsid w:val="00EC6795"/>
    <w:rsid w:val="00EC73FF"/>
    <w:rsid w:val="00ED036E"/>
    <w:rsid w:val="00ED0702"/>
    <w:rsid w:val="00ED0D64"/>
    <w:rsid w:val="00ED1DAF"/>
    <w:rsid w:val="00ED2681"/>
    <w:rsid w:val="00ED295F"/>
    <w:rsid w:val="00ED4AEB"/>
    <w:rsid w:val="00ED60EC"/>
    <w:rsid w:val="00ED6EE4"/>
    <w:rsid w:val="00EE0CAB"/>
    <w:rsid w:val="00EE2C74"/>
    <w:rsid w:val="00EE2EF8"/>
    <w:rsid w:val="00EE3963"/>
    <w:rsid w:val="00EE3A19"/>
    <w:rsid w:val="00EE4B3B"/>
    <w:rsid w:val="00EE573C"/>
    <w:rsid w:val="00EF3748"/>
    <w:rsid w:val="00EF394B"/>
    <w:rsid w:val="00EF68CA"/>
    <w:rsid w:val="00EF6D72"/>
    <w:rsid w:val="00EF70E6"/>
    <w:rsid w:val="00EF767E"/>
    <w:rsid w:val="00F002B8"/>
    <w:rsid w:val="00F04AEF"/>
    <w:rsid w:val="00F05EC2"/>
    <w:rsid w:val="00F105AC"/>
    <w:rsid w:val="00F1183C"/>
    <w:rsid w:val="00F12A47"/>
    <w:rsid w:val="00F13832"/>
    <w:rsid w:val="00F13E69"/>
    <w:rsid w:val="00F167B5"/>
    <w:rsid w:val="00F22BE6"/>
    <w:rsid w:val="00F23488"/>
    <w:rsid w:val="00F2588C"/>
    <w:rsid w:val="00F26590"/>
    <w:rsid w:val="00F26A43"/>
    <w:rsid w:val="00F26DEE"/>
    <w:rsid w:val="00F31E30"/>
    <w:rsid w:val="00F37132"/>
    <w:rsid w:val="00F37FC6"/>
    <w:rsid w:val="00F41231"/>
    <w:rsid w:val="00F440B9"/>
    <w:rsid w:val="00F5115D"/>
    <w:rsid w:val="00F518C0"/>
    <w:rsid w:val="00F51A80"/>
    <w:rsid w:val="00F5213F"/>
    <w:rsid w:val="00F5335B"/>
    <w:rsid w:val="00F55653"/>
    <w:rsid w:val="00F557CB"/>
    <w:rsid w:val="00F573B5"/>
    <w:rsid w:val="00F575D4"/>
    <w:rsid w:val="00F6273B"/>
    <w:rsid w:val="00F66106"/>
    <w:rsid w:val="00F671DB"/>
    <w:rsid w:val="00F70761"/>
    <w:rsid w:val="00F718CA"/>
    <w:rsid w:val="00F734F1"/>
    <w:rsid w:val="00F73A1F"/>
    <w:rsid w:val="00F7472C"/>
    <w:rsid w:val="00F754A4"/>
    <w:rsid w:val="00F77208"/>
    <w:rsid w:val="00F77D9C"/>
    <w:rsid w:val="00F811E0"/>
    <w:rsid w:val="00F8218D"/>
    <w:rsid w:val="00F825B3"/>
    <w:rsid w:val="00F9058F"/>
    <w:rsid w:val="00F9132B"/>
    <w:rsid w:val="00F94F7D"/>
    <w:rsid w:val="00F9776E"/>
    <w:rsid w:val="00F97A84"/>
    <w:rsid w:val="00F97F7F"/>
    <w:rsid w:val="00FA1039"/>
    <w:rsid w:val="00FA137B"/>
    <w:rsid w:val="00FA25D2"/>
    <w:rsid w:val="00FA32A8"/>
    <w:rsid w:val="00FA37A8"/>
    <w:rsid w:val="00FA64BA"/>
    <w:rsid w:val="00FB0DE9"/>
    <w:rsid w:val="00FB1516"/>
    <w:rsid w:val="00FB16AB"/>
    <w:rsid w:val="00FB48B9"/>
    <w:rsid w:val="00FB63FD"/>
    <w:rsid w:val="00FB6476"/>
    <w:rsid w:val="00FC11E0"/>
    <w:rsid w:val="00FC58AE"/>
    <w:rsid w:val="00FC624B"/>
    <w:rsid w:val="00FD203C"/>
    <w:rsid w:val="00FD21CA"/>
    <w:rsid w:val="00FD2358"/>
    <w:rsid w:val="00FD335C"/>
    <w:rsid w:val="00FD374F"/>
    <w:rsid w:val="00FD39BE"/>
    <w:rsid w:val="00FD4DF3"/>
    <w:rsid w:val="00FD5E70"/>
    <w:rsid w:val="00FD634A"/>
    <w:rsid w:val="00FD67C3"/>
    <w:rsid w:val="00FD6DE5"/>
    <w:rsid w:val="00FE2A0E"/>
    <w:rsid w:val="00FE2ECF"/>
    <w:rsid w:val="00FE4CAC"/>
    <w:rsid w:val="00FE58CF"/>
    <w:rsid w:val="00FE5E21"/>
    <w:rsid w:val="00FE638A"/>
    <w:rsid w:val="00FE7393"/>
    <w:rsid w:val="00FF2DAF"/>
    <w:rsid w:val="00FF3200"/>
    <w:rsid w:val="00FF71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o:shapelayout v:ext="edit">
      <o:idmap v:ext="edit" data="1"/>
    </o:shapelayout>
  </w:shapeDefaults>
  <w:decimalSymbol w:val="."/>
  <w:listSeparator w:val=","/>
  <w14:defaultImageDpi w14:val="96"/>
  <w15:docId w15:val="{F82B06A3-99AB-49E8-9DFC-1E1DE956A7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lsdException w:name="heading 6" w:uiPriority="9"/>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Document Map" w:semiHidden="1" w:uiPriority="99"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Paragraph"/>
    <w:qFormat/>
    <w:rsid w:val="00CF1A8F"/>
    <w:pPr>
      <w:spacing w:after="120" w:line="360" w:lineRule="auto"/>
    </w:pPr>
    <w:rPr>
      <w:rFonts w:asciiTheme="minorHAnsi" w:hAnsiTheme="minorHAnsi" w:cs="Arial"/>
      <w:sz w:val="22"/>
      <w:szCs w:val="24"/>
      <w:lang w:eastAsia="en-US"/>
    </w:rPr>
  </w:style>
  <w:style w:type="paragraph" w:styleId="Heading1">
    <w:name w:val="heading 1"/>
    <w:basedOn w:val="Normal"/>
    <w:next w:val="Normal"/>
    <w:link w:val="Heading1Char"/>
    <w:autoRedefine/>
    <w:uiPriority w:val="9"/>
    <w:qFormat/>
    <w:rsid w:val="005C5138"/>
    <w:pPr>
      <w:keepNext/>
      <w:keepLines/>
      <w:spacing w:before="240" w:after="60"/>
      <w:outlineLvl w:val="0"/>
    </w:pPr>
    <w:rPr>
      <w:rFonts w:eastAsiaTheme="minorHAnsi" w:cs="Times New Roman"/>
      <w:b/>
      <w:color w:val="17365D" w:themeColor="text2" w:themeShade="BF"/>
      <w:sz w:val="44"/>
      <w:szCs w:val="44"/>
      <w:lang w:eastAsia="en-AU"/>
    </w:rPr>
  </w:style>
  <w:style w:type="paragraph" w:styleId="Heading2">
    <w:name w:val="heading 2"/>
    <w:basedOn w:val="Heading1"/>
    <w:next w:val="Normal"/>
    <w:link w:val="Heading2Char"/>
    <w:autoRedefine/>
    <w:uiPriority w:val="9"/>
    <w:qFormat/>
    <w:rsid w:val="00E32A5F"/>
    <w:pPr>
      <w:numPr>
        <w:ilvl w:val="1"/>
      </w:numPr>
      <w:spacing w:before="180" w:after="0"/>
      <w:outlineLvl w:val="1"/>
    </w:pPr>
    <w:rPr>
      <w:rFonts w:eastAsia="Calibri"/>
      <w:sz w:val="40"/>
      <w:szCs w:val="40"/>
    </w:rPr>
  </w:style>
  <w:style w:type="paragraph" w:styleId="Heading3">
    <w:name w:val="heading 3"/>
    <w:basedOn w:val="Heading2"/>
    <w:next w:val="Normal"/>
    <w:link w:val="Heading3Char"/>
    <w:autoRedefine/>
    <w:uiPriority w:val="9"/>
    <w:qFormat/>
    <w:rsid w:val="007B6788"/>
    <w:pPr>
      <w:numPr>
        <w:ilvl w:val="0"/>
      </w:numPr>
      <w:spacing w:before="120" w:after="120" w:line="240" w:lineRule="auto"/>
      <w:outlineLvl w:val="2"/>
    </w:pPr>
    <w:rPr>
      <w:color w:val="365F91" w:themeColor="accent1" w:themeShade="BF"/>
      <w:sz w:val="22"/>
      <w:szCs w:val="22"/>
    </w:rPr>
  </w:style>
  <w:style w:type="paragraph" w:styleId="Heading4">
    <w:name w:val="heading 4"/>
    <w:basedOn w:val="Heading3"/>
    <w:next w:val="Normal"/>
    <w:link w:val="Heading4Char"/>
    <w:uiPriority w:val="9"/>
    <w:qFormat/>
    <w:rsid w:val="00105CEF"/>
    <w:pPr>
      <w:outlineLvl w:val="3"/>
    </w:pPr>
    <w:rPr>
      <w:sz w:val="20"/>
    </w:rPr>
  </w:style>
  <w:style w:type="paragraph" w:styleId="Heading5">
    <w:name w:val="heading 5"/>
    <w:basedOn w:val="Normal"/>
    <w:next w:val="Normal"/>
    <w:link w:val="Heading5Char"/>
    <w:uiPriority w:val="9"/>
    <w:rsid w:val="00105CEF"/>
    <w:pPr>
      <w:keepNext/>
      <w:keepLines/>
      <w:spacing w:line="240" w:lineRule="atLeast"/>
      <w:outlineLvl w:val="4"/>
    </w:pPr>
    <w:rPr>
      <w:spacing w:val="-4"/>
      <w:kern w:val="28"/>
    </w:rPr>
  </w:style>
  <w:style w:type="paragraph" w:styleId="Heading6">
    <w:name w:val="heading 6"/>
    <w:basedOn w:val="Normal"/>
    <w:next w:val="Normal"/>
    <w:link w:val="Heading6Char"/>
    <w:uiPriority w:val="9"/>
    <w:rsid w:val="00105CEF"/>
    <w:pPr>
      <w:keepNext/>
      <w:keepLines/>
      <w:spacing w:before="140" w:line="220" w:lineRule="atLeast"/>
      <w:outlineLvl w:val="5"/>
    </w:pPr>
    <w:rPr>
      <w:i/>
      <w:spacing w:val="-4"/>
      <w:kern w:val="28"/>
    </w:rPr>
  </w:style>
  <w:style w:type="paragraph" w:styleId="Heading7">
    <w:name w:val="heading 7"/>
    <w:basedOn w:val="Normal"/>
    <w:next w:val="Normal"/>
    <w:link w:val="Heading7Char"/>
    <w:uiPriority w:val="9"/>
    <w:rsid w:val="00105CEF"/>
    <w:pPr>
      <w:keepNext/>
      <w:keepLines/>
      <w:spacing w:before="140" w:line="220" w:lineRule="atLeast"/>
      <w:outlineLvl w:val="6"/>
    </w:pPr>
    <w:rPr>
      <w:spacing w:val="-4"/>
      <w:kern w:val="28"/>
    </w:rPr>
  </w:style>
  <w:style w:type="paragraph" w:styleId="Heading8">
    <w:name w:val="heading 8"/>
    <w:basedOn w:val="Normal"/>
    <w:next w:val="Normal"/>
    <w:link w:val="Heading8Char"/>
    <w:uiPriority w:val="9"/>
    <w:rsid w:val="00105CEF"/>
    <w:pPr>
      <w:keepNext/>
      <w:keepLines/>
      <w:spacing w:before="140" w:line="220" w:lineRule="atLeast"/>
      <w:outlineLvl w:val="7"/>
    </w:pPr>
    <w:rPr>
      <w:i/>
      <w:spacing w:val="-4"/>
      <w:kern w:val="28"/>
      <w:sz w:val="18"/>
    </w:rPr>
  </w:style>
  <w:style w:type="paragraph" w:styleId="Heading9">
    <w:name w:val="heading 9"/>
    <w:basedOn w:val="Normal"/>
    <w:next w:val="Normal"/>
    <w:link w:val="Heading9Char"/>
    <w:uiPriority w:val="9"/>
    <w:rsid w:val="00105CEF"/>
    <w:pPr>
      <w:keepNext/>
      <w:keepLines/>
      <w:spacing w:before="140" w:line="220" w:lineRule="atLeast"/>
      <w:outlineLvl w:val="8"/>
    </w:pPr>
    <w:rPr>
      <w:spacing w:val="-4"/>
      <w:kern w:val="28"/>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5C5138"/>
    <w:rPr>
      <w:rFonts w:asciiTheme="minorHAnsi" w:eastAsiaTheme="minorHAnsi" w:hAnsiTheme="minorHAnsi"/>
      <w:b/>
      <w:color w:val="17365D" w:themeColor="text2" w:themeShade="BF"/>
      <w:sz w:val="44"/>
      <w:szCs w:val="44"/>
    </w:rPr>
  </w:style>
  <w:style w:type="character" w:customStyle="1" w:styleId="Heading2Char">
    <w:name w:val="Heading 2 Char"/>
    <w:basedOn w:val="DefaultParagraphFont"/>
    <w:link w:val="Heading2"/>
    <w:uiPriority w:val="9"/>
    <w:locked/>
    <w:rsid w:val="00E32A5F"/>
    <w:rPr>
      <w:rFonts w:asciiTheme="minorHAnsi" w:eastAsia="Calibri" w:hAnsiTheme="minorHAnsi"/>
      <w:b/>
      <w:color w:val="17365D" w:themeColor="text2" w:themeShade="BF"/>
      <w:sz w:val="40"/>
      <w:szCs w:val="40"/>
    </w:rPr>
  </w:style>
  <w:style w:type="character" w:customStyle="1" w:styleId="Heading3Char">
    <w:name w:val="Heading 3 Char"/>
    <w:basedOn w:val="DefaultParagraphFont"/>
    <w:link w:val="Heading3"/>
    <w:uiPriority w:val="9"/>
    <w:locked/>
    <w:rsid w:val="007B6788"/>
    <w:rPr>
      <w:rFonts w:asciiTheme="minorHAnsi" w:eastAsia="Calibri" w:hAnsiTheme="minorHAnsi"/>
      <w:b/>
      <w:color w:val="365F91" w:themeColor="accent1" w:themeShade="BF"/>
      <w:sz w:val="22"/>
      <w:szCs w:val="22"/>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sz w:val="22"/>
      <w:szCs w:val="22"/>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lang w:val="x-none" w:eastAsia="en-US"/>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sz w:val="22"/>
      <w:szCs w:val="22"/>
      <w:lang w:val="x-none" w:eastAsia="en-US"/>
    </w:rPr>
  </w:style>
  <w:style w:type="paragraph" w:styleId="BodyText">
    <w:name w:val="Body Text"/>
    <w:basedOn w:val="Normal"/>
    <w:link w:val="BodyTextChar"/>
    <w:uiPriority w:val="99"/>
    <w:rsid w:val="00105CEF"/>
  </w:style>
  <w:style w:type="character" w:customStyle="1" w:styleId="BodyTextChar">
    <w:name w:val="Body Text Char"/>
    <w:basedOn w:val="DefaultParagraphFont"/>
    <w:link w:val="BodyText"/>
    <w:uiPriority w:val="99"/>
    <w:semiHidden/>
    <w:locked/>
    <w:rPr>
      <w:rFonts w:ascii="Arial" w:hAnsi="Arial" w:cs="Times New Roman"/>
      <w:lang w:val="x-none" w:eastAsia="en-US"/>
    </w:rPr>
  </w:style>
  <w:style w:type="paragraph" w:customStyle="1" w:styleId="Captiontext">
    <w:name w:val="Caption text"/>
    <w:basedOn w:val="BodyText"/>
    <w:rsid w:val="00105CEF"/>
    <w:rPr>
      <w:sz w:val="16"/>
    </w:rPr>
  </w:style>
  <w:style w:type="character" w:customStyle="1" w:styleId="FWOBlue">
    <w:name w:val="FWO Blue"/>
    <w:basedOn w:val="DefaultParagraphFont"/>
    <w:rsid w:val="00105CEF"/>
    <w:rPr>
      <w:rFonts w:ascii="Arial" w:hAnsi="Arial" w:cs="Times New Roman"/>
      <w:color w:val="0084C2"/>
    </w:rPr>
  </w:style>
  <w:style w:type="paragraph" w:styleId="Header">
    <w:name w:val="header"/>
    <w:basedOn w:val="Normal"/>
    <w:link w:val="HeaderChar"/>
    <w:rsid w:val="00105CEF"/>
    <w:pPr>
      <w:tabs>
        <w:tab w:val="center" w:pos="4153"/>
        <w:tab w:val="right" w:pos="8306"/>
      </w:tabs>
      <w:spacing w:before="360"/>
      <w:jc w:val="center"/>
    </w:pPr>
    <w:rPr>
      <w:sz w:val="40"/>
      <w:szCs w:val="40"/>
    </w:rPr>
  </w:style>
  <w:style w:type="character" w:customStyle="1" w:styleId="HeaderChar">
    <w:name w:val="Header Char"/>
    <w:basedOn w:val="DefaultParagraphFont"/>
    <w:link w:val="Header"/>
    <w:uiPriority w:val="99"/>
    <w:locked/>
    <w:rPr>
      <w:rFonts w:ascii="Arial" w:hAnsi="Arial" w:cs="Times New Roman"/>
      <w:lang w:val="x-none" w:eastAsia="en-US"/>
    </w:rPr>
  </w:style>
  <w:style w:type="paragraph" w:customStyle="1" w:styleId="Subheading">
    <w:name w:val="Subheading"/>
    <w:basedOn w:val="BodyText"/>
    <w:rsid w:val="00105CEF"/>
    <w:rPr>
      <w:b/>
      <w:bCs/>
    </w:rPr>
  </w:style>
  <w:style w:type="paragraph" w:styleId="BalloonText">
    <w:name w:val="Balloon Text"/>
    <w:basedOn w:val="Normal"/>
    <w:link w:val="BalloonTextChar"/>
    <w:uiPriority w:val="99"/>
    <w:rsid w:val="00524C21"/>
    <w:rPr>
      <w:rFonts w:ascii="Tahoma" w:hAnsi="Tahoma" w:cs="Tahoma"/>
      <w:sz w:val="16"/>
      <w:szCs w:val="16"/>
    </w:rPr>
  </w:style>
  <w:style w:type="character" w:customStyle="1" w:styleId="BalloonTextChar">
    <w:name w:val="Balloon Text Char"/>
    <w:basedOn w:val="DefaultParagraphFont"/>
    <w:link w:val="BalloonText"/>
    <w:uiPriority w:val="99"/>
    <w:locked/>
    <w:rsid w:val="00524C21"/>
    <w:rPr>
      <w:rFonts w:ascii="Tahoma" w:hAnsi="Tahoma" w:cs="Tahoma"/>
      <w:sz w:val="16"/>
      <w:szCs w:val="16"/>
      <w:lang w:val="x-none" w:eastAsia="en-US"/>
    </w:rPr>
  </w:style>
  <w:style w:type="paragraph" w:customStyle="1" w:styleId="TableText">
    <w:name w:val="TableText"/>
    <w:basedOn w:val="Normal"/>
    <w:rsid w:val="00105CEF"/>
    <w:pPr>
      <w:spacing w:before="40" w:after="40"/>
    </w:pPr>
    <w:rPr>
      <w:lang w:eastAsia="en-AU"/>
    </w:rPr>
  </w:style>
  <w:style w:type="paragraph" w:customStyle="1" w:styleId="Tabletextheading">
    <w:name w:val="Table text heading"/>
    <w:basedOn w:val="TableText"/>
    <w:rsid w:val="00105CEF"/>
    <w:rPr>
      <w:b/>
      <w:bCs/>
    </w:rPr>
  </w:style>
  <w:style w:type="paragraph" w:styleId="Title">
    <w:name w:val="Title"/>
    <w:basedOn w:val="Normal"/>
    <w:next w:val="Normal"/>
    <w:link w:val="TitleChar"/>
    <w:uiPriority w:val="10"/>
    <w:rsid w:val="00105CEF"/>
    <w:rPr>
      <w:noProof/>
      <w:color w:val="0084C2"/>
      <w:sz w:val="72"/>
      <w:szCs w:val="72"/>
      <w:lang w:eastAsia="en-AU"/>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TOC1">
    <w:name w:val="toc 1"/>
    <w:basedOn w:val="Normal"/>
    <w:autoRedefine/>
    <w:uiPriority w:val="39"/>
    <w:rsid w:val="001402B7"/>
    <w:pPr>
      <w:tabs>
        <w:tab w:val="left" w:pos="1560"/>
        <w:tab w:val="right" w:leader="dot" w:pos="8789"/>
      </w:tabs>
      <w:ind w:left="851" w:right="814"/>
    </w:pPr>
    <w:rPr>
      <w:spacing w:val="-4"/>
    </w:rPr>
  </w:style>
  <w:style w:type="paragraph" w:styleId="TOC2">
    <w:name w:val="toc 2"/>
    <w:basedOn w:val="Normal"/>
    <w:autoRedefine/>
    <w:uiPriority w:val="39"/>
    <w:rsid w:val="00FC58AE"/>
    <w:pPr>
      <w:tabs>
        <w:tab w:val="left" w:pos="1701"/>
        <w:tab w:val="right" w:leader="dot" w:pos="8789"/>
      </w:tabs>
      <w:ind w:left="851"/>
    </w:pPr>
  </w:style>
  <w:style w:type="paragraph" w:styleId="Caption">
    <w:name w:val="caption"/>
    <w:basedOn w:val="Normal"/>
    <w:next w:val="Normal"/>
    <w:uiPriority w:val="35"/>
    <w:rsid w:val="00105CEF"/>
    <w:pPr>
      <w:keepNext/>
      <w:numPr>
        <w:numId w:val="2"/>
      </w:numPr>
      <w:spacing w:before="60" w:after="240" w:line="220" w:lineRule="atLeast"/>
    </w:pPr>
    <w:rPr>
      <w:rFonts w:ascii="Arial Narrow" w:hAnsi="Arial Narrow"/>
      <w:sz w:val="18"/>
    </w:rPr>
  </w:style>
  <w:style w:type="paragraph" w:styleId="DocumentMap">
    <w:name w:val="Document Map"/>
    <w:basedOn w:val="Normal"/>
    <w:link w:val="DocumentMapChar"/>
    <w:uiPriority w:val="99"/>
    <w:semiHidden/>
    <w:rsid w:val="00105CEF"/>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Pr>
      <w:rFonts w:ascii="Tahoma" w:hAnsi="Tahoma" w:cs="Tahoma"/>
      <w:sz w:val="16"/>
      <w:szCs w:val="16"/>
      <w:lang w:val="x-none" w:eastAsia="en-US"/>
    </w:rPr>
  </w:style>
  <w:style w:type="paragraph" w:customStyle="1" w:styleId="Dotpoint">
    <w:name w:val="Dotpoint"/>
    <w:basedOn w:val="Normal"/>
    <w:semiHidden/>
    <w:locked/>
    <w:rsid w:val="00105CEF"/>
    <w:pPr>
      <w:numPr>
        <w:numId w:val="3"/>
      </w:numPr>
    </w:pPr>
  </w:style>
  <w:style w:type="paragraph" w:customStyle="1" w:styleId="Dotpointtable">
    <w:name w:val="Dotpoint table"/>
    <w:basedOn w:val="TableText"/>
    <w:semiHidden/>
    <w:locked/>
    <w:rsid w:val="00105CEF"/>
    <w:pPr>
      <w:numPr>
        <w:numId w:val="4"/>
      </w:numPr>
      <w:spacing w:before="60" w:after="60"/>
    </w:pPr>
    <w:rPr>
      <w:bCs/>
      <w:sz w:val="18"/>
      <w:szCs w:val="28"/>
    </w:rPr>
  </w:style>
  <w:style w:type="paragraph" w:customStyle="1" w:styleId="ExampleText">
    <w:name w:val="Example Text"/>
    <w:basedOn w:val="Normal"/>
    <w:semiHidden/>
    <w:locked/>
    <w:rsid w:val="00105CEF"/>
    <w:pPr>
      <w:spacing w:before="40" w:after="60"/>
    </w:pPr>
    <w:rPr>
      <w:i/>
      <w:vanish/>
      <w:color w:val="0000FF"/>
    </w:rPr>
  </w:style>
  <w:style w:type="paragraph" w:styleId="Footer">
    <w:name w:val="footer"/>
    <w:basedOn w:val="Normal"/>
    <w:link w:val="FooterChar"/>
    <w:uiPriority w:val="99"/>
    <w:rsid w:val="00105CEF"/>
    <w:pPr>
      <w:tabs>
        <w:tab w:val="center" w:pos="4153"/>
        <w:tab w:val="right" w:pos="8306"/>
      </w:tabs>
    </w:pPr>
  </w:style>
  <w:style w:type="character" w:customStyle="1" w:styleId="FooterChar">
    <w:name w:val="Footer Char"/>
    <w:basedOn w:val="DefaultParagraphFont"/>
    <w:link w:val="Footer"/>
    <w:uiPriority w:val="99"/>
    <w:locked/>
    <w:rPr>
      <w:rFonts w:ascii="Arial" w:hAnsi="Arial" w:cs="Times New Roman"/>
      <w:lang w:val="x-none" w:eastAsia="en-US"/>
    </w:rPr>
  </w:style>
  <w:style w:type="character" w:styleId="Hyperlink">
    <w:name w:val="Hyperlink"/>
    <w:basedOn w:val="DefaultParagraphFont"/>
    <w:uiPriority w:val="99"/>
    <w:rsid w:val="00105CEF"/>
    <w:rPr>
      <w:rFonts w:ascii="Arial" w:hAnsi="Arial" w:cs="Times New Roman"/>
      <w:color w:val="0000FF"/>
      <w:u w:val="single"/>
    </w:rPr>
  </w:style>
  <w:style w:type="table" w:styleId="TableGrid">
    <w:name w:val="Table Grid"/>
    <w:basedOn w:val="TableNormal"/>
    <w:uiPriority w:val="39"/>
    <w:rsid w:val="00105CEF"/>
    <w:pPr>
      <w:spacing w:before="1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3">
    <w:name w:val="toc 3"/>
    <w:basedOn w:val="Normal"/>
    <w:autoRedefine/>
    <w:uiPriority w:val="39"/>
    <w:rsid w:val="00105CEF"/>
    <w:pPr>
      <w:tabs>
        <w:tab w:val="left" w:pos="1985"/>
        <w:tab w:val="right" w:leader="dot" w:pos="9629"/>
      </w:tabs>
      <w:ind w:left="360"/>
    </w:pPr>
  </w:style>
  <w:style w:type="paragraph" w:styleId="TOC4">
    <w:name w:val="toc 4"/>
    <w:basedOn w:val="Normal"/>
    <w:autoRedefine/>
    <w:uiPriority w:val="39"/>
    <w:semiHidden/>
    <w:rsid w:val="00105CEF"/>
    <w:pPr>
      <w:ind w:left="360"/>
    </w:pPr>
  </w:style>
  <w:style w:type="paragraph" w:styleId="TOC5">
    <w:name w:val="toc 5"/>
    <w:basedOn w:val="Normal"/>
    <w:autoRedefine/>
    <w:uiPriority w:val="39"/>
    <w:semiHidden/>
    <w:rsid w:val="00105CEF"/>
    <w:pPr>
      <w:ind w:left="360"/>
    </w:pPr>
  </w:style>
  <w:style w:type="character" w:customStyle="1" w:styleId="Subtitlered">
    <w:name w:val="Subtitle red"/>
    <w:basedOn w:val="DefaultParagraphFont"/>
    <w:rsid w:val="00E601F8"/>
    <w:rPr>
      <w:rFonts w:ascii="Arial" w:hAnsi="Arial" w:cs="Times New Roman"/>
      <w:color w:val="872434"/>
      <w:sz w:val="32"/>
    </w:rPr>
  </w:style>
  <w:style w:type="character" w:styleId="PageNumber">
    <w:name w:val="page number"/>
    <w:basedOn w:val="DefaultParagraphFont"/>
    <w:uiPriority w:val="99"/>
    <w:rsid w:val="00181475"/>
    <w:rPr>
      <w:rFonts w:ascii="Arial" w:hAnsi="Arial" w:cs="Times New Roman"/>
    </w:rPr>
  </w:style>
  <w:style w:type="paragraph" w:styleId="TOCHeading">
    <w:name w:val="TOC Heading"/>
    <w:basedOn w:val="Heading1"/>
    <w:next w:val="Normal"/>
    <w:uiPriority w:val="39"/>
    <w:unhideWhenUsed/>
    <w:rsid w:val="001F20C3"/>
    <w:pPr>
      <w:spacing w:before="480" w:after="0" w:line="276" w:lineRule="auto"/>
      <w:outlineLvl w:val="9"/>
    </w:pPr>
    <w:rPr>
      <w:rFonts w:asciiTheme="majorHAnsi" w:eastAsiaTheme="majorEastAsia" w:hAnsiTheme="majorHAnsi"/>
      <w:bCs/>
      <w:color w:val="365F91" w:themeColor="accent1" w:themeShade="BF"/>
      <w:szCs w:val="28"/>
      <w:lang w:val="en-US" w:eastAsia="ja-JP"/>
    </w:rPr>
  </w:style>
  <w:style w:type="character" w:styleId="CommentReference">
    <w:name w:val="annotation reference"/>
    <w:basedOn w:val="DefaultParagraphFont"/>
    <w:uiPriority w:val="99"/>
    <w:rsid w:val="00B0742B"/>
    <w:rPr>
      <w:rFonts w:cs="Times New Roman"/>
      <w:sz w:val="16"/>
      <w:szCs w:val="16"/>
    </w:rPr>
  </w:style>
  <w:style w:type="paragraph" w:styleId="CommentText">
    <w:name w:val="annotation text"/>
    <w:basedOn w:val="Normal"/>
    <w:link w:val="CommentTextChar"/>
    <w:uiPriority w:val="99"/>
    <w:rsid w:val="00B0742B"/>
  </w:style>
  <w:style w:type="character" w:customStyle="1" w:styleId="CommentTextChar">
    <w:name w:val="Comment Text Char"/>
    <w:basedOn w:val="DefaultParagraphFont"/>
    <w:link w:val="CommentText"/>
    <w:uiPriority w:val="99"/>
    <w:locked/>
    <w:rsid w:val="00B0742B"/>
    <w:rPr>
      <w:rFonts w:ascii="Arial" w:hAnsi="Arial" w:cs="Times New Roman"/>
      <w:lang w:val="x-none" w:eastAsia="en-US"/>
    </w:rPr>
  </w:style>
  <w:style w:type="paragraph" w:styleId="CommentSubject">
    <w:name w:val="annotation subject"/>
    <w:basedOn w:val="CommentText"/>
    <w:next w:val="CommentText"/>
    <w:link w:val="CommentSubjectChar"/>
    <w:uiPriority w:val="99"/>
    <w:rsid w:val="00B0742B"/>
    <w:rPr>
      <w:b/>
      <w:bCs/>
    </w:rPr>
  </w:style>
  <w:style w:type="character" w:customStyle="1" w:styleId="CommentSubjectChar">
    <w:name w:val="Comment Subject Char"/>
    <w:basedOn w:val="CommentTextChar"/>
    <w:link w:val="CommentSubject"/>
    <w:uiPriority w:val="99"/>
    <w:locked/>
    <w:rsid w:val="00B0742B"/>
    <w:rPr>
      <w:rFonts w:ascii="Arial" w:hAnsi="Arial" w:cs="Times New Roman"/>
      <w:b/>
      <w:bCs/>
      <w:lang w:val="x-none" w:eastAsia="en-US"/>
    </w:rPr>
  </w:style>
  <w:style w:type="paragraph" w:styleId="ListParagraph">
    <w:name w:val="List Paragraph"/>
    <w:aliases w:val="List Paragraph1,List Paragraph11,Recommendation,Brief List Paragraph 1,DDM Gen Text"/>
    <w:basedOn w:val="Normal"/>
    <w:link w:val="ListParagraphChar"/>
    <w:uiPriority w:val="34"/>
    <w:qFormat/>
    <w:rsid w:val="00057AE4"/>
    <w:pPr>
      <w:ind w:left="720"/>
      <w:contextualSpacing/>
    </w:pPr>
  </w:style>
  <w:style w:type="paragraph" w:styleId="FootnoteText">
    <w:name w:val="footnote text"/>
    <w:basedOn w:val="Normal"/>
    <w:link w:val="FootnoteTextChar"/>
    <w:uiPriority w:val="99"/>
    <w:rsid w:val="007B16EE"/>
  </w:style>
  <w:style w:type="character" w:customStyle="1" w:styleId="FootnoteTextChar">
    <w:name w:val="Footnote Text Char"/>
    <w:basedOn w:val="DefaultParagraphFont"/>
    <w:link w:val="FootnoteText"/>
    <w:uiPriority w:val="99"/>
    <w:locked/>
    <w:rsid w:val="007B16EE"/>
    <w:rPr>
      <w:rFonts w:ascii="Arial" w:hAnsi="Arial" w:cs="Times New Roman"/>
      <w:lang w:val="x-none" w:eastAsia="en-US"/>
    </w:rPr>
  </w:style>
  <w:style w:type="character" w:styleId="FootnoteReference">
    <w:name w:val="footnote reference"/>
    <w:basedOn w:val="DefaultParagraphFont"/>
    <w:uiPriority w:val="99"/>
    <w:rsid w:val="007B16EE"/>
    <w:rPr>
      <w:rFonts w:cs="Times New Roman"/>
      <w:vertAlign w:val="superscript"/>
    </w:rPr>
  </w:style>
  <w:style w:type="numbering" w:customStyle="1" w:styleId="Numberletterbullets">
    <w:name w:val="Number/letter bullets"/>
    <w:pPr>
      <w:numPr>
        <w:numId w:val="5"/>
      </w:numPr>
    </w:pPr>
  </w:style>
  <w:style w:type="numbering" w:customStyle="1" w:styleId="BulletLevel1">
    <w:name w:val="Bullet Level 1"/>
    <w:pPr>
      <w:numPr>
        <w:numId w:val="1"/>
      </w:numPr>
    </w:pPr>
  </w:style>
  <w:style w:type="paragraph" w:customStyle="1" w:styleId="Sub-title">
    <w:name w:val="Sub-title"/>
    <w:basedOn w:val="Heading1"/>
    <w:link w:val="Sub-titleChar"/>
    <w:rsid w:val="000E37AC"/>
    <w:rPr>
      <w:szCs w:val="28"/>
    </w:rPr>
  </w:style>
  <w:style w:type="paragraph" w:customStyle="1" w:styleId="Fronttitle">
    <w:name w:val="Front title"/>
    <w:basedOn w:val="Heading1"/>
    <w:link w:val="FronttitleChar"/>
    <w:rsid w:val="000E37AC"/>
    <w:pPr>
      <w:spacing w:before="3600"/>
    </w:pPr>
    <w:rPr>
      <w:sz w:val="56"/>
    </w:rPr>
  </w:style>
  <w:style w:type="character" w:customStyle="1" w:styleId="Sub-titleChar">
    <w:name w:val="Sub-title Char"/>
    <w:basedOn w:val="Heading1Char"/>
    <w:link w:val="Sub-title"/>
    <w:rsid w:val="000E37AC"/>
    <w:rPr>
      <w:rFonts w:ascii="Arial" w:eastAsiaTheme="minorHAnsi" w:hAnsi="Arial" w:cs="Arial"/>
      <w:b/>
      <w:color w:val="548DD4" w:themeColor="text2" w:themeTint="99"/>
      <w:sz w:val="28"/>
      <w:szCs w:val="28"/>
      <w:lang w:eastAsia="en-US"/>
    </w:rPr>
  </w:style>
  <w:style w:type="paragraph" w:customStyle="1" w:styleId="Casestudytitle">
    <w:name w:val="Case study title"/>
    <w:basedOn w:val="Sub-title"/>
    <w:link w:val="CasestudytitleChar"/>
    <w:autoRedefine/>
    <w:qFormat/>
    <w:rsid w:val="000D29E1"/>
    <w:pPr>
      <w:ind w:left="720"/>
    </w:pPr>
    <w:rPr>
      <w:sz w:val="36"/>
    </w:rPr>
  </w:style>
  <w:style w:type="character" w:customStyle="1" w:styleId="FronttitleChar">
    <w:name w:val="Front title Char"/>
    <w:basedOn w:val="Heading1Char"/>
    <w:link w:val="Fronttitle"/>
    <w:rsid w:val="000E37AC"/>
    <w:rPr>
      <w:rFonts w:asciiTheme="minorHAnsi" w:eastAsiaTheme="minorHAnsi" w:hAnsiTheme="minorHAnsi"/>
      <w:b/>
      <w:color w:val="17365D" w:themeColor="text2" w:themeShade="BF"/>
      <w:sz w:val="56"/>
      <w:szCs w:val="44"/>
    </w:rPr>
  </w:style>
  <w:style w:type="paragraph" w:customStyle="1" w:styleId="Casestudytext">
    <w:name w:val="Case study text"/>
    <w:basedOn w:val="Normal"/>
    <w:link w:val="CasestudytextChar"/>
    <w:qFormat/>
    <w:rsid w:val="00CF3B06"/>
    <w:pPr>
      <w:ind w:left="720"/>
    </w:pPr>
  </w:style>
  <w:style w:type="character" w:customStyle="1" w:styleId="CasestudytitleChar">
    <w:name w:val="Case study title Char"/>
    <w:basedOn w:val="Sub-titleChar"/>
    <w:link w:val="Casestudytitle"/>
    <w:rsid w:val="000D29E1"/>
    <w:rPr>
      <w:rFonts w:ascii="Helvetica" w:eastAsiaTheme="minorHAnsi" w:hAnsi="Helvetica" w:cs="Arial"/>
      <w:b/>
      <w:color w:val="0194A6"/>
      <w:sz w:val="36"/>
      <w:szCs w:val="28"/>
      <w:lang w:eastAsia="en-US"/>
    </w:rPr>
  </w:style>
  <w:style w:type="character" w:customStyle="1" w:styleId="CasestudytextChar">
    <w:name w:val="Case study text Char"/>
    <w:basedOn w:val="DefaultParagraphFont"/>
    <w:link w:val="Casestudytext"/>
    <w:rsid w:val="00CF3B06"/>
    <w:rPr>
      <w:rFonts w:ascii="Helvetica" w:hAnsi="Helvetica" w:cs="Arial"/>
      <w:sz w:val="22"/>
      <w:szCs w:val="24"/>
      <w:lang w:eastAsia="en-US"/>
    </w:rPr>
  </w:style>
  <w:style w:type="paragraph" w:customStyle="1" w:styleId="CoverReportTitle">
    <w:name w:val="Cover Report Title"/>
    <w:basedOn w:val="Normal"/>
    <w:autoRedefine/>
    <w:qFormat/>
    <w:rsid w:val="00602CBE"/>
    <w:pPr>
      <w:framePr w:w="4820" w:wrap="around" w:vAnchor="page" w:hAnchor="text" w:x="5388" w:y="795"/>
      <w:spacing w:before="4440" w:after="2400" w:line="480" w:lineRule="auto"/>
    </w:pPr>
    <w:rPr>
      <w:rFonts w:eastAsiaTheme="minorHAnsi" w:cs="Times New Roman"/>
      <w:color w:val="FFFFFF" w:themeColor="background1"/>
      <w:sz w:val="60"/>
      <w:szCs w:val="22"/>
    </w:rPr>
  </w:style>
  <w:style w:type="paragraph" w:customStyle="1" w:styleId="CoverReportSubTitle">
    <w:name w:val="Cover Report Sub Title"/>
    <w:basedOn w:val="CoverReportTitle"/>
    <w:next w:val="Normal"/>
    <w:autoRedefine/>
    <w:qFormat/>
    <w:rsid w:val="00602CBE"/>
    <w:pPr>
      <w:framePr w:w="0" w:wrap="auto" w:vAnchor="margin" w:xAlign="left" w:yAlign="inline"/>
      <w:spacing w:before="113" w:after="57" w:line="400" w:lineRule="exact"/>
    </w:pPr>
    <w:rPr>
      <w:color w:val="auto"/>
      <w:sz w:val="36"/>
    </w:rPr>
  </w:style>
  <w:style w:type="paragraph" w:customStyle="1" w:styleId="Bullet">
    <w:name w:val="Bullet"/>
    <w:basedOn w:val="Normal"/>
    <w:autoRedefine/>
    <w:qFormat/>
    <w:rsid w:val="00073D23"/>
    <w:pPr>
      <w:spacing w:before="120" w:line="276" w:lineRule="auto"/>
      <w:ind w:left="360"/>
    </w:pPr>
    <w:rPr>
      <w:rFonts w:eastAsiaTheme="minorHAnsi" w:cs="Times New Roman"/>
      <w:szCs w:val="22"/>
    </w:rPr>
  </w:style>
  <w:style w:type="paragraph" w:customStyle="1" w:styleId="Calloutbox">
    <w:name w:val="Callout box"/>
    <w:basedOn w:val="Normal"/>
    <w:next w:val="Normal"/>
    <w:link w:val="CalloutboxChar"/>
    <w:autoRedefine/>
    <w:qFormat/>
    <w:rsid w:val="00357D51"/>
    <w:pPr>
      <w:pBdr>
        <w:top w:val="single" w:sz="48" w:space="3" w:color="DDDDDD"/>
        <w:left w:val="single" w:sz="48" w:space="8" w:color="DDDDDD"/>
        <w:bottom w:val="single" w:sz="48" w:space="6" w:color="DDDDDD"/>
        <w:right w:val="single" w:sz="48" w:space="8" w:color="DDDDDD"/>
      </w:pBdr>
      <w:shd w:val="clear" w:color="auto" w:fill="DDDDDD"/>
      <w:spacing w:before="240" w:after="113" w:line="320" w:lineRule="exact"/>
      <w:ind w:left="284" w:right="284"/>
      <w:contextualSpacing/>
    </w:pPr>
    <w:rPr>
      <w:rFonts w:eastAsiaTheme="minorHAnsi" w:cs="Times New Roman"/>
      <w:szCs w:val="22"/>
    </w:rPr>
  </w:style>
  <w:style w:type="character" w:styleId="IntenseEmphasis">
    <w:name w:val="Intense Emphasis"/>
    <w:aliases w:val="Figure Heading"/>
    <w:basedOn w:val="DefaultParagraphFont"/>
    <w:uiPriority w:val="21"/>
    <w:rsid w:val="004B2104"/>
    <w:rPr>
      <w:rFonts w:ascii="Arial" w:hAnsi="Arial"/>
      <w:b/>
      <w:bCs/>
      <w:i w:val="0"/>
      <w:iCs/>
      <w:color w:val="000000" w:themeColor="text1"/>
      <w:sz w:val="22"/>
    </w:rPr>
  </w:style>
  <w:style w:type="paragraph" w:customStyle="1" w:styleId="GlanceYellowHeading">
    <w:name w:val="Glance Yellow Heading"/>
    <w:basedOn w:val="Normal"/>
    <w:next w:val="GlanceHeading"/>
    <w:autoRedefine/>
    <w:qFormat/>
    <w:rsid w:val="00A46F23"/>
    <w:pPr>
      <w:pBdr>
        <w:top w:val="single" w:sz="48" w:space="1" w:color="BFBFBF" w:themeColor="background1" w:themeShade="BF"/>
      </w:pBdr>
      <w:shd w:val="clear" w:color="auto" w:fill="FFFFFF" w:themeFill="background1"/>
      <w:spacing w:after="0"/>
      <w:contextualSpacing/>
      <w:jc w:val="center"/>
      <w:textboxTightWrap w:val="allLines"/>
    </w:pPr>
    <w:rPr>
      <w:rFonts w:eastAsiaTheme="minorHAnsi" w:cs="Times New Roman"/>
      <w:color w:val="0194A6"/>
      <w:spacing w:val="-10"/>
      <w:sz w:val="56"/>
      <w:szCs w:val="22"/>
    </w:rPr>
  </w:style>
  <w:style w:type="paragraph" w:customStyle="1" w:styleId="GlanceHeading">
    <w:name w:val="Glance Heading"/>
    <w:basedOn w:val="Normal"/>
    <w:next w:val="GlanceBody"/>
    <w:autoRedefine/>
    <w:qFormat/>
    <w:rsid w:val="00CF3B06"/>
    <w:pPr>
      <w:keepNext/>
      <w:keepLines/>
      <w:widowControl w:val="0"/>
      <w:spacing w:after="0" w:line="240" w:lineRule="auto"/>
      <w:jc w:val="center"/>
      <w:textboxTightWrap w:val="allLines"/>
    </w:pPr>
    <w:rPr>
      <w:rFonts w:eastAsiaTheme="minorHAnsi" w:cs="Times New Roman"/>
      <w:b/>
      <w:color w:val="0194A6"/>
      <w:sz w:val="96"/>
      <w:szCs w:val="22"/>
    </w:rPr>
  </w:style>
  <w:style w:type="paragraph" w:customStyle="1" w:styleId="GlanceBody">
    <w:name w:val="Glance Body"/>
    <w:basedOn w:val="Normal"/>
    <w:autoRedefine/>
    <w:qFormat/>
    <w:rsid w:val="00CF3B06"/>
    <w:pPr>
      <w:pBdr>
        <w:bottom w:val="single" w:sz="2" w:space="8" w:color="BFBFBF" w:themeColor="background1" w:themeShade="BF"/>
      </w:pBdr>
      <w:spacing w:after="113" w:line="240" w:lineRule="auto"/>
      <w:jc w:val="center"/>
    </w:pPr>
    <w:rPr>
      <w:rFonts w:eastAsiaTheme="minorHAnsi" w:cs="Times New Roman"/>
      <w:szCs w:val="22"/>
    </w:rPr>
  </w:style>
  <w:style w:type="paragraph" w:customStyle="1" w:styleId="CoverReportTitle1">
    <w:name w:val="Cover Report Title1"/>
    <w:basedOn w:val="Normal"/>
    <w:next w:val="CoverReportTitle"/>
    <w:rsid w:val="00205DBE"/>
    <w:pPr>
      <w:framePr w:w="4820" w:wrap="around" w:vAnchor="page" w:hAnchor="text" w:x="5388" w:y="795"/>
      <w:spacing w:after="0" w:line="560" w:lineRule="exact"/>
    </w:pPr>
    <w:rPr>
      <w:rFonts w:ascii="Fair Work" w:eastAsiaTheme="minorHAnsi" w:hAnsi="Fair Work" w:cs="Times New Roman"/>
      <w:color w:val="007CBA"/>
      <w:sz w:val="60"/>
      <w:szCs w:val="22"/>
    </w:rPr>
  </w:style>
  <w:style w:type="paragraph" w:customStyle="1" w:styleId="GreyBubbleBox1">
    <w:name w:val="Grey  Bubble Box1"/>
    <w:basedOn w:val="Normal"/>
    <w:next w:val="Normal"/>
    <w:autoRedefine/>
    <w:qFormat/>
    <w:rsid w:val="00A46F23"/>
    <w:pPr>
      <w:pBdr>
        <w:top w:val="single" w:sz="48" w:space="3" w:color="E5E5E5"/>
        <w:left w:val="single" w:sz="48" w:space="8" w:color="E5E5E5"/>
        <w:bottom w:val="single" w:sz="48" w:space="6" w:color="E5E5E5"/>
        <w:right w:val="single" w:sz="48" w:space="8" w:color="E5E5E5"/>
      </w:pBdr>
      <w:shd w:val="clear" w:color="auto" w:fill="E5E5E5"/>
      <w:spacing w:before="240" w:after="113" w:line="320" w:lineRule="exact"/>
      <w:ind w:left="284" w:right="284"/>
      <w:contextualSpacing/>
    </w:pPr>
    <w:rPr>
      <w:rFonts w:eastAsiaTheme="minorHAnsi" w:cs="Times New Roman"/>
      <w:szCs w:val="22"/>
    </w:rPr>
  </w:style>
  <w:style w:type="character" w:styleId="Emphasis">
    <w:name w:val="Emphasis"/>
    <w:basedOn w:val="DefaultParagraphFont"/>
    <w:rsid w:val="00CF3B06"/>
    <w:rPr>
      <w:i/>
      <w:iCs/>
    </w:rPr>
  </w:style>
  <w:style w:type="character" w:styleId="Strong">
    <w:name w:val="Strong"/>
    <w:basedOn w:val="DefaultParagraphFont"/>
    <w:uiPriority w:val="22"/>
    <w:qFormat/>
    <w:rsid w:val="00CF3B06"/>
    <w:rPr>
      <w:b/>
      <w:bCs/>
    </w:rPr>
  </w:style>
  <w:style w:type="paragraph" w:styleId="Subtitle">
    <w:name w:val="Subtitle"/>
    <w:basedOn w:val="Normal"/>
    <w:next w:val="Normal"/>
    <w:link w:val="SubtitleChar"/>
    <w:rsid w:val="00CF3B06"/>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rsid w:val="00CF3B06"/>
    <w:rPr>
      <w:rFonts w:asciiTheme="majorHAnsi" w:eastAsiaTheme="majorEastAsia" w:hAnsiTheme="majorHAnsi" w:cstheme="majorBidi"/>
      <w:i/>
      <w:iCs/>
      <w:color w:val="4F81BD" w:themeColor="accent1"/>
      <w:spacing w:val="15"/>
      <w:sz w:val="24"/>
      <w:szCs w:val="24"/>
      <w:lang w:eastAsia="en-US"/>
    </w:rPr>
  </w:style>
  <w:style w:type="paragraph" w:styleId="NoSpacing">
    <w:name w:val="No Spacing"/>
    <w:uiPriority w:val="1"/>
    <w:rsid w:val="00CF3B06"/>
    <w:pPr>
      <w:jc w:val="both"/>
    </w:pPr>
    <w:rPr>
      <w:rFonts w:ascii="Arial" w:hAnsi="Arial" w:cs="Arial"/>
      <w:sz w:val="24"/>
      <w:szCs w:val="24"/>
      <w:lang w:eastAsia="en-US"/>
    </w:rPr>
  </w:style>
  <w:style w:type="paragraph" w:styleId="Quote">
    <w:name w:val="Quote"/>
    <w:basedOn w:val="Normal"/>
    <w:next w:val="Normal"/>
    <w:link w:val="QuoteChar"/>
    <w:uiPriority w:val="29"/>
    <w:qFormat/>
    <w:rsid w:val="00CF3B06"/>
    <w:rPr>
      <w:i/>
      <w:iCs/>
      <w:color w:val="000000" w:themeColor="text1"/>
    </w:rPr>
  </w:style>
  <w:style w:type="character" w:customStyle="1" w:styleId="QuoteChar">
    <w:name w:val="Quote Char"/>
    <w:basedOn w:val="DefaultParagraphFont"/>
    <w:link w:val="Quote"/>
    <w:uiPriority w:val="29"/>
    <w:rsid w:val="00CF3B06"/>
    <w:rPr>
      <w:rFonts w:ascii="Arial" w:hAnsi="Arial" w:cs="Arial"/>
      <w:i/>
      <w:iCs/>
      <w:color w:val="000000" w:themeColor="text1"/>
      <w:sz w:val="24"/>
      <w:szCs w:val="24"/>
      <w:lang w:eastAsia="en-US"/>
    </w:rPr>
  </w:style>
  <w:style w:type="paragraph" w:customStyle="1" w:styleId="CalloutBoxHeading">
    <w:name w:val="Callout Box Heading"/>
    <w:basedOn w:val="Calloutbox"/>
    <w:link w:val="CalloutBoxHeadingChar"/>
    <w:autoRedefine/>
    <w:qFormat/>
    <w:rsid w:val="003B62FE"/>
    <w:rPr>
      <w:b/>
      <w:sz w:val="24"/>
    </w:rPr>
  </w:style>
  <w:style w:type="character" w:customStyle="1" w:styleId="CalloutboxChar">
    <w:name w:val="Callout box Char"/>
    <w:basedOn w:val="DefaultParagraphFont"/>
    <w:link w:val="Calloutbox"/>
    <w:rsid w:val="00357D51"/>
    <w:rPr>
      <w:rFonts w:asciiTheme="minorHAnsi" w:eastAsiaTheme="minorHAnsi" w:hAnsiTheme="minorHAnsi"/>
      <w:sz w:val="22"/>
      <w:szCs w:val="22"/>
      <w:shd w:val="clear" w:color="auto" w:fill="DDDDDD"/>
      <w:lang w:eastAsia="en-US"/>
    </w:rPr>
  </w:style>
  <w:style w:type="character" w:customStyle="1" w:styleId="CalloutBoxHeadingChar">
    <w:name w:val="Callout Box Heading Char"/>
    <w:basedOn w:val="CalloutboxChar"/>
    <w:link w:val="CalloutBoxHeading"/>
    <w:rsid w:val="003B62FE"/>
    <w:rPr>
      <w:rFonts w:ascii="Helvetica" w:eastAsiaTheme="minorHAnsi" w:hAnsi="Helvetica"/>
      <w:b/>
      <w:color w:val="FFFFFF" w:themeColor="background1"/>
      <w:sz w:val="24"/>
      <w:szCs w:val="22"/>
      <w:shd w:val="clear" w:color="auto" w:fill="017F8F"/>
      <w:lang w:eastAsia="en-US"/>
    </w:rPr>
  </w:style>
  <w:style w:type="paragraph" w:customStyle="1" w:styleId="Calloutbox1">
    <w:name w:val="Callout box1"/>
    <w:basedOn w:val="Normal"/>
    <w:next w:val="Normal"/>
    <w:autoRedefine/>
    <w:qFormat/>
    <w:rsid w:val="00143A90"/>
    <w:pPr>
      <w:pBdr>
        <w:top w:val="single" w:sz="48" w:space="3" w:color="33C1D7"/>
        <w:left w:val="single" w:sz="48" w:space="8" w:color="33C1D7"/>
        <w:bottom w:val="single" w:sz="48" w:space="6" w:color="33C1D7"/>
        <w:right w:val="single" w:sz="48" w:space="8" w:color="33C1D7"/>
      </w:pBdr>
      <w:spacing w:before="240" w:after="113" w:line="320" w:lineRule="exact"/>
      <w:ind w:left="284" w:right="284"/>
      <w:contextualSpacing/>
      <w:jc w:val="both"/>
    </w:pPr>
    <w:rPr>
      <w:rFonts w:eastAsiaTheme="minorHAnsi" w:cs="Times New Roman"/>
      <w:sz w:val="20"/>
      <w:szCs w:val="20"/>
    </w:rPr>
  </w:style>
  <w:style w:type="paragraph" w:customStyle="1" w:styleId="GlanceYellowHeading1">
    <w:name w:val="Glance Yellow Heading1"/>
    <w:basedOn w:val="Normal"/>
    <w:next w:val="GlanceHeading"/>
    <w:autoRedefine/>
    <w:rsid w:val="00CF3B06"/>
    <w:pPr>
      <w:pBdr>
        <w:top w:val="single" w:sz="48" w:space="1" w:color="BFBFBF" w:themeColor="background1" w:themeShade="BF"/>
      </w:pBdr>
      <w:shd w:val="clear" w:color="auto" w:fill="E5E5E5"/>
      <w:spacing w:after="0"/>
      <w:contextualSpacing/>
      <w:jc w:val="center"/>
      <w:textboxTightWrap w:val="allLines"/>
    </w:pPr>
    <w:rPr>
      <w:rFonts w:eastAsiaTheme="minorHAnsi" w:cs="Times New Roman"/>
      <w:color w:val="10C9DE"/>
      <w:spacing w:val="-10"/>
      <w:sz w:val="56"/>
      <w:szCs w:val="22"/>
    </w:rPr>
  </w:style>
  <w:style w:type="paragraph" w:customStyle="1" w:styleId="Style1KIN">
    <w:name w:val="Style1KIN"/>
    <w:link w:val="Style1KINChar"/>
    <w:qFormat/>
    <w:rsid w:val="007E3577"/>
    <w:pPr>
      <w:spacing w:before="120" w:line="360" w:lineRule="auto"/>
    </w:pPr>
    <w:rPr>
      <w:rFonts w:asciiTheme="minorHAnsi" w:eastAsiaTheme="minorEastAsia" w:hAnsiTheme="minorHAnsi"/>
      <w:bCs/>
      <w:color w:val="31849B" w:themeColor="accent5" w:themeShade="BF"/>
      <w:sz w:val="24"/>
      <w:szCs w:val="28"/>
      <w:lang w:val="x-none" w:eastAsia="en-US"/>
    </w:rPr>
  </w:style>
  <w:style w:type="character" w:customStyle="1" w:styleId="Style1KINChar">
    <w:name w:val="Style1KIN Char"/>
    <w:basedOn w:val="Heading4Char"/>
    <w:link w:val="Style1KIN"/>
    <w:rsid w:val="007E3577"/>
    <w:rPr>
      <w:rFonts w:asciiTheme="minorHAnsi" w:eastAsiaTheme="minorEastAsia" w:hAnsiTheme="minorHAnsi" w:cs="Times New Roman"/>
      <w:b w:val="0"/>
      <w:bCs/>
      <w:color w:val="31849B" w:themeColor="accent5" w:themeShade="BF"/>
      <w:sz w:val="24"/>
      <w:szCs w:val="28"/>
      <w:lang w:val="x-none" w:eastAsia="en-US"/>
    </w:rPr>
  </w:style>
  <w:style w:type="character" w:customStyle="1" w:styleId="ListParagraphChar">
    <w:name w:val="List Paragraph Char"/>
    <w:aliases w:val="List Paragraph1 Char,List Paragraph11 Char,Recommendation Char,Brief List Paragraph 1 Char,DDM Gen Text Char"/>
    <w:basedOn w:val="DefaultParagraphFont"/>
    <w:link w:val="ListParagraph"/>
    <w:uiPriority w:val="34"/>
    <w:locked/>
    <w:rsid w:val="004C0B44"/>
    <w:rPr>
      <w:rFonts w:asciiTheme="minorHAnsi" w:hAnsiTheme="minorHAnsi" w:cs="Arial"/>
      <w:sz w:val="22"/>
      <w:szCs w:val="24"/>
      <w:lang w:eastAsia="en-US"/>
    </w:rPr>
  </w:style>
  <w:style w:type="character" w:styleId="FollowedHyperlink">
    <w:name w:val="FollowedHyperlink"/>
    <w:basedOn w:val="DefaultParagraphFont"/>
    <w:semiHidden/>
    <w:unhideWhenUsed/>
    <w:rsid w:val="00673F9A"/>
    <w:rPr>
      <w:color w:val="800080" w:themeColor="followedHyperlink"/>
      <w:u w:val="single"/>
    </w:rPr>
  </w:style>
  <w:style w:type="paragraph" w:customStyle="1" w:styleId="CM17">
    <w:name w:val="CM17"/>
    <w:basedOn w:val="Normal"/>
    <w:next w:val="Normal"/>
    <w:uiPriority w:val="99"/>
    <w:rsid w:val="009026D7"/>
    <w:pPr>
      <w:autoSpaceDE w:val="0"/>
      <w:autoSpaceDN w:val="0"/>
      <w:adjustRightInd w:val="0"/>
      <w:spacing w:after="0" w:line="240" w:lineRule="auto"/>
    </w:pPr>
    <w:rPr>
      <w:rFonts w:ascii="Arial" w:hAnsi="Arial"/>
      <w:sz w:val="24"/>
      <w:lang w:eastAsia="en-AU"/>
    </w:rPr>
  </w:style>
  <w:style w:type="paragraph" w:customStyle="1" w:styleId="CM15">
    <w:name w:val="CM15"/>
    <w:basedOn w:val="Normal"/>
    <w:next w:val="Normal"/>
    <w:uiPriority w:val="99"/>
    <w:rsid w:val="009026D7"/>
    <w:pPr>
      <w:autoSpaceDE w:val="0"/>
      <w:autoSpaceDN w:val="0"/>
      <w:adjustRightInd w:val="0"/>
      <w:spacing w:after="0" w:line="240" w:lineRule="auto"/>
    </w:pPr>
    <w:rPr>
      <w:rFonts w:ascii="Arial" w:hAnsi="Arial"/>
      <w:sz w:val="24"/>
      <w:lang w:eastAsia="en-AU"/>
    </w:rPr>
  </w:style>
  <w:style w:type="paragraph" w:styleId="NormalWeb">
    <w:name w:val="Normal (Web)"/>
    <w:basedOn w:val="Normal"/>
    <w:uiPriority w:val="99"/>
    <w:unhideWhenUsed/>
    <w:rsid w:val="009026D7"/>
    <w:pPr>
      <w:spacing w:before="100" w:beforeAutospacing="1" w:after="100" w:afterAutospacing="1" w:line="240" w:lineRule="auto"/>
    </w:pPr>
    <w:rPr>
      <w:rFonts w:ascii="Times New Roman" w:hAnsi="Times New Roman" w:cs="Times New Roman"/>
      <w:sz w:val="24"/>
      <w:lang w:eastAsia="en-AU"/>
    </w:rPr>
  </w:style>
  <w:style w:type="paragraph" w:customStyle="1" w:styleId="Default">
    <w:name w:val="Default"/>
    <w:rsid w:val="00F6273B"/>
    <w:pPr>
      <w:autoSpaceDE w:val="0"/>
      <w:autoSpaceDN w:val="0"/>
      <w:adjustRightInd w:val="0"/>
    </w:pPr>
    <w:rPr>
      <w:rFonts w:ascii="Myriad Pro Light" w:hAnsi="Myriad Pro Light" w:cs="Myriad Pro Light"/>
      <w:color w:val="000000"/>
      <w:sz w:val="24"/>
      <w:szCs w:val="24"/>
    </w:rPr>
  </w:style>
  <w:style w:type="paragraph" w:customStyle="1" w:styleId="Pa0">
    <w:name w:val="Pa0"/>
    <w:basedOn w:val="Default"/>
    <w:next w:val="Default"/>
    <w:uiPriority w:val="99"/>
    <w:rsid w:val="00F6273B"/>
    <w:pPr>
      <w:spacing w:line="241" w:lineRule="atLeast"/>
    </w:pPr>
    <w:rPr>
      <w:rFonts w:cs="Times New Roman"/>
      <w:color w:val="auto"/>
    </w:rPr>
  </w:style>
  <w:style w:type="character" w:customStyle="1" w:styleId="A0">
    <w:name w:val="A0"/>
    <w:uiPriority w:val="99"/>
    <w:rsid w:val="00F6273B"/>
    <w:rPr>
      <w:rFonts w:cs="Myriad Pro Light"/>
      <w:color w:val="000000"/>
      <w:sz w:val="46"/>
      <w:szCs w:val="46"/>
    </w:rPr>
  </w:style>
  <w:style w:type="paragraph" w:styleId="Revision">
    <w:name w:val="Revision"/>
    <w:hidden/>
    <w:uiPriority w:val="99"/>
    <w:semiHidden/>
    <w:rsid w:val="006B4F35"/>
    <w:rPr>
      <w:rFonts w:asciiTheme="minorHAnsi" w:hAnsiTheme="minorHAnsi" w:cs="Arial"/>
      <w:sz w:val="22"/>
      <w:szCs w:val="24"/>
      <w:lang w:eastAsia="en-US"/>
    </w:rPr>
  </w:style>
  <w:style w:type="table" w:customStyle="1" w:styleId="TableGrid1">
    <w:name w:val="Table Grid1"/>
    <w:basedOn w:val="TableNormal"/>
    <w:next w:val="TableGrid"/>
    <w:uiPriority w:val="59"/>
    <w:rsid w:val="00B124E5"/>
    <w:pPr>
      <w:spacing w:before="1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0045436">
      <w:bodyDiv w:val="1"/>
      <w:marLeft w:val="0"/>
      <w:marRight w:val="0"/>
      <w:marTop w:val="0"/>
      <w:marBottom w:val="0"/>
      <w:divBdr>
        <w:top w:val="none" w:sz="0" w:space="0" w:color="auto"/>
        <w:left w:val="none" w:sz="0" w:space="0" w:color="auto"/>
        <w:bottom w:val="none" w:sz="0" w:space="0" w:color="auto"/>
        <w:right w:val="none" w:sz="0" w:space="0" w:color="auto"/>
      </w:divBdr>
      <w:divsChild>
        <w:div w:id="1224952567">
          <w:marLeft w:val="0"/>
          <w:marRight w:val="0"/>
          <w:marTop w:val="0"/>
          <w:marBottom w:val="0"/>
          <w:divBdr>
            <w:top w:val="none" w:sz="0" w:space="0" w:color="auto"/>
            <w:left w:val="none" w:sz="0" w:space="0" w:color="auto"/>
            <w:bottom w:val="none" w:sz="0" w:space="0" w:color="auto"/>
            <w:right w:val="none" w:sz="0" w:space="0" w:color="auto"/>
          </w:divBdr>
          <w:divsChild>
            <w:div w:id="1355886043">
              <w:marLeft w:val="0"/>
              <w:marRight w:val="0"/>
              <w:marTop w:val="0"/>
              <w:marBottom w:val="0"/>
              <w:divBdr>
                <w:top w:val="single" w:sz="6" w:space="0" w:color="CCCCCC"/>
                <w:left w:val="none" w:sz="0" w:space="0" w:color="auto"/>
                <w:bottom w:val="single" w:sz="6" w:space="0" w:color="FFFFFF"/>
                <w:right w:val="none" w:sz="0" w:space="0" w:color="auto"/>
              </w:divBdr>
              <w:divsChild>
                <w:div w:id="130634269">
                  <w:marLeft w:val="0"/>
                  <w:marRight w:val="0"/>
                  <w:marTop w:val="100"/>
                  <w:marBottom w:val="100"/>
                  <w:divBdr>
                    <w:top w:val="none" w:sz="0" w:space="0" w:color="auto"/>
                    <w:left w:val="none" w:sz="0" w:space="0" w:color="auto"/>
                    <w:bottom w:val="none" w:sz="0" w:space="0" w:color="auto"/>
                    <w:right w:val="none" w:sz="0" w:space="0" w:color="auto"/>
                  </w:divBdr>
                  <w:divsChild>
                    <w:div w:id="1954170631">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2416764">
      <w:bodyDiv w:val="1"/>
      <w:marLeft w:val="0"/>
      <w:marRight w:val="0"/>
      <w:marTop w:val="0"/>
      <w:marBottom w:val="0"/>
      <w:divBdr>
        <w:top w:val="none" w:sz="0" w:space="0" w:color="auto"/>
        <w:left w:val="none" w:sz="0" w:space="0" w:color="auto"/>
        <w:bottom w:val="none" w:sz="0" w:space="0" w:color="auto"/>
        <w:right w:val="none" w:sz="0" w:space="0" w:color="auto"/>
      </w:divBdr>
      <w:divsChild>
        <w:div w:id="223370675">
          <w:marLeft w:val="0"/>
          <w:marRight w:val="0"/>
          <w:marTop w:val="0"/>
          <w:marBottom w:val="0"/>
          <w:divBdr>
            <w:top w:val="none" w:sz="0" w:space="0" w:color="auto"/>
            <w:left w:val="none" w:sz="0" w:space="0" w:color="auto"/>
            <w:bottom w:val="none" w:sz="0" w:space="0" w:color="auto"/>
            <w:right w:val="none" w:sz="0" w:space="0" w:color="auto"/>
          </w:divBdr>
          <w:divsChild>
            <w:div w:id="1995452326">
              <w:marLeft w:val="0"/>
              <w:marRight w:val="0"/>
              <w:marTop w:val="0"/>
              <w:marBottom w:val="0"/>
              <w:divBdr>
                <w:top w:val="none" w:sz="0" w:space="0" w:color="auto"/>
                <w:left w:val="none" w:sz="0" w:space="0" w:color="auto"/>
                <w:bottom w:val="none" w:sz="0" w:space="0" w:color="auto"/>
                <w:right w:val="none" w:sz="0" w:space="0" w:color="auto"/>
              </w:divBdr>
              <w:divsChild>
                <w:div w:id="78911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5517576">
      <w:bodyDiv w:val="1"/>
      <w:marLeft w:val="0"/>
      <w:marRight w:val="0"/>
      <w:marTop w:val="0"/>
      <w:marBottom w:val="0"/>
      <w:divBdr>
        <w:top w:val="none" w:sz="0" w:space="0" w:color="auto"/>
        <w:left w:val="none" w:sz="0" w:space="0" w:color="auto"/>
        <w:bottom w:val="none" w:sz="0" w:space="0" w:color="auto"/>
        <w:right w:val="none" w:sz="0" w:space="0" w:color="auto"/>
      </w:divBdr>
      <w:divsChild>
        <w:div w:id="1947883979">
          <w:marLeft w:val="0"/>
          <w:marRight w:val="0"/>
          <w:marTop w:val="0"/>
          <w:marBottom w:val="0"/>
          <w:divBdr>
            <w:top w:val="none" w:sz="0" w:space="0" w:color="auto"/>
            <w:left w:val="none" w:sz="0" w:space="0" w:color="auto"/>
            <w:bottom w:val="none" w:sz="0" w:space="0" w:color="auto"/>
            <w:right w:val="none" w:sz="0" w:space="0" w:color="auto"/>
          </w:divBdr>
          <w:divsChild>
            <w:div w:id="484199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610821">
      <w:bodyDiv w:val="1"/>
      <w:marLeft w:val="0"/>
      <w:marRight w:val="0"/>
      <w:marTop w:val="0"/>
      <w:marBottom w:val="0"/>
      <w:divBdr>
        <w:top w:val="none" w:sz="0" w:space="0" w:color="auto"/>
        <w:left w:val="none" w:sz="0" w:space="0" w:color="auto"/>
        <w:bottom w:val="none" w:sz="0" w:space="0" w:color="auto"/>
        <w:right w:val="none" w:sz="0" w:space="0" w:color="auto"/>
      </w:divBdr>
    </w:div>
    <w:div w:id="1753038309">
      <w:bodyDiv w:val="1"/>
      <w:marLeft w:val="0"/>
      <w:marRight w:val="0"/>
      <w:marTop w:val="0"/>
      <w:marBottom w:val="0"/>
      <w:divBdr>
        <w:top w:val="none" w:sz="0" w:space="0" w:color="auto"/>
        <w:left w:val="none" w:sz="0" w:space="0" w:color="auto"/>
        <w:bottom w:val="none" w:sz="0" w:space="0" w:color="auto"/>
        <w:right w:val="none" w:sz="0" w:space="0" w:color="auto"/>
      </w:divBdr>
      <w:divsChild>
        <w:div w:id="1290237873">
          <w:marLeft w:val="0"/>
          <w:marRight w:val="0"/>
          <w:marTop w:val="0"/>
          <w:marBottom w:val="0"/>
          <w:divBdr>
            <w:top w:val="none" w:sz="0" w:space="0" w:color="auto"/>
            <w:left w:val="none" w:sz="0" w:space="0" w:color="auto"/>
            <w:bottom w:val="none" w:sz="0" w:space="0" w:color="auto"/>
            <w:right w:val="none" w:sz="0" w:space="0" w:color="auto"/>
          </w:divBdr>
          <w:divsChild>
            <w:div w:id="192886439">
              <w:marLeft w:val="0"/>
              <w:marRight w:val="0"/>
              <w:marTop w:val="0"/>
              <w:marBottom w:val="0"/>
              <w:divBdr>
                <w:top w:val="single" w:sz="6" w:space="0" w:color="CCCCCC"/>
                <w:left w:val="none" w:sz="0" w:space="0" w:color="auto"/>
                <w:bottom w:val="single" w:sz="6" w:space="0" w:color="FFFFFF"/>
                <w:right w:val="none" w:sz="0" w:space="0" w:color="auto"/>
              </w:divBdr>
              <w:divsChild>
                <w:div w:id="1005202936">
                  <w:marLeft w:val="0"/>
                  <w:marRight w:val="0"/>
                  <w:marTop w:val="0"/>
                  <w:marBottom w:val="0"/>
                  <w:divBdr>
                    <w:top w:val="none" w:sz="0" w:space="0" w:color="auto"/>
                    <w:left w:val="none" w:sz="0" w:space="0" w:color="auto"/>
                    <w:bottom w:val="none" w:sz="0" w:space="0" w:color="auto"/>
                    <w:right w:val="none" w:sz="0" w:space="0" w:color="auto"/>
                  </w:divBdr>
                  <w:divsChild>
                    <w:div w:id="636952623">
                      <w:marLeft w:val="0"/>
                      <w:marRight w:val="0"/>
                      <w:marTop w:val="100"/>
                      <w:marBottom w:val="100"/>
                      <w:divBdr>
                        <w:top w:val="none" w:sz="0" w:space="0" w:color="auto"/>
                        <w:left w:val="none" w:sz="0" w:space="0" w:color="auto"/>
                        <w:bottom w:val="none" w:sz="0" w:space="0" w:color="auto"/>
                        <w:right w:val="none" w:sz="0" w:space="0" w:color="auto"/>
                      </w:divBdr>
                      <w:divsChild>
                        <w:div w:id="1015811301">
                          <w:marLeft w:val="0"/>
                          <w:marRight w:val="300"/>
                          <w:marTop w:val="0"/>
                          <w:marBottom w:val="0"/>
                          <w:divBdr>
                            <w:top w:val="none" w:sz="0" w:space="0" w:color="auto"/>
                            <w:left w:val="none" w:sz="0" w:space="0" w:color="auto"/>
                            <w:bottom w:val="none" w:sz="0" w:space="0" w:color="auto"/>
                            <w:right w:val="none" w:sz="0" w:space="0" w:color="auto"/>
                          </w:divBdr>
                          <w:divsChild>
                            <w:div w:id="1956012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67012752">
      <w:bodyDiv w:val="1"/>
      <w:marLeft w:val="0"/>
      <w:marRight w:val="0"/>
      <w:marTop w:val="0"/>
      <w:marBottom w:val="0"/>
      <w:divBdr>
        <w:top w:val="none" w:sz="0" w:space="0" w:color="auto"/>
        <w:left w:val="none" w:sz="0" w:space="0" w:color="auto"/>
        <w:bottom w:val="none" w:sz="0" w:space="0" w:color="auto"/>
        <w:right w:val="none" w:sz="0" w:space="0" w:color="auto"/>
      </w:divBdr>
    </w:div>
    <w:div w:id="1959725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png"/><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mailto:steven.ronson@fwo.gov.au" TargetMode="External"/><Relationship Id="rId23"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media@fwo.gov.au" TargetMode="Externa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8" Type="http://schemas.openxmlformats.org/officeDocument/2006/relationships/hyperlink" Target="http://www.abs.gov.au/AUSSTATS/abs@.nsf/DetailsPage/8165.0Jun%202013%20to%20Jun%202017?OpenDocument" TargetMode="External"/><Relationship Id="rId3" Type="http://schemas.openxmlformats.org/officeDocument/2006/relationships/hyperlink" Target="https://www.fairwork.gov.au/library/k600096_board-of-reference-in-the-textile-and-clothing-award" TargetMode="External"/><Relationship Id="rId7" Type="http://schemas.openxmlformats.org/officeDocument/2006/relationships/hyperlink" Target="https://archive.homeaffairs.gov.au/busi/cargo-support-trade-and-goods/importing-goods/tariff-classification-of-goods/current-tariff-classification/schedule-3" TargetMode="External"/><Relationship Id="rId2" Type="http://schemas.openxmlformats.org/officeDocument/2006/relationships/hyperlink" Target="https://www.fairwork.gov.au/ArticleDocuments/714/QLD-Clothing-Manufacturers-Audit-Program-2011-report.docx.aspx" TargetMode="External"/><Relationship Id="rId1" Type="http://schemas.openxmlformats.org/officeDocument/2006/relationships/hyperlink" Target="https://www.fairwork.gov.au/about-us/access-accountability-and-reporting/inquiry-reports" TargetMode="External"/><Relationship Id="rId6" Type="http://schemas.openxmlformats.org/officeDocument/2006/relationships/hyperlink" Target="http://www.abs.gov.au/AUSSTATS/abs@.nsf/DetailsPage/8155.02016-17?OpenDocument" TargetMode="External"/><Relationship Id="rId5" Type="http://schemas.openxmlformats.org/officeDocument/2006/relationships/hyperlink" Target="http://www.abs.gov.au/AUSSTATS/abs@.nsf/DetailsPage/8155.02016-17?OpenDocument" TargetMode="External"/><Relationship Id="rId4" Type="http://schemas.openxmlformats.org/officeDocument/2006/relationships/hyperlink" Target="http://www.abs.gov.au/AUSSTATS/abs@.nsf/DetailsPage/8155.02016-17?OpenDocument" TargetMode="External"/><Relationship Id="rId9" Type="http://schemas.openxmlformats.org/officeDocument/2006/relationships/hyperlink" Target="http://www.abs.gov.au/AUSSTATS/abs@.nsf/DetailsPage/8155.02016-17?OpenDocument"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G0445\AppData\Local\Microsoft\Windows\INetCache\Content.Outlook\XKGWXQL7\Campaign%20report%20template%20(00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1dd83770-f909-4c97-922b-a57a389c531c">DB-1060182</_dlc_DocId>
    <_dlc_DocIdUrl xmlns="1dd83770-f909-4c97-922b-a57a389c531c">
      <Url>http://fwocollaboration.hosts.application.enet/sites/b11/publications/_layouts/15/DocIdRedir.aspx?ID=DB-1060182</Url>
      <Description>DB-1060182</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6489E96B38AE84F91F903F2BC15B27F" ma:contentTypeVersion="0" ma:contentTypeDescription="Create a new document." ma:contentTypeScope="" ma:versionID="506cfe24d0203b28e1f0b3fdb99a479b">
  <xsd:schema xmlns:xsd="http://www.w3.org/2001/XMLSchema" xmlns:xs="http://www.w3.org/2001/XMLSchema" xmlns:p="http://schemas.microsoft.com/office/2006/metadata/properties" xmlns:ns2="1dd83770-f909-4c97-922b-a57a389c531c" targetNamespace="http://schemas.microsoft.com/office/2006/metadata/properties" ma:root="true" ma:fieldsID="7b7b2bf44969fdbe4abc0f1b976aae44" ns2:_="">
    <xsd:import namespace="1dd83770-f909-4c97-922b-a57a389c531c"/>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d83770-f909-4c97-922b-a57a389c531c"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LongProperties xmlns="http://schemas.microsoft.com/office/2006/metadata/long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pe:Receivers xmlns:spe="http://schemas.microsoft.com/sharepoint/events">
  <Receiver>
    <Name>Macroview Email Handler</Name>
    <Synchronization>Asynchronous</Synchronization>
    <Type>20000</Type>
    <SequenceNumber>10001</SequenceNumber>
    <Assembly>MacroView.SharePoint.EmailHandler, Version=1.0.0.1, Culture=neutral, PublicKeyToken=6f7d66a3bb7de652</Assembly>
    <Class>MacroView.SharePoint.EmailHandler.EMLtoMSG</Class>
    <Data/>
    <Filter/>
  </Receiver>
  <Receiver>
    <Name>MacroView Edls</Name>
    <Synchronization>Synchronous</Synchronization>
    <Type>10001</Type>
    <SequenceNumber>10000</SequenceNumber>
    <Assembly>MacroView.SharePoint.DocumentSecurity, Version=1.0.0.0, Culture=neutral, PublicKeyToken=6f7d66a3bb7de652</Assembly>
    <Class>MacroView.SharePoint.DocumentSecurity.ItemEvents</Class>
    <Data/>
    <Filter/>
  </Receiver>
  <Receiver>
    <Name>MacroView Edls</Name>
    <Synchronization>Synchronous</Synchronization>
    <Type>10002</Type>
    <SequenceNumber>10000</SequenceNumber>
    <Assembly>MacroView.SharePoint.DocumentSecurity, Version=1.0.0.0, Culture=neutral, PublicKeyToken=6f7d66a3bb7de652</Assembly>
    <Class>MacroView.SharePoint.DocumentSecurity.ItemEvents</Class>
    <Data/>
    <Filter/>
  </Receiver>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EEACC9-42F1-4229-AB57-766962C9C899}">
  <ds:schemaRefs>
    <ds:schemaRef ds:uri="http://purl.org/dc/terms/"/>
    <ds:schemaRef ds:uri="http://schemas.openxmlformats.org/package/2006/metadata/core-properties"/>
    <ds:schemaRef ds:uri="1dd83770-f909-4c97-922b-a57a389c531c"/>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2.xml><?xml version="1.0" encoding="utf-8"?>
<ds:datastoreItem xmlns:ds="http://schemas.openxmlformats.org/officeDocument/2006/customXml" ds:itemID="{5CADA944-11AF-4C97-AC64-56FE550895A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dd83770-f909-4c97-922b-a57a389c531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E64EF0B-D334-4C4E-826F-A36CFDDA2793}">
  <ds:schemaRefs>
    <ds:schemaRef ds:uri="http://schemas.microsoft.com/office/2006/metadata/longProperties"/>
  </ds:schemaRefs>
</ds:datastoreItem>
</file>

<file path=customXml/itemProps4.xml><?xml version="1.0" encoding="utf-8"?>
<ds:datastoreItem xmlns:ds="http://schemas.openxmlformats.org/officeDocument/2006/customXml" ds:itemID="{6C97AF02-D83F-4E8B-BF99-6D0B104EC866}">
  <ds:schemaRefs>
    <ds:schemaRef ds:uri="http://schemas.microsoft.com/sharepoint/v3/contenttype/forms"/>
  </ds:schemaRefs>
</ds:datastoreItem>
</file>

<file path=customXml/itemProps5.xml><?xml version="1.0" encoding="utf-8"?>
<ds:datastoreItem xmlns:ds="http://schemas.openxmlformats.org/officeDocument/2006/customXml" ds:itemID="{9E30B0F6-68CD-44A7-B700-CDB8DC2F49FA}">
  <ds:schemaRefs>
    <ds:schemaRef ds:uri="http://schemas.microsoft.com/sharepoint/events"/>
  </ds:schemaRefs>
</ds:datastoreItem>
</file>

<file path=customXml/itemProps6.xml><?xml version="1.0" encoding="utf-8"?>
<ds:datastoreItem xmlns:ds="http://schemas.openxmlformats.org/officeDocument/2006/customXml" ds:itemID="{8046A220-4670-427C-BEE8-139E3BED10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Campaign report template (002).dotx</Template>
  <TotalTime>0</TotalTime>
  <Pages>21</Pages>
  <Words>4841</Words>
  <Characters>27662</Characters>
  <Application>Microsoft Office Word</Application>
  <DocSecurity>0</DocSecurity>
  <Lines>468</Lines>
  <Paragraphs>270</Paragraphs>
  <ScaleCrop>false</ScaleCrop>
  <HeadingPairs>
    <vt:vector size="2" baseType="variant">
      <vt:variant>
        <vt:lpstr>Title</vt:lpstr>
      </vt:variant>
      <vt:variant>
        <vt:i4>1</vt:i4>
      </vt:variant>
    </vt:vector>
  </HeadingPairs>
  <TitlesOfParts>
    <vt:vector size="1" baseType="lpstr">
      <vt:lpstr>textile-clothing-footwear-compliance-phase-campaign-report</vt:lpstr>
    </vt:vector>
  </TitlesOfParts>
  <Company>Australian Government</Company>
  <LinksUpToDate>false</LinksUpToDate>
  <CharactersWithSpaces>32233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textile-clothing-footwear-compliance-phase-campaign-report</dc:title>
  <dc:subject>Textile Clothing Footwear Compliance Phase Campaign Report</dc:subject>
  <dc:creator>Fair Work Ombudsman</dc:creator>
  <cp:keywords>Textile Clothing Footwear Compliance Phase Campaign Report</cp:keywords>
  <dc:description/>
  <cp:lastModifiedBy>LU,Pia</cp:lastModifiedBy>
  <cp:revision>2</cp:revision>
  <cp:lastPrinted>2019-01-10T02:35:00Z</cp:lastPrinted>
  <dcterms:created xsi:type="dcterms:W3CDTF">2019-01-10T05:07:00Z</dcterms:created>
  <dcterms:modified xsi:type="dcterms:W3CDTF">2019-01-10T05:07:00Z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seDefaultLanguage">
    <vt:bool>true</vt:bool>
  </property>
  <property fmtid="{D5CDD505-2E9C-101B-9397-08002B2CF9AE}" pid="3" name="Version">
    <vt:i4>2003051900</vt:i4>
  </property>
  <property fmtid="{D5CDD505-2E9C-101B-9397-08002B2CF9AE}" pid="4" name="LCID">
    <vt:i4>1033</vt:i4>
  </property>
  <property fmtid="{D5CDD505-2E9C-101B-9397-08002B2CF9AE}" pid="5" name="ContentType">
    <vt:lpwstr>Document</vt:lpwstr>
  </property>
  <property fmtid="{D5CDD505-2E9C-101B-9397-08002B2CF9AE}" pid="6" name="ContentTypeId">
    <vt:lpwstr>0x010100C6489E96B38AE84F91F903F2BC15B27F</vt:lpwstr>
  </property>
  <property fmtid="{D5CDD505-2E9C-101B-9397-08002B2CF9AE}" pid="7" name="Order">
    <vt:r8>61500</vt:r8>
  </property>
  <property fmtid="{D5CDD505-2E9C-101B-9397-08002B2CF9AE}" pid="8" name="Topic">
    <vt:lpwstr>Other</vt:lpwstr>
  </property>
  <property fmtid="{D5CDD505-2E9C-101B-9397-08002B2CF9AE}" pid="9" name="Document Type">
    <vt:lpwstr>Other</vt:lpwstr>
  </property>
  <property fmtid="{D5CDD505-2E9C-101B-9397-08002B2CF9AE}" pid="10" name="TemplateUrl">
    <vt:lpwstr/>
  </property>
  <property fmtid="{D5CDD505-2E9C-101B-9397-08002B2CF9AE}" pid="11" name="xd_Signature">
    <vt:bool>false</vt:bool>
  </property>
  <property fmtid="{D5CDD505-2E9C-101B-9397-08002B2CF9AE}" pid="12" name="xd_ProgID">
    <vt:lpwstr/>
  </property>
  <property fmtid="{D5CDD505-2E9C-101B-9397-08002B2CF9AE}" pid="13" name="Title">
    <vt:lpwstr>QLD-Clothing-Manufacturers-Audit-Program-2011-report</vt:lpwstr>
  </property>
  <property fmtid="{D5CDD505-2E9C-101B-9397-08002B2CF9AE}" pid="14" name="FWO_DocumentTopicTaxHTField0">
    <vt:lpwstr>Campaign report|9500137e-a308-4ee0-813c-0512049884a9</vt:lpwstr>
  </property>
  <property fmtid="{D5CDD505-2E9C-101B-9397-08002B2CF9AE}" pid="15" name="FWO_DocumentTopic">
    <vt:lpwstr>104;#Templates|0f89b74f-97de-48f7-b823-7425491d9b49</vt:lpwstr>
  </property>
  <property fmtid="{D5CDD505-2E9C-101B-9397-08002B2CF9AE}" pid="16" name="FWO_BCSTaxHTField0">
    <vt:lpwstr>Monitoring|d5c12385-bbff-466e-91f0-7746ec9f00a8</vt:lpwstr>
  </property>
  <property fmtid="{D5CDD505-2E9C-101B-9397-08002B2CF9AE}" pid="17" name="FWO_BCS">
    <vt:lpwstr>1;#Projects|aee93119-2e00-4848-a07d-951554e11976</vt:lpwstr>
  </property>
  <property fmtid="{D5CDD505-2E9C-101B-9397-08002B2CF9AE}" pid="18" name="FWO_EnterpriseKeywordTaxHTField0">
    <vt:lpwstr/>
  </property>
  <property fmtid="{D5CDD505-2E9C-101B-9397-08002B2CF9AE}" pid="19" name="FWO_EnterpriseKeyword">
    <vt:lpwstr/>
  </property>
  <property fmtid="{D5CDD505-2E9C-101B-9397-08002B2CF9AE}" pid="20" name="FWO_DOCStatus">
    <vt:lpwstr>Draft</vt:lpwstr>
  </property>
  <property fmtid="{D5CDD505-2E9C-101B-9397-08002B2CF9AE}" pid="21" name="FWO_DocSecurityClassification">
    <vt:lpwstr>Unclassified</vt:lpwstr>
  </property>
  <property fmtid="{D5CDD505-2E9C-101B-9397-08002B2CF9AE}" pid="22" name="TaxCatchAll">
    <vt:lpwstr/>
  </property>
  <property fmtid="{D5CDD505-2E9C-101B-9397-08002B2CF9AE}" pid="23" name="FWO_TRIM_SecurityClassification">
    <vt:lpwstr>Unclassified</vt:lpwstr>
  </property>
  <property fmtid="{D5CDD505-2E9C-101B-9397-08002B2CF9AE}" pid="24" name="FWO_TRIM_DLM">
    <vt:lpwstr/>
  </property>
  <property fmtid="{D5CDD505-2E9C-101B-9397-08002B2CF9AE}" pid="25" name="mvRef">
    <vt:lpwstr>Campaign Reports:DB-1060182/1.0</vt:lpwstr>
  </property>
  <property fmtid="{D5CDD505-2E9C-101B-9397-08002B2CF9AE}" pid="26" name="_dlc_DocIdItemGuid">
    <vt:lpwstr>129238be-5660-4b3d-8da8-6bca1471022d</vt:lpwstr>
  </property>
</Properties>
</file>