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C27" w:rsidRPr="00657268" w:rsidRDefault="00455C27" w:rsidP="00A031DA">
      <w:pPr>
        <w:widowControl w:val="0"/>
        <w:tabs>
          <w:tab w:val="left" w:pos="2685"/>
        </w:tabs>
        <w:snapToGrid w:val="0"/>
        <w:spacing w:before="360" w:after="120"/>
        <w:contextualSpacing/>
        <w:mirrorIndents/>
        <w:rPr>
          <w:rFonts w:asciiTheme="minorHAnsi" w:hAnsiTheme="minorHAnsi" w:cstheme="minorHAnsi"/>
          <w:szCs w:val="22"/>
          <w:lang w:val="en-US" w:eastAsia="en-US"/>
        </w:rPr>
      </w:pPr>
      <w:bookmarkStart w:id="0" w:name="_GoBack"/>
      <w:bookmarkEnd w:id="0"/>
      <w:r w:rsidRPr="00657268">
        <w:rPr>
          <w:rFonts w:asciiTheme="minorHAnsi" w:hAnsiTheme="minorHAnsi" w:cstheme="minorHAnsi"/>
          <w:szCs w:val="22"/>
          <w:lang w:val="en-US" w:eastAsia="en-US"/>
        </w:rPr>
        <w:t>Committee Secretary</w:t>
      </w:r>
    </w:p>
    <w:p w:rsidR="00455C27" w:rsidRDefault="00455C27" w:rsidP="00455C27">
      <w:pPr>
        <w:widowControl w:val="0"/>
        <w:tabs>
          <w:tab w:val="left" w:pos="2685"/>
        </w:tabs>
        <w:snapToGrid w:val="0"/>
        <w:spacing w:before="0" w:after="120"/>
        <w:contextualSpacing/>
        <w:mirrorIndents/>
        <w:rPr>
          <w:rFonts w:asciiTheme="minorHAnsi" w:hAnsiTheme="minorHAnsi" w:cstheme="minorHAnsi"/>
          <w:color w:val="222222"/>
          <w:szCs w:val="22"/>
          <w:shd w:val="clear" w:color="auto" w:fill="FFFFFF"/>
        </w:rPr>
      </w:pPr>
      <w:r w:rsidRPr="00657268">
        <w:rPr>
          <w:rFonts w:asciiTheme="minorHAnsi" w:hAnsiTheme="minorHAnsi" w:cstheme="minorHAnsi"/>
          <w:color w:val="222222"/>
          <w:szCs w:val="22"/>
          <w:shd w:val="clear" w:color="auto" w:fill="FFFFFF"/>
        </w:rPr>
        <w:t>Senate Education and Employment Committees</w:t>
      </w:r>
    </w:p>
    <w:p w:rsidR="00455C27" w:rsidRPr="00657268" w:rsidRDefault="00455C27" w:rsidP="00455C27">
      <w:pPr>
        <w:widowControl w:val="0"/>
        <w:tabs>
          <w:tab w:val="left" w:pos="2685"/>
        </w:tabs>
        <w:snapToGrid w:val="0"/>
        <w:spacing w:before="0" w:after="120"/>
        <w:contextualSpacing/>
        <w:mirrorIndents/>
        <w:rPr>
          <w:rFonts w:asciiTheme="minorHAnsi" w:hAnsiTheme="minorHAnsi" w:cstheme="minorHAnsi"/>
          <w:szCs w:val="22"/>
          <w:highlight w:val="yellow"/>
          <w:lang w:val="en-US" w:eastAsia="en-US"/>
        </w:rPr>
      </w:pPr>
      <w:r>
        <w:rPr>
          <w:rFonts w:asciiTheme="minorHAnsi" w:hAnsiTheme="minorHAnsi" w:cstheme="minorHAnsi"/>
          <w:color w:val="222222"/>
          <w:szCs w:val="22"/>
          <w:shd w:val="clear" w:color="auto" w:fill="FFFFFF"/>
        </w:rPr>
        <w:t>Department of the Senate</w:t>
      </w:r>
    </w:p>
    <w:p w:rsidR="00455C27" w:rsidRPr="00657268" w:rsidRDefault="00455C27" w:rsidP="00455C27">
      <w:pPr>
        <w:widowControl w:val="0"/>
        <w:tabs>
          <w:tab w:val="left" w:pos="2685"/>
        </w:tabs>
        <w:snapToGrid w:val="0"/>
        <w:spacing w:before="0" w:after="120"/>
        <w:contextualSpacing/>
        <w:mirrorIndents/>
        <w:rPr>
          <w:rFonts w:asciiTheme="minorHAnsi" w:hAnsiTheme="minorHAnsi" w:cstheme="minorHAnsi"/>
          <w:szCs w:val="22"/>
          <w:lang w:val="en-US" w:eastAsia="en-US"/>
        </w:rPr>
      </w:pPr>
      <w:r w:rsidRPr="00657268">
        <w:rPr>
          <w:rFonts w:asciiTheme="minorHAnsi" w:hAnsiTheme="minorHAnsi" w:cstheme="minorHAnsi"/>
          <w:szCs w:val="22"/>
          <w:lang w:val="en-US" w:eastAsia="en-US"/>
        </w:rPr>
        <w:t>PO Box 6100</w:t>
      </w:r>
    </w:p>
    <w:p w:rsidR="00455C27" w:rsidRPr="00657268" w:rsidRDefault="00455C27" w:rsidP="00455C27">
      <w:pPr>
        <w:widowControl w:val="0"/>
        <w:tabs>
          <w:tab w:val="left" w:pos="2685"/>
        </w:tabs>
        <w:snapToGrid w:val="0"/>
        <w:spacing w:before="0" w:after="120"/>
        <w:contextualSpacing/>
        <w:mirrorIndents/>
        <w:rPr>
          <w:rFonts w:asciiTheme="minorHAnsi" w:hAnsiTheme="minorHAnsi" w:cstheme="minorHAnsi"/>
          <w:szCs w:val="22"/>
          <w:lang w:val="en-US" w:eastAsia="en-US"/>
        </w:rPr>
      </w:pPr>
      <w:r w:rsidRPr="00657268">
        <w:rPr>
          <w:rFonts w:asciiTheme="minorHAnsi" w:hAnsiTheme="minorHAnsi" w:cstheme="minorHAnsi"/>
          <w:szCs w:val="22"/>
          <w:lang w:val="en-US" w:eastAsia="en-US"/>
        </w:rPr>
        <w:t>Parliament House</w:t>
      </w:r>
    </w:p>
    <w:p w:rsidR="00455C27" w:rsidRPr="00A8795D" w:rsidRDefault="00D4799F" w:rsidP="00455C27">
      <w:pPr>
        <w:widowControl w:val="0"/>
        <w:tabs>
          <w:tab w:val="left" w:pos="2685"/>
        </w:tabs>
        <w:snapToGrid w:val="0"/>
        <w:spacing w:before="0" w:after="120"/>
        <w:contextualSpacing/>
        <w:mirrorIndents/>
        <w:rPr>
          <w:rFonts w:asciiTheme="minorHAnsi" w:hAnsiTheme="minorHAnsi" w:cstheme="minorHAnsi"/>
          <w:szCs w:val="22"/>
          <w:lang w:val="en-US" w:eastAsia="en-US"/>
        </w:rPr>
      </w:pPr>
      <w:r>
        <w:rPr>
          <w:rFonts w:asciiTheme="minorHAnsi" w:hAnsiTheme="minorHAnsi" w:cstheme="minorHAnsi"/>
          <w:szCs w:val="22"/>
          <w:lang w:val="en-US" w:eastAsia="en-US"/>
        </w:rPr>
        <w:t xml:space="preserve">CANBERRA ACT </w:t>
      </w:r>
      <w:r w:rsidR="00455C27" w:rsidRPr="00657268">
        <w:rPr>
          <w:rFonts w:asciiTheme="minorHAnsi" w:hAnsiTheme="minorHAnsi" w:cstheme="minorHAnsi"/>
          <w:szCs w:val="22"/>
          <w:lang w:val="en-US" w:eastAsia="en-US"/>
        </w:rPr>
        <w:t>2600</w:t>
      </w:r>
    </w:p>
    <w:p w:rsidR="00455C27" w:rsidRPr="00A8795D" w:rsidRDefault="00455C27" w:rsidP="00A031DA">
      <w:pPr>
        <w:widowControl w:val="0"/>
        <w:tabs>
          <w:tab w:val="left" w:pos="2685"/>
        </w:tabs>
        <w:snapToGrid w:val="0"/>
        <w:spacing w:before="360" w:after="360"/>
        <w:mirrorIndents/>
        <w:rPr>
          <w:rFonts w:asciiTheme="minorHAnsi" w:hAnsiTheme="minorHAnsi" w:cstheme="minorHAnsi"/>
          <w:szCs w:val="22"/>
          <w:lang w:val="en-US" w:eastAsia="en-US"/>
        </w:rPr>
      </w:pPr>
      <w:r w:rsidRPr="00A8795D">
        <w:rPr>
          <w:rFonts w:asciiTheme="minorHAnsi" w:hAnsiTheme="minorHAnsi" w:cstheme="minorHAnsi"/>
          <w:szCs w:val="22"/>
          <w:lang w:val="en-US" w:eastAsia="en-US"/>
        </w:rPr>
        <w:t>Also by email</w:t>
      </w:r>
      <w:r w:rsidRPr="00A8795D">
        <w:rPr>
          <w:rFonts w:ascii="Times New Roman" w:hAnsi="Times New Roman"/>
          <w:sz w:val="24"/>
          <w:szCs w:val="20"/>
          <w:lang w:val="en-US" w:eastAsia="en-US"/>
        </w:rPr>
        <w:t xml:space="preserve">: </w:t>
      </w:r>
      <w:hyperlink r:id="rId8" w:tooltip="Email - Inquiry inbox" w:history="1">
        <w:r w:rsidRPr="00657268">
          <w:rPr>
            <w:rStyle w:val="Hyperlink"/>
            <w:rFonts w:asciiTheme="minorHAnsi" w:hAnsiTheme="minorHAnsi" w:cstheme="minorHAnsi"/>
            <w:color w:val="1B4779"/>
            <w:szCs w:val="22"/>
            <w:shd w:val="clear" w:color="auto" w:fill="FFFFFF"/>
          </w:rPr>
          <w:t>seniorclerk.committees.sen@aph.gov.au</w:t>
        </w:r>
      </w:hyperlink>
    </w:p>
    <w:p w:rsidR="00455C27" w:rsidRPr="00455C27" w:rsidRDefault="00455C27" w:rsidP="00A031DA">
      <w:pPr>
        <w:widowControl w:val="0"/>
        <w:tabs>
          <w:tab w:val="left" w:pos="2685"/>
        </w:tabs>
        <w:snapToGrid w:val="0"/>
        <w:spacing w:before="360" w:after="360" w:line="276" w:lineRule="auto"/>
        <w:mirrorIndents/>
        <w:rPr>
          <w:rFonts w:asciiTheme="minorHAnsi" w:hAnsiTheme="minorHAnsi" w:cstheme="minorHAnsi"/>
          <w:szCs w:val="22"/>
          <w:lang w:val="en-US" w:eastAsia="en-US"/>
        </w:rPr>
      </w:pPr>
      <w:r w:rsidRPr="00455C27">
        <w:rPr>
          <w:rFonts w:asciiTheme="minorHAnsi" w:hAnsiTheme="minorHAnsi" w:cstheme="minorHAnsi"/>
          <w:szCs w:val="22"/>
          <w:lang w:val="en-US" w:eastAsia="en-US"/>
        </w:rPr>
        <w:t>Dear Secretary</w:t>
      </w:r>
    </w:p>
    <w:p w:rsidR="00455C27" w:rsidRPr="00A8795D" w:rsidRDefault="00455C27" w:rsidP="00A031DA">
      <w:pPr>
        <w:widowControl w:val="0"/>
        <w:tabs>
          <w:tab w:val="left" w:pos="2685"/>
        </w:tabs>
        <w:snapToGrid w:val="0"/>
        <w:spacing w:before="240" w:after="240" w:line="276" w:lineRule="auto"/>
        <w:mirrorIndents/>
        <w:rPr>
          <w:rFonts w:ascii="Calibri" w:hAnsi="Calibri" w:cs="Calibri"/>
          <w:szCs w:val="22"/>
          <w:lang w:val="en-US"/>
        </w:rPr>
      </w:pPr>
      <w:r>
        <w:rPr>
          <w:rFonts w:ascii="Calibri" w:hAnsi="Calibri" w:cs="Calibri"/>
          <w:szCs w:val="22"/>
          <w:lang w:val="en-US"/>
        </w:rPr>
        <w:t>I write to you in relation to the inquiry into the exploitation of general and specialist cleaners working in retail chains for contracting or subcontracting cleaning companies (</w:t>
      </w:r>
      <w:r w:rsidRPr="00657268">
        <w:rPr>
          <w:rFonts w:ascii="Calibri" w:hAnsi="Calibri" w:cs="Calibri"/>
          <w:b/>
          <w:szCs w:val="22"/>
          <w:lang w:val="en-US"/>
        </w:rPr>
        <w:t>Inquiry</w:t>
      </w:r>
      <w:r>
        <w:rPr>
          <w:rFonts w:ascii="Calibri" w:hAnsi="Calibri" w:cs="Calibri"/>
          <w:szCs w:val="22"/>
          <w:lang w:val="en-US"/>
        </w:rPr>
        <w:t>).</w:t>
      </w:r>
    </w:p>
    <w:p w:rsidR="00455C27" w:rsidRPr="00A8795D" w:rsidRDefault="00455C27" w:rsidP="00A031DA">
      <w:pPr>
        <w:widowControl w:val="0"/>
        <w:tabs>
          <w:tab w:val="left" w:pos="2685"/>
        </w:tabs>
        <w:snapToGrid w:val="0"/>
        <w:spacing w:before="240" w:after="240" w:line="276" w:lineRule="auto"/>
        <w:mirrorIndents/>
        <w:rPr>
          <w:rFonts w:ascii="Calibri" w:hAnsi="Calibri" w:cs="Calibri"/>
          <w:szCs w:val="22"/>
          <w:lang w:val="en-US"/>
        </w:rPr>
      </w:pPr>
      <w:r w:rsidRPr="00A8795D">
        <w:rPr>
          <w:rFonts w:ascii="Calibri" w:hAnsi="Calibri" w:cs="Calibri"/>
          <w:szCs w:val="22"/>
          <w:lang w:val="en-US"/>
        </w:rPr>
        <w:t xml:space="preserve">The Fair Work </w:t>
      </w:r>
      <w:proofErr w:type="gramStart"/>
      <w:r w:rsidRPr="00A8795D">
        <w:rPr>
          <w:rFonts w:ascii="Calibri" w:hAnsi="Calibri" w:cs="Calibri"/>
          <w:szCs w:val="22"/>
          <w:lang w:val="en-US"/>
        </w:rPr>
        <w:t>Ombudsman</w:t>
      </w:r>
      <w:r>
        <w:rPr>
          <w:rFonts w:ascii="Calibri" w:hAnsi="Calibri" w:cs="Calibri"/>
          <w:szCs w:val="22"/>
          <w:lang w:val="en-US"/>
        </w:rPr>
        <w:t xml:space="preserve"> (</w:t>
      </w:r>
      <w:r w:rsidRPr="005C2801">
        <w:rPr>
          <w:rFonts w:ascii="Calibri" w:hAnsi="Calibri" w:cs="Calibri"/>
          <w:b/>
          <w:szCs w:val="22"/>
          <w:lang w:val="en-US"/>
        </w:rPr>
        <w:t>FWO</w:t>
      </w:r>
      <w:r>
        <w:rPr>
          <w:rFonts w:ascii="Calibri" w:hAnsi="Calibri" w:cs="Calibri"/>
          <w:szCs w:val="22"/>
          <w:lang w:val="en-US"/>
        </w:rPr>
        <w:t>)</w:t>
      </w:r>
      <w:r w:rsidRPr="00A8795D">
        <w:rPr>
          <w:rFonts w:ascii="Calibri" w:hAnsi="Calibri" w:cs="Calibri"/>
          <w:szCs w:val="22"/>
          <w:lang w:val="en-US"/>
        </w:rPr>
        <w:t xml:space="preserve"> was established by the </w:t>
      </w:r>
      <w:r w:rsidRPr="00A8795D">
        <w:rPr>
          <w:rFonts w:ascii="Calibri" w:hAnsi="Calibri" w:cs="Calibri"/>
          <w:i/>
          <w:szCs w:val="22"/>
          <w:lang w:val="en-US"/>
        </w:rPr>
        <w:t>Fair Work Act</w:t>
      </w:r>
      <w:proofErr w:type="gramEnd"/>
      <w:r w:rsidRPr="00A8795D">
        <w:rPr>
          <w:rFonts w:ascii="Calibri" w:hAnsi="Calibri" w:cs="Calibri"/>
          <w:szCs w:val="22"/>
          <w:lang w:val="en-US"/>
        </w:rPr>
        <w:t xml:space="preserve"> on 1 July 2009. Our role is to provide education, assistance and advice about the Commonwealth workplace relations system and impartially enforce compliance with workplace laws. </w:t>
      </w:r>
    </w:p>
    <w:p w:rsidR="00455C27" w:rsidRDefault="00455C27" w:rsidP="00A031DA">
      <w:pPr>
        <w:widowControl w:val="0"/>
        <w:snapToGrid w:val="0"/>
        <w:spacing w:before="240" w:after="240" w:line="276" w:lineRule="auto"/>
        <w:mirrorIndents/>
        <w:rPr>
          <w:rFonts w:ascii="Calibri" w:hAnsi="Calibri" w:cs="Calibri"/>
          <w:szCs w:val="22"/>
          <w:lang w:val="en-US"/>
        </w:rPr>
      </w:pPr>
      <w:r w:rsidRPr="00A8795D">
        <w:rPr>
          <w:rFonts w:ascii="Calibri" w:hAnsi="Calibri" w:cs="Calibri"/>
          <w:szCs w:val="22"/>
          <w:lang w:val="en-US"/>
        </w:rPr>
        <w:t>I advise that having considered the terms</w:t>
      </w:r>
      <w:r>
        <w:rPr>
          <w:rFonts w:ascii="Calibri" w:hAnsi="Calibri" w:cs="Calibri"/>
          <w:szCs w:val="22"/>
          <w:lang w:val="en-US"/>
        </w:rPr>
        <w:t xml:space="preserve"> of reference of the</w:t>
      </w:r>
      <w:r w:rsidRPr="00A8795D">
        <w:rPr>
          <w:rFonts w:ascii="Calibri" w:hAnsi="Calibri" w:cs="Calibri"/>
          <w:szCs w:val="22"/>
          <w:lang w:val="en-US"/>
        </w:rPr>
        <w:t xml:space="preserve"> Inquiry, the </w:t>
      </w:r>
      <w:r>
        <w:rPr>
          <w:rFonts w:ascii="Calibri" w:hAnsi="Calibri" w:cs="Calibri"/>
          <w:szCs w:val="22"/>
          <w:lang w:val="en-US"/>
        </w:rPr>
        <w:t xml:space="preserve">FWO’s submission </w:t>
      </w:r>
      <w:proofErr w:type="gramStart"/>
      <w:r>
        <w:rPr>
          <w:rFonts w:ascii="Calibri" w:hAnsi="Calibri" w:cs="Calibri"/>
          <w:szCs w:val="22"/>
          <w:lang w:val="en-US"/>
        </w:rPr>
        <w:t>is</w:t>
      </w:r>
      <w:proofErr w:type="gramEnd"/>
      <w:r>
        <w:rPr>
          <w:rFonts w:ascii="Calibri" w:hAnsi="Calibri" w:cs="Calibri"/>
          <w:szCs w:val="22"/>
          <w:lang w:val="en-US"/>
        </w:rPr>
        <w:t xml:space="preserve"> set out in this correspondence.</w:t>
      </w:r>
      <w:r w:rsidRPr="00A8795D">
        <w:rPr>
          <w:rFonts w:ascii="Calibri" w:hAnsi="Calibri" w:cs="Calibri"/>
          <w:szCs w:val="22"/>
          <w:lang w:val="en-US"/>
        </w:rPr>
        <w:t xml:space="preserve"> </w:t>
      </w:r>
      <w:r>
        <w:rPr>
          <w:rFonts w:ascii="Calibri" w:hAnsi="Calibri" w:cs="Calibri"/>
          <w:szCs w:val="22"/>
          <w:lang w:val="en-US"/>
        </w:rPr>
        <w:t>We thank the Committee for providing an extension to file this submission by 20 July 2018.</w:t>
      </w:r>
    </w:p>
    <w:p w:rsidR="00455C27" w:rsidRPr="00A031DA" w:rsidRDefault="00D4799F" w:rsidP="00A031DA">
      <w:pPr>
        <w:pStyle w:val="Heading1"/>
      </w:pPr>
      <w:r w:rsidRPr="00A031DA">
        <w:t>The cleaning industry</w:t>
      </w:r>
    </w:p>
    <w:p w:rsidR="00455C27" w:rsidRDefault="00455C27" w:rsidP="00A031DA">
      <w:pPr>
        <w:widowControl w:val="0"/>
        <w:snapToGrid w:val="0"/>
        <w:spacing w:before="240" w:after="240" w:line="276" w:lineRule="auto"/>
        <w:mirrorIndents/>
        <w:rPr>
          <w:rFonts w:asciiTheme="minorHAnsi" w:hAnsiTheme="minorHAnsi" w:cstheme="minorHAnsi"/>
          <w:iCs/>
          <w:lang w:val="en-US"/>
        </w:rPr>
      </w:pPr>
      <w:r w:rsidRPr="0005154E">
        <w:rPr>
          <w:rFonts w:asciiTheme="minorHAnsi" w:hAnsiTheme="minorHAnsi" w:cstheme="minorHAnsi"/>
          <w:iCs/>
          <w:lang w:val="en-US"/>
        </w:rPr>
        <w:t>According</w:t>
      </w:r>
      <w:r w:rsidRPr="0005154E">
        <w:rPr>
          <w:rFonts w:asciiTheme="minorHAnsi" w:hAnsiTheme="minorHAnsi" w:cstheme="minorHAnsi"/>
          <w:iCs/>
          <w:spacing w:val="16"/>
          <w:lang w:val="en-US"/>
        </w:rPr>
        <w:t xml:space="preserve"> </w:t>
      </w:r>
      <w:r w:rsidRPr="0005154E">
        <w:rPr>
          <w:rFonts w:asciiTheme="minorHAnsi" w:hAnsiTheme="minorHAnsi" w:cstheme="minorHAnsi"/>
          <w:iCs/>
          <w:lang w:val="en-US"/>
        </w:rPr>
        <w:t>to</w:t>
      </w:r>
      <w:r w:rsidRPr="0005154E">
        <w:rPr>
          <w:rFonts w:asciiTheme="minorHAnsi" w:hAnsiTheme="minorHAnsi" w:cstheme="minorHAnsi"/>
          <w:iCs/>
          <w:spacing w:val="16"/>
          <w:lang w:val="en-US"/>
        </w:rPr>
        <w:t xml:space="preserve"> </w:t>
      </w:r>
      <w:r>
        <w:rPr>
          <w:rFonts w:asciiTheme="minorHAnsi" w:hAnsiTheme="minorHAnsi" w:cstheme="minorHAnsi"/>
          <w:iCs/>
          <w:lang w:val="en-US"/>
        </w:rPr>
        <w:t>2016 Census data collected by the</w:t>
      </w:r>
      <w:r w:rsidRPr="0005154E">
        <w:rPr>
          <w:rFonts w:asciiTheme="minorHAnsi" w:hAnsiTheme="minorHAnsi" w:cstheme="minorHAnsi"/>
          <w:iCs/>
          <w:spacing w:val="16"/>
          <w:lang w:val="en-US"/>
        </w:rPr>
        <w:t xml:space="preserve"> </w:t>
      </w:r>
      <w:r w:rsidRPr="0005154E">
        <w:rPr>
          <w:rFonts w:asciiTheme="minorHAnsi" w:hAnsiTheme="minorHAnsi" w:cstheme="minorHAnsi"/>
          <w:iCs/>
          <w:lang w:val="en-US"/>
        </w:rPr>
        <w:t>A</w:t>
      </w:r>
      <w:r>
        <w:rPr>
          <w:rFonts w:asciiTheme="minorHAnsi" w:hAnsiTheme="minorHAnsi" w:cstheme="minorHAnsi"/>
          <w:iCs/>
          <w:lang w:val="en-US"/>
        </w:rPr>
        <w:t xml:space="preserve">ustralian </w:t>
      </w:r>
      <w:r w:rsidRPr="0005154E">
        <w:rPr>
          <w:rFonts w:asciiTheme="minorHAnsi" w:hAnsiTheme="minorHAnsi" w:cstheme="minorHAnsi"/>
          <w:iCs/>
          <w:lang w:val="en-US"/>
        </w:rPr>
        <w:t>B</w:t>
      </w:r>
      <w:r>
        <w:rPr>
          <w:rFonts w:asciiTheme="minorHAnsi" w:hAnsiTheme="minorHAnsi" w:cstheme="minorHAnsi"/>
          <w:iCs/>
          <w:lang w:val="en-US"/>
        </w:rPr>
        <w:t xml:space="preserve">ureau of </w:t>
      </w:r>
      <w:r w:rsidRPr="0005154E">
        <w:rPr>
          <w:rFonts w:asciiTheme="minorHAnsi" w:hAnsiTheme="minorHAnsi" w:cstheme="minorHAnsi"/>
          <w:iCs/>
          <w:lang w:val="en-US"/>
        </w:rPr>
        <w:t>S</w:t>
      </w:r>
      <w:r>
        <w:rPr>
          <w:rFonts w:asciiTheme="minorHAnsi" w:hAnsiTheme="minorHAnsi" w:cstheme="minorHAnsi"/>
          <w:iCs/>
          <w:lang w:val="en-US"/>
        </w:rPr>
        <w:t>tatistics (ABS)</w:t>
      </w:r>
      <w:r w:rsidRPr="0005154E">
        <w:rPr>
          <w:rFonts w:asciiTheme="minorHAnsi" w:hAnsiTheme="minorHAnsi" w:cstheme="minorHAnsi"/>
          <w:iCs/>
          <w:lang w:val="en-US"/>
        </w:rPr>
        <w:t>,</w:t>
      </w:r>
      <w:r w:rsidRPr="0005154E">
        <w:rPr>
          <w:rFonts w:asciiTheme="minorHAnsi" w:hAnsiTheme="minorHAnsi" w:cstheme="minorHAnsi"/>
          <w:iCs/>
          <w:spacing w:val="18"/>
          <w:lang w:val="en-US"/>
        </w:rPr>
        <w:t xml:space="preserve"> </w:t>
      </w:r>
      <w:r w:rsidRPr="0005154E">
        <w:rPr>
          <w:rFonts w:asciiTheme="minorHAnsi" w:hAnsiTheme="minorHAnsi" w:cstheme="minorHAnsi"/>
          <w:iCs/>
          <w:lang w:val="en-US"/>
        </w:rPr>
        <w:t>the</w:t>
      </w:r>
      <w:r w:rsidRPr="0005154E">
        <w:rPr>
          <w:rFonts w:asciiTheme="minorHAnsi" w:hAnsiTheme="minorHAnsi" w:cstheme="minorHAnsi"/>
          <w:iCs/>
          <w:spacing w:val="18"/>
          <w:lang w:val="en-US"/>
        </w:rPr>
        <w:t xml:space="preserve"> </w:t>
      </w:r>
      <w:r w:rsidRPr="00770342">
        <w:rPr>
          <w:rFonts w:asciiTheme="minorHAnsi" w:hAnsiTheme="minorHAnsi" w:cstheme="minorHAnsi"/>
          <w:iCs/>
          <w:lang w:val="en-US"/>
        </w:rPr>
        <w:t>cleaning</w:t>
      </w:r>
      <w:r w:rsidRPr="0005154E">
        <w:rPr>
          <w:rFonts w:asciiTheme="minorHAnsi" w:hAnsiTheme="minorHAnsi" w:cstheme="minorHAnsi"/>
          <w:iCs/>
          <w:lang w:val="en-US"/>
        </w:rPr>
        <w:t xml:space="preserve"> </w:t>
      </w:r>
      <w:r>
        <w:rPr>
          <w:rFonts w:asciiTheme="minorHAnsi" w:hAnsiTheme="minorHAnsi" w:cstheme="minorHAnsi"/>
          <w:iCs/>
          <w:lang w:val="en-US"/>
        </w:rPr>
        <w:t>industry</w:t>
      </w:r>
      <w:r w:rsidRPr="0005154E">
        <w:rPr>
          <w:rFonts w:asciiTheme="minorHAnsi" w:hAnsiTheme="minorHAnsi" w:cstheme="minorHAnsi"/>
          <w:iCs/>
          <w:spacing w:val="17"/>
          <w:lang w:val="en-US"/>
        </w:rPr>
        <w:t xml:space="preserve"> </w:t>
      </w:r>
      <w:r w:rsidRPr="0005154E">
        <w:rPr>
          <w:rFonts w:asciiTheme="minorHAnsi" w:hAnsiTheme="minorHAnsi" w:cstheme="minorHAnsi"/>
          <w:iCs/>
          <w:lang w:val="en-US"/>
        </w:rPr>
        <w:t>in</w:t>
      </w:r>
      <w:r w:rsidRPr="0005154E">
        <w:rPr>
          <w:rFonts w:asciiTheme="minorHAnsi" w:hAnsiTheme="minorHAnsi" w:cstheme="minorHAnsi"/>
          <w:iCs/>
          <w:spacing w:val="16"/>
          <w:lang w:val="en-US"/>
        </w:rPr>
        <w:t xml:space="preserve"> </w:t>
      </w:r>
      <w:r w:rsidRPr="0005154E">
        <w:rPr>
          <w:rFonts w:asciiTheme="minorHAnsi" w:hAnsiTheme="minorHAnsi" w:cstheme="minorHAnsi"/>
          <w:iCs/>
          <w:lang w:val="en-US"/>
        </w:rPr>
        <w:t>Australia</w:t>
      </w:r>
      <w:r w:rsidRPr="0005154E">
        <w:rPr>
          <w:rFonts w:asciiTheme="minorHAnsi" w:hAnsiTheme="minorHAnsi" w:cstheme="minorHAnsi"/>
          <w:iCs/>
          <w:spacing w:val="18"/>
          <w:lang w:val="en-US"/>
        </w:rPr>
        <w:t xml:space="preserve"> </w:t>
      </w:r>
      <w:r w:rsidRPr="0005154E">
        <w:rPr>
          <w:rFonts w:asciiTheme="minorHAnsi" w:hAnsiTheme="minorHAnsi" w:cstheme="minorHAnsi"/>
          <w:iCs/>
          <w:lang w:val="en-US"/>
        </w:rPr>
        <w:t>was</w:t>
      </w:r>
      <w:r w:rsidRPr="0005154E">
        <w:rPr>
          <w:rFonts w:asciiTheme="minorHAnsi" w:hAnsiTheme="minorHAnsi" w:cstheme="minorHAnsi"/>
          <w:iCs/>
          <w:spacing w:val="18"/>
          <w:lang w:val="en-US"/>
        </w:rPr>
        <w:t xml:space="preserve"> </w:t>
      </w:r>
      <w:r w:rsidRPr="0005154E">
        <w:rPr>
          <w:rFonts w:asciiTheme="minorHAnsi" w:hAnsiTheme="minorHAnsi" w:cstheme="minorHAnsi"/>
          <w:iCs/>
          <w:lang w:val="en-US"/>
        </w:rPr>
        <w:t>estimated</w:t>
      </w:r>
      <w:r w:rsidRPr="0005154E">
        <w:rPr>
          <w:rFonts w:asciiTheme="minorHAnsi" w:hAnsiTheme="minorHAnsi" w:cstheme="minorHAnsi"/>
          <w:iCs/>
          <w:spacing w:val="16"/>
          <w:lang w:val="en-US"/>
        </w:rPr>
        <w:t xml:space="preserve"> </w:t>
      </w:r>
      <w:r w:rsidRPr="0005154E">
        <w:rPr>
          <w:rFonts w:asciiTheme="minorHAnsi" w:hAnsiTheme="minorHAnsi" w:cstheme="minorHAnsi"/>
          <w:iCs/>
          <w:lang w:val="en-US"/>
        </w:rPr>
        <w:t>to</w:t>
      </w:r>
      <w:r w:rsidRPr="0005154E">
        <w:rPr>
          <w:rFonts w:asciiTheme="minorHAnsi" w:hAnsiTheme="minorHAnsi" w:cstheme="minorHAnsi"/>
          <w:iCs/>
          <w:spacing w:val="14"/>
          <w:lang w:val="en-US"/>
        </w:rPr>
        <w:t xml:space="preserve"> </w:t>
      </w:r>
      <w:r w:rsidRPr="0005154E">
        <w:rPr>
          <w:rFonts w:asciiTheme="minorHAnsi" w:hAnsiTheme="minorHAnsi" w:cstheme="minorHAnsi"/>
          <w:iCs/>
          <w:lang w:val="en-US"/>
        </w:rPr>
        <w:t>be</w:t>
      </w:r>
      <w:r w:rsidRPr="0005154E">
        <w:rPr>
          <w:rFonts w:asciiTheme="minorHAnsi" w:hAnsiTheme="minorHAnsi" w:cstheme="minorHAnsi"/>
          <w:iCs/>
          <w:spacing w:val="18"/>
          <w:lang w:val="en-US"/>
        </w:rPr>
        <w:t xml:space="preserve"> </w:t>
      </w:r>
      <w:r w:rsidRPr="0005154E">
        <w:rPr>
          <w:rFonts w:asciiTheme="minorHAnsi" w:hAnsiTheme="minorHAnsi" w:cstheme="minorHAnsi"/>
          <w:iCs/>
          <w:lang w:val="en-US"/>
        </w:rPr>
        <w:t>comprised</w:t>
      </w:r>
      <w:r w:rsidRPr="0005154E">
        <w:rPr>
          <w:rFonts w:asciiTheme="minorHAnsi" w:hAnsiTheme="minorHAnsi" w:cstheme="minorHAnsi"/>
          <w:iCs/>
          <w:spacing w:val="16"/>
          <w:lang w:val="en-US"/>
        </w:rPr>
        <w:t xml:space="preserve"> </w:t>
      </w:r>
      <w:r w:rsidRPr="0005154E">
        <w:rPr>
          <w:rFonts w:asciiTheme="minorHAnsi" w:hAnsiTheme="minorHAnsi" w:cstheme="minorHAnsi"/>
          <w:iCs/>
          <w:lang w:val="en-US"/>
        </w:rPr>
        <w:t>of</w:t>
      </w:r>
      <w:r w:rsidRPr="0005154E">
        <w:rPr>
          <w:rFonts w:asciiTheme="minorHAnsi" w:hAnsiTheme="minorHAnsi" w:cstheme="minorHAnsi"/>
          <w:iCs/>
          <w:spacing w:val="20"/>
          <w:lang w:val="en-US"/>
        </w:rPr>
        <w:t xml:space="preserve"> </w:t>
      </w:r>
      <w:r w:rsidRPr="0005154E">
        <w:rPr>
          <w:rFonts w:asciiTheme="minorHAnsi" w:hAnsiTheme="minorHAnsi" w:cstheme="minorHAnsi"/>
          <w:iCs/>
          <w:lang w:val="en-US"/>
        </w:rPr>
        <w:t xml:space="preserve">26,904 enterprises employing 131,908 workers (10,033 of these </w:t>
      </w:r>
      <w:r>
        <w:rPr>
          <w:rFonts w:asciiTheme="minorHAnsi" w:hAnsiTheme="minorHAnsi" w:cstheme="minorHAnsi"/>
          <w:iCs/>
          <w:lang w:val="en-US"/>
        </w:rPr>
        <w:t xml:space="preserve">enterprises </w:t>
      </w:r>
      <w:r w:rsidRPr="0005154E">
        <w:rPr>
          <w:rFonts w:asciiTheme="minorHAnsi" w:hAnsiTheme="minorHAnsi" w:cstheme="minorHAnsi"/>
          <w:iCs/>
          <w:lang w:val="en-US"/>
        </w:rPr>
        <w:t>are registered as employing</w:t>
      </w:r>
      <w:r w:rsidRPr="0005154E">
        <w:rPr>
          <w:rFonts w:asciiTheme="minorHAnsi" w:hAnsiTheme="minorHAnsi" w:cstheme="minorHAnsi"/>
          <w:iCs/>
          <w:spacing w:val="-22"/>
          <w:lang w:val="en-US"/>
        </w:rPr>
        <w:t xml:space="preserve"> </w:t>
      </w:r>
      <w:r w:rsidRPr="0005154E">
        <w:rPr>
          <w:rFonts w:asciiTheme="minorHAnsi" w:hAnsiTheme="minorHAnsi" w:cstheme="minorHAnsi"/>
          <w:iCs/>
          <w:lang w:val="en-US"/>
        </w:rPr>
        <w:t>businesses).</w:t>
      </w:r>
      <w:r>
        <w:rPr>
          <w:rFonts w:asciiTheme="minorHAnsi" w:hAnsiTheme="minorHAnsi" w:cstheme="minorHAnsi"/>
          <w:iCs/>
          <w:lang w:val="en-US"/>
        </w:rPr>
        <w:t xml:space="preserve"> </w:t>
      </w:r>
    </w:p>
    <w:p w:rsidR="00455C27" w:rsidRPr="00662CA6" w:rsidRDefault="00455C27" w:rsidP="00A031DA">
      <w:pPr>
        <w:widowControl w:val="0"/>
        <w:snapToGrid w:val="0"/>
        <w:spacing w:before="240" w:line="276" w:lineRule="auto"/>
        <w:contextualSpacing/>
        <w:mirrorIndents/>
        <w:rPr>
          <w:rFonts w:ascii="Calibri" w:hAnsi="Calibri" w:cs="Calibri"/>
          <w:i/>
          <w:szCs w:val="22"/>
          <w:lang w:val="en-US"/>
        </w:rPr>
      </w:pPr>
      <w:r>
        <w:rPr>
          <w:rFonts w:asciiTheme="minorHAnsi" w:hAnsiTheme="minorHAnsi" w:cstheme="minorHAnsi"/>
          <w:iCs/>
          <w:lang w:val="en-US"/>
        </w:rPr>
        <w:t>Census d</w:t>
      </w:r>
      <w:r w:rsidRPr="0005154E">
        <w:rPr>
          <w:rFonts w:asciiTheme="minorHAnsi" w:hAnsiTheme="minorHAnsi" w:cstheme="minorHAnsi"/>
          <w:iCs/>
          <w:lang w:val="en-US"/>
        </w:rPr>
        <w:t xml:space="preserve">ata relating to workers in </w:t>
      </w:r>
      <w:r>
        <w:rPr>
          <w:rFonts w:asciiTheme="minorHAnsi" w:hAnsiTheme="minorHAnsi" w:cstheme="minorHAnsi"/>
          <w:iCs/>
          <w:lang w:val="en-US"/>
        </w:rPr>
        <w:t>the cleaning industry</w:t>
      </w:r>
      <w:r w:rsidRPr="0005154E">
        <w:rPr>
          <w:rFonts w:asciiTheme="minorHAnsi" w:hAnsiTheme="minorHAnsi" w:cstheme="minorHAnsi"/>
          <w:iCs/>
          <w:spacing w:val="-3"/>
          <w:lang w:val="en-US"/>
        </w:rPr>
        <w:t xml:space="preserve"> </w:t>
      </w:r>
      <w:r>
        <w:rPr>
          <w:rFonts w:asciiTheme="minorHAnsi" w:hAnsiTheme="minorHAnsi" w:cstheme="minorHAnsi"/>
          <w:iCs/>
          <w:spacing w:val="-3"/>
          <w:lang w:val="en-US"/>
        </w:rPr>
        <w:t xml:space="preserve">further </w:t>
      </w:r>
      <w:r w:rsidRPr="0005154E">
        <w:rPr>
          <w:rFonts w:asciiTheme="minorHAnsi" w:hAnsiTheme="minorHAnsi" w:cstheme="minorHAnsi"/>
          <w:iCs/>
          <w:lang w:val="en-US"/>
        </w:rPr>
        <w:t>revealed:</w:t>
      </w:r>
    </w:p>
    <w:p w:rsidR="00455C27" w:rsidRDefault="00455C27" w:rsidP="00A031DA">
      <w:pPr>
        <w:pStyle w:val="ListParagraph"/>
        <w:numPr>
          <w:ilvl w:val="0"/>
          <w:numId w:val="1"/>
        </w:numPr>
        <w:spacing w:before="120" w:after="240" w:line="276" w:lineRule="auto"/>
        <w:ind w:right="107"/>
        <w:contextualSpacing/>
        <w:mirrorIndents/>
        <w:rPr>
          <w:rFonts w:asciiTheme="minorHAnsi" w:hAnsiTheme="minorHAnsi" w:cstheme="minorHAnsi"/>
          <w:iCs/>
          <w:lang w:val="en-US"/>
        </w:rPr>
      </w:pPr>
      <w:r w:rsidRPr="0005154E">
        <w:rPr>
          <w:rFonts w:asciiTheme="minorHAnsi" w:hAnsiTheme="minorHAnsi" w:cstheme="minorHAnsi"/>
          <w:iCs/>
          <w:lang w:val="en-US"/>
        </w:rPr>
        <w:t>50%</w:t>
      </w:r>
      <w:r w:rsidRPr="0005154E">
        <w:rPr>
          <w:rFonts w:asciiTheme="minorHAnsi" w:hAnsiTheme="minorHAnsi" w:cstheme="minorHAnsi"/>
          <w:iCs/>
          <w:spacing w:val="20"/>
          <w:lang w:val="en-US"/>
        </w:rPr>
        <w:t xml:space="preserve"> </w:t>
      </w:r>
      <w:r w:rsidRPr="0005154E">
        <w:rPr>
          <w:rFonts w:asciiTheme="minorHAnsi" w:hAnsiTheme="minorHAnsi" w:cstheme="minorHAnsi"/>
          <w:iCs/>
          <w:lang w:val="en-US"/>
        </w:rPr>
        <w:t>of</w:t>
      </w:r>
      <w:r w:rsidRPr="0005154E">
        <w:rPr>
          <w:rFonts w:asciiTheme="minorHAnsi" w:hAnsiTheme="minorHAnsi" w:cstheme="minorHAnsi"/>
          <w:iCs/>
          <w:spacing w:val="23"/>
          <w:lang w:val="en-US"/>
        </w:rPr>
        <w:t xml:space="preserve"> </w:t>
      </w:r>
      <w:r w:rsidRPr="0005154E">
        <w:rPr>
          <w:rFonts w:asciiTheme="minorHAnsi" w:hAnsiTheme="minorHAnsi" w:cstheme="minorHAnsi"/>
          <w:iCs/>
          <w:lang w:val="en-US"/>
        </w:rPr>
        <w:t>workers</w:t>
      </w:r>
      <w:r w:rsidRPr="0005154E">
        <w:rPr>
          <w:rFonts w:asciiTheme="minorHAnsi" w:hAnsiTheme="minorHAnsi" w:cstheme="minorHAnsi"/>
          <w:iCs/>
          <w:spacing w:val="20"/>
          <w:lang w:val="en-US"/>
        </w:rPr>
        <w:t xml:space="preserve"> </w:t>
      </w:r>
      <w:r w:rsidRPr="0005154E">
        <w:rPr>
          <w:rFonts w:asciiTheme="minorHAnsi" w:hAnsiTheme="minorHAnsi" w:cstheme="minorHAnsi"/>
          <w:iCs/>
          <w:lang w:val="en-US"/>
        </w:rPr>
        <w:t>were</w:t>
      </w:r>
      <w:r w:rsidRPr="0005154E">
        <w:rPr>
          <w:rFonts w:asciiTheme="minorHAnsi" w:hAnsiTheme="minorHAnsi" w:cstheme="minorHAnsi"/>
          <w:iCs/>
          <w:spacing w:val="23"/>
          <w:lang w:val="en-US"/>
        </w:rPr>
        <w:t xml:space="preserve"> </w:t>
      </w:r>
      <w:r w:rsidRPr="0005154E">
        <w:rPr>
          <w:rFonts w:asciiTheme="minorHAnsi" w:hAnsiTheme="minorHAnsi" w:cstheme="minorHAnsi"/>
          <w:iCs/>
          <w:lang w:val="en-US"/>
        </w:rPr>
        <w:t>born</w:t>
      </w:r>
      <w:r w:rsidRPr="0005154E">
        <w:rPr>
          <w:rFonts w:asciiTheme="minorHAnsi" w:hAnsiTheme="minorHAnsi" w:cstheme="minorHAnsi"/>
          <w:iCs/>
          <w:spacing w:val="20"/>
          <w:lang w:val="en-US"/>
        </w:rPr>
        <w:t xml:space="preserve"> </w:t>
      </w:r>
      <w:r w:rsidRPr="0005154E">
        <w:rPr>
          <w:rFonts w:asciiTheme="minorHAnsi" w:hAnsiTheme="minorHAnsi" w:cstheme="minorHAnsi"/>
          <w:iCs/>
          <w:lang w:val="en-US"/>
        </w:rPr>
        <w:t>overseas</w:t>
      </w:r>
      <w:r w:rsidRPr="0005154E">
        <w:rPr>
          <w:rFonts w:asciiTheme="minorHAnsi" w:hAnsiTheme="minorHAnsi" w:cstheme="minorHAnsi"/>
          <w:iCs/>
          <w:spacing w:val="20"/>
          <w:lang w:val="en-US"/>
        </w:rPr>
        <w:t xml:space="preserve"> </w:t>
      </w:r>
      <w:r w:rsidRPr="0005154E">
        <w:rPr>
          <w:rFonts w:asciiTheme="minorHAnsi" w:hAnsiTheme="minorHAnsi" w:cstheme="minorHAnsi"/>
          <w:iCs/>
          <w:lang w:val="en-US"/>
        </w:rPr>
        <w:t>(compared</w:t>
      </w:r>
      <w:r w:rsidRPr="0005154E">
        <w:rPr>
          <w:rFonts w:asciiTheme="minorHAnsi" w:hAnsiTheme="minorHAnsi" w:cstheme="minorHAnsi"/>
          <w:iCs/>
          <w:spacing w:val="17"/>
          <w:lang w:val="en-US"/>
        </w:rPr>
        <w:t xml:space="preserve"> </w:t>
      </w:r>
      <w:r w:rsidRPr="0005154E">
        <w:rPr>
          <w:rFonts w:asciiTheme="minorHAnsi" w:hAnsiTheme="minorHAnsi" w:cstheme="minorHAnsi"/>
          <w:iCs/>
          <w:spacing w:val="3"/>
          <w:lang w:val="en-US"/>
        </w:rPr>
        <w:t>to</w:t>
      </w:r>
      <w:r w:rsidRPr="0005154E">
        <w:rPr>
          <w:rFonts w:asciiTheme="minorHAnsi" w:hAnsiTheme="minorHAnsi" w:cstheme="minorHAnsi"/>
          <w:iCs/>
          <w:spacing w:val="20"/>
          <w:lang w:val="en-US"/>
        </w:rPr>
        <w:t xml:space="preserve"> </w:t>
      </w:r>
      <w:r w:rsidRPr="0005154E">
        <w:rPr>
          <w:rFonts w:asciiTheme="minorHAnsi" w:hAnsiTheme="minorHAnsi" w:cstheme="minorHAnsi"/>
          <w:iCs/>
          <w:lang w:val="en-US"/>
        </w:rPr>
        <w:t>31%</w:t>
      </w:r>
      <w:r w:rsidRPr="0005154E">
        <w:rPr>
          <w:rFonts w:asciiTheme="minorHAnsi" w:hAnsiTheme="minorHAnsi" w:cstheme="minorHAnsi"/>
          <w:iCs/>
          <w:spacing w:val="20"/>
          <w:lang w:val="en-US"/>
        </w:rPr>
        <w:t xml:space="preserve"> </w:t>
      </w:r>
      <w:r w:rsidRPr="0005154E">
        <w:rPr>
          <w:rFonts w:asciiTheme="minorHAnsi" w:hAnsiTheme="minorHAnsi" w:cstheme="minorHAnsi"/>
          <w:iCs/>
          <w:lang w:val="en-US"/>
        </w:rPr>
        <w:t>of</w:t>
      </w:r>
      <w:r w:rsidRPr="0005154E">
        <w:rPr>
          <w:rFonts w:asciiTheme="minorHAnsi" w:hAnsiTheme="minorHAnsi" w:cstheme="minorHAnsi"/>
          <w:iCs/>
          <w:spacing w:val="23"/>
          <w:lang w:val="en-US"/>
        </w:rPr>
        <w:t xml:space="preserve"> </w:t>
      </w:r>
      <w:r w:rsidRPr="0005154E">
        <w:rPr>
          <w:rFonts w:asciiTheme="minorHAnsi" w:hAnsiTheme="minorHAnsi" w:cstheme="minorHAnsi"/>
          <w:iCs/>
          <w:lang w:val="en-US"/>
        </w:rPr>
        <w:t>all employed persons in</w:t>
      </w:r>
      <w:r w:rsidRPr="0005154E">
        <w:rPr>
          <w:rFonts w:asciiTheme="minorHAnsi" w:hAnsiTheme="minorHAnsi" w:cstheme="minorHAnsi"/>
          <w:iCs/>
          <w:spacing w:val="-2"/>
          <w:lang w:val="en-US"/>
        </w:rPr>
        <w:t xml:space="preserve"> </w:t>
      </w:r>
      <w:r w:rsidRPr="0005154E">
        <w:rPr>
          <w:rFonts w:asciiTheme="minorHAnsi" w:hAnsiTheme="minorHAnsi" w:cstheme="minorHAnsi"/>
          <w:iCs/>
          <w:lang w:val="en-US"/>
        </w:rPr>
        <w:t>Australia)</w:t>
      </w:r>
      <w:r>
        <w:rPr>
          <w:rFonts w:asciiTheme="minorHAnsi" w:hAnsiTheme="minorHAnsi" w:cstheme="minorHAnsi"/>
          <w:iCs/>
          <w:lang w:val="en-US"/>
        </w:rPr>
        <w:t>;</w:t>
      </w:r>
    </w:p>
    <w:p w:rsidR="00455C27" w:rsidRDefault="00455C27" w:rsidP="00A031DA">
      <w:pPr>
        <w:pStyle w:val="ListParagraph"/>
        <w:numPr>
          <w:ilvl w:val="0"/>
          <w:numId w:val="1"/>
        </w:numPr>
        <w:spacing w:before="240" w:after="240" w:line="276" w:lineRule="auto"/>
        <w:ind w:right="107"/>
        <w:contextualSpacing/>
        <w:mirrorIndents/>
        <w:rPr>
          <w:rFonts w:asciiTheme="minorHAnsi" w:hAnsiTheme="minorHAnsi" w:cstheme="minorHAnsi"/>
          <w:iCs/>
          <w:lang w:val="en-US"/>
        </w:rPr>
      </w:pPr>
      <w:r w:rsidRPr="0005154E">
        <w:rPr>
          <w:rFonts w:asciiTheme="minorHAnsi" w:hAnsiTheme="minorHAnsi" w:cstheme="minorHAnsi"/>
          <w:iCs/>
          <w:lang w:val="en-US"/>
        </w:rPr>
        <w:t>40%</w:t>
      </w:r>
      <w:r w:rsidRPr="0005154E">
        <w:rPr>
          <w:rFonts w:asciiTheme="minorHAnsi" w:hAnsiTheme="minorHAnsi" w:cstheme="minorHAnsi"/>
          <w:iCs/>
          <w:spacing w:val="-18"/>
          <w:lang w:val="en-US"/>
        </w:rPr>
        <w:t xml:space="preserve"> </w:t>
      </w:r>
      <w:r w:rsidRPr="0005154E">
        <w:rPr>
          <w:rFonts w:asciiTheme="minorHAnsi" w:hAnsiTheme="minorHAnsi" w:cstheme="minorHAnsi"/>
          <w:iCs/>
          <w:lang w:val="en-US"/>
        </w:rPr>
        <w:t>spoke</w:t>
      </w:r>
      <w:r w:rsidRPr="0005154E">
        <w:rPr>
          <w:rFonts w:asciiTheme="minorHAnsi" w:hAnsiTheme="minorHAnsi" w:cstheme="minorHAnsi"/>
          <w:iCs/>
          <w:spacing w:val="-19"/>
          <w:lang w:val="en-US"/>
        </w:rPr>
        <w:t xml:space="preserve"> </w:t>
      </w:r>
      <w:r w:rsidRPr="0005154E">
        <w:rPr>
          <w:rFonts w:asciiTheme="minorHAnsi" w:hAnsiTheme="minorHAnsi" w:cstheme="minorHAnsi"/>
          <w:iCs/>
          <w:lang w:val="en-US"/>
        </w:rPr>
        <w:t>a</w:t>
      </w:r>
      <w:r w:rsidRPr="0005154E">
        <w:rPr>
          <w:rFonts w:asciiTheme="minorHAnsi" w:hAnsiTheme="minorHAnsi" w:cstheme="minorHAnsi"/>
          <w:iCs/>
          <w:spacing w:val="-19"/>
          <w:lang w:val="en-US"/>
        </w:rPr>
        <w:t xml:space="preserve"> </w:t>
      </w:r>
      <w:r w:rsidRPr="0005154E">
        <w:rPr>
          <w:rFonts w:asciiTheme="minorHAnsi" w:hAnsiTheme="minorHAnsi" w:cstheme="minorHAnsi"/>
          <w:iCs/>
          <w:lang w:val="en-US"/>
        </w:rPr>
        <w:t>language</w:t>
      </w:r>
      <w:r w:rsidRPr="0005154E">
        <w:rPr>
          <w:rFonts w:asciiTheme="minorHAnsi" w:hAnsiTheme="minorHAnsi" w:cstheme="minorHAnsi"/>
          <w:iCs/>
          <w:spacing w:val="-16"/>
          <w:lang w:val="en-US"/>
        </w:rPr>
        <w:t xml:space="preserve"> </w:t>
      </w:r>
      <w:r w:rsidRPr="0005154E">
        <w:rPr>
          <w:rFonts w:asciiTheme="minorHAnsi" w:hAnsiTheme="minorHAnsi" w:cstheme="minorHAnsi"/>
          <w:iCs/>
          <w:lang w:val="en-US"/>
        </w:rPr>
        <w:t>other</w:t>
      </w:r>
      <w:r w:rsidRPr="0005154E">
        <w:rPr>
          <w:rFonts w:asciiTheme="minorHAnsi" w:hAnsiTheme="minorHAnsi" w:cstheme="minorHAnsi"/>
          <w:iCs/>
          <w:spacing w:val="-17"/>
          <w:lang w:val="en-US"/>
        </w:rPr>
        <w:t xml:space="preserve"> </w:t>
      </w:r>
      <w:r w:rsidRPr="0005154E">
        <w:rPr>
          <w:rFonts w:asciiTheme="minorHAnsi" w:hAnsiTheme="minorHAnsi" w:cstheme="minorHAnsi"/>
          <w:iCs/>
          <w:lang w:val="en-US"/>
        </w:rPr>
        <w:t>than</w:t>
      </w:r>
      <w:r w:rsidRPr="0005154E">
        <w:rPr>
          <w:rFonts w:asciiTheme="minorHAnsi" w:hAnsiTheme="minorHAnsi" w:cstheme="minorHAnsi"/>
          <w:iCs/>
          <w:spacing w:val="-19"/>
          <w:lang w:val="en-US"/>
        </w:rPr>
        <w:t xml:space="preserve"> </w:t>
      </w:r>
      <w:r w:rsidRPr="0005154E">
        <w:rPr>
          <w:rFonts w:asciiTheme="minorHAnsi" w:hAnsiTheme="minorHAnsi" w:cstheme="minorHAnsi"/>
          <w:iCs/>
          <w:lang w:val="en-US"/>
        </w:rPr>
        <w:t>English</w:t>
      </w:r>
      <w:r w:rsidRPr="0005154E">
        <w:rPr>
          <w:rFonts w:asciiTheme="minorHAnsi" w:hAnsiTheme="minorHAnsi" w:cstheme="minorHAnsi"/>
          <w:iCs/>
          <w:spacing w:val="-16"/>
          <w:lang w:val="en-US"/>
        </w:rPr>
        <w:t xml:space="preserve"> </w:t>
      </w:r>
      <w:r w:rsidRPr="0005154E">
        <w:rPr>
          <w:rFonts w:asciiTheme="minorHAnsi" w:hAnsiTheme="minorHAnsi" w:cstheme="minorHAnsi"/>
          <w:iCs/>
          <w:lang w:val="en-US"/>
        </w:rPr>
        <w:t>at</w:t>
      </w:r>
      <w:r w:rsidRPr="0005154E">
        <w:rPr>
          <w:rFonts w:asciiTheme="minorHAnsi" w:hAnsiTheme="minorHAnsi" w:cstheme="minorHAnsi"/>
          <w:iCs/>
          <w:spacing w:val="-17"/>
          <w:lang w:val="en-US"/>
        </w:rPr>
        <w:t xml:space="preserve"> </w:t>
      </w:r>
      <w:r w:rsidRPr="0005154E">
        <w:rPr>
          <w:rFonts w:asciiTheme="minorHAnsi" w:hAnsiTheme="minorHAnsi" w:cstheme="minorHAnsi"/>
          <w:iCs/>
          <w:lang w:val="en-US"/>
        </w:rPr>
        <w:t>home</w:t>
      </w:r>
      <w:r w:rsidRPr="0005154E">
        <w:rPr>
          <w:rFonts w:asciiTheme="minorHAnsi" w:hAnsiTheme="minorHAnsi" w:cstheme="minorHAnsi"/>
          <w:iCs/>
          <w:spacing w:val="-19"/>
          <w:lang w:val="en-US"/>
        </w:rPr>
        <w:t xml:space="preserve"> </w:t>
      </w:r>
      <w:r w:rsidRPr="0005154E">
        <w:rPr>
          <w:rFonts w:asciiTheme="minorHAnsi" w:hAnsiTheme="minorHAnsi" w:cstheme="minorHAnsi"/>
          <w:iCs/>
          <w:lang w:val="en-US"/>
        </w:rPr>
        <w:t>(compared</w:t>
      </w:r>
      <w:r w:rsidRPr="0005154E">
        <w:rPr>
          <w:rFonts w:asciiTheme="minorHAnsi" w:hAnsiTheme="minorHAnsi" w:cstheme="minorHAnsi"/>
          <w:iCs/>
          <w:spacing w:val="-21"/>
          <w:lang w:val="en-US"/>
        </w:rPr>
        <w:t xml:space="preserve"> </w:t>
      </w:r>
      <w:r w:rsidRPr="0005154E">
        <w:rPr>
          <w:rFonts w:asciiTheme="minorHAnsi" w:hAnsiTheme="minorHAnsi" w:cstheme="minorHAnsi"/>
          <w:iCs/>
          <w:lang w:val="en-US"/>
        </w:rPr>
        <w:t>to</w:t>
      </w:r>
      <w:r w:rsidRPr="0005154E">
        <w:rPr>
          <w:rFonts w:asciiTheme="minorHAnsi" w:hAnsiTheme="minorHAnsi" w:cstheme="minorHAnsi"/>
          <w:iCs/>
          <w:spacing w:val="-19"/>
          <w:lang w:val="en-US"/>
        </w:rPr>
        <w:t xml:space="preserve"> </w:t>
      </w:r>
      <w:r w:rsidRPr="0005154E">
        <w:rPr>
          <w:rFonts w:asciiTheme="minorHAnsi" w:hAnsiTheme="minorHAnsi" w:cstheme="minorHAnsi"/>
          <w:iCs/>
          <w:lang w:val="en-US"/>
        </w:rPr>
        <w:t>21%</w:t>
      </w:r>
      <w:r w:rsidRPr="0005154E">
        <w:rPr>
          <w:rFonts w:asciiTheme="minorHAnsi" w:hAnsiTheme="minorHAnsi" w:cstheme="minorHAnsi"/>
          <w:iCs/>
          <w:spacing w:val="-18"/>
          <w:lang w:val="en-US"/>
        </w:rPr>
        <w:t xml:space="preserve"> </w:t>
      </w:r>
      <w:r w:rsidRPr="0005154E">
        <w:rPr>
          <w:rFonts w:asciiTheme="minorHAnsi" w:hAnsiTheme="minorHAnsi" w:cstheme="minorHAnsi"/>
          <w:iCs/>
          <w:lang w:val="en-US"/>
        </w:rPr>
        <w:t>of</w:t>
      </w:r>
      <w:r w:rsidRPr="0005154E">
        <w:rPr>
          <w:rFonts w:asciiTheme="minorHAnsi" w:hAnsiTheme="minorHAnsi" w:cstheme="minorHAnsi"/>
          <w:iCs/>
          <w:spacing w:val="-17"/>
          <w:lang w:val="en-US"/>
        </w:rPr>
        <w:t xml:space="preserve"> </w:t>
      </w:r>
      <w:r w:rsidRPr="0005154E">
        <w:rPr>
          <w:rFonts w:asciiTheme="minorHAnsi" w:hAnsiTheme="minorHAnsi" w:cstheme="minorHAnsi"/>
          <w:iCs/>
          <w:lang w:val="en-US"/>
        </w:rPr>
        <w:t>all</w:t>
      </w:r>
      <w:r w:rsidRPr="0005154E">
        <w:rPr>
          <w:rFonts w:asciiTheme="minorHAnsi" w:hAnsiTheme="minorHAnsi" w:cstheme="minorHAnsi"/>
          <w:iCs/>
          <w:spacing w:val="-17"/>
          <w:lang w:val="en-US"/>
        </w:rPr>
        <w:t xml:space="preserve"> </w:t>
      </w:r>
      <w:r w:rsidRPr="0005154E">
        <w:rPr>
          <w:rFonts w:asciiTheme="minorHAnsi" w:hAnsiTheme="minorHAnsi" w:cstheme="minorHAnsi"/>
          <w:iCs/>
          <w:lang w:val="en-US"/>
        </w:rPr>
        <w:t>employed</w:t>
      </w:r>
      <w:r w:rsidRPr="0005154E">
        <w:rPr>
          <w:rFonts w:asciiTheme="minorHAnsi" w:hAnsiTheme="minorHAnsi" w:cstheme="minorHAnsi"/>
          <w:iCs/>
          <w:spacing w:val="-16"/>
          <w:lang w:val="en-US"/>
        </w:rPr>
        <w:t xml:space="preserve"> </w:t>
      </w:r>
      <w:r w:rsidRPr="0005154E">
        <w:rPr>
          <w:rFonts w:asciiTheme="minorHAnsi" w:hAnsiTheme="minorHAnsi" w:cstheme="minorHAnsi"/>
          <w:iCs/>
          <w:lang w:val="en-US"/>
        </w:rPr>
        <w:t>persons in Australia)</w:t>
      </w:r>
      <w:r>
        <w:rPr>
          <w:rFonts w:asciiTheme="minorHAnsi" w:hAnsiTheme="minorHAnsi" w:cstheme="minorHAnsi"/>
          <w:iCs/>
          <w:lang w:val="en-US"/>
        </w:rPr>
        <w:t>;</w:t>
      </w:r>
    </w:p>
    <w:p w:rsidR="00455C27" w:rsidRDefault="00455C27" w:rsidP="00A031DA">
      <w:pPr>
        <w:pStyle w:val="ListParagraph"/>
        <w:numPr>
          <w:ilvl w:val="0"/>
          <w:numId w:val="1"/>
        </w:numPr>
        <w:spacing w:before="240" w:after="240" w:line="276" w:lineRule="auto"/>
        <w:ind w:right="107"/>
        <w:contextualSpacing/>
        <w:mirrorIndents/>
        <w:rPr>
          <w:rFonts w:asciiTheme="minorHAnsi" w:hAnsiTheme="minorHAnsi" w:cstheme="minorHAnsi"/>
          <w:iCs/>
          <w:lang w:val="en-US"/>
        </w:rPr>
      </w:pPr>
      <w:r w:rsidRPr="0005154E">
        <w:rPr>
          <w:rFonts w:asciiTheme="minorHAnsi" w:hAnsiTheme="minorHAnsi" w:cstheme="minorHAnsi"/>
          <w:iCs/>
          <w:lang w:val="en-US"/>
        </w:rPr>
        <w:t>of those who spoke a language other than E</w:t>
      </w:r>
      <w:r>
        <w:rPr>
          <w:rFonts w:asciiTheme="minorHAnsi" w:hAnsiTheme="minorHAnsi" w:cstheme="minorHAnsi"/>
          <w:iCs/>
          <w:lang w:val="en-US"/>
        </w:rPr>
        <w:t>nglish at home, 19% either did no</w:t>
      </w:r>
      <w:r w:rsidRPr="0005154E">
        <w:rPr>
          <w:rFonts w:asciiTheme="minorHAnsi" w:hAnsiTheme="minorHAnsi" w:cstheme="minorHAnsi"/>
          <w:iCs/>
          <w:lang w:val="en-US"/>
        </w:rPr>
        <w:t>t speak</w:t>
      </w:r>
      <w:r w:rsidRPr="0005154E">
        <w:rPr>
          <w:rFonts w:asciiTheme="minorHAnsi" w:hAnsiTheme="minorHAnsi" w:cstheme="minorHAnsi"/>
          <w:iCs/>
          <w:spacing w:val="-22"/>
          <w:lang w:val="en-US"/>
        </w:rPr>
        <w:t xml:space="preserve"> </w:t>
      </w:r>
      <w:r w:rsidRPr="0005154E">
        <w:rPr>
          <w:rFonts w:asciiTheme="minorHAnsi" w:hAnsiTheme="minorHAnsi" w:cstheme="minorHAnsi"/>
          <w:iCs/>
          <w:lang w:val="en-US"/>
        </w:rPr>
        <w:t>English at</w:t>
      </w:r>
      <w:r w:rsidRPr="0005154E">
        <w:rPr>
          <w:rFonts w:asciiTheme="minorHAnsi" w:hAnsiTheme="minorHAnsi" w:cstheme="minorHAnsi"/>
          <w:iCs/>
          <w:spacing w:val="36"/>
          <w:lang w:val="en-US"/>
        </w:rPr>
        <w:t xml:space="preserve"> </w:t>
      </w:r>
      <w:r w:rsidRPr="0005154E">
        <w:rPr>
          <w:rFonts w:asciiTheme="minorHAnsi" w:hAnsiTheme="minorHAnsi" w:cstheme="minorHAnsi"/>
          <w:iCs/>
          <w:lang w:val="en-US"/>
        </w:rPr>
        <w:t>all,</w:t>
      </w:r>
      <w:r w:rsidRPr="0005154E">
        <w:rPr>
          <w:rFonts w:asciiTheme="minorHAnsi" w:hAnsiTheme="minorHAnsi" w:cstheme="minorHAnsi"/>
          <w:iCs/>
          <w:spacing w:val="34"/>
          <w:lang w:val="en-US"/>
        </w:rPr>
        <w:t xml:space="preserve"> </w:t>
      </w:r>
      <w:r w:rsidRPr="0005154E">
        <w:rPr>
          <w:rFonts w:asciiTheme="minorHAnsi" w:hAnsiTheme="minorHAnsi" w:cstheme="minorHAnsi"/>
          <w:iCs/>
          <w:lang w:val="en-US"/>
        </w:rPr>
        <w:t>or</w:t>
      </w:r>
      <w:r w:rsidRPr="0005154E">
        <w:rPr>
          <w:rFonts w:asciiTheme="minorHAnsi" w:hAnsiTheme="minorHAnsi" w:cstheme="minorHAnsi"/>
          <w:iCs/>
          <w:spacing w:val="33"/>
          <w:lang w:val="en-US"/>
        </w:rPr>
        <w:t xml:space="preserve"> </w:t>
      </w:r>
      <w:r w:rsidRPr="0005154E">
        <w:rPr>
          <w:rFonts w:asciiTheme="minorHAnsi" w:hAnsiTheme="minorHAnsi" w:cstheme="minorHAnsi"/>
          <w:iCs/>
          <w:lang w:val="en-US"/>
        </w:rPr>
        <w:t>did</w:t>
      </w:r>
      <w:r w:rsidRPr="0005154E">
        <w:rPr>
          <w:rFonts w:asciiTheme="minorHAnsi" w:hAnsiTheme="minorHAnsi" w:cstheme="minorHAnsi"/>
          <w:iCs/>
          <w:spacing w:val="35"/>
          <w:lang w:val="en-US"/>
        </w:rPr>
        <w:t xml:space="preserve"> </w:t>
      </w:r>
      <w:r w:rsidRPr="0005154E">
        <w:rPr>
          <w:rFonts w:asciiTheme="minorHAnsi" w:hAnsiTheme="minorHAnsi" w:cstheme="minorHAnsi"/>
          <w:iCs/>
          <w:lang w:val="en-US"/>
        </w:rPr>
        <w:t>not</w:t>
      </w:r>
      <w:r w:rsidRPr="0005154E">
        <w:rPr>
          <w:rFonts w:asciiTheme="minorHAnsi" w:hAnsiTheme="minorHAnsi" w:cstheme="minorHAnsi"/>
          <w:iCs/>
          <w:spacing w:val="34"/>
          <w:lang w:val="en-US"/>
        </w:rPr>
        <w:t xml:space="preserve"> </w:t>
      </w:r>
      <w:r w:rsidRPr="0005154E">
        <w:rPr>
          <w:rFonts w:asciiTheme="minorHAnsi" w:hAnsiTheme="minorHAnsi" w:cstheme="minorHAnsi"/>
          <w:iCs/>
          <w:lang w:val="en-US"/>
        </w:rPr>
        <w:t>speak</w:t>
      </w:r>
      <w:r w:rsidRPr="0005154E">
        <w:rPr>
          <w:rFonts w:asciiTheme="minorHAnsi" w:hAnsiTheme="minorHAnsi" w:cstheme="minorHAnsi"/>
          <w:iCs/>
          <w:spacing w:val="33"/>
          <w:lang w:val="en-US"/>
        </w:rPr>
        <w:t xml:space="preserve"> </w:t>
      </w:r>
      <w:r w:rsidRPr="0005154E">
        <w:rPr>
          <w:rFonts w:asciiTheme="minorHAnsi" w:hAnsiTheme="minorHAnsi" w:cstheme="minorHAnsi"/>
          <w:iCs/>
          <w:lang w:val="en-US"/>
        </w:rPr>
        <w:t>English</w:t>
      </w:r>
      <w:r w:rsidRPr="0005154E">
        <w:rPr>
          <w:rFonts w:asciiTheme="minorHAnsi" w:hAnsiTheme="minorHAnsi" w:cstheme="minorHAnsi"/>
          <w:iCs/>
          <w:spacing w:val="35"/>
          <w:lang w:val="en-US"/>
        </w:rPr>
        <w:t xml:space="preserve"> </w:t>
      </w:r>
      <w:r w:rsidRPr="0005154E">
        <w:rPr>
          <w:rFonts w:asciiTheme="minorHAnsi" w:hAnsiTheme="minorHAnsi" w:cstheme="minorHAnsi"/>
          <w:iCs/>
          <w:lang w:val="en-US"/>
        </w:rPr>
        <w:t>very</w:t>
      </w:r>
      <w:r w:rsidRPr="0005154E">
        <w:rPr>
          <w:rFonts w:asciiTheme="minorHAnsi" w:hAnsiTheme="minorHAnsi" w:cstheme="minorHAnsi"/>
          <w:iCs/>
          <w:spacing w:val="33"/>
          <w:lang w:val="en-US"/>
        </w:rPr>
        <w:t xml:space="preserve"> </w:t>
      </w:r>
      <w:r w:rsidRPr="0005154E">
        <w:rPr>
          <w:rFonts w:asciiTheme="minorHAnsi" w:hAnsiTheme="minorHAnsi" w:cstheme="minorHAnsi"/>
          <w:iCs/>
          <w:lang w:val="en-US"/>
        </w:rPr>
        <w:t>well</w:t>
      </w:r>
      <w:r w:rsidRPr="0005154E">
        <w:rPr>
          <w:rFonts w:asciiTheme="minorHAnsi" w:hAnsiTheme="minorHAnsi" w:cstheme="minorHAnsi"/>
          <w:iCs/>
          <w:spacing w:val="37"/>
          <w:lang w:val="en-US"/>
        </w:rPr>
        <w:t xml:space="preserve"> </w:t>
      </w:r>
      <w:r>
        <w:rPr>
          <w:rFonts w:asciiTheme="minorHAnsi" w:hAnsiTheme="minorHAnsi" w:cstheme="minorHAnsi"/>
          <w:iCs/>
          <w:lang w:val="en-US"/>
        </w:rPr>
        <w:t>(</w:t>
      </w:r>
      <w:r w:rsidRPr="0005154E">
        <w:rPr>
          <w:rFonts w:asciiTheme="minorHAnsi" w:hAnsiTheme="minorHAnsi" w:cstheme="minorHAnsi"/>
          <w:iCs/>
          <w:lang w:val="en-US"/>
        </w:rPr>
        <w:t>compared</w:t>
      </w:r>
      <w:r w:rsidRPr="0005154E">
        <w:rPr>
          <w:rFonts w:asciiTheme="minorHAnsi" w:hAnsiTheme="minorHAnsi" w:cstheme="minorHAnsi"/>
          <w:iCs/>
          <w:spacing w:val="32"/>
          <w:lang w:val="en-US"/>
        </w:rPr>
        <w:t xml:space="preserve"> </w:t>
      </w:r>
      <w:r w:rsidRPr="0005154E">
        <w:rPr>
          <w:rFonts w:asciiTheme="minorHAnsi" w:hAnsiTheme="minorHAnsi" w:cstheme="minorHAnsi"/>
          <w:iCs/>
          <w:lang w:val="en-US"/>
        </w:rPr>
        <w:t>to</w:t>
      </w:r>
      <w:r w:rsidRPr="0005154E">
        <w:rPr>
          <w:rFonts w:asciiTheme="minorHAnsi" w:hAnsiTheme="minorHAnsi" w:cstheme="minorHAnsi"/>
          <w:iCs/>
          <w:spacing w:val="35"/>
          <w:lang w:val="en-US"/>
        </w:rPr>
        <w:t xml:space="preserve"> </w:t>
      </w:r>
      <w:r w:rsidRPr="0005154E">
        <w:rPr>
          <w:rFonts w:asciiTheme="minorHAnsi" w:hAnsiTheme="minorHAnsi" w:cstheme="minorHAnsi"/>
          <w:iCs/>
          <w:lang w:val="en-US"/>
        </w:rPr>
        <w:t>8%</w:t>
      </w:r>
      <w:r w:rsidRPr="0005154E">
        <w:rPr>
          <w:rFonts w:asciiTheme="minorHAnsi" w:hAnsiTheme="minorHAnsi" w:cstheme="minorHAnsi"/>
          <w:iCs/>
          <w:spacing w:val="36"/>
          <w:lang w:val="en-US"/>
        </w:rPr>
        <w:t xml:space="preserve"> </w:t>
      </w:r>
      <w:r w:rsidRPr="0005154E">
        <w:rPr>
          <w:rFonts w:asciiTheme="minorHAnsi" w:hAnsiTheme="minorHAnsi" w:cstheme="minorHAnsi"/>
          <w:iCs/>
          <w:lang w:val="en-US"/>
        </w:rPr>
        <w:t>of</w:t>
      </w:r>
      <w:r w:rsidRPr="0005154E">
        <w:rPr>
          <w:rFonts w:asciiTheme="minorHAnsi" w:hAnsiTheme="minorHAnsi" w:cstheme="minorHAnsi"/>
          <w:iCs/>
          <w:spacing w:val="34"/>
          <w:lang w:val="en-US"/>
        </w:rPr>
        <w:t xml:space="preserve"> </w:t>
      </w:r>
      <w:r w:rsidRPr="0005154E">
        <w:rPr>
          <w:rFonts w:asciiTheme="minorHAnsi" w:hAnsiTheme="minorHAnsi" w:cstheme="minorHAnsi"/>
          <w:iCs/>
          <w:lang w:val="en-US"/>
        </w:rPr>
        <w:t>all</w:t>
      </w:r>
      <w:r w:rsidRPr="0005154E">
        <w:rPr>
          <w:rFonts w:asciiTheme="minorHAnsi" w:hAnsiTheme="minorHAnsi" w:cstheme="minorHAnsi"/>
          <w:iCs/>
          <w:spacing w:val="34"/>
          <w:lang w:val="en-US"/>
        </w:rPr>
        <w:t xml:space="preserve"> </w:t>
      </w:r>
      <w:r w:rsidRPr="0005154E">
        <w:rPr>
          <w:rFonts w:asciiTheme="minorHAnsi" w:hAnsiTheme="minorHAnsi" w:cstheme="minorHAnsi"/>
          <w:iCs/>
          <w:lang w:val="en-US"/>
        </w:rPr>
        <w:t>employed</w:t>
      </w:r>
      <w:r w:rsidRPr="0005154E">
        <w:rPr>
          <w:rFonts w:asciiTheme="minorHAnsi" w:hAnsiTheme="minorHAnsi" w:cstheme="minorHAnsi"/>
          <w:iCs/>
          <w:spacing w:val="35"/>
          <w:lang w:val="en-US"/>
        </w:rPr>
        <w:t xml:space="preserve"> </w:t>
      </w:r>
      <w:r w:rsidRPr="0005154E">
        <w:rPr>
          <w:rFonts w:asciiTheme="minorHAnsi" w:hAnsiTheme="minorHAnsi" w:cstheme="minorHAnsi"/>
          <w:iCs/>
          <w:lang w:val="en-US"/>
        </w:rPr>
        <w:t>persons</w:t>
      </w:r>
      <w:r w:rsidRPr="0005154E">
        <w:rPr>
          <w:rFonts w:asciiTheme="minorHAnsi" w:hAnsiTheme="minorHAnsi" w:cstheme="minorHAnsi"/>
          <w:iCs/>
          <w:spacing w:val="35"/>
          <w:lang w:val="en-US"/>
        </w:rPr>
        <w:t xml:space="preserve"> </w:t>
      </w:r>
      <w:r w:rsidRPr="0005154E">
        <w:rPr>
          <w:rFonts w:asciiTheme="minorHAnsi" w:hAnsiTheme="minorHAnsi" w:cstheme="minorHAnsi"/>
          <w:iCs/>
          <w:lang w:val="en-US"/>
        </w:rPr>
        <w:t>in Australia</w:t>
      </w:r>
      <w:r>
        <w:rPr>
          <w:rFonts w:asciiTheme="minorHAnsi" w:hAnsiTheme="minorHAnsi" w:cstheme="minorHAnsi"/>
          <w:iCs/>
          <w:lang w:val="en-US"/>
        </w:rPr>
        <w:t>);</w:t>
      </w:r>
    </w:p>
    <w:p w:rsidR="00455C27" w:rsidRDefault="00455C27" w:rsidP="00A031DA">
      <w:pPr>
        <w:pStyle w:val="ListParagraph"/>
        <w:numPr>
          <w:ilvl w:val="0"/>
          <w:numId w:val="1"/>
        </w:numPr>
        <w:spacing w:before="240" w:after="240" w:line="276" w:lineRule="auto"/>
        <w:ind w:right="107"/>
        <w:contextualSpacing/>
        <w:mirrorIndents/>
        <w:rPr>
          <w:rFonts w:asciiTheme="minorHAnsi" w:hAnsiTheme="minorHAnsi" w:cstheme="minorHAnsi"/>
          <w:iCs/>
          <w:lang w:val="en-US"/>
        </w:rPr>
      </w:pPr>
      <w:r w:rsidRPr="0005154E">
        <w:rPr>
          <w:rFonts w:asciiTheme="minorHAnsi" w:hAnsiTheme="minorHAnsi" w:cstheme="minorHAnsi"/>
          <w:iCs/>
          <w:lang w:val="en-US"/>
        </w:rPr>
        <w:t>28%</w:t>
      </w:r>
      <w:r w:rsidRPr="0005154E">
        <w:rPr>
          <w:rFonts w:asciiTheme="minorHAnsi" w:hAnsiTheme="minorHAnsi" w:cstheme="minorHAnsi"/>
          <w:iCs/>
          <w:spacing w:val="-15"/>
          <w:lang w:val="en-US"/>
        </w:rPr>
        <w:t xml:space="preserve"> </w:t>
      </w:r>
      <w:r w:rsidRPr="0005154E">
        <w:rPr>
          <w:rFonts w:asciiTheme="minorHAnsi" w:hAnsiTheme="minorHAnsi" w:cstheme="minorHAnsi"/>
          <w:iCs/>
          <w:lang w:val="en-US"/>
        </w:rPr>
        <w:t>did</w:t>
      </w:r>
      <w:r w:rsidRPr="0005154E">
        <w:rPr>
          <w:rFonts w:asciiTheme="minorHAnsi" w:hAnsiTheme="minorHAnsi" w:cstheme="minorHAnsi"/>
          <w:iCs/>
          <w:spacing w:val="-19"/>
          <w:lang w:val="en-US"/>
        </w:rPr>
        <w:t xml:space="preserve"> </w:t>
      </w:r>
      <w:r w:rsidRPr="0005154E">
        <w:rPr>
          <w:rFonts w:asciiTheme="minorHAnsi" w:hAnsiTheme="minorHAnsi" w:cstheme="minorHAnsi"/>
          <w:iCs/>
          <w:lang w:val="en-US"/>
        </w:rPr>
        <w:t>not</w:t>
      </w:r>
      <w:r w:rsidRPr="0005154E">
        <w:rPr>
          <w:rFonts w:asciiTheme="minorHAnsi" w:hAnsiTheme="minorHAnsi" w:cstheme="minorHAnsi"/>
          <w:iCs/>
          <w:spacing w:val="-17"/>
          <w:lang w:val="en-US"/>
        </w:rPr>
        <w:t xml:space="preserve"> </w:t>
      </w:r>
      <w:r w:rsidRPr="0005154E">
        <w:rPr>
          <w:rFonts w:asciiTheme="minorHAnsi" w:hAnsiTheme="minorHAnsi" w:cstheme="minorHAnsi"/>
          <w:iCs/>
          <w:lang w:val="en-US"/>
        </w:rPr>
        <w:t>have</w:t>
      </w:r>
      <w:r w:rsidRPr="0005154E">
        <w:rPr>
          <w:rFonts w:asciiTheme="minorHAnsi" w:hAnsiTheme="minorHAnsi" w:cstheme="minorHAnsi"/>
          <w:iCs/>
          <w:spacing w:val="-16"/>
          <w:lang w:val="en-US"/>
        </w:rPr>
        <w:t xml:space="preserve"> </w:t>
      </w:r>
      <w:r w:rsidRPr="0005154E">
        <w:rPr>
          <w:rFonts w:asciiTheme="minorHAnsi" w:hAnsiTheme="minorHAnsi" w:cstheme="minorHAnsi"/>
          <w:iCs/>
          <w:lang w:val="en-US"/>
        </w:rPr>
        <w:t>Australian</w:t>
      </w:r>
      <w:r w:rsidRPr="0005154E">
        <w:rPr>
          <w:rFonts w:asciiTheme="minorHAnsi" w:hAnsiTheme="minorHAnsi" w:cstheme="minorHAnsi"/>
          <w:iCs/>
          <w:spacing w:val="-16"/>
          <w:lang w:val="en-US"/>
        </w:rPr>
        <w:t xml:space="preserve"> </w:t>
      </w:r>
      <w:r w:rsidRPr="0005154E">
        <w:rPr>
          <w:rFonts w:asciiTheme="minorHAnsi" w:hAnsiTheme="minorHAnsi" w:cstheme="minorHAnsi"/>
          <w:iCs/>
          <w:lang w:val="en-US"/>
        </w:rPr>
        <w:t>citizenship</w:t>
      </w:r>
      <w:r w:rsidRPr="0005154E">
        <w:rPr>
          <w:rFonts w:asciiTheme="minorHAnsi" w:hAnsiTheme="minorHAnsi" w:cstheme="minorHAnsi"/>
          <w:iCs/>
          <w:spacing w:val="-16"/>
          <w:lang w:val="en-US"/>
        </w:rPr>
        <w:t xml:space="preserve"> </w:t>
      </w:r>
      <w:r>
        <w:rPr>
          <w:rFonts w:asciiTheme="minorHAnsi" w:hAnsiTheme="minorHAnsi" w:cstheme="minorHAnsi"/>
          <w:iCs/>
          <w:spacing w:val="-16"/>
          <w:lang w:val="en-US"/>
        </w:rPr>
        <w:t>(</w:t>
      </w:r>
      <w:r w:rsidRPr="0005154E">
        <w:rPr>
          <w:rFonts w:asciiTheme="minorHAnsi" w:hAnsiTheme="minorHAnsi" w:cstheme="minorHAnsi"/>
          <w:iCs/>
          <w:lang w:val="en-US"/>
        </w:rPr>
        <w:t>compared</w:t>
      </w:r>
      <w:r w:rsidRPr="0005154E">
        <w:rPr>
          <w:rFonts w:asciiTheme="minorHAnsi" w:hAnsiTheme="minorHAnsi" w:cstheme="minorHAnsi"/>
          <w:iCs/>
          <w:spacing w:val="-16"/>
          <w:lang w:val="en-US"/>
        </w:rPr>
        <w:t xml:space="preserve"> </w:t>
      </w:r>
      <w:r w:rsidRPr="0005154E">
        <w:rPr>
          <w:rFonts w:asciiTheme="minorHAnsi" w:hAnsiTheme="minorHAnsi" w:cstheme="minorHAnsi"/>
          <w:iCs/>
          <w:lang w:val="en-US"/>
        </w:rPr>
        <w:t>to</w:t>
      </w:r>
      <w:r w:rsidRPr="0005154E">
        <w:rPr>
          <w:rFonts w:asciiTheme="minorHAnsi" w:hAnsiTheme="minorHAnsi" w:cstheme="minorHAnsi"/>
          <w:iCs/>
          <w:spacing w:val="-19"/>
          <w:lang w:val="en-US"/>
        </w:rPr>
        <w:t xml:space="preserve"> </w:t>
      </w:r>
      <w:r w:rsidRPr="0005154E">
        <w:rPr>
          <w:rFonts w:asciiTheme="minorHAnsi" w:hAnsiTheme="minorHAnsi" w:cstheme="minorHAnsi"/>
          <w:iCs/>
          <w:lang w:val="en-US"/>
        </w:rPr>
        <w:t>12%</w:t>
      </w:r>
      <w:r w:rsidRPr="0005154E">
        <w:rPr>
          <w:rFonts w:asciiTheme="minorHAnsi" w:hAnsiTheme="minorHAnsi" w:cstheme="minorHAnsi"/>
          <w:iCs/>
          <w:spacing w:val="-18"/>
          <w:lang w:val="en-US"/>
        </w:rPr>
        <w:t xml:space="preserve"> </w:t>
      </w:r>
      <w:r w:rsidRPr="0005154E">
        <w:rPr>
          <w:rFonts w:asciiTheme="minorHAnsi" w:hAnsiTheme="minorHAnsi" w:cstheme="minorHAnsi"/>
          <w:iCs/>
          <w:lang w:val="en-US"/>
        </w:rPr>
        <w:t>of</w:t>
      </w:r>
      <w:r w:rsidRPr="0005154E">
        <w:rPr>
          <w:rFonts w:asciiTheme="minorHAnsi" w:hAnsiTheme="minorHAnsi" w:cstheme="minorHAnsi"/>
          <w:iCs/>
          <w:spacing w:val="-15"/>
          <w:lang w:val="en-US"/>
        </w:rPr>
        <w:t xml:space="preserve"> </w:t>
      </w:r>
      <w:r w:rsidRPr="0005154E">
        <w:rPr>
          <w:rFonts w:asciiTheme="minorHAnsi" w:hAnsiTheme="minorHAnsi" w:cstheme="minorHAnsi"/>
          <w:iCs/>
          <w:lang w:val="en-US"/>
        </w:rPr>
        <w:t>all</w:t>
      </w:r>
      <w:r w:rsidRPr="0005154E">
        <w:rPr>
          <w:rFonts w:asciiTheme="minorHAnsi" w:hAnsiTheme="minorHAnsi" w:cstheme="minorHAnsi"/>
          <w:iCs/>
          <w:spacing w:val="-17"/>
          <w:lang w:val="en-US"/>
        </w:rPr>
        <w:t xml:space="preserve"> </w:t>
      </w:r>
      <w:r w:rsidRPr="0005154E">
        <w:rPr>
          <w:rFonts w:asciiTheme="minorHAnsi" w:hAnsiTheme="minorHAnsi" w:cstheme="minorHAnsi"/>
          <w:iCs/>
          <w:lang w:val="en-US"/>
        </w:rPr>
        <w:t>employed</w:t>
      </w:r>
      <w:r w:rsidRPr="0005154E">
        <w:rPr>
          <w:rFonts w:asciiTheme="minorHAnsi" w:hAnsiTheme="minorHAnsi" w:cstheme="minorHAnsi"/>
          <w:iCs/>
          <w:spacing w:val="-16"/>
          <w:lang w:val="en-US"/>
        </w:rPr>
        <w:t xml:space="preserve"> </w:t>
      </w:r>
      <w:r w:rsidRPr="0005154E">
        <w:rPr>
          <w:rFonts w:asciiTheme="minorHAnsi" w:hAnsiTheme="minorHAnsi" w:cstheme="minorHAnsi"/>
          <w:iCs/>
          <w:lang w:val="en-US"/>
        </w:rPr>
        <w:t>persons</w:t>
      </w:r>
      <w:r w:rsidRPr="0005154E">
        <w:rPr>
          <w:rFonts w:asciiTheme="minorHAnsi" w:hAnsiTheme="minorHAnsi" w:cstheme="minorHAnsi"/>
          <w:iCs/>
          <w:spacing w:val="-18"/>
          <w:lang w:val="en-US"/>
        </w:rPr>
        <w:t xml:space="preserve"> </w:t>
      </w:r>
      <w:r w:rsidRPr="0005154E">
        <w:rPr>
          <w:rFonts w:asciiTheme="minorHAnsi" w:hAnsiTheme="minorHAnsi" w:cstheme="minorHAnsi"/>
          <w:iCs/>
          <w:lang w:val="en-US"/>
        </w:rPr>
        <w:t>in</w:t>
      </w:r>
      <w:r w:rsidRPr="0005154E">
        <w:rPr>
          <w:rFonts w:asciiTheme="minorHAnsi" w:hAnsiTheme="minorHAnsi" w:cstheme="minorHAnsi"/>
          <w:iCs/>
          <w:spacing w:val="-16"/>
          <w:lang w:val="en-US"/>
        </w:rPr>
        <w:t xml:space="preserve"> </w:t>
      </w:r>
      <w:r w:rsidRPr="0005154E">
        <w:rPr>
          <w:rFonts w:asciiTheme="minorHAnsi" w:hAnsiTheme="minorHAnsi" w:cstheme="minorHAnsi"/>
          <w:iCs/>
          <w:lang w:val="en-US"/>
        </w:rPr>
        <w:t>Australia</w:t>
      </w:r>
      <w:r>
        <w:rPr>
          <w:rFonts w:asciiTheme="minorHAnsi" w:hAnsiTheme="minorHAnsi" w:cstheme="minorHAnsi"/>
          <w:iCs/>
          <w:lang w:val="en-US"/>
        </w:rPr>
        <w:t>);</w:t>
      </w:r>
    </w:p>
    <w:p w:rsidR="00455C27" w:rsidRDefault="00455C27" w:rsidP="00A031DA">
      <w:pPr>
        <w:pStyle w:val="ListParagraph"/>
        <w:numPr>
          <w:ilvl w:val="0"/>
          <w:numId w:val="1"/>
        </w:numPr>
        <w:spacing w:before="240" w:after="240" w:line="276" w:lineRule="auto"/>
        <w:ind w:right="107"/>
        <w:contextualSpacing/>
        <w:mirrorIndents/>
        <w:rPr>
          <w:rFonts w:asciiTheme="minorHAnsi" w:hAnsiTheme="minorHAnsi" w:cstheme="minorHAnsi"/>
          <w:iCs/>
          <w:lang w:val="en-US"/>
        </w:rPr>
      </w:pPr>
      <w:r w:rsidRPr="0005154E">
        <w:rPr>
          <w:rFonts w:asciiTheme="minorHAnsi" w:hAnsiTheme="minorHAnsi" w:cstheme="minorHAnsi"/>
          <w:iCs/>
          <w:lang w:val="en-US"/>
        </w:rPr>
        <w:lastRenderedPageBreak/>
        <w:t>12% were current</w:t>
      </w:r>
      <w:r w:rsidRPr="0005154E">
        <w:rPr>
          <w:rFonts w:asciiTheme="minorHAnsi" w:hAnsiTheme="minorHAnsi" w:cstheme="minorHAnsi"/>
          <w:iCs/>
          <w:spacing w:val="-2"/>
          <w:lang w:val="en-US"/>
        </w:rPr>
        <w:t xml:space="preserve"> </w:t>
      </w:r>
      <w:r w:rsidRPr="0005154E">
        <w:rPr>
          <w:rFonts w:asciiTheme="minorHAnsi" w:hAnsiTheme="minorHAnsi" w:cstheme="minorHAnsi"/>
          <w:iCs/>
          <w:lang w:val="en-US"/>
        </w:rPr>
        <w:t>students</w:t>
      </w:r>
      <w:r>
        <w:rPr>
          <w:rFonts w:asciiTheme="minorHAnsi" w:hAnsiTheme="minorHAnsi" w:cstheme="minorHAnsi"/>
          <w:iCs/>
          <w:lang w:val="en-US"/>
        </w:rPr>
        <w:t>; and</w:t>
      </w:r>
    </w:p>
    <w:p w:rsidR="00455C27" w:rsidRDefault="00455C27" w:rsidP="00A031DA">
      <w:pPr>
        <w:pStyle w:val="ListParagraph"/>
        <w:numPr>
          <w:ilvl w:val="0"/>
          <w:numId w:val="1"/>
        </w:numPr>
        <w:spacing w:before="240" w:after="240" w:line="276" w:lineRule="auto"/>
        <w:ind w:right="107"/>
        <w:contextualSpacing/>
        <w:mirrorIndents/>
        <w:rPr>
          <w:rFonts w:asciiTheme="minorHAnsi" w:hAnsiTheme="minorHAnsi" w:cstheme="minorHAnsi"/>
          <w:iCs/>
          <w:lang w:val="en-US"/>
        </w:rPr>
      </w:pPr>
      <w:proofErr w:type="gramStart"/>
      <w:r>
        <w:rPr>
          <w:rFonts w:asciiTheme="minorHAnsi" w:hAnsiTheme="minorHAnsi" w:cstheme="minorHAnsi"/>
          <w:iCs/>
          <w:lang w:val="en-US"/>
        </w:rPr>
        <w:t>68%</w:t>
      </w:r>
      <w:proofErr w:type="gramEnd"/>
      <w:r>
        <w:rPr>
          <w:rFonts w:asciiTheme="minorHAnsi" w:hAnsiTheme="minorHAnsi" w:cstheme="minorHAnsi"/>
          <w:iCs/>
          <w:lang w:val="en-US"/>
        </w:rPr>
        <w:t xml:space="preserve"> of workers were employees, </w:t>
      </w:r>
      <w:r w:rsidRPr="0005154E">
        <w:rPr>
          <w:rFonts w:asciiTheme="minorHAnsi" w:hAnsiTheme="minorHAnsi" w:cstheme="minorHAnsi"/>
          <w:iCs/>
          <w:lang w:val="en-US"/>
        </w:rPr>
        <w:t>as opposed to contractors</w:t>
      </w:r>
      <w:r>
        <w:rPr>
          <w:rFonts w:asciiTheme="minorHAnsi" w:hAnsiTheme="minorHAnsi" w:cstheme="minorHAnsi"/>
          <w:iCs/>
          <w:spacing w:val="37"/>
          <w:lang w:val="en-US"/>
        </w:rPr>
        <w:t xml:space="preserve"> </w:t>
      </w:r>
      <w:r>
        <w:rPr>
          <w:rFonts w:asciiTheme="minorHAnsi" w:hAnsiTheme="minorHAnsi" w:cstheme="minorHAnsi"/>
          <w:iCs/>
          <w:lang w:val="en-US"/>
        </w:rPr>
        <w:t>or owner/managers</w:t>
      </w:r>
      <w:r w:rsidRPr="0005154E">
        <w:rPr>
          <w:rFonts w:asciiTheme="minorHAnsi" w:hAnsiTheme="minorHAnsi" w:cstheme="minorHAnsi"/>
          <w:iCs/>
          <w:lang w:val="en-US"/>
        </w:rPr>
        <w:t xml:space="preserve">, </w:t>
      </w:r>
      <w:r>
        <w:rPr>
          <w:rFonts w:asciiTheme="minorHAnsi" w:hAnsiTheme="minorHAnsi" w:cstheme="minorHAnsi"/>
          <w:iCs/>
          <w:lang w:val="en-US"/>
        </w:rPr>
        <w:t>(</w:t>
      </w:r>
      <w:r w:rsidRPr="0005154E">
        <w:rPr>
          <w:rFonts w:asciiTheme="minorHAnsi" w:hAnsiTheme="minorHAnsi" w:cstheme="minorHAnsi"/>
          <w:iCs/>
          <w:lang w:val="en-US"/>
        </w:rPr>
        <w:t>compared to 86% of all employed persons in</w:t>
      </w:r>
      <w:r w:rsidRPr="0005154E">
        <w:rPr>
          <w:rFonts w:asciiTheme="minorHAnsi" w:hAnsiTheme="minorHAnsi" w:cstheme="minorHAnsi"/>
          <w:iCs/>
          <w:spacing w:val="-4"/>
          <w:lang w:val="en-US"/>
        </w:rPr>
        <w:t xml:space="preserve"> </w:t>
      </w:r>
      <w:r w:rsidRPr="0005154E">
        <w:rPr>
          <w:rFonts w:asciiTheme="minorHAnsi" w:hAnsiTheme="minorHAnsi" w:cstheme="minorHAnsi"/>
          <w:iCs/>
          <w:lang w:val="en-US"/>
        </w:rPr>
        <w:t>Australia</w:t>
      </w:r>
      <w:r>
        <w:rPr>
          <w:rFonts w:asciiTheme="minorHAnsi" w:hAnsiTheme="minorHAnsi" w:cstheme="minorHAnsi"/>
          <w:iCs/>
          <w:lang w:val="en-US"/>
        </w:rPr>
        <w:t>)</w:t>
      </w:r>
      <w:r w:rsidRPr="0005154E">
        <w:rPr>
          <w:rFonts w:asciiTheme="minorHAnsi" w:hAnsiTheme="minorHAnsi" w:cstheme="minorHAnsi"/>
          <w:iCs/>
          <w:lang w:val="en-US"/>
        </w:rPr>
        <w:t>.</w:t>
      </w:r>
    </w:p>
    <w:p w:rsidR="00455C27" w:rsidRDefault="00455C27" w:rsidP="00A031DA">
      <w:pPr>
        <w:widowControl w:val="0"/>
        <w:snapToGrid w:val="0"/>
        <w:spacing w:before="240" w:after="240" w:line="276" w:lineRule="auto"/>
        <w:mirrorIndents/>
        <w:rPr>
          <w:rFonts w:asciiTheme="minorHAnsi" w:hAnsiTheme="minorHAnsi" w:cstheme="minorHAnsi"/>
          <w:iCs/>
          <w:lang w:val="en-US"/>
        </w:rPr>
      </w:pPr>
      <w:r w:rsidRPr="00373048">
        <w:rPr>
          <w:rFonts w:asciiTheme="minorHAnsi" w:hAnsiTheme="minorHAnsi" w:cstheme="minorHAnsi"/>
          <w:iCs/>
          <w:lang w:val="en-US"/>
        </w:rPr>
        <w:t>This</w:t>
      </w:r>
      <w:r>
        <w:rPr>
          <w:rFonts w:asciiTheme="minorHAnsi" w:hAnsiTheme="minorHAnsi" w:cstheme="minorHAnsi"/>
          <w:iCs/>
          <w:lang w:val="en-US"/>
        </w:rPr>
        <w:t xml:space="preserve"> </w:t>
      </w:r>
      <w:proofErr w:type="gramStart"/>
      <w:r>
        <w:rPr>
          <w:rFonts w:asciiTheme="minorHAnsi" w:hAnsiTheme="minorHAnsi" w:cstheme="minorHAnsi"/>
          <w:iCs/>
          <w:lang w:val="en-US"/>
        </w:rPr>
        <w:t>is based</w:t>
      </w:r>
      <w:proofErr w:type="gramEnd"/>
      <w:r>
        <w:rPr>
          <w:rFonts w:asciiTheme="minorHAnsi" w:hAnsiTheme="minorHAnsi" w:cstheme="minorHAnsi"/>
          <w:iCs/>
          <w:lang w:val="en-US"/>
        </w:rPr>
        <w:t xml:space="preserve"> on ABS data relating to</w:t>
      </w:r>
      <w:r w:rsidRPr="00373048">
        <w:rPr>
          <w:rFonts w:asciiTheme="minorHAnsi" w:hAnsiTheme="minorHAnsi" w:cstheme="minorHAnsi"/>
          <w:iCs/>
          <w:lang w:val="en-US"/>
        </w:rPr>
        <w:t xml:space="preserve"> ‘Building and Other Industrial Cleaning</w:t>
      </w:r>
      <w:r w:rsidRPr="00373048">
        <w:rPr>
          <w:rFonts w:asciiTheme="minorHAnsi" w:hAnsiTheme="minorHAnsi" w:cstheme="minorHAnsi"/>
          <w:iCs/>
          <w:spacing w:val="29"/>
          <w:lang w:val="en-US"/>
        </w:rPr>
        <w:t xml:space="preserve"> </w:t>
      </w:r>
      <w:r>
        <w:rPr>
          <w:rFonts w:asciiTheme="minorHAnsi" w:hAnsiTheme="minorHAnsi" w:cstheme="minorHAnsi"/>
          <w:iCs/>
          <w:lang w:val="en-US"/>
        </w:rPr>
        <w:t>Services’. Data specific to cleaners working in retail chains is not available.</w:t>
      </w:r>
    </w:p>
    <w:p w:rsidR="00455C27" w:rsidRPr="00D4799F" w:rsidRDefault="00455C27" w:rsidP="00A031DA">
      <w:pPr>
        <w:pStyle w:val="Heading1"/>
      </w:pPr>
      <w:r w:rsidRPr="00D4799F">
        <w:t>FWO’s acti</w:t>
      </w:r>
      <w:r w:rsidR="00D4799F" w:rsidRPr="00D4799F">
        <w:t>vities in the cleaning industry</w:t>
      </w:r>
    </w:p>
    <w:p w:rsidR="00455C27" w:rsidRDefault="00455C27" w:rsidP="00A031DA">
      <w:pPr>
        <w:widowControl w:val="0"/>
        <w:snapToGrid w:val="0"/>
        <w:spacing w:before="240" w:after="240" w:line="276" w:lineRule="auto"/>
        <w:mirrorIndents/>
        <w:rPr>
          <w:rFonts w:ascii="Calibri" w:hAnsi="Calibri" w:cs="Calibri"/>
          <w:szCs w:val="22"/>
          <w:lang w:val="en-US"/>
        </w:rPr>
      </w:pPr>
      <w:r>
        <w:rPr>
          <w:rFonts w:ascii="Calibri" w:hAnsi="Calibri" w:cs="Calibri"/>
          <w:szCs w:val="22"/>
          <w:lang w:val="en-US"/>
        </w:rPr>
        <w:t xml:space="preserve">The FWO </w:t>
      </w:r>
      <w:proofErr w:type="spellStart"/>
      <w:r>
        <w:rPr>
          <w:rFonts w:ascii="Calibri" w:hAnsi="Calibri" w:cs="Calibri"/>
          <w:szCs w:val="22"/>
          <w:lang w:val="en-US"/>
        </w:rPr>
        <w:t>recognises</w:t>
      </w:r>
      <w:proofErr w:type="spellEnd"/>
      <w:r>
        <w:rPr>
          <w:rFonts w:ascii="Calibri" w:hAnsi="Calibri" w:cs="Calibri"/>
          <w:szCs w:val="22"/>
          <w:lang w:val="en-US"/>
        </w:rPr>
        <w:t xml:space="preserve"> that these characteristics may increase the vulnerability of employees in the cleaning industry to exploitation. The FWO has already undertaken significant work in this industry, including completing an </w:t>
      </w:r>
      <w:r w:rsidRPr="006C20AE">
        <w:rPr>
          <w:rFonts w:ascii="Calibri" w:hAnsi="Calibri" w:cs="Calibri"/>
          <w:szCs w:val="22"/>
          <w:lang w:val="en-US"/>
        </w:rPr>
        <w:t>Inquiry into the procurement of cleaners in Tasmanian Supermarkets</w:t>
      </w:r>
      <w:r>
        <w:rPr>
          <w:rFonts w:ascii="Calibri" w:hAnsi="Calibri" w:cs="Calibri"/>
          <w:szCs w:val="22"/>
          <w:lang w:val="en-US"/>
        </w:rPr>
        <w:t xml:space="preserve"> (</w:t>
      </w:r>
      <w:r w:rsidRPr="006C20AE">
        <w:rPr>
          <w:rFonts w:ascii="Calibri" w:hAnsi="Calibri" w:cs="Calibri"/>
          <w:b/>
          <w:szCs w:val="22"/>
          <w:lang w:val="en-US"/>
        </w:rPr>
        <w:t>Tasmanian Inquiry</w:t>
      </w:r>
      <w:r>
        <w:rPr>
          <w:rFonts w:ascii="Calibri" w:hAnsi="Calibri" w:cs="Calibri"/>
          <w:szCs w:val="22"/>
          <w:lang w:val="en-US"/>
        </w:rPr>
        <w:t>)</w:t>
      </w:r>
      <w:r w:rsidRPr="006C20AE">
        <w:rPr>
          <w:rFonts w:ascii="Calibri" w:hAnsi="Calibri" w:cs="Calibri"/>
          <w:szCs w:val="22"/>
          <w:lang w:val="en-US"/>
        </w:rPr>
        <w:t xml:space="preserve"> and actively participating in the</w:t>
      </w:r>
      <w:r>
        <w:rPr>
          <w:rFonts w:ascii="Calibri" w:hAnsi="Calibri" w:cs="Calibri"/>
          <w:szCs w:val="22"/>
          <w:lang w:val="en-US"/>
        </w:rPr>
        <w:t xml:space="preserve"> development and piloting of the Cleaning Accountability Framework (</w:t>
      </w:r>
      <w:r w:rsidRPr="001F1EC1">
        <w:rPr>
          <w:rFonts w:ascii="Calibri" w:hAnsi="Calibri" w:cs="Calibri"/>
          <w:b/>
          <w:szCs w:val="22"/>
          <w:lang w:val="en-US"/>
        </w:rPr>
        <w:t>CAF</w:t>
      </w:r>
      <w:r w:rsidR="00D4799F">
        <w:rPr>
          <w:rFonts w:ascii="Calibri" w:hAnsi="Calibri" w:cs="Calibri"/>
          <w:szCs w:val="22"/>
          <w:lang w:val="en-US"/>
        </w:rPr>
        <w:t>).</w:t>
      </w:r>
    </w:p>
    <w:p w:rsidR="00455C27" w:rsidRDefault="00455C27" w:rsidP="00A031DA">
      <w:pPr>
        <w:widowControl w:val="0"/>
        <w:snapToGrid w:val="0"/>
        <w:spacing w:before="240" w:after="240" w:line="276" w:lineRule="auto"/>
        <w:mirrorIndents/>
        <w:rPr>
          <w:rFonts w:ascii="Calibri" w:hAnsi="Calibri" w:cs="Calibri"/>
          <w:szCs w:val="22"/>
          <w:lang w:val="en-US"/>
        </w:rPr>
      </w:pPr>
      <w:r>
        <w:rPr>
          <w:rFonts w:ascii="Calibri" w:hAnsi="Calibri" w:cs="Calibri"/>
          <w:szCs w:val="22"/>
          <w:lang w:val="en-US"/>
        </w:rPr>
        <w:t>From July 2013 to June 2018, the</w:t>
      </w:r>
      <w:r w:rsidRPr="00BE4F02">
        <w:rPr>
          <w:rFonts w:ascii="Calibri" w:hAnsi="Calibri" w:cs="Calibri"/>
          <w:szCs w:val="22"/>
          <w:lang w:val="en-US"/>
        </w:rPr>
        <w:t xml:space="preserve"> FWO has assisted workers in the</w:t>
      </w:r>
      <w:r>
        <w:rPr>
          <w:rFonts w:ascii="Calibri" w:hAnsi="Calibri" w:cs="Calibri"/>
          <w:szCs w:val="22"/>
          <w:lang w:val="en-US"/>
        </w:rPr>
        <w:t xml:space="preserve"> cleaning</w:t>
      </w:r>
      <w:r w:rsidRPr="00BE4F02">
        <w:rPr>
          <w:rFonts w:ascii="Calibri" w:hAnsi="Calibri" w:cs="Calibri"/>
          <w:szCs w:val="22"/>
          <w:lang w:val="en-US"/>
        </w:rPr>
        <w:t xml:space="preserve"> industry </w:t>
      </w:r>
      <w:r>
        <w:rPr>
          <w:rFonts w:ascii="Calibri" w:hAnsi="Calibri" w:cs="Calibri"/>
          <w:szCs w:val="22"/>
          <w:lang w:val="en-US"/>
        </w:rPr>
        <w:t>by:</w:t>
      </w:r>
    </w:p>
    <w:p w:rsidR="00455C27" w:rsidRPr="00C93D9F" w:rsidRDefault="00455C27" w:rsidP="00A031DA">
      <w:pPr>
        <w:pStyle w:val="ListParagraph"/>
        <w:numPr>
          <w:ilvl w:val="0"/>
          <w:numId w:val="2"/>
        </w:numPr>
        <w:spacing w:before="240" w:after="240" w:line="276" w:lineRule="auto"/>
        <w:contextualSpacing/>
        <w:mirrorIndents/>
        <w:rPr>
          <w:rFonts w:asciiTheme="minorHAnsi" w:hAnsiTheme="minorHAnsi" w:cstheme="minorHAnsi"/>
        </w:rPr>
      </w:pPr>
      <w:r>
        <w:rPr>
          <w:rFonts w:asciiTheme="minorHAnsi" w:hAnsiTheme="minorHAnsi" w:cstheme="minorHAnsi"/>
        </w:rPr>
        <w:t xml:space="preserve">Resolving 3,357 </w:t>
      </w:r>
      <w:r w:rsidRPr="00C93D9F">
        <w:rPr>
          <w:rFonts w:asciiTheme="minorHAnsi" w:hAnsiTheme="minorHAnsi" w:cstheme="minorHAnsi"/>
        </w:rPr>
        <w:t xml:space="preserve">disputes (including </w:t>
      </w:r>
      <w:r>
        <w:rPr>
          <w:rFonts w:asciiTheme="minorHAnsi" w:hAnsiTheme="minorHAnsi" w:cstheme="minorHAnsi"/>
        </w:rPr>
        <w:t>514</w:t>
      </w:r>
      <w:r w:rsidRPr="00C93D9F">
        <w:rPr>
          <w:rFonts w:asciiTheme="minorHAnsi" w:hAnsiTheme="minorHAnsi" w:cstheme="minorHAnsi"/>
        </w:rPr>
        <w:t xml:space="preserve"> from visa holders)</w:t>
      </w:r>
      <w:r>
        <w:rPr>
          <w:rStyle w:val="FootnoteReference"/>
          <w:rFonts w:asciiTheme="minorHAnsi" w:hAnsiTheme="minorHAnsi" w:cstheme="minorHAnsi"/>
        </w:rPr>
        <w:footnoteReference w:id="1"/>
      </w:r>
      <w:r>
        <w:rPr>
          <w:rFonts w:asciiTheme="minorHAnsi" w:hAnsiTheme="minorHAnsi" w:cstheme="minorHAnsi"/>
        </w:rPr>
        <w:t>;</w:t>
      </w:r>
    </w:p>
    <w:p w:rsidR="00455C27" w:rsidRDefault="00455C27" w:rsidP="00A031DA">
      <w:pPr>
        <w:pStyle w:val="ListParagraph"/>
        <w:numPr>
          <w:ilvl w:val="0"/>
          <w:numId w:val="2"/>
        </w:numPr>
        <w:spacing w:before="240" w:after="240" w:line="276" w:lineRule="auto"/>
        <w:contextualSpacing/>
        <w:mirrorIndents/>
        <w:rPr>
          <w:rFonts w:asciiTheme="minorHAnsi" w:hAnsiTheme="minorHAnsi" w:cstheme="minorHAnsi"/>
        </w:rPr>
      </w:pPr>
      <w:r w:rsidRPr="00C93D9F">
        <w:rPr>
          <w:rFonts w:asciiTheme="minorHAnsi" w:hAnsiTheme="minorHAnsi" w:cstheme="minorHAnsi"/>
        </w:rPr>
        <w:t>Recovering $</w:t>
      </w:r>
      <w:r>
        <w:rPr>
          <w:rFonts w:asciiTheme="minorHAnsi" w:hAnsiTheme="minorHAnsi" w:cstheme="minorHAnsi"/>
        </w:rPr>
        <w:t xml:space="preserve">2,120,473 </w:t>
      </w:r>
      <w:r w:rsidRPr="00C93D9F">
        <w:rPr>
          <w:rFonts w:asciiTheme="minorHAnsi" w:hAnsiTheme="minorHAnsi" w:cstheme="minorHAnsi"/>
        </w:rPr>
        <w:t>for</w:t>
      </w:r>
      <w:r>
        <w:rPr>
          <w:rFonts w:asciiTheme="minorHAnsi" w:hAnsiTheme="minorHAnsi" w:cstheme="minorHAnsi"/>
        </w:rPr>
        <w:t xml:space="preserve"> 782</w:t>
      </w:r>
      <w:r w:rsidRPr="00C93D9F">
        <w:rPr>
          <w:rFonts w:asciiTheme="minorHAnsi" w:hAnsiTheme="minorHAnsi" w:cstheme="minorHAnsi"/>
        </w:rPr>
        <w:t xml:space="preserve"> employees</w:t>
      </w:r>
      <w:r w:rsidR="00D4799F">
        <w:rPr>
          <w:rFonts w:asciiTheme="minorHAnsi" w:hAnsiTheme="minorHAnsi" w:cstheme="minorHAnsi"/>
        </w:rPr>
        <w:t>;</w:t>
      </w:r>
    </w:p>
    <w:p w:rsidR="00455C27" w:rsidRDefault="00455C27" w:rsidP="00A031DA">
      <w:pPr>
        <w:pStyle w:val="ListParagraph"/>
        <w:numPr>
          <w:ilvl w:val="0"/>
          <w:numId w:val="2"/>
        </w:numPr>
        <w:spacing w:before="240" w:after="240" w:line="276" w:lineRule="auto"/>
        <w:contextualSpacing/>
        <w:mirrorIndents/>
        <w:rPr>
          <w:rFonts w:asciiTheme="minorHAnsi" w:hAnsiTheme="minorHAnsi" w:cstheme="minorHAnsi"/>
        </w:rPr>
      </w:pPr>
      <w:r w:rsidRPr="00CD4E7D">
        <w:rPr>
          <w:rFonts w:asciiTheme="minorHAnsi" w:hAnsiTheme="minorHAnsi" w:cstheme="minorHAnsi"/>
        </w:rPr>
        <w:t xml:space="preserve">Issuing </w:t>
      </w:r>
      <w:r>
        <w:rPr>
          <w:rFonts w:asciiTheme="minorHAnsi" w:hAnsiTheme="minorHAnsi" w:cstheme="minorHAnsi"/>
        </w:rPr>
        <w:t>61</w:t>
      </w:r>
      <w:r w:rsidRPr="00CD4E7D">
        <w:rPr>
          <w:rFonts w:asciiTheme="minorHAnsi" w:hAnsiTheme="minorHAnsi" w:cstheme="minorHAnsi"/>
        </w:rPr>
        <w:t xml:space="preserve"> infringement notices;</w:t>
      </w:r>
    </w:p>
    <w:p w:rsidR="00455C27" w:rsidRDefault="00455C27" w:rsidP="00A031DA">
      <w:pPr>
        <w:pStyle w:val="ListParagraph"/>
        <w:numPr>
          <w:ilvl w:val="0"/>
          <w:numId w:val="2"/>
        </w:numPr>
        <w:spacing w:before="240" w:after="240" w:line="276" w:lineRule="auto"/>
        <w:contextualSpacing/>
        <w:mirrorIndents/>
        <w:rPr>
          <w:rFonts w:asciiTheme="minorHAnsi" w:hAnsiTheme="minorHAnsi" w:cstheme="minorHAnsi"/>
        </w:rPr>
      </w:pPr>
      <w:r w:rsidRPr="00CD4E7D">
        <w:rPr>
          <w:rFonts w:asciiTheme="minorHAnsi" w:hAnsiTheme="minorHAnsi" w:cstheme="minorHAnsi"/>
        </w:rPr>
        <w:t xml:space="preserve">Serving </w:t>
      </w:r>
      <w:r>
        <w:rPr>
          <w:rFonts w:asciiTheme="minorHAnsi" w:hAnsiTheme="minorHAnsi" w:cstheme="minorHAnsi"/>
        </w:rPr>
        <w:t>42</w:t>
      </w:r>
      <w:r w:rsidR="00D4799F">
        <w:rPr>
          <w:rFonts w:asciiTheme="minorHAnsi" w:hAnsiTheme="minorHAnsi" w:cstheme="minorHAnsi"/>
        </w:rPr>
        <w:t xml:space="preserve"> compliance notices;</w:t>
      </w:r>
    </w:p>
    <w:p w:rsidR="00455C27" w:rsidRPr="00CD4E7D" w:rsidRDefault="00455C27" w:rsidP="00A031DA">
      <w:pPr>
        <w:pStyle w:val="ListParagraph"/>
        <w:numPr>
          <w:ilvl w:val="0"/>
          <w:numId w:val="2"/>
        </w:numPr>
        <w:spacing w:before="240" w:after="240" w:line="276" w:lineRule="auto"/>
        <w:contextualSpacing/>
        <w:mirrorIndents/>
        <w:rPr>
          <w:rFonts w:asciiTheme="minorHAnsi" w:hAnsiTheme="minorHAnsi" w:cstheme="minorHAnsi"/>
        </w:rPr>
      </w:pPr>
      <w:r>
        <w:rPr>
          <w:rFonts w:asciiTheme="minorHAnsi" w:hAnsiTheme="minorHAnsi" w:cstheme="minorHAnsi"/>
        </w:rPr>
        <w:t>Executing 12</w:t>
      </w:r>
      <w:r w:rsidRPr="00CD4E7D">
        <w:rPr>
          <w:rFonts w:asciiTheme="minorHAnsi" w:hAnsiTheme="minorHAnsi" w:cstheme="minorHAnsi"/>
        </w:rPr>
        <w:t xml:space="preserve"> enforceable undertakings; and</w:t>
      </w:r>
    </w:p>
    <w:p w:rsidR="00455C27" w:rsidRPr="004E01F2" w:rsidRDefault="00455C27" w:rsidP="00A031DA">
      <w:pPr>
        <w:pStyle w:val="ListParagraph"/>
        <w:numPr>
          <w:ilvl w:val="0"/>
          <w:numId w:val="2"/>
        </w:numPr>
        <w:spacing w:before="240" w:after="240" w:line="276" w:lineRule="auto"/>
        <w:contextualSpacing/>
        <w:mirrorIndents/>
        <w:rPr>
          <w:rFonts w:asciiTheme="minorHAnsi" w:hAnsiTheme="minorHAnsi" w:cstheme="minorHAnsi"/>
        </w:rPr>
      </w:pPr>
      <w:r>
        <w:rPr>
          <w:rFonts w:asciiTheme="minorHAnsi" w:hAnsiTheme="minorHAnsi" w:cstheme="minorHAnsi"/>
        </w:rPr>
        <w:t>Issuing 144 formal cautions.</w:t>
      </w:r>
    </w:p>
    <w:p w:rsidR="00455C27" w:rsidRPr="0071187A" w:rsidRDefault="00455C27" w:rsidP="00A031DA">
      <w:pPr>
        <w:autoSpaceDE w:val="0"/>
        <w:autoSpaceDN w:val="0"/>
        <w:spacing w:before="240" w:after="240" w:line="276" w:lineRule="auto"/>
        <w:rPr>
          <w:rFonts w:ascii="Calibri" w:hAnsi="Calibri"/>
          <w:szCs w:val="22"/>
        </w:rPr>
      </w:pPr>
      <w:r w:rsidRPr="006E29D5">
        <w:rPr>
          <w:rFonts w:asciiTheme="minorHAnsi" w:hAnsiTheme="minorHAnsi" w:cstheme="minorHAnsi"/>
          <w:szCs w:val="22"/>
          <w:lang w:val="en-US"/>
        </w:rPr>
        <w:t xml:space="preserve">Further, from July 2013 to June 2018 the FWO </w:t>
      </w:r>
      <w:r w:rsidRPr="00432458">
        <w:rPr>
          <w:rFonts w:asciiTheme="minorHAnsi" w:hAnsiTheme="minorHAnsi" w:cstheme="minorHAnsi"/>
          <w:szCs w:val="22"/>
        </w:rPr>
        <w:t xml:space="preserve">filed </w:t>
      </w:r>
      <w:r>
        <w:rPr>
          <w:rFonts w:asciiTheme="minorHAnsi" w:eastAsiaTheme="minorHAnsi" w:hAnsiTheme="minorHAnsi" w:cstheme="minorHAnsi"/>
          <w:szCs w:val="22"/>
        </w:rPr>
        <w:t>15 litigations</w:t>
      </w:r>
      <w:r w:rsidRPr="00432458">
        <w:rPr>
          <w:rFonts w:asciiTheme="minorHAnsi" w:hAnsiTheme="minorHAnsi" w:cstheme="minorHAnsi"/>
          <w:szCs w:val="22"/>
        </w:rPr>
        <w:t xml:space="preserve"> in the cleaning industry.</w:t>
      </w:r>
      <w:r>
        <w:rPr>
          <w:rFonts w:asciiTheme="minorHAnsi" w:hAnsiTheme="minorHAnsi" w:cstheme="minorHAnsi"/>
          <w:szCs w:val="22"/>
        </w:rPr>
        <w:t xml:space="preserve"> To date </w:t>
      </w:r>
      <w:r w:rsidRPr="0071187A">
        <w:rPr>
          <w:rFonts w:asciiTheme="minorHAnsi" w:hAnsiTheme="minorHAnsi" w:cstheme="minorHAnsi"/>
          <w:szCs w:val="22"/>
        </w:rPr>
        <w:t>$1,637,360.50</w:t>
      </w:r>
      <w:r>
        <w:rPr>
          <w:rFonts w:ascii="Calibri" w:hAnsi="Calibri"/>
          <w:szCs w:val="22"/>
        </w:rPr>
        <w:t xml:space="preserve"> </w:t>
      </w:r>
      <w:r>
        <w:rPr>
          <w:rFonts w:asciiTheme="minorHAnsi" w:hAnsiTheme="minorHAnsi" w:cstheme="minorHAnsi"/>
          <w:szCs w:val="22"/>
        </w:rPr>
        <w:t xml:space="preserve">in penalties has been ordered </w:t>
      </w:r>
      <w:proofErr w:type="gramStart"/>
      <w:r>
        <w:rPr>
          <w:rFonts w:asciiTheme="minorHAnsi" w:hAnsiTheme="minorHAnsi" w:cstheme="minorHAnsi"/>
          <w:szCs w:val="22"/>
        </w:rPr>
        <w:t>as a result</w:t>
      </w:r>
      <w:proofErr w:type="gramEnd"/>
      <w:r>
        <w:rPr>
          <w:rFonts w:asciiTheme="minorHAnsi" w:hAnsiTheme="minorHAnsi" w:cstheme="minorHAnsi"/>
          <w:szCs w:val="22"/>
        </w:rPr>
        <w:t xml:space="preserve"> of these litigations.</w:t>
      </w:r>
    </w:p>
    <w:p w:rsidR="00455C27" w:rsidRDefault="00455C27" w:rsidP="00A031DA">
      <w:pPr>
        <w:pStyle w:val="Heading1"/>
      </w:pPr>
      <w:r>
        <w:t>Inquiry into the procurement of cleaners in Tasmanian Supermarkets</w:t>
      </w:r>
    </w:p>
    <w:p w:rsidR="00455C27" w:rsidRDefault="00455C27" w:rsidP="00A031DA">
      <w:pPr>
        <w:widowControl w:val="0"/>
        <w:snapToGrid w:val="0"/>
        <w:spacing w:before="240" w:after="240" w:line="276" w:lineRule="auto"/>
        <w:mirrorIndents/>
        <w:rPr>
          <w:rFonts w:ascii="Calibri" w:hAnsi="Calibri" w:cs="Calibri"/>
          <w:szCs w:val="22"/>
          <w:lang w:val="en-US"/>
        </w:rPr>
      </w:pPr>
      <w:r>
        <w:rPr>
          <w:rFonts w:ascii="Calibri" w:hAnsi="Calibri" w:cs="Calibri"/>
          <w:szCs w:val="22"/>
          <w:lang w:val="en-US"/>
        </w:rPr>
        <w:t>In February 2018, the FWO released its Tasmanian Inquiry r</w:t>
      </w:r>
      <w:r w:rsidRPr="006C20AE">
        <w:rPr>
          <w:rFonts w:ascii="Calibri" w:hAnsi="Calibri" w:cs="Calibri"/>
          <w:szCs w:val="22"/>
          <w:lang w:val="en-US"/>
        </w:rPr>
        <w:t>eport</w:t>
      </w:r>
      <w:r>
        <w:rPr>
          <w:rFonts w:ascii="Calibri" w:hAnsi="Calibri" w:cs="Calibri"/>
          <w:szCs w:val="22"/>
          <w:lang w:val="en-US"/>
        </w:rPr>
        <w:t xml:space="preserve">. An inquiry, such as this, is an in-depth compliance activity that focuses on particular industry sectors or workplace trends and practices </w:t>
      </w:r>
      <w:proofErr w:type="gramStart"/>
      <w:r>
        <w:rPr>
          <w:rFonts w:ascii="Calibri" w:hAnsi="Calibri" w:cs="Calibri"/>
          <w:szCs w:val="22"/>
          <w:lang w:val="en-US"/>
        </w:rPr>
        <w:t>to better enable</w:t>
      </w:r>
      <w:proofErr w:type="gramEnd"/>
      <w:r>
        <w:rPr>
          <w:rFonts w:ascii="Calibri" w:hAnsi="Calibri" w:cs="Calibri"/>
          <w:szCs w:val="22"/>
          <w:lang w:val="en-US"/>
        </w:rPr>
        <w:t xml:space="preserve"> the FWO to understand the environmental</w:t>
      </w:r>
      <w:r w:rsidR="00D4799F">
        <w:rPr>
          <w:rFonts w:ascii="Calibri" w:hAnsi="Calibri" w:cs="Calibri"/>
          <w:szCs w:val="22"/>
          <w:lang w:val="en-US"/>
        </w:rPr>
        <w:t xml:space="preserve"> settings and market structure.</w:t>
      </w:r>
    </w:p>
    <w:p w:rsidR="00455C27" w:rsidRPr="00197270" w:rsidRDefault="00455C27" w:rsidP="00A031DA">
      <w:pPr>
        <w:widowControl w:val="0"/>
        <w:snapToGrid w:val="0"/>
        <w:spacing w:before="240" w:after="240" w:line="276" w:lineRule="auto"/>
        <w:mirrorIndents/>
        <w:rPr>
          <w:rFonts w:ascii="Calibri" w:hAnsi="Calibri" w:cs="Calibri"/>
          <w:szCs w:val="22"/>
          <w:lang w:val="en-US"/>
        </w:rPr>
      </w:pPr>
      <w:r>
        <w:rPr>
          <w:rFonts w:ascii="Calibri" w:hAnsi="Calibri" w:cs="Calibri"/>
          <w:szCs w:val="22"/>
          <w:lang w:val="en-US"/>
        </w:rPr>
        <w:t>The FWO maps business relationships, reaches out to those at the top of supply chains and coordinates audit and investigation procedures to identify and address the drivers of non-compliance. Through evidence based research and investigation, the primary aim of an inquiry is to assess the extent of, and form recommendations to address, non-compliance within a particular business, network or sector using legal levers and social frameworks.</w:t>
      </w:r>
    </w:p>
    <w:p w:rsidR="00455C27" w:rsidRDefault="00455C27" w:rsidP="00A031DA">
      <w:pPr>
        <w:widowControl w:val="0"/>
        <w:snapToGrid w:val="0"/>
        <w:spacing w:before="240" w:after="240" w:line="276" w:lineRule="auto"/>
        <w:mirrorIndents/>
        <w:rPr>
          <w:rFonts w:ascii="Calibri" w:hAnsi="Calibri" w:cs="Calibri"/>
          <w:szCs w:val="22"/>
          <w:lang w:val="en-US"/>
        </w:rPr>
      </w:pPr>
      <w:r w:rsidRPr="00A8795D">
        <w:rPr>
          <w:rFonts w:ascii="Calibri" w:hAnsi="Calibri" w:cs="Calibri"/>
          <w:szCs w:val="22"/>
          <w:lang w:val="en-US"/>
        </w:rPr>
        <w:t xml:space="preserve">The </w:t>
      </w:r>
      <w:r>
        <w:rPr>
          <w:rFonts w:ascii="Calibri" w:hAnsi="Calibri" w:cs="Calibri"/>
          <w:szCs w:val="22"/>
          <w:lang w:val="en-US"/>
        </w:rPr>
        <w:t>Tasmanian Inquiry report</w:t>
      </w:r>
      <w:r w:rsidRPr="00A8795D">
        <w:rPr>
          <w:rFonts w:ascii="Calibri" w:hAnsi="Calibri" w:cs="Calibri"/>
          <w:szCs w:val="22"/>
          <w:lang w:val="en-US"/>
        </w:rPr>
        <w:t xml:space="preserve"> </w:t>
      </w:r>
      <w:proofErr w:type="gramStart"/>
      <w:r w:rsidRPr="00A8795D">
        <w:rPr>
          <w:rFonts w:ascii="Calibri" w:hAnsi="Calibri" w:cs="Calibri"/>
          <w:szCs w:val="22"/>
          <w:lang w:val="en-US"/>
        </w:rPr>
        <w:t>can be fo</w:t>
      </w:r>
      <w:r>
        <w:rPr>
          <w:rFonts w:ascii="Calibri" w:hAnsi="Calibri" w:cs="Calibri"/>
          <w:szCs w:val="22"/>
          <w:lang w:val="en-US"/>
        </w:rPr>
        <w:t>und</w:t>
      </w:r>
      <w:proofErr w:type="gramEnd"/>
      <w:r>
        <w:rPr>
          <w:rFonts w:ascii="Calibri" w:hAnsi="Calibri" w:cs="Calibri"/>
          <w:szCs w:val="22"/>
          <w:lang w:val="en-US"/>
        </w:rPr>
        <w:t xml:space="preserve"> on the FWO</w:t>
      </w:r>
      <w:r w:rsidRPr="00A8795D">
        <w:rPr>
          <w:rFonts w:ascii="Calibri" w:hAnsi="Calibri" w:cs="Calibri"/>
          <w:szCs w:val="22"/>
          <w:lang w:val="en-US"/>
        </w:rPr>
        <w:t xml:space="preserve"> website at</w:t>
      </w:r>
      <w:r>
        <w:rPr>
          <w:rFonts w:ascii="Calibri" w:hAnsi="Calibri" w:cs="Calibri"/>
          <w:szCs w:val="22"/>
          <w:lang w:val="en-US"/>
        </w:rPr>
        <w:t>:</w:t>
      </w:r>
      <w:r w:rsidR="00D4799F">
        <w:rPr>
          <w:rFonts w:ascii="Calibri" w:hAnsi="Calibri" w:cs="Calibri"/>
          <w:szCs w:val="22"/>
          <w:lang w:val="en-US"/>
        </w:rPr>
        <w:t xml:space="preserve"> </w:t>
      </w:r>
      <w:hyperlink r:id="rId9" w:tooltip="Access accountability and reporting - inquiry report" w:history="1">
        <w:r w:rsidRPr="00A031DA">
          <w:rPr>
            <w:rStyle w:val="Hyperlink"/>
            <w:rFonts w:ascii="Calibri" w:hAnsi="Calibri" w:cs="Calibri"/>
            <w:color w:val="auto"/>
            <w:szCs w:val="22"/>
            <w:lang w:val="en-US"/>
          </w:rPr>
          <w:t>https://www.fairwork.gov.au/about-us/access-accountability-and-reporting/inquiry-reports</w:t>
        </w:r>
      </w:hyperlink>
      <w:r w:rsidRPr="00A8795D">
        <w:rPr>
          <w:rFonts w:ascii="Calibri" w:hAnsi="Calibri" w:cs="Calibri"/>
          <w:szCs w:val="22"/>
          <w:lang w:val="en-US"/>
        </w:rPr>
        <w:t>.</w:t>
      </w:r>
    </w:p>
    <w:p w:rsidR="007D02FA" w:rsidRDefault="007D02FA">
      <w:pPr>
        <w:spacing w:before="0" w:after="160" w:line="259" w:lineRule="auto"/>
        <w:rPr>
          <w:rFonts w:ascii="Calibri" w:hAnsi="Calibri" w:cs="Calibri"/>
          <w:szCs w:val="22"/>
          <w:lang w:val="en-US"/>
        </w:rPr>
      </w:pPr>
      <w:r>
        <w:rPr>
          <w:rFonts w:ascii="Calibri" w:hAnsi="Calibri" w:cs="Calibri"/>
          <w:szCs w:val="22"/>
          <w:lang w:val="en-US"/>
        </w:rPr>
        <w:br w:type="page"/>
      </w:r>
    </w:p>
    <w:p w:rsidR="00455C27" w:rsidRPr="00566D33" w:rsidRDefault="00455C27" w:rsidP="00A031DA">
      <w:pPr>
        <w:spacing w:before="240" w:after="240" w:line="276" w:lineRule="auto"/>
        <w:mirrorIndents/>
        <w:rPr>
          <w:rFonts w:ascii="Calibri" w:hAnsi="Calibri" w:cs="Calibri"/>
          <w:szCs w:val="22"/>
          <w:lang w:val="en-US"/>
        </w:rPr>
      </w:pPr>
      <w:r>
        <w:rPr>
          <w:rFonts w:ascii="Calibri" w:hAnsi="Calibri" w:cs="Calibri"/>
          <w:szCs w:val="22"/>
          <w:lang w:val="en-US"/>
        </w:rPr>
        <w:lastRenderedPageBreak/>
        <w:t xml:space="preserve">The Tasmanian </w:t>
      </w:r>
      <w:r w:rsidRPr="00566D33">
        <w:rPr>
          <w:rFonts w:ascii="Calibri" w:hAnsi="Calibri" w:cs="Calibri"/>
          <w:szCs w:val="22"/>
          <w:lang w:val="en-US"/>
        </w:rPr>
        <w:t xml:space="preserve">Inquiry </w:t>
      </w:r>
      <w:r>
        <w:rPr>
          <w:rFonts w:ascii="Calibri" w:hAnsi="Calibri" w:cs="Calibri"/>
          <w:szCs w:val="22"/>
          <w:lang w:val="en-US"/>
        </w:rPr>
        <w:t xml:space="preserve">report </w:t>
      </w:r>
      <w:r w:rsidRPr="00566D33">
        <w:rPr>
          <w:rFonts w:ascii="Calibri" w:hAnsi="Calibri" w:cs="Calibri"/>
          <w:szCs w:val="22"/>
          <w:lang w:val="en-US"/>
        </w:rPr>
        <w:t xml:space="preserve">identified total underpayments of $64,162.54. The FWO has to date recovered $21,332.37 in underpayments for employees. For reasons including employees who are unwilling to provide evidence and an employer who has left the jurisdiction, the remaining $42,830.17 identified by the </w:t>
      </w:r>
      <w:r w:rsidR="00D4799F">
        <w:rPr>
          <w:rFonts w:ascii="Calibri" w:hAnsi="Calibri" w:cs="Calibri"/>
          <w:szCs w:val="22"/>
          <w:lang w:val="en-US"/>
        </w:rPr>
        <w:t xml:space="preserve">FWO </w:t>
      </w:r>
      <w:proofErr w:type="gramStart"/>
      <w:r w:rsidR="00D4799F">
        <w:rPr>
          <w:rFonts w:ascii="Calibri" w:hAnsi="Calibri" w:cs="Calibri"/>
          <w:szCs w:val="22"/>
          <w:lang w:val="en-US"/>
        </w:rPr>
        <w:t>has not yet been recovered</w:t>
      </w:r>
      <w:proofErr w:type="gramEnd"/>
      <w:r w:rsidR="00D4799F">
        <w:rPr>
          <w:rFonts w:ascii="Calibri" w:hAnsi="Calibri" w:cs="Calibri"/>
          <w:szCs w:val="22"/>
          <w:lang w:val="en-US"/>
        </w:rPr>
        <w:t>.</w:t>
      </w:r>
    </w:p>
    <w:p w:rsidR="00455C27" w:rsidRPr="00566D33" w:rsidRDefault="00455C27" w:rsidP="00A031DA">
      <w:pPr>
        <w:spacing w:before="240" w:after="240" w:line="276" w:lineRule="auto"/>
        <w:mirrorIndents/>
        <w:rPr>
          <w:rFonts w:ascii="Calibri" w:hAnsi="Calibri" w:cs="Calibri"/>
          <w:szCs w:val="22"/>
          <w:lang w:val="en-US"/>
        </w:rPr>
      </w:pPr>
      <w:r w:rsidRPr="00566D33">
        <w:rPr>
          <w:rFonts w:ascii="Calibri" w:hAnsi="Calibri" w:cs="Calibri"/>
          <w:szCs w:val="22"/>
          <w:lang w:val="en-US"/>
        </w:rPr>
        <w:t>In accordance with the recommendations cont</w:t>
      </w:r>
      <w:r>
        <w:rPr>
          <w:rFonts w:ascii="Calibri" w:hAnsi="Calibri" w:cs="Calibri"/>
          <w:szCs w:val="22"/>
          <w:lang w:val="en-US"/>
        </w:rPr>
        <w:t>ained in the Tasmanian Inquiry r</w:t>
      </w:r>
      <w:r w:rsidRPr="00566D33">
        <w:rPr>
          <w:rFonts w:ascii="Calibri" w:hAnsi="Calibri" w:cs="Calibri"/>
          <w:szCs w:val="22"/>
          <w:lang w:val="en-US"/>
        </w:rPr>
        <w:t>eport, the FWO is currently working with Woolworths in relation to an appropriate regulatory response to the findings of widespread non-compliance.</w:t>
      </w:r>
    </w:p>
    <w:p w:rsidR="00455C27" w:rsidRDefault="00455C27" w:rsidP="00A031DA">
      <w:pPr>
        <w:pStyle w:val="Heading1"/>
      </w:pPr>
      <w:r>
        <w:t>Cleaning Accountability Framework</w:t>
      </w:r>
    </w:p>
    <w:p w:rsidR="00455C27" w:rsidRPr="00974B8F" w:rsidRDefault="00455C27" w:rsidP="00A031DA">
      <w:pPr>
        <w:pStyle w:val="NormalWeb"/>
        <w:spacing w:before="240" w:beforeAutospacing="0" w:after="240" w:afterAutospacing="0" w:line="276" w:lineRule="auto"/>
        <w:mirrorIndents/>
        <w:rPr>
          <w:rFonts w:ascii="Calibri" w:hAnsi="Calibri" w:cs="Calibri"/>
          <w:sz w:val="22"/>
          <w:szCs w:val="22"/>
          <w:lang w:val="en-US"/>
        </w:rPr>
      </w:pPr>
      <w:r>
        <w:rPr>
          <w:rFonts w:ascii="Calibri" w:hAnsi="Calibri" w:cs="Calibri"/>
          <w:szCs w:val="22"/>
          <w:lang w:val="en-US"/>
        </w:rPr>
        <w:t xml:space="preserve">In addition to the </w:t>
      </w:r>
      <w:r>
        <w:rPr>
          <w:rFonts w:ascii="Calibri" w:hAnsi="Calibri" w:cs="Calibri"/>
          <w:sz w:val="22"/>
          <w:szCs w:val="22"/>
          <w:lang w:val="en-US"/>
        </w:rPr>
        <w:t>Tasmanian Inquiry r</w:t>
      </w:r>
      <w:r w:rsidRPr="00262BE5">
        <w:rPr>
          <w:rFonts w:ascii="Calibri" w:hAnsi="Calibri" w:cs="Calibri"/>
          <w:sz w:val="22"/>
          <w:szCs w:val="22"/>
          <w:lang w:val="en-US"/>
        </w:rPr>
        <w:t xml:space="preserve">eport, the FWO has been active in the cleaning industry more widely. </w:t>
      </w:r>
      <w:r w:rsidRPr="00262BE5">
        <w:rPr>
          <w:rFonts w:ascii="Calibri" w:hAnsi="Calibri"/>
          <w:sz w:val="22"/>
          <w:szCs w:val="22"/>
        </w:rPr>
        <w:t xml:space="preserve">The FWO is working with key cleaning industry stakeholders through the </w:t>
      </w:r>
      <w:r w:rsidRPr="00A108EE">
        <w:rPr>
          <w:rFonts w:ascii="Calibri" w:hAnsi="Calibri"/>
          <w:sz w:val="22"/>
          <w:szCs w:val="22"/>
        </w:rPr>
        <w:t>CAF</w:t>
      </w:r>
      <w:r w:rsidRPr="00262BE5">
        <w:rPr>
          <w:rFonts w:ascii="Calibri" w:hAnsi="Calibri"/>
          <w:sz w:val="22"/>
          <w:szCs w:val="22"/>
        </w:rPr>
        <w:t xml:space="preserve"> to develop and test a national labour </w:t>
      </w:r>
      <w:proofErr w:type="gramStart"/>
      <w:r w:rsidRPr="00262BE5">
        <w:rPr>
          <w:rFonts w:ascii="Calibri" w:hAnsi="Calibri"/>
          <w:sz w:val="22"/>
          <w:szCs w:val="22"/>
        </w:rPr>
        <w:t xml:space="preserve">supply chain certification </w:t>
      </w:r>
      <w:r w:rsidRPr="00974B8F">
        <w:rPr>
          <w:rFonts w:ascii="Calibri" w:hAnsi="Calibri" w:cs="Calibri"/>
          <w:sz w:val="22"/>
          <w:szCs w:val="22"/>
          <w:lang w:val="en-US"/>
        </w:rPr>
        <w:t>scheme</w:t>
      </w:r>
      <w:proofErr w:type="gramEnd"/>
      <w:r w:rsidRPr="00974B8F">
        <w:rPr>
          <w:rFonts w:ascii="Calibri" w:hAnsi="Calibri" w:cs="Calibri"/>
          <w:sz w:val="22"/>
          <w:szCs w:val="22"/>
          <w:lang w:val="en-US"/>
        </w:rPr>
        <w:t xml:space="preserve">. The certification scheme promotes </w:t>
      </w:r>
      <w:proofErr w:type="gramStart"/>
      <w:r w:rsidRPr="00974B8F">
        <w:rPr>
          <w:rFonts w:ascii="Calibri" w:hAnsi="Calibri" w:cs="Calibri"/>
          <w:sz w:val="22"/>
          <w:szCs w:val="22"/>
          <w:lang w:val="en-US"/>
        </w:rPr>
        <w:t>compliance and rewards best practice throughout the cleaning services supply chain</w:t>
      </w:r>
      <w:proofErr w:type="gramEnd"/>
      <w:r w:rsidRPr="00974B8F">
        <w:rPr>
          <w:rFonts w:ascii="Calibri" w:hAnsi="Calibri" w:cs="Calibri"/>
          <w:sz w:val="22"/>
          <w:szCs w:val="22"/>
          <w:lang w:val="en-US"/>
        </w:rPr>
        <w:t xml:space="preserve"> and acknowledges that all participants (contract cleaners, tenants, facility managers, property managers and owners) in a cleaning services supply chain have a role to play in lifting cleaning industry standards.</w:t>
      </w:r>
    </w:p>
    <w:p w:rsidR="00455C27" w:rsidRPr="00A63D73" w:rsidRDefault="00455C27" w:rsidP="00A031DA">
      <w:pPr>
        <w:pStyle w:val="NormalWeb"/>
        <w:spacing w:before="240" w:beforeAutospacing="0" w:after="240" w:afterAutospacing="0" w:line="276" w:lineRule="auto"/>
        <w:mirrorIndents/>
        <w:rPr>
          <w:rFonts w:asciiTheme="minorHAnsi" w:hAnsiTheme="minorHAnsi" w:cstheme="minorHAnsi"/>
          <w:sz w:val="22"/>
          <w:szCs w:val="22"/>
        </w:rPr>
      </w:pPr>
      <w:r>
        <w:rPr>
          <w:rFonts w:ascii="Calibri" w:hAnsi="Calibri"/>
          <w:szCs w:val="22"/>
        </w:rPr>
        <w:t xml:space="preserve">The </w:t>
      </w:r>
      <w:r w:rsidRPr="00A63D73">
        <w:rPr>
          <w:rFonts w:ascii="Calibri" w:hAnsi="Calibri"/>
          <w:sz w:val="22"/>
          <w:szCs w:val="22"/>
        </w:rPr>
        <w:t>FWO has played a key role in the development of the CAF by bringin</w:t>
      </w:r>
      <w:r>
        <w:rPr>
          <w:rFonts w:ascii="Calibri" w:hAnsi="Calibri"/>
          <w:sz w:val="22"/>
          <w:szCs w:val="22"/>
        </w:rPr>
        <w:t xml:space="preserve">g key stakeholders together including, </w:t>
      </w:r>
      <w:r w:rsidRPr="00A63D73">
        <w:rPr>
          <w:rFonts w:asciiTheme="minorHAnsi" w:hAnsiTheme="minorHAnsi" w:cstheme="minorHAnsi"/>
          <w:sz w:val="22"/>
          <w:szCs w:val="22"/>
        </w:rPr>
        <w:t xml:space="preserve">owner/investors such as AMP Capital and </w:t>
      </w:r>
      <w:r>
        <w:rPr>
          <w:rFonts w:asciiTheme="minorHAnsi" w:hAnsiTheme="minorHAnsi" w:cstheme="minorHAnsi"/>
          <w:sz w:val="22"/>
          <w:szCs w:val="22"/>
        </w:rPr>
        <w:t>Charter Hall,</w:t>
      </w:r>
      <w:r w:rsidRPr="00A63D73">
        <w:rPr>
          <w:rFonts w:asciiTheme="minorHAnsi" w:hAnsiTheme="minorHAnsi" w:cstheme="minorHAnsi"/>
          <w:sz w:val="22"/>
          <w:szCs w:val="22"/>
        </w:rPr>
        <w:t xml:space="preserve"> </w:t>
      </w:r>
      <w:r>
        <w:rPr>
          <w:rFonts w:asciiTheme="minorHAnsi" w:hAnsiTheme="minorHAnsi" w:cstheme="minorHAnsi"/>
          <w:sz w:val="22"/>
          <w:szCs w:val="22"/>
        </w:rPr>
        <w:t xml:space="preserve">property managers such as Jones Lang LaSalle, </w:t>
      </w:r>
      <w:r w:rsidRPr="00A63D73">
        <w:rPr>
          <w:rFonts w:asciiTheme="minorHAnsi" w:hAnsiTheme="minorHAnsi" w:cstheme="minorHAnsi"/>
          <w:sz w:val="22"/>
          <w:szCs w:val="22"/>
        </w:rPr>
        <w:t xml:space="preserve">cleaning companies such as BIC and </w:t>
      </w:r>
      <w:r>
        <w:rPr>
          <w:rFonts w:asciiTheme="minorHAnsi" w:hAnsiTheme="minorHAnsi" w:cstheme="minorHAnsi"/>
          <w:sz w:val="22"/>
          <w:szCs w:val="22"/>
        </w:rPr>
        <w:t>Consolidated,</w:t>
      </w:r>
      <w:r w:rsidRPr="00A63D73">
        <w:rPr>
          <w:rFonts w:asciiTheme="minorHAnsi" w:hAnsiTheme="minorHAnsi" w:cstheme="minorHAnsi"/>
          <w:sz w:val="22"/>
          <w:szCs w:val="22"/>
        </w:rPr>
        <w:t xml:space="preserve"> </w:t>
      </w:r>
      <w:r>
        <w:rPr>
          <w:rFonts w:asciiTheme="minorHAnsi" w:hAnsiTheme="minorHAnsi" w:cstheme="minorHAnsi"/>
          <w:sz w:val="22"/>
          <w:szCs w:val="22"/>
        </w:rPr>
        <w:t xml:space="preserve">the Building Services Contractors Association of Australia, </w:t>
      </w:r>
      <w:r w:rsidR="00D4799F">
        <w:rPr>
          <w:rFonts w:asciiTheme="minorHAnsi" w:hAnsiTheme="minorHAnsi" w:cstheme="minorHAnsi"/>
          <w:sz w:val="22"/>
          <w:szCs w:val="22"/>
        </w:rPr>
        <w:t>and United Voice.</w:t>
      </w:r>
    </w:p>
    <w:p w:rsidR="00455C27" w:rsidRPr="00566D33" w:rsidRDefault="00455C27" w:rsidP="00A031DA">
      <w:pPr>
        <w:widowControl w:val="0"/>
        <w:snapToGrid w:val="0"/>
        <w:spacing w:before="240" w:after="240" w:line="276" w:lineRule="auto"/>
        <w:mirrorIndents/>
        <w:rPr>
          <w:rFonts w:ascii="Calibri" w:hAnsi="Calibri" w:cs="Calibri"/>
          <w:szCs w:val="22"/>
          <w:lang w:val="en-US"/>
        </w:rPr>
      </w:pPr>
      <w:r>
        <w:rPr>
          <w:rFonts w:ascii="Calibri" w:hAnsi="Calibri" w:cs="Calibri"/>
          <w:szCs w:val="22"/>
          <w:lang w:val="en-US"/>
        </w:rPr>
        <w:t xml:space="preserve">More information about the CAF </w:t>
      </w:r>
      <w:proofErr w:type="gramStart"/>
      <w:r>
        <w:rPr>
          <w:rFonts w:ascii="Calibri" w:hAnsi="Calibri" w:cs="Calibri"/>
          <w:szCs w:val="22"/>
          <w:lang w:val="en-US"/>
        </w:rPr>
        <w:t>can be found</w:t>
      </w:r>
      <w:proofErr w:type="gramEnd"/>
      <w:r>
        <w:rPr>
          <w:rFonts w:ascii="Calibri" w:hAnsi="Calibri" w:cs="Calibri"/>
          <w:szCs w:val="22"/>
          <w:lang w:val="en-US"/>
        </w:rPr>
        <w:t xml:space="preserve"> here: </w:t>
      </w:r>
      <w:hyperlink r:id="rId10" w:tooltip="Cleaning accountability website" w:history="1">
        <w:r w:rsidRPr="00C24625">
          <w:rPr>
            <w:rStyle w:val="Hyperlink"/>
            <w:rFonts w:ascii="Calibri" w:hAnsi="Calibri" w:cs="Calibri"/>
            <w:szCs w:val="22"/>
            <w:lang w:val="en-US"/>
          </w:rPr>
          <w:t>https://www.cleaningaccountability.org.au/</w:t>
        </w:r>
      </w:hyperlink>
    </w:p>
    <w:p w:rsidR="00455C27" w:rsidRPr="004E01F2" w:rsidRDefault="00455C27" w:rsidP="00A031DA">
      <w:pPr>
        <w:pStyle w:val="Heading1"/>
      </w:pPr>
      <w:r>
        <w:t>Regulating industries with similar characteristics</w:t>
      </w:r>
    </w:p>
    <w:p w:rsidR="00455C27" w:rsidRDefault="00455C27" w:rsidP="00A031DA">
      <w:pPr>
        <w:autoSpaceDE w:val="0"/>
        <w:autoSpaceDN w:val="0"/>
        <w:spacing w:before="240" w:after="240" w:line="276" w:lineRule="auto"/>
        <w:mirrorIndents/>
        <w:rPr>
          <w:rFonts w:ascii="Calibri" w:hAnsi="Calibri" w:cs="Calibri"/>
          <w:szCs w:val="22"/>
          <w:lang w:val="en-US"/>
        </w:rPr>
      </w:pPr>
      <w:r>
        <w:rPr>
          <w:rFonts w:ascii="Calibri" w:hAnsi="Calibri" w:cs="Calibri"/>
          <w:szCs w:val="22"/>
          <w:lang w:val="en-US"/>
        </w:rPr>
        <w:t xml:space="preserve">The FWO has experience regulating industries with characteristics similar to the cleaning industry. For example the trolley collection industry is similarly </w:t>
      </w:r>
      <w:proofErr w:type="spellStart"/>
      <w:r>
        <w:rPr>
          <w:rFonts w:ascii="Calibri" w:hAnsi="Calibri" w:cs="Calibri"/>
          <w:szCs w:val="22"/>
          <w:lang w:val="en-US"/>
        </w:rPr>
        <w:t>characterised</w:t>
      </w:r>
      <w:proofErr w:type="spellEnd"/>
      <w:r>
        <w:rPr>
          <w:rFonts w:ascii="Calibri" w:hAnsi="Calibri" w:cs="Calibri"/>
          <w:szCs w:val="22"/>
          <w:lang w:val="en-US"/>
        </w:rPr>
        <w:t xml:space="preserve"> by low-skilled, </w:t>
      </w:r>
      <w:proofErr w:type="spellStart"/>
      <w:r>
        <w:rPr>
          <w:rFonts w:ascii="Calibri" w:hAnsi="Calibri" w:cs="Calibri"/>
          <w:szCs w:val="22"/>
          <w:lang w:val="en-US"/>
        </w:rPr>
        <w:t>labour-intensive</w:t>
      </w:r>
      <w:proofErr w:type="spellEnd"/>
      <w:r>
        <w:rPr>
          <w:rFonts w:ascii="Calibri" w:hAnsi="Calibri" w:cs="Calibri"/>
          <w:szCs w:val="22"/>
          <w:lang w:val="en-US"/>
        </w:rPr>
        <w:t xml:space="preserve"> work; vulnerable workers; </w:t>
      </w:r>
      <w:proofErr w:type="spellStart"/>
      <w:r>
        <w:rPr>
          <w:rFonts w:ascii="Calibri" w:hAnsi="Calibri" w:cs="Calibri"/>
          <w:szCs w:val="22"/>
          <w:lang w:val="en-US"/>
        </w:rPr>
        <w:t>labour</w:t>
      </w:r>
      <w:proofErr w:type="spellEnd"/>
      <w:r>
        <w:rPr>
          <w:rFonts w:ascii="Calibri" w:hAnsi="Calibri" w:cs="Calibri"/>
          <w:szCs w:val="22"/>
          <w:lang w:val="en-US"/>
        </w:rPr>
        <w:t xml:space="preserve"> sourced via procurement or outsourcing arrangements; high levels of competition; and low profit margins with respect to </w:t>
      </w:r>
      <w:proofErr w:type="spellStart"/>
      <w:r>
        <w:rPr>
          <w:rFonts w:ascii="Calibri" w:hAnsi="Calibri" w:cs="Calibri"/>
          <w:szCs w:val="22"/>
          <w:lang w:val="en-US"/>
        </w:rPr>
        <w:t>labour</w:t>
      </w:r>
      <w:proofErr w:type="spellEnd"/>
      <w:r>
        <w:rPr>
          <w:rFonts w:ascii="Calibri" w:hAnsi="Calibri" w:cs="Calibri"/>
          <w:szCs w:val="22"/>
          <w:lang w:val="en-US"/>
        </w:rPr>
        <w:t>. We are at a point now where, supported by FWO’s compliance and enforcement efforts over a number of years, three of the largest influencers in the trolley collection industry have stepped up to take responsibility for compliance in their supply chains.</w:t>
      </w:r>
    </w:p>
    <w:p w:rsidR="00455C27" w:rsidRDefault="00455C27" w:rsidP="00A031DA">
      <w:pPr>
        <w:autoSpaceDE w:val="0"/>
        <w:autoSpaceDN w:val="0"/>
        <w:spacing w:before="240" w:after="240" w:line="276" w:lineRule="auto"/>
        <w:mirrorIndents/>
        <w:rPr>
          <w:rFonts w:ascii="Calibri" w:hAnsi="Calibri" w:cs="Calibri"/>
          <w:szCs w:val="22"/>
          <w:lang w:val="en-US"/>
        </w:rPr>
      </w:pPr>
      <w:r>
        <w:rPr>
          <w:rFonts w:ascii="Calibri" w:hAnsi="Calibri" w:cs="Calibri"/>
          <w:szCs w:val="22"/>
          <w:lang w:val="en-US"/>
        </w:rPr>
        <w:t xml:space="preserve">The FWO has commenced numerous litigations in this Industry, securing over $800,000 for approximately 300 employees since 2006 (with an additional $800,000 ordered in pecuniary penalties). </w:t>
      </w:r>
      <w:r w:rsidRPr="00BD6C2D">
        <w:rPr>
          <w:rFonts w:ascii="Calibri" w:hAnsi="Calibri" w:cs="Calibri"/>
          <w:szCs w:val="22"/>
          <w:lang w:val="en-US"/>
        </w:rPr>
        <w:t xml:space="preserve">One of the key </w:t>
      </w:r>
      <w:r>
        <w:rPr>
          <w:rFonts w:ascii="Calibri" w:hAnsi="Calibri" w:cs="Calibri"/>
          <w:szCs w:val="22"/>
          <w:lang w:val="en-US"/>
        </w:rPr>
        <w:t>steps</w:t>
      </w:r>
      <w:r w:rsidRPr="00FD28B2">
        <w:rPr>
          <w:rFonts w:ascii="Calibri" w:hAnsi="Calibri" w:cs="Calibri"/>
          <w:szCs w:val="22"/>
          <w:lang w:val="en-US"/>
        </w:rPr>
        <w:t xml:space="preserve"> </w:t>
      </w:r>
      <w:r>
        <w:rPr>
          <w:rFonts w:ascii="Calibri" w:hAnsi="Calibri" w:cs="Calibri"/>
          <w:szCs w:val="22"/>
          <w:lang w:val="en-US"/>
        </w:rPr>
        <w:t>toward</w:t>
      </w:r>
      <w:r w:rsidRPr="00FD28B2">
        <w:rPr>
          <w:rFonts w:ascii="Calibri" w:hAnsi="Calibri" w:cs="Calibri"/>
          <w:szCs w:val="22"/>
          <w:lang w:val="en-US"/>
        </w:rPr>
        <w:t xml:space="preserve"> achiev</w:t>
      </w:r>
      <w:r>
        <w:rPr>
          <w:rFonts w:ascii="Calibri" w:hAnsi="Calibri" w:cs="Calibri"/>
          <w:szCs w:val="22"/>
          <w:lang w:val="en-US"/>
        </w:rPr>
        <w:t>ing</w:t>
      </w:r>
      <w:r w:rsidRPr="00FD28B2">
        <w:rPr>
          <w:rFonts w:ascii="Calibri" w:hAnsi="Calibri" w:cs="Calibri"/>
          <w:szCs w:val="22"/>
          <w:lang w:val="en-US"/>
        </w:rPr>
        <w:t xml:space="preserve"> change in the industry </w:t>
      </w:r>
      <w:r w:rsidRPr="00BD6C2D">
        <w:rPr>
          <w:rFonts w:ascii="Calibri" w:hAnsi="Calibri" w:cs="Calibri"/>
          <w:szCs w:val="22"/>
          <w:lang w:val="en-US"/>
        </w:rPr>
        <w:t xml:space="preserve">came when </w:t>
      </w:r>
      <w:r w:rsidRPr="00FD28B2">
        <w:rPr>
          <w:rFonts w:ascii="Calibri" w:hAnsi="Calibri" w:cs="Calibri"/>
          <w:szCs w:val="22"/>
          <w:lang w:val="en-US"/>
        </w:rPr>
        <w:t>the FWO s</w:t>
      </w:r>
      <w:r>
        <w:rPr>
          <w:rFonts w:ascii="Calibri" w:hAnsi="Calibri" w:cs="Calibri"/>
          <w:szCs w:val="22"/>
          <w:lang w:val="en-US"/>
        </w:rPr>
        <w:t>igned</w:t>
      </w:r>
      <w:r w:rsidRPr="00FD28B2">
        <w:rPr>
          <w:rFonts w:ascii="Calibri" w:hAnsi="Calibri" w:cs="Calibri"/>
          <w:szCs w:val="22"/>
          <w:lang w:val="en-US"/>
        </w:rPr>
        <w:t xml:space="preserve"> a Proactive Compliance Deed (</w:t>
      </w:r>
      <w:r w:rsidRPr="00FD28B2">
        <w:rPr>
          <w:rFonts w:ascii="Calibri" w:hAnsi="Calibri" w:cs="Calibri"/>
          <w:b/>
          <w:szCs w:val="22"/>
          <w:lang w:val="en-US"/>
        </w:rPr>
        <w:t>PCD</w:t>
      </w:r>
      <w:r w:rsidRPr="00FD28B2">
        <w:rPr>
          <w:rFonts w:ascii="Calibri" w:hAnsi="Calibri" w:cs="Calibri"/>
          <w:szCs w:val="22"/>
          <w:lang w:val="en-US"/>
        </w:rPr>
        <w:t>) with United Trolley Collectors in 2014.</w:t>
      </w:r>
      <w:r>
        <w:rPr>
          <w:rFonts w:ascii="Calibri" w:hAnsi="Calibri" w:cs="Calibri"/>
          <w:szCs w:val="22"/>
          <w:lang w:val="en-US"/>
        </w:rPr>
        <w:t xml:space="preserve"> That same year the FWO signed an Enforceable Undertaking with Coles where the company acknowledged its moral and ethical responsibility for its trolley collection services. Then in 2016, the FWO released an inquiry report into Woolworths’ trolley collection services, which </w:t>
      </w:r>
      <w:proofErr w:type="gramStart"/>
      <w:r>
        <w:rPr>
          <w:rFonts w:ascii="Calibri" w:hAnsi="Calibri" w:cs="Calibri"/>
          <w:szCs w:val="22"/>
          <w:lang w:val="en-US"/>
        </w:rPr>
        <w:t>was followed</w:t>
      </w:r>
      <w:proofErr w:type="gramEnd"/>
      <w:r>
        <w:rPr>
          <w:rFonts w:ascii="Calibri" w:hAnsi="Calibri" w:cs="Calibri"/>
          <w:szCs w:val="22"/>
          <w:lang w:val="en-US"/>
        </w:rPr>
        <w:t xml:space="preserve"> by </w:t>
      </w:r>
      <w:r w:rsidR="00D4799F">
        <w:rPr>
          <w:rFonts w:ascii="Calibri" w:hAnsi="Calibri" w:cs="Calibri"/>
          <w:szCs w:val="22"/>
          <w:lang w:val="en-US"/>
        </w:rPr>
        <w:t>a PCD with the company in 2017.</w:t>
      </w:r>
    </w:p>
    <w:p w:rsidR="00455C27" w:rsidRDefault="00455C27" w:rsidP="00A031DA">
      <w:pPr>
        <w:autoSpaceDE w:val="0"/>
        <w:autoSpaceDN w:val="0"/>
        <w:spacing w:before="240" w:after="240" w:line="276" w:lineRule="auto"/>
        <w:mirrorIndents/>
        <w:rPr>
          <w:rFonts w:ascii="Calibri" w:hAnsi="Calibri" w:cs="Calibri"/>
          <w:szCs w:val="22"/>
          <w:lang w:val="en-US"/>
        </w:rPr>
      </w:pPr>
      <w:r>
        <w:rPr>
          <w:rFonts w:ascii="Calibri" w:hAnsi="Calibri" w:cs="Calibri"/>
          <w:szCs w:val="22"/>
          <w:lang w:val="en-US"/>
        </w:rPr>
        <w:t>The execution of these agreements means these companies are now taking an active role in ensuring compliance in the trolley collection industry. Under their PCD, for example, Woolworths is undertaking annual audits of all its contractors providing trolley collection services. It has also re-</w:t>
      </w:r>
      <w:r>
        <w:rPr>
          <w:rFonts w:ascii="Calibri" w:hAnsi="Calibri" w:cs="Calibri"/>
          <w:szCs w:val="22"/>
          <w:lang w:val="en-US"/>
        </w:rPr>
        <w:lastRenderedPageBreak/>
        <w:t xml:space="preserve">tendered all its trolley collection contracts nationally to ensure compliance with the detailed requirements of the PCD, including requiring contractors to implement an electronic time keeping system to its trolley contractors that includes </w:t>
      </w:r>
      <w:proofErr w:type="spellStart"/>
      <w:r>
        <w:rPr>
          <w:rFonts w:ascii="Calibri" w:hAnsi="Calibri" w:cs="Calibri"/>
          <w:szCs w:val="22"/>
          <w:lang w:val="en-US"/>
        </w:rPr>
        <w:t>geofencing</w:t>
      </w:r>
      <w:proofErr w:type="spellEnd"/>
      <w:r>
        <w:rPr>
          <w:rFonts w:ascii="Calibri" w:hAnsi="Calibri" w:cs="Calibri"/>
          <w:szCs w:val="22"/>
          <w:lang w:val="en-US"/>
        </w:rPr>
        <w:t xml:space="preserve"> capability and uses either a biometric identifier or unique code for each employee.</w:t>
      </w:r>
    </w:p>
    <w:p w:rsidR="00D4799F" w:rsidRDefault="00455C27" w:rsidP="00A031DA">
      <w:pPr>
        <w:widowControl w:val="0"/>
        <w:snapToGrid w:val="0"/>
        <w:spacing w:before="240" w:after="240" w:line="276" w:lineRule="auto"/>
        <w:mirrorIndents/>
        <w:rPr>
          <w:rFonts w:ascii="Calibri" w:hAnsi="Calibri" w:cs="Calibri"/>
          <w:szCs w:val="22"/>
          <w:lang w:val="en-US"/>
        </w:rPr>
      </w:pPr>
      <w:r>
        <w:rPr>
          <w:rFonts w:ascii="Calibri" w:hAnsi="Calibri" w:cs="Calibri"/>
          <w:szCs w:val="22"/>
          <w:lang w:val="en-US"/>
        </w:rPr>
        <w:t>It will take time and resources to achieve similar outcomes in the cleaning industry but the FWO is being proactive in this space. The Tasmanian Inquiry report highlighted the drivers of non-compliance, particularly in the Woolworths supply chain, and we are now working with Woolworths and other stakeholders to address those drivers and promote ongoing compliance, as we did successfully in the trolley industry.</w:t>
      </w:r>
    </w:p>
    <w:p w:rsidR="00D4799F" w:rsidRDefault="00455C27" w:rsidP="00A031DA">
      <w:pPr>
        <w:widowControl w:val="0"/>
        <w:snapToGrid w:val="0"/>
        <w:spacing w:before="240" w:after="240" w:line="276" w:lineRule="auto"/>
        <w:mirrorIndents/>
        <w:rPr>
          <w:rFonts w:ascii="Calibri" w:hAnsi="Calibri" w:cs="Calibri"/>
          <w:szCs w:val="22"/>
          <w:lang w:val="en-US"/>
        </w:rPr>
      </w:pPr>
      <w:r w:rsidRPr="00A8795D">
        <w:rPr>
          <w:rFonts w:ascii="Calibri" w:hAnsi="Calibri" w:cs="Calibri"/>
          <w:szCs w:val="22"/>
          <w:lang w:val="en-US"/>
        </w:rPr>
        <w:t>Yours sincerely</w:t>
      </w:r>
    </w:p>
    <w:p w:rsidR="00D4799F" w:rsidRDefault="00455C27" w:rsidP="00A031DA">
      <w:pPr>
        <w:widowControl w:val="0"/>
        <w:snapToGrid w:val="0"/>
        <w:spacing w:before="240" w:after="240" w:line="276" w:lineRule="auto"/>
        <w:mirrorIndents/>
        <w:rPr>
          <w:rFonts w:ascii="Calibri" w:hAnsi="Calibri" w:cs="Calibri"/>
          <w:szCs w:val="22"/>
          <w:lang w:val="en-US"/>
        </w:rPr>
      </w:pPr>
      <w:r w:rsidRPr="006C3881">
        <w:rPr>
          <w:noProof/>
        </w:rPr>
        <w:drawing>
          <wp:inline distT="0" distB="0" distL="0" distR="0" wp14:anchorId="3E3E7E68" wp14:editId="7E842B34">
            <wp:extent cx="1285875" cy="419100"/>
            <wp:effectExtent l="0" t="0" r="9525" b="0"/>
            <wp:docPr id="1" name="Picture 1" title="Signature - Sandra P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5875" cy="419100"/>
                    </a:xfrm>
                    <a:prstGeom prst="rect">
                      <a:avLst/>
                    </a:prstGeom>
                    <a:noFill/>
                    <a:ln>
                      <a:noFill/>
                    </a:ln>
                  </pic:spPr>
                </pic:pic>
              </a:graphicData>
            </a:graphic>
          </wp:inline>
        </w:drawing>
      </w:r>
    </w:p>
    <w:p w:rsidR="00455C27" w:rsidRPr="00455C27" w:rsidRDefault="00455C27" w:rsidP="00A031DA">
      <w:pPr>
        <w:widowControl w:val="0"/>
        <w:snapToGrid w:val="0"/>
        <w:spacing w:before="240" w:after="240" w:line="276" w:lineRule="auto"/>
        <w:contextualSpacing/>
        <w:mirrorIndents/>
        <w:rPr>
          <w:rFonts w:ascii="Calibri" w:hAnsi="Calibri" w:cs="Calibri"/>
          <w:szCs w:val="22"/>
          <w:lang w:val="en-US"/>
        </w:rPr>
      </w:pPr>
      <w:r>
        <w:rPr>
          <w:rFonts w:ascii="Calibri" w:hAnsi="Calibri" w:cs="Calibri"/>
          <w:szCs w:val="22"/>
          <w:lang w:val="en-US"/>
        </w:rPr>
        <w:t>Sandra Parker</w:t>
      </w:r>
    </w:p>
    <w:p w:rsidR="004B48E3" w:rsidRPr="00D4799F" w:rsidRDefault="00455C27" w:rsidP="00A031DA">
      <w:pPr>
        <w:widowControl w:val="0"/>
        <w:snapToGrid w:val="0"/>
        <w:spacing w:before="240" w:after="240" w:line="276" w:lineRule="auto"/>
        <w:contextualSpacing/>
        <w:mirrorIndents/>
        <w:rPr>
          <w:rFonts w:ascii="Calibri" w:hAnsi="Calibri" w:cs="Calibri"/>
          <w:b/>
          <w:szCs w:val="22"/>
          <w:lang w:val="en-US"/>
        </w:rPr>
      </w:pPr>
      <w:r>
        <w:rPr>
          <w:rFonts w:ascii="Calibri" w:hAnsi="Calibri" w:cs="Calibri"/>
          <w:b/>
          <w:szCs w:val="22"/>
          <w:lang w:val="en-US"/>
        </w:rPr>
        <w:t>FAIR WORK OMBUDSMAN</w:t>
      </w:r>
    </w:p>
    <w:sectPr w:rsidR="004B48E3" w:rsidRPr="00D4799F" w:rsidSect="00A031DA">
      <w:headerReference w:type="even" r:id="rId12"/>
      <w:headerReference w:type="default" r:id="rId13"/>
      <w:footerReference w:type="even" r:id="rId14"/>
      <w:footerReference w:type="default" r:id="rId15"/>
      <w:headerReference w:type="first" r:id="rId16"/>
      <w:footerReference w:type="first" r:id="rId17"/>
      <w:pgSz w:w="11906" w:h="16838"/>
      <w:pgMar w:top="851" w:right="1440" w:bottom="1276" w:left="144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C27" w:rsidRDefault="00455C27" w:rsidP="00455C27">
      <w:pPr>
        <w:spacing w:before="0"/>
      </w:pPr>
      <w:r>
        <w:separator/>
      </w:r>
    </w:p>
  </w:endnote>
  <w:endnote w:type="continuationSeparator" w:id="0">
    <w:p w:rsidR="00455C27" w:rsidRDefault="00455C27" w:rsidP="00455C2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1DA" w:rsidRPr="00583EDF" w:rsidRDefault="00A031DA" w:rsidP="00A031DA">
    <w:pPr>
      <w:tabs>
        <w:tab w:val="center" w:pos="4536"/>
        <w:tab w:val="right" w:pos="9070"/>
      </w:tabs>
      <w:rPr>
        <w:color w:val="0395A7"/>
      </w:rPr>
    </w:pPr>
    <w:hyperlink r:id="rId1" w:tooltip="Fair Work website" w:history="1">
      <w:r w:rsidRPr="008462D2">
        <w:rPr>
          <w:color w:val="0395A7"/>
        </w:rPr>
        <w:t>www.fairwork.gov.au</w:t>
      </w:r>
    </w:hyperlink>
    <w:r w:rsidRPr="008462D2">
      <w:rPr>
        <w:color w:val="0395A7"/>
      </w:rPr>
      <w:tab/>
      <w:t>Fair Work Infoline 13 13 94</w:t>
    </w:r>
    <w:r w:rsidRPr="008462D2">
      <w:rPr>
        <w:color w:val="0395A7"/>
      </w:rPr>
      <w:tab/>
      <w:t>ABN: 43 884 188 232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1DA" w:rsidRPr="00A031DA" w:rsidRDefault="00A031DA" w:rsidP="00A031DA">
    <w:pPr>
      <w:tabs>
        <w:tab w:val="center" w:pos="4536"/>
        <w:tab w:val="right" w:pos="9070"/>
      </w:tabs>
      <w:rPr>
        <w:color w:val="0395A7"/>
      </w:rPr>
    </w:pPr>
    <w:hyperlink r:id="rId1" w:tooltip="Fair Work website" w:history="1">
      <w:r w:rsidRPr="008462D2">
        <w:rPr>
          <w:color w:val="0395A7"/>
        </w:rPr>
        <w:t>www.fairwork.gov.au</w:t>
      </w:r>
    </w:hyperlink>
    <w:r w:rsidRPr="008462D2">
      <w:rPr>
        <w:color w:val="0395A7"/>
      </w:rPr>
      <w:tab/>
      <w:t>Fair Work Infoline 13 13 94</w:t>
    </w:r>
    <w:r w:rsidRPr="008462D2">
      <w:rPr>
        <w:color w:val="0395A7"/>
      </w:rPr>
      <w:tab/>
      <w:t>ABN: 43 884 188 232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E83" w:rsidRDefault="00AA7E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C27" w:rsidRDefault="00455C27" w:rsidP="00455C27">
      <w:pPr>
        <w:spacing w:before="0"/>
      </w:pPr>
      <w:r>
        <w:separator/>
      </w:r>
    </w:p>
  </w:footnote>
  <w:footnote w:type="continuationSeparator" w:id="0">
    <w:p w:rsidR="00455C27" w:rsidRDefault="00455C27" w:rsidP="00455C27">
      <w:pPr>
        <w:spacing w:before="0"/>
      </w:pPr>
      <w:r>
        <w:continuationSeparator/>
      </w:r>
    </w:p>
  </w:footnote>
  <w:footnote w:id="1">
    <w:p w:rsidR="00455C27" w:rsidRPr="00A031DA" w:rsidRDefault="00455C27" w:rsidP="00A031DA">
      <w:pPr>
        <w:widowControl w:val="0"/>
        <w:snapToGrid w:val="0"/>
        <w:spacing w:before="0" w:after="120"/>
        <w:contextualSpacing/>
        <w:mirrorIndents/>
        <w:rPr>
          <w:rFonts w:ascii="Calibri" w:hAnsi="Calibri" w:cs="Calibri"/>
          <w:szCs w:val="22"/>
          <w:lang w:val="en-US"/>
        </w:rPr>
      </w:pPr>
      <w:r>
        <w:rPr>
          <w:rStyle w:val="FootnoteReference"/>
        </w:rPr>
        <w:footnoteRef/>
      </w:r>
      <w:r>
        <w:t xml:space="preserve"> </w:t>
      </w:r>
      <w:r w:rsidRPr="006E29D5">
        <w:rPr>
          <w:rFonts w:ascii="Calibri" w:hAnsi="Calibri" w:cs="Calibri"/>
          <w:sz w:val="20"/>
          <w:szCs w:val="20"/>
          <w:lang w:val="en-US"/>
        </w:rPr>
        <w:t xml:space="preserve">The most common allegations included in cleaning industry disputes related to not </w:t>
      </w:r>
      <w:proofErr w:type="gramStart"/>
      <w:r w:rsidRPr="006E29D5">
        <w:rPr>
          <w:rFonts w:ascii="Calibri" w:hAnsi="Calibri" w:cs="Calibri"/>
          <w:sz w:val="20"/>
          <w:szCs w:val="20"/>
          <w:lang w:val="en-US"/>
        </w:rPr>
        <w:t>being paid</w:t>
      </w:r>
      <w:proofErr w:type="gramEnd"/>
      <w:r w:rsidRPr="006E29D5">
        <w:rPr>
          <w:rFonts w:ascii="Calibri" w:hAnsi="Calibri" w:cs="Calibri"/>
          <w:sz w:val="20"/>
          <w:szCs w:val="20"/>
          <w:lang w:val="en-US"/>
        </w:rPr>
        <w:t xml:space="preserve"> for time worked and underpayment of hourly rates.</w:t>
      </w:r>
      <w:r>
        <w:rPr>
          <w:rFonts w:ascii="Calibri" w:hAnsi="Calibri" w:cs="Calibri"/>
          <w:szCs w:val="22"/>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E83" w:rsidRDefault="00AA7E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E83" w:rsidRDefault="00AA7E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1DA" w:rsidRDefault="00A031DA" w:rsidP="00A031DA">
    <w:pPr>
      <w:pStyle w:val="BodyText"/>
      <w:ind w:left="3581"/>
      <w:rPr>
        <w:rFonts w:asciiTheme="minorHAnsi" w:hAnsiTheme="minorHAnsi" w:cstheme="minorHAnsi"/>
        <w:sz w:val="16"/>
        <w:szCs w:val="16"/>
      </w:rPr>
    </w:pPr>
    <w:r>
      <w:rPr>
        <w:noProof/>
        <w:sz w:val="20"/>
        <w:lang w:val="en-AU" w:eastAsia="en-AU"/>
      </w:rPr>
      <w:drawing>
        <wp:inline distT="0" distB="0" distL="0" distR="0" wp14:anchorId="7349695C" wp14:editId="625BEBDA">
          <wp:extent cx="1294680" cy="1104900"/>
          <wp:effectExtent l="0" t="0" r="1270" b="0"/>
          <wp:docPr id="55" name="image1.jpeg"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94680" cy="1104900"/>
                  </a:xfrm>
                  <a:prstGeom prst="rect">
                    <a:avLst/>
                  </a:prstGeom>
                </pic:spPr>
              </pic:pic>
            </a:graphicData>
          </a:graphic>
        </wp:inline>
      </w:drawing>
    </w:r>
  </w:p>
  <w:p w:rsidR="00A031DA" w:rsidRPr="00466A81" w:rsidRDefault="00A031DA" w:rsidP="00A031DA">
    <w:pPr>
      <w:pStyle w:val="BodyText"/>
      <w:ind w:left="0"/>
      <w:jc w:val="center"/>
      <w:rPr>
        <w:rFonts w:asciiTheme="minorHAnsi" w:hAnsiTheme="minorHAnsi" w:cstheme="minorHAnsi"/>
        <w:sz w:val="16"/>
        <w:szCs w:val="16"/>
      </w:rPr>
    </w:pPr>
    <w:r w:rsidRPr="00466A81">
      <w:rPr>
        <w:rFonts w:asciiTheme="minorHAnsi" w:hAnsiTheme="minorHAnsi" w:cstheme="minorHAnsi"/>
        <w:sz w:val="16"/>
        <w:szCs w:val="16"/>
      </w:rPr>
      <w:t xml:space="preserve">GPO Box 9887 Melbourne VIC </w:t>
    </w:r>
    <w:proofErr w:type="gramStart"/>
    <w:r w:rsidRPr="00466A81">
      <w:rPr>
        <w:rFonts w:asciiTheme="minorHAnsi" w:hAnsiTheme="minorHAnsi" w:cstheme="minorHAnsi"/>
        <w:sz w:val="16"/>
        <w:szCs w:val="16"/>
      </w:rPr>
      <w:t>3001  |</w:t>
    </w:r>
    <w:proofErr w:type="gramEnd"/>
    <w:r w:rsidRPr="00466A81">
      <w:rPr>
        <w:rFonts w:asciiTheme="minorHAnsi" w:hAnsiTheme="minorHAnsi" w:cstheme="minorHAnsi"/>
        <w:sz w:val="16"/>
        <w:szCs w:val="16"/>
      </w:rPr>
      <w:t xml:space="preserve">  414 La Trobe Street Melbourne VIC 3000</w:t>
    </w:r>
  </w:p>
  <w:p w:rsidR="00A031DA" w:rsidRPr="00466A81" w:rsidRDefault="00A031DA" w:rsidP="00A031DA">
    <w:pPr>
      <w:tabs>
        <w:tab w:val="center" w:pos="4820"/>
        <w:tab w:val="right" w:pos="9639"/>
      </w:tabs>
      <w:jc w:val="center"/>
      <w:rPr>
        <w:rFonts w:asciiTheme="minorHAnsi" w:hAnsiTheme="minorHAnsi" w:cstheme="minorHAnsi"/>
        <w:sz w:val="16"/>
        <w:szCs w:val="16"/>
      </w:rPr>
    </w:pPr>
    <w:r w:rsidRPr="00466A81">
      <w:rPr>
        <w:rFonts w:asciiTheme="minorHAnsi" w:hAnsiTheme="minorHAnsi" w:cstheme="minorHAnsi"/>
        <w:sz w:val="16"/>
        <w:szCs w:val="16"/>
      </w:rPr>
      <w:t xml:space="preserve">P: (03) 9954 </w:t>
    </w:r>
    <w:proofErr w:type="gramStart"/>
    <w:r w:rsidRPr="00466A81">
      <w:rPr>
        <w:rFonts w:asciiTheme="minorHAnsi" w:hAnsiTheme="minorHAnsi" w:cstheme="minorHAnsi"/>
        <w:sz w:val="16"/>
        <w:szCs w:val="16"/>
      </w:rPr>
      <w:t>2611  F</w:t>
    </w:r>
    <w:proofErr w:type="gramEnd"/>
    <w:r w:rsidRPr="00466A81">
      <w:rPr>
        <w:rFonts w:asciiTheme="minorHAnsi" w:hAnsiTheme="minorHAnsi" w:cstheme="minorHAnsi"/>
        <w:sz w:val="16"/>
        <w:szCs w:val="16"/>
      </w:rPr>
      <w:t xml:space="preserve">: (02) 6276 8063  E: </w:t>
    </w:r>
    <w:hyperlink r:id="rId2" w:history="1">
      <w:r w:rsidRPr="00466A81">
        <w:rPr>
          <w:rStyle w:val="Hyperlink"/>
          <w:rFonts w:asciiTheme="minorHAnsi" w:hAnsiTheme="minorHAnsi" w:cstheme="minorHAnsi"/>
          <w:sz w:val="16"/>
          <w:szCs w:val="16"/>
        </w:rPr>
        <w:t>sandra.parker@fwo.gov.au</w:t>
      </w:r>
    </w:hyperlink>
  </w:p>
  <w:p w:rsidR="00A031DA" w:rsidRPr="00A031DA" w:rsidRDefault="00A031DA" w:rsidP="00A031DA">
    <w:pPr>
      <w:tabs>
        <w:tab w:val="center" w:pos="4820"/>
        <w:tab w:val="right" w:pos="9639"/>
      </w:tabs>
      <w:ind w:left="-851"/>
      <w:jc w:val="center"/>
      <w:rPr>
        <w:rFonts w:cstheme="minorHAnsi"/>
        <w:sz w:val="16"/>
        <w:szCs w:val="16"/>
      </w:rPr>
    </w:pPr>
    <w:r>
      <w:rPr>
        <w:noProof/>
      </w:rPr>
      <mc:AlternateContent>
        <mc:Choice Requires="wps">
          <w:drawing>
            <wp:inline distT="0" distB="0" distL="0" distR="0" wp14:anchorId="7B73E6BA" wp14:editId="28677A4A">
              <wp:extent cx="6867525" cy="0"/>
              <wp:effectExtent l="0" t="38100" r="47625" b="38100"/>
              <wp:docPr id="28" name="Straight Connector 28"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5" cy="0"/>
                      </a:xfrm>
                      <a:prstGeom prst="line">
                        <a:avLst/>
                      </a:prstGeom>
                      <a:noFill/>
                      <a:ln w="76200" cap="flat" cmpd="sng" algn="ctr">
                        <a:solidFill>
                          <a:srgbClr val="0395A7"/>
                        </a:solidFill>
                        <a:prstDash val="solid"/>
                      </a:ln>
                      <a:effectLst/>
                    </wps:spPr>
                    <wps:bodyPr/>
                  </wps:wsp>
                </a:graphicData>
              </a:graphic>
            </wp:inline>
          </w:drawing>
        </mc:Choice>
        <mc:Fallback>
          <w:pict>
            <v:line w14:anchorId="6FA4A284" id="Straight Connector 28"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540.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" strokecolor="#0395a7" strokeweight="6pt">
              <o:lock v:ext="edit" shapetype="f"/>
              <w10:anchorlock/>
            </v:line>
          </w:pict>
        </mc:Fallback>
      </mc:AlternateContent>
    </w:r>
  </w:p>
  <w:p w:rsidR="00A031DA" w:rsidRDefault="00A03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66276"/>
    <w:multiLevelType w:val="hybridMultilevel"/>
    <w:tmpl w:val="4B8C9E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4911E86"/>
    <w:multiLevelType w:val="hybridMultilevel"/>
    <w:tmpl w:val="825A1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C27"/>
    <w:rsid w:val="0011125B"/>
    <w:rsid w:val="001F67E5"/>
    <w:rsid w:val="00370CC3"/>
    <w:rsid w:val="00455C27"/>
    <w:rsid w:val="00466A81"/>
    <w:rsid w:val="004917D3"/>
    <w:rsid w:val="004B48E3"/>
    <w:rsid w:val="004C6029"/>
    <w:rsid w:val="007D02FA"/>
    <w:rsid w:val="00A031DA"/>
    <w:rsid w:val="00AA7E83"/>
    <w:rsid w:val="00D4799F"/>
    <w:rsid w:val="00DB13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BE1E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C27"/>
    <w:pPr>
      <w:spacing w:before="120" w:after="0" w:line="240" w:lineRule="auto"/>
    </w:pPr>
    <w:rPr>
      <w:rFonts w:ascii="Arial" w:eastAsia="Times New Roman" w:hAnsi="Arial" w:cs="Times New Roman"/>
      <w:szCs w:val="24"/>
      <w:lang w:eastAsia="en-AU"/>
    </w:rPr>
  </w:style>
  <w:style w:type="paragraph" w:styleId="Heading1">
    <w:name w:val="heading 1"/>
    <w:basedOn w:val="Normal"/>
    <w:next w:val="Normal"/>
    <w:link w:val="Heading1Char"/>
    <w:uiPriority w:val="9"/>
    <w:qFormat/>
    <w:rsid w:val="00A031DA"/>
    <w:pPr>
      <w:autoSpaceDE w:val="0"/>
      <w:autoSpaceDN w:val="0"/>
      <w:spacing w:before="360" w:after="360" w:line="276" w:lineRule="auto"/>
      <w:mirrorIndents/>
      <w:outlineLvl w:val="0"/>
    </w:pPr>
    <w:rPr>
      <w:rFonts w:ascii="Calibri" w:hAnsi="Calibri" w:cs="Calibri"/>
      <w:i/>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Recommendation,Brief List Paragraph 1,DDM Gen Text,L,Numbered paragraph,CV text,Table text,F5 List Paragraph,Dot pt,List Paragraph111,Medium Grid 1 - Accent 21,Numbered Paragraph,List Paragraph2,Bullets"/>
    <w:basedOn w:val="Normal"/>
    <w:link w:val="ListParagraphChar"/>
    <w:uiPriority w:val="34"/>
    <w:qFormat/>
    <w:rsid w:val="00455C27"/>
    <w:pPr>
      <w:spacing w:before="0"/>
      <w:ind w:left="720"/>
    </w:pPr>
    <w:rPr>
      <w:rFonts w:ascii="Calibri" w:eastAsiaTheme="minorHAnsi" w:hAnsi="Calibri" w:cs="Calibri"/>
      <w:szCs w:val="22"/>
      <w:lang w:eastAsia="en-US"/>
    </w:rPr>
  </w:style>
  <w:style w:type="character" w:styleId="Hyperlink">
    <w:name w:val="Hyperlink"/>
    <w:basedOn w:val="DefaultParagraphFont"/>
    <w:uiPriority w:val="99"/>
    <w:unhideWhenUsed/>
    <w:rsid w:val="00455C27"/>
    <w:rPr>
      <w:color w:val="0563C1" w:themeColor="hyperlink"/>
      <w:u w:val="single"/>
    </w:rPr>
  </w:style>
  <w:style w:type="character" w:customStyle="1" w:styleId="ListParagraphChar">
    <w:name w:val="List Paragraph Char"/>
    <w:aliases w:val="List Paragraph1 Char,List Paragraph11 Char,Recommendation Char,Brief List Paragraph 1 Char,DDM Gen Text Char,L Char,Numbered paragraph Char,CV text Char,Table text Char,F5 List Paragraph Char,Dot pt Char,List Paragraph111 Char"/>
    <w:link w:val="ListParagraph"/>
    <w:uiPriority w:val="34"/>
    <w:locked/>
    <w:rsid w:val="00455C27"/>
    <w:rPr>
      <w:rFonts w:ascii="Calibri" w:hAnsi="Calibri" w:cs="Calibri"/>
    </w:rPr>
  </w:style>
  <w:style w:type="paragraph" w:styleId="FootnoteText">
    <w:name w:val="footnote text"/>
    <w:aliases w:val="5_G,Footnote Text Char Char Char,Footnote Text Char Char Char Char Char Char Char Char,Footnote Text Char Char Ch Char,Footnote Text Char Char Ch Char Char Char Char,Footnote Text Char Char Char Ch,FA Fu,f,FOOTNOTES,fn,Geneva 9,Boston 10,A"/>
    <w:basedOn w:val="Normal"/>
    <w:link w:val="FootnoteTextChar"/>
    <w:uiPriority w:val="99"/>
    <w:qFormat/>
    <w:rsid w:val="00455C27"/>
    <w:pPr>
      <w:spacing w:before="0" w:after="120" w:line="360" w:lineRule="auto"/>
    </w:pPr>
    <w:rPr>
      <w:rFonts w:cs="Arial"/>
      <w:lang w:eastAsia="en-US"/>
    </w:rPr>
  </w:style>
  <w:style w:type="character" w:customStyle="1" w:styleId="FootnoteTextChar">
    <w:name w:val="Footnote Text Char"/>
    <w:aliases w:val="5_G Char,Footnote Text Char Char Char Char,Footnote Text Char Char Char Char Char Char Char Char Char,Footnote Text Char Char Ch Char Char,Footnote Text Char Char Ch Char Char Char Char Char,Footnote Text Char Char Char Ch Char,f Char"/>
    <w:basedOn w:val="DefaultParagraphFont"/>
    <w:link w:val="FootnoteText"/>
    <w:uiPriority w:val="99"/>
    <w:rsid w:val="00455C27"/>
    <w:rPr>
      <w:rFonts w:ascii="Arial" w:eastAsia="Times New Roman" w:hAnsi="Arial" w:cs="Arial"/>
      <w:szCs w:val="24"/>
    </w:rPr>
  </w:style>
  <w:style w:type="character" w:styleId="FootnoteReference">
    <w:name w:val="footnote reference"/>
    <w:aliases w:val="4_G,Footnotes refss,Footnote Ref,16 Point,Superscript 6 Point,ftref,Footnote Refernece,[0],Texto de nota al pie,referencia nota al pie,BVI fnr,Footnote text,NO"/>
    <w:basedOn w:val="DefaultParagraphFont"/>
    <w:uiPriority w:val="99"/>
    <w:qFormat/>
    <w:rsid w:val="00455C27"/>
    <w:rPr>
      <w:rFonts w:cs="Times New Roman"/>
      <w:vertAlign w:val="superscript"/>
    </w:rPr>
  </w:style>
  <w:style w:type="paragraph" w:styleId="NormalWeb">
    <w:name w:val="Normal (Web)"/>
    <w:basedOn w:val="Normal"/>
    <w:uiPriority w:val="99"/>
    <w:semiHidden/>
    <w:unhideWhenUsed/>
    <w:rsid w:val="00455C27"/>
    <w:pPr>
      <w:spacing w:before="100" w:beforeAutospacing="1" w:after="100" w:afterAutospacing="1"/>
    </w:pPr>
    <w:rPr>
      <w:rFonts w:ascii="Times New Roman" w:hAnsi="Times New Roman"/>
      <w:sz w:val="24"/>
    </w:rPr>
  </w:style>
  <w:style w:type="paragraph" w:styleId="EndnoteText">
    <w:name w:val="endnote text"/>
    <w:basedOn w:val="Normal"/>
    <w:link w:val="EndnoteTextChar"/>
    <w:uiPriority w:val="99"/>
    <w:semiHidden/>
    <w:unhideWhenUsed/>
    <w:rsid w:val="00455C27"/>
    <w:pPr>
      <w:spacing w:before="0"/>
    </w:pPr>
    <w:rPr>
      <w:sz w:val="20"/>
      <w:szCs w:val="20"/>
    </w:rPr>
  </w:style>
  <w:style w:type="character" w:customStyle="1" w:styleId="EndnoteTextChar">
    <w:name w:val="Endnote Text Char"/>
    <w:basedOn w:val="DefaultParagraphFont"/>
    <w:link w:val="EndnoteText"/>
    <w:uiPriority w:val="99"/>
    <w:semiHidden/>
    <w:rsid w:val="00455C27"/>
    <w:rPr>
      <w:rFonts w:ascii="Arial" w:eastAsia="Times New Roman" w:hAnsi="Arial" w:cs="Times New Roman"/>
      <w:sz w:val="20"/>
      <w:szCs w:val="20"/>
      <w:lang w:eastAsia="en-AU"/>
    </w:rPr>
  </w:style>
  <w:style w:type="character" w:styleId="EndnoteReference">
    <w:name w:val="endnote reference"/>
    <w:basedOn w:val="DefaultParagraphFont"/>
    <w:uiPriority w:val="99"/>
    <w:semiHidden/>
    <w:unhideWhenUsed/>
    <w:rsid w:val="00455C27"/>
    <w:rPr>
      <w:vertAlign w:val="superscript"/>
    </w:rPr>
  </w:style>
  <w:style w:type="paragraph" w:styleId="Header">
    <w:name w:val="header"/>
    <w:basedOn w:val="Normal"/>
    <w:link w:val="HeaderChar"/>
    <w:uiPriority w:val="99"/>
    <w:unhideWhenUsed/>
    <w:rsid w:val="00455C27"/>
    <w:pPr>
      <w:tabs>
        <w:tab w:val="center" w:pos="4513"/>
        <w:tab w:val="right" w:pos="9026"/>
      </w:tabs>
      <w:spacing w:before="0"/>
    </w:pPr>
  </w:style>
  <w:style w:type="character" w:customStyle="1" w:styleId="HeaderChar">
    <w:name w:val="Header Char"/>
    <w:basedOn w:val="DefaultParagraphFont"/>
    <w:link w:val="Header"/>
    <w:uiPriority w:val="99"/>
    <w:rsid w:val="00455C27"/>
    <w:rPr>
      <w:rFonts w:ascii="Arial" w:eastAsia="Times New Roman" w:hAnsi="Arial" w:cs="Times New Roman"/>
      <w:szCs w:val="24"/>
      <w:lang w:eastAsia="en-AU"/>
    </w:rPr>
  </w:style>
  <w:style w:type="paragraph" w:styleId="Footer">
    <w:name w:val="footer"/>
    <w:basedOn w:val="Normal"/>
    <w:link w:val="FooterChar"/>
    <w:unhideWhenUsed/>
    <w:rsid w:val="00455C27"/>
    <w:pPr>
      <w:tabs>
        <w:tab w:val="center" w:pos="4513"/>
        <w:tab w:val="right" w:pos="9026"/>
      </w:tabs>
      <w:spacing w:before="0"/>
    </w:pPr>
  </w:style>
  <w:style w:type="character" w:customStyle="1" w:styleId="FooterChar">
    <w:name w:val="Footer Char"/>
    <w:basedOn w:val="DefaultParagraphFont"/>
    <w:link w:val="Footer"/>
    <w:rsid w:val="00455C27"/>
    <w:rPr>
      <w:rFonts w:ascii="Arial" w:eastAsia="Times New Roman" w:hAnsi="Arial" w:cs="Times New Roman"/>
      <w:szCs w:val="24"/>
      <w:lang w:eastAsia="en-AU"/>
    </w:rPr>
  </w:style>
  <w:style w:type="paragraph" w:styleId="BodyText">
    <w:name w:val="Body Text"/>
    <w:basedOn w:val="Normal"/>
    <w:link w:val="BodyTextChar"/>
    <w:uiPriority w:val="1"/>
    <w:qFormat/>
    <w:rsid w:val="00455C27"/>
    <w:pPr>
      <w:widowControl w:val="0"/>
      <w:autoSpaceDE w:val="0"/>
      <w:autoSpaceDN w:val="0"/>
      <w:spacing w:before="0"/>
      <w:ind w:left="100"/>
    </w:pPr>
    <w:rPr>
      <w:rFonts w:ascii="Times New Roman" w:hAnsi="Times New Roman"/>
      <w:szCs w:val="22"/>
      <w:lang w:val="en-US" w:eastAsia="en-US"/>
    </w:rPr>
  </w:style>
  <w:style w:type="character" w:customStyle="1" w:styleId="BodyTextChar">
    <w:name w:val="Body Text Char"/>
    <w:basedOn w:val="DefaultParagraphFont"/>
    <w:link w:val="BodyText"/>
    <w:uiPriority w:val="1"/>
    <w:rsid w:val="00455C27"/>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9"/>
    <w:rsid w:val="00A031DA"/>
    <w:rPr>
      <w:rFonts w:ascii="Calibri" w:eastAsia="Times New Roman" w:hAnsi="Calibri" w:cs="Calibri"/>
      <w:i/>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niorclerk.committees.sen@aph.gov.a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leaningaccountability.org.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irwork.gov.au/about-us/access-accountability-and-reporting/inquiry-report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mailto:sandra.parker@fwo.gov.au"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9615A-E5E0-4D23-8165-7445B5163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DEEEADB2.dotm</Template>
  <TotalTime>0</TotalTime>
  <Pages>4</Pages>
  <Words>1231</Words>
  <Characters>7103</Characters>
  <Application>Microsoft Office Word</Application>
  <DocSecurity>0</DocSecurity>
  <Lines>109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2019-05-07T06:16:00Z</dcterms:created>
  <dcterms:modified xsi:type="dcterms:W3CDTF">2019-05-08T02:42:00Z</dcterms:modified>
</cp:coreProperties>
</file>