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0E560" w14:textId="67A1797B" w:rsidR="005325F3" w:rsidRDefault="005325F3" w:rsidP="00037292">
      <w:pPr>
        <w:spacing w:after="840"/>
        <w:rPr>
          <w:rFonts w:cstheme="minorHAnsi"/>
        </w:rPr>
      </w:pPr>
      <w:r w:rsidRPr="00AE72F6">
        <w:rPr>
          <w:rFonts w:cstheme="minorHAnsi"/>
        </w:rPr>
        <w:t>5 February 2019</w:t>
      </w:r>
    </w:p>
    <w:p w14:paraId="2E2B2859" w14:textId="77777777" w:rsidR="009140D8" w:rsidRDefault="005325F3" w:rsidP="009140D8">
      <w:pPr>
        <w:spacing w:after="0"/>
        <w:rPr>
          <w:rFonts w:cstheme="minorHAnsi"/>
        </w:rPr>
      </w:pPr>
      <w:r w:rsidRPr="00AE72F6">
        <w:rPr>
          <w:rFonts w:cstheme="minorHAnsi"/>
        </w:rPr>
        <w:t>Ms Natalie James</w:t>
      </w:r>
    </w:p>
    <w:p w14:paraId="27617624" w14:textId="77777777" w:rsidR="009140D8" w:rsidRDefault="005325F3" w:rsidP="009140D8">
      <w:pPr>
        <w:spacing w:after="0"/>
        <w:rPr>
          <w:rFonts w:cstheme="minorHAnsi"/>
        </w:rPr>
      </w:pPr>
      <w:r w:rsidRPr="00AE72F6">
        <w:rPr>
          <w:rFonts w:cstheme="minorHAnsi"/>
        </w:rPr>
        <w:t>Chair</w:t>
      </w:r>
    </w:p>
    <w:p w14:paraId="719B39E7" w14:textId="4689968D" w:rsidR="005325F3" w:rsidRPr="00AE72F6" w:rsidRDefault="005325F3" w:rsidP="009140D8">
      <w:pPr>
        <w:spacing w:after="0"/>
        <w:rPr>
          <w:rFonts w:cstheme="minorHAnsi"/>
        </w:rPr>
      </w:pPr>
      <w:r w:rsidRPr="00AE72F6">
        <w:rPr>
          <w:rFonts w:cstheme="minorHAnsi"/>
          <w:lang w:val="en"/>
        </w:rPr>
        <w:t>Inquiry into the Victorian on-demand workforce</w:t>
      </w:r>
    </w:p>
    <w:p w14:paraId="23D86BE6" w14:textId="5AE5D532" w:rsidR="00E16BA7" w:rsidRPr="00AE72F6" w:rsidRDefault="005325F3" w:rsidP="00037292">
      <w:pPr>
        <w:spacing w:after="960"/>
        <w:rPr>
          <w:rFonts w:cstheme="minorHAnsi"/>
        </w:rPr>
      </w:pPr>
      <w:r w:rsidRPr="00AE72F6">
        <w:rPr>
          <w:rFonts w:cstheme="minorHAnsi"/>
        </w:rPr>
        <w:t xml:space="preserve">By email: </w:t>
      </w:r>
      <w:hyperlink r:id="rId8" w:tooltip="Email - Inquiry inbox" w:history="1">
        <w:r w:rsidRPr="00AE72F6">
          <w:rPr>
            <w:rStyle w:val="Hyperlink"/>
            <w:rFonts w:cstheme="minorHAnsi"/>
          </w:rPr>
          <w:t>OnDemandInquiry@ecodev.vic.gov.au</w:t>
        </w:r>
      </w:hyperlink>
    </w:p>
    <w:p w14:paraId="27843469" w14:textId="39CF1633" w:rsidR="005325F3" w:rsidRPr="00AE72F6" w:rsidRDefault="005325F3" w:rsidP="009140D8">
      <w:pPr>
        <w:spacing w:after="240"/>
        <w:rPr>
          <w:rFonts w:cstheme="minorHAnsi"/>
        </w:rPr>
      </w:pPr>
      <w:r w:rsidRPr="00AE72F6">
        <w:rPr>
          <w:rFonts w:cstheme="minorHAnsi"/>
        </w:rPr>
        <w:t>Dear Chair</w:t>
      </w:r>
    </w:p>
    <w:p w14:paraId="1F0BF3EC" w14:textId="39E33387" w:rsidR="005325F3" w:rsidRPr="00AE72F6" w:rsidRDefault="005325F3" w:rsidP="009140D8">
      <w:pPr>
        <w:spacing w:after="240"/>
        <w:rPr>
          <w:rFonts w:cstheme="minorHAnsi"/>
        </w:rPr>
      </w:pPr>
      <w:r w:rsidRPr="00AE72F6">
        <w:rPr>
          <w:rFonts w:cstheme="minorHAnsi"/>
        </w:rPr>
        <w:t>Thank you for the opportunity to make a submission to the Inquiry into the Victorian on-demand workforce (</w:t>
      </w:r>
      <w:r w:rsidRPr="000856FD">
        <w:rPr>
          <w:rFonts w:cstheme="minorHAnsi"/>
        </w:rPr>
        <w:t>the</w:t>
      </w:r>
      <w:r w:rsidRPr="00AE72F6">
        <w:rPr>
          <w:rFonts w:cstheme="minorHAnsi"/>
        </w:rPr>
        <w:t xml:space="preserve"> </w:t>
      </w:r>
      <w:r w:rsidRPr="00AE72F6">
        <w:rPr>
          <w:rFonts w:cstheme="minorHAnsi"/>
          <w:b/>
        </w:rPr>
        <w:t>Inquiry</w:t>
      </w:r>
      <w:r w:rsidR="009140D8">
        <w:rPr>
          <w:rFonts w:cstheme="minorHAnsi"/>
        </w:rPr>
        <w:t>).</w:t>
      </w:r>
    </w:p>
    <w:p w14:paraId="1E1BFE51" w14:textId="5C3C851A" w:rsidR="005325F3" w:rsidRPr="00AE72F6" w:rsidRDefault="005325F3" w:rsidP="009140D8">
      <w:pPr>
        <w:pStyle w:val="Heading1"/>
        <w:spacing w:after="240"/>
      </w:pPr>
      <w:r w:rsidRPr="00AE72F6">
        <w:t>About the Fair Work Ombudsman</w:t>
      </w:r>
    </w:p>
    <w:p w14:paraId="76735951" w14:textId="25CB9960" w:rsidR="005325F3" w:rsidRPr="00AE72F6" w:rsidRDefault="005325F3" w:rsidP="009140D8">
      <w:pPr>
        <w:spacing w:after="240"/>
        <w:rPr>
          <w:rFonts w:cstheme="minorHAnsi"/>
          <w:b/>
        </w:rPr>
      </w:pPr>
      <w:r w:rsidRPr="00AE72F6">
        <w:rPr>
          <w:rFonts w:cstheme="minorHAnsi"/>
        </w:rPr>
        <w:t xml:space="preserve">The Fair Work Ombudsman (the </w:t>
      </w:r>
      <w:r w:rsidRPr="00AE72F6">
        <w:rPr>
          <w:rFonts w:cstheme="minorHAnsi"/>
          <w:b/>
        </w:rPr>
        <w:t>FWO</w:t>
      </w:r>
      <w:r w:rsidRPr="00AE72F6">
        <w:rPr>
          <w:rFonts w:cstheme="minorHAnsi"/>
        </w:rPr>
        <w:t xml:space="preserve">) is Australia’s national workplace relations regulator. </w:t>
      </w:r>
      <w:r w:rsidRPr="00AE72F6">
        <w:rPr>
          <w:rFonts w:cstheme="minorHAnsi"/>
          <w:lang w:val="en"/>
        </w:rPr>
        <w:t xml:space="preserve">Our jurisdiction is primarily set out in </w:t>
      </w:r>
      <w:r w:rsidRPr="00AE72F6">
        <w:rPr>
          <w:rFonts w:cstheme="minorHAnsi"/>
        </w:rPr>
        <w:t xml:space="preserve">the </w:t>
      </w:r>
      <w:r w:rsidRPr="00AE72F6">
        <w:rPr>
          <w:rFonts w:cstheme="minorHAnsi"/>
          <w:i/>
        </w:rPr>
        <w:t xml:space="preserve">Fair Work Act 2009 </w:t>
      </w:r>
      <w:r w:rsidRPr="00AE72F6">
        <w:rPr>
          <w:rFonts w:cstheme="minorHAnsi"/>
        </w:rPr>
        <w:t>(</w:t>
      </w:r>
      <w:proofErr w:type="spellStart"/>
      <w:r w:rsidRPr="00AE72F6">
        <w:rPr>
          <w:rFonts w:cstheme="minorHAnsi"/>
        </w:rPr>
        <w:t>Cth</w:t>
      </w:r>
      <w:proofErr w:type="spellEnd"/>
      <w:r w:rsidRPr="00AE72F6">
        <w:rPr>
          <w:rFonts w:cstheme="minorHAnsi"/>
        </w:rPr>
        <w:t>) (</w:t>
      </w:r>
      <w:r w:rsidRPr="00AE72F6">
        <w:rPr>
          <w:rFonts w:cstheme="minorHAnsi"/>
          <w:b/>
        </w:rPr>
        <w:t>FW Act</w:t>
      </w:r>
      <w:r w:rsidRPr="00AE72F6">
        <w:rPr>
          <w:rFonts w:cstheme="minorHAnsi"/>
        </w:rPr>
        <w:t>)</w:t>
      </w:r>
      <w:r w:rsidRPr="00AE72F6">
        <w:rPr>
          <w:rFonts w:cstheme="minorHAnsi"/>
          <w:lang w:val="en"/>
        </w:rPr>
        <w:t xml:space="preserve">. The FWO’s role is to provide education, assistance and advice about the Commonwealth workplace relations system and to enforce compliance with workplace laws, and our services are free to the community. </w:t>
      </w:r>
      <w:r w:rsidRPr="00AE72F6">
        <w:rPr>
          <w:rFonts w:cstheme="minorHAnsi"/>
        </w:rPr>
        <w:t>In fulfilling our role under the FW Act</w:t>
      </w:r>
      <w:r w:rsidRPr="00AE72F6">
        <w:rPr>
          <w:rFonts w:cstheme="minorHAnsi"/>
          <w:i/>
        </w:rPr>
        <w:t xml:space="preserve">, </w:t>
      </w:r>
      <w:r w:rsidRPr="00AE72F6">
        <w:rPr>
          <w:rFonts w:cstheme="minorHAnsi"/>
        </w:rPr>
        <w:t>the FWO adopts a compliance model built on a mix of risk-based regulation and strategic enforcement, which is set out in our publicly available Compliance and Enforcement Policy</w:t>
      </w:r>
      <w:r w:rsidRPr="00AE72F6">
        <w:rPr>
          <w:rStyle w:val="FootnoteReference"/>
          <w:rFonts w:cstheme="minorHAnsi"/>
        </w:rPr>
        <w:footnoteReference w:id="1"/>
      </w:r>
      <w:r w:rsidRPr="00AE72F6">
        <w:rPr>
          <w:rFonts w:cstheme="minorHAnsi"/>
        </w:rPr>
        <w:t xml:space="preserve"> and Litigation Policy</w:t>
      </w:r>
      <w:r w:rsidRPr="00AE72F6">
        <w:rPr>
          <w:rStyle w:val="FootnoteReference"/>
          <w:rFonts w:cstheme="minorHAnsi"/>
        </w:rPr>
        <w:footnoteReference w:id="2"/>
      </w:r>
      <w:r w:rsidR="009140D8">
        <w:rPr>
          <w:rFonts w:cstheme="minorHAnsi"/>
        </w:rPr>
        <w:t>.</w:t>
      </w:r>
    </w:p>
    <w:p w14:paraId="3BFE49FF" w14:textId="0EC7C009" w:rsidR="005325F3" w:rsidRPr="00AE72F6" w:rsidRDefault="005325F3" w:rsidP="009140D8">
      <w:pPr>
        <w:pStyle w:val="Heading1"/>
        <w:spacing w:after="240"/>
        <w:rPr>
          <w:b w:val="0"/>
        </w:rPr>
      </w:pPr>
      <w:r w:rsidRPr="00AA588E">
        <w:t>FWO interface with the on-demand workforce</w:t>
      </w:r>
    </w:p>
    <w:p w14:paraId="5CB270D9" w14:textId="201EC9AD" w:rsidR="005325F3" w:rsidRPr="00AE72F6" w:rsidRDefault="005325F3" w:rsidP="009140D8">
      <w:pPr>
        <w:spacing w:after="240"/>
        <w:rPr>
          <w:rFonts w:cstheme="minorHAnsi"/>
        </w:rPr>
      </w:pPr>
      <w:r w:rsidRPr="00AE72F6">
        <w:rPr>
          <w:rFonts w:cstheme="minorHAnsi"/>
        </w:rPr>
        <w:t>The FWO closely monitors developments in its jurisdiction, including the emergence of the ‘on-demand’ economy and workforce that is the focus of this Inquiry. The FWO’s approach to resolving issues arising in the on-demand workforce is necessarily consistent with our approach to any dispute requiring our intervention, namely to apply and enforce Australian workplace law as it stands. However, as an innovative and agile regulator, the FWO is also committed to ensuring that our regulatory tools of trade evolve with the needs of the community.</w:t>
      </w:r>
    </w:p>
    <w:p w14:paraId="4C3184B7" w14:textId="582BB25C" w:rsidR="005325F3" w:rsidRPr="00AE72F6" w:rsidRDefault="005325F3" w:rsidP="00037292">
      <w:pPr>
        <w:spacing w:after="240"/>
        <w:rPr>
          <w:rFonts w:cstheme="minorHAnsi"/>
        </w:rPr>
      </w:pPr>
      <w:r w:rsidRPr="00AE72F6">
        <w:rPr>
          <w:rFonts w:cstheme="minorHAnsi"/>
        </w:rPr>
        <w:t xml:space="preserve">At present, on the available data, the ‘on-demand’ workforce appears to represent only a small proportion of the Australian workforce as a whole. For example, in March 2018, the Association of </w:t>
      </w:r>
      <w:r w:rsidRPr="00AE72F6">
        <w:rPr>
          <w:rFonts w:cstheme="minorHAnsi"/>
        </w:rPr>
        <w:lastRenderedPageBreak/>
        <w:t>Superannuation Funds of Australia estimated that approximately 150,000 people, or approximately 1.2 per cent of the Australian workforce, use digital platforms to obtain work on a regular basis.</w:t>
      </w:r>
      <w:r w:rsidRPr="00AE72F6">
        <w:rPr>
          <w:rStyle w:val="FootnoteReference"/>
          <w:rFonts w:cstheme="minorHAnsi"/>
        </w:rPr>
        <w:footnoteReference w:id="3"/>
      </w:r>
      <w:r w:rsidRPr="00AE72F6">
        <w:rPr>
          <w:rFonts w:cstheme="minorHAnsi"/>
        </w:rPr>
        <w:t xml:space="preserve"> This appears to be smaller than the on-demand workforce in some jurisdictions, such as the United Kingdom</w:t>
      </w:r>
      <w:r w:rsidRPr="00AE72F6">
        <w:rPr>
          <w:rStyle w:val="FootnoteReference"/>
          <w:rFonts w:cstheme="minorHAnsi"/>
        </w:rPr>
        <w:footnoteReference w:id="4"/>
      </w:r>
      <w:r w:rsidRPr="00AE72F6">
        <w:rPr>
          <w:rFonts w:cstheme="minorHAnsi"/>
        </w:rPr>
        <w:t xml:space="preserve">, but larger than others, such as the United </w:t>
      </w:r>
      <w:proofErr w:type="gramStart"/>
      <w:r w:rsidRPr="00AE72F6">
        <w:rPr>
          <w:rFonts w:cstheme="minorHAnsi"/>
        </w:rPr>
        <w:t>States</w:t>
      </w:r>
      <w:proofErr w:type="gramEnd"/>
      <w:r w:rsidRPr="00AE72F6">
        <w:rPr>
          <w:rStyle w:val="FootnoteReference"/>
          <w:rFonts w:cstheme="minorHAnsi"/>
        </w:rPr>
        <w:footnoteReference w:id="5"/>
      </w:r>
      <w:r w:rsidRPr="00AE72F6">
        <w:rPr>
          <w:rFonts w:cstheme="minorHAnsi"/>
        </w:rPr>
        <w:t>. Consistent with these figures, on-demand workers have similarly represented only a small proportion of total FWO requests for assistance to date.</w:t>
      </w:r>
      <w:r w:rsidRPr="00AE72F6">
        <w:rPr>
          <w:rStyle w:val="FootnoteReference"/>
          <w:rFonts w:cstheme="minorHAnsi"/>
        </w:rPr>
        <w:footnoteReference w:id="6"/>
      </w:r>
    </w:p>
    <w:p w14:paraId="22BD3FF1" w14:textId="77777777" w:rsidR="005325F3" w:rsidRPr="00AE72F6" w:rsidRDefault="005325F3" w:rsidP="00037292">
      <w:pPr>
        <w:spacing w:after="240"/>
        <w:rPr>
          <w:rFonts w:cstheme="minorHAnsi"/>
        </w:rPr>
      </w:pPr>
      <w:r w:rsidRPr="00AE72F6">
        <w:rPr>
          <w:rFonts w:cstheme="minorHAnsi"/>
        </w:rPr>
        <w:t>Regardless of the size of the on-demand workforce, the FWO has taken a keen interest in this issue over a number of years. The on-demand workforce intersects with a number of current priority areas for the FWO, namely:</w:t>
      </w:r>
    </w:p>
    <w:p w14:paraId="514AC3C3" w14:textId="77777777" w:rsidR="005325F3" w:rsidRPr="00AE72F6" w:rsidRDefault="005325F3" w:rsidP="009140D8">
      <w:pPr>
        <w:pStyle w:val="ListParagraph"/>
        <w:numPr>
          <w:ilvl w:val="0"/>
          <w:numId w:val="8"/>
        </w:numPr>
        <w:spacing w:after="0"/>
        <w:contextualSpacing w:val="0"/>
        <w:rPr>
          <w:rFonts w:cstheme="minorHAnsi"/>
        </w:rPr>
      </w:pPr>
      <w:r w:rsidRPr="00AE72F6">
        <w:rPr>
          <w:rFonts w:cstheme="minorHAnsi"/>
          <w:i/>
        </w:rPr>
        <w:t>Fast food, restaurants and cafés</w:t>
      </w:r>
      <w:r w:rsidRPr="00AE72F6">
        <w:rPr>
          <w:rFonts w:cstheme="minorHAnsi"/>
        </w:rPr>
        <w:t xml:space="preserve">: Several of Australia’s more </w:t>
      </w:r>
      <w:proofErr w:type="gramStart"/>
      <w:r w:rsidRPr="00AE72F6">
        <w:rPr>
          <w:rFonts w:cstheme="minorHAnsi"/>
        </w:rPr>
        <w:t>well-known</w:t>
      </w:r>
      <w:proofErr w:type="gramEnd"/>
      <w:r w:rsidRPr="00AE72F6">
        <w:rPr>
          <w:rFonts w:cstheme="minorHAnsi"/>
        </w:rPr>
        <w:t xml:space="preserve"> on-demand businesses service this sector.</w:t>
      </w:r>
    </w:p>
    <w:p w14:paraId="3C44E70F" w14:textId="77777777" w:rsidR="005325F3" w:rsidRPr="00AE72F6" w:rsidRDefault="005325F3" w:rsidP="009140D8">
      <w:pPr>
        <w:pStyle w:val="ListParagraph"/>
        <w:numPr>
          <w:ilvl w:val="0"/>
          <w:numId w:val="8"/>
        </w:numPr>
        <w:spacing w:after="0"/>
        <w:contextualSpacing w:val="0"/>
        <w:rPr>
          <w:rFonts w:cstheme="minorHAnsi"/>
          <w:i/>
        </w:rPr>
      </w:pPr>
      <w:r w:rsidRPr="00AE72F6">
        <w:rPr>
          <w:rFonts w:cstheme="minorHAnsi"/>
          <w:i/>
        </w:rPr>
        <w:t xml:space="preserve">Supply chain risks: </w:t>
      </w:r>
      <w:r w:rsidRPr="00AE72F6">
        <w:rPr>
          <w:rFonts w:cstheme="minorHAnsi"/>
        </w:rPr>
        <w:t xml:space="preserve">Any business that procures labour from a third party, including via an on-demand business, </w:t>
      </w:r>
      <w:proofErr w:type="gramStart"/>
      <w:r w:rsidRPr="00AE72F6">
        <w:rPr>
          <w:rFonts w:cstheme="minorHAnsi"/>
        </w:rPr>
        <w:t>is exposed</w:t>
      </w:r>
      <w:proofErr w:type="gramEnd"/>
      <w:r w:rsidRPr="00AE72F6">
        <w:rPr>
          <w:rFonts w:cstheme="minorHAnsi"/>
        </w:rPr>
        <w:t xml:space="preserve"> to legal and reputational risk if that third party does not comply with their obligations under workplace law.</w:t>
      </w:r>
    </w:p>
    <w:p w14:paraId="3A60EE69" w14:textId="77777777" w:rsidR="005325F3" w:rsidRPr="00AE72F6" w:rsidRDefault="005325F3" w:rsidP="009140D8">
      <w:pPr>
        <w:pStyle w:val="ListParagraph"/>
        <w:numPr>
          <w:ilvl w:val="0"/>
          <w:numId w:val="8"/>
        </w:numPr>
        <w:spacing w:after="0"/>
        <w:contextualSpacing w:val="0"/>
        <w:rPr>
          <w:rFonts w:cstheme="minorHAnsi"/>
        </w:rPr>
      </w:pPr>
      <w:r w:rsidRPr="00AE72F6">
        <w:rPr>
          <w:rFonts w:cstheme="minorHAnsi"/>
          <w:i/>
        </w:rPr>
        <w:t>Sham contracting</w:t>
      </w:r>
      <w:r w:rsidRPr="00AE72F6">
        <w:rPr>
          <w:rFonts w:cstheme="minorHAnsi"/>
        </w:rPr>
        <w:t xml:space="preserve">: The FWO’s interactions with on-demand workers and businesses to date have predominantly related to ensuring proper classification of workers, as either employees or contractors, depending on the circumstances of a particular engagement.  </w:t>
      </w:r>
    </w:p>
    <w:p w14:paraId="33A70252" w14:textId="77777777" w:rsidR="005325F3" w:rsidRPr="00AE72F6" w:rsidRDefault="005325F3" w:rsidP="009140D8">
      <w:pPr>
        <w:pStyle w:val="ListParagraph"/>
        <w:numPr>
          <w:ilvl w:val="0"/>
          <w:numId w:val="8"/>
        </w:numPr>
        <w:spacing w:after="0"/>
        <w:contextualSpacing w:val="0"/>
        <w:rPr>
          <w:rFonts w:cstheme="minorHAnsi"/>
        </w:rPr>
      </w:pPr>
      <w:r w:rsidRPr="00AE72F6">
        <w:rPr>
          <w:rFonts w:cstheme="minorHAnsi"/>
          <w:i/>
        </w:rPr>
        <w:t>Vulnerable workers</w:t>
      </w:r>
      <w:r w:rsidRPr="00AE72F6">
        <w:rPr>
          <w:rFonts w:cstheme="minorHAnsi"/>
        </w:rPr>
        <w:t xml:space="preserve">: </w:t>
      </w:r>
      <w:r w:rsidRPr="00AE72F6">
        <w:rPr>
          <w:rFonts w:cstheme="minorHAnsi"/>
          <w:iCs/>
        </w:rPr>
        <w:t xml:space="preserve">The FWO finds that certain cohorts of workers, such as young and migrant workers, can be vulnerable to exploitation. </w:t>
      </w:r>
      <w:proofErr w:type="gramStart"/>
      <w:r w:rsidRPr="00AE72F6">
        <w:rPr>
          <w:rFonts w:cstheme="minorHAnsi"/>
          <w:iCs/>
        </w:rPr>
        <w:t>A range of factors contribute</w:t>
      </w:r>
      <w:proofErr w:type="gramEnd"/>
      <w:r w:rsidRPr="00AE72F6">
        <w:rPr>
          <w:rFonts w:cstheme="minorHAnsi"/>
          <w:iCs/>
        </w:rPr>
        <w:t xml:space="preserve"> to their vulnerability, including that they are often not aware of their workplace rights and do not feel able to question their employers about their workplace rights and entitlements.</w:t>
      </w:r>
    </w:p>
    <w:p w14:paraId="610CED5D" w14:textId="1F665C53" w:rsidR="005325F3" w:rsidRPr="00AE72F6" w:rsidRDefault="005325F3" w:rsidP="00D54C8C">
      <w:pPr>
        <w:spacing w:before="360" w:after="240"/>
        <w:rPr>
          <w:rFonts w:cstheme="minorHAnsi"/>
          <w:b/>
        </w:rPr>
      </w:pPr>
      <w:r w:rsidRPr="00AE72F6">
        <w:rPr>
          <w:rFonts w:cstheme="minorHAnsi"/>
        </w:rPr>
        <w:t xml:space="preserve">In addition to responding to requests for assistance, the FWO has undertaken a number of self-initiated inquiries into on-demand businesses, one of which led to the commencement of the </w:t>
      </w:r>
      <w:proofErr w:type="spellStart"/>
      <w:r w:rsidRPr="00AE72F6">
        <w:rPr>
          <w:rFonts w:cstheme="minorHAnsi"/>
        </w:rPr>
        <w:t>Foodora</w:t>
      </w:r>
      <w:proofErr w:type="spellEnd"/>
      <w:r w:rsidRPr="00AE72F6">
        <w:rPr>
          <w:rFonts w:cstheme="minorHAnsi"/>
        </w:rPr>
        <w:t xml:space="preserve"> litigation, as discussed below. Further, as noted above, the FWO is actively monitoring developments in this area, including the Fair Work Commission’s recent decisions relating to Uber</w:t>
      </w:r>
      <w:r w:rsidRPr="00AE72F6">
        <w:rPr>
          <w:rStyle w:val="FootnoteReference"/>
          <w:rFonts w:cstheme="minorHAnsi"/>
        </w:rPr>
        <w:footnoteReference w:id="7"/>
      </w:r>
      <w:r w:rsidRPr="00AE72F6">
        <w:rPr>
          <w:rFonts w:cstheme="minorHAnsi"/>
        </w:rPr>
        <w:t xml:space="preserve"> and </w:t>
      </w:r>
      <w:proofErr w:type="spellStart"/>
      <w:r w:rsidRPr="00AE72F6">
        <w:rPr>
          <w:rFonts w:cstheme="minorHAnsi"/>
        </w:rPr>
        <w:t>Foodora</w:t>
      </w:r>
      <w:proofErr w:type="spellEnd"/>
      <w:r w:rsidRPr="00AE72F6">
        <w:rPr>
          <w:rStyle w:val="FootnoteReference"/>
          <w:rFonts w:cstheme="minorHAnsi"/>
        </w:rPr>
        <w:footnoteReference w:id="8"/>
      </w:r>
      <w:r w:rsidRPr="00AE72F6">
        <w:rPr>
          <w:rFonts w:cstheme="minorHAnsi"/>
        </w:rPr>
        <w:t>. The FWO also collects and analyses data and intelligence, and closely monitors media reporting, which then feeds into the Agency’s compliance and education activities.  The FWO works closely with regulators that have jurisdiction in this area including the ATO.</w:t>
      </w:r>
    </w:p>
    <w:p w14:paraId="018F6660" w14:textId="34F09B05" w:rsidR="005325F3" w:rsidRPr="00AE72F6" w:rsidRDefault="005325F3" w:rsidP="00D54C8C">
      <w:pPr>
        <w:pStyle w:val="Heading1"/>
        <w:spacing w:after="240"/>
      </w:pPr>
      <w:r w:rsidRPr="00AE72F6">
        <w:t>Misclassification and sham contracting</w:t>
      </w:r>
    </w:p>
    <w:p w14:paraId="2A70CA00" w14:textId="32187091" w:rsidR="005325F3" w:rsidRPr="00AE72F6" w:rsidRDefault="005325F3" w:rsidP="00D54C8C">
      <w:pPr>
        <w:spacing w:after="360"/>
        <w:rPr>
          <w:rFonts w:cstheme="minorHAnsi"/>
        </w:rPr>
      </w:pPr>
      <w:r w:rsidRPr="00AE72F6">
        <w:rPr>
          <w:rFonts w:cstheme="minorHAnsi"/>
        </w:rPr>
        <w:t xml:space="preserve">As noted above, the FWO’s interactions with on-demand workers and businesses to date have predominantly related to ensuring proper classification of workers, as either employees or contractors. Accordingly, the FWO’s activities are necessarily concerned with specific relationships </w:t>
      </w:r>
      <w:r w:rsidRPr="00AE72F6">
        <w:rPr>
          <w:rFonts w:cstheme="minorHAnsi"/>
        </w:rPr>
        <w:lastRenderedPageBreak/>
        <w:t xml:space="preserve">between individual workers and businesses, taken on a case-by-case basis, rather than the </w:t>
      </w:r>
      <w:r w:rsidR="009140D8">
        <w:rPr>
          <w:rFonts w:cstheme="minorHAnsi"/>
        </w:rPr>
        <w:t>on-demand workforce as a whole.</w:t>
      </w:r>
    </w:p>
    <w:p w14:paraId="229C515A" w14:textId="4AFAF698" w:rsidR="005325F3" w:rsidRPr="00AE72F6" w:rsidRDefault="005325F3" w:rsidP="00D54C8C">
      <w:pPr>
        <w:spacing w:after="360"/>
        <w:rPr>
          <w:rFonts w:cstheme="minorHAnsi"/>
        </w:rPr>
      </w:pPr>
      <w:r w:rsidRPr="00AE72F6">
        <w:rPr>
          <w:rFonts w:cstheme="minorHAnsi"/>
        </w:rPr>
        <w:t>Where questions arise as to whether an individual worker is genuinely an independent contractor running their own business, or an employee entitled to minimum rates of pay and other protections under workplace law, the FWO applies the common law indicia test to the relationship in question to determine the</w:t>
      </w:r>
      <w:r w:rsidR="009140D8">
        <w:rPr>
          <w:rFonts w:cstheme="minorHAnsi"/>
        </w:rPr>
        <w:t xml:space="preserve"> true nature of the engagement.</w:t>
      </w:r>
    </w:p>
    <w:p w14:paraId="5C89D846" w14:textId="6BA116F4" w:rsidR="005325F3" w:rsidRPr="00AE72F6" w:rsidRDefault="005325F3" w:rsidP="00D54C8C">
      <w:pPr>
        <w:spacing w:after="360"/>
        <w:rPr>
          <w:rFonts w:cstheme="minorHAnsi"/>
        </w:rPr>
      </w:pPr>
      <w:r w:rsidRPr="00AE72F6">
        <w:rPr>
          <w:rFonts w:cstheme="minorHAnsi"/>
        </w:rPr>
        <w:t>It is worth noting that the definition of ‘employment’ used by the FWO, as derived from the common law, is different from the expanded statutory definitions used by some other regulators in their jurisdictions, such as that used by the Australian Tax Office in respect of superannuation. This means that the FWO and the ATO, for example, may focus on different issues and different aspects of contracting arrangements, and may form differing views as to the proper classification of a particular worker, for a particular purpose. More information about the FWO’s approach in this regard is available on fairwork.gov.au.</w:t>
      </w:r>
      <w:r w:rsidRPr="00AE72F6">
        <w:rPr>
          <w:rStyle w:val="FootnoteReference"/>
          <w:rFonts w:cstheme="minorHAnsi"/>
        </w:rPr>
        <w:footnoteReference w:id="9"/>
      </w:r>
    </w:p>
    <w:p w14:paraId="7E9B96D2" w14:textId="2F545A00" w:rsidR="005325F3" w:rsidRPr="00AE72F6" w:rsidRDefault="005325F3" w:rsidP="00D54C8C">
      <w:pPr>
        <w:spacing w:after="360"/>
        <w:rPr>
          <w:rFonts w:cstheme="minorHAnsi"/>
        </w:rPr>
      </w:pPr>
      <w:r w:rsidRPr="00AE72F6">
        <w:rPr>
          <w:rFonts w:cstheme="minorHAnsi"/>
        </w:rPr>
        <w:t xml:space="preserve">Where the FWO finds that the law has been misapplied, and a genuine employee </w:t>
      </w:r>
      <w:proofErr w:type="gramStart"/>
      <w:r w:rsidRPr="00AE72F6">
        <w:rPr>
          <w:rFonts w:cstheme="minorHAnsi"/>
        </w:rPr>
        <w:t>has been treated</w:t>
      </w:r>
      <w:proofErr w:type="gramEnd"/>
      <w:r w:rsidRPr="00AE72F6">
        <w:rPr>
          <w:rFonts w:cstheme="minorHAnsi"/>
        </w:rPr>
        <w:t xml:space="preserve"> as a contractor, our response will vary depending on the circumstances of the matter.  If the problem has arisen as the result of a genuine mistake or misunderstanding of the law, we can often best assist the parties by providing education and support to ensure any outstanding entitlements are immediately rectified and future misclassifications avoided.  In addition to seeking advice and assistance from the Fair Work Infoline and </w:t>
      </w:r>
      <w:proofErr w:type="spellStart"/>
      <w:r w:rsidRPr="00AE72F6">
        <w:rPr>
          <w:rFonts w:cstheme="minorHAnsi"/>
        </w:rPr>
        <w:t>MyAccount</w:t>
      </w:r>
      <w:proofErr w:type="spellEnd"/>
      <w:r w:rsidRPr="00AE72F6">
        <w:rPr>
          <w:rFonts w:cstheme="minorHAnsi"/>
        </w:rPr>
        <w:t xml:space="preserve"> service, workers and businesses can access a broad range of information about contracting arrangements on fairwork.gov.au.</w:t>
      </w:r>
      <w:r w:rsidRPr="00AE72F6">
        <w:rPr>
          <w:rStyle w:val="FootnoteReference"/>
          <w:rFonts w:cstheme="minorHAnsi"/>
        </w:rPr>
        <w:footnoteReference w:id="10"/>
      </w:r>
    </w:p>
    <w:p w14:paraId="437417BA" w14:textId="12046C1F" w:rsidR="005325F3" w:rsidRPr="00AE72F6" w:rsidRDefault="005325F3" w:rsidP="00D54C8C">
      <w:pPr>
        <w:spacing w:after="360"/>
        <w:rPr>
          <w:rFonts w:cstheme="minorHAnsi"/>
        </w:rPr>
      </w:pPr>
      <w:r w:rsidRPr="00AE72F6">
        <w:rPr>
          <w:rFonts w:cstheme="minorHAnsi"/>
        </w:rPr>
        <w:t>In more serious cases of sham contracting, where the misclassification occurs deliberately or recklessly and is designed to deprive employees of their lawful entitlements, the FWO will take strong action to address that unlawful behaviour, including taking those employers to court.  In the past five financial years, the FWO has recovered more than $575,000 for over 130 individuals affected by sham contracting. In the same period, the FWO has achieved in excess of $1,860,000 in penalties from the courts against offending businesses.</w:t>
      </w:r>
      <w:r w:rsidRPr="00AE72F6">
        <w:rPr>
          <w:rStyle w:val="FootnoteReference"/>
          <w:rFonts w:cstheme="minorHAnsi"/>
        </w:rPr>
        <w:footnoteReference w:id="11"/>
      </w:r>
    </w:p>
    <w:p w14:paraId="3005E911" w14:textId="4EB4AE10" w:rsidR="00E16BA7" w:rsidRDefault="005325F3" w:rsidP="00D54C8C">
      <w:pPr>
        <w:spacing w:after="240"/>
        <w:rPr>
          <w:rFonts w:cstheme="minorHAnsi"/>
        </w:rPr>
      </w:pPr>
      <w:r w:rsidRPr="00AE72F6">
        <w:rPr>
          <w:rFonts w:cstheme="minorHAnsi"/>
        </w:rPr>
        <w:t xml:space="preserve">In June 2018, the FWO commenced legal proceedings against on-demand economy food-delivery </w:t>
      </w:r>
      <w:proofErr w:type="gramStart"/>
      <w:r w:rsidRPr="00AE72F6">
        <w:rPr>
          <w:rFonts w:cstheme="minorHAnsi"/>
        </w:rPr>
        <w:t>company</w:t>
      </w:r>
      <w:proofErr w:type="gramEnd"/>
      <w:r w:rsidRPr="00AE72F6">
        <w:rPr>
          <w:rFonts w:cstheme="minorHAnsi"/>
        </w:rPr>
        <w:t xml:space="preserve"> </w:t>
      </w:r>
      <w:proofErr w:type="spellStart"/>
      <w:r w:rsidRPr="00AE72F6">
        <w:rPr>
          <w:rFonts w:cstheme="minorHAnsi"/>
        </w:rPr>
        <w:t>Foodora</w:t>
      </w:r>
      <w:proofErr w:type="spellEnd"/>
      <w:r w:rsidRPr="00AE72F6">
        <w:rPr>
          <w:rFonts w:cstheme="minorHAnsi"/>
        </w:rPr>
        <w:t xml:space="preserve">, alleging that </w:t>
      </w:r>
      <w:proofErr w:type="spellStart"/>
      <w:r w:rsidRPr="00AE72F6">
        <w:rPr>
          <w:rFonts w:cstheme="minorHAnsi"/>
        </w:rPr>
        <w:t>Foodora</w:t>
      </w:r>
      <w:proofErr w:type="spellEnd"/>
      <w:r w:rsidRPr="00AE72F6">
        <w:rPr>
          <w:rFonts w:cstheme="minorHAnsi"/>
        </w:rPr>
        <w:t xml:space="preserve"> had engaged in sham contracting that resulted in the underpayment of workers.</w:t>
      </w:r>
      <w:r w:rsidRPr="00AE72F6">
        <w:rPr>
          <w:rStyle w:val="FootnoteReference"/>
          <w:rFonts w:cstheme="minorHAnsi"/>
        </w:rPr>
        <w:footnoteReference w:id="12"/>
      </w:r>
      <w:r w:rsidRPr="00AE72F6">
        <w:rPr>
          <w:rFonts w:cstheme="minorHAnsi"/>
        </w:rPr>
        <w:t xml:space="preserve"> In August 2018, </w:t>
      </w:r>
      <w:proofErr w:type="spellStart"/>
      <w:r w:rsidRPr="00AE72F6">
        <w:rPr>
          <w:rFonts w:cstheme="minorHAnsi"/>
        </w:rPr>
        <w:t>Foodora</w:t>
      </w:r>
      <w:proofErr w:type="spellEnd"/>
      <w:r w:rsidRPr="00AE72F6">
        <w:rPr>
          <w:rFonts w:cstheme="minorHAnsi"/>
        </w:rPr>
        <w:t xml:space="preserve"> appointed voluntary administrators, with the effect that the </w:t>
      </w:r>
      <w:proofErr w:type="gramStart"/>
      <w:r w:rsidRPr="00AE72F6">
        <w:rPr>
          <w:rFonts w:cstheme="minorHAnsi"/>
        </w:rPr>
        <w:t>FWO’s</w:t>
      </w:r>
      <w:proofErr w:type="gramEnd"/>
      <w:r w:rsidRPr="00AE72F6">
        <w:rPr>
          <w:rFonts w:cstheme="minorHAnsi"/>
        </w:rPr>
        <w:t xml:space="preserve"> proceeding is currently stayed.</w:t>
      </w:r>
      <w:r w:rsidRPr="00AE72F6">
        <w:rPr>
          <w:rStyle w:val="FootnoteReference"/>
          <w:rFonts w:cstheme="minorHAnsi"/>
        </w:rPr>
        <w:footnoteReference w:id="13"/>
      </w:r>
      <w:r w:rsidRPr="00AE72F6">
        <w:rPr>
          <w:rFonts w:cstheme="minorHAnsi"/>
        </w:rPr>
        <w:t xml:space="preserve"> </w:t>
      </w:r>
      <w:proofErr w:type="gramStart"/>
      <w:r w:rsidRPr="00AE72F6">
        <w:rPr>
          <w:rFonts w:cstheme="minorHAnsi"/>
        </w:rPr>
        <w:t>Contrary to some media reporting on this matter, FWO has not ‘dropped the litigation’ and is in regular contact with the administrators.</w:t>
      </w:r>
      <w:proofErr w:type="gramEnd"/>
      <w:r w:rsidRPr="00AE72F6">
        <w:rPr>
          <w:rFonts w:cstheme="minorHAnsi"/>
        </w:rPr>
        <w:t xml:space="preserve">  The next hearing in the matter </w:t>
      </w:r>
      <w:proofErr w:type="gramStart"/>
      <w:r w:rsidRPr="00AE72F6">
        <w:rPr>
          <w:rFonts w:cstheme="minorHAnsi"/>
        </w:rPr>
        <w:t>is listed</w:t>
      </w:r>
      <w:proofErr w:type="gramEnd"/>
      <w:r w:rsidRPr="00AE72F6">
        <w:rPr>
          <w:rFonts w:cstheme="minorHAnsi"/>
        </w:rPr>
        <w:t xml:space="preserve"> for June 2019. The FWO has demonstrated it will take firm action where it has evidence to suggest unlawful conduct and where it is in the public interest to do so.</w:t>
      </w:r>
    </w:p>
    <w:p w14:paraId="3A2DFB83" w14:textId="4270AFD4" w:rsidR="005325F3" w:rsidRPr="00AE72F6" w:rsidRDefault="005325F3" w:rsidP="00A63679">
      <w:pPr>
        <w:spacing w:after="240"/>
        <w:rPr>
          <w:rFonts w:cstheme="minorHAnsi"/>
        </w:rPr>
      </w:pPr>
      <w:r w:rsidRPr="00AE72F6">
        <w:rPr>
          <w:rFonts w:cstheme="minorHAnsi"/>
          <w:lang w:val="en"/>
        </w:rPr>
        <w:lastRenderedPageBreak/>
        <w:t xml:space="preserve">In September 2017, the FWO welcomed the passage of the </w:t>
      </w:r>
      <w:r w:rsidRPr="00AE72F6">
        <w:rPr>
          <w:rFonts w:cstheme="minorHAnsi"/>
          <w:i/>
          <w:lang w:val="en"/>
        </w:rPr>
        <w:t xml:space="preserve">Fair Work Amendment (Protecting Vulnerable Workers) Act 2017 </w:t>
      </w:r>
      <w:r w:rsidRPr="00AE72F6">
        <w:rPr>
          <w:rFonts w:cstheme="minorHAnsi"/>
          <w:lang w:val="en"/>
        </w:rPr>
        <w:t>(</w:t>
      </w:r>
      <w:proofErr w:type="spellStart"/>
      <w:r w:rsidRPr="00AE72F6">
        <w:rPr>
          <w:rFonts w:cstheme="minorHAnsi"/>
          <w:lang w:val="en"/>
        </w:rPr>
        <w:t>Cth</w:t>
      </w:r>
      <w:proofErr w:type="spellEnd"/>
      <w:r w:rsidRPr="00AE72F6">
        <w:rPr>
          <w:rFonts w:cstheme="minorHAnsi"/>
          <w:lang w:val="en"/>
        </w:rPr>
        <w:t xml:space="preserve">), which introduced new investigative powers for the FWO, </w:t>
      </w:r>
      <w:r w:rsidRPr="00AE72F6">
        <w:rPr>
          <w:rFonts w:cstheme="minorHAnsi"/>
        </w:rPr>
        <w:t>new powers to hold ‘responsible franchisor entities’ and ‘holding companies’ responsible for franchisee entities’ conduct,</w:t>
      </w:r>
      <w:r w:rsidRPr="00AE72F6">
        <w:rPr>
          <w:rFonts w:cstheme="minorHAnsi"/>
          <w:lang w:val="en"/>
        </w:rPr>
        <w:t xml:space="preserve"> higher penalties for non-compliance with workplace laws, and a reverse onus of proof with respect to record </w:t>
      </w:r>
      <w:r w:rsidRPr="00AE72F6">
        <w:rPr>
          <w:rFonts w:cstheme="minorHAnsi"/>
        </w:rPr>
        <w:t>keeping. These provisions provide powerful additional tools to assist the agency to promote and enforce compliance with workplace law. For example, the FWO recently commenced the first legal action utilising the new reverse onus of proof laws.</w:t>
      </w:r>
      <w:r w:rsidRPr="00AE72F6">
        <w:rPr>
          <w:rStyle w:val="FootnoteReference"/>
          <w:rFonts w:cstheme="minorHAnsi"/>
          <w:color w:val="231F20"/>
          <w:lang w:val="en"/>
        </w:rPr>
        <w:footnoteReference w:id="14"/>
      </w:r>
      <w:r w:rsidRPr="00AE72F6">
        <w:rPr>
          <w:rFonts w:cstheme="minorHAnsi"/>
          <w:lang w:val="en"/>
        </w:rPr>
        <w:t xml:space="preserve"> While the provisions do not provide the FWO with new powers relating to the on-demand workforce specifically, their enactment and use by the FWO </w:t>
      </w:r>
      <w:proofErr w:type="gramStart"/>
      <w:r w:rsidRPr="00AE72F6">
        <w:rPr>
          <w:rFonts w:cstheme="minorHAnsi"/>
          <w:lang w:val="en"/>
        </w:rPr>
        <w:t>sends</w:t>
      </w:r>
      <w:proofErr w:type="gramEnd"/>
      <w:r w:rsidRPr="00AE72F6">
        <w:rPr>
          <w:rFonts w:cstheme="minorHAnsi"/>
          <w:lang w:val="en"/>
        </w:rPr>
        <w:t xml:space="preserve"> a strong message about the responsibilities of all participants in the </w:t>
      </w:r>
      <w:proofErr w:type="spellStart"/>
      <w:r w:rsidRPr="00AE72F6">
        <w:rPr>
          <w:rFonts w:cstheme="minorHAnsi"/>
          <w:lang w:val="en"/>
        </w:rPr>
        <w:t>labour</w:t>
      </w:r>
      <w:proofErr w:type="spellEnd"/>
      <w:r w:rsidRPr="00AE72F6">
        <w:rPr>
          <w:rFonts w:cstheme="minorHAnsi"/>
          <w:lang w:val="en"/>
        </w:rPr>
        <w:t xml:space="preserve"> supply chain, and indeed anyone who profits from workers’ </w:t>
      </w:r>
      <w:proofErr w:type="spellStart"/>
      <w:r w:rsidRPr="00AE72F6">
        <w:rPr>
          <w:rFonts w:cstheme="minorHAnsi"/>
          <w:lang w:val="en"/>
        </w:rPr>
        <w:t>labour</w:t>
      </w:r>
      <w:proofErr w:type="spellEnd"/>
      <w:r w:rsidRPr="00AE72F6">
        <w:rPr>
          <w:rFonts w:cstheme="minorHAnsi"/>
          <w:lang w:val="en"/>
        </w:rPr>
        <w:t xml:space="preserve"> – however those workers a</w:t>
      </w:r>
      <w:r w:rsidR="00A63679">
        <w:rPr>
          <w:rFonts w:cstheme="minorHAnsi"/>
          <w:lang w:val="en"/>
        </w:rPr>
        <w:t>re defined under workplace law.</w:t>
      </w:r>
    </w:p>
    <w:p w14:paraId="2F529B97" w14:textId="781622B7" w:rsidR="005325F3" w:rsidRPr="00AE72F6" w:rsidRDefault="005325F3" w:rsidP="00A63679">
      <w:pPr>
        <w:spacing w:after="240"/>
        <w:rPr>
          <w:rFonts w:cstheme="minorHAnsi"/>
        </w:rPr>
      </w:pPr>
      <w:r w:rsidRPr="00AE72F6">
        <w:rPr>
          <w:rFonts w:cstheme="minorHAnsi"/>
        </w:rPr>
        <w:t>I trust this information is of assistance.</w:t>
      </w:r>
    </w:p>
    <w:p w14:paraId="0F27B04C" w14:textId="77777777" w:rsidR="005325F3" w:rsidRPr="00AE72F6" w:rsidRDefault="005325F3" w:rsidP="009140D8">
      <w:pPr>
        <w:pStyle w:val="Normalnospace"/>
        <w:spacing w:line="276" w:lineRule="auto"/>
        <w:jc w:val="both"/>
        <w:rPr>
          <w:rFonts w:asciiTheme="minorHAnsi" w:hAnsiTheme="minorHAnsi" w:cstheme="minorHAnsi"/>
          <w:szCs w:val="22"/>
        </w:rPr>
      </w:pPr>
      <w:r w:rsidRPr="00AE72F6">
        <w:rPr>
          <w:rFonts w:asciiTheme="minorHAnsi" w:hAnsiTheme="minorHAnsi" w:cstheme="minorHAnsi"/>
          <w:szCs w:val="22"/>
        </w:rPr>
        <w:t>Yours sincerely</w:t>
      </w:r>
    </w:p>
    <w:p w14:paraId="00A30F2E" w14:textId="77777777" w:rsidR="005325F3" w:rsidRPr="00AE72F6" w:rsidRDefault="005325F3" w:rsidP="009140D8">
      <w:pPr>
        <w:pStyle w:val="Normalnospace"/>
        <w:spacing w:line="276" w:lineRule="auto"/>
        <w:jc w:val="both"/>
        <w:rPr>
          <w:rFonts w:asciiTheme="minorHAnsi" w:hAnsiTheme="minorHAnsi" w:cstheme="minorHAnsi"/>
          <w:szCs w:val="22"/>
        </w:rPr>
      </w:pPr>
      <w:bookmarkStart w:id="0" w:name="_GoBack"/>
      <w:r w:rsidRPr="006C3881">
        <w:rPr>
          <w:noProof/>
        </w:rPr>
        <w:drawing>
          <wp:inline distT="0" distB="0" distL="0" distR="0" wp14:anchorId="3ECFD47F" wp14:editId="342722E2">
            <wp:extent cx="1285875" cy="419100"/>
            <wp:effectExtent l="0" t="0" r="9525" b="0"/>
            <wp:docPr id="5" name="Picture 5" descr="signature - Sandra Parker" title="signature - Sandra P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inline>
        </w:drawing>
      </w:r>
      <w:bookmarkEnd w:id="0"/>
    </w:p>
    <w:p w14:paraId="0A8A1AB3" w14:textId="77777777" w:rsidR="005325F3" w:rsidRPr="00AE72F6" w:rsidRDefault="005325F3" w:rsidP="009140D8">
      <w:pPr>
        <w:pStyle w:val="Normalnospace"/>
        <w:spacing w:line="276" w:lineRule="auto"/>
        <w:rPr>
          <w:rFonts w:asciiTheme="minorHAnsi" w:eastAsiaTheme="minorHAnsi" w:hAnsiTheme="minorHAnsi" w:cstheme="minorHAnsi"/>
          <w:szCs w:val="22"/>
          <w:lang w:eastAsia="en-US"/>
        </w:rPr>
      </w:pPr>
      <w:r w:rsidRPr="00AE72F6">
        <w:rPr>
          <w:rFonts w:asciiTheme="minorHAnsi" w:eastAsiaTheme="minorHAnsi" w:hAnsiTheme="minorHAnsi" w:cstheme="minorHAnsi"/>
          <w:szCs w:val="22"/>
          <w:lang w:eastAsia="en-US"/>
        </w:rPr>
        <w:t>Sandra Parker PSM</w:t>
      </w:r>
    </w:p>
    <w:p w14:paraId="6F2F0756" w14:textId="77777777" w:rsidR="005325F3" w:rsidRPr="00AE72F6" w:rsidRDefault="005325F3" w:rsidP="005A1ADD">
      <w:pPr>
        <w:rPr>
          <w:rStyle w:val="BoldDarkRed"/>
          <w:rFonts w:cstheme="minorHAnsi"/>
          <w:color w:val="000000" w:themeColor="text1"/>
        </w:rPr>
      </w:pPr>
      <w:r w:rsidRPr="00AE72F6">
        <w:rPr>
          <w:rStyle w:val="BoldLightBlue"/>
          <w:rFonts w:cstheme="minorHAnsi"/>
          <w:color w:val="000000" w:themeColor="text1"/>
        </w:rPr>
        <w:t>FAIR WORK</w:t>
      </w:r>
      <w:r w:rsidRPr="00AE72F6">
        <w:t xml:space="preserve"> </w:t>
      </w:r>
      <w:r w:rsidRPr="00AE72F6">
        <w:rPr>
          <w:rStyle w:val="BoldDarkRed"/>
          <w:rFonts w:cstheme="minorHAnsi"/>
          <w:color w:val="000000" w:themeColor="text1"/>
        </w:rPr>
        <w:t>OMBUDSMAN</w:t>
      </w:r>
    </w:p>
    <w:p w14:paraId="7A39706D" w14:textId="77777777" w:rsidR="005325F3" w:rsidRPr="00AE72F6" w:rsidRDefault="005325F3" w:rsidP="009140D8">
      <w:pPr>
        <w:pStyle w:val="Normalnospace"/>
        <w:spacing w:line="276" w:lineRule="auto"/>
        <w:rPr>
          <w:rFonts w:asciiTheme="minorHAnsi" w:hAnsiTheme="minorHAnsi" w:cstheme="minorHAnsi"/>
          <w:szCs w:val="22"/>
        </w:rPr>
      </w:pPr>
      <w:r w:rsidRPr="00AE72F6">
        <w:rPr>
          <w:rStyle w:val="BoldDarkRed"/>
          <w:rFonts w:asciiTheme="minorHAnsi" w:hAnsiTheme="minorHAnsi" w:cstheme="minorHAnsi"/>
          <w:szCs w:val="22"/>
        </w:rPr>
        <w:t>5 February 2019</w:t>
      </w:r>
    </w:p>
    <w:sectPr w:rsidR="005325F3" w:rsidRPr="00AE72F6" w:rsidSect="00AA588E">
      <w:headerReference w:type="default" r:id="rId10"/>
      <w:footerReference w:type="default" r:id="rId11"/>
      <w:headerReference w:type="first" r:id="rId12"/>
      <w:pgSz w:w="11906" w:h="16838"/>
      <w:pgMar w:top="1019" w:right="1440" w:bottom="1440"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0C1D0" w14:textId="77777777" w:rsidR="00465712" w:rsidRDefault="00465712" w:rsidP="000A3184">
      <w:pPr>
        <w:spacing w:after="0" w:line="240" w:lineRule="auto"/>
      </w:pPr>
      <w:r>
        <w:separator/>
      </w:r>
    </w:p>
  </w:endnote>
  <w:endnote w:type="continuationSeparator" w:id="0">
    <w:p w14:paraId="40D9F309" w14:textId="77777777" w:rsidR="00465712" w:rsidRDefault="00465712" w:rsidP="000A3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37452" w14:textId="12E7F79E" w:rsidR="001A0F73" w:rsidRPr="00583EDF" w:rsidRDefault="00E82A59" w:rsidP="00583EDF">
    <w:pPr>
      <w:tabs>
        <w:tab w:val="center" w:pos="4536"/>
        <w:tab w:val="right" w:pos="9070"/>
      </w:tabs>
      <w:rPr>
        <w:rFonts w:ascii="Arial" w:hAnsi="Arial"/>
        <w:color w:val="0395A7"/>
      </w:rPr>
    </w:pPr>
    <w:hyperlink r:id="rId1" w:tooltip="Fair Work website" w:history="1">
      <w:r w:rsidR="001A0F73" w:rsidRPr="008462D2">
        <w:rPr>
          <w:rFonts w:ascii="Arial" w:hAnsi="Arial"/>
          <w:color w:val="0395A7"/>
        </w:rPr>
        <w:t>www.fairwork.gov.au</w:t>
      </w:r>
    </w:hyperlink>
    <w:r w:rsidR="001A0F73" w:rsidRPr="008462D2">
      <w:rPr>
        <w:rFonts w:ascii="Arial" w:hAnsi="Arial"/>
        <w:color w:val="0395A7"/>
      </w:rPr>
      <w:tab/>
      <w:t>Fair Work Infoline 13 13 94</w:t>
    </w:r>
    <w:r w:rsidR="001A0F73" w:rsidRPr="008462D2">
      <w:rPr>
        <w:rFonts w:ascii="Arial" w:hAnsi="Arial"/>
        <w:color w:val="0395A7"/>
      </w:rPr>
      <w:tab/>
      <w:t>ABN: 43 884 188 232</w:t>
    </w:r>
  </w:p>
  <w:p w14:paraId="4D7248FA" w14:textId="77777777" w:rsidR="00691E45" w:rsidRDefault="00691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A808E" w14:textId="77777777" w:rsidR="00465712" w:rsidRDefault="00465712" w:rsidP="000A3184">
      <w:pPr>
        <w:spacing w:after="0" w:line="240" w:lineRule="auto"/>
      </w:pPr>
      <w:r>
        <w:separator/>
      </w:r>
    </w:p>
  </w:footnote>
  <w:footnote w:type="continuationSeparator" w:id="0">
    <w:p w14:paraId="4E7929F6" w14:textId="77777777" w:rsidR="00465712" w:rsidRDefault="00465712" w:rsidP="000A3184">
      <w:pPr>
        <w:spacing w:after="0" w:line="240" w:lineRule="auto"/>
      </w:pPr>
      <w:r>
        <w:continuationSeparator/>
      </w:r>
    </w:p>
  </w:footnote>
  <w:footnote w:id="1">
    <w:p w14:paraId="1B7A350B" w14:textId="4EF8F1CA" w:rsidR="005325F3" w:rsidRDefault="005325F3" w:rsidP="005325F3">
      <w:pPr>
        <w:pStyle w:val="FootnoteText"/>
        <w:rPr>
          <w:sz w:val="18"/>
          <w:szCs w:val="18"/>
        </w:rPr>
      </w:pPr>
      <w:r>
        <w:rPr>
          <w:rStyle w:val="FootnoteReference"/>
          <w:sz w:val="18"/>
          <w:szCs w:val="18"/>
        </w:rPr>
        <w:footnoteRef/>
      </w:r>
      <w:r>
        <w:rPr>
          <w:sz w:val="18"/>
          <w:szCs w:val="18"/>
        </w:rPr>
        <w:t xml:space="preserve"> See </w:t>
      </w:r>
      <w:hyperlink r:id="rId1" w:history="1">
        <w:r w:rsidR="00D54C8C">
          <w:rPr>
            <w:rStyle w:val="Hyperlink"/>
            <w:sz w:val="18"/>
            <w:szCs w:val="18"/>
          </w:rPr>
          <w:t>Compliance and enforcement policy</w:t>
        </w:r>
      </w:hyperlink>
      <w:r>
        <w:rPr>
          <w:sz w:val="18"/>
          <w:szCs w:val="18"/>
        </w:rPr>
        <w:t xml:space="preserve">. </w:t>
      </w:r>
    </w:p>
  </w:footnote>
  <w:footnote w:id="2">
    <w:p w14:paraId="3A519574" w14:textId="7979DA76" w:rsidR="005325F3" w:rsidRDefault="005325F3" w:rsidP="005325F3">
      <w:pPr>
        <w:pStyle w:val="FootnoteText"/>
        <w:rPr>
          <w:sz w:val="18"/>
          <w:szCs w:val="18"/>
        </w:rPr>
      </w:pPr>
      <w:r>
        <w:rPr>
          <w:rStyle w:val="FootnoteReference"/>
          <w:sz w:val="18"/>
          <w:szCs w:val="18"/>
        </w:rPr>
        <w:footnoteRef/>
      </w:r>
      <w:r>
        <w:rPr>
          <w:sz w:val="18"/>
          <w:szCs w:val="18"/>
        </w:rPr>
        <w:t xml:space="preserve"> See </w:t>
      </w:r>
      <w:hyperlink r:id="rId2" w:history="1">
        <w:r w:rsidR="00D54C8C">
          <w:rPr>
            <w:rStyle w:val="Hyperlink"/>
            <w:sz w:val="18"/>
            <w:szCs w:val="18"/>
          </w:rPr>
          <w:t>Litigation Policy</w:t>
        </w:r>
      </w:hyperlink>
      <w:r>
        <w:rPr>
          <w:sz w:val="18"/>
          <w:szCs w:val="18"/>
        </w:rPr>
        <w:t xml:space="preserve">. </w:t>
      </w:r>
    </w:p>
  </w:footnote>
  <w:footnote w:id="3">
    <w:p w14:paraId="66DF4E4B" w14:textId="77777777" w:rsidR="005325F3" w:rsidRDefault="005325F3" w:rsidP="005325F3">
      <w:pPr>
        <w:pStyle w:val="FootnoteText"/>
        <w:rPr>
          <w:color w:val="1F497D"/>
        </w:rPr>
      </w:pPr>
      <w:r>
        <w:rPr>
          <w:rStyle w:val="FootnoteReference"/>
        </w:rPr>
        <w:footnoteRef/>
      </w:r>
      <w:r>
        <w:rPr>
          <w:rStyle w:val="FootnoteReference"/>
        </w:rPr>
        <w:t xml:space="preserve"> </w:t>
      </w:r>
      <w:r>
        <w:rPr>
          <w:sz w:val="18"/>
          <w:szCs w:val="18"/>
        </w:rPr>
        <w:t xml:space="preserve">Andrew </w:t>
      </w:r>
      <w:proofErr w:type="spellStart"/>
      <w:r>
        <w:rPr>
          <w:sz w:val="18"/>
          <w:szCs w:val="18"/>
        </w:rPr>
        <w:t>Craston</w:t>
      </w:r>
      <w:proofErr w:type="spellEnd"/>
      <w:r>
        <w:rPr>
          <w:sz w:val="18"/>
          <w:szCs w:val="18"/>
        </w:rPr>
        <w:t xml:space="preserve">, </w:t>
      </w:r>
      <w:r>
        <w:rPr>
          <w:i/>
          <w:sz w:val="18"/>
          <w:szCs w:val="18"/>
        </w:rPr>
        <w:t>Superannuation balances of the self-employed</w:t>
      </w:r>
      <w:r>
        <w:rPr>
          <w:sz w:val="18"/>
          <w:szCs w:val="18"/>
        </w:rPr>
        <w:t>, Association of Superannuation Funds of Australia, March 2018, p6.</w:t>
      </w:r>
    </w:p>
  </w:footnote>
  <w:footnote w:id="4">
    <w:p w14:paraId="1FCB7435" w14:textId="77777777" w:rsidR="005325F3" w:rsidRDefault="005325F3" w:rsidP="005325F3">
      <w:pPr>
        <w:pStyle w:val="FootnoteText"/>
      </w:pPr>
      <w:r>
        <w:rPr>
          <w:rStyle w:val="FootnoteReference"/>
        </w:rPr>
        <w:footnoteRef/>
      </w:r>
      <w:r>
        <w:t xml:space="preserve"> </w:t>
      </w:r>
      <w:r>
        <w:rPr>
          <w:sz w:val="18"/>
          <w:szCs w:val="18"/>
        </w:rPr>
        <w:t>Department of Jobs and Small Business, Submission No 43 to the Commonwealth Senate Inquiry into the Future of Work and Workers, January 2018, p6-7.</w:t>
      </w:r>
    </w:p>
  </w:footnote>
  <w:footnote w:id="5">
    <w:p w14:paraId="5B35CA60" w14:textId="77777777" w:rsidR="005325F3" w:rsidRDefault="005325F3" w:rsidP="005325F3">
      <w:pPr>
        <w:pStyle w:val="FootnoteText"/>
      </w:pPr>
      <w:r>
        <w:rPr>
          <w:rStyle w:val="FootnoteReference"/>
        </w:rPr>
        <w:footnoteRef/>
      </w:r>
      <w:r>
        <w:t xml:space="preserve"> </w:t>
      </w:r>
      <w:r>
        <w:rPr>
          <w:sz w:val="18"/>
          <w:szCs w:val="18"/>
        </w:rPr>
        <w:t>Department of Jobs and Small Business, Submission No 43 to the Commonwealth Senate Inquiry into the Future of Work and Workers, January 2018, p6.</w:t>
      </w:r>
    </w:p>
  </w:footnote>
  <w:footnote w:id="6">
    <w:p w14:paraId="39A1BCC3" w14:textId="77777777" w:rsidR="005325F3" w:rsidRDefault="005325F3" w:rsidP="005325F3">
      <w:pPr>
        <w:pStyle w:val="FootnoteText"/>
        <w:rPr>
          <w:sz w:val="18"/>
          <w:szCs w:val="18"/>
        </w:rPr>
      </w:pPr>
      <w:r>
        <w:rPr>
          <w:rStyle w:val="FootnoteReference"/>
          <w:sz w:val="18"/>
          <w:szCs w:val="18"/>
        </w:rPr>
        <w:footnoteRef/>
      </w:r>
      <w:r>
        <w:rPr>
          <w:sz w:val="18"/>
          <w:szCs w:val="18"/>
        </w:rPr>
        <w:t xml:space="preserve"> Between 1 July 2014 and 30 June 2018, less than half of one per cent of the disputes completed by the FWO related to on-demand businesses.</w:t>
      </w:r>
    </w:p>
  </w:footnote>
  <w:footnote w:id="7">
    <w:p w14:paraId="0CD3504C" w14:textId="77777777" w:rsidR="005325F3" w:rsidRDefault="005325F3" w:rsidP="005325F3">
      <w:pPr>
        <w:pStyle w:val="FootnoteText"/>
        <w:rPr>
          <w:sz w:val="18"/>
          <w:szCs w:val="18"/>
        </w:rPr>
      </w:pPr>
      <w:r>
        <w:rPr>
          <w:rStyle w:val="FootnoteReference"/>
          <w:sz w:val="18"/>
          <w:szCs w:val="18"/>
        </w:rPr>
        <w:footnoteRef/>
      </w:r>
      <w:r>
        <w:rPr>
          <w:sz w:val="18"/>
          <w:szCs w:val="18"/>
        </w:rPr>
        <w:t xml:space="preserve"> </w:t>
      </w:r>
      <w:proofErr w:type="spellStart"/>
      <w:r>
        <w:rPr>
          <w:i/>
          <w:sz w:val="18"/>
          <w:szCs w:val="18"/>
        </w:rPr>
        <w:t>Kaseris</w:t>
      </w:r>
      <w:proofErr w:type="spellEnd"/>
      <w:r>
        <w:rPr>
          <w:i/>
          <w:sz w:val="18"/>
          <w:szCs w:val="18"/>
        </w:rPr>
        <w:t xml:space="preserve"> v </w:t>
      </w:r>
      <w:proofErr w:type="spellStart"/>
      <w:r>
        <w:rPr>
          <w:i/>
          <w:sz w:val="18"/>
          <w:szCs w:val="18"/>
        </w:rPr>
        <w:t>Rasier</w:t>
      </w:r>
      <w:proofErr w:type="spellEnd"/>
      <w:r>
        <w:rPr>
          <w:i/>
          <w:sz w:val="18"/>
          <w:szCs w:val="18"/>
        </w:rPr>
        <w:t xml:space="preserve"> Pacific V.O.F</w:t>
      </w:r>
      <w:r>
        <w:rPr>
          <w:sz w:val="18"/>
          <w:szCs w:val="18"/>
        </w:rPr>
        <w:t xml:space="preserve"> [2017] FWC 6610.</w:t>
      </w:r>
    </w:p>
  </w:footnote>
  <w:footnote w:id="8">
    <w:p w14:paraId="21BC23B7" w14:textId="77777777" w:rsidR="005325F3" w:rsidRDefault="005325F3" w:rsidP="005325F3">
      <w:pPr>
        <w:pStyle w:val="FootnoteText"/>
        <w:rPr>
          <w:sz w:val="18"/>
          <w:szCs w:val="18"/>
        </w:rPr>
      </w:pPr>
      <w:r>
        <w:rPr>
          <w:rStyle w:val="FootnoteReference"/>
          <w:sz w:val="18"/>
          <w:szCs w:val="18"/>
        </w:rPr>
        <w:footnoteRef/>
      </w:r>
      <w:r>
        <w:rPr>
          <w:sz w:val="18"/>
          <w:szCs w:val="18"/>
        </w:rPr>
        <w:t xml:space="preserve"> </w:t>
      </w:r>
      <w:proofErr w:type="spellStart"/>
      <w:r>
        <w:rPr>
          <w:i/>
          <w:sz w:val="18"/>
          <w:szCs w:val="18"/>
        </w:rPr>
        <w:t>Klooger</w:t>
      </w:r>
      <w:proofErr w:type="spellEnd"/>
      <w:r>
        <w:rPr>
          <w:i/>
          <w:sz w:val="18"/>
          <w:szCs w:val="18"/>
        </w:rPr>
        <w:t xml:space="preserve"> v </w:t>
      </w:r>
      <w:proofErr w:type="spellStart"/>
      <w:r>
        <w:rPr>
          <w:i/>
          <w:sz w:val="18"/>
          <w:szCs w:val="18"/>
        </w:rPr>
        <w:t>Foodora</w:t>
      </w:r>
      <w:proofErr w:type="spellEnd"/>
      <w:r>
        <w:rPr>
          <w:i/>
          <w:sz w:val="18"/>
          <w:szCs w:val="18"/>
        </w:rPr>
        <w:t xml:space="preserve"> Australia Pty Ltd</w:t>
      </w:r>
      <w:r>
        <w:rPr>
          <w:sz w:val="18"/>
          <w:szCs w:val="18"/>
        </w:rPr>
        <w:t xml:space="preserve"> [2018] FWC 6836.</w:t>
      </w:r>
    </w:p>
  </w:footnote>
  <w:footnote w:id="9">
    <w:p w14:paraId="49B2EE7C" w14:textId="607FD088" w:rsidR="005325F3" w:rsidRDefault="005325F3" w:rsidP="005325F3">
      <w:pPr>
        <w:pStyle w:val="FootnoteText"/>
      </w:pPr>
      <w:r>
        <w:rPr>
          <w:rStyle w:val="FootnoteReference"/>
        </w:rPr>
        <w:footnoteRef/>
      </w:r>
      <w:r>
        <w:t xml:space="preserve"> </w:t>
      </w:r>
      <w:r>
        <w:rPr>
          <w:sz w:val="18"/>
          <w:szCs w:val="18"/>
        </w:rPr>
        <w:t xml:space="preserve">See </w:t>
      </w:r>
      <w:hyperlink r:id="rId3" w:history="1">
        <w:r w:rsidR="00D54C8C">
          <w:rPr>
            <w:rStyle w:val="Hyperlink"/>
            <w:sz w:val="18"/>
            <w:szCs w:val="18"/>
          </w:rPr>
          <w:t>Find help for - Independent contractors</w:t>
        </w:r>
      </w:hyperlink>
      <w:r>
        <w:rPr>
          <w:sz w:val="18"/>
          <w:szCs w:val="18"/>
        </w:rPr>
        <w:t>.</w:t>
      </w:r>
    </w:p>
  </w:footnote>
  <w:footnote w:id="10">
    <w:p w14:paraId="7073DE11" w14:textId="28E95458" w:rsidR="005325F3" w:rsidRDefault="005325F3" w:rsidP="005325F3">
      <w:pPr>
        <w:pStyle w:val="FootnoteText"/>
        <w:rPr>
          <w:sz w:val="18"/>
          <w:szCs w:val="18"/>
        </w:rPr>
      </w:pPr>
      <w:r>
        <w:rPr>
          <w:rStyle w:val="FootnoteReference"/>
          <w:sz w:val="18"/>
          <w:szCs w:val="18"/>
        </w:rPr>
        <w:footnoteRef/>
      </w:r>
      <w:r>
        <w:rPr>
          <w:sz w:val="18"/>
          <w:szCs w:val="18"/>
        </w:rPr>
        <w:t xml:space="preserve"> See </w:t>
      </w:r>
      <w:hyperlink r:id="rId4" w:history="1">
        <w:r w:rsidR="00D54C8C">
          <w:rPr>
            <w:rStyle w:val="Hyperlink"/>
            <w:sz w:val="18"/>
            <w:szCs w:val="18"/>
          </w:rPr>
          <w:t>Find help for - Independent contractors</w:t>
        </w:r>
      </w:hyperlink>
      <w:r>
        <w:rPr>
          <w:rStyle w:val="Hyperlink"/>
          <w:sz w:val="18"/>
          <w:szCs w:val="18"/>
        </w:rPr>
        <w:t>.</w:t>
      </w:r>
      <w:r>
        <w:rPr>
          <w:sz w:val="18"/>
          <w:szCs w:val="18"/>
        </w:rPr>
        <w:t xml:space="preserve"> </w:t>
      </w:r>
    </w:p>
  </w:footnote>
  <w:footnote w:id="11">
    <w:p w14:paraId="281B15E8" w14:textId="77777777" w:rsidR="005325F3" w:rsidRDefault="005325F3" w:rsidP="005325F3">
      <w:pPr>
        <w:pStyle w:val="FootnoteText"/>
      </w:pPr>
      <w:r>
        <w:rPr>
          <w:rStyle w:val="FootnoteReference"/>
        </w:rPr>
        <w:footnoteRef/>
      </w:r>
      <w:r>
        <w:t xml:space="preserve"> </w:t>
      </w:r>
      <w:r>
        <w:rPr>
          <w:sz w:val="18"/>
          <w:szCs w:val="18"/>
        </w:rPr>
        <w:t xml:space="preserve">See also the FWO’s successful High Court appeal in </w:t>
      </w:r>
      <w:r>
        <w:rPr>
          <w:bCs/>
          <w:i/>
          <w:sz w:val="18"/>
          <w:szCs w:val="18"/>
        </w:rPr>
        <w:t>Fair Work Ombudsman v Quest South Perth Holdings Pty Ltd</w:t>
      </w:r>
      <w:r>
        <w:rPr>
          <w:sz w:val="18"/>
          <w:szCs w:val="18"/>
        </w:rPr>
        <w:t> [2015] HCA 45.</w:t>
      </w:r>
    </w:p>
  </w:footnote>
  <w:footnote w:id="12">
    <w:p w14:paraId="32243621" w14:textId="2BC446CA" w:rsidR="005325F3" w:rsidRDefault="005325F3" w:rsidP="005325F3">
      <w:pPr>
        <w:pStyle w:val="FootnoteText"/>
        <w:rPr>
          <w:sz w:val="18"/>
          <w:szCs w:val="18"/>
        </w:rPr>
      </w:pPr>
      <w:r>
        <w:rPr>
          <w:rStyle w:val="FootnoteReference"/>
          <w:sz w:val="18"/>
          <w:szCs w:val="18"/>
        </w:rPr>
        <w:footnoteRef/>
      </w:r>
      <w:r>
        <w:rPr>
          <w:sz w:val="18"/>
          <w:szCs w:val="18"/>
        </w:rPr>
        <w:t xml:space="preserve"> See </w:t>
      </w:r>
      <w:hyperlink r:id="rId5" w:history="1">
        <w:r w:rsidR="00D54C8C">
          <w:rPr>
            <w:rStyle w:val="Hyperlink"/>
            <w:sz w:val="18"/>
            <w:szCs w:val="18"/>
          </w:rPr>
          <w:t xml:space="preserve">Media release - </w:t>
        </w:r>
        <w:proofErr w:type="spellStart"/>
        <w:r w:rsidR="00D54C8C">
          <w:rPr>
            <w:rStyle w:val="Hyperlink"/>
            <w:sz w:val="18"/>
            <w:szCs w:val="18"/>
          </w:rPr>
          <w:t>Foodora</w:t>
        </w:r>
        <w:proofErr w:type="spellEnd"/>
        <w:r w:rsidR="00D54C8C">
          <w:rPr>
            <w:rStyle w:val="Hyperlink"/>
            <w:sz w:val="18"/>
            <w:szCs w:val="18"/>
          </w:rPr>
          <w:t xml:space="preserve"> litigation</w:t>
        </w:r>
      </w:hyperlink>
      <w:r>
        <w:rPr>
          <w:sz w:val="18"/>
          <w:szCs w:val="18"/>
        </w:rPr>
        <w:t>.</w:t>
      </w:r>
    </w:p>
  </w:footnote>
  <w:footnote w:id="13">
    <w:p w14:paraId="323D6974" w14:textId="77777777" w:rsidR="005325F3" w:rsidRDefault="005325F3" w:rsidP="005325F3">
      <w:pPr>
        <w:pStyle w:val="FootnoteText"/>
      </w:pPr>
      <w:r>
        <w:rPr>
          <w:rStyle w:val="FootnoteReference"/>
        </w:rPr>
        <w:footnoteRef/>
      </w:r>
      <w:r>
        <w:t xml:space="preserve"> </w:t>
      </w:r>
      <w:r>
        <w:rPr>
          <w:sz w:val="18"/>
          <w:szCs w:val="18"/>
        </w:rPr>
        <w:t xml:space="preserve">Pursuant to section 440D of the </w:t>
      </w:r>
      <w:r>
        <w:rPr>
          <w:i/>
          <w:sz w:val="18"/>
          <w:szCs w:val="18"/>
        </w:rPr>
        <w:t xml:space="preserve">Corporations Act 2011 </w:t>
      </w:r>
      <w:r>
        <w:rPr>
          <w:sz w:val="18"/>
          <w:szCs w:val="18"/>
        </w:rPr>
        <w:t>(</w:t>
      </w:r>
      <w:proofErr w:type="spellStart"/>
      <w:r>
        <w:rPr>
          <w:sz w:val="18"/>
          <w:szCs w:val="18"/>
        </w:rPr>
        <w:t>Cth</w:t>
      </w:r>
      <w:proofErr w:type="spellEnd"/>
      <w:r>
        <w:rPr>
          <w:sz w:val="18"/>
          <w:szCs w:val="18"/>
        </w:rPr>
        <w:t>).</w:t>
      </w:r>
    </w:p>
  </w:footnote>
  <w:footnote w:id="14">
    <w:p w14:paraId="79035C55" w14:textId="3C6AD7DB" w:rsidR="005325F3" w:rsidRDefault="005325F3" w:rsidP="005325F3">
      <w:pPr>
        <w:pStyle w:val="FootnoteText"/>
        <w:rPr>
          <w:sz w:val="18"/>
          <w:szCs w:val="18"/>
        </w:rPr>
      </w:pPr>
      <w:r>
        <w:rPr>
          <w:rStyle w:val="FootnoteReference"/>
          <w:sz w:val="18"/>
          <w:szCs w:val="18"/>
        </w:rPr>
        <w:footnoteRef/>
      </w:r>
      <w:r>
        <w:rPr>
          <w:sz w:val="18"/>
          <w:szCs w:val="18"/>
        </w:rPr>
        <w:t xml:space="preserve"> See </w:t>
      </w:r>
      <w:hyperlink r:id="rId6" w:history="1">
        <w:r w:rsidR="00D54C8C">
          <w:rPr>
            <w:rStyle w:val="Hyperlink"/>
            <w:sz w:val="18"/>
            <w:szCs w:val="18"/>
          </w:rPr>
          <w:t>Media release - AK Property Services litigation</w:t>
        </w:r>
      </w:hyperlink>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531F" w14:textId="45CA176F" w:rsidR="001A0F73" w:rsidRDefault="001A0F73" w:rsidP="00E62251">
    <w:pPr>
      <w:tabs>
        <w:tab w:val="center" w:pos="4820"/>
        <w:tab w:val="right" w:pos="9639"/>
      </w:tabs>
      <w:spacing w:after="0"/>
      <w:rPr>
        <w:rFonts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FDF5C" w14:textId="1597B6FA" w:rsidR="008978BC" w:rsidRDefault="00971BF3" w:rsidP="00AA588E">
    <w:pPr>
      <w:tabs>
        <w:tab w:val="center" w:pos="4820"/>
        <w:tab w:val="right" w:pos="9639"/>
      </w:tabs>
      <w:spacing w:after="0"/>
      <w:jc w:val="center"/>
      <w:rPr>
        <w:rFonts w:cstheme="minorHAnsi"/>
        <w:sz w:val="16"/>
        <w:szCs w:val="16"/>
      </w:rPr>
    </w:pPr>
    <w:r>
      <w:rPr>
        <w:rFonts w:cs="HelveticaNeue-Light"/>
        <w:noProof/>
        <w:color w:val="000000"/>
        <w:sz w:val="32"/>
        <w:szCs w:val="44"/>
        <w:lang w:eastAsia="en-AU"/>
      </w:rPr>
      <w:drawing>
        <wp:inline distT="0" distB="0" distL="0" distR="0" wp14:anchorId="040A54A6" wp14:editId="1B5E2412">
          <wp:extent cx="1804670" cy="1527810"/>
          <wp:effectExtent l="0" t="0" r="5080" b="0"/>
          <wp:docPr id="7" name="Picture 7"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04670" cy="1527810"/>
                  </a:xfrm>
                  <a:prstGeom prst="rect">
                    <a:avLst/>
                  </a:prstGeom>
                  <a:noFill/>
                  <a:ln>
                    <a:noFill/>
                  </a:ln>
                  <a:effectLst/>
                </pic:spPr>
              </pic:pic>
            </a:graphicData>
          </a:graphic>
        </wp:inline>
      </w:drawing>
    </w:r>
  </w:p>
  <w:p w14:paraId="2008B985" w14:textId="66354296" w:rsidR="008978BC" w:rsidRDefault="008978BC" w:rsidP="008978BC">
    <w:pPr>
      <w:tabs>
        <w:tab w:val="center" w:pos="4820"/>
        <w:tab w:val="right" w:pos="9639"/>
      </w:tabs>
      <w:spacing w:after="0"/>
      <w:ind w:left="-851"/>
      <w:jc w:val="center"/>
      <w:rPr>
        <w:rFonts w:cstheme="minorHAnsi"/>
        <w:sz w:val="16"/>
        <w:szCs w:val="16"/>
      </w:rPr>
    </w:pPr>
    <w:r w:rsidRPr="007C4CE7">
      <w:rPr>
        <w:rFonts w:cstheme="minorHAnsi"/>
        <w:sz w:val="16"/>
        <w:szCs w:val="16"/>
      </w:rPr>
      <w:t xml:space="preserve">GPO Box 9887 Melbourne VIC </w:t>
    </w:r>
    <w:proofErr w:type="gramStart"/>
    <w:r w:rsidRPr="007C4CE7">
      <w:rPr>
        <w:rFonts w:cstheme="minorHAnsi"/>
        <w:sz w:val="16"/>
        <w:szCs w:val="16"/>
      </w:rPr>
      <w:t>3001  |</w:t>
    </w:r>
    <w:proofErr w:type="gramEnd"/>
    <w:r w:rsidRPr="007C4CE7">
      <w:rPr>
        <w:rFonts w:cstheme="minorHAnsi"/>
        <w:sz w:val="16"/>
        <w:szCs w:val="16"/>
      </w:rPr>
      <w:t xml:space="preserve">  414 La</w:t>
    </w:r>
    <w:r>
      <w:rPr>
        <w:rFonts w:cstheme="minorHAnsi"/>
        <w:sz w:val="16"/>
        <w:szCs w:val="16"/>
      </w:rPr>
      <w:t xml:space="preserve"> </w:t>
    </w:r>
    <w:r w:rsidRPr="007C4CE7">
      <w:rPr>
        <w:rFonts w:cstheme="minorHAnsi"/>
        <w:sz w:val="16"/>
        <w:szCs w:val="16"/>
      </w:rPr>
      <w:t>Trobe Street Melbourne VIC 3000</w:t>
    </w:r>
  </w:p>
  <w:p w14:paraId="09C1E8C7" w14:textId="0940DB93" w:rsidR="008978BC" w:rsidRDefault="008978BC" w:rsidP="008978BC">
    <w:pPr>
      <w:tabs>
        <w:tab w:val="center" w:pos="4820"/>
        <w:tab w:val="right" w:pos="9639"/>
      </w:tabs>
      <w:spacing w:after="0"/>
      <w:ind w:left="-851"/>
      <w:jc w:val="center"/>
      <w:rPr>
        <w:rFonts w:cstheme="minorHAnsi"/>
        <w:sz w:val="16"/>
        <w:szCs w:val="16"/>
      </w:rPr>
    </w:pPr>
    <w:r w:rsidRPr="007C4CE7">
      <w:rPr>
        <w:rFonts w:cstheme="minorHAnsi"/>
        <w:sz w:val="16"/>
        <w:szCs w:val="16"/>
      </w:rPr>
      <w:t xml:space="preserve">P: (03) 9954 </w:t>
    </w:r>
    <w:proofErr w:type="gramStart"/>
    <w:r w:rsidRPr="007C4CE7">
      <w:rPr>
        <w:rFonts w:cstheme="minorHAnsi"/>
        <w:sz w:val="16"/>
        <w:szCs w:val="16"/>
      </w:rPr>
      <w:t>2611  F</w:t>
    </w:r>
    <w:proofErr w:type="gramEnd"/>
    <w:r w:rsidRPr="007C4CE7">
      <w:rPr>
        <w:rFonts w:cstheme="minorHAnsi"/>
        <w:sz w:val="16"/>
        <w:szCs w:val="16"/>
      </w:rPr>
      <w:t xml:space="preserve">: (02) 6276 </w:t>
    </w:r>
    <w:r>
      <w:rPr>
        <w:rFonts w:cstheme="minorHAnsi"/>
        <w:sz w:val="16"/>
        <w:szCs w:val="16"/>
      </w:rPr>
      <w:t>8063</w:t>
    </w:r>
    <w:r w:rsidRPr="007C4CE7">
      <w:rPr>
        <w:rFonts w:cstheme="minorHAnsi"/>
        <w:sz w:val="16"/>
        <w:szCs w:val="16"/>
      </w:rPr>
      <w:t xml:space="preserve">  E: </w:t>
    </w:r>
    <w:hyperlink r:id="rId2" w:tooltip="Email - Sandra Parker" w:history="1">
      <w:r>
        <w:rPr>
          <w:rStyle w:val="Hyperlink"/>
          <w:rFonts w:cstheme="minorHAnsi"/>
          <w:sz w:val="16"/>
          <w:szCs w:val="16"/>
        </w:rPr>
        <w:t>sandra.parker@fwo.gov.au</w:t>
      </w:r>
    </w:hyperlink>
  </w:p>
  <w:p w14:paraId="5A831951" w14:textId="79D62C21" w:rsidR="00465712" w:rsidRPr="00E62251" w:rsidRDefault="00B15374" w:rsidP="00B15374">
    <w:pPr>
      <w:tabs>
        <w:tab w:val="center" w:pos="4820"/>
        <w:tab w:val="right" w:pos="9639"/>
      </w:tabs>
      <w:spacing w:after="0"/>
      <w:ind w:left="-709"/>
      <w:jc w:val="center"/>
      <w:rPr>
        <w:rFonts w:cstheme="minorHAnsi"/>
        <w:sz w:val="16"/>
        <w:szCs w:val="16"/>
      </w:rPr>
    </w:pPr>
    <w:r>
      <w:rPr>
        <w:noProof/>
        <w:lang w:eastAsia="en-AU"/>
      </w:rPr>
      <mc:AlternateContent>
        <mc:Choice Requires="wps">
          <w:drawing>
            <wp:inline distT="0" distB="0" distL="0" distR="0" wp14:anchorId="2867EF3E" wp14:editId="4D3168DF">
              <wp:extent cx="5731510" cy="0"/>
              <wp:effectExtent l="0" t="38100" r="40640" b="38100"/>
              <wp:docPr id="1" name="Straight Connector 1"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76200" cap="flat" cmpd="sng" algn="ctr">
                        <a:solidFill>
                          <a:srgbClr val="0395A7"/>
                        </a:solidFill>
                        <a:prstDash val="solid"/>
                      </a:ln>
                      <a:effectLst/>
                    </wps:spPr>
                    <wps:bodyPr/>
                  </wps:wsp>
                </a:graphicData>
              </a:graphic>
            </wp:inline>
          </w:drawing>
        </mc:Choice>
        <mc:Fallback>
          <w:pict>
            <v:line w14:anchorId="4E403484" id="Straight Connector 1"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" strokecolor="#0395a7" strokeweight="6pt">
              <o:lock v:ext="edit" shapetype="f"/>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82FB0"/>
    <w:multiLevelType w:val="multilevel"/>
    <w:tmpl w:val="42BA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556CC"/>
    <w:multiLevelType w:val="hybridMultilevel"/>
    <w:tmpl w:val="2BC0C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FF868CF"/>
    <w:multiLevelType w:val="multilevel"/>
    <w:tmpl w:val="3688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8474D"/>
    <w:multiLevelType w:val="multilevel"/>
    <w:tmpl w:val="3C7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F4766"/>
    <w:multiLevelType w:val="hybridMultilevel"/>
    <w:tmpl w:val="9BAEC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023EEB"/>
    <w:multiLevelType w:val="multilevel"/>
    <w:tmpl w:val="230A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DF3FC2"/>
    <w:multiLevelType w:val="multilevel"/>
    <w:tmpl w:val="6B60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C72778"/>
    <w:multiLevelType w:val="multilevel"/>
    <w:tmpl w:val="44AA9614"/>
    <w:lvl w:ilvl="0">
      <w:start w:val="1"/>
      <w:numFmt w:val="decimal"/>
      <w:lvlText w:val="%1."/>
      <w:lvlJc w:val="left"/>
      <w:pPr>
        <w:tabs>
          <w:tab w:val="num" w:pos="360"/>
        </w:tabs>
        <w:ind w:left="360" w:hanging="360"/>
      </w:pPr>
      <w:rPr>
        <w:rFonts w:ascii="Calibri" w:eastAsia="Times New Roman" w:hAnsi="Calibri" w:cs="Times New Roman"/>
        <w:sz w:val="28"/>
        <w:szCs w:val="28"/>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0"/>
      <w:numFmt w:val="decimal"/>
      <w:lvlText w:val="%4"/>
      <w:lvlJc w:val="left"/>
      <w:pPr>
        <w:ind w:left="2520" w:hanging="360"/>
      </w:p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5"/>
  </w:num>
  <w:num w:numId="2">
    <w:abstractNumId w:val="6"/>
  </w:num>
  <w:num w:numId="3">
    <w:abstractNumId w:val="3"/>
  </w:num>
  <w:num w:numId="4">
    <w:abstractNumId w:val="2"/>
  </w:num>
  <w:num w:numId="5">
    <w:abstractNumId w:val="0"/>
  </w:num>
  <w:num w:numId="6">
    <w:abstractNumId w:val="4"/>
  </w:num>
  <w:num w:numId="7">
    <w:abstractNumId w:val="7"/>
    <w:lvlOverride w:ilvl="0">
      <w:startOverride w:val="1"/>
    </w:lvlOverride>
    <w:lvlOverride w:ilvl="1"/>
    <w:lvlOverride w:ilvl="2"/>
    <w:lvlOverride w:ilvl="3">
      <w:startOverride w:val="10"/>
    </w:lvlOverride>
    <w:lvlOverride w:ilvl="4"/>
    <w:lvlOverride w:ilvl="5"/>
    <w:lvlOverride w:ilvl="6"/>
    <w:lvlOverride w:ilvl="7"/>
    <w:lvlOverride w:ilvl="8"/>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712"/>
    <w:rsid w:val="000052D3"/>
    <w:rsid w:val="000073B4"/>
    <w:rsid w:val="00021090"/>
    <w:rsid w:val="00021BCB"/>
    <w:rsid w:val="000252DF"/>
    <w:rsid w:val="0002547C"/>
    <w:rsid w:val="00025B89"/>
    <w:rsid w:val="000265C3"/>
    <w:rsid w:val="0003478B"/>
    <w:rsid w:val="0003683A"/>
    <w:rsid w:val="00037292"/>
    <w:rsid w:val="00037A48"/>
    <w:rsid w:val="00044699"/>
    <w:rsid w:val="000447A6"/>
    <w:rsid w:val="000522EB"/>
    <w:rsid w:val="00053E99"/>
    <w:rsid w:val="000546D3"/>
    <w:rsid w:val="00056C7F"/>
    <w:rsid w:val="00060D0E"/>
    <w:rsid w:val="00060D1E"/>
    <w:rsid w:val="00061952"/>
    <w:rsid w:val="00072C99"/>
    <w:rsid w:val="0007704E"/>
    <w:rsid w:val="00083241"/>
    <w:rsid w:val="000856FD"/>
    <w:rsid w:val="00086FE9"/>
    <w:rsid w:val="00091526"/>
    <w:rsid w:val="00092B38"/>
    <w:rsid w:val="000947AF"/>
    <w:rsid w:val="00095418"/>
    <w:rsid w:val="000A10D6"/>
    <w:rsid w:val="000A3184"/>
    <w:rsid w:val="000A60B2"/>
    <w:rsid w:val="000B5D4F"/>
    <w:rsid w:val="000C1B75"/>
    <w:rsid w:val="000C23AE"/>
    <w:rsid w:val="000D049D"/>
    <w:rsid w:val="000D2FAD"/>
    <w:rsid w:val="000D732C"/>
    <w:rsid w:val="000E18E2"/>
    <w:rsid w:val="000E1DDA"/>
    <w:rsid w:val="000E1F98"/>
    <w:rsid w:val="000E2B0E"/>
    <w:rsid w:val="000E40EC"/>
    <w:rsid w:val="000E40FC"/>
    <w:rsid w:val="000E571B"/>
    <w:rsid w:val="000F076E"/>
    <w:rsid w:val="000F11D4"/>
    <w:rsid w:val="000F7F64"/>
    <w:rsid w:val="001001D6"/>
    <w:rsid w:val="0010570F"/>
    <w:rsid w:val="00112B16"/>
    <w:rsid w:val="00123555"/>
    <w:rsid w:val="00125A04"/>
    <w:rsid w:val="001266D3"/>
    <w:rsid w:val="00126C58"/>
    <w:rsid w:val="00127499"/>
    <w:rsid w:val="00132297"/>
    <w:rsid w:val="00133104"/>
    <w:rsid w:val="00134949"/>
    <w:rsid w:val="001368E6"/>
    <w:rsid w:val="00140ECD"/>
    <w:rsid w:val="0014128C"/>
    <w:rsid w:val="00141F0C"/>
    <w:rsid w:val="0015347E"/>
    <w:rsid w:val="001608C4"/>
    <w:rsid w:val="0017667B"/>
    <w:rsid w:val="001869FF"/>
    <w:rsid w:val="0019003E"/>
    <w:rsid w:val="001A0F73"/>
    <w:rsid w:val="001A2CA5"/>
    <w:rsid w:val="001A5C33"/>
    <w:rsid w:val="001A73C6"/>
    <w:rsid w:val="001B4D3F"/>
    <w:rsid w:val="001D33B5"/>
    <w:rsid w:val="001E5C8D"/>
    <w:rsid w:val="001E7975"/>
    <w:rsid w:val="001F1614"/>
    <w:rsid w:val="001F31B6"/>
    <w:rsid w:val="001F7268"/>
    <w:rsid w:val="00200A74"/>
    <w:rsid w:val="002162DB"/>
    <w:rsid w:val="002204B7"/>
    <w:rsid w:val="002233BF"/>
    <w:rsid w:val="00231593"/>
    <w:rsid w:val="00231617"/>
    <w:rsid w:val="00245537"/>
    <w:rsid w:val="002533F6"/>
    <w:rsid w:val="002618C3"/>
    <w:rsid w:val="00271D37"/>
    <w:rsid w:val="00272E25"/>
    <w:rsid w:val="0027308F"/>
    <w:rsid w:val="002735B4"/>
    <w:rsid w:val="0027601A"/>
    <w:rsid w:val="002805D9"/>
    <w:rsid w:val="00281CEC"/>
    <w:rsid w:val="002830EB"/>
    <w:rsid w:val="002870A4"/>
    <w:rsid w:val="002928AB"/>
    <w:rsid w:val="0029587F"/>
    <w:rsid w:val="002A32A2"/>
    <w:rsid w:val="002C1D61"/>
    <w:rsid w:val="002C330C"/>
    <w:rsid w:val="002C63D3"/>
    <w:rsid w:val="002C6643"/>
    <w:rsid w:val="002D2477"/>
    <w:rsid w:val="002D3CB0"/>
    <w:rsid w:val="002D7524"/>
    <w:rsid w:val="002D7AD1"/>
    <w:rsid w:val="002D7BD9"/>
    <w:rsid w:val="002E0545"/>
    <w:rsid w:val="002E0EE0"/>
    <w:rsid w:val="002E6F77"/>
    <w:rsid w:val="002F1932"/>
    <w:rsid w:val="002F1B15"/>
    <w:rsid w:val="002F597A"/>
    <w:rsid w:val="002F6963"/>
    <w:rsid w:val="00300DBB"/>
    <w:rsid w:val="0030123C"/>
    <w:rsid w:val="003016C4"/>
    <w:rsid w:val="00306498"/>
    <w:rsid w:val="003219D4"/>
    <w:rsid w:val="00325145"/>
    <w:rsid w:val="003252B2"/>
    <w:rsid w:val="00325933"/>
    <w:rsid w:val="003349B3"/>
    <w:rsid w:val="0034163A"/>
    <w:rsid w:val="00347ADE"/>
    <w:rsid w:val="00350322"/>
    <w:rsid w:val="00351FDB"/>
    <w:rsid w:val="0035685D"/>
    <w:rsid w:val="003614D7"/>
    <w:rsid w:val="00364F15"/>
    <w:rsid w:val="0037559A"/>
    <w:rsid w:val="00385DD2"/>
    <w:rsid w:val="003925AA"/>
    <w:rsid w:val="00392746"/>
    <w:rsid w:val="00392ED3"/>
    <w:rsid w:val="003A1AFB"/>
    <w:rsid w:val="003A72F0"/>
    <w:rsid w:val="003A75E1"/>
    <w:rsid w:val="003B2D60"/>
    <w:rsid w:val="003B3222"/>
    <w:rsid w:val="003B6DBF"/>
    <w:rsid w:val="003C20FE"/>
    <w:rsid w:val="003C2EE7"/>
    <w:rsid w:val="003C6487"/>
    <w:rsid w:val="003C757E"/>
    <w:rsid w:val="003E415B"/>
    <w:rsid w:val="003F31D1"/>
    <w:rsid w:val="003F742F"/>
    <w:rsid w:val="004016D6"/>
    <w:rsid w:val="00405B4A"/>
    <w:rsid w:val="004065CD"/>
    <w:rsid w:val="0042184C"/>
    <w:rsid w:val="004257A5"/>
    <w:rsid w:val="00426995"/>
    <w:rsid w:val="0043437B"/>
    <w:rsid w:val="004357AC"/>
    <w:rsid w:val="00436714"/>
    <w:rsid w:val="00442DD8"/>
    <w:rsid w:val="00445ADD"/>
    <w:rsid w:val="00446158"/>
    <w:rsid w:val="004558FD"/>
    <w:rsid w:val="00457E5C"/>
    <w:rsid w:val="00461198"/>
    <w:rsid w:val="00461652"/>
    <w:rsid w:val="00462100"/>
    <w:rsid w:val="004632D7"/>
    <w:rsid w:val="00465712"/>
    <w:rsid w:val="00466A2A"/>
    <w:rsid w:val="00466A53"/>
    <w:rsid w:val="00472256"/>
    <w:rsid w:val="0047241F"/>
    <w:rsid w:val="00472D7C"/>
    <w:rsid w:val="0047474D"/>
    <w:rsid w:val="00484C7A"/>
    <w:rsid w:val="00486B87"/>
    <w:rsid w:val="004940DF"/>
    <w:rsid w:val="004A1688"/>
    <w:rsid w:val="004A5837"/>
    <w:rsid w:val="004A65FA"/>
    <w:rsid w:val="004B41AC"/>
    <w:rsid w:val="004C17D5"/>
    <w:rsid w:val="004C4208"/>
    <w:rsid w:val="004C740E"/>
    <w:rsid w:val="004D1995"/>
    <w:rsid w:val="004D5571"/>
    <w:rsid w:val="004E2782"/>
    <w:rsid w:val="004E502B"/>
    <w:rsid w:val="004E5A34"/>
    <w:rsid w:val="00512734"/>
    <w:rsid w:val="005204F7"/>
    <w:rsid w:val="005325F3"/>
    <w:rsid w:val="005376CE"/>
    <w:rsid w:val="00542644"/>
    <w:rsid w:val="00543195"/>
    <w:rsid w:val="00547C55"/>
    <w:rsid w:val="00553C04"/>
    <w:rsid w:val="00553C48"/>
    <w:rsid w:val="0055715D"/>
    <w:rsid w:val="005613FE"/>
    <w:rsid w:val="00562B60"/>
    <w:rsid w:val="005636ED"/>
    <w:rsid w:val="00563776"/>
    <w:rsid w:val="005666AB"/>
    <w:rsid w:val="0057172F"/>
    <w:rsid w:val="00572E1E"/>
    <w:rsid w:val="005760A1"/>
    <w:rsid w:val="00584A03"/>
    <w:rsid w:val="005924CC"/>
    <w:rsid w:val="005A1ADD"/>
    <w:rsid w:val="005A3914"/>
    <w:rsid w:val="005A55FF"/>
    <w:rsid w:val="005A6D7E"/>
    <w:rsid w:val="005A7FE5"/>
    <w:rsid w:val="005B039F"/>
    <w:rsid w:val="005B2D88"/>
    <w:rsid w:val="005B38CC"/>
    <w:rsid w:val="005B6E30"/>
    <w:rsid w:val="005C2C50"/>
    <w:rsid w:val="005C455F"/>
    <w:rsid w:val="005C49CD"/>
    <w:rsid w:val="005D13E2"/>
    <w:rsid w:val="005D7BFA"/>
    <w:rsid w:val="005E2060"/>
    <w:rsid w:val="005E4775"/>
    <w:rsid w:val="005E77A3"/>
    <w:rsid w:val="005F23F4"/>
    <w:rsid w:val="005F3DB2"/>
    <w:rsid w:val="005F4220"/>
    <w:rsid w:val="005F42D0"/>
    <w:rsid w:val="00605AE5"/>
    <w:rsid w:val="00607AB4"/>
    <w:rsid w:val="00611281"/>
    <w:rsid w:val="0061176B"/>
    <w:rsid w:val="00611B70"/>
    <w:rsid w:val="00616299"/>
    <w:rsid w:val="0061749B"/>
    <w:rsid w:val="00622013"/>
    <w:rsid w:val="00626174"/>
    <w:rsid w:val="00626F34"/>
    <w:rsid w:val="0062797C"/>
    <w:rsid w:val="0063095C"/>
    <w:rsid w:val="006311C7"/>
    <w:rsid w:val="00633539"/>
    <w:rsid w:val="00633FA4"/>
    <w:rsid w:val="0064267F"/>
    <w:rsid w:val="006466AC"/>
    <w:rsid w:val="00651185"/>
    <w:rsid w:val="00654242"/>
    <w:rsid w:val="00656558"/>
    <w:rsid w:val="0065755A"/>
    <w:rsid w:val="00663BBE"/>
    <w:rsid w:val="00663F59"/>
    <w:rsid w:val="006673DD"/>
    <w:rsid w:val="006701E9"/>
    <w:rsid w:val="0068727C"/>
    <w:rsid w:val="006903EC"/>
    <w:rsid w:val="00691E45"/>
    <w:rsid w:val="006931CA"/>
    <w:rsid w:val="006962E2"/>
    <w:rsid w:val="00696D04"/>
    <w:rsid w:val="006A303D"/>
    <w:rsid w:val="006B0102"/>
    <w:rsid w:val="006B09A2"/>
    <w:rsid w:val="006B658A"/>
    <w:rsid w:val="006D42C1"/>
    <w:rsid w:val="006D6BA0"/>
    <w:rsid w:val="006D7CBD"/>
    <w:rsid w:val="006E0EE0"/>
    <w:rsid w:val="006E5EDE"/>
    <w:rsid w:val="006E628C"/>
    <w:rsid w:val="006F0DF8"/>
    <w:rsid w:val="006F21D3"/>
    <w:rsid w:val="006F25A0"/>
    <w:rsid w:val="006F49E8"/>
    <w:rsid w:val="006F744C"/>
    <w:rsid w:val="00703708"/>
    <w:rsid w:val="00713830"/>
    <w:rsid w:val="007160CD"/>
    <w:rsid w:val="00722842"/>
    <w:rsid w:val="007228D0"/>
    <w:rsid w:val="00723991"/>
    <w:rsid w:val="00724F0B"/>
    <w:rsid w:val="0072509C"/>
    <w:rsid w:val="00732DB1"/>
    <w:rsid w:val="0073641A"/>
    <w:rsid w:val="00737911"/>
    <w:rsid w:val="00746661"/>
    <w:rsid w:val="007577B8"/>
    <w:rsid w:val="007668BC"/>
    <w:rsid w:val="007673E9"/>
    <w:rsid w:val="007814B6"/>
    <w:rsid w:val="0078534F"/>
    <w:rsid w:val="00790990"/>
    <w:rsid w:val="00792DA9"/>
    <w:rsid w:val="00797D84"/>
    <w:rsid w:val="007A06CF"/>
    <w:rsid w:val="007A44B2"/>
    <w:rsid w:val="007A7BA9"/>
    <w:rsid w:val="007B3C73"/>
    <w:rsid w:val="007B5BF7"/>
    <w:rsid w:val="007B6850"/>
    <w:rsid w:val="007B73A2"/>
    <w:rsid w:val="007C1C05"/>
    <w:rsid w:val="007C4CE7"/>
    <w:rsid w:val="007D3365"/>
    <w:rsid w:val="007D6146"/>
    <w:rsid w:val="007E2EBF"/>
    <w:rsid w:val="007E4D35"/>
    <w:rsid w:val="007F5049"/>
    <w:rsid w:val="007F5F48"/>
    <w:rsid w:val="00800125"/>
    <w:rsid w:val="00803373"/>
    <w:rsid w:val="00803AF8"/>
    <w:rsid w:val="00811799"/>
    <w:rsid w:val="00814878"/>
    <w:rsid w:val="00820B9A"/>
    <w:rsid w:val="00846723"/>
    <w:rsid w:val="0084714A"/>
    <w:rsid w:val="00854AAF"/>
    <w:rsid w:val="00865436"/>
    <w:rsid w:val="00865DD4"/>
    <w:rsid w:val="008672CA"/>
    <w:rsid w:val="00873ADF"/>
    <w:rsid w:val="00884CB2"/>
    <w:rsid w:val="00887D95"/>
    <w:rsid w:val="00890E5F"/>
    <w:rsid w:val="00892972"/>
    <w:rsid w:val="008978BC"/>
    <w:rsid w:val="008A2DC4"/>
    <w:rsid w:val="008A2F29"/>
    <w:rsid w:val="008A43DA"/>
    <w:rsid w:val="008A5606"/>
    <w:rsid w:val="008B06A3"/>
    <w:rsid w:val="008B1A1A"/>
    <w:rsid w:val="008B3C35"/>
    <w:rsid w:val="008B5E4E"/>
    <w:rsid w:val="008C7095"/>
    <w:rsid w:val="008D0590"/>
    <w:rsid w:val="008D4713"/>
    <w:rsid w:val="008E319D"/>
    <w:rsid w:val="008E4D2E"/>
    <w:rsid w:val="008E6AB0"/>
    <w:rsid w:val="008F198A"/>
    <w:rsid w:val="008F1AA1"/>
    <w:rsid w:val="008F5D98"/>
    <w:rsid w:val="00900363"/>
    <w:rsid w:val="00900898"/>
    <w:rsid w:val="0090125F"/>
    <w:rsid w:val="009140D8"/>
    <w:rsid w:val="00914916"/>
    <w:rsid w:val="00916E32"/>
    <w:rsid w:val="00917E16"/>
    <w:rsid w:val="00925B53"/>
    <w:rsid w:val="009264B7"/>
    <w:rsid w:val="009326B0"/>
    <w:rsid w:val="00932F5B"/>
    <w:rsid w:val="00933500"/>
    <w:rsid w:val="00936246"/>
    <w:rsid w:val="00937A21"/>
    <w:rsid w:val="00940274"/>
    <w:rsid w:val="009402CE"/>
    <w:rsid w:val="00944DAF"/>
    <w:rsid w:val="009501F0"/>
    <w:rsid w:val="00955577"/>
    <w:rsid w:val="00960374"/>
    <w:rsid w:val="00967103"/>
    <w:rsid w:val="00967A28"/>
    <w:rsid w:val="009704A3"/>
    <w:rsid w:val="00970D3B"/>
    <w:rsid w:val="00971BF3"/>
    <w:rsid w:val="00972212"/>
    <w:rsid w:val="00973CB4"/>
    <w:rsid w:val="00982F60"/>
    <w:rsid w:val="00985E87"/>
    <w:rsid w:val="00990484"/>
    <w:rsid w:val="009A3C9E"/>
    <w:rsid w:val="009A44E5"/>
    <w:rsid w:val="009A509A"/>
    <w:rsid w:val="009A5C17"/>
    <w:rsid w:val="009B30E9"/>
    <w:rsid w:val="009B4510"/>
    <w:rsid w:val="009B572A"/>
    <w:rsid w:val="009B73CB"/>
    <w:rsid w:val="009C2783"/>
    <w:rsid w:val="009C3EC7"/>
    <w:rsid w:val="009C3EF6"/>
    <w:rsid w:val="009D05B9"/>
    <w:rsid w:val="009D62E2"/>
    <w:rsid w:val="009D72E9"/>
    <w:rsid w:val="009D7431"/>
    <w:rsid w:val="009E4575"/>
    <w:rsid w:val="009F096D"/>
    <w:rsid w:val="009F0E84"/>
    <w:rsid w:val="009F521D"/>
    <w:rsid w:val="00A00D29"/>
    <w:rsid w:val="00A03C9E"/>
    <w:rsid w:val="00A06C3A"/>
    <w:rsid w:val="00A153EF"/>
    <w:rsid w:val="00A21DF2"/>
    <w:rsid w:val="00A22481"/>
    <w:rsid w:val="00A2540D"/>
    <w:rsid w:val="00A26CFB"/>
    <w:rsid w:val="00A31674"/>
    <w:rsid w:val="00A317B1"/>
    <w:rsid w:val="00A331C2"/>
    <w:rsid w:val="00A37368"/>
    <w:rsid w:val="00A37ADA"/>
    <w:rsid w:val="00A63679"/>
    <w:rsid w:val="00A64299"/>
    <w:rsid w:val="00A7614D"/>
    <w:rsid w:val="00A770A2"/>
    <w:rsid w:val="00A82C8C"/>
    <w:rsid w:val="00A85969"/>
    <w:rsid w:val="00A91679"/>
    <w:rsid w:val="00AA588E"/>
    <w:rsid w:val="00AB2D98"/>
    <w:rsid w:val="00AB5EB9"/>
    <w:rsid w:val="00AC7208"/>
    <w:rsid w:val="00AD0F58"/>
    <w:rsid w:val="00AD1619"/>
    <w:rsid w:val="00AD1E1E"/>
    <w:rsid w:val="00AD41FB"/>
    <w:rsid w:val="00AD68D8"/>
    <w:rsid w:val="00AE4079"/>
    <w:rsid w:val="00AF3589"/>
    <w:rsid w:val="00AF718B"/>
    <w:rsid w:val="00B0357D"/>
    <w:rsid w:val="00B12547"/>
    <w:rsid w:val="00B14B37"/>
    <w:rsid w:val="00B15374"/>
    <w:rsid w:val="00B25F3D"/>
    <w:rsid w:val="00B26FBE"/>
    <w:rsid w:val="00B2738A"/>
    <w:rsid w:val="00B336A2"/>
    <w:rsid w:val="00B43695"/>
    <w:rsid w:val="00B43968"/>
    <w:rsid w:val="00B44CAB"/>
    <w:rsid w:val="00B45C08"/>
    <w:rsid w:val="00B47CFE"/>
    <w:rsid w:val="00B50EDA"/>
    <w:rsid w:val="00B5213D"/>
    <w:rsid w:val="00B57142"/>
    <w:rsid w:val="00B62789"/>
    <w:rsid w:val="00B678D0"/>
    <w:rsid w:val="00B73736"/>
    <w:rsid w:val="00B74110"/>
    <w:rsid w:val="00B76102"/>
    <w:rsid w:val="00B8029A"/>
    <w:rsid w:val="00B8185E"/>
    <w:rsid w:val="00B866C1"/>
    <w:rsid w:val="00B935C3"/>
    <w:rsid w:val="00B971A8"/>
    <w:rsid w:val="00B97593"/>
    <w:rsid w:val="00BA2751"/>
    <w:rsid w:val="00BA747D"/>
    <w:rsid w:val="00BB0305"/>
    <w:rsid w:val="00BB1411"/>
    <w:rsid w:val="00BB33E8"/>
    <w:rsid w:val="00BB39ED"/>
    <w:rsid w:val="00BB47A2"/>
    <w:rsid w:val="00BB5843"/>
    <w:rsid w:val="00BC0E09"/>
    <w:rsid w:val="00BC7293"/>
    <w:rsid w:val="00BD77ED"/>
    <w:rsid w:val="00BE0EBD"/>
    <w:rsid w:val="00BE5580"/>
    <w:rsid w:val="00BF3105"/>
    <w:rsid w:val="00C0294A"/>
    <w:rsid w:val="00C02BC6"/>
    <w:rsid w:val="00C10A44"/>
    <w:rsid w:val="00C13511"/>
    <w:rsid w:val="00C1453A"/>
    <w:rsid w:val="00C14A86"/>
    <w:rsid w:val="00C168C0"/>
    <w:rsid w:val="00C16C27"/>
    <w:rsid w:val="00C17757"/>
    <w:rsid w:val="00C41171"/>
    <w:rsid w:val="00C42C2B"/>
    <w:rsid w:val="00C456EB"/>
    <w:rsid w:val="00C60004"/>
    <w:rsid w:val="00C65CBE"/>
    <w:rsid w:val="00C65D75"/>
    <w:rsid w:val="00C67394"/>
    <w:rsid w:val="00C70775"/>
    <w:rsid w:val="00C72A9C"/>
    <w:rsid w:val="00C758D1"/>
    <w:rsid w:val="00C7745B"/>
    <w:rsid w:val="00C87BC1"/>
    <w:rsid w:val="00C93571"/>
    <w:rsid w:val="00C95B8A"/>
    <w:rsid w:val="00CB27EB"/>
    <w:rsid w:val="00CB502E"/>
    <w:rsid w:val="00CD004B"/>
    <w:rsid w:val="00CD00F3"/>
    <w:rsid w:val="00CE1A47"/>
    <w:rsid w:val="00CE3092"/>
    <w:rsid w:val="00CE4B7F"/>
    <w:rsid w:val="00CE54B0"/>
    <w:rsid w:val="00CF7E64"/>
    <w:rsid w:val="00D00704"/>
    <w:rsid w:val="00D14892"/>
    <w:rsid w:val="00D15051"/>
    <w:rsid w:val="00D156C1"/>
    <w:rsid w:val="00D21182"/>
    <w:rsid w:val="00D27D6B"/>
    <w:rsid w:val="00D367B0"/>
    <w:rsid w:val="00D41259"/>
    <w:rsid w:val="00D4321C"/>
    <w:rsid w:val="00D44A65"/>
    <w:rsid w:val="00D46896"/>
    <w:rsid w:val="00D476EE"/>
    <w:rsid w:val="00D50478"/>
    <w:rsid w:val="00D508F3"/>
    <w:rsid w:val="00D50DF1"/>
    <w:rsid w:val="00D543A7"/>
    <w:rsid w:val="00D54C8C"/>
    <w:rsid w:val="00D56573"/>
    <w:rsid w:val="00D575F0"/>
    <w:rsid w:val="00D60220"/>
    <w:rsid w:val="00D61B15"/>
    <w:rsid w:val="00D61E0F"/>
    <w:rsid w:val="00D64C33"/>
    <w:rsid w:val="00D65F90"/>
    <w:rsid w:val="00D67115"/>
    <w:rsid w:val="00D67681"/>
    <w:rsid w:val="00D67CDE"/>
    <w:rsid w:val="00D73278"/>
    <w:rsid w:val="00D7433F"/>
    <w:rsid w:val="00D74D68"/>
    <w:rsid w:val="00D8481B"/>
    <w:rsid w:val="00D84C78"/>
    <w:rsid w:val="00D90BE1"/>
    <w:rsid w:val="00D94580"/>
    <w:rsid w:val="00D976E0"/>
    <w:rsid w:val="00DA1E08"/>
    <w:rsid w:val="00DA20EA"/>
    <w:rsid w:val="00DA32D8"/>
    <w:rsid w:val="00DA39E6"/>
    <w:rsid w:val="00DA6444"/>
    <w:rsid w:val="00DC23C6"/>
    <w:rsid w:val="00DC2B50"/>
    <w:rsid w:val="00DD290B"/>
    <w:rsid w:val="00DD4605"/>
    <w:rsid w:val="00DE5997"/>
    <w:rsid w:val="00DE6A9B"/>
    <w:rsid w:val="00DF1854"/>
    <w:rsid w:val="00DF74B4"/>
    <w:rsid w:val="00E11347"/>
    <w:rsid w:val="00E125FC"/>
    <w:rsid w:val="00E13E1A"/>
    <w:rsid w:val="00E16271"/>
    <w:rsid w:val="00E16BA7"/>
    <w:rsid w:val="00E20F12"/>
    <w:rsid w:val="00E2209E"/>
    <w:rsid w:val="00E40C4A"/>
    <w:rsid w:val="00E547EB"/>
    <w:rsid w:val="00E54A6E"/>
    <w:rsid w:val="00E60056"/>
    <w:rsid w:val="00E62251"/>
    <w:rsid w:val="00E6226B"/>
    <w:rsid w:val="00E761B0"/>
    <w:rsid w:val="00E770DB"/>
    <w:rsid w:val="00E80621"/>
    <w:rsid w:val="00E8172D"/>
    <w:rsid w:val="00E82A59"/>
    <w:rsid w:val="00E83025"/>
    <w:rsid w:val="00E833C7"/>
    <w:rsid w:val="00E860B3"/>
    <w:rsid w:val="00E95199"/>
    <w:rsid w:val="00E9678C"/>
    <w:rsid w:val="00EA17AA"/>
    <w:rsid w:val="00EA2AED"/>
    <w:rsid w:val="00EA6BFC"/>
    <w:rsid w:val="00EB0B6E"/>
    <w:rsid w:val="00EC731C"/>
    <w:rsid w:val="00ED0240"/>
    <w:rsid w:val="00ED13D5"/>
    <w:rsid w:val="00ED4BA3"/>
    <w:rsid w:val="00ED6D9B"/>
    <w:rsid w:val="00EF4E02"/>
    <w:rsid w:val="00EF5ABF"/>
    <w:rsid w:val="00EF7882"/>
    <w:rsid w:val="00F00083"/>
    <w:rsid w:val="00F04541"/>
    <w:rsid w:val="00F1104B"/>
    <w:rsid w:val="00F1340E"/>
    <w:rsid w:val="00F13702"/>
    <w:rsid w:val="00F140C6"/>
    <w:rsid w:val="00F14173"/>
    <w:rsid w:val="00F25F3C"/>
    <w:rsid w:val="00F44767"/>
    <w:rsid w:val="00F45A04"/>
    <w:rsid w:val="00F47086"/>
    <w:rsid w:val="00F50D1A"/>
    <w:rsid w:val="00F536C3"/>
    <w:rsid w:val="00F63FEE"/>
    <w:rsid w:val="00F6437A"/>
    <w:rsid w:val="00F649B0"/>
    <w:rsid w:val="00F64EE8"/>
    <w:rsid w:val="00F6548B"/>
    <w:rsid w:val="00F65B54"/>
    <w:rsid w:val="00F71146"/>
    <w:rsid w:val="00F740F4"/>
    <w:rsid w:val="00F74E74"/>
    <w:rsid w:val="00F74F5B"/>
    <w:rsid w:val="00F77826"/>
    <w:rsid w:val="00F8058D"/>
    <w:rsid w:val="00F816D3"/>
    <w:rsid w:val="00F84A50"/>
    <w:rsid w:val="00F851FA"/>
    <w:rsid w:val="00F87345"/>
    <w:rsid w:val="00F911E7"/>
    <w:rsid w:val="00F920BB"/>
    <w:rsid w:val="00F94695"/>
    <w:rsid w:val="00F94786"/>
    <w:rsid w:val="00FA0876"/>
    <w:rsid w:val="00FA1784"/>
    <w:rsid w:val="00FA24CA"/>
    <w:rsid w:val="00FA7C73"/>
    <w:rsid w:val="00FB4D31"/>
    <w:rsid w:val="00FB4D84"/>
    <w:rsid w:val="00FB717D"/>
    <w:rsid w:val="00FC3461"/>
    <w:rsid w:val="00FC5D0E"/>
    <w:rsid w:val="00FD188C"/>
    <w:rsid w:val="00FD2BEE"/>
    <w:rsid w:val="00FD375E"/>
    <w:rsid w:val="00FE41AB"/>
    <w:rsid w:val="00FF15B9"/>
    <w:rsid w:val="00FF1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15F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8BC"/>
  </w:style>
  <w:style w:type="paragraph" w:styleId="Heading1">
    <w:name w:val="heading 1"/>
    <w:basedOn w:val="Normal"/>
    <w:next w:val="Normal"/>
    <w:link w:val="Heading1Char"/>
    <w:uiPriority w:val="9"/>
    <w:qFormat/>
    <w:rsid w:val="00AA588E"/>
    <w:pPr>
      <w:spacing w:after="0"/>
      <w:outlineLvl w:val="0"/>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C4208"/>
    <w:pPr>
      <w:spacing w:after="0" w:line="240" w:lineRule="auto"/>
    </w:pPr>
    <w:rPr>
      <w:rFonts w:ascii="Consolas" w:hAnsi="Consolas"/>
      <w:color w:val="1F497D"/>
      <w:sz w:val="21"/>
      <w:szCs w:val="21"/>
    </w:rPr>
  </w:style>
  <w:style w:type="character" w:customStyle="1" w:styleId="PlainTextChar">
    <w:name w:val="Plain Text Char"/>
    <w:basedOn w:val="DefaultParagraphFont"/>
    <w:link w:val="PlainText"/>
    <w:uiPriority w:val="99"/>
    <w:semiHidden/>
    <w:rsid w:val="004C4208"/>
    <w:rPr>
      <w:rFonts w:ascii="Consolas" w:hAnsi="Consolas"/>
      <w:color w:val="1F497D"/>
      <w:sz w:val="21"/>
      <w:szCs w:val="21"/>
    </w:rPr>
  </w:style>
  <w:style w:type="character" w:styleId="Hyperlink">
    <w:name w:val="Hyperlink"/>
    <w:basedOn w:val="DefaultParagraphFont"/>
    <w:uiPriority w:val="99"/>
    <w:unhideWhenUsed/>
    <w:rsid w:val="00B47CFE"/>
    <w:rPr>
      <w:color w:val="0000FF" w:themeColor="hyperlink"/>
      <w:u w:val="single"/>
    </w:rPr>
  </w:style>
  <w:style w:type="paragraph" w:styleId="Header">
    <w:name w:val="header"/>
    <w:basedOn w:val="Normal"/>
    <w:link w:val="HeaderChar"/>
    <w:uiPriority w:val="99"/>
    <w:unhideWhenUsed/>
    <w:rsid w:val="000A3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184"/>
  </w:style>
  <w:style w:type="paragraph" w:styleId="Footer">
    <w:name w:val="footer"/>
    <w:basedOn w:val="Normal"/>
    <w:link w:val="FooterChar"/>
    <w:unhideWhenUsed/>
    <w:rsid w:val="000A3184"/>
    <w:pPr>
      <w:tabs>
        <w:tab w:val="center" w:pos="4513"/>
        <w:tab w:val="right" w:pos="9026"/>
      </w:tabs>
      <w:spacing w:after="0" w:line="240" w:lineRule="auto"/>
    </w:pPr>
  </w:style>
  <w:style w:type="character" w:customStyle="1" w:styleId="FooterChar">
    <w:name w:val="Footer Char"/>
    <w:basedOn w:val="DefaultParagraphFont"/>
    <w:link w:val="Footer"/>
    <w:rsid w:val="000A3184"/>
  </w:style>
  <w:style w:type="paragraph" w:customStyle="1" w:styleId="BasicParagraph">
    <w:name w:val="[Basic Paragraph]"/>
    <w:basedOn w:val="Normal"/>
    <w:rsid w:val="00865436"/>
    <w:pPr>
      <w:autoSpaceDE w:val="0"/>
      <w:autoSpaceDN w:val="0"/>
      <w:adjustRightInd w:val="0"/>
      <w:spacing w:after="0" w:line="288" w:lineRule="auto"/>
      <w:textAlignment w:val="center"/>
    </w:pPr>
    <w:rPr>
      <w:rFonts w:ascii="Arial" w:eastAsia="Times New Roman" w:hAnsi="Arial" w:cs="Times New Roman"/>
      <w:color w:val="000000"/>
      <w:szCs w:val="20"/>
      <w:lang w:val="en-US"/>
    </w:rPr>
  </w:style>
  <w:style w:type="paragraph" w:styleId="BalloonText">
    <w:name w:val="Balloon Text"/>
    <w:basedOn w:val="Normal"/>
    <w:link w:val="BalloonTextChar"/>
    <w:uiPriority w:val="99"/>
    <w:semiHidden/>
    <w:unhideWhenUsed/>
    <w:rsid w:val="00865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436"/>
    <w:rPr>
      <w:rFonts w:ascii="Tahoma" w:hAnsi="Tahoma" w:cs="Tahoma"/>
      <w:sz w:val="16"/>
      <w:szCs w:val="16"/>
    </w:r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FOOTNOTES,fn,Geneva 9,Boston 10,A"/>
    <w:basedOn w:val="Normal"/>
    <w:link w:val="FootnoteTextChar"/>
    <w:uiPriority w:val="99"/>
    <w:unhideWhenUsed/>
    <w:qFormat/>
    <w:rsid w:val="00691E45"/>
    <w:pPr>
      <w:spacing w:after="0" w:line="240" w:lineRule="auto"/>
    </w:pPr>
    <w:rPr>
      <w:sz w:val="20"/>
      <w:szCs w:val="20"/>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f Char"/>
    <w:basedOn w:val="DefaultParagraphFont"/>
    <w:link w:val="FootnoteText"/>
    <w:uiPriority w:val="99"/>
    <w:rsid w:val="00691E45"/>
    <w:rPr>
      <w:sz w:val="20"/>
      <w:szCs w:val="20"/>
    </w:rPr>
  </w:style>
  <w:style w:type="character" w:styleId="FootnoteReference">
    <w:name w:val="footnote reference"/>
    <w:aliases w:val="4_G,Footnotes refss,Footnote Ref,16 Point,Superscript 6 Point,ftref,Footnote Refernece,[0],Texto de nota al pie,referencia nota al pie,BVI fnr,Footnote text,NO"/>
    <w:basedOn w:val="DefaultParagraphFont"/>
    <w:uiPriority w:val="99"/>
    <w:unhideWhenUsed/>
    <w:qFormat/>
    <w:rsid w:val="00691E45"/>
    <w:rPr>
      <w:vertAlign w:val="superscript"/>
    </w:rPr>
  </w:style>
  <w:style w:type="paragraph" w:customStyle="1" w:styleId="Strapline">
    <w:name w:val="Strapline"/>
    <w:basedOn w:val="Normal"/>
    <w:rsid w:val="00691E45"/>
    <w:pPr>
      <w:tabs>
        <w:tab w:val="left" w:pos="3240"/>
        <w:tab w:val="left" w:pos="3560"/>
      </w:tabs>
      <w:spacing w:after="0" w:line="240" w:lineRule="auto"/>
    </w:pPr>
    <w:rPr>
      <w:rFonts w:ascii="Arial" w:eastAsia="Times New Roman" w:hAnsi="Arial" w:cs="Arial"/>
      <w:b/>
      <w:color w:val="830C2C"/>
      <w:lang w:eastAsia="en-AU"/>
    </w:rPr>
  </w:style>
  <w:style w:type="paragraph" w:customStyle="1" w:styleId="ABN">
    <w:name w:val="ABN"/>
    <w:basedOn w:val="Normal"/>
    <w:rsid w:val="00691E45"/>
    <w:pPr>
      <w:tabs>
        <w:tab w:val="left" w:pos="3240"/>
        <w:tab w:val="left" w:pos="3560"/>
      </w:tabs>
      <w:spacing w:after="0" w:line="240" w:lineRule="auto"/>
      <w:jc w:val="right"/>
    </w:pPr>
    <w:rPr>
      <w:rFonts w:ascii="Arial" w:eastAsia="Times New Roman" w:hAnsi="Arial" w:cs="Arial"/>
      <w:color w:val="333333"/>
      <w:sz w:val="16"/>
      <w:szCs w:val="16"/>
      <w:lang w:eastAsia="en-AU"/>
    </w:rPr>
  </w:style>
  <w:style w:type="paragraph" w:customStyle="1" w:styleId="Normalnospace">
    <w:name w:val="Normal no space"/>
    <w:basedOn w:val="Normal"/>
    <w:rsid w:val="000E40FC"/>
    <w:pPr>
      <w:spacing w:after="0" w:line="240" w:lineRule="auto"/>
    </w:pPr>
    <w:rPr>
      <w:rFonts w:ascii="Arial" w:eastAsia="Times New Roman" w:hAnsi="Arial" w:cs="Times New Roman"/>
      <w:szCs w:val="24"/>
      <w:lang w:eastAsia="en-AU"/>
    </w:rPr>
  </w:style>
  <w:style w:type="character" w:customStyle="1" w:styleId="BoldDarkRed">
    <w:name w:val="Bold Dark Red"/>
    <w:basedOn w:val="DefaultParagraphFont"/>
    <w:rsid w:val="000E40FC"/>
    <w:rPr>
      <w:b/>
      <w:bCs w:val="0"/>
      <w:color w:val="800000"/>
    </w:rPr>
  </w:style>
  <w:style w:type="character" w:customStyle="1" w:styleId="BoldLightBlue">
    <w:name w:val="Bold Light Blue"/>
    <w:basedOn w:val="DefaultParagraphFont"/>
    <w:rsid w:val="000E40FC"/>
    <w:rPr>
      <w:b/>
      <w:bCs w:val="0"/>
      <w:color w:val="3366FF"/>
    </w:rPr>
  </w:style>
  <w:style w:type="character" w:styleId="CommentReference">
    <w:name w:val="annotation reference"/>
    <w:basedOn w:val="DefaultParagraphFont"/>
    <w:uiPriority w:val="99"/>
    <w:semiHidden/>
    <w:unhideWhenUsed/>
    <w:rsid w:val="00D90BE1"/>
    <w:rPr>
      <w:sz w:val="16"/>
      <w:szCs w:val="16"/>
    </w:rPr>
  </w:style>
  <w:style w:type="paragraph" w:styleId="CommentText">
    <w:name w:val="annotation text"/>
    <w:basedOn w:val="Normal"/>
    <w:link w:val="CommentTextChar"/>
    <w:uiPriority w:val="99"/>
    <w:unhideWhenUsed/>
    <w:rsid w:val="00D90BE1"/>
    <w:pPr>
      <w:spacing w:line="240" w:lineRule="auto"/>
    </w:pPr>
    <w:rPr>
      <w:sz w:val="20"/>
      <w:szCs w:val="20"/>
    </w:rPr>
  </w:style>
  <w:style w:type="character" w:customStyle="1" w:styleId="CommentTextChar">
    <w:name w:val="Comment Text Char"/>
    <w:basedOn w:val="DefaultParagraphFont"/>
    <w:link w:val="CommentText"/>
    <w:uiPriority w:val="99"/>
    <w:rsid w:val="00D90BE1"/>
    <w:rPr>
      <w:sz w:val="20"/>
      <w:szCs w:val="20"/>
    </w:rPr>
  </w:style>
  <w:style w:type="paragraph" w:styleId="CommentSubject">
    <w:name w:val="annotation subject"/>
    <w:basedOn w:val="CommentText"/>
    <w:next w:val="CommentText"/>
    <w:link w:val="CommentSubjectChar"/>
    <w:uiPriority w:val="99"/>
    <w:semiHidden/>
    <w:unhideWhenUsed/>
    <w:rsid w:val="00D90BE1"/>
    <w:rPr>
      <w:b/>
      <w:bCs/>
    </w:rPr>
  </w:style>
  <w:style w:type="character" w:customStyle="1" w:styleId="CommentSubjectChar">
    <w:name w:val="Comment Subject Char"/>
    <w:basedOn w:val="CommentTextChar"/>
    <w:link w:val="CommentSubject"/>
    <w:uiPriority w:val="99"/>
    <w:semiHidden/>
    <w:rsid w:val="00D90BE1"/>
    <w:rPr>
      <w:b/>
      <w:bCs/>
      <w:sz w:val="20"/>
      <w:szCs w:val="20"/>
    </w:rPr>
  </w:style>
  <w:style w:type="paragraph" w:styleId="EndnoteText">
    <w:name w:val="endnote text"/>
    <w:basedOn w:val="Normal"/>
    <w:link w:val="EndnoteTextChar"/>
    <w:uiPriority w:val="99"/>
    <w:semiHidden/>
    <w:unhideWhenUsed/>
    <w:rsid w:val="00271D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1D37"/>
    <w:rPr>
      <w:sz w:val="20"/>
      <w:szCs w:val="20"/>
    </w:rPr>
  </w:style>
  <w:style w:type="character" w:styleId="EndnoteReference">
    <w:name w:val="endnote reference"/>
    <w:basedOn w:val="DefaultParagraphFont"/>
    <w:uiPriority w:val="99"/>
    <w:semiHidden/>
    <w:unhideWhenUsed/>
    <w:rsid w:val="00271D37"/>
    <w:rPr>
      <w:vertAlign w:val="superscript"/>
    </w:rPr>
  </w:style>
  <w:style w:type="paragraph" w:styleId="NormalWeb">
    <w:name w:val="Normal (Web)"/>
    <w:basedOn w:val="Normal"/>
    <w:uiPriority w:val="99"/>
    <w:semiHidden/>
    <w:unhideWhenUsed/>
    <w:rsid w:val="00F64EE8"/>
    <w:rPr>
      <w:rFonts w:ascii="Times New Roman" w:hAnsi="Times New Roman" w:cs="Times New Roman"/>
      <w:sz w:val="24"/>
      <w:szCs w:val="24"/>
    </w:rPr>
  </w:style>
  <w:style w:type="paragraph" w:styleId="Revision">
    <w:name w:val="Revision"/>
    <w:hidden/>
    <w:uiPriority w:val="99"/>
    <w:semiHidden/>
    <w:rsid w:val="00D156C1"/>
    <w:pPr>
      <w:spacing w:after="0" w:line="240" w:lineRule="auto"/>
    </w:pPr>
  </w:style>
  <w:style w:type="character" w:customStyle="1" w:styleId="Heading1Char">
    <w:name w:val="Heading 1 Char"/>
    <w:basedOn w:val="DefaultParagraphFont"/>
    <w:link w:val="Heading1"/>
    <w:uiPriority w:val="9"/>
    <w:rsid w:val="00AA588E"/>
    <w:rPr>
      <w:rFonts w:cstheme="minorHAnsi"/>
      <w:b/>
    </w:rPr>
  </w:style>
  <w:style w:type="character" w:styleId="FollowedHyperlink">
    <w:name w:val="FollowedHyperlink"/>
    <w:basedOn w:val="DefaultParagraphFont"/>
    <w:uiPriority w:val="99"/>
    <w:semiHidden/>
    <w:unhideWhenUsed/>
    <w:rsid w:val="009D7431"/>
    <w:rPr>
      <w:color w:val="800080" w:themeColor="followedHyperlink"/>
      <w:u w:val="single"/>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62797C"/>
    <w:pPr>
      <w:ind w:left="720"/>
      <w:contextualSpacing/>
    </w:p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532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82202">
      <w:bodyDiv w:val="1"/>
      <w:marLeft w:val="0"/>
      <w:marRight w:val="0"/>
      <w:marTop w:val="0"/>
      <w:marBottom w:val="0"/>
      <w:divBdr>
        <w:top w:val="none" w:sz="0" w:space="0" w:color="auto"/>
        <w:left w:val="none" w:sz="0" w:space="0" w:color="auto"/>
        <w:bottom w:val="none" w:sz="0" w:space="0" w:color="auto"/>
        <w:right w:val="none" w:sz="0" w:space="0" w:color="auto"/>
      </w:divBdr>
    </w:div>
    <w:div w:id="325979434">
      <w:bodyDiv w:val="1"/>
      <w:marLeft w:val="0"/>
      <w:marRight w:val="0"/>
      <w:marTop w:val="0"/>
      <w:marBottom w:val="0"/>
      <w:divBdr>
        <w:top w:val="none" w:sz="0" w:space="0" w:color="auto"/>
        <w:left w:val="none" w:sz="0" w:space="0" w:color="auto"/>
        <w:bottom w:val="none" w:sz="0" w:space="0" w:color="auto"/>
        <w:right w:val="none" w:sz="0" w:space="0" w:color="auto"/>
      </w:divBdr>
      <w:divsChild>
        <w:div w:id="1057751704">
          <w:marLeft w:val="0"/>
          <w:marRight w:val="0"/>
          <w:marTop w:val="0"/>
          <w:marBottom w:val="0"/>
          <w:divBdr>
            <w:top w:val="none" w:sz="0" w:space="0" w:color="auto"/>
            <w:left w:val="none" w:sz="0" w:space="0" w:color="auto"/>
            <w:bottom w:val="none" w:sz="0" w:space="0" w:color="auto"/>
            <w:right w:val="none" w:sz="0" w:space="0" w:color="auto"/>
          </w:divBdr>
          <w:divsChild>
            <w:div w:id="656222819">
              <w:marLeft w:val="0"/>
              <w:marRight w:val="0"/>
              <w:marTop w:val="0"/>
              <w:marBottom w:val="0"/>
              <w:divBdr>
                <w:top w:val="single" w:sz="6" w:space="0" w:color="CCCCCC"/>
                <w:left w:val="none" w:sz="0" w:space="0" w:color="auto"/>
                <w:bottom w:val="single" w:sz="6" w:space="0" w:color="FFFFFF"/>
                <w:right w:val="none" w:sz="0" w:space="0" w:color="auto"/>
              </w:divBdr>
              <w:divsChild>
                <w:div w:id="1913806008">
                  <w:marLeft w:val="0"/>
                  <w:marRight w:val="0"/>
                  <w:marTop w:val="100"/>
                  <w:marBottom w:val="100"/>
                  <w:divBdr>
                    <w:top w:val="none" w:sz="0" w:space="0" w:color="auto"/>
                    <w:left w:val="none" w:sz="0" w:space="0" w:color="auto"/>
                    <w:bottom w:val="none" w:sz="0" w:space="0" w:color="auto"/>
                    <w:right w:val="none" w:sz="0" w:space="0" w:color="auto"/>
                  </w:divBdr>
                  <w:divsChild>
                    <w:div w:id="208432842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056815">
      <w:bodyDiv w:val="1"/>
      <w:marLeft w:val="0"/>
      <w:marRight w:val="0"/>
      <w:marTop w:val="0"/>
      <w:marBottom w:val="0"/>
      <w:divBdr>
        <w:top w:val="none" w:sz="0" w:space="0" w:color="auto"/>
        <w:left w:val="none" w:sz="0" w:space="0" w:color="auto"/>
        <w:bottom w:val="none" w:sz="0" w:space="0" w:color="auto"/>
        <w:right w:val="none" w:sz="0" w:space="0" w:color="auto"/>
      </w:divBdr>
      <w:divsChild>
        <w:div w:id="822622746">
          <w:marLeft w:val="0"/>
          <w:marRight w:val="0"/>
          <w:marTop w:val="0"/>
          <w:marBottom w:val="0"/>
          <w:divBdr>
            <w:top w:val="none" w:sz="0" w:space="0" w:color="auto"/>
            <w:left w:val="none" w:sz="0" w:space="0" w:color="auto"/>
            <w:bottom w:val="none" w:sz="0" w:space="0" w:color="auto"/>
            <w:right w:val="none" w:sz="0" w:space="0" w:color="auto"/>
          </w:divBdr>
          <w:divsChild>
            <w:div w:id="58019393">
              <w:marLeft w:val="0"/>
              <w:marRight w:val="0"/>
              <w:marTop w:val="0"/>
              <w:marBottom w:val="0"/>
              <w:divBdr>
                <w:top w:val="single" w:sz="6" w:space="0" w:color="CCCCCC"/>
                <w:left w:val="none" w:sz="0" w:space="0" w:color="auto"/>
                <w:bottom w:val="single" w:sz="6" w:space="0" w:color="FFFFFF"/>
                <w:right w:val="none" w:sz="0" w:space="0" w:color="auto"/>
              </w:divBdr>
              <w:divsChild>
                <w:div w:id="729236088">
                  <w:marLeft w:val="0"/>
                  <w:marRight w:val="0"/>
                  <w:marTop w:val="100"/>
                  <w:marBottom w:val="100"/>
                  <w:divBdr>
                    <w:top w:val="none" w:sz="0" w:space="0" w:color="auto"/>
                    <w:left w:val="none" w:sz="0" w:space="0" w:color="auto"/>
                    <w:bottom w:val="none" w:sz="0" w:space="0" w:color="auto"/>
                    <w:right w:val="none" w:sz="0" w:space="0" w:color="auto"/>
                  </w:divBdr>
                  <w:divsChild>
                    <w:div w:id="13822503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61274">
      <w:bodyDiv w:val="1"/>
      <w:marLeft w:val="0"/>
      <w:marRight w:val="0"/>
      <w:marTop w:val="0"/>
      <w:marBottom w:val="0"/>
      <w:divBdr>
        <w:top w:val="none" w:sz="0" w:space="0" w:color="auto"/>
        <w:left w:val="none" w:sz="0" w:space="0" w:color="auto"/>
        <w:bottom w:val="none" w:sz="0" w:space="0" w:color="auto"/>
        <w:right w:val="none" w:sz="0" w:space="0" w:color="auto"/>
      </w:divBdr>
    </w:div>
    <w:div w:id="1533810110">
      <w:bodyDiv w:val="1"/>
      <w:marLeft w:val="0"/>
      <w:marRight w:val="0"/>
      <w:marTop w:val="0"/>
      <w:marBottom w:val="0"/>
      <w:divBdr>
        <w:top w:val="none" w:sz="0" w:space="0" w:color="auto"/>
        <w:left w:val="none" w:sz="0" w:space="0" w:color="auto"/>
        <w:bottom w:val="none" w:sz="0" w:space="0" w:color="auto"/>
        <w:right w:val="none" w:sz="0" w:space="0" w:color="auto"/>
      </w:divBdr>
    </w:div>
    <w:div w:id="1618097869">
      <w:bodyDiv w:val="1"/>
      <w:marLeft w:val="0"/>
      <w:marRight w:val="0"/>
      <w:marTop w:val="0"/>
      <w:marBottom w:val="0"/>
      <w:divBdr>
        <w:top w:val="none" w:sz="0" w:space="0" w:color="auto"/>
        <w:left w:val="none" w:sz="0" w:space="0" w:color="auto"/>
        <w:bottom w:val="none" w:sz="0" w:space="0" w:color="auto"/>
        <w:right w:val="none" w:sz="0" w:space="0" w:color="auto"/>
      </w:divBdr>
    </w:div>
    <w:div w:id="1636326070">
      <w:bodyDiv w:val="1"/>
      <w:marLeft w:val="0"/>
      <w:marRight w:val="0"/>
      <w:marTop w:val="0"/>
      <w:marBottom w:val="0"/>
      <w:divBdr>
        <w:top w:val="none" w:sz="0" w:space="0" w:color="auto"/>
        <w:left w:val="none" w:sz="0" w:space="0" w:color="auto"/>
        <w:bottom w:val="none" w:sz="0" w:space="0" w:color="auto"/>
        <w:right w:val="none" w:sz="0" w:space="0" w:color="auto"/>
      </w:divBdr>
    </w:div>
    <w:div w:id="2085713050">
      <w:bodyDiv w:val="1"/>
      <w:marLeft w:val="0"/>
      <w:marRight w:val="0"/>
      <w:marTop w:val="0"/>
      <w:marBottom w:val="0"/>
      <w:divBdr>
        <w:top w:val="none" w:sz="0" w:space="0" w:color="auto"/>
        <w:left w:val="none" w:sz="0" w:space="0" w:color="auto"/>
        <w:bottom w:val="none" w:sz="0" w:space="0" w:color="auto"/>
        <w:right w:val="none" w:sz="0" w:space="0" w:color="auto"/>
      </w:divBdr>
      <w:divsChild>
        <w:div w:id="934366430">
          <w:marLeft w:val="0"/>
          <w:marRight w:val="0"/>
          <w:marTop w:val="0"/>
          <w:marBottom w:val="0"/>
          <w:divBdr>
            <w:top w:val="none" w:sz="0" w:space="0" w:color="auto"/>
            <w:left w:val="none" w:sz="0" w:space="0" w:color="auto"/>
            <w:bottom w:val="none" w:sz="0" w:space="0" w:color="auto"/>
            <w:right w:val="none" w:sz="0" w:space="0" w:color="auto"/>
          </w:divBdr>
          <w:divsChild>
            <w:div w:id="1539976457">
              <w:marLeft w:val="0"/>
              <w:marRight w:val="0"/>
              <w:marTop w:val="0"/>
              <w:marBottom w:val="0"/>
              <w:divBdr>
                <w:top w:val="single" w:sz="6" w:space="0" w:color="CCCCCC"/>
                <w:left w:val="none" w:sz="0" w:space="0" w:color="auto"/>
                <w:bottom w:val="single" w:sz="6" w:space="0" w:color="FFFFFF"/>
                <w:right w:val="none" w:sz="0" w:space="0" w:color="auto"/>
              </w:divBdr>
              <w:divsChild>
                <w:div w:id="1063530408">
                  <w:marLeft w:val="0"/>
                  <w:marRight w:val="0"/>
                  <w:marTop w:val="100"/>
                  <w:marBottom w:val="100"/>
                  <w:divBdr>
                    <w:top w:val="none" w:sz="0" w:space="0" w:color="auto"/>
                    <w:left w:val="none" w:sz="0" w:space="0" w:color="auto"/>
                    <w:bottom w:val="none" w:sz="0" w:space="0" w:color="auto"/>
                    <w:right w:val="none" w:sz="0" w:space="0" w:color="auto"/>
                  </w:divBdr>
                  <w:divsChild>
                    <w:div w:id="10843728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2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DemandInquiry@ecodev.vic.gov.au?subject=Submission%20for%20On-Demand%20inqui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airwork.gov.au/find-help-for/independent-contractors" TargetMode="External"/><Relationship Id="rId2" Type="http://schemas.openxmlformats.org/officeDocument/2006/relationships/hyperlink" Target="https://www.fairwork.gov.au/ArticleDocuments/725/GN-1-FWO-Litigation-Policy.pdf.aspx" TargetMode="External"/><Relationship Id="rId1" Type="http://schemas.openxmlformats.org/officeDocument/2006/relationships/hyperlink" Target="https://www.fairwork.gov.au/ArticleDocuments/725/compliance-and-enforcement-policy.pdf.aspx" TargetMode="External"/><Relationship Id="rId6" Type="http://schemas.openxmlformats.org/officeDocument/2006/relationships/hyperlink" Target="https://www.fairwork.gov.au/about-us/news-and-media-releases/2019-media-releases/january-2019/20190125-ak-property-services-litigation" TargetMode="External"/><Relationship Id="rId5" Type="http://schemas.openxmlformats.org/officeDocument/2006/relationships/hyperlink" Target="https://www.fairwork.gov.au/about-us/news-and-media-releases/2018-media-releases/june-2018/20180612-foodora-litigation" TargetMode="External"/><Relationship Id="rId4" Type="http://schemas.openxmlformats.org/officeDocument/2006/relationships/hyperlink" Target="https://www.fairwork.gov.au/find-help-for/independent-contractors"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sandra.parker@fwo.gov.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B885C-FD6D-4EDD-94E7-888B646D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7F598C3C.dotm</Template>
  <TotalTime>0</TotalTime>
  <Pages>4</Pages>
  <Words>1306</Words>
  <Characters>7250</Characters>
  <Application>Microsoft Office Word</Application>
  <DocSecurity>0</DocSecurity>
  <Lines>109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2019-05-07T05:45:00Z</dcterms:created>
  <dcterms:modified xsi:type="dcterms:W3CDTF">2019-05-08T01:25:00Z</dcterms:modified>
</cp:coreProperties>
</file>