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C6F" w:rsidRPr="002E6C6F" w:rsidRDefault="002E6C6F" w:rsidP="00791489">
      <w:pPr>
        <w:pStyle w:val="Heading1"/>
        <w:rPr>
          <w:rFonts w:eastAsiaTheme="minorHAnsi"/>
          <w:lang w:val="en"/>
        </w:rPr>
      </w:pPr>
      <w:r>
        <w:rPr>
          <w:rFonts w:eastAsiaTheme="minorHAnsi"/>
          <w:lang w:val="en"/>
        </w:rPr>
        <w:t>‘</w:t>
      </w:r>
      <w:r w:rsidRPr="002E6C6F">
        <w:rPr>
          <w:rFonts w:eastAsiaTheme="minorHAnsi"/>
          <w:lang w:val="en"/>
        </w:rPr>
        <w:t>Industry Led Compliance is the Best Way Forward</w:t>
      </w:r>
      <w:r>
        <w:rPr>
          <w:rFonts w:eastAsiaTheme="minorHAnsi"/>
          <w:lang w:val="en"/>
        </w:rPr>
        <w:t>’</w:t>
      </w:r>
    </w:p>
    <w:p w:rsidR="00542EE3" w:rsidRDefault="002E6C6F" w:rsidP="00791489">
      <w:pPr>
        <w:pStyle w:val="Heading2"/>
      </w:pPr>
      <w:r w:rsidRPr="002E6C6F">
        <w:rPr>
          <w:rFonts w:eastAsiaTheme="minorHAnsi"/>
          <w:lang w:val="en"/>
        </w:rPr>
        <w:t xml:space="preserve">Address to 2017 Asia Pacific Fuel Industry Forum </w:t>
      </w:r>
      <w:r w:rsidR="00542EE3" w:rsidRPr="002E6C6F">
        <w:t>by Natalie James, Fair Work Ombudsman</w:t>
      </w:r>
    </w:p>
    <w:p w:rsidR="002E6C6F" w:rsidRPr="002E6C6F" w:rsidRDefault="002E6C6F" w:rsidP="00791489">
      <w:pPr>
        <w:pStyle w:val="Heading3"/>
      </w:pPr>
      <w:r>
        <w:t xml:space="preserve">Hosted by the </w:t>
      </w:r>
      <w:r w:rsidRPr="002E6C6F">
        <w:t>Australasian Convenience and Petroleum Marketers Association</w:t>
      </w:r>
    </w:p>
    <w:p w:rsidR="00542EE3" w:rsidRPr="002E6C6F" w:rsidRDefault="00542EE3" w:rsidP="00791489">
      <w:pPr>
        <w:pStyle w:val="Heading3"/>
        <w:rPr>
          <w:rFonts w:asciiTheme="minorHAnsi" w:eastAsiaTheme="minorHAnsi" w:hAnsiTheme="minorHAnsi" w:cstheme="minorHAnsi"/>
          <w:color w:val="000000" w:themeColor="text1"/>
          <w:lang w:val="en"/>
        </w:rPr>
      </w:pPr>
      <w:r w:rsidRPr="002E6C6F">
        <w:rPr>
          <w:rFonts w:asciiTheme="minorHAnsi" w:eastAsiaTheme="minorHAnsi" w:hAnsiTheme="minorHAnsi" w:cstheme="minorHAnsi"/>
          <w:color w:val="000000" w:themeColor="text1"/>
          <w:lang w:val="en"/>
        </w:rPr>
        <w:t>14 September 2017</w:t>
      </w:r>
      <w:r w:rsidR="002E6C6F" w:rsidRPr="002E6C6F">
        <w:rPr>
          <w:rFonts w:asciiTheme="minorHAnsi" w:eastAsiaTheme="minorHAnsi" w:hAnsiTheme="minorHAnsi" w:cstheme="minorHAnsi"/>
          <w:color w:val="000000" w:themeColor="text1"/>
          <w:lang w:val="en"/>
        </w:rPr>
        <w:t>, Melbourne, Victoria</w:t>
      </w:r>
    </w:p>
    <w:p w:rsidR="002E6C6F" w:rsidRDefault="00542EE3" w:rsidP="00564E60">
      <w:pPr>
        <w:spacing w:before="120" w:after="120"/>
        <w:ind w:left="-357"/>
        <w:rPr>
          <w:rFonts w:cstheme="minorHAnsi"/>
          <w:color w:val="000000" w:themeColor="text1"/>
          <w:lang w:val="en"/>
        </w:rPr>
      </w:pPr>
      <w:r w:rsidRPr="00564E60">
        <w:rPr>
          <w:rFonts w:cstheme="minorHAnsi"/>
          <w:color w:val="000000" w:themeColor="text1"/>
          <w:lang w:val="en"/>
        </w:rPr>
        <w:t>Good morning everyone. Thank you for inviting me to speak to you today.</w:t>
      </w:r>
      <w:r w:rsidR="00564E60">
        <w:rPr>
          <w:rFonts w:cstheme="minorHAnsi"/>
          <w:color w:val="000000" w:themeColor="text1"/>
          <w:lang w:val="en"/>
        </w:rPr>
        <w:t xml:space="preserve"> </w:t>
      </w:r>
    </w:p>
    <w:p w:rsidR="002E6C6F" w:rsidRDefault="00542EE3" w:rsidP="00564E60">
      <w:pPr>
        <w:spacing w:before="120" w:after="120"/>
        <w:ind w:left="-357"/>
        <w:rPr>
          <w:rFonts w:cstheme="minorHAnsi"/>
          <w:color w:val="000000" w:themeColor="text1"/>
          <w:lang w:val="en"/>
        </w:rPr>
      </w:pPr>
      <w:r w:rsidRPr="00564E60">
        <w:rPr>
          <w:rFonts w:cstheme="minorHAnsi"/>
          <w:color w:val="000000" w:themeColor="text1"/>
          <w:lang w:val="en"/>
        </w:rPr>
        <w:t xml:space="preserve">I would like to </w:t>
      </w:r>
      <w:r w:rsidR="00CF6A33" w:rsidRPr="00564E60">
        <w:rPr>
          <w:rFonts w:cstheme="minorHAnsi"/>
          <w:color w:val="000000" w:themeColor="text1"/>
          <w:lang w:val="en"/>
        </w:rPr>
        <w:t xml:space="preserve">respectfully </w:t>
      </w:r>
      <w:r w:rsidRPr="00564E60">
        <w:rPr>
          <w:rFonts w:cstheme="minorHAnsi"/>
          <w:color w:val="000000" w:themeColor="text1"/>
          <w:lang w:val="en"/>
        </w:rPr>
        <w:t>acknowledge</w:t>
      </w:r>
      <w:r w:rsidRPr="00564E60">
        <w:rPr>
          <w:i/>
          <w:color w:val="000000" w:themeColor="text1"/>
          <w:lang w:val="en"/>
        </w:rPr>
        <w:t xml:space="preserve"> </w:t>
      </w:r>
      <w:r w:rsidR="00CF6A33" w:rsidRPr="00564E60">
        <w:rPr>
          <w:rStyle w:val="Emphasis"/>
          <w:i w:val="0"/>
        </w:rPr>
        <w:t xml:space="preserve">the </w:t>
      </w:r>
      <w:r w:rsidR="00CF6A33" w:rsidRPr="00564E60">
        <w:rPr>
          <w:rStyle w:val="Emphasis"/>
          <w:rFonts w:cs="Arial"/>
          <w:bCs/>
          <w:i w:val="0"/>
          <w:lang w:val="en"/>
        </w:rPr>
        <w:t>traditional owners</w:t>
      </w:r>
      <w:r w:rsidR="00CF6A33" w:rsidRPr="00564E60">
        <w:rPr>
          <w:rStyle w:val="Emphasis"/>
          <w:i w:val="0"/>
        </w:rPr>
        <w:t xml:space="preserve"> of the land on which we </w:t>
      </w:r>
      <w:r w:rsidR="00CF6A33" w:rsidRPr="00564E60">
        <w:rPr>
          <w:rStyle w:val="Emphasis"/>
          <w:rFonts w:cs="Arial"/>
          <w:bCs/>
          <w:i w:val="0"/>
          <w:lang w:val="en"/>
        </w:rPr>
        <w:t>meet</w:t>
      </w:r>
      <w:r w:rsidR="00CF6A33" w:rsidRPr="00564E60">
        <w:rPr>
          <w:rStyle w:val="Emphasis"/>
          <w:i w:val="0"/>
        </w:rPr>
        <w:t xml:space="preserve"> today</w:t>
      </w:r>
      <w:r w:rsidR="00CF6A33" w:rsidRPr="00564E60">
        <w:rPr>
          <w:rStyle w:val="Emphasis"/>
          <w:rFonts w:cs="Arial"/>
          <w:bCs/>
          <w:i w:val="0"/>
          <w:lang w:val="en"/>
        </w:rPr>
        <w:t xml:space="preserve">, the people of the </w:t>
      </w:r>
      <w:proofErr w:type="spellStart"/>
      <w:r w:rsidR="00CF6A33" w:rsidRPr="00564E60">
        <w:rPr>
          <w:rStyle w:val="Emphasis"/>
          <w:rFonts w:cs="Arial"/>
          <w:bCs/>
          <w:i w:val="0"/>
          <w:lang w:val="en"/>
        </w:rPr>
        <w:t>Kulin</w:t>
      </w:r>
      <w:proofErr w:type="spellEnd"/>
      <w:r w:rsidR="00CF6A33" w:rsidRPr="00564E60">
        <w:rPr>
          <w:rStyle w:val="Emphasis"/>
          <w:rFonts w:cs="Arial"/>
          <w:bCs/>
          <w:i w:val="0"/>
          <w:lang w:val="en"/>
        </w:rPr>
        <w:t xml:space="preserve"> Nations,</w:t>
      </w:r>
      <w:r w:rsidR="00CF6A33" w:rsidRPr="00564E60">
        <w:rPr>
          <w:rStyle w:val="Emphasis"/>
          <w:i w:val="0"/>
        </w:rPr>
        <w:t xml:space="preserve"> and</w:t>
      </w:r>
      <w:r w:rsidRPr="00564E60">
        <w:rPr>
          <w:i/>
          <w:color w:val="000000" w:themeColor="text1"/>
          <w:lang w:val="en"/>
        </w:rPr>
        <w:t xml:space="preserve"> </w:t>
      </w:r>
      <w:r w:rsidRPr="00564E60">
        <w:rPr>
          <w:rFonts w:cstheme="minorHAnsi"/>
          <w:color w:val="000000" w:themeColor="text1"/>
          <w:lang w:val="en"/>
        </w:rPr>
        <w:t>pay my respects to Elders past and present and emerging.</w:t>
      </w:r>
      <w:r w:rsidR="00E81648">
        <w:rPr>
          <w:rFonts w:cstheme="minorHAnsi"/>
          <w:color w:val="000000" w:themeColor="text1"/>
          <w:lang w:val="en"/>
        </w:rPr>
        <w:t xml:space="preserve"> </w:t>
      </w:r>
    </w:p>
    <w:p w:rsidR="00542EE3" w:rsidRPr="00564E60" w:rsidRDefault="00542EE3" w:rsidP="00564E60">
      <w:pPr>
        <w:spacing w:before="120" w:after="120"/>
        <w:ind w:left="-357"/>
        <w:rPr>
          <w:rFonts w:cstheme="minorHAnsi"/>
          <w:color w:val="000000" w:themeColor="text1"/>
          <w:lang w:val="en"/>
        </w:rPr>
      </w:pPr>
      <w:r w:rsidRPr="00564E60">
        <w:rPr>
          <w:rFonts w:cstheme="minorHAnsi"/>
          <w:color w:val="000000" w:themeColor="text1"/>
          <w:lang w:val="en"/>
        </w:rPr>
        <w:t>I would also like to extend that respect to Aboriginal and Torres Strait Islander People present today.</w:t>
      </w:r>
    </w:p>
    <w:p w:rsidR="00542EE3" w:rsidRPr="00564E60" w:rsidRDefault="00542EE3" w:rsidP="00564E60">
      <w:pPr>
        <w:spacing w:before="120" w:after="120"/>
        <w:ind w:left="-357"/>
        <w:rPr>
          <w:rFonts w:cstheme="minorHAnsi"/>
          <w:color w:val="000000" w:themeColor="text1"/>
          <w:lang w:val="en"/>
        </w:rPr>
      </w:pPr>
      <w:r w:rsidRPr="00564E60">
        <w:rPr>
          <w:rFonts w:cstheme="minorHAnsi"/>
          <w:color w:val="000000" w:themeColor="text1"/>
          <w:lang w:val="en"/>
        </w:rPr>
        <w:t xml:space="preserve">The Fair Work Ombudsman is Australia’s national workplace relations regulator. It’s our job to provide advice and guidance to employers and employees alike about workplace laws, and to intervene and take appropriate action in cases where the laws are not being complied with. </w:t>
      </w:r>
    </w:p>
    <w:p w:rsidR="00542EE3" w:rsidRPr="00564E60" w:rsidRDefault="001C3E6F" w:rsidP="00564E60">
      <w:pPr>
        <w:spacing w:before="120" w:after="120"/>
        <w:ind w:left="-357"/>
        <w:rPr>
          <w:rFonts w:cstheme="minorHAnsi"/>
          <w:color w:val="000000" w:themeColor="text1"/>
          <w:lang w:val="en"/>
        </w:rPr>
      </w:pPr>
      <w:r w:rsidRPr="00564E60">
        <w:rPr>
          <w:rFonts w:cstheme="minorHAnsi"/>
          <w:color w:val="000000" w:themeColor="text1"/>
          <w:lang w:val="en"/>
        </w:rPr>
        <w:t xml:space="preserve">When your board considers your risk matrix, I wonder what </w:t>
      </w:r>
      <w:proofErr w:type="spellStart"/>
      <w:r w:rsidRPr="00564E60">
        <w:rPr>
          <w:rFonts w:cstheme="minorHAnsi"/>
          <w:color w:val="000000" w:themeColor="text1"/>
          <w:lang w:val="en"/>
        </w:rPr>
        <w:t>colour</w:t>
      </w:r>
      <w:proofErr w:type="spellEnd"/>
      <w:r w:rsidRPr="00564E60">
        <w:rPr>
          <w:rFonts w:cstheme="minorHAnsi"/>
          <w:color w:val="000000" w:themeColor="text1"/>
          <w:lang w:val="en"/>
        </w:rPr>
        <w:t xml:space="preserve"> </w:t>
      </w:r>
      <w:proofErr w:type="gramStart"/>
      <w:r w:rsidRPr="00564E60">
        <w:rPr>
          <w:rFonts w:cstheme="minorHAnsi"/>
          <w:color w:val="000000" w:themeColor="text1"/>
          <w:lang w:val="en"/>
        </w:rPr>
        <w:t>workplace relations is</w:t>
      </w:r>
      <w:proofErr w:type="gramEnd"/>
      <w:r w:rsidRPr="00564E60">
        <w:rPr>
          <w:rFonts w:cstheme="minorHAnsi"/>
          <w:color w:val="000000" w:themeColor="text1"/>
          <w:lang w:val="en"/>
        </w:rPr>
        <w:t xml:space="preserve"> allocated? </w:t>
      </w:r>
    </w:p>
    <w:p w:rsidR="00542EE3" w:rsidRPr="00564E60" w:rsidRDefault="001C3E6F" w:rsidP="00564E60">
      <w:pPr>
        <w:spacing w:before="120" w:after="120"/>
        <w:ind w:left="-357"/>
        <w:rPr>
          <w:rFonts w:cstheme="minorHAnsi"/>
          <w:color w:val="000000" w:themeColor="text1"/>
          <w:lang w:val="en"/>
        </w:rPr>
      </w:pPr>
      <w:r w:rsidRPr="00564E60">
        <w:rPr>
          <w:rFonts w:cstheme="minorHAnsi"/>
          <w:color w:val="000000" w:themeColor="text1"/>
          <w:lang w:val="en"/>
        </w:rPr>
        <w:t>Given you transport and supply a flammable and toxic product, it might be that Safety, Environment and Fuel Quality Standard laws are more highly ranked in your consideration around risk, not to mention Competition, Consumer Protection and Tax laws. All these</w:t>
      </w:r>
      <w:r w:rsidR="00542EE3" w:rsidRPr="00564E60">
        <w:rPr>
          <w:rFonts w:cstheme="minorHAnsi"/>
          <w:color w:val="000000" w:themeColor="text1"/>
          <w:lang w:val="en"/>
        </w:rPr>
        <w:t xml:space="preserve"> regulat</w:t>
      </w:r>
      <w:r w:rsidRPr="00564E60">
        <w:rPr>
          <w:rFonts w:cstheme="minorHAnsi"/>
          <w:color w:val="000000" w:themeColor="text1"/>
          <w:lang w:val="en"/>
        </w:rPr>
        <w:t>ions that apply to</w:t>
      </w:r>
      <w:r w:rsidR="00542EE3" w:rsidRPr="00564E60">
        <w:rPr>
          <w:rFonts w:cstheme="minorHAnsi"/>
          <w:color w:val="000000" w:themeColor="text1"/>
          <w:lang w:val="en"/>
        </w:rPr>
        <w:t xml:space="preserve"> the distribution </w:t>
      </w:r>
      <w:r w:rsidRPr="00564E60">
        <w:rPr>
          <w:rFonts w:cstheme="minorHAnsi"/>
          <w:color w:val="000000" w:themeColor="text1"/>
          <w:lang w:val="en"/>
        </w:rPr>
        <w:t xml:space="preserve">and sale </w:t>
      </w:r>
      <w:r w:rsidR="00542EE3" w:rsidRPr="00564E60">
        <w:rPr>
          <w:rFonts w:cstheme="minorHAnsi"/>
          <w:color w:val="000000" w:themeColor="text1"/>
          <w:lang w:val="en"/>
        </w:rPr>
        <w:t>of an essential product that keep</w:t>
      </w:r>
      <w:r w:rsidRPr="00564E60">
        <w:rPr>
          <w:rFonts w:cstheme="minorHAnsi"/>
          <w:color w:val="000000" w:themeColor="text1"/>
          <w:lang w:val="en"/>
        </w:rPr>
        <w:t>s</w:t>
      </w:r>
      <w:r w:rsidR="00542EE3" w:rsidRPr="00564E60">
        <w:rPr>
          <w:rFonts w:cstheme="minorHAnsi"/>
          <w:color w:val="000000" w:themeColor="text1"/>
          <w:lang w:val="en"/>
        </w:rPr>
        <w:t xml:space="preserve"> </w:t>
      </w:r>
      <w:r w:rsidRPr="00564E60">
        <w:rPr>
          <w:rFonts w:cstheme="minorHAnsi"/>
          <w:color w:val="000000" w:themeColor="text1"/>
          <w:lang w:val="en"/>
        </w:rPr>
        <w:t xml:space="preserve">an entire country </w:t>
      </w:r>
      <w:r w:rsidR="00542EE3" w:rsidRPr="00564E60">
        <w:rPr>
          <w:rFonts w:cstheme="minorHAnsi"/>
          <w:color w:val="000000" w:themeColor="text1"/>
          <w:lang w:val="en"/>
        </w:rPr>
        <w:t xml:space="preserve">moving – getting us to our jobs, schools and homes, and keeping the economy ticking over. </w:t>
      </w:r>
    </w:p>
    <w:p w:rsidR="00542EE3" w:rsidRPr="00564E60" w:rsidRDefault="00542EE3" w:rsidP="00564E60">
      <w:pPr>
        <w:spacing w:before="120" w:after="120"/>
        <w:ind w:left="-357"/>
        <w:rPr>
          <w:rFonts w:cstheme="minorHAnsi"/>
          <w:color w:val="000000" w:themeColor="text1"/>
          <w:lang w:val="en"/>
        </w:rPr>
      </w:pPr>
      <w:r w:rsidRPr="00564E60">
        <w:rPr>
          <w:rFonts w:cstheme="minorHAnsi"/>
          <w:color w:val="000000" w:themeColor="text1"/>
          <w:lang w:val="en"/>
        </w:rPr>
        <w:t xml:space="preserve">You also operate in a highly price sensitive market where consumers might drive across town for the sake of saving a few cents a </w:t>
      </w:r>
      <w:proofErr w:type="spellStart"/>
      <w:r w:rsidRPr="00564E60">
        <w:rPr>
          <w:rFonts w:cstheme="minorHAnsi"/>
          <w:color w:val="000000" w:themeColor="text1"/>
          <w:lang w:val="en"/>
        </w:rPr>
        <w:t>litre</w:t>
      </w:r>
      <w:proofErr w:type="spellEnd"/>
      <w:r w:rsidRPr="00564E60">
        <w:rPr>
          <w:rFonts w:cstheme="minorHAnsi"/>
          <w:color w:val="000000" w:themeColor="text1"/>
          <w:lang w:val="en"/>
        </w:rPr>
        <w:t xml:space="preserve">. </w:t>
      </w:r>
      <w:r w:rsidRPr="00804A53">
        <w:rPr>
          <w:rFonts w:cstheme="minorHAnsi"/>
          <w:color w:val="000000" w:themeColor="text1"/>
          <w:lang w:val="en"/>
        </w:rPr>
        <w:t>When it comes to watercooler talk, the price of fuel is second only to the w</w:t>
      </w:r>
      <w:r w:rsidR="00804A53">
        <w:rPr>
          <w:rFonts w:cstheme="minorHAnsi"/>
          <w:color w:val="000000" w:themeColor="text1"/>
          <w:lang w:val="en"/>
        </w:rPr>
        <w:t>eather.</w:t>
      </w:r>
      <w:r w:rsidRPr="00564E60">
        <w:rPr>
          <w:rFonts w:cstheme="minorHAnsi"/>
          <w:color w:val="000000" w:themeColor="text1"/>
          <w:lang w:val="en"/>
        </w:rPr>
        <w:t xml:space="preserve"> </w:t>
      </w:r>
    </w:p>
    <w:p w:rsidR="00542EE3" w:rsidRPr="00564E60" w:rsidRDefault="002F685D" w:rsidP="00564E60">
      <w:pPr>
        <w:spacing w:before="120" w:after="120"/>
        <w:ind w:left="-357"/>
        <w:rPr>
          <w:rFonts w:cstheme="minorHAnsi"/>
          <w:color w:val="000000" w:themeColor="text1"/>
          <w:lang w:val="en"/>
        </w:rPr>
      </w:pPr>
      <w:r w:rsidRPr="00564E60">
        <w:rPr>
          <w:rFonts w:cstheme="minorHAnsi"/>
          <w:color w:val="000000" w:themeColor="text1"/>
          <w:lang w:val="en"/>
        </w:rPr>
        <w:t xml:space="preserve">You have a lot of risks to manage, and it may be those arising in the </w:t>
      </w:r>
      <w:r w:rsidR="00542EE3" w:rsidRPr="00564E60">
        <w:rPr>
          <w:rFonts w:cstheme="minorHAnsi"/>
          <w:color w:val="000000" w:themeColor="text1"/>
          <w:lang w:val="en"/>
        </w:rPr>
        <w:t xml:space="preserve">workplace relations </w:t>
      </w:r>
      <w:r w:rsidRPr="00564E60">
        <w:rPr>
          <w:rFonts w:cstheme="minorHAnsi"/>
          <w:color w:val="000000" w:themeColor="text1"/>
          <w:lang w:val="en"/>
        </w:rPr>
        <w:t xml:space="preserve">area aren’t the ones </w:t>
      </w:r>
      <w:r w:rsidR="00542EE3" w:rsidRPr="00564E60">
        <w:rPr>
          <w:rFonts w:cstheme="minorHAnsi"/>
          <w:color w:val="000000" w:themeColor="text1"/>
          <w:lang w:val="en"/>
        </w:rPr>
        <w:t>that have been keeping you up at night.</w:t>
      </w:r>
      <w:r w:rsidR="001C3E6F" w:rsidRPr="00564E60">
        <w:rPr>
          <w:rFonts w:cstheme="minorHAnsi"/>
          <w:color w:val="000000" w:themeColor="text1"/>
          <w:lang w:val="en"/>
        </w:rPr>
        <w:t xml:space="preserve"> </w:t>
      </w:r>
    </w:p>
    <w:p w:rsidR="00542EE3" w:rsidRPr="00564E60" w:rsidRDefault="002E6C6F" w:rsidP="00564E60">
      <w:pPr>
        <w:spacing w:before="120" w:after="120"/>
        <w:ind w:left="-357"/>
        <w:rPr>
          <w:rFonts w:cstheme="minorHAnsi"/>
          <w:color w:val="000000" w:themeColor="text1"/>
          <w:lang w:val="en"/>
        </w:rPr>
      </w:pPr>
      <w:r>
        <w:rPr>
          <w:rFonts w:cstheme="minorHAnsi"/>
          <w:color w:val="000000" w:themeColor="text1"/>
          <w:lang w:val="en"/>
        </w:rPr>
        <w:t xml:space="preserve">However, </w:t>
      </w:r>
      <w:r w:rsidR="002F685D" w:rsidRPr="00564E60">
        <w:rPr>
          <w:rFonts w:cstheme="minorHAnsi"/>
          <w:color w:val="000000" w:themeColor="text1"/>
          <w:lang w:val="en"/>
        </w:rPr>
        <w:t>the fact that I’m here today, addressing this forum for the first time</w:t>
      </w:r>
      <w:r>
        <w:rPr>
          <w:rFonts w:cstheme="minorHAnsi"/>
          <w:color w:val="000000" w:themeColor="text1"/>
          <w:lang w:val="en"/>
        </w:rPr>
        <w:t>,</w:t>
      </w:r>
      <w:r w:rsidR="002F685D" w:rsidRPr="00564E60">
        <w:rPr>
          <w:rFonts w:cstheme="minorHAnsi"/>
          <w:color w:val="000000" w:themeColor="text1"/>
          <w:lang w:val="en"/>
        </w:rPr>
        <w:t xml:space="preserve"> alongside representatives from some of these other regulators</w:t>
      </w:r>
      <w:r>
        <w:rPr>
          <w:rFonts w:cstheme="minorHAnsi"/>
          <w:color w:val="000000" w:themeColor="text1"/>
          <w:lang w:val="en"/>
        </w:rPr>
        <w:t>,</w:t>
      </w:r>
      <w:r w:rsidR="002F685D" w:rsidRPr="00564E60">
        <w:rPr>
          <w:rFonts w:cstheme="minorHAnsi"/>
          <w:color w:val="000000" w:themeColor="text1"/>
          <w:lang w:val="en"/>
        </w:rPr>
        <w:t xml:space="preserve"> </w:t>
      </w:r>
      <w:r>
        <w:rPr>
          <w:rFonts w:cstheme="minorHAnsi"/>
          <w:color w:val="000000" w:themeColor="text1"/>
          <w:lang w:val="en"/>
        </w:rPr>
        <w:t>indicates</w:t>
      </w:r>
      <w:r w:rsidR="002F685D" w:rsidRPr="00564E60">
        <w:rPr>
          <w:rFonts w:cstheme="minorHAnsi"/>
          <w:color w:val="000000" w:themeColor="text1"/>
          <w:lang w:val="en"/>
        </w:rPr>
        <w:t xml:space="preserve"> that workplace issues have taken on an increasing significance for your sector.</w:t>
      </w:r>
      <w:r w:rsidR="00A62337" w:rsidRPr="00564E60">
        <w:rPr>
          <w:rFonts w:cstheme="minorHAnsi"/>
          <w:color w:val="000000" w:themeColor="text1"/>
          <w:lang w:val="en"/>
        </w:rPr>
        <w:t xml:space="preserve"> Especially, when one considers how the retail nature of your sector has evolved in the last decade.</w:t>
      </w:r>
    </w:p>
    <w:p w:rsidR="00564E60" w:rsidRDefault="00542EE3" w:rsidP="00564E60">
      <w:pPr>
        <w:spacing w:before="120" w:after="120"/>
        <w:ind w:left="-357"/>
        <w:rPr>
          <w:rFonts w:cstheme="minorHAnsi"/>
          <w:color w:val="000000" w:themeColor="text1"/>
          <w:lang w:val="en"/>
        </w:rPr>
      </w:pPr>
      <w:r w:rsidRPr="00564E60">
        <w:rPr>
          <w:rFonts w:cstheme="minorHAnsi"/>
          <w:color w:val="000000" w:themeColor="text1"/>
          <w:lang w:val="en"/>
        </w:rPr>
        <w:t>Just last week, the Parliament passed new laws</w:t>
      </w:r>
      <w:r w:rsidR="00AF0E4D">
        <w:rPr>
          <w:rStyle w:val="FootnoteReference"/>
          <w:rFonts w:cstheme="minorHAnsi"/>
          <w:color w:val="000000" w:themeColor="text1"/>
          <w:lang w:val="en"/>
        </w:rPr>
        <w:footnoteReference w:id="2"/>
      </w:r>
      <w:r w:rsidRPr="00564E60">
        <w:rPr>
          <w:rFonts w:cstheme="minorHAnsi"/>
          <w:color w:val="000000" w:themeColor="text1"/>
          <w:lang w:val="en"/>
        </w:rPr>
        <w:t xml:space="preserve"> that should give you further cause to focus on this area</w:t>
      </w:r>
      <w:r w:rsidR="001C3E6F" w:rsidRPr="00564E60">
        <w:rPr>
          <w:rFonts w:cstheme="minorHAnsi"/>
          <w:color w:val="000000" w:themeColor="text1"/>
          <w:lang w:val="en"/>
        </w:rPr>
        <w:t>.</w:t>
      </w:r>
      <w:r w:rsidRPr="00564E60">
        <w:rPr>
          <w:rFonts w:cstheme="minorHAnsi"/>
          <w:color w:val="000000" w:themeColor="text1"/>
          <w:lang w:val="en"/>
        </w:rPr>
        <w:t xml:space="preserve"> </w:t>
      </w:r>
      <w:r w:rsidR="001C3E6F" w:rsidRPr="00564E60">
        <w:rPr>
          <w:rFonts w:cstheme="minorHAnsi"/>
          <w:color w:val="000000" w:themeColor="text1"/>
          <w:lang w:val="en"/>
        </w:rPr>
        <w:t>The</w:t>
      </w:r>
      <w:r w:rsidRPr="00564E60">
        <w:rPr>
          <w:rFonts w:cstheme="minorHAnsi"/>
          <w:color w:val="000000" w:themeColor="text1"/>
          <w:lang w:val="en"/>
        </w:rPr>
        <w:t xml:space="preserve"> Parliament</w:t>
      </w:r>
      <w:r w:rsidR="001C3E6F" w:rsidRPr="00564E60">
        <w:rPr>
          <w:rFonts w:cstheme="minorHAnsi"/>
          <w:color w:val="000000" w:themeColor="text1"/>
          <w:lang w:val="en"/>
        </w:rPr>
        <w:t xml:space="preserve"> has</w:t>
      </w:r>
      <w:r w:rsidRPr="00564E60">
        <w:rPr>
          <w:rFonts w:cstheme="minorHAnsi"/>
          <w:color w:val="000000" w:themeColor="text1"/>
          <w:lang w:val="en"/>
        </w:rPr>
        <w:t xml:space="preserve"> reflect</w:t>
      </w:r>
      <w:r w:rsidR="001C3E6F" w:rsidRPr="00564E60">
        <w:rPr>
          <w:rFonts w:cstheme="minorHAnsi"/>
          <w:color w:val="000000" w:themeColor="text1"/>
          <w:lang w:val="en"/>
        </w:rPr>
        <w:t>ed</w:t>
      </w:r>
      <w:r w:rsidRPr="00564E60">
        <w:rPr>
          <w:rFonts w:cstheme="minorHAnsi"/>
          <w:color w:val="000000" w:themeColor="text1"/>
          <w:lang w:val="en"/>
        </w:rPr>
        <w:t xml:space="preserve"> community concern about</w:t>
      </w:r>
      <w:r w:rsidR="00E87713">
        <w:rPr>
          <w:rFonts w:cstheme="minorHAnsi"/>
          <w:color w:val="000000" w:themeColor="text1"/>
          <w:lang w:val="en"/>
        </w:rPr>
        <w:t xml:space="preserve"> the</w:t>
      </w:r>
      <w:r w:rsidRPr="00564E60">
        <w:rPr>
          <w:rFonts w:cstheme="minorHAnsi"/>
          <w:color w:val="000000" w:themeColor="text1"/>
          <w:lang w:val="en"/>
        </w:rPr>
        <w:t xml:space="preserve"> systemic exploitation of </w:t>
      </w:r>
      <w:r w:rsidR="001C3E6F" w:rsidRPr="00564E60">
        <w:rPr>
          <w:rFonts w:cstheme="minorHAnsi"/>
          <w:color w:val="000000" w:themeColor="text1"/>
          <w:lang w:val="en"/>
        </w:rPr>
        <w:t xml:space="preserve">vulnerable </w:t>
      </w:r>
      <w:r w:rsidRPr="00564E60">
        <w:rPr>
          <w:rFonts w:cstheme="minorHAnsi"/>
          <w:color w:val="000000" w:themeColor="text1"/>
          <w:lang w:val="en"/>
        </w:rPr>
        <w:t xml:space="preserve">workers, lifting penalties for serious contraventions </w:t>
      </w:r>
      <w:r w:rsidR="001C3E6F" w:rsidRPr="00564E60">
        <w:rPr>
          <w:rFonts w:cstheme="minorHAnsi"/>
          <w:color w:val="000000" w:themeColor="text1"/>
          <w:lang w:val="en"/>
        </w:rPr>
        <w:t xml:space="preserve">to over half a million dollars </w:t>
      </w:r>
      <w:r w:rsidRPr="00564E60">
        <w:rPr>
          <w:rFonts w:cstheme="minorHAnsi"/>
          <w:color w:val="000000" w:themeColor="text1"/>
          <w:lang w:val="en"/>
        </w:rPr>
        <w:t xml:space="preserve">and </w:t>
      </w:r>
      <w:r w:rsidR="00E87713">
        <w:rPr>
          <w:rFonts w:cstheme="minorHAnsi"/>
          <w:color w:val="000000" w:themeColor="text1"/>
          <w:lang w:val="en"/>
        </w:rPr>
        <w:t xml:space="preserve">in certain circumstances </w:t>
      </w:r>
      <w:r w:rsidRPr="00564E60">
        <w:rPr>
          <w:rFonts w:cstheme="minorHAnsi"/>
          <w:color w:val="000000" w:themeColor="text1"/>
          <w:lang w:val="en"/>
        </w:rPr>
        <w:t xml:space="preserve">extending franchisor liability for </w:t>
      </w:r>
      <w:r w:rsidR="00D551D7" w:rsidRPr="00564E60">
        <w:rPr>
          <w:rFonts w:cstheme="minorHAnsi"/>
          <w:color w:val="000000" w:themeColor="text1"/>
          <w:lang w:val="en"/>
        </w:rPr>
        <w:t xml:space="preserve">the </w:t>
      </w:r>
      <w:r w:rsidRPr="00564E60">
        <w:rPr>
          <w:rFonts w:cstheme="minorHAnsi"/>
          <w:color w:val="000000" w:themeColor="text1"/>
          <w:lang w:val="en"/>
        </w:rPr>
        <w:t xml:space="preserve">underpayment of workers. </w:t>
      </w:r>
    </w:p>
    <w:p w:rsidR="00564E60" w:rsidRDefault="00542EE3" w:rsidP="00564E60">
      <w:pPr>
        <w:spacing w:before="120" w:after="120"/>
        <w:ind w:left="-357"/>
        <w:rPr>
          <w:rFonts w:cstheme="minorHAnsi"/>
          <w:color w:val="000000" w:themeColor="text1"/>
          <w:lang w:val="en"/>
        </w:rPr>
      </w:pPr>
      <w:r>
        <w:rPr>
          <w:rFonts w:cstheme="minorHAnsi"/>
          <w:color w:val="000000" w:themeColor="text1"/>
          <w:lang w:val="en"/>
        </w:rPr>
        <w:t>You</w:t>
      </w:r>
      <w:r w:rsidR="001C3E6F">
        <w:rPr>
          <w:rFonts w:cstheme="minorHAnsi"/>
          <w:color w:val="000000" w:themeColor="text1"/>
          <w:lang w:val="en"/>
        </w:rPr>
        <w:t xml:space="preserve"> may also have s</w:t>
      </w:r>
      <w:r w:rsidRPr="00EF2D26">
        <w:rPr>
          <w:rFonts w:cstheme="minorHAnsi"/>
          <w:color w:val="000000" w:themeColor="text1"/>
          <w:lang w:val="en"/>
        </w:rPr>
        <w:t xml:space="preserve">een </w:t>
      </w:r>
      <w:r>
        <w:rPr>
          <w:rFonts w:cstheme="minorHAnsi"/>
          <w:color w:val="000000" w:themeColor="text1"/>
          <w:lang w:val="en"/>
        </w:rPr>
        <w:t xml:space="preserve">the </w:t>
      </w:r>
      <w:r w:rsidRPr="00EF2D26">
        <w:rPr>
          <w:rFonts w:cstheme="minorHAnsi"/>
          <w:color w:val="000000" w:themeColor="text1"/>
          <w:lang w:val="en"/>
        </w:rPr>
        <w:t xml:space="preserve">headlines associating </w:t>
      </w:r>
      <w:r w:rsidR="001C3E6F">
        <w:rPr>
          <w:rFonts w:cstheme="minorHAnsi"/>
          <w:color w:val="000000" w:themeColor="text1"/>
          <w:lang w:val="en"/>
        </w:rPr>
        <w:t xml:space="preserve">some </w:t>
      </w:r>
      <w:r w:rsidR="00CF6A33">
        <w:rPr>
          <w:rFonts w:cstheme="minorHAnsi"/>
          <w:color w:val="000000" w:themeColor="text1"/>
          <w:lang w:val="en"/>
        </w:rPr>
        <w:t>well-</w:t>
      </w:r>
      <w:r w:rsidRPr="00EF2D26">
        <w:rPr>
          <w:rFonts w:cstheme="minorHAnsi"/>
          <w:color w:val="000000" w:themeColor="text1"/>
          <w:lang w:val="en"/>
        </w:rPr>
        <w:t xml:space="preserve">known fuel retailing brands </w:t>
      </w:r>
      <w:r>
        <w:rPr>
          <w:rFonts w:cstheme="minorHAnsi"/>
          <w:color w:val="000000" w:themeColor="text1"/>
          <w:lang w:val="en"/>
        </w:rPr>
        <w:t xml:space="preserve">with the </w:t>
      </w:r>
      <w:r w:rsidRPr="00EF2D26">
        <w:rPr>
          <w:rFonts w:cstheme="minorHAnsi"/>
          <w:color w:val="000000" w:themeColor="text1"/>
          <w:lang w:val="en"/>
        </w:rPr>
        <w:t>underpayment of vulnerable workers in the last few year</w:t>
      </w:r>
      <w:r>
        <w:rPr>
          <w:rFonts w:cstheme="minorHAnsi"/>
          <w:color w:val="000000" w:themeColor="text1"/>
          <w:lang w:val="en"/>
        </w:rPr>
        <w:t xml:space="preserve">s. </w:t>
      </w:r>
    </w:p>
    <w:p w:rsidR="00564E60" w:rsidRDefault="00E87713" w:rsidP="00564E60">
      <w:pPr>
        <w:spacing w:before="120" w:after="120"/>
        <w:ind w:left="-357"/>
        <w:rPr>
          <w:rFonts w:cstheme="minorHAnsi"/>
          <w:color w:val="000000" w:themeColor="text1"/>
          <w:lang w:val="en"/>
        </w:rPr>
      </w:pPr>
      <w:r>
        <w:rPr>
          <w:rFonts w:cstheme="minorHAnsi"/>
          <w:color w:val="000000" w:themeColor="text1"/>
          <w:lang w:val="en"/>
        </w:rPr>
        <w:lastRenderedPageBreak/>
        <w:t>If</w:t>
      </w:r>
      <w:r w:rsidR="001C3E6F">
        <w:rPr>
          <w:rFonts w:cstheme="minorHAnsi"/>
          <w:color w:val="000000" w:themeColor="text1"/>
          <w:lang w:val="en"/>
        </w:rPr>
        <w:t xml:space="preserve"> workplace relation</w:t>
      </w:r>
      <w:r w:rsidR="0063226E">
        <w:rPr>
          <w:rFonts w:cstheme="minorHAnsi"/>
          <w:color w:val="000000" w:themeColor="text1"/>
          <w:lang w:val="en"/>
        </w:rPr>
        <w:t>s compliance is still sitting a</w:t>
      </w:r>
      <w:r w:rsidR="00D551D7">
        <w:rPr>
          <w:rFonts w:cstheme="minorHAnsi"/>
          <w:color w:val="000000" w:themeColor="text1"/>
          <w:lang w:val="en"/>
        </w:rPr>
        <w:t>t</w:t>
      </w:r>
      <w:r w:rsidR="001C3E6F">
        <w:rPr>
          <w:rFonts w:cstheme="minorHAnsi"/>
          <w:color w:val="000000" w:themeColor="text1"/>
          <w:lang w:val="en"/>
        </w:rPr>
        <w:t xml:space="preserve"> green on your risk matrix, and you’ve not done any recent due diligence in your business</w:t>
      </w:r>
      <w:r w:rsidR="002F685D">
        <w:rPr>
          <w:rFonts w:cstheme="minorHAnsi"/>
          <w:color w:val="000000" w:themeColor="text1"/>
          <w:lang w:val="en"/>
        </w:rPr>
        <w:t xml:space="preserve">, </w:t>
      </w:r>
      <w:r w:rsidR="001C3E6F">
        <w:rPr>
          <w:rFonts w:cstheme="minorHAnsi"/>
          <w:color w:val="000000" w:themeColor="text1"/>
          <w:lang w:val="en"/>
        </w:rPr>
        <w:t xml:space="preserve">through audits </w:t>
      </w:r>
      <w:r w:rsidR="0063226E">
        <w:rPr>
          <w:rFonts w:cstheme="minorHAnsi"/>
          <w:color w:val="000000" w:themeColor="text1"/>
          <w:lang w:val="en"/>
        </w:rPr>
        <w:t xml:space="preserve">in your network </w:t>
      </w:r>
      <w:r w:rsidR="002F685D">
        <w:rPr>
          <w:rFonts w:cstheme="minorHAnsi"/>
          <w:color w:val="000000" w:themeColor="text1"/>
          <w:lang w:val="en"/>
        </w:rPr>
        <w:t xml:space="preserve">for example, </w:t>
      </w:r>
      <w:r w:rsidR="001C3E6F">
        <w:rPr>
          <w:rFonts w:cstheme="minorHAnsi"/>
          <w:color w:val="000000" w:themeColor="text1"/>
          <w:lang w:val="en"/>
        </w:rPr>
        <w:t>or some other form of checking</w:t>
      </w:r>
      <w:r>
        <w:rPr>
          <w:rFonts w:cstheme="minorHAnsi"/>
          <w:color w:val="000000" w:themeColor="text1"/>
          <w:lang w:val="en"/>
        </w:rPr>
        <w:t xml:space="preserve">, </w:t>
      </w:r>
      <w:r w:rsidR="001C3E6F">
        <w:rPr>
          <w:rFonts w:cstheme="minorHAnsi"/>
          <w:color w:val="000000" w:themeColor="text1"/>
          <w:lang w:val="en"/>
        </w:rPr>
        <w:t>you may wish to take a second look.</w:t>
      </w:r>
      <w:bookmarkStart w:id="0" w:name="_GoBack"/>
      <w:bookmarkEnd w:id="0"/>
    </w:p>
    <w:p w:rsidR="00027452" w:rsidRPr="00E87713" w:rsidRDefault="006E27A4" w:rsidP="00E87713">
      <w:pPr>
        <w:spacing w:before="120" w:after="120"/>
        <w:ind w:left="-357"/>
        <w:rPr>
          <w:rFonts w:cstheme="minorHAnsi"/>
          <w:color w:val="000000" w:themeColor="text1"/>
          <w:lang w:val="en"/>
        </w:rPr>
      </w:pPr>
      <w:r w:rsidRPr="00583DBB">
        <w:rPr>
          <w:color w:val="000000" w:themeColor="text1"/>
          <w:lang w:val="en"/>
        </w:rPr>
        <w:t xml:space="preserve">How sure are you that the workers </w:t>
      </w:r>
      <w:r>
        <w:t xml:space="preserve">taking the cash at your </w:t>
      </w:r>
      <w:r w:rsidRPr="00186036">
        <w:t>24 hour outlets</w:t>
      </w:r>
      <w:r>
        <w:t>,</w:t>
      </w:r>
      <w:r w:rsidRPr="00186036">
        <w:t xml:space="preserve"> usually </w:t>
      </w:r>
      <w:r w:rsidR="0063226E">
        <w:t xml:space="preserve">working </w:t>
      </w:r>
      <w:r w:rsidRPr="00186036">
        <w:t xml:space="preserve">on their own, </w:t>
      </w:r>
      <w:r>
        <w:t>are being paid correctly?</w:t>
      </w:r>
    </w:p>
    <w:p w:rsidR="007E4B90" w:rsidRDefault="007E4B90" w:rsidP="00564E60">
      <w:pPr>
        <w:spacing w:before="120" w:after="120"/>
        <w:ind w:left="-360"/>
        <w:textAlignment w:val="center"/>
        <w:rPr>
          <w:lang w:eastAsia="en-AU"/>
        </w:rPr>
      </w:pPr>
      <w:r>
        <w:rPr>
          <w:lang w:eastAsia="en-AU"/>
        </w:rPr>
        <w:t>There are over 30,000 people employed in the fuel retailing industry.</w:t>
      </w:r>
      <w:r w:rsidR="00E87713">
        <w:rPr>
          <w:rStyle w:val="FootnoteReference"/>
          <w:lang w:eastAsia="en-AU"/>
        </w:rPr>
        <w:footnoteReference w:id="3"/>
      </w:r>
      <w:r>
        <w:rPr>
          <w:lang w:eastAsia="en-AU"/>
        </w:rPr>
        <w:t xml:space="preserve"> </w:t>
      </w:r>
    </w:p>
    <w:p w:rsidR="008C0207" w:rsidRDefault="00160426" w:rsidP="00564E60">
      <w:pPr>
        <w:spacing w:before="120" w:after="120"/>
        <w:ind w:left="-360"/>
        <w:textAlignment w:val="center"/>
        <w:rPr>
          <w:lang w:eastAsia="en-AU"/>
        </w:rPr>
      </w:pPr>
      <w:r>
        <w:rPr>
          <w:lang w:eastAsia="en-AU"/>
        </w:rPr>
        <w:t>Last year, the Fair Work Ombudsman</w:t>
      </w:r>
      <w:r w:rsidR="007E4B90">
        <w:rPr>
          <w:lang w:eastAsia="en-AU"/>
        </w:rPr>
        <w:t xml:space="preserve"> received just over 100 requests for assistance from this industry</w:t>
      </w:r>
      <w:r w:rsidR="00027452">
        <w:rPr>
          <w:lang w:eastAsia="en-AU"/>
        </w:rPr>
        <w:t xml:space="preserve">.  </w:t>
      </w:r>
      <w:r w:rsidR="007E4B90">
        <w:rPr>
          <w:lang w:eastAsia="en-AU"/>
        </w:rPr>
        <w:t>At first glance, this might not seem like a large number</w:t>
      </w:r>
      <w:r w:rsidR="008C0207">
        <w:rPr>
          <w:lang w:eastAsia="en-AU"/>
        </w:rPr>
        <w:t>.</w:t>
      </w:r>
      <w:r w:rsidR="00027452">
        <w:rPr>
          <w:lang w:eastAsia="en-AU"/>
        </w:rPr>
        <w:t xml:space="preserve"> </w:t>
      </w:r>
      <w:r w:rsidR="008C0207">
        <w:rPr>
          <w:lang w:eastAsia="en-AU"/>
        </w:rPr>
        <w:t xml:space="preserve">But there is more to the story than a simple comparison of numbers. </w:t>
      </w:r>
    </w:p>
    <w:p w:rsidR="00027452" w:rsidRDefault="008C0207" w:rsidP="00E87713">
      <w:pPr>
        <w:spacing w:before="120" w:after="120"/>
        <w:ind w:left="-360"/>
        <w:textAlignment w:val="center"/>
        <w:rPr>
          <w:lang w:eastAsia="en-AU"/>
        </w:rPr>
      </w:pPr>
      <w:r>
        <w:rPr>
          <w:lang w:eastAsia="en-AU"/>
        </w:rPr>
        <w:t>To begin with, the</w:t>
      </w:r>
      <w:r w:rsidR="00027452">
        <w:rPr>
          <w:lang w:eastAsia="en-AU"/>
        </w:rPr>
        <w:t xml:space="preserve"> industry i</w:t>
      </w:r>
      <w:r w:rsidR="007E4B90">
        <w:rPr>
          <w:lang w:eastAsia="en-AU"/>
        </w:rPr>
        <w:t>tself is</w:t>
      </w:r>
      <w:r w:rsidR="00027452">
        <w:rPr>
          <w:lang w:eastAsia="en-AU"/>
        </w:rPr>
        <w:t xml:space="preserve"> relatively small when you consider </w:t>
      </w:r>
      <w:r w:rsidR="007E4B90">
        <w:rPr>
          <w:lang w:eastAsia="en-AU"/>
        </w:rPr>
        <w:t xml:space="preserve">that </w:t>
      </w:r>
      <w:r w:rsidR="00027452">
        <w:rPr>
          <w:lang w:eastAsia="en-AU"/>
        </w:rPr>
        <w:t>there are over 12 mill</w:t>
      </w:r>
      <w:r w:rsidR="007E4B90">
        <w:rPr>
          <w:lang w:eastAsia="en-AU"/>
        </w:rPr>
        <w:t>ion</w:t>
      </w:r>
      <w:r w:rsidR="00027452">
        <w:rPr>
          <w:lang w:eastAsia="en-AU"/>
        </w:rPr>
        <w:t xml:space="preserve"> employees in Aust</w:t>
      </w:r>
      <w:r w:rsidR="007E4B90">
        <w:rPr>
          <w:lang w:eastAsia="en-AU"/>
        </w:rPr>
        <w:t>ralia</w:t>
      </w:r>
      <w:r w:rsidR="00027452">
        <w:rPr>
          <w:lang w:eastAsia="en-AU"/>
        </w:rPr>
        <w:t>.</w:t>
      </w:r>
      <w:r w:rsidR="00160426">
        <w:rPr>
          <w:rStyle w:val="FootnoteReference"/>
          <w:lang w:eastAsia="en-AU"/>
        </w:rPr>
        <w:footnoteReference w:id="4"/>
      </w:r>
      <w:r w:rsidR="00027452">
        <w:rPr>
          <w:lang w:eastAsia="en-AU"/>
        </w:rPr>
        <w:t xml:space="preserve"> </w:t>
      </w:r>
      <w:r>
        <w:rPr>
          <w:lang w:eastAsia="en-AU"/>
        </w:rPr>
        <w:t xml:space="preserve"> But more importantly</w:t>
      </w:r>
      <w:r w:rsidR="007E4B90">
        <w:rPr>
          <w:lang w:eastAsia="en-AU"/>
        </w:rPr>
        <w:t>, it is necessary to c</w:t>
      </w:r>
      <w:r w:rsidR="00DC6034">
        <w:rPr>
          <w:lang w:eastAsia="en-AU"/>
        </w:rPr>
        <w:t xml:space="preserve">onsider the profile of your workforce and some of those headlines </w:t>
      </w:r>
      <w:r w:rsidR="007E4B90">
        <w:rPr>
          <w:lang w:eastAsia="en-AU"/>
        </w:rPr>
        <w:t xml:space="preserve">that </w:t>
      </w:r>
      <w:r w:rsidR="00DC6034">
        <w:rPr>
          <w:lang w:eastAsia="en-AU"/>
        </w:rPr>
        <w:t>we’ve seen.</w:t>
      </w:r>
      <w:r w:rsidR="00DC6034" w:rsidDel="00DC6034">
        <w:rPr>
          <w:lang w:eastAsia="en-AU"/>
        </w:rPr>
        <w:t xml:space="preserve"> </w:t>
      </w:r>
      <w:r w:rsidR="007E4B90">
        <w:rPr>
          <w:lang w:eastAsia="en-AU"/>
        </w:rPr>
        <w:t xml:space="preserve"> </w:t>
      </w:r>
      <w:r w:rsidR="00160426">
        <w:rPr>
          <w:lang w:eastAsia="en-AU"/>
        </w:rPr>
        <w:t>O</w:t>
      </w:r>
      <w:r w:rsidR="007E4B90">
        <w:rPr>
          <w:lang w:eastAsia="en-AU"/>
        </w:rPr>
        <w:t>nce you enter that level of granularity, the alarm bells begin to go off.</w:t>
      </w:r>
    </w:p>
    <w:p w:rsidR="007E4B90" w:rsidRDefault="007E4B90" w:rsidP="00564E60">
      <w:pPr>
        <w:spacing w:before="120" w:after="120"/>
        <w:ind w:left="-360"/>
        <w:textAlignment w:val="center"/>
        <w:rPr>
          <w:lang w:eastAsia="en-AU"/>
        </w:rPr>
      </w:pPr>
      <w:r>
        <w:t>Last</w:t>
      </w:r>
      <w:r>
        <w:rPr>
          <w:lang w:eastAsia="en-AU"/>
        </w:rPr>
        <w:t xml:space="preserve"> </w:t>
      </w:r>
      <w:r w:rsidR="00FA0229">
        <w:rPr>
          <w:lang w:eastAsia="en-AU"/>
        </w:rPr>
        <w:t xml:space="preserve">year, about 20% </w:t>
      </w:r>
      <w:r>
        <w:rPr>
          <w:lang w:eastAsia="en-AU"/>
        </w:rPr>
        <w:t xml:space="preserve">of workers from the fuel retailing industry that came to us for assistance were on a visa, usually a student or working holiday visa. Given temporary visa workers are only about 6% of our labour market, they are disproportionately represented. </w:t>
      </w:r>
    </w:p>
    <w:p w:rsidR="007E4B90" w:rsidRDefault="007E4B90" w:rsidP="00564E60">
      <w:pPr>
        <w:spacing w:before="120" w:after="120"/>
        <w:ind w:left="-360"/>
        <w:textAlignment w:val="center"/>
        <w:rPr>
          <w:lang w:eastAsia="en-AU"/>
        </w:rPr>
      </w:pPr>
      <w:r>
        <w:rPr>
          <w:lang w:eastAsia="en-AU"/>
        </w:rPr>
        <w:t>A</w:t>
      </w:r>
      <w:r w:rsidR="00160426">
        <w:t>pproximately</w:t>
      </w:r>
      <w:r>
        <w:rPr>
          <w:lang w:eastAsia="en-AU"/>
        </w:rPr>
        <w:t xml:space="preserve"> a quarter were 25 years of age or younger – </w:t>
      </w:r>
      <w:r w:rsidR="00160426">
        <w:rPr>
          <w:lang w:eastAsia="en-AU"/>
        </w:rPr>
        <w:t>despite forming</w:t>
      </w:r>
      <w:r>
        <w:rPr>
          <w:lang w:eastAsia="en-AU"/>
        </w:rPr>
        <w:t xml:space="preserve"> just 15% of the national workforce</w:t>
      </w:r>
      <w:r w:rsidR="00160426">
        <w:rPr>
          <w:lang w:eastAsia="en-AU"/>
        </w:rPr>
        <w:t>. A</w:t>
      </w:r>
      <w:r>
        <w:rPr>
          <w:lang w:eastAsia="en-AU"/>
        </w:rPr>
        <w:t xml:space="preserve">gain, </w:t>
      </w:r>
      <w:r w:rsidR="00160426">
        <w:rPr>
          <w:lang w:eastAsia="en-AU"/>
        </w:rPr>
        <w:t xml:space="preserve">these workers </w:t>
      </w:r>
      <w:r>
        <w:rPr>
          <w:lang w:eastAsia="en-AU"/>
        </w:rPr>
        <w:t xml:space="preserve">over-represented in your industry.  </w:t>
      </w:r>
    </w:p>
    <w:p w:rsidR="00542EE3" w:rsidRPr="0063211F" w:rsidRDefault="00F525D8" w:rsidP="00564E60">
      <w:pPr>
        <w:spacing w:before="120" w:after="120"/>
        <w:ind w:left="-360"/>
        <w:textAlignment w:val="center"/>
        <w:rPr>
          <w:rFonts w:ascii="Times New Roman" w:hAnsi="Times New Roman"/>
          <w:sz w:val="24"/>
          <w:szCs w:val="24"/>
          <w:lang w:eastAsia="en-AU"/>
        </w:rPr>
      </w:pPr>
      <w:r>
        <w:t xml:space="preserve">This makes them red on the Fair Work </w:t>
      </w:r>
      <w:r w:rsidR="00351C99">
        <w:t>Ombudsman’s</w:t>
      </w:r>
      <w:r>
        <w:t xml:space="preserve"> risk matrix.</w:t>
      </w:r>
      <w:r w:rsidR="00160426">
        <w:t xml:space="preserve"> </w:t>
      </w:r>
      <w:r>
        <w:t>Because w</w:t>
      </w:r>
      <w:r w:rsidR="00542EE3">
        <w:t xml:space="preserve">e </w:t>
      </w:r>
      <w:r w:rsidR="00542EE3">
        <w:rPr>
          <w:lang w:eastAsia="en-AU"/>
        </w:rPr>
        <w:t>often</w:t>
      </w:r>
      <w:r w:rsidR="00542EE3">
        <w:t xml:space="preserve"> find that these people are vulnerable workers. English may not be their first language, this may be their first job, and so they </w:t>
      </w:r>
      <w:r w:rsidR="00721CED">
        <w:t>probably</w:t>
      </w:r>
      <w:r w:rsidR="00351C99">
        <w:t xml:space="preserve"> </w:t>
      </w:r>
      <w:r w:rsidR="00542EE3">
        <w:t>have little knowledge of w</w:t>
      </w:r>
      <w:r w:rsidR="0063226E">
        <w:t xml:space="preserve">orkplace laws and fear seeking </w:t>
      </w:r>
      <w:r w:rsidR="00721CED">
        <w:t xml:space="preserve">the </w:t>
      </w:r>
      <w:r w:rsidR="0063226E">
        <w:t>G</w:t>
      </w:r>
      <w:r w:rsidR="00542EE3">
        <w:t xml:space="preserve">overnment’s help when things go wrong. </w:t>
      </w:r>
      <w:r>
        <w:t>Their primary concern is often their visa status as opposed to their minimum rate of pay.</w:t>
      </w:r>
    </w:p>
    <w:p w:rsidR="00351C99" w:rsidRPr="0063211F" w:rsidRDefault="00351C99" w:rsidP="00564E60">
      <w:pPr>
        <w:spacing w:before="120" w:after="120"/>
        <w:ind w:left="-360"/>
        <w:textAlignment w:val="center"/>
        <w:rPr>
          <w:rFonts w:ascii="Times New Roman" w:hAnsi="Times New Roman"/>
          <w:sz w:val="24"/>
          <w:szCs w:val="24"/>
          <w:lang w:eastAsia="en-AU"/>
        </w:rPr>
      </w:pPr>
      <w:r>
        <w:t xml:space="preserve">For a number of years now, the number of visa holders coming to </w:t>
      </w:r>
      <w:r w:rsidR="00F65510">
        <w:t xml:space="preserve">the </w:t>
      </w:r>
      <w:r>
        <w:t>F</w:t>
      </w:r>
      <w:r w:rsidR="00F65510">
        <w:t xml:space="preserve">air </w:t>
      </w:r>
      <w:r>
        <w:t>W</w:t>
      </w:r>
      <w:r w:rsidR="00F65510">
        <w:t xml:space="preserve">ork </w:t>
      </w:r>
      <w:r>
        <w:t>O</w:t>
      </w:r>
      <w:r w:rsidR="00F65510">
        <w:t>mbudsman</w:t>
      </w:r>
      <w:r>
        <w:t xml:space="preserve"> for help has been increasing</w:t>
      </w:r>
      <w:r w:rsidR="007F3911">
        <w:t>.</w:t>
      </w:r>
      <w:r>
        <w:t xml:space="preserve">  </w:t>
      </w:r>
      <w:proofErr w:type="gramStart"/>
      <w:r>
        <w:t xml:space="preserve">Last year they represented 18% of all those who </w:t>
      </w:r>
      <w:r w:rsidR="0063211F">
        <w:t>requested our assistance</w:t>
      </w:r>
      <w:r>
        <w:t xml:space="preserve"> – up from 13% the previous year.</w:t>
      </w:r>
      <w:proofErr w:type="gramEnd"/>
      <w:r>
        <w:t xml:space="preserve"> That is almost 1 in 5. They were involved in nearly half of all the matters we put into court – the most serious cases that we see that warrant the </w:t>
      </w:r>
      <w:r w:rsidR="00721CED">
        <w:t>most serious enforcement action</w:t>
      </w:r>
      <w:r>
        <w:t xml:space="preserve">. </w:t>
      </w:r>
    </w:p>
    <w:p w:rsidR="00F525D8" w:rsidRPr="0063211F" w:rsidRDefault="00351C99" w:rsidP="00564E60">
      <w:pPr>
        <w:spacing w:before="120" w:after="120"/>
        <w:ind w:left="-360"/>
        <w:textAlignment w:val="center"/>
        <w:rPr>
          <w:rFonts w:ascii="Times New Roman" w:hAnsi="Times New Roman"/>
          <w:sz w:val="24"/>
          <w:szCs w:val="24"/>
          <w:lang w:eastAsia="en-AU"/>
        </w:rPr>
      </w:pPr>
      <w:r>
        <w:t xml:space="preserve">Similarly, young workers feature strongly in our work – representing </w:t>
      </w:r>
      <w:r w:rsidR="00A31036">
        <w:t xml:space="preserve">over </w:t>
      </w:r>
      <w:r>
        <w:t>a quarter of those coming to us for help and also nearly half of our court actions.</w:t>
      </w:r>
    </w:p>
    <w:p w:rsidR="00542EE3" w:rsidRPr="00D24BFA" w:rsidRDefault="00542EE3" w:rsidP="00564E60">
      <w:pPr>
        <w:spacing w:before="120" w:after="120"/>
        <w:ind w:left="-360"/>
        <w:textAlignment w:val="center"/>
        <w:rPr>
          <w:rFonts w:ascii="Times New Roman" w:hAnsi="Times New Roman"/>
          <w:sz w:val="24"/>
          <w:szCs w:val="24"/>
          <w:lang w:eastAsia="en-AU"/>
        </w:rPr>
      </w:pPr>
      <w:r>
        <w:t xml:space="preserve">These are </w:t>
      </w:r>
      <w:r>
        <w:rPr>
          <w:lang w:eastAsia="en-AU"/>
        </w:rPr>
        <w:t>precisely</w:t>
      </w:r>
      <w:r>
        <w:t xml:space="preserve"> the sort of workers the Government’s new </w:t>
      </w:r>
      <w:r w:rsidRPr="00160426">
        <w:rPr>
          <w:i/>
        </w:rPr>
        <w:t>P</w:t>
      </w:r>
      <w:r w:rsidR="0063211F" w:rsidRPr="00160426">
        <w:rPr>
          <w:i/>
        </w:rPr>
        <w:t xml:space="preserve">rotecting </w:t>
      </w:r>
      <w:r w:rsidRPr="00160426">
        <w:rPr>
          <w:i/>
        </w:rPr>
        <w:t>V</w:t>
      </w:r>
      <w:r w:rsidR="0063211F" w:rsidRPr="00160426">
        <w:rPr>
          <w:i/>
        </w:rPr>
        <w:t xml:space="preserve">ulnerable </w:t>
      </w:r>
      <w:r w:rsidRPr="00160426">
        <w:rPr>
          <w:i/>
        </w:rPr>
        <w:t>W</w:t>
      </w:r>
      <w:r w:rsidR="0063211F" w:rsidRPr="00160426">
        <w:rPr>
          <w:i/>
        </w:rPr>
        <w:t>orkers</w:t>
      </w:r>
      <w:r w:rsidRPr="00160426">
        <w:rPr>
          <w:i/>
        </w:rPr>
        <w:t xml:space="preserve"> </w:t>
      </w:r>
      <w:r w:rsidR="00160426">
        <w:rPr>
          <w:i/>
        </w:rPr>
        <w:t xml:space="preserve">Bill 2017 </w:t>
      </w:r>
      <w:r>
        <w:t xml:space="preserve">is </w:t>
      </w:r>
      <w:r w:rsidR="00DC6034">
        <w:t xml:space="preserve">designed to protect – by providing </w:t>
      </w:r>
      <w:r w:rsidR="0063211F">
        <w:t xml:space="preserve">the </w:t>
      </w:r>
      <w:r w:rsidR="00DC6034">
        <w:t>F</w:t>
      </w:r>
      <w:r w:rsidR="0063211F">
        <w:t xml:space="preserve">air </w:t>
      </w:r>
      <w:r w:rsidR="00DC6034">
        <w:t>W</w:t>
      </w:r>
      <w:r w:rsidR="0063211F">
        <w:t xml:space="preserve">ork </w:t>
      </w:r>
      <w:r w:rsidR="00DC6034">
        <w:t>O</w:t>
      </w:r>
      <w:r w:rsidR="0063211F">
        <w:t>m</w:t>
      </w:r>
      <w:r w:rsidR="00C80458">
        <w:t>b</w:t>
      </w:r>
      <w:r w:rsidR="0063211F">
        <w:t>udsman</w:t>
      </w:r>
      <w:r w:rsidR="00DC6034">
        <w:t xml:space="preserve"> with better tools to respond to </w:t>
      </w:r>
      <w:r w:rsidR="00721CED">
        <w:t xml:space="preserve">the exploitation of workers.  </w:t>
      </w:r>
    </w:p>
    <w:p w:rsidR="0000795F" w:rsidRDefault="00160426" w:rsidP="00564E60">
      <w:pPr>
        <w:spacing w:before="120" w:after="120"/>
        <w:ind w:left="-360"/>
        <w:textAlignment w:val="center"/>
        <w:rPr>
          <w:lang w:eastAsia="en-AU"/>
        </w:rPr>
      </w:pPr>
      <w:r>
        <w:rPr>
          <w:lang w:eastAsia="en-AU"/>
        </w:rPr>
        <w:t>W</w:t>
      </w:r>
      <w:r w:rsidR="00351C99">
        <w:rPr>
          <w:lang w:eastAsia="en-AU"/>
        </w:rPr>
        <w:t>hen we see vulnerable workers coming to us for help, we do loo</w:t>
      </w:r>
      <w:r w:rsidR="00FA0229">
        <w:rPr>
          <w:lang w:eastAsia="en-AU"/>
        </w:rPr>
        <w:t>k closer, because unfortunately</w:t>
      </w:r>
      <w:r w:rsidR="00351C99">
        <w:rPr>
          <w:lang w:eastAsia="en-AU"/>
        </w:rPr>
        <w:t xml:space="preserve"> these examples tend not to be isolated incident</w:t>
      </w:r>
      <w:r w:rsidR="0000795F">
        <w:rPr>
          <w:lang w:eastAsia="en-AU"/>
        </w:rPr>
        <w:t>s</w:t>
      </w:r>
      <w:r w:rsidR="00351C99">
        <w:rPr>
          <w:lang w:eastAsia="en-AU"/>
        </w:rPr>
        <w:t xml:space="preserve"> or an error</w:t>
      </w:r>
      <w:r w:rsidR="0000795F">
        <w:rPr>
          <w:lang w:eastAsia="en-AU"/>
        </w:rPr>
        <w:t xml:space="preserve">, but </w:t>
      </w:r>
      <w:r w:rsidR="00351C99">
        <w:rPr>
          <w:lang w:eastAsia="en-AU"/>
        </w:rPr>
        <w:t>indication</w:t>
      </w:r>
      <w:r w:rsidR="0000795F">
        <w:rPr>
          <w:lang w:eastAsia="en-AU"/>
        </w:rPr>
        <w:t>s</w:t>
      </w:r>
      <w:r w:rsidR="00351C99">
        <w:rPr>
          <w:lang w:eastAsia="en-AU"/>
        </w:rPr>
        <w:t xml:space="preserve"> of a </w:t>
      </w:r>
      <w:r w:rsidR="0000795F">
        <w:rPr>
          <w:lang w:eastAsia="en-AU"/>
        </w:rPr>
        <w:t xml:space="preserve">broader </w:t>
      </w:r>
      <w:r w:rsidR="00351C99">
        <w:rPr>
          <w:lang w:eastAsia="en-AU"/>
        </w:rPr>
        <w:t xml:space="preserve">pattern of non-compliance. </w:t>
      </w:r>
      <w:r w:rsidR="00FA0229">
        <w:rPr>
          <w:lang w:eastAsia="en-AU"/>
        </w:rPr>
        <w:t>A</w:t>
      </w:r>
      <w:r w:rsidR="0000795F">
        <w:rPr>
          <w:lang w:eastAsia="en-AU"/>
        </w:rPr>
        <w:t xml:space="preserve">cknowledging that in spite of our best efforts, </w:t>
      </w:r>
      <w:r w:rsidR="00351C99">
        <w:rPr>
          <w:lang w:eastAsia="en-AU"/>
        </w:rPr>
        <w:t>vulnerable workers do not always come to us for help</w:t>
      </w:r>
      <w:r w:rsidR="00DC6034">
        <w:rPr>
          <w:lang w:eastAsia="en-AU"/>
        </w:rPr>
        <w:t xml:space="preserve">, </w:t>
      </w:r>
      <w:r w:rsidR="0063226E">
        <w:rPr>
          <w:lang w:eastAsia="en-AU"/>
        </w:rPr>
        <w:t xml:space="preserve">the </w:t>
      </w:r>
      <w:r w:rsidR="00DC6034">
        <w:rPr>
          <w:lang w:eastAsia="en-AU"/>
        </w:rPr>
        <w:t>F</w:t>
      </w:r>
      <w:r w:rsidR="0000795F">
        <w:rPr>
          <w:lang w:eastAsia="en-AU"/>
        </w:rPr>
        <w:t xml:space="preserve">air </w:t>
      </w:r>
      <w:r w:rsidR="00DC6034">
        <w:rPr>
          <w:lang w:eastAsia="en-AU"/>
        </w:rPr>
        <w:t>W</w:t>
      </w:r>
      <w:r w:rsidR="0000795F">
        <w:rPr>
          <w:lang w:eastAsia="en-AU"/>
        </w:rPr>
        <w:t xml:space="preserve">ork </w:t>
      </w:r>
      <w:r w:rsidR="00DC6034">
        <w:rPr>
          <w:lang w:eastAsia="en-AU"/>
        </w:rPr>
        <w:t>O</w:t>
      </w:r>
      <w:r w:rsidR="0000795F">
        <w:rPr>
          <w:lang w:eastAsia="en-AU"/>
        </w:rPr>
        <w:t>mbudsman</w:t>
      </w:r>
      <w:r w:rsidR="00DC6034">
        <w:rPr>
          <w:lang w:eastAsia="en-AU"/>
        </w:rPr>
        <w:t xml:space="preserve"> </w:t>
      </w:r>
      <w:r w:rsidR="0000795F">
        <w:rPr>
          <w:lang w:eastAsia="en-AU"/>
        </w:rPr>
        <w:t>dig</w:t>
      </w:r>
      <w:r w:rsidR="00A31036">
        <w:rPr>
          <w:lang w:eastAsia="en-AU"/>
        </w:rPr>
        <w:t>s</w:t>
      </w:r>
      <w:r w:rsidR="0000795F">
        <w:rPr>
          <w:lang w:eastAsia="en-AU"/>
        </w:rPr>
        <w:t xml:space="preserve"> deeper.</w:t>
      </w:r>
    </w:p>
    <w:p w:rsidR="00F525D8" w:rsidRDefault="00FA0229" w:rsidP="00564E60">
      <w:pPr>
        <w:spacing w:before="120" w:after="120"/>
        <w:ind w:left="-360"/>
        <w:textAlignment w:val="center"/>
        <w:rPr>
          <w:lang w:eastAsia="en-AU"/>
        </w:rPr>
      </w:pPr>
      <w:r>
        <w:rPr>
          <w:lang w:eastAsia="en-AU"/>
        </w:rPr>
        <w:lastRenderedPageBreak/>
        <w:t>The Fair Work Ombudsman</w:t>
      </w:r>
      <w:r w:rsidR="0000795F">
        <w:rPr>
          <w:lang w:eastAsia="en-AU"/>
        </w:rPr>
        <w:t xml:space="preserve"> </w:t>
      </w:r>
      <w:r w:rsidR="00DC6034">
        <w:rPr>
          <w:lang w:eastAsia="en-AU"/>
        </w:rPr>
        <w:t xml:space="preserve">doesn’t simply respond to the </w:t>
      </w:r>
      <w:r w:rsidR="00A62337">
        <w:rPr>
          <w:lang w:eastAsia="en-AU"/>
        </w:rPr>
        <w:t xml:space="preserve">allegations of non-compliance </w:t>
      </w:r>
      <w:r w:rsidR="00DC6034">
        <w:rPr>
          <w:lang w:eastAsia="en-AU"/>
        </w:rPr>
        <w:t>we receive</w:t>
      </w:r>
      <w:r w:rsidR="009F24DA">
        <w:rPr>
          <w:lang w:eastAsia="en-AU"/>
        </w:rPr>
        <w:t xml:space="preserve"> from employees</w:t>
      </w:r>
      <w:r w:rsidR="00DC6034">
        <w:rPr>
          <w:lang w:eastAsia="en-AU"/>
        </w:rPr>
        <w:t xml:space="preserve">. </w:t>
      </w:r>
    </w:p>
    <w:p w:rsidR="00F525D8" w:rsidRDefault="00DC6034" w:rsidP="00564E60">
      <w:pPr>
        <w:spacing w:before="120" w:after="120"/>
        <w:ind w:left="-360"/>
        <w:textAlignment w:val="center"/>
        <w:rPr>
          <w:lang w:eastAsia="en-AU"/>
        </w:rPr>
      </w:pPr>
      <w:r>
        <w:rPr>
          <w:lang w:eastAsia="en-AU"/>
        </w:rPr>
        <w:t xml:space="preserve">We use a range of intelligence, including anonymous tip offs, to target sectors or regions where we sense there are dynamics at play that </w:t>
      </w:r>
      <w:r w:rsidR="0000795F">
        <w:rPr>
          <w:lang w:eastAsia="en-AU"/>
        </w:rPr>
        <w:t>allow</w:t>
      </w:r>
      <w:r w:rsidR="0061283F">
        <w:rPr>
          <w:lang w:eastAsia="en-AU"/>
        </w:rPr>
        <w:t xml:space="preserve"> widespread or systemic non-</w:t>
      </w:r>
      <w:r>
        <w:rPr>
          <w:lang w:eastAsia="en-AU"/>
        </w:rPr>
        <w:t xml:space="preserve">compliance. </w:t>
      </w:r>
    </w:p>
    <w:p w:rsidR="00F525D8" w:rsidRDefault="0000795F" w:rsidP="00564E60">
      <w:pPr>
        <w:spacing w:before="120" w:after="120"/>
        <w:ind w:left="-360"/>
        <w:textAlignment w:val="center"/>
        <w:rPr>
          <w:lang w:eastAsia="en-AU"/>
        </w:rPr>
      </w:pPr>
      <w:r>
        <w:rPr>
          <w:lang w:eastAsia="en-AU"/>
        </w:rPr>
        <w:t>Data and intelligence from a range of sources help us</w:t>
      </w:r>
      <w:r w:rsidR="00F525D8">
        <w:rPr>
          <w:lang w:eastAsia="en-AU"/>
        </w:rPr>
        <w:t xml:space="preserve"> target operations and may </w:t>
      </w:r>
      <w:r w:rsidR="00721CED">
        <w:rPr>
          <w:lang w:eastAsia="en-AU"/>
        </w:rPr>
        <w:t>cause us to initiate a broader I</w:t>
      </w:r>
      <w:r w:rsidR="00F525D8">
        <w:rPr>
          <w:lang w:eastAsia="en-AU"/>
        </w:rPr>
        <w:t xml:space="preserve">nquiry into a sector or business, based on a risk profile that tells us something isn’t right. </w:t>
      </w:r>
      <w:r w:rsidR="00FA0229">
        <w:rPr>
          <w:lang w:eastAsia="en-AU"/>
        </w:rPr>
        <w:t>I</w:t>
      </w:r>
      <w:r w:rsidR="00F525D8">
        <w:rPr>
          <w:lang w:eastAsia="en-AU"/>
        </w:rPr>
        <w:t xml:space="preserve">n recent times, our Inquiries have exposed underpayment of workers, often migrant workers, in circumstances where their unfamiliarity with our laws and fears about their visa have been ruthlessly exploited. </w:t>
      </w:r>
    </w:p>
    <w:p w:rsidR="006E27A4" w:rsidRDefault="00FA0229" w:rsidP="00FA0229">
      <w:pPr>
        <w:spacing w:before="120" w:after="120"/>
        <w:ind w:left="-360"/>
        <w:textAlignment w:val="center"/>
        <w:rPr>
          <w:noProof/>
          <w:lang w:eastAsia="en-AU"/>
        </w:rPr>
      </w:pPr>
      <w:r>
        <w:rPr>
          <w:lang w:eastAsia="en-AU"/>
        </w:rPr>
        <w:t>D</w:t>
      </w:r>
      <w:r w:rsidR="00542EE3">
        <w:rPr>
          <w:lang w:eastAsia="en-AU"/>
        </w:rPr>
        <w:t xml:space="preserve">espite </w:t>
      </w:r>
      <w:r w:rsidR="00A31036">
        <w:rPr>
          <w:lang w:eastAsia="en-AU"/>
        </w:rPr>
        <w:t xml:space="preserve">last year only receiving about 100 </w:t>
      </w:r>
      <w:r w:rsidR="00A62337">
        <w:rPr>
          <w:lang w:eastAsia="en-AU"/>
        </w:rPr>
        <w:t xml:space="preserve">requests for help </w:t>
      </w:r>
      <w:r w:rsidR="007F1695">
        <w:rPr>
          <w:lang w:eastAsia="en-AU"/>
        </w:rPr>
        <w:t>from your sector</w:t>
      </w:r>
      <w:r w:rsidR="00542EE3">
        <w:rPr>
          <w:lang w:eastAsia="en-AU"/>
        </w:rPr>
        <w:t>, this is an industry where</w:t>
      </w:r>
      <w:r w:rsidR="007F1695">
        <w:rPr>
          <w:lang w:eastAsia="en-AU"/>
        </w:rPr>
        <w:t xml:space="preserve"> we are finding that one problem seems to indicate bigger, more concerning issues. Consider some of the examples already on the public record. </w:t>
      </w:r>
    </w:p>
    <w:p w:rsidR="00542EE3" w:rsidRDefault="00542EE3" w:rsidP="00564E60">
      <w:pPr>
        <w:spacing w:before="120" w:after="120"/>
        <w:ind w:left="-360"/>
        <w:textAlignment w:val="center"/>
        <w:rPr>
          <w:lang w:eastAsia="en-AU"/>
        </w:rPr>
      </w:pPr>
      <w:r w:rsidRPr="00B21E31">
        <w:rPr>
          <w:lang w:eastAsia="en-AU"/>
        </w:rPr>
        <w:t xml:space="preserve">Our </w:t>
      </w:r>
      <w:r>
        <w:rPr>
          <w:lang w:eastAsia="en-AU"/>
        </w:rPr>
        <w:t xml:space="preserve">investigations into the 7-Eleven network </w:t>
      </w:r>
      <w:r w:rsidRPr="00B21E31">
        <w:rPr>
          <w:lang w:eastAsia="en-AU"/>
        </w:rPr>
        <w:t>identified significant wage underpayments</w:t>
      </w:r>
      <w:r w:rsidR="007F1695">
        <w:rPr>
          <w:lang w:eastAsia="en-AU"/>
        </w:rPr>
        <w:t xml:space="preserve"> of a workforce which had a large number of student visa holders. We also discovered widespread </w:t>
      </w:r>
      <w:r w:rsidRPr="00B21E31">
        <w:rPr>
          <w:lang w:eastAsia="en-AU"/>
        </w:rPr>
        <w:t>fals</w:t>
      </w:r>
      <w:r w:rsidR="007F1695">
        <w:rPr>
          <w:lang w:eastAsia="en-AU"/>
        </w:rPr>
        <w:t xml:space="preserve">ification of </w:t>
      </w:r>
      <w:r w:rsidRPr="00B21E31">
        <w:rPr>
          <w:lang w:eastAsia="en-AU"/>
        </w:rPr>
        <w:t xml:space="preserve">employment records </w:t>
      </w:r>
      <w:r w:rsidR="007F1695">
        <w:rPr>
          <w:lang w:eastAsia="en-AU"/>
        </w:rPr>
        <w:t>and stand over tactics used to pressure employees to pay wages back to the boss in cash.</w:t>
      </w:r>
      <w:r w:rsidR="00FA0229">
        <w:rPr>
          <w:rStyle w:val="FootnoteReference"/>
          <w:lang w:eastAsia="en-AU"/>
        </w:rPr>
        <w:footnoteReference w:id="5"/>
      </w:r>
      <w:r w:rsidR="007F1695">
        <w:rPr>
          <w:lang w:eastAsia="en-AU"/>
        </w:rPr>
        <w:t xml:space="preserve"> </w:t>
      </w:r>
    </w:p>
    <w:p w:rsidR="00542EE3" w:rsidRDefault="00542EE3" w:rsidP="00564E60">
      <w:pPr>
        <w:spacing w:before="120" w:after="120"/>
        <w:ind w:left="-360"/>
        <w:textAlignment w:val="center"/>
        <w:rPr>
          <w:lang w:eastAsia="en-AU"/>
        </w:rPr>
      </w:pPr>
      <w:r>
        <w:rPr>
          <w:lang w:eastAsia="en-AU"/>
        </w:rPr>
        <w:t xml:space="preserve">Many </w:t>
      </w:r>
      <w:r w:rsidR="007F1695">
        <w:rPr>
          <w:lang w:eastAsia="en-AU"/>
        </w:rPr>
        <w:t xml:space="preserve">employees </w:t>
      </w:r>
      <w:r>
        <w:rPr>
          <w:lang w:eastAsia="en-AU"/>
        </w:rPr>
        <w:t xml:space="preserve">were afraid to speak to us; receiving threats they’d be reported to </w:t>
      </w:r>
      <w:r w:rsidR="00FA0229">
        <w:rPr>
          <w:lang w:eastAsia="en-AU"/>
        </w:rPr>
        <w:t xml:space="preserve">the Department of </w:t>
      </w:r>
      <w:r>
        <w:rPr>
          <w:lang w:eastAsia="en-AU"/>
        </w:rPr>
        <w:t>Immigration</w:t>
      </w:r>
      <w:r w:rsidR="00FA0229">
        <w:rPr>
          <w:lang w:eastAsia="en-AU"/>
        </w:rPr>
        <w:t xml:space="preserve"> and Border Protection</w:t>
      </w:r>
      <w:r>
        <w:rPr>
          <w:lang w:eastAsia="en-AU"/>
        </w:rPr>
        <w:t xml:space="preserve"> if they cooperated in our investigations.</w:t>
      </w:r>
    </w:p>
    <w:p w:rsidR="00B50411" w:rsidRDefault="00FA0229" w:rsidP="00564E60">
      <w:pPr>
        <w:spacing w:before="120" w:after="120"/>
        <w:ind w:left="-360"/>
        <w:textAlignment w:val="center"/>
        <w:rPr>
          <w:lang w:eastAsia="en-AU"/>
        </w:rPr>
      </w:pPr>
      <w:r>
        <w:rPr>
          <w:lang w:eastAsia="en-AU"/>
        </w:rPr>
        <w:t>J</w:t>
      </w:r>
      <w:r w:rsidR="007F1695">
        <w:rPr>
          <w:lang w:eastAsia="en-AU"/>
        </w:rPr>
        <w:t xml:space="preserve">ust in case you’re thinking it was </w:t>
      </w:r>
      <w:r>
        <w:rPr>
          <w:lang w:eastAsia="en-AU"/>
        </w:rPr>
        <w:t xml:space="preserve">only </w:t>
      </w:r>
      <w:r w:rsidR="007F1695">
        <w:rPr>
          <w:lang w:eastAsia="en-AU"/>
        </w:rPr>
        <w:t>their convenience stores, we saw the same conduct occurring at fuel retailing sites and have taken court action in one such case.</w:t>
      </w:r>
      <w:r w:rsidR="005257EE">
        <w:rPr>
          <w:rStyle w:val="FootnoteReference"/>
          <w:lang w:eastAsia="en-AU"/>
        </w:rPr>
        <w:footnoteReference w:id="6"/>
      </w:r>
      <w:r w:rsidR="007F1695">
        <w:rPr>
          <w:lang w:eastAsia="en-AU"/>
        </w:rPr>
        <w:t xml:space="preserve"> </w:t>
      </w:r>
    </w:p>
    <w:p w:rsidR="002752C2" w:rsidRDefault="009F24DA" w:rsidP="00FA0229">
      <w:pPr>
        <w:spacing w:before="120" w:after="120"/>
        <w:ind w:left="-360"/>
        <w:textAlignment w:val="center"/>
        <w:rPr>
          <w:lang w:eastAsia="en-AU"/>
        </w:rPr>
      </w:pPr>
      <w:r>
        <w:rPr>
          <w:lang w:eastAsia="en-AU"/>
        </w:rPr>
        <w:t xml:space="preserve">To date, </w:t>
      </w:r>
      <w:r w:rsidR="007F1695">
        <w:rPr>
          <w:lang w:eastAsia="en-AU"/>
        </w:rPr>
        <w:t xml:space="preserve">7-Eleven has </w:t>
      </w:r>
      <w:r w:rsidR="00CC469E">
        <w:rPr>
          <w:lang w:eastAsia="en-AU"/>
        </w:rPr>
        <w:t>assessed over 3,500 claims and re-paid</w:t>
      </w:r>
      <w:r w:rsidR="007F1695">
        <w:rPr>
          <w:lang w:eastAsia="en-AU"/>
        </w:rPr>
        <w:t xml:space="preserve"> </w:t>
      </w:r>
      <w:r w:rsidR="00B50411">
        <w:rPr>
          <w:lang w:eastAsia="en-AU"/>
        </w:rPr>
        <w:t>over $150</w:t>
      </w:r>
      <w:r w:rsidR="007F1695">
        <w:rPr>
          <w:lang w:eastAsia="en-AU"/>
        </w:rPr>
        <w:t xml:space="preserve"> million dollars</w:t>
      </w:r>
      <w:r>
        <w:rPr>
          <w:lang w:eastAsia="en-AU"/>
        </w:rPr>
        <w:t xml:space="preserve"> </w:t>
      </w:r>
      <w:r w:rsidR="0000795F">
        <w:rPr>
          <w:lang w:eastAsia="en-AU"/>
        </w:rPr>
        <w:t xml:space="preserve">to workers </w:t>
      </w:r>
      <w:r>
        <w:rPr>
          <w:lang w:eastAsia="en-AU"/>
        </w:rPr>
        <w:t>and they haven’t finished yet</w:t>
      </w:r>
      <w:r w:rsidR="007F1695">
        <w:rPr>
          <w:lang w:eastAsia="en-AU"/>
        </w:rPr>
        <w:t>.</w:t>
      </w:r>
      <w:r w:rsidR="00B50411">
        <w:rPr>
          <w:rStyle w:val="FootnoteReference"/>
          <w:lang w:eastAsia="en-AU"/>
        </w:rPr>
        <w:footnoteReference w:id="7"/>
      </w:r>
    </w:p>
    <w:p w:rsidR="00542EE3" w:rsidRPr="00223724" w:rsidRDefault="00FA0229" w:rsidP="00564E60">
      <w:pPr>
        <w:spacing w:before="120" w:after="120"/>
        <w:ind w:left="-360"/>
        <w:textAlignment w:val="center"/>
        <w:rPr>
          <w:lang w:eastAsia="en-AU"/>
        </w:rPr>
      </w:pPr>
      <w:r>
        <w:rPr>
          <w:lang w:eastAsia="en-AU"/>
        </w:rPr>
        <w:t>And i</w:t>
      </w:r>
      <w:r w:rsidR="007F1695">
        <w:rPr>
          <w:lang w:eastAsia="en-AU"/>
        </w:rPr>
        <w:t xml:space="preserve">f you were </w:t>
      </w:r>
      <w:r w:rsidR="007F1695" w:rsidRPr="007E4B90">
        <w:rPr>
          <w:lang w:eastAsia="en-AU"/>
        </w:rPr>
        <w:t xml:space="preserve">thinking </w:t>
      </w:r>
      <w:r>
        <w:rPr>
          <w:lang w:eastAsia="en-AU"/>
        </w:rPr>
        <w:t>7-Eleven was a one off, then</w:t>
      </w:r>
      <w:r w:rsidR="007F1695" w:rsidRPr="007E4B90">
        <w:rPr>
          <w:lang w:eastAsia="en-AU"/>
        </w:rPr>
        <w:t xml:space="preserve"> along came Caltex. This business </w:t>
      </w:r>
      <w:r w:rsidR="009F24DA" w:rsidRPr="007E4B90">
        <w:rPr>
          <w:lang w:eastAsia="en-AU"/>
        </w:rPr>
        <w:t xml:space="preserve">recently </w:t>
      </w:r>
      <w:r w:rsidR="007F1695" w:rsidRPr="007E4B90">
        <w:rPr>
          <w:lang w:eastAsia="en-AU"/>
        </w:rPr>
        <w:t xml:space="preserve">reported it has established a </w:t>
      </w:r>
      <w:r w:rsidR="00542EE3" w:rsidRPr="007E4B90">
        <w:rPr>
          <w:lang w:eastAsia="en-AU"/>
        </w:rPr>
        <w:t xml:space="preserve">$20 million fund </w:t>
      </w:r>
      <w:r w:rsidR="007F1695" w:rsidRPr="007E4B90">
        <w:rPr>
          <w:lang w:eastAsia="en-AU"/>
        </w:rPr>
        <w:t>to repay</w:t>
      </w:r>
      <w:r w:rsidR="00542EE3" w:rsidRPr="007E4B90">
        <w:t xml:space="preserve"> underpaid w</w:t>
      </w:r>
      <w:r w:rsidR="00622480" w:rsidRPr="007E4B90">
        <w:t>orkers engaged by its franchisee</w:t>
      </w:r>
      <w:r w:rsidR="00542EE3" w:rsidRPr="007E4B90">
        <w:t>s, and that it’s conducting internal audits across its network</w:t>
      </w:r>
      <w:r w:rsidR="00AF0E4D" w:rsidRPr="007E4B90">
        <w:t xml:space="preserve">. Unlike 7-Eleven, </w:t>
      </w:r>
      <w:r w:rsidR="007318FD" w:rsidRPr="007E4B90">
        <w:t xml:space="preserve">who entered into a formal </w:t>
      </w:r>
      <w:r w:rsidR="00AF0E4D" w:rsidRPr="007E4B90">
        <w:t>Proactive Compliance Deed</w:t>
      </w:r>
      <w:r w:rsidR="007318FD" w:rsidRPr="007E4B90">
        <w:t xml:space="preserve"> with </w:t>
      </w:r>
      <w:r w:rsidR="00AF0E4D" w:rsidRPr="007E4B90">
        <w:t xml:space="preserve">the </w:t>
      </w:r>
      <w:r w:rsidR="00814D86" w:rsidRPr="007E4B90">
        <w:t xml:space="preserve">Fair Work Ombudsman </w:t>
      </w:r>
      <w:r w:rsidR="007318FD" w:rsidRPr="007E4B90">
        <w:t>setting out arrangements for restitution of workers, Caltex has not worked with us in developing its fund. It has not engaged with the regulator with respect to the criteria or conditions that apply to making payments to employees or reporting on which individuals or entities have been involved in breaches of the law.</w:t>
      </w:r>
      <w:r w:rsidR="007E4B90" w:rsidRPr="007E4B90">
        <w:t xml:space="preserve">  </w:t>
      </w:r>
      <w:r w:rsidR="00542EE3" w:rsidRPr="007E4B90">
        <w:rPr>
          <w:lang w:eastAsia="en-AU"/>
        </w:rPr>
        <w:t>These</w:t>
      </w:r>
      <w:r w:rsidR="00542EE3" w:rsidRPr="00223724">
        <w:rPr>
          <w:lang w:eastAsia="en-AU"/>
        </w:rPr>
        <w:t xml:space="preserve"> self-initiated actions follow ongoing investigations by </w:t>
      </w:r>
      <w:r>
        <w:rPr>
          <w:lang w:eastAsia="en-AU"/>
        </w:rPr>
        <w:t>the Fair Work Ombudsman</w:t>
      </w:r>
      <w:r w:rsidR="007F1695">
        <w:rPr>
          <w:lang w:eastAsia="en-AU"/>
        </w:rPr>
        <w:t xml:space="preserve"> in response to concerns about worker underpayment</w:t>
      </w:r>
      <w:r w:rsidR="00A62337">
        <w:rPr>
          <w:lang w:eastAsia="en-AU"/>
        </w:rPr>
        <w:t xml:space="preserve"> in the Caltex service network</w:t>
      </w:r>
      <w:r w:rsidR="00542EE3" w:rsidRPr="00223724">
        <w:rPr>
          <w:lang w:eastAsia="en-AU"/>
        </w:rPr>
        <w:t xml:space="preserve">.  </w:t>
      </w:r>
    </w:p>
    <w:p w:rsidR="00AF0E4D" w:rsidRDefault="00542EE3" w:rsidP="00564E60">
      <w:pPr>
        <w:spacing w:before="120" w:after="120"/>
        <w:ind w:left="-360"/>
        <w:textAlignment w:val="center"/>
        <w:rPr>
          <w:lang w:eastAsia="en-AU"/>
        </w:rPr>
      </w:pPr>
      <w:r>
        <w:rPr>
          <w:lang w:eastAsia="en-AU"/>
        </w:rPr>
        <w:t>In late 2016</w:t>
      </w:r>
      <w:r w:rsidRPr="00223724">
        <w:rPr>
          <w:lang w:eastAsia="en-AU"/>
        </w:rPr>
        <w:t xml:space="preserve">, we visited 25 </w:t>
      </w:r>
      <w:r w:rsidR="00A62337">
        <w:rPr>
          <w:lang w:eastAsia="en-AU"/>
        </w:rPr>
        <w:t xml:space="preserve">Caltex </w:t>
      </w:r>
      <w:r w:rsidRPr="00223724">
        <w:rPr>
          <w:lang w:eastAsia="en-AU"/>
        </w:rPr>
        <w:t xml:space="preserve">sites across Australia and reviewed the employment records for nearly 200 workers. </w:t>
      </w:r>
      <w:r w:rsidR="007F1695">
        <w:rPr>
          <w:lang w:eastAsia="en-AU"/>
        </w:rPr>
        <w:t>Reinforcing the data about the profile of your workforce, o</w:t>
      </w:r>
      <w:r w:rsidRPr="00223724">
        <w:rPr>
          <w:lang w:eastAsia="en-AU"/>
        </w:rPr>
        <w:t xml:space="preserve">ver a quarter </w:t>
      </w:r>
      <w:r w:rsidR="007F1695">
        <w:rPr>
          <w:lang w:eastAsia="en-AU"/>
        </w:rPr>
        <w:t xml:space="preserve">of the workers </w:t>
      </w:r>
      <w:r w:rsidR="007F1695">
        <w:rPr>
          <w:lang w:eastAsia="en-AU"/>
        </w:rPr>
        <w:lastRenderedPageBreak/>
        <w:t xml:space="preserve">whose records we examined </w:t>
      </w:r>
      <w:r w:rsidRPr="00223724">
        <w:rPr>
          <w:lang w:eastAsia="en-AU"/>
        </w:rPr>
        <w:t>were under the age of 24 years of age, a</w:t>
      </w:r>
      <w:r w:rsidR="00FA0229">
        <w:rPr>
          <w:lang w:eastAsia="en-AU"/>
        </w:rPr>
        <w:t xml:space="preserve">nd over 50% </w:t>
      </w:r>
      <w:r w:rsidRPr="00223724">
        <w:rPr>
          <w:lang w:eastAsia="en-AU"/>
        </w:rPr>
        <w:t>held a visa</w:t>
      </w:r>
      <w:r w:rsidR="00BD4107">
        <w:rPr>
          <w:lang w:eastAsia="en-AU"/>
        </w:rPr>
        <w:t xml:space="preserve"> with work</w:t>
      </w:r>
      <w:r w:rsidR="00E43BE0">
        <w:rPr>
          <w:lang w:eastAsia="en-AU"/>
        </w:rPr>
        <w:t xml:space="preserve"> </w:t>
      </w:r>
      <w:r w:rsidR="00BD4107">
        <w:rPr>
          <w:lang w:eastAsia="en-AU"/>
        </w:rPr>
        <w:t>rights</w:t>
      </w:r>
      <w:r w:rsidRPr="00223724">
        <w:rPr>
          <w:lang w:eastAsia="en-AU"/>
        </w:rPr>
        <w:t xml:space="preserve">. </w:t>
      </w:r>
    </w:p>
    <w:p w:rsidR="00791489" w:rsidRDefault="00BD4107" w:rsidP="00564E60">
      <w:pPr>
        <w:spacing w:before="120" w:after="120"/>
        <w:ind w:left="-360"/>
        <w:textAlignment w:val="center"/>
        <w:rPr>
          <w:lang w:eastAsia="en-AU"/>
        </w:rPr>
      </w:pPr>
      <w:r w:rsidRPr="0040640F">
        <w:rPr>
          <w:lang w:eastAsia="en-AU"/>
        </w:rPr>
        <w:t xml:space="preserve">As we continue to assess the findings of those site visits, I can report </w:t>
      </w:r>
      <w:r w:rsidR="009F24DA" w:rsidRPr="0040640F">
        <w:rPr>
          <w:lang w:eastAsia="en-AU"/>
        </w:rPr>
        <w:t xml:space="preserve">similar themes are emerging to 7-Eleven.  Once </w:t>
      </w:r>
      <w:r w:rsidR="00542EE3" w:rsidRPr="0040640F">
        <w:rPr>
          <w:lang w:eastAsia="en-AU"/>
        </w:rPr>
        <w:t>again</w:t>
      </w:r>
      <w:r w:rsidR="009F24DA" w:rsidRPr="0040640F">
        <w:rPr>
          <w:lang w:eastAsia="en-AU"/>
        </w:rPr>
        <w:t xml:space="preserve"> </w:t>
      </w:r>
      <w:r w:rsidR="0026378B" w:rsidRPr="0040640F">
        <w:rPr>
          <w:lang w:eastAsia="en-AU"/>
        </w:rPr>
        <w:t>we have</w:t>
      </w:r>
      <w:r w:rsidR="00542EE3" w:rsidRPr="0040640F">
        <w:rPr>
          <w:lang w:eastAsia="en-AU"/>
        </w:rPr>
        <w:t xml:space="preserve"> concerns </w:t>
      </w:r>
      <w:r w:rsidR="00622480" w:rsidRPr="0040640F">
        <w:rPr>
          <w:lang w:eastAsia="en-AU"/>
        </w:rPr>
        <w:t>about</w:t>
      </w:r>
      <w:r w:rsidR="00542EE3" w:rsidRPr="0040640F">
        <w:rPr>
          <w:lang w:eastAsia="en-AU"/>
        </w:rPr>
        <w:t xml:space="preserve"> false and misleading records</w:t>
      </w:r>
      <w:r w:rsidR="007E4B90">
        <w:rPr>
          <w:lang w:eastAsia="en-AU"/>
        </w:rPr>
        <w:t xml:space="preserve"> within a well-</w:t>
      </w:r>
      <w:r w:rsidR="007318FD">
        <w:rPr>
          <w:lang w:eastAsia="en-AU"/>
        </w:rPr>
        <w:t>known franchise</w:t>
      </w:r>
      <w:r w:rsidR="00542EE3" w:rsidRPr="0040640F">
        <w:rPr>
          <w:lang w:eastAsia="en-AU"/>
        </w:rPr>
        <w:t xml:space="preserve">, </w:t>
      </w:r>
      <w:r w:rsidR="00B50411" w:rsidRPr="0040640F">
        <w:rPr>
          <w:lang w:eastAsia="en-AU"/>
        </w:rPr>
        <w:t xml:space="preserve">and </w:t>
      </w:r>
      <w:r w:rsidR="00542EE3" w:rsidRPr="0040640F">
        <w:rPr>
          <w:lang w:eastAsia="en-AU"/>
        </w:rPr>
        <w:t xml:space="preserve">one of the difficulties we </w:t>
      </w:r>
      <w:r w:rsidR="00D30606" w:rsidRPr="0040640F">
        <w:rPr>
          <w:lang w:eastAsia="en-AU"/>
        </w:rPr>
        <w:t xml:space="preserve">have </w:t>
      </w:r>
      <w:r w:rsidR="00542EE3" w:rsidRPr="0040640F">
        <w:rPr>
          <w:lang w:eastAsia="en-AU"/>
        </w:rPr>
        <w:t xml:space="preserve">faced </w:t>
      </w:r>
      <w:r w:rsidR="009F24DA" w:rsidRPr="0040640F">
        <w:rPr>
          <w:lang w:eastAsia="en-AU"/>
        </w:rPr>
        <w:t>i</w:t>
      </w:r>
      <w:r w:rsidR="00542EE3" w:rsidRPr="0040640F">
        <w:rPr>
          <w:lang w:eastAsia="en-AU"/>
        </w:rPr>
        <w:t xml:space="preserve">s that many of the employees </w:t>
      </w:r>
      <w:r w:rsidR="009F24DA" w:rsidRPr="0040640F">
        <w:rPr>
          <w:lang w:eastAsia="en-AU"/>
        </w:rPr>
        <w:t xml:space="preserve">are </w:t>
      </w:r>
      <w:r w:rsidR="00542EE3" w:rsidRPr="0040640F">
        <w:rPr>
          <w:lang w:eastAsia="en-AU"/>
        </w:rPr>
        <w:t>not willing to come forward and provide evidence.</w:t>
      </w:r>
    </w:p>
    <w:p w:rsidR="007318FD" w:rsidRPr="007E4B90" w:rsidRDefault="00791489" w:rsidP="00564E60">
      <w:pPr>
        <w:spacing w:before="120" w:after="120"/>
        <w:ind w:left="-360"/>
        <w:textAlignment w:val="center"/>
        <w:rPr>
          <w:lang w:eastAsia="en-AU"/>
        </w:rPr>
      </w:pPr>
      <w:r w:rsidRPr="007E4B90">
        <w:rPr>
          <w:lang w:eastAsia="en-AU"/>
        </w:rPr>
        <w:t xml:space="preserve"> </w:t>
      </w:r>
      <w:proofErr w:type="gramStart"/>
      <w:r w:rsidR="007318FD" w:rsidRPr="007E4B90">
        <w:rPr>
          <w:lang w:eastAsia="en-AU"/>
        </w:rPr>
        <w:t xml:space="preserve">The actions of Caltex to identify and rectify underpayments </w:t>
      </w:r>
      <w:r w:rsidR="00935160">
        <w:rPr>
          <w:lang w:eastAsia="en-AU"/>
        </w:rPr>
        <w:t xml:space="preserve">and the way in which they going about doing this </w:t>
      </w:r>
      <w:r w:rsidR="007318FD" w:rsidRPr="007E4B90">
        <w:rPr>
          <w:lang w:eastAsia="en-AU"/>
        </w:rPr>
        <w:t>are not just a matter for the company and the stock exchange.</w:t>
      </w:r>
      <w:proofErr w:type="gramEnd"/>
      <w:r w:rsidR="007318FD" w:rsidRPr="007E4B90">
        <w:rPr>
          <w:lang w:eastAsia="en-AU"/>
        </w:rPr>
        <w:t xml:space="preserve"> The Fair Work Act sets penalties for breaches of the law and it is up to the regulator, the Fair Work Ombudsman, t</w:t>
      </w:r>
      <w:r w:rsidR="003D2C80" w:rsidRPr="007E4B90">
        <w:rPr>
          <w:lang w:eastAsia="en-AU"/>
        </w:rPr>
        <w:t>o consider whether c</w:t>
      </w:r>
      <w:r w:rsidR="007318FD" w:rsidRPr="007E4B90">
        <w:rPr>
          <w:lang w:eastAsia="en-AU"/>
        </w:rPr>
        <w:t>ourt or some other form of enforcement action should be taken.  There is public interest in ensuring appropriate consequences flow to those individuals and entities involved in serious and deliberate breaches of the law, especially where they impact on vulnerable workers.</w:t>
      </w:r>
      <w:r w:rsidR="003D2C80" w:rsidRPr="007E4B90">
        <w:rPr>
          <w:lang w:eastAsia="en-AU"/>
        </w:rPr>
        <w:t xml:space="preserve"> </w:t>
      </w:r>
    </w:p>
    <w:p w:rsidR="00542EE3" w:rsidRPr="00223724" w:rsidRDefault="00BD4107" w:rsidP="00FA0229">
      <w:pPr>
        <w:spacing w:before="120" w:after="120"/>
        <w:ind w:left="-360"/>
        <w:textAlignment w:val="center"/>
        <w:rPr>
          <w:lang w:eastAsia="en-AU"/>
        </w:rPr>
      </w:pPr>
      <w:r w:rsidRPr="0040640F">
        <w:rPr>
          <w:lang w:eastAsia="en-AU"/>
        </w:rPr>
        <w:t xml:space="preserve">I expect to be issuing a report on our compliance activity involving Caltex in the next few months. All I can say at this stage is don’t be surprised if I am reporting on certain enforcement </w:t>
      </w:r>
      <w:r w:rsidR="008C0207">
        <w:rPr>
          <w:lang w:eastAsia="en-AU"/>
        </w:rPr>
        <w:t>actions</w:t>
      </w:r>
      <w:r w:rsidRPr="0040640F">
        <w:rPr>
          <w:lang w:eastAsia="en-AU"/>
        </w:rPr>
        <w:t xml:space="preserve"> we have felt compelled to take in the public interest.</w:t>
      </w:r>
    </w:p>
    <w:p w:rsidR="00542EE3" w:rsidRDefault="00542EE3" w:rsidP="00564E60">
      <w:pPr>
        <w:spacing w:before="120" w:after="120"/>
        <w:ind w:left="-360"/>
        <w:textAlignment w:val="center"/>
        <w:rPr>
          <w:lang w:eastAsia="en-AU"/>
        </w:rPr>
      </w:pPr>
      <w:r w:rsidRPr="00223724">
        <w:rPr>
          <w:lang w:eastAsia="en-AU"/>
        </w:rPr>
        <w:t>United Petroleum</w:t>
      </w:r>
      <w:r w:rsidRPr="00815277">
        <w:rPr>
          <w:lang w:eastAsia="en-AU"/>
        </w:rPr>
        <w:t xml:space="preserve"> </w:t>
      </w:r>
      <w:r>
        <w:rPr>
          <w:lang w:eastAsia="en-AU"/>
        </w:rPr>
        <w:t>is another high profile brand</w:t>
      </w:r>
      <w:r w:rsidRPr="00223724">
        <w:rPr>
          <w:lang w:eastAsia="en-AU"/>
        </w:rPr>
        <w:t xml:space="preserve"> </w:t>
      </w:r>
      <w:r w:rsidR="00BD4107">
        <w:rPr>
          <w:lang w:eastAsia="en-AU"/>
        </w:rPr>
        <w:t>whose network we investigated</w:t>
      </w:r>
      <w:r w:rsidR="00E22765">
        <w:rPr>
          <w:lang w:eastAsia="en-AU"/>
        </w:rPr>
        <w:t>,</w:t>
      </w:r>
      <w:r w:rsidR="00BD4107">
        <w:rPr>
          <w:lang w:eastAsia="en-AU"/>
        </w:rPr>
        <w:t xml:space="preserve"> </w:t>
      </w:r>
      <w:r>
        <w:rPr>
          <w:lang w:eastAsia="en-AU"/>
        </w:rPr>
        <w:t xml:space="preserve">following media reports in </w:t>
      </w:r>
      <w:r w:rsidRPr="00223724">
        <w:rPr>
          <w:lang w:eastAsia="en-AU"/>
        </w:rPr>
        <w:t xml:space="preserve">September 2015 </w:t>
      </w:r>
      <w:r w:rsidR="0026378B">
        <w:rPr>
          <w:lang w:eastAsia="en-AU"/>
        </w:rPr>
        <w:t xml:space="preserve">that </w:t>
      </w:r>
      <w:r w:rsidR="00BD4107">
        <w:rPr>
          <w:lang w:eastAsia="en-AU"/>
        </w:rPr>
        <w:t>e</w:t>
      </w:r>
      <w:r w:rsidRPr="00223724">
        <w:rPr>
          <w:lang w:eastAsia="en-AU"/>
        </w:rPr>
        <w:t>mployees were be</w:t>
      </w:r>
      <w:r>
        <w:rPr>
          <w:lang w:eastAsia="en-AU"/>
        </w:rPr>
        <w:t>ing paid as low as $10 an hour.</w:t>
      </w:r>
      <w:r w:rsidR="00BD4107">
        <w:rPr>
          <w:lang w:eastAsia="en-AU"/>
        </w:rPr>
        <w:t xml:space="preserve">  These reports were consistent with our own intelligence</w:t>
      </w:r>
      <w:r w:rsidR="00C80458">
        <w:rPr>
          <w:lang w:eastAsia="en-AU"/>
        </w:rPr>
        <w:t>.</w:t>
      </w:r>
    </w:p>
    <w:p w:rsidR="00542EE3" w:rsidRPr="00223724" w:rsidRDefault="00BD4107" w:rsidP="00564E60">
      <w:pPr>
        <w:spacing w:before="120" w:after="120"/>
        <w:ind w:left="-360"/>
        <w:textAlignment w:val="center"/>
        <w:rPr>
          <w:lang w:eastAsia="en-AU"/>
        </w:rPr>
      </w:pPr>
      <w:r>
        <w:rPr>
          <w:lang w:eastAsia="en-AU"/>
        </w:rPr>
        <w:t xml:space="preserve">Following our compliance activity, we reported publicly that </w:t>
      </w:r>
      <w:r>
        <w:rPr>
          <w:rFonts w:cstheme="minorHAnsi"/>
        </w:rPr>
        <w:t>F</w:t>
      </w:r>
      <w:r w:rsidR="00542EE3" w:rsidRPr="00BD4107">
        <w:rPr>
          <w:rFonts w:cstheme="minorHAnsi"/>
        </w:rPr>
        <w:t xml:space="preserve">air Work Inspectors </w:t>
      </w:r>
      <w:r>
        <w:rPr>
          <w:rFonts w:cstheme="minorHAnsi"/>
        </w:rPr>
        <w:t xml:space="preserve">had </w:t>
      </w:r>
      <w:r w:rsidR="00542EE3" w:rsidRPr="00BD4107">
        <w:rPr>
          <w:rFonts w:cstheme="minorHAnsi"/>
        </w:rPr>
        <w:t xml:space="preserve">reviewed the time and wage records of 11 </w:t>
      </w:r>
      <w:r w:rsidR="00622480" w:rsidRPr="00BD4107">
        <w:rPr>
          <w:rFonts w:cstheme="minorHAnsi"/>
        </w:rPr>
        <w:t xml:space="preserve">of their </w:t>
      </w:r>
      <w:r w:rsidR="00FA0229">
        <w:rPr>
          <w:rFonts w:cstheme="minorHAnsi"/>
        </w:rPr>
        <w:t xml:space="preserve">retail fuel sites. Over 75% </w:t>
      </w:r>
      <w:r w:rsidR="00542EE3" w:rsidRPr="00BD4107">
        <w:rPr>
          <w:rFonts w:cstheme="minorHAnsi"/>
        </w:rPr>
        <w:t>of the workers were on a visa, and many of the employers themselves were from non-English speaking backgrounds.</w:t>
      </w:r>
    </w:p>
    <w:p w:rsidR="00542EE3" w:rsidRPr="00E43BE0" w:rsidRDefault="00542EE3" w:rsidP="00564E60">
      <w:pPr>
        <w:spacing w:before="120" w:after="120"/>
        <w:ind w:left="-360"/>
        <w:textAlignment w:val="center"/>
        <w:rPr>
          <w:lang w:eastAsia="en-AU"/>
        </w:rPr>
      </w:pPr>
      <w:r w:rsidRPr="00223724">
        <w:rPr>
          <w:rFonts w:cstheme="minorHAnsi"/>
        </w:rPr>
        <w:t>Overall, we found that 40% of the businesses were non-compliant and uncovered $20,550</w:t>
      </w:r>
      <w:r>
        <w:rPr>
          <w:rFonts w:cstheme="minorHAnsi"/>
        </w:rPr>
        <w:t xml:space="preserve"> </w:t>
      </w:r>
      <w:r w:rsidRPr="00223724">
        <w:rPr>
          <w:rFonts w:cstheme="minorHAnsi"/>
        </w:rPr>
        <w:t xml:space="preserve">in underpayments over a six month period. </w:t>
      </w:r>
    </w:p>
    <w:p w:rsidR="00BD4107" w:rsidRPr="0040640F" w:rsidRDefault="00BD4107" w:rsidP="00564E60">
      <w:pPr>
        <w:spacing w:before="120" w:after="120"/>
        <w:ind w:left="-360"/>
        <w:textAlignment w:val="center"/>
        <w:rPr>
          <w:lang w:eastAsia="en-AU"/>
        </w:rPr>
      </w:pPr>
      <w:r w:rsidRPr="0040640F">
        <w:rPr>
          <w:rFonts w:cstheme="minorHAnsi"/>
        </w:rPr>
        <w:t>In our public report we not only disclosed the findings of our activity but invited United Petroleum to enter into a compliance partnership with us</w:t>
      </w:r>
      <w:r w:rsidR="00E22765" w:rsidRPr="0040640F">
        <w:rPr>
          <w:rFonts w:cstheme="minorHAnsi"/>
        </w:rPr>
        <w:t>,</w:t>
      </w:r>
      <w:r w:rsidRPr="0040640F">
        <w:rPr>
          <w:rFonts w:cstheme="minorHAnsi"/>
        </w:rPr>
        <w:t xml:space="preserve"> in order to better identify and address the drivers of non-compliance in its service network.</w:t>
      </w:r>
      <w:r w:rsidR="00FA0229">
        <w:rPr>
          <w:rStyle w:val="FootnoteReference"/>
          <w:rFonts w:cstheme="minorHAnsi"/>
        </w:rPr>
        <w:footnoteReference w:id="8"/>
      </w:r>
    </w:p>
    <w:p w:rsidR="00BD4107" w:rsidRPr="0040640F" w:rsidRDefault="00BD4107" w:rsidP="00564E60">
      <w:pPr>
        <w:spacing w:before="120" w:after="120"/>
        <w:ind w:left="-360"/>
        <w:textAlignment w:val="center"/>
        <w:rPr>
          <w:lang w:eastAsia="en-AU"/>
        </w:rPr>
      </w:pPr>
      <w:r w:rsidRPr="0040640F">
        <w:rPr>
          <w:rFonts w:cstheme="minorHAnsi"/>
        </w:rPr>
        <w:t>While United Petroleum is yet to accept this offer, we have unfortunately had to open up new investigations involving the network in Tasmania following more recent allegations of systemic non-compliance.</w:t>
      </w:r>
    </w:p>
    <w:p w:rsidR="00BD4107" w:rsidRPr="0040640F" w:rsidRDefault="00BD4107" w:rsidP="00564E60">
      <w:pPr>
        <w:spacing w:before="120" w:after="120"/>
        <w:ind w:left="-360"/>
        <w:textAlignment w:val="center"/>
        <w:rPr>
          <w:lang w:eastAsia="en-AU"/>
        </w:rPr>
      </w:pPr>
      <w:r w:rsidRPr="0040640F">
        <w:rPr>
          <w:rFonts w:cstheme="minorHAnsi"/>
        </w:rPr>
        <w:t xml:space="preserve">Again, the themes of 7-Eleven and Caltex surface – as the owners of sites (often migrants themselves) report that employing workers at below Award rates is the only way they can remain profitable.  </w:t>
      </w:r>
    </w:p>
    <w:p w:rsidR="0040640F" w:rsidRDefault="00BD4107" w:rsidP="00FA0229">
      <w:pPr>
        <w:spacing w:before="120" w:after="120"/>
        <w:ind w:left="-360"/>
        <w:textAlignment w:val="center"/>
        <w:rPr>
          <w:lang w:eastAsia="en-AU"/>
        </w:rPr>
      </w:pPr>
      <w:r w:rsidRPr="0040640F">
        <w:rPr>
          <w:rFonts w:cstheme="minorHAnsi"/>
        </w:rPr>
        <w:t>The message is clear for those in head office – we know the market is acutely price sensitive for all pla</w:t>
      </w:r>
      <w:r w:rsidR="00804A53">
        <w:rPr>
          <w:rFonts w:cstheme="minorHAnsi"/>
        </w:rPr>
        <w:t xml:space="preserve">yers – with the passage of the </w:t>
      </w:r>
      <w:r w:rsidR="00804A53">
        <w:rPr>
          <w:rFonts w:cstheme="minorHAnsi"/>
          <w:i/>
        </w:rPr>
        <w:t>Protecting Vulnerable Workers Bill</w:t>
      </w:r>
      <w:r w:rsidRPr="0040640F">
        <w:rPr>
          <w:rFonts w:cstheme="minorHAnsi"/>
        </w:rPr>
        <w:t xml:space="preserve">, it is essential franchisors consider the dynamics in your business and whether aspects of </w:t>
      </w:r>
      <w:r w:rsidR="00E22765" w:rsidRPr="0040640F">
        <w:rPr>
          <w:rFonts w:cstheme="minorHAnsi"/>
        </w:rPr>
        <w:t>the operating model are facilit</w:t>
      </w:r>
      <w:r w:rsidRPr="0040640F">
        <w:rPr>
          <w:rFonts w:cstheme="minorHAnsi"/>
        </w:rPr>
        <w:t xml:space="preserve">ating non-compliance. Suffice it to say, to turn a blind eye to these questions is not only ‘reckless’ it </w:t>
      </w:r>
      <w:r w:rsidR="00E22765" w:rsidRPr="0040640F">
        <w:rPr>
          <w:rFonts w:cstheme="minorHAnsi"/>
        </w:rPr>
        <w:t xml:space="preserve">may now be </w:t>
      </w:r>
      <w:r w:rsidRPr="0040640F">
        <w:rPr>
          <w:rFonts w:cstheme="minorHAnsi"/>
        </w:rPr>
        <w:t>unlawful.</w:t>
      </w:r>
    </w:p>
    <w:p w:rsidR="002F2673" w:rsidRPr="00EC0818" w:rsidRDefault="00BD4107" w:rsidP="00804A53">
      <w:pPr>
        <w:spacing w:before="120" w:after="120"/>
        <w:ind w:left="-360"/>
        <w:textAlignment w:val="center"/>
        <w:rPr>
          <w:lang w:eastAsia="en-AU"/>
        </w:rPr>
      </w:pPr>
      <w:r>
        <w:rPr>
          <w:lang w:eastAsia="en-AU"/>
        </w:rPr>
        <w:lastRenderedPageBreak/>
        <w:t>Let me explain, h</w:t>
      </w:r>
      <w:r w:rsidR="002F2673" w:rsidRPr="00EC0818">
        <w:rPr>
          <w:lang w:eastAsia="en-AU"/>
        </w:rPr>
        <w:t xml:space="preserve">ow might these examples have played out if the new laws were in place? </w:t>
      </w:r>
      <w:r w:rsidR="0034538D">
        <w:rPr>
          <w:lang w:eastAsia="en-AU"/>
        </w:rPr>
        <w:t xml:space="preserve">Would the outcome have been different </w:t>
      </w:r>
      <w:r w:rsidR="0000795F">
        <w:rPr>
          <w:lang w:eastAsia="en-AU"/>
        </w:rPr>
        <w:t>with the new</w:t>
      </w:r>
      <w:r w:rsidR="002F2673" w:rsidRPr="00EC0818">
        <w:rPr>
          <w:lang w:eastAsia="en-AU"/>
        </w:rPr>
        <w:t xml:space="preserve"> higher penalties</w:t>
      </w:r>
      <w:r w:rsidR="009F24DA">
        <w:rPr>
          <w:lang w:eastAsia="en-AU"/>
        </w:rPr>
        <w:t xml:space="preserve">?  </w:t>
      </w:r>
      <w:r w:rsidR="00035163">
        <w:rPr>
          <w:lang w:eastAsia="en-AU"/>
        </w:rPr>
        <w:t>W</w:t>
      </w:r>
      <w:r w:rsidR="0034538D">
        <w:rPr>
          <w:lang w:eastAsia="en-AU"/>
        </w:rPr>
        <w:t xml:space="preserve">hat would have the actions of head-offices </w:t>
      </w:r>
      <w:r w:rsidR="00721CED">
        <w:rPr>
          <w:lang w:eastAsia="en-AU"/>
        </w:rPr>
        <w:t>been, were</w:t>
      </w:r>
      <w:r w:rsidR="0034538D">
        <w:rPr>
          <w:lang w:eastAsia="en-AU"/>
        </w:rPr>
        <w:t xml:space="preserve"> they potentially liable</w:t>
      </w:r>
      <w:r w:rsidR="0000795F">
        <w:rPr>
          <w:lang w:eastAsia="en-AU"/>
        </w:rPr>
        <w:t xml:space="preserve"> under the new franchising provisions?</w:t>
      </w:r>
      <w:r w:rsidR="00804A53">
        <w:rPr>
          <w:lang w:eastAsia="en-AU"/>
        </w:rPr>
        <w:t xml:space="preserve"> </w:t>
      </w:r>
      <w:r w:rsidR="004F496A" w:rsidRPr="00EC0818">
        <w:rPr>
          <w:lang w:eastAsia="en-AU"/>
        </w:rPr>
        <w:t>And</w:t>
      </w:r>
      <w:r w:rsidR="00ED0E24" w:rsidRPr="00EC0818">
        <w:rPr>
          <w:lang w:eastAsia="en-AU"/>
        </w:rPr>
        <w:t xml:space="preserve"> </w:t>
      </w:r>
      <w:r w:rsidR="0000795F">
        <w:rPr>
          <w:lang w:eastAsia="en-AU"/>
        </w:rPr>
        <w:t>what sort of additional</w:t>
      </w:r>
      <w:r w:rsidR="0034538D">
        <w:rPr>
          <w:lang w:eastAsia="en-AU"/>
        </w:rPr>
        <w:t xml:space="preserve"> evidence </w:t>
      </w:r>
      <w:r w:rsidR="0000795F">
        <w:rPr>
          <w:lang w:eastAsia="en-AU"/>
        </w:rPr>
        <w:t xml:space="preserve">may have emerged if we could have required key management personnel or outlet operators </w:t>
      </w:r>
      <w:r w:rsidR="0034538D">
        <w:rPr>
          <w:lang w:eastAsia="en-AU"/>
        </w:rPr>
        <w:t xml:space="preserve">to </w:t>
      </w:r>
      <w:r w:rsidR="00EC0818" w:rsidRPr="00EC0818">
        <w:rPr>
          <w:lang w:eastAsia="en-AU"/>
        </w:rPr>
        <w:t>attend an examination</w:t>
      </w:r>
      <w:r w:rsidR="00EC0818">
        <w:rPr>
          <w:lang w:eastAsia="en-AU"/>
        </w:rPr>
        <w:t>,</w:t>
      </w:r>
      <w:r w:rsidR="00EC0818" w:rsidRPr="00EC0818">
        <w:rPr>
          <w:lang w:eastAsia="en-AU"/>
        </w:rPr>
        <w:t xml:space="preserve"> and</w:t>
      </w:r>
      <w:r w:rsidR="004F496A" w:rsidRPr="00EC0818">
        <w:rPr>
          <w:lang w:eastAsia="en-AU"/>
        </w:rPr>
        <w:t xml:space="preserve"> answer questions about what they know?</w:t>
      </w:r>
    </w:p>
    <w:p w:rsidR="003E716A" w:rsidRDefault="00804A53" w:rsidP="00564E60">
      <w:pPr>
        <w:spacing w:before="120" w:after="120"/>
        <w:ind w:left="-360"/>
        <w:textAlignment w:val="center"/>
        <w:rPr>
          <w:lang w:eastAsia="en-AU"/>
        </w:rPr>
      </w:pPr>
      <w:r>
        <w:rPr>
          <w:lang w:eastAsia="en-AU"/>
        </w:rPr>
        <w:t>G</w:t>
      </w:r>
      <w:r w:rsidR="003E716A">
        <w:rPr>
          <w:lang w:eastAsia="en-AU"/>
        </w:rPr>
        <w:t>iven these examples, and the new laws, what should you as industry leaders be doing right now?</w:t>
      </w:r>
      <w:r w:rsidR="002F2673">
        <w:rPr>
          <w:lang w:eastAsia="en-AU"/>
        </w:rPr>
        <w:t xml:space="preserve"> </w:t>
      </w:r>
      <w:r w:rsidR="00E22765">
        <w:rPr>
          <w:lang w:eastAsia="en-AU"/>
        </w:rPr>
        <w:t>Are you certain</w:t>
      </w:r>
      <w:r w:rsidR="002F2673">
        <w:rPr>
          <w:lang w:eastAsia="en-AU"/>
        </w:rPr>
        <w:t xml:space="preserve"> that everything is as it should be when it comes to compliance with workplace laws</w:t>
      </w:r>
      <w:r w:rsidR="0000795F">
        <w:rPr>
          <w:lang w:eastAsia="en-AU"/>
        </w:rPr>
        <w:t xml:space="preserve"> in your operation</w:t>
      </w:r>
      <w:r w:rsidR="002F2673">
        <w:rPr>
          <w:lang w:eastAsia="en-AU"/>
        </w:rPr>
        <w:t xml:space="preserve">? </w:t>
      </w:r>
    </w:p>
    <w:p w:rsidR="003F0204" w:rsidRDefault="002F2673" w:rsidP="00804A53">
      <w:pPr>
        <w:spacing w:before="120" w:after="120"/>
        <w:ind w:left="-360"/>
        <w:textAlignment w:val="center"/>
        <w:rPr>
          <w:lang w:eastAsia="en-AU"/>
        </w:rPr>
      </w:pPr>
      <w:r>
        <w:rPr>
          <w:lang w:eastAsia="en-AU"/>
        </w:rPr>
        <w:t>Whether you are part of a large operation providing fuel across several sites</w:t>
      </w:r>
      <w:r w:rsidR="00E22765">
        <w:rPr>
          <w:lang w:eastAsia="en-AU"/>
        </w:rPr>
        <w:t>,</w:t>
      </w:r>
      <w:r>
        <w:rPr>
          <w:lang w:eastAsia="en-AU"/>
        </w:rPr>
        <w:t xml:space="preserve"> or running a single outlet, </w:t>
      </w:r>
      <w:r w:rsidR="007144D8">
        <w:rPr>
          <w:lang w:eastAsia="en-AU"/>
        </w:rPr>
        <w:t>the principles for ensuring compliance are the same. Y</w:t>
      </w:r>
      <w:r>
        <w:rPr>
          <w:lang w:eastAsia="en-AU"/>
        </w:rPr>
        <w:t xml:space="preserve">ou can </w:t>
      </w:r>
      <w:r w:rsidRPr="00426C24">
        <w:rPr>
          <w:lang w:eastAsia="en-AU"/>
        </w:rPr>
        <w:t>take some basic steps to test whether workers are being paid correctly.</w:t>
      </w:r>
    </w:p>
    <w:p w:rsidR="00EC0818" w:rsidRDefault="005C6268" w:rsidP="00564E60">
      <w:pPr>
        <w:spacing w:before="120" w:after="120"/>
        <w:ind w:left="-360"/>
        <w:textAlignment w:val="center"/>
        <w:rPr>
          <w:lang w:eastAsia="en-AU"/>
        </w:rPr>
      </w:pPr>
      <w:r w:rsidRPr="00426C24">
        <w:rPr>
          <w:lang w:eastAsia="en-AU"/>
        </w:rPr>
        <w:t xml:space="preserve">Those responsible </w:t>
      </w:r>
      <w:r w:rsidR="007144D8">
        <w:rPr>
          <w:lang w:eastAsia="en-AU"/>
        </w:rPr>
        <w:t xml:space="preserve">for paying workers </w:t>
      </w:r>
      <w:r w:rsidR="00CC469E" w:rsidRPr="00426C24">
        <w:rPr>
          <w:lang w:eastAsia="en-AU"/>
        </w:rPr>
        <w:t>should check out</w:t>
      </w:r>
      <w:r w:rsidR="00F77759" w:rsidRPr="00426C24">
        <w:rPr>
          <w:lang w:eastAsia="en-AU"/>
        </w:rPr>
        <w:t xml:space="preserve"> our website</w:t>
      </w:r>
      <w:r w:rsidR="00ED0E24">
        <w:rPr>
          <w:lang w:eastAsia="en-AU"/>
        </w:rPr>
        <w:t xml:space="preserve"> at fairwork.gov.au</w:t>
      </w:r>
      <w:r w:rsidR="00F77759" w:rsidRPr="00426C24">
        <w:rPr>
          <w:lang w:eastAsia="en-AU"/>
        </w:rPr>
        <w:t xml:space="preserve">. </w:t>
      </w:r>
      <w:r w:rsidRPr="00426C24">
        <w:rPr>
          <w:lang w:eastAsia="en-AU"/>
        </w:rPr>
        <w:t>We have a range of tools</w:t>
      </w:r>
      <w:r w:rsidR="00CC469E" w:rsidRPr="00426C24">
        <w:rPr>
          <w:lang w:eastAsia="en-AU"/>
        </w:rPr>
        <w:t xml:space="preserve"> to </w:t>
      </w:r>
      <w:r w:rsidR="00F77759" w:rsidRPr="00426C24">
        <w:rPr>
          <w:lang w:eastAsia="en-AU"/>
        </w:rPr>
        <w:t>assist you</w:t>
      </w:r>
      <w:r w:rsidR="00CC469E" w:rsidRPr="00426C24">
        <w:rPr>
          <w:lang w:eastAsia="en-AU"/>
        </w:rPr>
        <w:t xml:space="preserve"> </w:t>
      </w:r>
      <w:r w:rsidR="00E2269D">
        <w:rPr>
          <w:lang w:eastAsia="en-AU"/>
        </w:rPr>
        <w:t xml:space="preserve">to </w:t>
      </w:r>
      <w:r w:rsidR="00CC469E" w:rsidRPr="00426C24">
        <w:rPr>
          <w:lang w:eastAsia="en-AU"/>
        </w:rPr>
        <w:t>make sure</w:t>
      </w:r>
      <w:r w:rsidR="00CA7CAC">
        <w:rPr>
          <w:lang w:eastAsia="en-AU"/>
        </w:rPr>
        <w:t xml:space="preserve"> people</w:t>
      </w:r>
      <w:r w:rsidR="00CC469E" w:rsidRPr="00426C24">
        <w:rPr>
          <w:lang w:eastAsia="en-AU"/>
        </w:rPr>
        <w:t xml:space="preserve"> get the right advice, and know what </w:t>
      </w:r>
      <w:r w:rsidR="007144D8">
        <w:rPr>
          <w:lang w:eastAsia="en-AU"/>
        </w:rPr>
        <w:t>rules</w:t>
      </w:r>
      <w:r w:rsidR="0063211F">
        <w:rPr>
          <w:lang w:eastAsia="en-AU"/>
        </w:rPr>
        <w:t xml:space="preserve"> </w:t>
      </w:r>
      <w:r w:rsidR="00CC469E" w:rsidRPr="00426C24">
        <w:rPr>
          <w:lang w:eastAsia="en-AU"/>
        </w:rPr>
        <w:t>appl</w:t>
      </w:r>
      <w:r w:rsidR="007144D8">
        <w:rPr>
          <w:lang w:eastAsia="en-AU"/>
        </w:rPr>
        <w:t>y</w:t>
      </w:r>
      <w:r w:rsidR="00CC469E" w:rsidRPr="00426C24">
        <w:rPr>
          <w:lang w:eastAsia="en-AU"/>
        </w:rPr>
        <w:t xml:space="preserve">. </w:t>
      </w:r>
    </w:p>
    <w:p w:rsidR="00426C24" w:rsidRPr="00564E60" w:rsidRDefault="00426C24" w:rsidP="00564E60">
      <w:pPr>
        <w:spacing w:before="120" w:after="120"/>
        <w:ind w:left="-360"/>
        <w:textAlignment w:val="center"/>
        <w:rPr>
          <w:lang w:eastAsia="en-AU"/>
        </w:rPr>
      </w:pPr>
      <w:r w:rsidRPr="00426C24">
        <w:rPr>
          <w:lang w:eastAsia="en-AU"/>
        </w:rPr>
        <w:t xml:space="preserve">In fact, </w:t>
      </w:r>
      <w:r w:rsidR="00041FA2">
        <w:rPr>
          <w:lang w:eastAsia="en-AU"/>
        </w:rPr>
        <w:t xml:space="preserve">last year </w:t>
      </w:r>
      <w:r w:rsidR="00E22765">
        <w:rPr>
          <w:lang w:eastAsia="en-AU"/>
        </w:rPr>
        <w:t>over 5</w:t>
      </w:r>
      <w:r w:rsidRPr="00426C24">
        <w:rPr>
          <w:lang w:eastAsia="en-AU"/>
        </w:rPr>
        <w:t xml:space="preserve"> million </w:t>
      </w:r>
      <w:r w:rsidRPr="00564E60">
        <w:rPr>
          <w:lang w:eastAsia="en-AU"/>
        </w:rPr>
        <w:t xml:space="preserve">people checked our </w:t>
      </w:r>
      <w:r w:rsidR="00E22765" w:rsidRPr="00564E60">
        <w:rPr>
          <w:lang w:eastAsia="en-AU"/>
        </w:rPr>
        <w:t xml:space="preserve">Pay and Conditions Calculator - </w:t>
      </w:r>
      <w:r w:rsidRPr="00564E60">
        <w:rPr>
          <w:lang w:eastAsia="en-AU"/>
        </w:rPr>
        <w:t xml:space="preserve">PACT </w:t>
      </w:r>
      <w:r w:rsidR="00E22765" w:rsidRPr="00564E60">
        <w:rPr>
          <w:lang w:eastAsia="en-AU"/>
        </w:rPr>
        <w:t xml:space="preserve">- </w:t>
      </w:r>
      <w:r w:rsidRPr="00564E60">
        <w:rPr>
          <w:lang w:eastAsia="en-AU"/>
        </w:rPr>
        <w:t>and over 16</w:t>
      </w:r>
      <w:r w:rsidR="008C0207">
        <w:rPr>
          <w:lang w:eastAsia="en-AU"/>
        </w:rPr>
        <w:t> </w:t>
      </w:r>
      <w:r w:rsidRPr="00564E60">
        <w:rPr>
          <w:lang w:eastAsia="en-AU"/>
        </w:rPr>
        <w:t>million people checked our website. Are you</w:t>
      </w:r>
      <w:r w:rsidR="00AC2A9B" w:rsidRPr="00564E60">
        <w:rPr>
          <w:lang w:eastAsia="en-AU"/>
        </w:rPr>
        <w:t xml:space="preserve"> </w:t>
      </w:r>
      <w:r w:rsidRPr="00564E60">
        <w:rPr>
          <w:lang w:eastAsia="en-AU"/>
        </w:rPr>
        <w:t>one of them?</w:t>
      </w:r>
    </w:p>
    <w:p w:rsidR="00804A53" w:rsidRDefault="007144D8" w:rsidP="00804A53">
      <w:pPr>
        <w:spacing w:before="120" w:after="120"/>
        <w:ind w:left="-360"/>
        <w:textAlignment w:val="center"/>
        <w:rPr>
          <w:lang w:eastAsia="en-AU"/>
        </w:rPr>
      </w:pPr>
      <w:r w:rsidRPr="00564E60">
        <w:rPr>
          <w:lang w:eastAsia="en-AU"/>
        </w:rPr>
        <w:t>Our suite of online tools together provide</w:t>
      </w:r>
      <w:r w:rsidR="00721CED" w:rsidRPr="00564E60">
        <w:rPr>
          <w:lang w:eastAsia="en-AU"/>
        </w:rPr>
        <w:t>s</w:t>
      </w:r>
      <w:r w:rsidRPr="00564E60">
        <w:rPr>
          <w:lang w:eastAsia="en-AU"/>
        </w:rPr>
        <w:t xml:space="preserve"> </w:t>
      </w:r>
      <w:r w:rsidR="00721CED" w:rsidRPr="00564E60">
        <w:rPr>
          <w:lang w:eastAsia="en-AU"/>
        </w:rPr>
        <w:t>a</w:t>
      </w:r>
      <w:r w:rsidRPr="00564E60">
        <w:rPr>
          <w:lang w:eastAsia="en-AU"/>
        </w:rPr>
        <w:t xml:space="preserve"> complete set of information and support for single outlets or larger operations alike</w:t>
      </w:r>
      <w:r w:rsidR="0063211F" w:rsidRPr="00564E60">
        <w:rPr>
          <w:lang w:eastAsia="en-AU"/>
        </w:rPr>
        <w:t>.</w:t>
      </w:r>
    </w:p>
    <w:p w:rsidR="00804A53" w:rsidRDefault="00F77759" w:rsidP="00804A53">
      <w:pPr>
        <w:spacing w:before="120" w:after="120"/>
        <w:ind w:left="-360"/>
        <w:textAlignment w:val="center"/>
        <w:rPr>
          <w:lang w:eastAsia="en-AU"/>
        </w:rPr>
      </w:pPr>
      <w:r w:rsidRPr="00564E60">
        <w:rPr>
          <w:lang w:eastAsia="en-AU"/>
        </w:rPr>
        <w:t>Our online wage</w:t>
      </w:r>
      <w:r w:rsidR="00E22765" w:rsidRPr="00564E60">
        <w:rPr>
          <w:lang w:eastAsia="en-AU"/>
        </w:rPr>
        <w:t xml:space="preserve"> tool –</w:t>
      </w:r>
      <w:r w:rsidRPr="00564E60">
        <w:rPr>
          <w:lang w:eastAsia="en-AU"/>
        </w:rPr>
        <w:t xml:space="preserve"> PACT</w:t>
      </w:r>
      <w:r w:rsidR="00CC469E" w:rsidRPr="00564E60">
        <w:rPr>
          <w:lang w:eastAsia="en-AU"/>
        </w:rPr>
        <w:t xml:space="preserve"> </w:t>
      </w:r>
      <w:r w:rsidR="00866E0D" w:rsidRPr="00564E60">
        <w:rPr>
          <w:lang w:eastAsia="en-AU"/>
        </w:rPr>
        <w:t xml:space="preserve">– </w:t>
      </w:r>
      <w:r w:rsidR="0019506E" w:rsidRPr="00564E60">
        <w:rPr>
          <w:lang w:eastAsia="en-AU"/>
        </w:rPr>
        <w:t>allows users to calculate pay rates in modern awards</w:t>
      </w:r>
      <w:r w:rsidRPr="00564E60">
        <w:rPr>
          <w:lang w:eastAsia="en-AU"/>
        </w:rPr>
        <w:t>,</w:t>
      </w:r>
      <w:r w:rsidR="0019506E" w:rsidRPr="00564E60">
        <w:rPr>
          <w:lang w:eastAsia="en-AU"/>
        </w:rPr>
        <w:t xml:space="preserve"> leave</w:t>
      </w:r>
      <w:r w:rsidRPr="00564E60">
        <w:rPr>
          <w:lang w:eastAsia="en-AU"/>
        </w:rPr>
        <w:t xml:space="preserve"> entitlements</w:t>
      </w:r>
      <w:r w:rsidR="0019506E" w:rsidRPr="00564E60">
        <w:rPr>
          <w:lang w:eastAsia="en-AU"/>
        </w:rPr>
        <w:t xml:space="preserve"> and notice</w:t>
      </w:r>
      <w:r w:rsidRPr="00564E60">
        <w:rPr>
          <w:lang w:eastAsia="en-AU"/>
        </w:rPr>
        <w:t xml:space="preserve"> requirements,</w:t>
      </w:r>
      <w:r w:rsidR="0019506E" w:rsidRPr="00564E60">
        <w:rPr>
          <w:lang w:eastAsia="en-AU"/>
        </w:rPr>
        <w:t xml:space="preserve"> by answering a few s</w:t>
      </w:r>
      <w:r w:rsidRPr="00564E60">
        <w:rPr>
          <w:lang w:eastAsia="en-AU"/>
        </w:rPr>
        <w:t xml:space="preserve">imple questions. This is the most basic form of checking </w:t>
      </w:r>
      <w:r w:rsidR="00AC2A9B" w:rsidRPr="00564E60">
        <w:rPr>
          <w:lang w:eastAsia="en-AU"/>
        </w:rPr>
        <w:t xml:space="preserve">workplace </w:t>
      </w:r>
      <w:r w:rsidRPr="00564E60">
        <w:rPr>
          <w:lang w:eastAsia="en-AU"/>
        </w:rPr>
        <w:t>obligations</w:t>
      </w:r>
      <w:r w:rsidR="00ED0E24" w:rsidRPr="00564E60">
        <w:rPr>
          <w:lang w:eastAsia="en-AU"/>
        </w:rPr>
        <w:t>,</w:t>
      </w:r>
      <w:r w:rsidRPr="00564E60">
        <w:rPr>
          <w:lang w:eastAsia="en-AU"/>
        </w:rPr>
        <w:t xml:space="preserve"> and it’s always up to date. </w:t>
      </w:r>
    </w:p>
    <w:p w:rsidR="00804A53" w:rsidRDefault="00F77759" w:rsidP="00804A53">
      <w:pPr>
        <w:spacing w:before="120" w:after="120"/>
        <w:ind w:left="-360"/>
        <w:textAlignment w:val="center"/>
        <w:rPr>
          <w:lang w:eastAsia="en-AU"/>
        </w:rPr>
      </w:pPr>
      <w:r w:rsidRPr="00564E60">
        <w:rPr>
          <w:lang w:eastAsia="en-AU"/>
        </w:rPr>
        <w:t>We</w:t>
      </w:r>
      <w:r w:rsidR="00426C24" w:rsidRPr="00564E60">
        <w:rPr>
          <w:lang w:eastAsia="en-AU"/>
        </w:rPr>
        <w:t xml:space="preserve"> </w:t>
      </w:r>
      <w:r w:rsidRPr="00564E60">
        <w:rPr>
          <w:lang w:eastAsia="en-AU"/>
        </w:rPr>
        <w:t>have a number of freely available guides</w:t>
      </w:r>
      <w:r w:rsidR="00CA7CAC" w:rsidRPr="00564E60">
        <w:rPr>
          <w:lang w:eastAsia="en-AU"/>
        </w:rPr>
        <w:t xml:space="preserve"> and templates</w:t>
      </w:r>
      <w:r w:rsidRPr="00564E60">
        <w:rPr>
          <w:lang w:eastAsia="en-AU"/>
        </w:rPr>
        <w:t>. This includes</w:t>
      </w:r>
      <w:r w:rsidR="00426C24" w:rsidRPr="00564E60">
        <w:rPr>
          <w:lang w:eastAsia="en-AU"/>
        </w:rPr>
        <w:t xml:space="preserve"> advice on</w:t>
      </w:r>
      <w:r w:rsidR="00B97926" w:rsidRPr="00564E60">
        <w:rPr>
          <w:lang w:eastAsia="en-AU"/>
        </w:rPr>
        <w:t xml:space="preserve"> employer</w:t>
      </w:r>
      <w:r w:rsidR="00426C24" w:rsidRPr="00564E60">
        <w:rPr>
          <w:lang w:eastAsia="en-AU"/>
        </w:rPr>
        <w:t xml:space="preserve"> pay-slip</w:t>
      </w:r>
      <w:r w:rsidRPr="00564E60">
        <w:rPr>
          <w:lang w:eastAsia="en-AU"/>
        </w:rPr>
        <w:t xml:space="preserve"> and time-and-wage records</w:t>
      </w:r>
      <w:r w:rsidR="00B97926" w:rsidRPr="00564E60">
        <w:rPr>
          <w:lang w:eastAsia="en-AU"/>
        </w:rPr>
        <w:t xml:space="preserve"> </w:t>
      </w:r>
      <w:r w:rsidR="00CA7CAC" w:rsidRPr="00564E60">
        <w:rPr>
          <w:lang w:eastAsia="en-AU"/>
        </w:rPr>
        <w:t>obligations</w:t>
      </w:r>
      <w:r w:rsidR="007144D8" w:rsidRPr="00564E60">
        <w:rPr>
          <w:lang w:eastAsia="en-AU"/>
        </w:rPr>
        <w:t>.</w:t>
      </w:r>
      <w:r w:rsidR="00CA7CAC" w:rsidRPr="00564E60">
        <w:rPr>
          <w:lang w:eastAsia="en-AU"/>
        </w:rPr>
        <w:t xml:space="preserve"> </w:t>
      </w:r>
    </w:p>
    <w:p w:rsidR="00804A53" w:rsidRDefault="007144D8" w:rsidP="00804A53">
      <w:pPr>
        <w:spacing w:before="120" w:after="120"/>
        <w:ind w:left="-360"/>
        <w:textAlignment w:val="center"/>
        <w:rPr>
          <w:lang w:eastAsia="en-AU"/>
        </w:rPr>
      </w:pPr>
      <w:r w:rsidRPr="00564E60">
        <w:rPr>
          <w:lang w:eastAsia="en-AU"/>
        </w:rPr>
        <w:t>T</w:t>
      </w:r>
      <w:r w:rsidR="00B97926" w:rsidRPr="00564E60">
        <w:rPr>
          <w:lang w:eastAsia="en-AU"/>
        </w:rPr>
        <w:t xml:space="preserve">hrough our </w:t>
      </w:r>
      <w:r w:rsidRPr="00564E60">
        <w:rPr>
          <w:lang w:eastAsia="en-AU"/>
        </w:rPr>
        <w:t xml:space="preserve">online authenticated space </w:t>
      </w:r>
      <w:r w:rsidR="00B97926" w:rsidRPr="00564E60">
        <w:rPr>
          <w:lang w:eastAsia="en-AU"/>
        </w:rPr>
        <w:t xml:space="preserve">My Account </w:t>
      </w:r>
      <w:r w:rsidR="00B97926" w:rsidRPr="00564E60">
        <w:rPr>
          <w:rFonts w:ascii="Calibri" w:hAnsi="Calibri" w:cs="Calibri"/>
        </w:rPr>
        <w:t xml:space="preserve">users can stay up to date with workplace relations information, including signing up to automatic email alerts to changes in awards and pay rates. </w:t>
      </w:r>
      <w:r w:rsidR="00B97926" w:rsidRPr="00564E60">
        <w:rPr>
          <w:lang w:eastAsia="en-AU"/>
        </w:rPr>
        <w:t>I</w:t>
      </w:r>
      <w:r w:rsidR="005C6268" w:rsidRPr="00564E60">
        <w:rPr>
          <w:lang w:eastAsia="en-AU"/>
        </w:rPr>
        <w:t xml:space="preserve">f you are supporting others to comply it is the perfect way to ensure they remain up to date and have a pathway into </w:t>
      </w:r>
      <w:r w:rsidR="00F65510" w:rsidRPr="00564E60">
        <w:rPr>
          <w:lang w:eastAsia="en-AU"/>
        </w:rPr>
        <w:t xml:space="preserve">the </w:t>
      </w:r>
      <w:r w:rsidR="005C6268" w:rsidRPr="00564E60">
        <w:rPr>
          <w:lang w:eastAsia="en-AU"/>
        </w:rPr>
        <w:t>F</w:t>
      </w:r>
      <w:r w:rsidR="00F65510" w:rsidRPr="00564E60">
        <w:rPr>
          <w:lang w:eastAsia="en-AU"/>
        </w:rPr>
        <w:t xml:space="preserve">air </w:t>
      </w:r>
      <w:r w:rsidR="005C6268" w:rsidRPr="00564E60">
        <w:rPr>
          <w:lang w:eastAsia="en-AU"/>
        </w:rPr>
        <w:t>W</w:t>
      </w:r>
      <w:r w:rsidR="00F65510" w:rsidRPr="00564E60">
        <w:rPr>
          <w:lang w:eastAsia="en-AU"/>
        </w:rPr>
        <w:t xml:space="preserve">ork </w:t>
      </w:r>
      <w:r w:rsidR="005C6268" w:rsidRPr="00564E60">
        <w:rPr>
          <w:lang w:eastAsia="en-AU"/>
        </w:rPr>
        <w:t>O</w:t>
      </w:r>
      <w:r w:rsidR="00F65510" w:rsidRPr="00564E60">
        <w:rPr>
          <w:lang w:eastAsia="en-AU"/>
        </w:rPr>
        <w:t>mbudsman</w:t>
      </w:r>
      <w:r w:rsidR="005C6268" w:rsidRPr="00564E60">
        <w:rPr>
          <w:lang w:eastAsia="en-AU"/>
        </w:rPr>
        <w:t xml:space="preserve"> to get the right advice – we commonly require people to sign up as part of our Compliance Partnerships and EUs</w:t>
      </w:r>
      <w:r w:rsidR="00426C24" w:rsidRPr="00564E60">
        <w:rPr>
          <w:lang w:eastAsia="en-AU"/>
        </w:rPr>
        <w:t>.</w:t>
      </w:r>
    </w:p>
    <w:p w:rsidR="005C6268" w:rsidRPr="00804A53" w:rsidRDefault="009645A6" w:rsidP="00804A53">
      <w:pPr>
        <w:spacing w:before="120" w:after="120"/>
        <w:ind w:left="-360"/>
        <w:textAlignment w:val="center"/>
        <w:rPr>
          <w:lang w:eastAsia="en-AU"/>
        </w:rPr>
      </w:pPr>
      <w:r w:rsidRPr="00564E60">
        <w:rPr>
          <w:lang w:eastAsia="en-AU"/>
        </w:rPr>
        <w:t xml:space="preserve">On 4 May 2017 we released </w:t>
      </w:r>
      <w:r w:rsidR="007144D8" w:rsidRPr="00564E60">
        <w:rPr>
          <w:lang w:eastAsia="en-AU"/>
        </w:rPr>
        <w:t xml:space="preserve">our Labour Supply Chain guidance - </w:t>
      </w:r>
      <w:r w:rsidRPr="00564E60">
        <w:rPr>
          <w:lang w:val="en" w:eastAsia="en-AU"/>
        </w:rPr>
        <w:t>four new practical guides to help businesses monitor and manage their contract arrangements</w:t>
      </w:r>
      <w:r w:rsidRPr="00EC0818">
        <w:rPr>
          <w:lang w:val="en" w:eastAsia="en-AU"/>
        </w:rPr>
        <w:t xml:space="preserve"> to make sure every single worker in their </w:t>
      </w:r>
      <w:r w:rsidRPr="00231EF8">
        <w:rPr>
          <w:lang w:eastAsia="en-AU"/>
        </w:rPr>
        <w:t>contracting</w:t>
      </w:r>
      <w:r w:rsidRPr="00EC0818">
        <w:rPr>
          <w:lang w:val="en" w:eastAsia="en-AU"/>
        </w:rPr>
        <w:t xml:space="preserve"> networks is being paid fairly and appropriately. They were developed in consultation with experts and stakeholders, such as the Franchising Council of Australia.</w:t>
      </w:r>
      <w:r w:rsidR="005C6268" w:rsidRPr="00EC0818">
        <w:rPr>
          <w:lang w:eastAsia="en-AU"/>
        </w:rPr>
        <w:t xml:space="preserve"> </w:t>
      </w:r>
    </w:p>
    <w:p w:rsidR="002752C2" w:rsidRDefault="005C6268" w:rsidP="00804A53">
      <w:pPr>
        <w:spacing w:before="120" w:after="120"/>
        <w:ind w:left="-360"/>
        <w:textAlignment w:val="center"/>
        <w:rPr>
          <w:lang w:eastAsia="en-AU"/>
        </w:rPr>
      </w:pPr>
      <w:r>
        <w:rPr>
          <w:lang w:eastAsia="en-AU"/>
        </w:rPr>
        <w:t>If you are operating a larger business</w:t>
      </w:r>
      <w:r w:rsidR="00041FA2">
        <w:rPr>
          <w:lang w:eastAsia="en-AU"/>
        </w:rPr>
        <w:t>,</w:t>
      </w:r>
      <w:r>
        <w:rPr>
          <w:lang w:eastAsia="en-AU"/>
        </w:rPr>
        <w:t xml:space="preserve"> which includes a number of outlets run by third parties, such as a franchise or commission agent model, you may wish to consider a partnership with </w:t>
      </w:r>
      <w:r w:rsidR="00F65510">
        <w:rPr>
          <w:lang w:eastAsia="en-AU"/>
        </w:rPr>
        <w:t>my agency</w:t>
      </w:r>
      <w:r>
        <w:rPr>
          <w:lang w:eastAsia="en-AU"/>
        </w:rPr>
        <w:t xml:space="preserve">. A compliance partnership </w:t>
      </w:r>
      <w:r w:rsidR="007144D8">
        <w:rPr>
          <w:lang w:eastAsia="en-AU"/>
        </w:rPr>
        <w:t xml:space="preserve">is an agreement with us that </w:t>
      </w:r>
      <w:r>
        <w:rPr>
          <w:lang w:eastAsia="en-AU"/>
        </w:rPr>
        <w:t>includes a set of practices that are tailored to your business</w:t>
      </w:r>
      <w:r w:rsidR="007144D8">
        <w:rPr>
          <w:lang w:eastAsia="en-AU"/>
        </w:rPr>
        <w:t>. They provide a framework for you to</w:t>
      </w:r>
      <w:r w:rsidR="00866E0D">
        <w:rPr>
          <w:lang w:eastAsia="en-AU"/>
        </w:rPr>
        <w:t xml:space="preserve"> </w:t>
      </w:r>
      <w:r>
        <w:rPr>
          <w:lang w:eastAsia="en-AU"/>
        </w:rPr>
        <w:t xml:space="preserve">provide outlets with the right combination of support and accountability to ensure they are equipped to get compliance with work laws right. </w:t>
      </w:r>
      <w:r w:rsidR="007144D8">
        <w:rPr>
          <w:lang w:eastAsia="en-AU"/>
        </w:rPr>
        <w:t xml:space="preserve">Entering into a </w:t>
      </w:r>
      <w:r w:rsidR="00804A53">
        <w:rPr>
          <w:lang w:eastAsia="en-AU"/>
        </w:rPr>
        <w:t xml:space="preserve">Compliance </w:t>
      </w:r>
      <w:r w:rsidR="007144D8">
        <w:rPr>
          <w:lang w:eastAsia="en-AU"/>
        </w:rPr>
        <w:t>Partnership demonstrate</w:t>
      </w:r>
      <w:r w:rsidR="00721CED">
        <w:rPr>
          <w:lang w:eastAsia="en-AU"/>
        </w:rPr>
        <w:t>s</w:t>
      </w:r>
      <w:r w:rsidR="007144D8">
        <w:rPr>
          <w:lang w:eastAsia="en-AU"/>
        </w:rPr>
        <w:t xml:space="preserve"> t</w:t>
      </w:r>
      <w:r w:rsidR="00866E0D">
        <w:rPr>
          <w:lang w:eastAsia="en-AU"/>
        </w:rPr>
        <w:t>o us and the community that you</w:t>
      </w:r>
      <w:r w:rsidR="007144D8">
        <w:rPr>
          <w:lang w:eastAsia="en-AU"/>
        </w:rPr>
        <w:t xml:space="preserve"> are serious about compliance with workplace laws. </w:t>
      </w:r>
    </w:p>
    <w:p w:rsidR="002F2673" w:rsidRDefault="007144D8" w:rsidP="00564E60">
      <w:pPr>
        <w:spacing w:before="120" w:after="120"/>
        <w:ind w:left="-360"/>
        <w:textAlignment w:val="center"/>
        <w:rPr>
          <w:lang w:eastAsia="en-AU"/>
        </w:rPr>
      </w:pPr>
      <w:r>
        <w:rPr>
          <w:lang w:eastAsia="en-AU"/>
        </w:rPr>
        <w:t xml:space="preserve">We have entered into </w:t>
      </w:r>
      <w:r w:rsidR="00804A53">
        <w:rPr>
          <w:lang w:eastAsia="en-AU"/>
        </w:rPr>
        <w:t xml:space="preserve">Compliance </w:t>
      </w:r>
      <w:r>
        <w:rPr>
          <w:lang w:eastAsia="en-AU"/>
        </w:rPr>
        <w:t xml:space="preserve">Partnerships </w:t>
      </w:r>
      <w:r w:rsidR="005C6268">
        <w:rPr>
          <w:lang w:eastAsia="en-AU"/>
        </w:rPr>
        <w:t>with a range of franchises, some of which came to us after problems were identified</w:t>
      </w:r>
      <w:r w:rsidR="00CC469E">
        <w:rPr>
          <w:lang w:eastAsia="en-AU"/>
        </w:rPr>
        <w:t>,</w:t>
      </w:r>
      <w:r w:rsidR="005C6268">
        <w:rPr>
          <w:lang w:eastAsia="en-AU"/>
        </w:rPr>
        <w:t xml:space="preserve"> like 7-Eleven, and others which wanted to get ahead of the game and put in place practices to prevent underpayments arising</w:t>
      </w:r>
      <w:r w:rsidR="00CC469E">
        <w:rPr>
          <w:lang w:eastAsia="en-AU"/>
        </w:rPr>
        <w:t xml:space="preserve"> in the first place.</w:t>
      </w:r>
    </w:p>
    <w:p w:rsidR="00542EE3" w:rsidRPr="00B67187" w:rsidRDefault="001C553E" w:rsidP="00564E60">
      <w:pPr>
        <w:spacing w:before="120" w:after="120"/>
        <w:ind w:left="-360"/>
        <w:textAlignment w:val="center"/>
        <w:rPr>
          <w:lang w:eastAsia="en-AU"/>
        </w:rPr>
      </w:pPr>
      <w:r>
        <w:rPr>
          <w:lang w:eastAsia="en-AU"/>
        </w:rPr>
        <w:lastRenderedPageBreak/>
        <w:t>And we will be working with the business sector to support you to get it right.</w:t>
      </w:r>
      <w:r w:rsidR="00542EE3" w:rsidRPr="00223724">
        <w:rPr>
          <w:lang w:eastAsia="en-AU"/>
        </w:rPr>
        <w:t xml:space="preserve"> </w:t>
      </w:r>
      <w:r>
        <w:rPr>
          <w:lang w:eastAsia="en-AU"/>
        </w:rPr>
        <w:t>We will be holding a</w:t>
      </w:r>
      <w:r w:rsidR="00542EE3" w:rsidRPr="00223724">
        <w:rPr>
          <w:lang w:eastAsia="en-AU"/>
        </w:rPr>
        <w:t xml:space="preserve"> round</w:t>
      </w:r>
      <w:r w:rsidR="00CC469E">
        <w:rPr>
          <w:lang w:eastAsia="en-AU"/>
        </w:rPr>
        <w:t>-</w:t>
      </w:r>
      <w:r w:rsidR="00542EE3" w:rsidRPr="00223724">
        <w:rPr>
          <w:lang w:eastAsia="en-AU"/>
        </w:rPr>
        <w:t xml:space="preserve">table </w:t>
      </w:r>
      <w:r>
        <w:rPr>
          <w:lang w:eastAsia="en-AU"/>
        </w:rPr>
        <w:t xml:space="preserve">with industry next month </w:t>
      </w:r>
      <w:r w:rsidR="00542EE3" w:rsidRPr="00223724">
        <w:rPr>
          <w:lang w:eastAsia="en-AU"/>
        </w:rPr>
        <w:t xml:space="preserve">to discuss the </w:t>
      </w:r>
      <w:r w:rsidR="00622480">
        <w:rPr>
          <w:lang w:eastAsia="en-AU"/>
        </w:rPr>
        <w:t xml:space="preserve">new </w:t>
      </w:r>
      <w:r w:rsidR="00542EE3" w:rsidRPr="00223724">
        <w:rPr>
          <w:lang w:eastAsia="en-AU"/>
        </w:rPr>
        <w:t>franchising laws. Our priority in this early stage is to ensure that you understand and can apply the</w:t>
      </w:r>
      <w:r w:rsidR="00542EE3">
        <w:rPr>
          <w:lang w:eastAsia="en-AU"/>
        </w:rPr>
        <w:t xml:space="preserve">se provisions </w:t>
      </w:r>
      <w:r w:rsidR="00542EE3" w:rsidRPr="00223724">
        <w:rPr>
          <w:lang w:eastAsia="en-AU"/>
        </w:rPr>
        <w:t xml:space="preserve">when they commence in about 6 weeks’ time. </w:t>
      </w:r>
      <w:r w:rsidR="00542EE3" w:rsidRPr="00223724">
        <w:rPr>
          <w:lang w:val="en" w:eastAsia="en-AU"/>
        </w:rPr>
        <w:t xml:space="preserve">We have invited </w:t>
      </w:r>
      <w:r w:rsidR="00804A53">
        <w:rPr>
          <w:lang w:val="en" w:eastAsia="en-AU"/>
        </w:rPr>
        <w:t xml:space="preserve">representatives </w:t>
      </w:r>
      <w:r w:rsidR="00804A53" w:rsidRPr="00804A53">
        <w:rPr>
          <w:lang w:val="en" w:eastAsia="en-AU"/>
        </w:rPr>
        <w:t xml:space="preserve">from </w:t>
      </w:r>
      <w:r w:rsidR="00804A53" w:rsidRPr="00804A53">
        <w:rPr>
          <w:lang w:eastAsia="en-AU"/>
        </w:rPr>
        <w:t>Australasian Convenience and Petroleum Marketers Association</w:t>
      </w:r>
      <w:r w:rsidR="00804A53" w:rsidRPr="00804A53">
        <w:rPr>
          <w:lang w:val="en" w:eastAsia="en-AU"/>
        </w:rPr>
        <w:t xml:space="preserve"> </w:t>
      </w:r>
      <w:r w:rsidR="00542EE3" w:rsidRPr="00804A53">
        <w:rPr>
          <w:lang w:val="en" w:eastAsia="en-AU"/>
        </w:rPr>
        <w:t>to the round-table</w:t>
      </w:r>
      <w:r w:rsidR="00804A53">
        <w:rPr>
          <w:lang w:val="en" w:eastAsia="en-AU"/>
        </w:rPr>
        <w:t>,</w:t>
      </w:r>
      <w:r w:rsidR="00542EE3" w:rsidRPr="00804A53">
        <w:rPr>
          <w:lang w:val="en" w:eastAsia="en-AU"/>
        </w:rPr>
        <w:t xml:space="preserve"> and </w:t>
      </w:r>
      <w:r w:rsidR="00622480" w:rsidRPr="00804A53">
        <w:rPr>
          <w:lang w:val="en" w:eastAsia="en-AU"/>
        </w:rPr>
        <w:t xml:space="preserve">I </w:t>
      </w:r>
      <w:r w:rsidR="00E2269D" w:rsidRPr="00804A53">
        <w:rPr>
          <w:lang w:val="en" w:eastAsia="en-AU"/>
        </w:rPr>
        <w:t>am sure</w:t>
      </w:r>
      <w:r w:rsidR="00E2269D" w:rsidRPr="00223724">
        <w:rPr>
          <w:lang w:val="en" w:eastAsia="en-AU"/>
        </w:rPr>
        <w:t xml:space="preserve"> </w:t>
      </w:r>
      <w:r w:rsidR="00542EE3" w:rsidRPr="00223724">
        <w:rPr>
          <w:lang w:val="en" w:eastAsia="en-AU"/>
        </w:rPr>
        <w:t xml:space="preserve">the outcomes </w:t>
      </w:r>
      <w:r w:rsidR="00E2269D">
        <w:rPr>
          <w:lang w:val="en" w:eastAsia="en-AU"/>
        </w:rPr>
        <w:t>will be</w:t>
      </w:r>
      <w:r w:rsidR="00E2269D" w:rsidRPr="00223724">
        <w:rPr>
          <w:lang w:val="en" w:eastAsia="en-AU"/>
        </w:rPr>
        <w:t xml:space="preserve"> </w:t>
      </w:r>
      <w:r w:rsidR="00542EE3" w:rsidRPr="00223724">
        <w:rPr>
          <w:lang w:val="en" w:eastAsia="en-AU"/>
        </w:rPr>
        <w:t xml:space="preserve">fed back to members. </w:t>
      </w:r>
    </w:p>
    <w:p w:rsidR="00542EE3" w:rsidRDefault="001C553E" w:rsidP="00564E60">
      <w:pPr>
        <w:spacing w:before="120" w:after="120"/>
        <w:ind w:left="-360"/>
        <w:textAlignment w:val="center"/>
        <w:rPr>
          <w:lang w:eastAsia="en-AU"/>
        </w:rPr>
      </w:pPr>
      <w:r>
        <w:rPr>
          <w:lang w:eastAsia="en-AU"/>
        </w:rPr>
        <w:t xml:space="preserve">In the meantime, you may be </w:t>
      </w:r>
      <w:r w:rsidR="00542EE3">
        <w:rPr>
          <w:lang w:eastAsia="en-AU"/>
        </w:rPr>
        <w:t xml:space="preserve">wondering what is going to be happening at the “pointy end”; what impact will the new laws have on our approach to enforcement? </w:t>
      </w:r>
    </w:p>
    <w:p w:rsidR="00542EE3" w:rsidRDefault="00542EE3" w:rsidP="00564E60">
      <w:pPr>
        <w:spacing w:before="120" w:after="120"/>
        <w:ind w:left="-360"/>
        <w:textAlignment w:val="center"/>
        <w:rPr>
          <w:lang w:eastAsia="en-AU"/>
        </w:rPr>
      </w:pPr>
      <w:r>
        <w:rPr>
          <w:lang w:eastAsia="en-AU"/>
        </w:rPr>
        <w:t xml:space="preserve">We will enforce the new laws in the same way as we approach all our work, in a </w:t>
      </w:r>
      <w:r w:rsidR="001C553E">
        <w:rPr>
          <w:lang w:eastAsia="en-AU"/>
        </w:rPr>
        <w:t>balanced</w:t>
      </w:r>
      <w:r>
        <w:rPr>
          <w:lang w:eastAsia="en-AU"/>
        </w:rPr>
        <w:t>, evidence-led manner</w:t>
      </w:r>
      <w:r w:rsidR="001C553E">
        <w:rPr>
          <w:lang w:eastAsia="en-AU"/>
        </w:rPr>
        <w:t xml:space="preserve"> that considers the circumstances of the case</w:t>
      </w:r>
      <w:r w:rsidR="00231EF8">
        <w:rPr>
          <w:lang w:eastAsia="en-AU"/>
        </w:rPr>
        <w:t>.</w:t>
      </w:r>
    </w:p>
    <w:p w:rsidR="00791489" w:rsidRDefault="00542EE3" w:rsidP="00564E60">
      <w:pPr>
        <w:spacing w:before="120" w:after="120"/>
        <w:ind w:left="-360"/>
        <w:textAlignment w:val="center"/>
      </w:pPr>
      <w:r>
        <w:rPr>
          <w:lang w:eastAsia="en-AU"/>
        </w:rPr>
        <w:t xml:space="preserve">We don’t ‘prosecute’ oversights or errors made when </w:t>
      </w:r>
      <w:r w:rsidR="007144D8">
        <w:rPr>
          <w:lang w:eastAsia="en-AU"/>
        </w:rPr>
        <w:t xml:space="preserve">an employer has made </w:t>
      </w:r>
      <w:r>
        <w:rPr>
          <w:lang w:eastAsia="en-AU"/>
        </w:rPr>
        <w:t xml:space="preserve">a reasonable effort </w:t>
      </w:r>
      <w:r w:rsidR="001C553E">
        <w:rPr>
          <w:lang w:eastAsia="en-AU"/>
        </w:rPr>
        <w:t>to get it right</w:t>
      </w:r>
      <w:r>
        <w:rPr>
          <w:lang w:eastAsia="en-AU"/>
        </w:rPr>
        <w:t xml:space="preserve">. </w:t>
      </w:r>
      <w:r w:rsidR="001C553E">
        <w:t>W</w:t>
      </w:r>
      <w:r w:rsidRPr="00060FBC">
        <w:t>hat you read about in the papers is</w:t>
      </w:r>
      <w:r w:rsidR="007144D8">
        <w:t xml:space="preserve"> about the</w:t>
      </w:r>
      <w:r w:rsidRPr="00060FBC">
        <w:t xml:space="preserve"> worst behaviour</w:t>
      </w:r>
      <w:r w:rsidR="001C553E">
        <w:t xml:space="preserve"> we see</w:t>
      </w:r>
      <w:r w:rsidR="007144D8">
        <w:t>, warranting the most serious response</w:t>
      </w:r>
      <w:r w:rsidRPr="00060FBC">
        <w:t>.</w:t>
      </w:r>
      <w:r w:rsidR="001C553E">
        <w:t xml:space="preserve"> It does not reflect most employers’ conduct. Most employers are making an effort to navigate our complex system and seeking advice</w:t>
      </w:r>
      <w:r w:rsidR="007144D8">
        <w:t xml:space="preserve">, hopefully from someone qualified to give it </w:t>
      </w:r>
      <w:r w:rsidR="001C553E">
        <w:t xml:space="preserve">about their </w:t>
      </w:r>
      <w:r w:rsidR="007144D8">
        <w:t xml:space="preserve">workplace </w:t>
      </w:r>
      <w:r w:rsidR="001C553E">
        <w:t>obligations.</w:t>
      </w:r>
    </w:p>
    <w:p w:rsidR="00791489" w:rsidRDefault="001C553E" w:rsidP="00564E60">
      <w:pPr>
        <w:spacing w:before="120" w:after="120"/>
        <w:ind w:left="-360"/>
        <w:textAlignment w:val="center"/>
      </w:pPr>
      <w:r>
        <w:t>But for those who are doing the wrong thing</w:t>
      </w:r>
      <w:r w:rsidR="00041FA2">
        <w:t>,</w:t>
      </w:r>
      <w:r>
        <w:t xml:space="preserve"> and quite deliberately seeking to maximise their profits at the cost of their workers and their competitors, we will not hesitate to apply the full set of tools in our toolbox, including the new powers and penalties granted to us by the Parliament.</w:t>
      </w:r>
    </w:p>
    <w:p w:rsidR="006E2970" w:rsidRDefault="00804A53" w:rsidP="00564E60">
      <w:pPr>
        <w:spacing w:before="120" w:after="120"/>
        <w:ind w:left="-360"/>
        <w:textAlignment w:val="center"/>
        <w:rPr>
          <w:lang w:eastAsia="en-AU"/>
        </w:rPr>
      </w:pPr>
      <w:r>
        <w:t>As</w:t>
      </w:r>
      <w:r w:rsidR="001C553E">
        <w:t xml:space="preserve"> industry leaders, you are in a position to support people getting the information they need to </w:t>
      </w:r>
      <w:r w:rsidR="007144D8">
        <w:t xml:space="preserve">get it right </w:t>
      </w:r>
      <w:r w:rsidR="001C553E">
        <w:t xml:space="preserve">– </w:t>
      </w:r>
      <w:r w:rsidR="006E2970">
        <w:t>and to ensu</w:t>
      </w:r>
      <w:r w:rsidR="00231EF8">
        <w:t>r</w:t>
      </w:r>
      <w:r w:rsidR="006E2970">
        <w:t xml:space="preserve">e every branded outlet is complying with the law and no </w:t>
      </w:r>
      <w:r w:rsidR="007144D8">
        <w:t xml:space="preserve">business </w:t>
      </w:r>
      <w:r w:rsidR="006E2970">
        <w:t>is getting an unfair advantage by ripping of</w:t>
      </w:r>
      <w:r w:rsidR="00EE3046">
        <w:t>f</w:t>
      </w:r>
      <w:r w:rsidR="006E2970">
        <w:t xml:space="preserve"> their workers. </w:t>
      </w:r>
    </w:p>
    <w:p w:rsidR="006E2970" w:rsidRPr="00B35C6A" w:rsidRDefault="006E2970" w:rsidP="00564E60">
      <w:pPr>
        <w:spacing w:before="120" w:after="120"/>
        <w:ind w:left="-360"/>
        <w:textAlignment w:val="center"/>
        <w:rPr>
          <w:lang w:eastAsia="en-AU"/>
        </w:rPr>
      </w:pPr>
      <w:r>
        <w:t>I</w:t>
      </w:r>
      <w:r w:rsidRPr="00A7545D">
        <w:t xml:space="preserve">t is in your interest that </w:t>
      </w:r>
      <w:r>
        <w:t xml:space="preserve">the </w:t>
      </w:r>
      <w:r w:rsidRPr="00A7545D">
        <w:t>brand</w:t>
      </w:r>
      <w:r>
        <w:t xml:space="preserve"> behind your business</w:t>
      </w:r>
      <w:r w:rsidRPr="00A7545D">
        <w:t xml:space="preserve"> is </w:t>
      </w:r>
      <w:r>
        <w:t xml:space="preserve">perceived in the best light possible. You don’t want to run the risk that news of </w:t>
      </w:r>
      <w:r w:rsidR="00EE3046">
        <w:t xml:space="preserve">worker </w:t>
      </w:r>
      <w:r>
        <w:t xml:space="preserve">exploitation occurring in your </w:t>
      </w:r>
      <w:r w:rsidR="007144D8">
        <w:t>business</w:t>
      </w:r>
      <w:r w:rsidR="00E65F8B">
        <w:t xml:space="preserve"> is jamming up your twitter feed and</w:t>
      </w:r>
      <w:r w:rsidR="007144D8">
        <w:t xml:space="preserve"> </w:t>
      </w:r>
      <w:r>
        <w:t>becom</w:t>
      </w:r>
      <w:r w:rsidR="00E65F8B">
        <w:t>ing</w:t>
      </w:r>
      <w:r>
        <w:t xml:space="preserve"> the </w:t>
      </w:r>
      <w:r w:rsidR="00E65F8B">
        <w:t xml:space="preserve">latest </w:t>
      </w:r>
      <w:r>
        <w:t xml:space="preserve">watercooler conversation. </w:t>
      </w:r>
    </w:p>
    <w:p w:rsidR="00EE3046" w:rsidRDefault="001C553E" w:rsidP="00564E60">
      <w:pPr>
        <w:spacing w:before="120" w:after="120"/>
        <w:ind w:left="-360"/>
        <w:textAlignment w:val="center"/>
        <w:rPr>
          <w:lang w:eastAsia="en-AU"/>
        </w:rPr>
      </w:pPr>
      <w:r>
        <w:t xml:space="preserve">So I encourage you to consider where workplace relations regulation is sitting on your organisation’s </w:t>
      </w:r>
      <w:r w:rsidR="00A21F65">
        <w:t xml:space="preserve">risk </w:t>
      </w:r>
      <w:r>
        <w:t>matrix</w:t>
      </w:r>
      <w:r w:rsidR="00F65510">
        <w:t>,</w:t>
      </w:r>
      <w:r>
        <w:t xml:space="preserve"> and </w:t>
      </w:r>
      <w:r w:rsidR="00721CED">
        <w:t xml:space="preserve">to </w:t>
      </w:r>
      <w:r>
        <w:t xml:space="preserve">talk to </w:t>
      </w:r>
      <w:r w:rsidR="00721CED">
        <w:t xml:space="preserve">your </w:t>
      </w:r>
      <w:r>
        <w:t xml:space="preserve">employer organisation </w:t>
      </w:r>
      <w:r w:rsidR="00721CED">
        <w:t xml:space="preserve">and my </w:t>
      </w:r>
      <w:r w:rsidR="00F65510">
        <w:t>agency</w:t>
      </w:r>
      <w:r>
        <w:t xml:space="preserve"> about how we can work together to </w:t>
      </w:r>
      <w:r w:rsidR="006E2970">
        <w:t>ensure workers are paid correctly</w:t>
      </w:r>
      <w:r w:rsidR="00EE3046">
        <w:t xml:space="preserve">. </w:t>
      </w:r>
    </w:p>
    <w:p w:rsidR="001C553E" w:rsidRDefault="00EE3046" w:rsidP="00564E60">
      <w:pPr>
        <w:spacing w:before="120" w:after="120"/>
        <w:ind w:left="-360"/>
        <w:textAlignment w:val="center"/>
        <w:rPr>
          <w:lang w:eastAsia="en-AU"/>
        </w:rPr>
      </w:pPr>
      <w:r>
        <w:t>When compliance with laws becomes an industry wide effort, it allows for</w:t>
      </w:r>
      <w:r w:rsidR="006E2970">
        <w:t xml:space="preserve"> all those in the fuel retail sector </w:t>
      </w:r>
      <w:r>
        <w:t xml:space="preserve">to operate </w:t>
      </w:r>
      <w:r w:rsidR="006E2970">
        <w:t>on a level playing field.</w:t>
      </w:r>
    </w:p>
    <w:p w:rsidR="00542EE3" w:rsidRDefault="006E2970" w:rsidP="00791489">
      <w:pPr>
        <w:spacing w:before="120" w:after="120"/>
        <w:ind w:left="-360"/>
        <w:textAlignment w:val="center"/>
        <w:rPr>
          <w:lang w:eastAsia="en-AU"/>
        </w:rPr>
      </w:pPr>
      <w:r>
        <w:t>I look forward to partnering with industry to get the right information into the hands of workers and business to build a culture of compliance with workplace laws</w:t>
      </w:r>
      <w:r w:rsidR="003F0204">
        <w:t>.</w:t>
      </w:r>
      <w:r w:rsidR="00791489">
        <w:rPr>
          <w:lang w:eastAsia="en-AU"/>
        </w:rPr>
        <w:t xml:space="preserve"> </w:t>
      </w:r>
    </w:p>
    <w:p w:rsidR="00542EE3" w:rsidRDefault="00542EE3" w:rsidP="00542EE3">
      <w:pPr>
        <w:spacing w:before="120" w:after="120"/>
        <w:jc w:val="center"/>
        <w:textAlignment w:val="center"/>
        <w:rPr>
          <w:lang w:eastAsia="en-AU"/>
        </w:rPr>
      </w:pPr>
    </w:p>
    <w:sectPr w:rsidR="00542EE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D24" w:rsidRDefault="00041D24" w:rsidP="009A4DB5">
      <w:pPr>
        <w:spacing w:after="0" w:line="240" w:lineRule="auto"/>
      </w:pPr>
      <w:r>
        <w:separator/>
      </w:r>
    </w:p>
  </w:endnote>
  <w:endnote w:type="continuationSeparator" w:id="0">
    <w:p w:rsidR="00041D24" w:rsidRDefault="00041D24" w:rsidP="009A4DB5">
      <w:pPr>
        <w:spacing w:after="0" w:line="240" w:lineRule="auto"/>
      </w:pPr>
      <w:r>
        <w:continuationSeparator/>
      </w:r>
    </w:p>
  </w:endnote>
  <w:endnote w:type="continuationNotice" w:id="1">
    <w:p w:rsidR="00041D24" w:rsidRDefault="00041D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A7E" w:rsidRDefault="00B01A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EF8" w:rsidRPr="00B01A7E" w:rsidRDefault="00231EF8" w:rsidP="00B01A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A7E" w:rsidRDefault="00B01A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D24" w:rsidRDefault="00041D24" w:rsidP="009A4DB5">
      <w:pPr>
        <w:spacing w:after="0" w:line="240" w:lineRule="auto"/>
      </w:pPr>
      <w:r>
        <w:separator/>
      </w:r>
    </w:p>
  </w:footnote>
  <w:footnote w:type="continuationSeparator" w:id="0">
    <w:p w:rsidR="00041D24" w:rsidRDefault="00041D24" w:rsidP="009A4DB5">
      <w:pPr>
        <w:spacing w:after="0" w:line="240" w:lineRule="auto"/>
      </w:pPr>
      <w:r>
        <w:continuationSeparator/>
      </w:r>
    </w:p>
  </w:footnote>
  <w:footnote w:type="continuationNotice" w:id="1">
    <w:p w:rsidR="00041D24" w:rsidRDefault="00041D24">
      <w:pPr>
        <w:spacing w:after="0" w:line="240" w:lineRule="auto"/>
      </w:pPr>
    </w:p>
  </w:footnote>
  <w:footnote w:id="2">
    <w:p w:rsidR="00AF0E4D" w:rsidRPr="00AF0E4D" w:rsidRDefault="00AF0E4D">
      <w:pPr>
        <w:pStyle w:val="FootnoteText"/>
      </w:pPr>
      <w:r>
        <w:rPr>
          <w:rStyle w:val="FootnoteReference"/>
        </w:rPr>
        <w:footnoteRef/>
      </w:r>
      <w:r>
        <w:t xml:space="preserve"> The </w:t>
      </w:r>
      <w:r w:rsidR="007E4B90">
        <w:rPr>
          <w:i/>
        </w:rPr>
        <w:t>Fair Work Amendment (</w:t>
      </w:r>
      <w:r>
        <w:rPr>
          <w:i/>
        </w:rPr>
        <w:t>Protecting Vulnerable Workers</w:t>
      </w:r>
      <w:r w:rsidR="007E4B90">
        <w:rPr>
          <w:i/>
        </w:rPr>
        <w:t>)</w:t>
      </w:r>
      <w:r>
        <w:rPr>
          <w:i/>
        </w:rPr>
        <w:t xml:space="preserve"> Bill 2017 </w:t>
      </w:r>
      <w:r>
        <w:t>passed</w:t>
      </w:r>
      <w:r w:rsidR="007E4B90">
        <w:t xml:space="preserve"> both houses of Parliament on 5 </w:t>
      </w:r>
      <w:r>
        <w:t xml:space="preserve">September 2017 </w:t>
      </w:r>
      <w:r w:rsidR="008C0207">
        <w:t>but has not yet received</w:t>
      </w:r>
      <w:r>
        <w:t xml:space="preserve"> Royal Assent. </w:t>
      </w:r>
    </w:p>
  </w:footnote>
  <w:footnote w:id="3">
    <w:p w:rsidR="00E87713" w:rsidRDefault="00E87713">
      <w:pPr>
        <w:pStyle w:val="FootnoteText"/>
      </w:pPr>
      <w:r>
        <w:rPr>
          <w:rStyle w:val="FootnoteReference"/>
        </w:rPr>
        <w:footnoteRef/>
      </w:r>
      <w:r>
        <w:t xml:space="preserve"> Australian Bureau of Statistics, Labour Force Survey, Australia, June 2017.</w:t>
      </w:r>
    </w:p>
  </w:footnote>
  <w:footnote w:id="4">
    <w:p w:rsidR="00160426" w:rsidRDefault="00160426">
      <w:pPr>
        <w:pStyle w:val="FootnoteText"/>
      </w:pPr>
      <w:r>
        <w:rPr>
          <w:rStyle w:val="FootnoteReference"/>
        </w:rPr>
        <w:footnoteRef/>
      </w:r>
      <w:r>
        <w:t xml:space="preserve"> Australian Bureau of Statistics, Labour Force Survey, Australia, June 2017.</w:t>
      </w:r>
    </w:p>
  </w:footnote>
  <w:footnote w:id="5">
    <w:p w:rsidR="00FA0229" w:rsidRDefault="00FA0229">
      <w:pPr>
        <w:pStyle w:val="FootnoteText"/>
      </w:pPr>
      <w:r>
        <w:rPr>
          <w:rStyle w:val="FootnoteReference"/>
        </w:rPr>
        <w:footnoteRef/>
      </w:r>
      <w:r>
        <w:t xml:space="preserve"> For further information, see the </w:t>
      </w:r>
      <w:proofErr w:type="spellStart"/>
      <w:r>
        <w:t>FWO’s</w:t>
      </w:r>
      <w:proofErr w:type="spellEnd"/>
      <w:r>
        <w:t xml:space="preserve"> Inquiry Report ‘</w:t>
      </w:r>
      <w:hyperlink r:id="rId1" w:anchor="7-11" w:history="1">
        <w:r w:rsidRPr="00FA0229">
          <w:rPr>
            <w:rStyle w:val="Hyperlink"/>
          </w:rPr>
          <w:t>Identifying and Addressing the Drivers of Non-Compliance in the 7-Eleven Network’</w:t>
        </w:r>
      </w:hyperlink>
      <w:r>
        <w:t>.</w:t>
      </w:r>
    </w:p>
  </w:footnote>
  <w:footnote w:id="6">
    <w:p w:rsidR="005257EE" w:rsidRPr="009645A6" w:rsidRDefault="005257EE" w:rsidP="005257EE">
      <w:pPr>
        <w:spacing w:before="120" w:after="120"/>
        <w:textAlignment w:val="center"/>
        <w:rPr>
          <w:sz w:val="20"/>
          <w:szCs w:val="20"/>
        </w:rPr>
      </w:pPr>
      <w:r w:rsidRPr="009645A6">
        <w:rPr>
          <w:rStyle w:val="FootnoteReference"/>
          <w:sz w:val="20"/>
          <w:szCs w:val="20"/>
        </w:rPr>
        <w:footnoteRef/>
      </w:r>
      <w:r w:rsidRPr="009645A6">
        <w:rPr>
          <w:sz w:val="20"/>
          <w:szCs w:val="20"/>
        </w:rPr>
        <w:t xml:space="preserve"> L</w:t>
      </w:r>
      <w:r w:rsidRPr="009645A6">
        <w:rPr>
          <w:sz w:val="20"/>
          <w:szCs w:val="20"/>
          <w:lang w:eastAsia="en-AU"/>
        </w:rPr>
        <w:t xml:space="preserve">ast year, a court found that </w:t>
      </w:r>
      <w:proofErr w:type="gramStart"/>
      <w:r w:rsidRPr="009645A6">
        <w:rPr>
          <w:sz w:val="20"/>
          <w:szCs w:val="20"/>
          <w:lang w:eastAsia="en-AU"/>
        </w:rPr>
        <w:t>a 7-Eleven franchisee</w:t>
      </w:r>
      <w:proofErr w:type="gramEnd"/>
      <w:r w:rsidRPr="009645A6">
        <w:rPr>
          <w:sz w:val="20"/>
          <w:szCs w:val="20"/>
          <w:lang w:eastAsia="en-AU"/>
        </w:rPr>
        <w:t xml:space="preserve"> had underpaid two console operators nearly $50,000 and falsified its employment records. </w:t>
      </w:r>
      <w:r w:rsidRPr="009645A6">
        <w:rPr>
          <w:sz w:val="20"/>
          <w:szCs w:val="20"/>
          <w:lang w:val="en"/>
        </w:rPr>
        <w:t xml:space="preserve">The court </w:t>
      </w:r>
      <w:proofErr w:type="spellStart"/>
      <w:r w:rsidRPr="009645A6">
        <w:rPr>
          <w:sz w:val="20"/>
          <w:szCs w:val="20"/>
          <w:lang w:val="en"/>
        </w:rPr>
        <w:t>penalised</w:t>
      </w:r>
      <w:proofErr w:type="spellEnd"/>
      <w:r w:rsidRPr="009645A6">
        <w:rPr>
          <w:sz w:val="20"/>
          <w:szCs w:val="20"/>
          <w:lang w:val="en"/>
        </w:rPr>
        <w:t xml:space="preserve"> the company and its owner over $200,000. See </w:t>
      </w:r>
      <w:proofErr w:type="spellStart"/>
      <w:r w:rsidRPr="009645A6">
        <w:rPr>
          <w:sz w:val="20"/>
          <w:szCs w:val="20"/>
          <w:lang w:val="en"/>
        </w:rPr>
        <w:t>FWO’s</w:t>
      </w:r>
      <w:proofErr w:type="spellEnd"/>
      <w:r w:rsidRPr="009645A6">
        <w:rPr>
          <w:sz w:val="20"/>
          <w:szCs w:val="20"/>
          <w:lang w:val="en"/>
        </w:rPr>
        <w:t xml:space="preserve"> media release of 2 May 2016: </w:t>
      </w:r>
      <w:hyperlink r:id="rId2" w:history="1">
        <w:r w:rsidRPr="009645A6">
          <w:rPr>
            <w:rStyle w:val="Hyperlink"/>
            <w:sz w:val="20"/>
            <w:szCs w:val="20"/>
            <w:lang w:val="en"/>
          </w:rPr>
          <w:t xml:space="preserve">Record Penalties Against 7-Eleven </w:t>
        </w:r>
        <w:proofErr w:type="gramStart"/>
        <w:r w:rsidRPr="009645A6">
          <w:rPr>
            <w:rStyle w:val="Hyperlink"/>
            <w:sz w:val="20"/>
            <w:szCs w:val="20"/>
            <w:lang w:val="en"/>
          </w:rPr>
          <w:t>Operator</w:t>
        </w:r>
        <w:proofErr w:type="gramEnd"/>
      </w:hyperlink>
      <w:r w:rsidR="007E4B90">
        <w:rPr>
          <w:rStyle w:val="Hyperlink"/>
          <w:sz w:val="20"/>
          <w:szCs w:val="20"/>
          <w:lang w:val="en"/>
        </w:rPr>
        <w:t>.</w:t>
      </w:r>
    </w:p>
  </w:footnote>
  <w:footnote w:id="7">
    <w:p w:rsidR="00B50411" w:rsidRDefault="00B50411">
      <w:pPr>
        <w:pStyle w:val="FootnoteText"/>
      </w:pPr>
      <w:r>
        <w:rPr>
          <w:rStyle w:val="FootnoteReference"/>
        </w:rPr>
        <w:footnoteRef/>
      </w:r>
      <w:r>
        <w:t xml:space="preserve"> As at 5 September 2017</w:t>
      </w:r>
      <w:r w:rsidR="00CC469E">
        <w:t>, 7-Eleven has determined 3,660 claims paid $150,497,385</w:t>
      </w:r>
      <w:r>
        <w:t xml:space="preserve">, see: </w:t>
      </w:r>
      <w:hyperlink r:id="rId3" w:history="1">
        <w:r w:rsidR="005257EE" w:rsidRPr="005257EE">
          <w:rPr>
            <w:rStyle w:val="Hyperlink"/>
          </w:rPr>
          <w:t>7-Eleven Wage Repayment Program</w:t>
        </w:r>
      </w:hyperlink>
      <w:r w:rsidR="007E4B90">
        <w:rPr>
          <w:rStyle w:val="Hyperlink"/>
        </w:rPr>
        <w:t>.</w:t>
      </w:r>
    </w:p>
  </w:footnote>
  <w:footnote w:id="8">
    <w:p w:rsidR="00FA0229" w:rsidRDefault="00FA0229">
      <w:pPr>
        <w:pStyle w:val="FootnoteText"/>
      </w:pPr>
      <w:r>
        <w:rPr>
          <w:rStyle w:val="FootnoteReference"/>
        </w:rPr>
        <w:footnoteRef/>
      </w:r>
      <w:r>
        <w:t xml:space="preserve"> For further information, see </w:t>
      </w:r>
      <w:proofErr w:type="spellStart"/>
      <w:r>
        <w:t>FWO’s</w:t>
      </w:r>
      <w:proofErr w:type="spellEnd"/>
      <w:r>
        <w:t xml:space="preserve"> Activity Report ‘</w:t>
      </w:r>
      <w:hyperlink r:id="rId4" w:history="1">
        <w:r w:rsidRPr="00FA0229">
          <w:rPr>
            <w:rStyle w:val="Hyperlink"/>
          </w:rPr>
          <w:t xml:space="preserve">United Petroleum Retail Fuel Retail Outlets: </w:t>
        </w:r>
        <w:r w:rsidRPr="00FA0229">
          <w:rPr>
            <w:rStyle w:val="Hyperlink"/>
            <w:lang w:val="en"/>
          </w:rPr>
          <w:t>Summary of compliance activity outcomes’</w:t>
        </w:r>
      </w:hyperlink>
      <w:r>
        <w:rPr>
          <w:lang w:val="e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A7E" w:rsidRDefault="00B01A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A7E" w:rsidRDefault="00B01A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A7E" w:rsidRDefault="00B01A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5398"/>
    <w:multiLevelType w:val="multilevel"/>
    <w:tmpl w:val="85E085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2006451"/>
    <w:multiLevelType w:val="multilevel"/>
    <w:tmpl w:val="A67C8C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2FE76FB"/>
    <w:multiLevelType w:val="hybridMultilevel"/>
    <w:tmpl w:val="94E832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32C6534"/>
    <w:multiLevelType w:val="hybridMultilevel"/>
    <w:tmpl w:val="2A08D2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5984FF0"/>
    <w:multiLevelType w:val="hybridMultilevel"/>
    <w:tmpl w:val="C952C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0B45FB0"/>
    <w:multiLevelType w:val="multilevel"/>
    <w:tmpl w:val="A066022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nsid w:val="24231EE7"/>
    <w:multiLevelType w:val="multilevel"/>
    <w:tmpl w:val="933E2C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261111F8"/>
    <w:multiLevelType w:val="hybridMultilevel"/>
    <w:tmpl w:val="10FE58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6287A2F"/>
    <w:multiLevelType w:val="hybridMultilevel"/>
    <w:tmpl w:val="3CA4BC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C8C281D"/>
    <w:multiLevelType w:val="hybridMultilevel"/>
    <w:tmpl w:val="1C24D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19D1B4C"/>
    <w:multiLevelType w:val="multilevel"/>
    <w:tmpl w:val="B3ECFA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331A2CD6"/>
    <w:multiLevelType w:val="hybridMultilevel"/>
    <w:tmpl w:val="B4A81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35339CF"/>
    <w:multiLevelType w:val="multilevel"/>
    <w:tmpl w:val="D33E973A"/>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3EA86571"/>
    <w:multiLevelType w:val="hybridMultilevel"/>
    <w:tmpl w:val="CE203C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4485542E"/>
    <w:multiLevelType w:val="hybridMultilevel"/>
    <w:tmpl w:val="74509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9927082"/>
    <w:multiLevelType w:val="multilevel"/>
    <w:tmpl w:val="169254A4"/>
    <w:lvl w:ilvl="0">
      <w:start w:val="1"/>
      <w:numFmt w:val="bullet"/>
      <w:lvlText w:val=""/>
      <w:lvlJc w:val="left"/>
      <w:pPr>
        <w:tabs>
          <w:tab w:val="num" w:pos="502"/>
        </w:tabs>
        <w:ind w:left="502"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620404F7"/>
    <w:multiLevelType w:val="multilevel"/>
    <w:tmpl w:val="559C94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B2C33B5"/>
    <w:multiLevelType w:val="hybridMultilevel"/>
    <w:tmpl w:val="BA8C09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710C32CF"/>
    <w:multiLevelType w:val="hybridMultilevel"/>
    <w:tmpl w:val="5FF232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72F50137"/>
    <w:multiLevelType w:val="hybridMultilevel"/>
    <w:tmpl w:val="252C6982"/>
    <w:lvl w:ilvl="0" w:tplc="A99E8324">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784F38EF"/>
    <w:multiLevelType w:val="hybridMultilevel"/>
    <w:tmpl w:val="BEF69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9ED4D6F"/>
    <w:multiLevelType w:val="multilevel"/>
    <w:tmpl w:val="9FE4666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502"/>
        </w:tabs>
        <w:ind w:left="502"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8"/>
  </w:num>
  <w:num w:numId="3">
    <w:abstractNumId w:val="14"/>
  </w:num>
  <w:num w:numId="4">
    <w:abstractNumId w:val="7"/>
  </w:num>
  <w:num w:numId="5">
    <w:abstractNumId w:val="18"/>
  </w:num>
  <w:num w:numId="6">
    <w:abstractNumId w:val="19"/>
  </w:num>
  <w:num w:numId="7">
    <w:abstractNumId w:val="3"/>
  </w:num>
  <w:num w:numId="8">
    <w:abstractNumId w:val="17"/>
  </w:num>
  <w:num w:numId="9">
    <w:abstractNumId w:val="9"/>
  </w:num>
  <w:num w:numId="10">
    <w:abstractNumId w:val="13"/>
  </w:num>
  <w:num w:numId="11">
    <w:abstractNumId w:val="2"/>
  </w:num>
  <w:num w:numId="12">
    <w:abstractNumId w:val="4"/>
  </w:num>
  <w:num w:numId="13">
    <w:abstractNumId w:val="1"/>
  </w:num>
  <w:num w:numId="14">
    <w:abstractNumId w:val="21"/>
  </w:num>
  <w:num w:numId="15">
    <w:abstractNumId w:val="0"/>
  </w:num>
  <w:num w:numId="16">
    <w:abstractNumId w:val="6"/>
  </w:num>
  <w:num w:numId="17">
    <w:abstractNumId w:val="10"/>
  </w:num>
  <w:num w:numId="18">
    <w:abstractNumId w:val="15"/>
  </w:num>
  <w:num w:numId="19">
    <w:abstractNumId w:val="12"/>
  </w:num>
  <w:num w:numId="20">
    <w:abstractNumId w:val="5"/>
  </w:num>
  <w:num w:numId="21">
    <w:abstractNumId w:val="0"/>
  </w:num>
  <w:num w:numId="22">
    <w:abstractNumId w:val="6"/>
  </w:num>
  <w:num w:numId="23">
    <w:abstractNumId w:val="10"/>
  </w:num>
  <w:num w:numId="24">
    <w:abstractNumId w:val="15"/>
  </w:num>
  <w:num w:numId="25">
    <w:abstractNumId w:val="12"/>
  </w:num>
  <w:num w:numId="26">
    <w:abstractNumId w:val="1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11F"/>
    <w:rsid w:val="0000795F"/>
    <w:rsid w:val="00010E02"/>
    <w:rsid w:val="00015CD1"/>
    <w:rsid w:val="00017EA4"/>
    <w:rsid w:val="00027452"/>
    <w:rsid w:val="00035163"/>
    <w:rsid w:val="00041D24"/>
    <w:rsid w:val="00041FA2"/>
    <w:rsid w:val="00060FBC"/>
    <w:rsid w:val="00071653"/>
    <w:rsid w:val="0008597A"/>
    <w:rsid w:val="000B0048"/>
    <w:rsid w:val="000C0E01"/>
    <w:rsid w:val="000D3C2C"/>
    <w:rsid w:val="000D51BB"/>
    <w:rsid w:val="0010597E"/>
    <w:rsid w:val="0011132E"/>
    <w:rsid w:val="00113E4B"/>
    <w:rsid w:val="00133915"/>
    <w:rsid w:val="00160426"/>
    <w:rsid w:val="001826F7"/>
    <w:rsid w:val="00186036"/>
    <w:rsid w:val="0019028C"/>
    <w:rsid w:val="00192AFA"/>
    <w:rsid w:val="0019506E"/>
    <w:rsid w:val="00196DF4"/>
    <w:rsid w:val="001A345B"/>
    <w:rsid w:val="001A63CA"/>
    <w:rsid w:val="001C3E6F"/>
    <w:rsid w:val="001C553E"/>
    <w:rsid w:val="001F1166"/>
    <w:rsid w:val="001F7A41"/>
    <w:rsid w:val="0021627D"/>
    <w:rsid w:val="00231EF8"/>
    <w:rsid w:val="00234552"/>
    <w:rsid w:val="0026378B"/>
    <w:rsid w:val="002752C2"/>
    <w:rsid w:val="002D14EF"/>
    <w:rsid w:val="002E6C6F"/>
    <w:rsid w:val="002F2673"/>
    <w:rsid w:val="002F685D"/>
    <w:rsid w:val="00315C44"/>
    <w:rsid w:val="003203B9"/>
    <w:rsid w:val="00341D82"/>
    <w:rsid w:val="00341DCC"/>
    <w:rsid w:val="0034538D"/>
    <w:rsid w:val="00351C99"/>
    <w:rsid w:val="00373D04"/>
    <w:rsid w:val="00377EFB"/>
    <w:rsid w:val="00394DB8"/>
    <w:rsid w:val="003A5531"/>
    <w:rsid w:val="003C2784"/>
    <w:rsid w:val="003C52CF"/>
    <w:rsid w:val="003C59F1"/>
    <w:rsid w:val="003D2C80"/>
    <w:rsid w:val="003D711F"/>
    <w:rsid w:val="003E4920"/>
    <w:rsid w:val="003E716A"/>
    <w:rsid w:val="003F0204"/>
    <w:rsid w:val="00405E76"/>
    <w:rsid w:val="0040640F"/>
    <w:rsid w:val="0041245F"/>
    <w:rsid w:val="00426C24"/>
    <w:rsid w:val="00465153"/>
    <w:rsid w:val="00466A80"/>
    <w:rsid w:val="004A02A6"/>
    <w:rsid w:val="004A1916"/>
    <w:rsid w:val="004B1B50"/>
    <w:rsid w:val="004C4785"/>
    <w:rsid w:val="004F496A"/>
    <w:rsid w:val="005208B4"/>
    <w:rsid w:val="005257EE"/>
    <w:rsid w:val="00527968"/>
    <w:rsid w:val="00535C0B"/>
    <w:rsid w:val="00540C6A"/>
    <w:rsid w:val="00542EE3"/>
    <w:rsid w:val="0056396B"/>
    <w:rsid w:val="00564E60"/>
    <w:rsid w:val="005824EB"/>
    <w:rsid w:val="00583DBB"/>
    <w:rsid w:val="005A66D9"/>
    <w:rsid w:val="005B5C32"/>
    <w:rsid w:val="005C6268"/>
    <w:rsid w:val="005F0837"/>
    <w:rsid w:val="00604535"/>
    <w:rsid w:val="0061283F"/>
    <w:rsid w:val="00622480"/>
    <w:rsid w:val="0063211F"/>
    <w:rsid w:val="0063226E"/>
    <w:rsid w:val="00643613"/>
    <w:rsid w:val="00660A4E"/>
    <w:rsid w:val="00686465"/>
    <w:rsid w:val="006A490D"/>
    <w:rsid w:val="006E27A4"/>
    <w:rsid w:val="006E2970"/>
    <w:rsid w:val="007144D8"/>
    <w:rsid w:val="00721CED"/>
    <w:rsid w:val="007318FD"/>
    <w:rsid w:val="00743EA1"/>
    <w:rsid w:val="00744533"/>
    <w:rsid w:val="00774193"/>
    <w:rsid w:val="00787739"/>
    <w:rsid w:val="00791489"/>
    <w:rsid w:val="007E4B90"/>
    <w:rsid w:val="007F1695"/>
    <w:rsid w:val="007F3911"/>
    <w:rsid w:val="007F58B1"/>
    <w:rsid w:val="007F675B"/>
    <w:rsid w:val="00804A53"/>
    <w:rsid w:val="0081266F"/>
    <w:rsid w:val="00814D86"/>
    <w:rsid w:val="00843810"/>
    <w:rsid w:val="00866E0D"/>
    <w:rsid w:val="00867098"/>
    <w:rsid w:val="008A1A79"/>
    <w:rsid w:val="008C0207"/>
    <w:rsid w:val="008F01AC"/>
    <w:rsid w:val="00911199"/>
    <w:rsid w:val="009121DA"/>
    <w:rsid w:val="00935160"/>
    <w:rsid w:val="009359C2"/>
    <w:rsid w:val="009645A6"/>
    <w:rsid w:val="009A4DB5"/>
    <w:rsid w:val="009C1DB1"/>
    <w:rsid w:val="009F24DA"/>
    <w:rsid w:val="009F4FCE"/>
    <w:rsid w:val="00A03EB5"/>
    <w:rsid w:val="00A21F65"/>
    <w:rsid w:val="00A277CB"/>
    <w:rsid w:val="00A31036"/>
    <w:rsid w:val="00A55DAF"/>
    <w:rsid w:val="00A62337"/>
    <w:rsid w:val="00A6407F"/>
    <w:rsid w:val="00A655EA"/>
    <w:rsid w:val="00A7545D"/>
    <w:rsid w:val="00AC2A9B"/>
    <w:rsid w:val="00AF0E4D"/>
    <w:rsid w:val="00B01A7E"/>
    <w:rsid w:val="00B50411"/>
    <w:rsid w:val="00B54157"/>
    <w:rsid w:val="00B64CBB"/>
    <w:rsid w:val="00B72736"/>
    <w:rsid w:val="00B77788"/>
    <w:rsid w:val="00B803CE"/>
    <w:rsid w:val="00B97926"/>
    <w:rsid w:val="00BC4FB4"/>
    <w:rsid w:val="00BD4107"/>
    <w:rsid w:val="00BE2E6C"/>
    <w:rsid w:val="00BE3BE1"/>
    <w:rsid w:val="00BE6898"/>
    <w:rsid w:val="00C277DD"/>
    <w:rsid w:val="00C528D2"/>
    <w:rsid w:val="00C80458"/>
    <w:rsid w:val="00C926DC"/>
    <w:rsid w:val="00CA7CAC"/>
    <w:rsid w:val="00CC31B3"/>
    <w:rsid w:val="00CC469E"/>
    <w:rsid w:val="00CF6A33"/>
    <w:rsid w:val="00CF6EA8"/>
    <w:rsid w:val="00D03B2A"/>
    <w:rsid w:val="00D03F32"/>
    <w:rsid w:val="00D30606"/>
    <w:rsid w:val="00D551D7"/>
    <w:rsid w:val="00DC6034"/>
    <w:rsid w:val="00DD5FDB"/>
    <w:rsid w:val="00E025CC"/>
    <w:rsid w:val="00E2269D"/>
    <w:rsid w:val="00E22765"/>
    <w:rsid w:val="00E363BC"/>
    <w:rsid w:val="00E43BE0"/>
    <w:rsid w:val="00E5351F"/>
    <w:rsid w:val="00E5459B"/>
    <w:rsid w:val="00E65F8B"/>
    <w:rsid w:val="00E81648"/>
    <w:rsid w:val="00E823FF"/>
    <w:rsid w:val="00E87713"/>
    <w:rsid w:val="00EB1EFE"/>
    <w:rsid w:val="00EC0818"/>
    <w:rsid w:val="00ED0E24"/>
    <w:rsid w:val="00EE3046"/>
    <w:rsid w:val="00EE6EFE"/>
    <w:rsid w:val="00F163A9"/>
    <w:rsid w:val="00F43172"/>
    <w:rsid w:val="00F525D8"/>
    <w:rsid w:val="00F65510"/>
    <w:rsid w:val="00F65CFE"/>
    <w:rsid w:val="00F743C4"/>
    <w:rsid w:val="00F74CA9"/>
    <w:rsid w:val="00F77759"/>
    <w:rsid w:val="00F90D86"/>
    <w:rsid w:val="00FA0229"/>
    <w:rsid w:val="00FA28F6"/>
    <w:rsid w:val="00FC1F7A"/>
    <w:rsid w:val="00FD0B87"/>
    <w:rsid w:val="00FF7C22"/>
    <w:rsid w:val="00FF7E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EE3"/>
  </w:style>
  <w:style w:type="paragraph" w:styleId="Heading1">
    <w:name w:val="heading 1"/>
    <w:basedOn w:val="Normal"/>
    <w:next w:val="Normal"/>
    <w:link w:val="Heading1Char"/>
    <w:uiPriority w:val="9"/>
    <w:qFormat/>
    <w:rsid w:val="00791489"/>
    <w:pPr>
      <w:keepNext/>
      <w:keepLines/>
      <w:spacing w:before="480" w:after="0"/>
      <w:jc w:val="center"/>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791489"/>
    <w:pPr>
      <w:keepNext/>
      <w:keepLines/>
      <w:spacing w:before="200" w:after="0"/>
      <w:jc w:val="center"/>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qFormat/>
    <w:rsid w:val="00791489"/>
    <w:pPr>
      <w:keepNext/>
      <w:keepLines/>
      <w:spacing w:before="200" w:after="0" w:line="240" w:lineRule="auto"/>
      <w:jc w:val="center"/>
      <w:outlineLvl w:val="2"/>
    </w:pPr>
    <w:rPr>
      <w:rFonts w:ascii="Calibri" w:eastAsiaTheme="majorEastAsia" w:hAnsi="Calibri" w:cstheme="majorBidi"/>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2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2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8D2"/>
    <w:rPr>
      <w:rFonts w:ascii="Tahoma" w:hAnsi="Tahoma" w:cs="Tahoma"/>
      <w:sz w:val="16"/>
      <w:szCs w:val="16"/>
    </w:rPr>
  </w:style>
  <w:style w:type="character" w:customStyle="1" w:styleId="Heading3Char">
    <w:name w:val="Heading 3 Char"/>
    <w:basedOn w:val="DefaultParagraphFont"/>
    <w:link w:val="Heading3"/>
    <w:uiPriority w:val="9"/>
    <w:rsid w:val="00791489"/>
    <w:rPr>
      <w:rFonts w:ascii="Calibri" w:eastAsiaTheme="majorEastAsia" w:hAnsi="Calibri" w:cstheme="majorBidi"/>
      <w:b/>
      <w:bCs/>
      <w:sz w:val="24"/>
      <w:szCs w:val="24"/>
      <w:lang w:eastAsia="en-AU"/>
    </w:rPr>
  </w:style>
  <w:style w:type="paragraph" w:styleId="ListParagraph">
    <w:name w:val="List Paragraph"/>
    <w:aliases w:val="List Paragraph1,List Paragraph11,Recommendation,Brief List Paragraph 1,DDM Gen Text,L,Numbered paragraph,CV text,Table text,F5 List Paragraph,Dot pt,List Paragraph111,Medium Grid 1 - Accent 21,Numbered Paragraph,List Paragraph2,Bullets"/>
    <w:basedOn w:val="Normal"/>
    <w:link w:val="ListParagraphChar"/>
    <w:uiPriority w:val="34"/>
    <w:qFormat/>
    <w:rsid w:val="00A655EA"/>
    <w:pPr>
      <w:spacing w:after="0" w:line="240" w:lineRule="auto"/>
      <w:ind w:left="720"/>
      <w:contextualSpacing/>
    </w:pPr>
    <w:rPr>
      <w:rFonts w:ascii="Calibri" w:eastAsia="Times New Roman" w:hAnsi="Calibri" w:cs="Times New Roman"/>
      <w:szCs w:val="24"/>
      <w:lang w:eastAsia="en-AU"/>
    </w:rPr>
  </w:style>
  <w:style w:type="character" w:customStyle="1" w:styleId="ListParagraphChar">
    <w:name w:val="List Paragraph Char"/>
    <w:aliases w:val="List Paragraph1 Char,List Paragraph11 Char,Recommendation Char,Brief List Paragraph 1 Char,DDM Gen Text Char,L Char,Numbered paragraph Char,CV text Char,Table text Char,F5 List Paragraph Char,Dot pt Char,List Paragraph111 Char"/>
    <w:link w:val="ListParagraph"/>
    <w:uiPriority w:val="34"/>
    <w:locked/>
    <w:rsid w:val="00A655EA"/>
    <w:rPr>
      <w:rFonts w:ascii="Calibri" w:eastAsia="Times New Roman" w:hAnsi="Calibri" w:cs="Times New Roman"/>
      <w:szCs w:val="24"/>
      <w:lang w:eastAsia="en-AU"/>
    </w:rPr>
  </w:style>
  <w:style w:type="paragraph" w:styleId="Header">
    <w:name w:val="header"/>
    <w:basedOn w:val="Normal"/>
    <w:link w:val="HeaderChar"/>
    <w:uiPriority w:val="99"/>
    <w:unhideWhenUsed/>
    <w:rsid w:val="009A4D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DB5"/>
  </w:style>
  <w:style w:type="paragraph" w:styleId="Footer">
    <w:name w:val="footer"/>
    <w:basedOn w:val="Normal"/>
    <w:link w:val="FooterChar"/>
    <w:uiPriority w:val="99"/>
    <w:unhideWhenUsed/>
    <w:rsid w:val="009A4D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DB5"/>
  </w:style>
  <w:style w:type="character" w:styleId="CommentReference">
    <w:name w:val="annotation reference"/>
    <w:basedOn w:val="DefaultParagraphFont"/>
    <w:uiPriority w:val="99"/>
    <w:semiHidden/>
    <w:unhideWhenUsed/>
    <w:rsid w:val="00D03F32"/>
    <w:rPr>
      <w:sz w:val="16"/>
      <w:szCs w:val="16"/>
    </w:rPr>
  </w:style>
  <w:style w:type="paragraph" w:styleId="CommentText">
    <w:name w:val="annotation text"/>
    <w:basedOn w:val="Normal"/>
    <w:link w:val="CommentTextChar"/>
    <w:uiPriority w:val="99"/>
    <w:semiHidden/>
    <w:unhideWhenUsed/>
    <w:rsid w:val="00D03F32"/>
    <w:pPr>
      <w:spacing w:line="240" w:lineRule="auto"/>
    </w:pPr>
    <w:rPr>
      <w:sz w:val="20"/>
      <w:szCs w:val="20"/>
    </w:rPr>
  </w:style>
  <w:style w:type="character" w:customStyle="1" w:styleId="CommentTextChar">
    <w:name w:val="Comment Text Char"/>
    <w:basedOn w:val="DefaultParagraphFont"/>
    <w:link w:val="CommentText"/>
    <w:uiPriority w:val="99"/>
    <w:semiHidden/>
    <w:rsid w:val="00D03F32"/>
    <w:rPr>
      <w:sz w:val="20"/>
      <w:szCs w:val="20"/>
    </w:rPr>
  </w:style>
  <w:style w:type="paragraph" w:styleId="CommentSubject">
    <w:name w:val="annotation subject"/>
    <w:basedOn w:val="CommentText"/>
    <w:next w:val="CommentText"/>
    <w:link w:val="CommentSubjectChar"/>
    <w:uiPriority w:val="99"/>
    <w:semiHidden/>
    <w:unhideWhenUsed/>
    <w:rsid w:val="00D03F32"/>
    <w:rPr>
      <w:b/>
      <w:bCs/>
    </w:rPr>
  </w:style>
  <w:style w:type="character" w:customStyle="1" w:styleId="CommentSubjectChar">
    <w:name w:val="Comment Subject Char"/>
    <w:basedOn w:val="CommentTextChar"/>
    <w:link w:val="CommentSubject"/>
    <w:uiPriority w:val="99"/>
    <w:semiHidden/>
    <w:rsid w:val="00D03F32"/>
    <w:rPr>
      <w:b/>
      <w:bCs/>
      <w:sz w:val="20"/>
      <w:szCs w:val="20"/>
    </w:rPr>
  </w:style>
  <w:style w:type="paragraph" w:styleId="FootnoteText">
    <w:name w:val="footnote text"/>
    <w:basedOn w:val="Normal"/>
    <w:link w:val="FootnoteTextChar"/>
    <w:uiPriority w:val="99"/>
    <w:semiHidden/>
    <w:unhideWhenUsed/>
    <w:rsid w:val="00B504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0411"/>
    <w:rPr>
      <w:sz w:val="20"/>
      <w:szCs w:val="20"/>
    </w:rPr>
  </w:style>
  <w:style w:type="character" w:styleId="FootnoteReference">
    <w:name w:val="footnote reference"/>
    <w:basedOn w:val="DefaultParagraphFont"/>
    <w:uiPriority w:val="99"/>
    <w:semiHidden/>
    <w:unhideWhenUsed/>
    <w:rsid w:val="00B50411"/>
    <w:rPr>
      <w:vertAlign w:val="superscript"/>
    </w:rPr>
  </w:style>
  <w:style w:type="character" w:styleId="Hyperlink">
    <w:name w:val="Hyperlink"/>
    <w:basedOn w:val="DefaultParagraphFont"/>
    <w:uiPriority w:val="99"/>
    <w:unhideWhenUsed/>
    <w:rsid w:val="00B50411"/>
    <w:rPr>
      <w:color w:val="0000FF" w:themeColor="hyperlink"/>
      <w:u w:val="single"/>
    </w:rPr>
  </w:style>
  <w:style w:type="character" w:styleId="FollowedHyperlink">
    <w:name w:val="FollowedHyperlink"/>
    <w:basedOn w:val="DefaultParagraphFont"/>
    <w:uiPriority w:val="99"/>
    <w:semiHidden/>
    <w:unhideWhenUsed/>
    <w:rsid w:val="005257EE"/>
    <w:rPr>
      <w:color w:val="800080" w:themeColor="followedHyperlink"/>
      <w:u w:val="single"/>
    </w:rPr>
  </w:style>
  <w:style w:type="character" w:styleId="Emphasis">
    <w:name w:val="Emphasis"/>
    <w:basedOn w:val="DefaultParagraphFont"/>
    <w:uiPriority w:val="20"/>
    <w:qFormat/>
    <w:rsid w:val="00CF6A33"/>
    <w:rPr>
      <w:i/>
      <w:iCs/>
    </w:rPr>
  </w:style>
  <w:style w:type="character" w:customStyle="1" w:styleId="Heading1Char">
    <w:name w:val="Heading 1 Char"/>
    <w:basedOn w:val="DefaultParagraphFont"/>
    <w:link w:val="Heading1"/>
    <w:uiPriority w:val="9"/>
    <w:rsid w:val="00791489"/>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791489"/>
    <w:rPr>
      <w:rFonts w:ascii="Arial" w:eastAsiaTheme="majorEastAsia" w:hAnsi="Arial" w:cstheme="majorBidi"/>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EE3"/>
  </w:style>
  <w:style w:type="paragraph" w:styleId="Heading1">
    <w:name w:val="heading 1"/>
    <w:basedOn w:val="Normal"/>
    <w:next w:val="Normal"/>
    <w:link w:val="Heading1Char"/>
    <w:uiPriority w:val="9"/>
    <w:qFormat/>
    <w:rsid w:val="00791489"/>
    <w:pPr>
      <w:keepNext/>
      <w:keepLines/>
      <w:spacing w:before="480" w:after="0"/>
      <w:jc w:val="center"/>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791489"/>
    <w:pPr>
      <w:keepNext/>
      <w:keepLines/>
      <w:spacing w:before="200" w:after="0"/>
      <w:jc w:val="center"/>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qFormat/>
    <w:rsid w:val="00791489"/>
    <w:pPr>
      <w:keepNext/>
      <w:keepLines/>
      <w:spacing w:before="200" w:after="0" w:line="240" w:lineRule="auto"/>
      <w:jc w:val="center"/>
      <w:outlineLvl w:val="2"/>
    </w:pPr>
    <w:rPr>
      <w:rFonts w:ascii="Calibri" w:eastAsiaTheme="majorEastAsia" w:hAnsi="Calibri" w:cstheme="majorBidi"/>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2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2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8D2"/>
    <w:rPr>
      <w:rFonts w:ascii="Tahoma" w:hAnsi="Tahoma" w:cs="Tahoma"/>
      <w:sz w:val="16"/>
      <w:szCs w:val="16"/>
    </w:rPr>
  </w:style>
  <w:style w:type="character" w:customStyle="1" w:styleId="Heading3Char">
    <w:name w:val="Heading 3 Char"/>
    <w:basedOn w:val="DefaultParagraphFont"/>
    <w:link w:val="Heading3"/>
    <w:uiPriority w:val="9"/>
    <w:rsid w:val="00791489"/>
    <w:rPr>
      <w:rFonts w:ascii="Calibri" w:eastAsiaTheme="majorEastAsia" w:hAnsi="Calibri" w:cstheme="majorBidi"/>
      <w:b/>
      <w:bCs/>
      <w:sz w:val="24"/>
      <w:szCs w:val="24"/>
      <w:lang w:eastAsia="en-AU"/>
    </w:rPr>
  </w:style>
  <w:style w:type="paragraph" w:styleId="ListParagraph">
    <w:name w:val="List Paragraph"/>
    <w:aliases w:val="List Paragraph1,List Paragraph11,Recommendation,Brief List Paragraph 1,DDM Gen Text,L,Numbered paragraph,CV text,Table text,F5 List Paragraph,Dot pt,List Paragraph111,Medium Grid 1 - Accent 21,Numbered Paragraph,List Paragraph2,Bullets"/>
    <w:basedOn w:val="Normal"/>
    <w:link w:val="ListParagraphChar"/>
    <w:uiPriority w:val="34"/>
    <w:qFormat/>
    <w:rsid w:val="00A655EA"/>
    <w:pPr>
      <w:spacing w:after="0" w:line="240" w:lineRule="auto"/>
      <w:ind w:left="720"/>
      <w:contextualSpacing/>
    </w:pPr>
    <w:rPr>
      <w:rFonts w:ascii="Calibri" w:eastAsia="Times New Roman" w:hAnsi="Calibri" w:cs="Times New Roman"/>
      <w:szCs w:val="24"/>
      <w:lang w:eastAsia="en-AU"/>
    </w:rPr>
  </w:style>
  <w:style w:type="character" w:customStyle="1" w:styleId="ListParagraphChar">
    <w:name w:val="List Paragraph Char"/>
    <w:aliases w:val="List Paragraph1 Char,List Paragraph11 Char,Recommendation Char,Brief List Paragraph 1 Char,DDM Gen Text Char,L Char,Numbered paragraph Char,CV text Char,Table text Char,F5 List Paragraph Char,Dot pt Char,List Paragraph111 Char"/>
    <w:link w:val="ListParagraph"/>
    <w:uiPriority w:val="34"/>
    <w:locked/>
    <w:rsid w:val="00A655EA"/>
    <w:rPr>
      <w:rFonts w:ascii="Calibri" w:eastAsia="Times New Roman" w:hAnsi="Calibri" w:cs="Times New Roman"/>
      <w:szCs w:val="24"/>
      <w:lang w:eastAsia="en-AU"/>
    </w:rPr>
  </w:style>
  <w:style w:type="paragraph" w:styleId="Header">
    <w:name w:val="header"/>
    <w:basedOn w:val="Normal"/>
    <w:link w:val="HeaderChar"/>
    <w:uiPriority w:val="99"/>
    <w:unhideWhenUsed/>
    <w:rsid w:val="009A4D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DB5"/>
  </w:style>
  <w:style w:type="paragraph" w:styleId="Footer">
    <w:name w:val="footer"/>
    <w:basedOn w:val="Normal"/>
    <w:link w:val="FooterChar"/>
    <w:uiPriority w:val="99"/>
    <w:unhideWhenUsed/>
    <w:rsid w:val="009A4D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DB5"/>
  </w:style>
  <w:style w:type="character" w:styleId="CommentReference">
    <w:name w:val="annotation reference"/>
    <w:basedOn w:val="DefaultParagraphFont"/>
    <w:uiPriority w:val="99"/>
    <w:semiHidden/>
    <w:unhideWhenUsed/>
    <w:rsid w:val="00D03F32"/>
    <w:rPr>
      <w:sz w:val="16"/>
      <w:szCs w:val="16"/>
    </w:rPr>
  </w:style>
  <w:style w:type="paragraph" w:styleId="CommentText">
    <w:name w:val="annotation text"/>
    <w:basedOn w:val="Normal"/>
    <w:link w:val="CommentTextChar"/>
    <w:uiPriority w:val="99"/>
    <w:semiHidden/>
    <w:unhideWhenUsed/>
    <w:rsid w:val="00D03F32"/>
    <w:pPr>
      <w:spacing w:line="240" w:lineRule="auto"/>
    </w:pPr>
    <w:rPr>
      <w:sz w:val="20"/>
      <w:szCs w:val="20"/>
    </w:rPr>
  </w:style>
  <w:style w:type="character" w:customStyle="1" w:styleId="CommentTextChar">
    <w:name w:val="Comment Text Char"/>
    <w:basedOn w:val="DefaultParagraphFont"/>
    <w:link w:val="CommentText"/>
    <w:uiPriority w:val="99"/>
    <w:semiHidden/>
    <w:rsid w:val="00D03F32"/>
    <w:rPr>
      <w:sz w:val="20"/>
      <w:szCs w:val="20"/>
    </w:rPr>
  </w:style>
  <w:style w:type="paragraph" w:styleId="CommentSubject">
    <w:name w:val="annotation subject"/>
    <w:basedOn w:val="CommentText"/>
    <w:next w:val="CommentText"/>
    <w:link w:val="CommentSubjectChar"/>
    <w:uiPriority w:val="99"/>
    <w:semiHidden/>
    <w:unhideWhenUsed/>
    <w:rsid w:val="00D03F32"/>
    <w:rPr>
      <w:b/>
      <w:bCs/>
    </w:rPr>
  </w:style>
  <w:style w:type="character" w:customStyle="1" w:styleId="CommentSubjectChar">
    <w:name w:val="Comment Subject Char"/>
    <w:basedOn w:val="CommentTextChar"/>
    <w:link w:val="CommentSubject"/>
    <w:uiPriority w:val="99"/>
    <w:semiHidden/>
    <w:rsid w:val="00D03F32"/>
    <w:rPr>
      <w:b/>
      <w:bCs/>
      <w:sz w:val="20"/>
      <w:szCs w:val="20"/>
    </w:rPr>
  </w:style>
  <w:style w:type="paragraph" w:styleId="FootnoteText">
    <w:name w:val="footnote text"/>
    <w:basedOn w:val="Normal"/>
    <w:link w:val="FootnoteTextChar"/>
    <w:uiPriority w:val="99"/>
    <w:semiHidden/>
    <w:unhideWhenUsed/>
    <w:rsid w:val="00B504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0411"/>
    <w:rPr>
      <w:sz w:val="20"/>
      <w:szCs w:val="20"/>
    </w:rPr>
  </w:style>
  <w:style w:type="character" w:styleId="FootnoteReference">
    <w:name w:val="footnote reference"/>
    <w:basedOn w:val="DefaultParagraphFont"/>
    <w:uiPriority w:val="99"/>
    <w:semiHidden/>
    <w:unhideWhenUsed/>
    <w:rsid w:val="00B50411"/>
    <w:rPr>
      <w:vertAlign w:val="superscript"/>
    </w:rPr>
  </w:style>
  <w:style w:type="character" w:styleId="Hyperlink">
    <w:name w:val="Hyperlink"/>
    <w:basedOn w:val="DefaultParagraphFont"/>
    <w:uiPriority w:val="99"/>
    <w:unhideWhenUsed/>
    <w:rsid w:val="00B50411"/>
    <w:rPr>
      <w:color w:val="0000FF" w:themeColor="hyperlink"/>
      <w:u w:val="single"/>
    </w:rPr>
  </w:style>
  <w:style w:type="character" w:styleId="FollowedHyperlink">
    <w:name w:val="FollowedHyperlink"/>
    <w:basedOn w:val="DefaultParagraphFont"/>
    <w:uiPriority w:val="99"/>
    <w:semiHidden/>
    <w:unhideWhenUsed/>
    <w:rsid w:val="005257EE"/>
    <w:rPr>
      <w:color w:val="800080" w:themeColor="followedHyperlink"/>
      <w:u w:val="single"/>
    </w:rPr>
  </w:style>
  <w:style w:type="character" w:styleId="Emphasis">
    <w:name w:val="Emphasis"/>
    <w:basedOn w:val="DefaultParagraphFont"/>
    <w:uiPriority w:val="20"/>
    <w:qFormat/>
    <w:rsid w:val="00CF6A33"/>
    <w:rPr>
      <w:i/>
      <w:iCs/>
    </w:rPr>
  </w:style>
  <w:style w:type="character" w:customStyle="1" w:styleId="Heading1Char">
    <w:name w:val="Heading 1 Char"/>
    <w:basedOn w:val="DefaultParagraphFont"/>
    <w:link w:val="Heading1"/>
    <w:uiPriority w:val="9"/>
    <w:rsid w:val="00791489"/>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791489"/>
    <w:rPr>
      <w:rFonts w:ascii="Arial" w:eastAsiaTheme="majorEastAsia" w:hAnsi="Arial"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927766">
      <w:bodyDiv w:val="1"/>
      <w:marLeft w:val="0"/>
      <w:marRight w:val="0"/>
      <w:marTop w:val="0"/>
      <w:marBottom w:val="0"/>
      <w:divBdr>
        <w:top w:val="none" w:sz="0" w:space="0" w:color="auto"/>
        <w:left w:val="none" w:sz="0" w:space="0" w:color="auto"/>
        <w:bottom w:val="none" w:sz="0" w:space="0" w:color="auto"/>
        <w:right w:val="none" w:sz="0" w:space="0" w:color="auto"/>
      </w:divBdr>
    </w:div>
    <w:div w:id="370375864">
      <w:bodyDiv w:val="1"/>
      <w:marLeft w:val="0"/>
      <w:marRight w:val="0"/>
      <w:marTop w:val="0"/>
      <w:marBottom w:val="0"/>
      <w:divBdr>
        <w:top w:val="none" w:sz="0" w:space="0" w:color="auto"/>
        <w:left w:val="none" w:sz="0" w:space="0" w:color="auto"/>
        <w:bottom w:val="none" w:sz="0" w:space="0" w:color="auto"/>
        <w:right w:val="none" w:sz="0" w:space="0" w:color="auto"/>
      </w:divBdr>
    </w:div>
    <w:div w:id="409280319">
      <w:bodyDiv w:val="1"/>
      <w:marLeft w:val="0"/>
      <w:marRight w:val="0"/>
      <w:marTop w:val="0"/>
      <w:marBottom w:val="0"/>
      <w:divBdr>
        <w:top w:val="none" w:sz="0" w:space="0" w:color="auto"/>
        <w:left w:val="none" w:sz="0" w:space="0" w:color="auto"/>
        <w:bottom w:val="none" w:sz="0" w:space="0" w:color="auto"/>
        <w:right w:val="none" w:sz="0" w:space="0" w:color="auto"/>
      </w:divBdr>
    </w:div>
    <w:div w:id="575936982">
      <w:bodyDiv w:val="1"/>
      <w:marLeft w:val="0"/>
      <w:marRight w:val="0"/>
      <w:marTop w:val="0"/>
      <w:marBottom w:val="0"/>
      <w:divBdr>
        <w:top w:val="none" w:sz="0" w:space="0" w:color="auto"/>
        <w:left w:val="none" w:sz="0" w:space="0" w:color="auto"/>
        <w:bottom w:val="none" w:sz="0" w:space="0" w:color="auto"/>
        <w:right w:val="none" w:sz="0" w:space="0" w:color="auto"/>
      </w:divBdr>
    </w:div>
    <w:div w:id="677537213">
      <w:bodyDiv w:val="1"/>
      <w:marLeft w:val="0"/>
      <w:marRight w:val="0"/>
      <w:marTop w:val="0"/>
      <w:marBottom w:val="0"/>
      <w:divBdr>
        <w:top w:val="none" w:sz="0" w:space="0" w:color="auto"/>
        <w:left w:val="none" w:sz="0" w:space="0" w:color="auto"/>
        <w:bottom w:val="none" w:sz="0" w:space="0" w:color="auto"/>
        <w:right w:val="none" w:sz="0" w:space="0" w:color="auto"/>
      </w:divBdr>
    </w:div>
    <w:div w:id="720789365">
      <w:bodyDiv w:val="1"/>
      <w:marLeft w:val="0"/>
      <w:marRight w:val="0"/>
      <w:marTop w:val="0"/>
      <w:marBottom w:val="0"/>
      <w:divBdr>
        <w:top w:val="none" w:sz="0" w:space="0" w:color="auto"/>
        <w:left w:val="none" w:sz="0" w:space="0" w:color="auto"/>
        <w:bottom w:val="none" w:sz="0" w:space="0" w:color="auto"/>
        <w:right w:val="none" w:sz="0" w:space="0" w:color="auto"/>
      </w:divBdr>
    </w:div>
    <w:div w:id="791480590">
      <w:bodyDiv w:val="1"/>
      <w:marLeft w:val="0"/>
      <w:marRight w:val="0"/>
      <w:marTop w:val="0"/>
      <w:marBottom w:val="0"/>
      <w:divBdr>
        <w:top w:val="none" w:sz="0" w:space="0" w:color="auto"/>
        <w:left w:val="none" w:sz="0" w:space="0" w:color="auto"/>
        <w:bottom w:val="none" w:sz="0" w:space="0" w:color="auto"/>
        <w:right w:val="none" w:sz="0" w:space="0" w:color="auto"/>
      </w:divBdr>
    </w:div>
    <w:div w:id="825392254">
      <w:bodyDiv w:val="1"/>
      <w:marLeft w:val="0"/>
      <w:marRight w:val="0"/>
      <w:marTop w:val="0"/>
      <w:marBottom w:val="0"/>
      <w:divBdr>
        <w:top w:val="none" w:sz="0" w:space="0" w:color="auto"/>
        <w:left w:val="none" w:sz="0" w:space="0" w:color="auto"/>
        <w:bottom w:val="none" w:sz="0" w:space="0" w:color="auto"/>
        <w:right w:val="none" w:sz="0" w:space="0" w:color="auto"/>
      </w:divBdr>
    </w:div>
    <w:div w:id="1138959055">
      <w:bodyDiv w:val="1"/>
      <w:marLeft w:val="0"/>
      <w:marRight w:val="0"/>
      <w:marTop w:val="0"/>
      <w:marBottom w:val="0"/>
      <w:divBdr>
        <w:top w:val="none" w:sz="0" w:space="0" w:color="auto"/>
        <w:left w:val="none" w:sz="0" w:space="0" w:color="auto"/>
        <w:bottom w:val="none" w:sz="0" w:space="0" w:color="auto"/>
        <w:right w:val="none" w:sz="0" w:space="0" w:color="auto"/>
      </w:divBdr>
    </w:div>
    <w:div w:id="1166288976">
      <w:bodyDiv w:val="1"/>
      <w:marLeft w:val="0"/>
      <w:marRight w:val="0"/>
      <w:marTop w:val="0"/>
      <w:marBottom w:val="0"/>
      <w:divBdr>
        <w:top w:val="none" w:sz="0" w:space="0" w:color="auto"/>
        <w:left w:val="none" w:sz="0" w:space="0" w:color="auto"/>
        <w:bottom w:val="none" w:sz="0" w:space="0" w:color="auto"/>
        <w:right w:val="none" w:sz="0" w:space="0" w:color="auto"/>
      </w:divBdr>
    </w:div>
    <w:div w:id="1354451986">
      <w:bodyDiv w:val="1"/>
      <w:marLeft w:val="0"/>
      <w:marRight w:val="0"/>
      <w:marTop w:val="0"/>
      <w:marBottom w:val="0"/>
      <w:divBdr>
        <w:top w:val="none" w:sz="0" w:space="0" w:color="auto"/>
        <w:left w:val="none" w:sz="0" w:space="0" w:color="auto"/>
        <w:bottom w:val="none" w:sz="0" w:space="0" w:color="auto"/>
        <w:right w:val="none" w:sz="0" w:space="0" w:color="auto"/>
      </w:divBdr>
    </w:div>
    <w:div w:id="1387950517">
      <w:bodyDiv w:val="1"/>
      <w:marLeft w:val="0"/>
      <w:marRight w:val="0"/>
      <w:marTop w:val="0"/>
      <w:marBottom w:val="0"/>
      <w:divBdr>
        <w:top w:val="none" w:sz="0" w:space="0" w:color="auto"/>
        <w:left w:val="none" w:sz="0" w:space="0" w:color="auto"/>
        <w:bottom w:val="none" w:sz="0" w:space="0" w:color="auto"/>
        <w:right w:val="none" w:sz="0" w:space="0" w:color="auto"/>
      </w:divBdr>
    </w:div>
    <w:div w:id="1462377571">
      <w:bodyDiv w:val="1"/>
      <w:marLeft w:val="0"/>
      <w:marRight w:val="0"/>
      <w:marTop w:val="0"/>
      <w:marBottom w:val="0"/>
      <w:divBdr>
        <w:top w:val="none" w:sz="0" w:space="0" w:color="auto"/>
        <w:left w:val="none" w:sz="0" w:space="0" w:color="auto"/>
        <w:bottom w:val="none" w:sz="0" w:space="0" w:color="auto"/>
        <w:right w:val="none" w:sz="0" w:space="0" w:color="auto"/>
      </w:divBdr>
    </w:div>
    <w:div w:id="1570073766">
      <w:bodyDiv w:val="1"/>
      <w:marLeft w:val="0"/>
      <w:marRight w:val="0"/>
      <w:marTop w:val="0"/>
      <w:marBottom w:val="0"/>
      <w:divBdr>
        <w:top w:val="none" w:sz="0" w:space="0" w:color="auto"/>
        <w:left w:val="none" w:sz="0" w:space="0" w:color="auto"/>
        <w:bottom w:val="none" w:sz="0" w:space="0" w:color="auto"/>
        <w:right w:val="none" w:sz="0" w:space="0" w:color="auto"/>
      </w:divBdr>
    </w:div>
    <w:div w:id="21318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wagerepaymentprogram.com.au/" TargetMode="External"/><Relationship Id="rId2" Type="http://schemas.openxmlformats.org/officeDocument/2006/relationships/hyperlink" Target="https://www.fairwork.gov.au/about-us/news-and-media-releases/2016-media-releases/may-2016/20160502-amritsaria-penalty" TargetMode="External"/><Relationship Id="rId1" Type="http://schemas.openxmlformats.org/officeDocument/2006/relationships/hyperlink" Target="https://www.fairwork.gov.au/about-us/access-accountability-and-reporting/inquiry-reports" TargetMode="External"/><Relationship Id="rId4" Type="http://schemas.openxmlformats.org/officeDocument/2006/relationships/hyperlink" Target="https://www.fairwork.gov.au/about-us/access-accountability-and-reporting/activity-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6C131-F4E8-4E32-9965-0878078CB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D6F13E19.dotm</Template>
  <TotalTime>0</TotalTime>
  <Pages>6</Pages>
  <Words>2631</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2017-09-14T01:28:00Z</dcterms:created>
  <dcterms:modified xsi:type="dcterms:W3CDTF">2017-09-14T01:28:00Z</dcterms:modified>
</cp:coreProperties>
</file>