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23E3" w:rsidRPr="002C23E3" w:rsidRDefault="00CF3F04" w:rsidP="002C23E3">
      <w:pPr>
        <w:pStyle w:val="Heading1"/>
      </w:pPr>
      <w:bookmarkStart w:id="0" w:name="_GoBack"/>
      <w:bookmarkEnd w:id="0"/>
      <w:r w:rsidRPr="002C23E3">
        <w:t>Natalie James – Address to AIRAANZ Conference 7 February 2018</w:t>
      </w:r>
    </w:p>
    <w:p w:rsidR="00961432" w:rsidRPr="002C23E3" w:rsidRDefault="00961432" w:rsidP="002C23E3">
      <w:pPr>
        <w:pStyle w:val="Heading2"/>
      </w:pPr>
      <w:r w:rsidRPr="002C23E3">
        <w:t>Trolleys, Taskers and Algorithms: challenges for Today’s regulators in Tomorrow’s Labour Market </w:t>
      </w:r>
    </w:p>
    <w:p w:rsidR="00C559B2" w:rsidRDefault="00C559B2" w:rsidP="00C559B2">
      <w:r>
        <w:t>Thank you for inviting me to speak today.</w:t>
      </w:r>
    </w:p>
    <w:p w:rsidR="00C559B2" w:rsidRDefault="00C559B2" w:rsidP="00C559B2">
      <w:pPr>
        <w:spacing w:after="200"/>
        <w:rPr>
          <w:rFonts w:eastAsia="Times New Roman"/>
        </w:rPr>
      </w:pPr>
      <w:r>
        <w:t xml:space="preserve">Before I begin, I would like to acknowledge the </w:t>
      </w:r>
      <w:r w:rsidR="00CF3959">
        <w:t>Kaurna</w:t>
      </w:r>
      <w:r>
        <w:rPr>
          <w:color w:val="1F497D"/>
        </w:rPr>
        <w:t xml:space="preserve"> </w:t>
      </w:r>
      <w:r>
        <w:t xml:space="preserve">people </w:t>
      </w:r>
      <w:r w:rsidRPr="008C6B9A">
        <w:rPr>
          <w:rFonts w:eastAsia="Times New Roman"/>
        </w:rPr>
        <w:t xml:space="preserve">who are the traditional custodians of the land on which we meet today. I would also like to pay respect to their Elders both past and present and extend </w:t>
      </w:r>
      <w:r>
        <w:rPr>
          <w:rFonts w:eastAsia="Times New Roman"/>
        </w:rPr>
        <w:t xml:space="preserve">that </w:t>
      </w:r>
      <w:r w:rsidRPr="008C6B9A">
        <w:rPr>
          <w:rFonts w:eastAsia="Times New Roman"/>
        </w:rPr>
        <w:t>respect to an</w:t>
      </w:r>
      <w:r>
        <w:rPr>
          <w:rFonts w:eastAsia="Times New Roman"/>
        </w:rPr>
        <w:t>y Aboriginal and Torres Strait I</w:t>
      </w:r>
      <w:r w:rsidRPr="008C6B9A">
        <w:rPr>
          <w:rFonts w:eastAsia="Times New Roman"/>
        </w:rPr>
        <w:t>slanders here today.</w:t>
      </w:r>
    </w:p>
    <w:p w:rsidR="00C559B2" w:rsidRPr="002C23E3" w:rsidRDefault="00C559B2" w:rsidP="002C23E3">
      <w:pPr>
        <w:pStyle w:val="Heading3"/>
      </w:pPr>
      <w:r w:rsidRPr="002C23E3">
        <w:t>Introduction</w:t>
      </w:r>
    </w:p>
    <w:p w:rsidR="00C559B2" w:rsidRDefault="00C559B2" w:rsidP="00C559B2">
      <w:r>
        <w:t xml:space="preserve">In recent months some people have asserted the workplace relations system is broken. </w:t>
      </w:r>
    </w:p>
    <w:p w:rsidR="00C559B2" w:rsidRDefault="00C559B2" w:rsidP="00C559B2">
      <w:r>
        <w:t xml:space="preserve">That wage theft is out of control. </w:t>
      </w:r>
    </w:p>
    <w:p w:rsidR="00C559B2" w:rsidRDefault="00C559B2" w:rsidP="00C559B2">
      <w:r>
        <w:t xml:space="preserve">That enterprise bargaining is dead. </w:t>
      </w:r>
    </w:p>
    <w:p w:rsidR="00C559B2" w:rsidRDefault="00C559B2" w:rsidP="00C559B2">
      <w:r>
        <w:rPr>
          <w:noProof/>
          <w:lang w:eastAsia="en-AU"/>
        </w:rPr>
        <w:t>Some have said that wage theft should be criminalised – that the pecuniary penalties</w:t>
      </w:r>
      <w:r>
        <w:t xml:space="preserve"> awarded by the courts are inadequate. </w:t>
      </w:r>
    </w:p>
    <w:p w:rsidR="00C559B2" w:rsidRDefault="00C559B2" w:rsidP="00C559B2">
      <w:pPr>
        <w:rPr>
          <w:noProof/>
          <w:lang w:eastAsia="en-AU"/>
        </w:rPr>
      </w:pPr>
      <w:r>
        <w:rPr>
          <w:noProof/>
          <w:lang w:eastAsia="en-AU"/>
        </w:rPr>
        <w:t xml:space="preserve">Aspects of the Fair Work Ombudsman’s regulatory approach have been questioned. It’s been suggested we give employers too many chances. That more cases should be taken to court. </w:t>
      </w:r>
    </w:p>
    <w:p w:rsidR="00C559B2" w:rsidRDefault="00C559B2" w:rsidP="00C559B2">
      <w:r>
        <w:rPr>
          <w:noProof/>
          <w:lang w:eastAsia="en-AU"/>
        </w:rPr>
        <w:t>It’s worth noting that the Fair Work Ombudsman currently has 110 matters before the courts. We are keeping the Judges pretty busy.</w:t>
      </w:r>
    </w:p>
    <w:p w:rsidR="00C559B2" w:rsidRDefault="00C559B2" w:rsidP="00C559B2">
      <w:r>
        <w:t>However, some Judges have questioned whether the matters we have brought before them should have ended up in court. While we’ve seen higher and higher penalties being handed out overall</w:t>
      </w:r>
      <w:r>
        <w:rPr>
          <w:rStyle w:val="FootnoteReference"/>
        </w:rPr>
        <w:footnoteReference w:id="1"/>
      </w:r>
      <w:r>
        <w:t>, on occasion a Judge might suggest a matter would have been better resolved without court action.</w:t>
      </w:r>
      <w:r>
        <w:rPr>
          <w:rStyle w:val="FootnoteReference"/>
        </w:rPr>
        <w:footnoteReference w:id="2"/>
      </w:r>
      <w:r>
        <w:t xml:space="preserve"> </w:t>
      </w:r>
    </w:p>
    <w:p w:rsidR="00C559B2" w:rsidRDefault="00C559B2" w:rsidP="00C559B2">
      <w:r>
        <w:t>Such is the life of a regulator. It is appropriate for the community and experts to scrutinise how public institutions fulfil their remit.  It’s our job to remain neutral and impartial, to consider and respond to feedback and to aim to get the balance right.</w:t>
      </w:r>
    </w:p>
    <w:p w:rsidR="00C559B2" w:rsidRDefault="00C559B2" w:rsidP="00C559B2">
      <w:r>
        <w:t xml:space="preserve">My Inspectors apply modern regulatory practice which is based on a risk management approach designed to match actions and consequence to the nature of the conduct and to ensure we use our resources to maximise our impact. We consider a range of factors when we decide how to resolve a dispute. We have a suite of enforcement tools – the most serious and high profile being court action. </w:t>
      </w:r>
    </w:p>
    <w:p w:rsidR="00C559B2" w:rsidRDefault="00C559B2" w:rsidP="00C559B2">
      <w:r>
        <w:lastRenderedPageBreak/>
        <w:t>But the Parliament has also bestowed upon Inspectors other tools: Infringement Notices for record keeping breaches, Compliance Notices requiring underpayments to be corrected and Enforceable Undertakings – a longstanding feature of many Australian regulatory frameworks.</w:t>
      </w:r>
    </w:p>
    <w:p w:rsidR="00C559B2" w:rsidRDefault="00C559B2" w:rsidP="00C559B2">
      <w:r>
        <w:t>Indeed, we recover most underpayments without using formal action.</w:t>
      </w:r>
      <w:r>
        <w:rPr>
          <w:rStyle w:val="FootnoteReference"/>
        </w:rPr>
        <w:footnoteReference w:id="3"/>
      </w:r>
      <w:r>
        <w:t xml:space="preserve"> When we </w:t>
      </w:r>
      <w:r w:rsidR="0093786B">
        <w:t>utilise</w:t>
      </w:r>
      <w:r>
        <w:t xml:space="preserve"> formal enforcement outcomes we aim to deploy them consistently and fairly, in accordance with our Compliance and</w:t>
      </w:r>
      <w:r w:rsidR="0093786B">
        <w:t xml:space="preserve"> Enforcement Policy</w:t>
      </w:r>
      <w:r>
        <w:t>.</w:t>
      </w:r>
      <w:r>
        <w:rPr>
          <w:rStyle w:val="FootnoteReference"/>
        </w:rPr>
        <w:footnoteReference w:id="4"/>
      </w:r>
      <w:r w:rsidR="0093786B">
        <w:t xml:space="preserve"> We apply the same principles whether investigating a business or a union in relation to a breach of the law.</w:t>
      </w:r>
    </w:p>
    <w:p w:rsidR="00C559B2" w:rsidRDefault="00C559B2" w:rsidP="00C559B2">
      <w:r>
        <w:t>We work within the legal framework established by the Parliament that created us and within the resources allocated to us by the Parliament. By all means we push the boundaries – with our use of accessorial liability, freezing and winding up orders to ensure respondents pay up</w:t>
      </w:r>
      <w:r>
        <w:rPr>
          <w:rStyle w:val="FootnoteReference"/>
        </w:rPr>
        <w:footnoteReference w:id="5"/>
      </w:r>
      <w:r>
        <w:t>, and in one current case, contempt of court.</w:t>
      </w:r>
      <w:r>
        <w:rPr>
          <w:rStyle w:val="FootnoteReference"/>
        </w:rPr>
        <w:footnoteReference w:id="6"/>
      </w:r>
      <w:r>
        <w:t xml:space="preserve"> </w:t>
      </w:r>
    </w:p>
    <w:p w:rsidR="00C559B2" w:rsidRDefault="00C559B2" w:rsidP="00C559B2">
      <w:r>
        <w:t>I am part of the system. Indeed, I had a hand in framing it in my previous role in the Department.  It would be controversial for someone in my position to assert that it is broken…or indeed, to proffer the alternative opinion.</w:t>
      </w:r>
    </w:p>
    <w:p w:rsidR="00C559B2" w:rsidRDefault="00C559B2" w:rsidP="00C559B2">
      <w:r>
        <w:t xml:space="preserve">But I can share my observations after almost five years as the custodian of the Fair Work Ombudsman. </w:t>
      </w:r>
    </w:p>
    <w:p w:rsidR="00C559B2" w:rsidRPr="0059670A" w:rsidRDefault="00C559B2" w:rsidP="002C23E3">
      <w:pPr>
        <w:pStyle w:val="Heading3"/>
      </w:pPr>
      <w:r w:rsidRPr="0059670A">
        <w:t>New ways to work</w:t>
      </w:r>
      <w:r>
        <w:t xml:space="preserve"> – the intersection</w:t>
      </w:r>
    </w:p>
    <w:p w:rsidR="00C559B2" w:rsidRDefault="00C559B2" w:rsidP="00C559B2">
      <w:pPr>
        <w:spacing w:after="200"/>
        <w:rPr>
          <w:rFonts w:eastAsia="Times New Roman"/>
        </w:rPr>
      </w:pPr>
      <w:r>
        <w:rPr>
          <w:rFonts w:eastAsia="Times New Roman"/>
        </w:rPr>
        <w:t>T</w:t>
      </w:r>
      <w:r w:rsidRPr="0059670A">
        <w:rPr>
          <w:rFonts w:eastAsia="Times New Roman"/>
        </w:rPr>
        <w:t>he platform economy</w:t>
      </w:r>
      <w:r>
        <w:rPr>
          <w:rFonts w:eastAsia="Times New Roman"/>
        </w:rPr>
        <w:t xml:space="preserve"> promises a range of opportunities for consumers, workers and businesses. </w:t>
      </w:r>
    </w:p>
    <w:p w:rsidR="00C559B2" w:rsidRDefault="00C559B2" w:rsidP="00C559B2">
      <w:pPr>
        <w:spacing w:after="200"/>
        <w:rPr>
          <w:rFonts w:eastAsia="Times New Roman"/>
        </w:rPr>
      </w:pPr>
      <w:r>
        <w:rPr>
          <w:rFonts w:eastAsia="Times New Roman"/>
        </w:rPr>
        <w:t>In their essay titled ‘</w:t>
      </w:r>
      <w:r w:rsidRPr="0052572A">
        <w:rPr>
          <w:rFonts w:eastAsia="Times New Roman"/>
          <w:i/>
        </w:rPr>
        <w:t>Technology, the Digital Economy and the Challenge for Market Regulation</w:t>
      </w:r>
      <w:r>
        <w:rPr>
          <w:rFonts w:eastAsia="Times New Roman"/>
        </w:rPr>
        <w:t>’, Gahan, Healy and Nicholson note how these new technologies have created new avenues for matching labour demand with supply.  We now see peer-to-peer marketplaces for jobs and services and a gig economy where jobs are discrete.</w:t>
      </w:r>
      <w:r>
        <w:rPr>
          <w:rStyle w:val="FootnoteReference"/>
          <w:rFonts w:eastAsia="Times New Roman"/>
        </w:rPr>
        <w:footnoteReference w:id="7"/>
      </w:r>
    </w:p>
    <w:p w:rsidR="00C559B2" w:rsidRDefault="00C559B2" w:rsidP="00C559B2">
      <w:pPr>
        <w:spacing w:after="200"/>
        <w:rPr>
          <w:rFonts w:eastAsia="Times New Roman"/>
        </w:rPr>
      </w:pPr>
      <w:r w:rsidRPr="0059670A">
        <w:rPr>
          <w:rFonts w:eastAsia="Times New Roman"/>
        </w:rPr>
        <w:t xml:space="preserve">While </w:t>
      </w:r>
      <w:r>
        <w:rPr>
          <w:rFonts w:eastAsia="Times New Roman"/>
        </w:rPr>
        <w:t xml:space="preserve">these businesses are </w:t>
      </w:r>
      <w:r w:rsidRPr="0059670A">
        <w:rPr>
          <w:rFonts w:eastAsia="Times New Roman"/>
        </w:rPr>
        <w:t xml:space="preserve">mere toddlers </w:t>
      </w:r>
      <w:r>
        <w:rPr>
          <w:rFonts w:eastAsia="Times New Roman"/>
        </w:rPr>
        <w:t xml:space="preserve">trotting around in </w:t>
      </w:r>
      <w:r w:rsidRPr="0059670A">
        <w:rPr>
          <w:rFonts w:eastAsia="Times New Roman"/>
        </w:rPr>
        <w:t xml:space="preserve">our centenarian </w:t>
      </w:r>
      <w:r>
        <w:rPr>
          <w:rFonts w:eastAsia="Times New Roman"/>
        </w:rPr>
        <w:t>industrial relations</w:t>
      </w:r>
      <w:r w:rsidRPr="0059670A">
        <w:rPr>
          <w:rFonts w:eastAsia="Times New Roman"/>
        </w:rPr>
        <w:t xml:space="preserve"> system</w:t>
      </w:r>
      <w:r>
        <w:rPr>
          <w:rFonts w:eastAsia="Times New Roman"/>
        </w:rPr>
        <w:t xml:space="preserve"> with their algorithms and their aps</w:t>
      </w:r>
      <w:r w:rsidRPr="0059670A">
        <w:rPr>
          <w:rFonts w:eastAsia="Times New Roman"/>
        </w:rPr>
        <w:t xml:space="preserve">, these models </w:t>
      </w:r>
      <w:r>
        <w:rPr>
          <w:rFonts w:eastAsia="Times New Roman"/>
        </w:rPr>
        <w:t xml:space="preserve">have had high uptake and have quickly become </w:t>
      </w:r>
      <w:r w:rsidRPr="0059670A">
        <w:rPr>
          <w:rFonts w:eastAsia="Times New Roman"/>
        </w:rPr>
        <w:t>established</w:t>
      </w:r>
      <w:r>
        <w:rPr>
          <w:rFonts w:eastAsia="Times New Roman"/>
        </w:rPr>
        <w:t xml:space="preserve"> in the labour market and in our lives</w:t>
      </w:r>
      <w:r w:rsidRPr="0059670A">
        <w:rPr>
          <w:rFonts w:eastAsia="Times New Roman"/>
        </w:rPr>
        <w:t xml:space="preserve">. </w:t>
      </w:r>
      <w:r>
        <w:rPr>
          <w:rFonts w:eastAsia="Times New Roman"/>
        </w:rPr>
        <w:t xml:space="preserve"> </w:t>
      </w:r>
    </w:p>
    <w:p w:rsidR="00C559B2" w:rsidRDefault="00C559B2" w:rsidP="00C559B2">
      <w:pPr>
        <w:spacing w:after="200"/>
        <w:rPr>
          <w:rFonts w:eastAsia="Times New Roman"/>
        </w:rPr>
      </w:pPr>
      <w:r>
        <w:rPr>
          <w:rFonts w:eastAsia="Times New Roman"/>
        </w:rPr>
        <w:t>Whether you welcome them as an</w:t>
      </w:r>
      <w:r w:rsidRPr="0059670A">
        <w:rPr>
          <w:rFonts w:eastAsia="Times New Roman"/>
        </w:rPr>
        <w:t xml:space="preserve"> opportunity for entrepreneurialism or </w:t>
      </w:r>
      <w:r>
        <w:rPr>
          <w:rFonts w:eastAsia="Times New Roman"/>
        </w:rPr>
        <w:t>deride them as a</w:t>
      </w:r>
      <w:r w:rsidRPr="0059670A">
        <w:rPr>
          <w:rFonts w:eastAsia="Times New Roman"/>
        </w:rPr>
        <w:t xml:space="preserve"> source of exploitation, </w:t>
      </w:r>
      <w:r>
        <w:rPr>
          <w:rFonts w:eastAsia="Times New Roman"/>
        </w:rPr>
        <w:t>they are challenging our century old</w:t>
      </w:r>
      <w:r w:rsidRPr="0059670A">
        <w:rPr>
          <w:rFonts w:eastAsia="Times New Roman"/>
        </w:rPr>
        <w:t xml:space="preserve"> </w:t>
      </w:r>
      <w:r>
        <w:rPr>
          <w:rFonts w:eastAsia="Times New Roman"/>
        </w:rPr>
        <w:t>industrial relations</w:t>
      </w:r>
      <w:r w:rsidRPr="0059670A">
        <w:rPr>
          <w:rFonts w:eastAsia="Times New Roman"/>
        </w:rPr>
        <w:t xml:space="preserve"> system</w:t>
      </w:r>
      <w:r>
        <w:rPr>
          <w:rFonts w:eastAsia="Times New Roman"/>
        </w:rPr>
        <w:t>.</w:t>
      </w:r>
    </w:p>
    <w:p w:rsidR="00C559B2" w:rsidRDefault="00C559B2" w:rsidP="00C559B2">
      <w:pPr>
        <w:spacing w:after="200"/>
        <w:rPr>
          <w:rFonts w:eastAsia="Times New Roman"/>
        </w:rPr>
      </w:pPr>
      <w:r>
        <w:rPr>
          <w:rFonts w:eastAsia="Times New Roman"/>
        </w:rPr>
        <w:t>O</w:t>
      </w:r>
      <w:r w:rsidRPr="0059670A">
        <w:rPr>
          <w:rFonts w:eastAsia="Times New Roman"/>
        </w:rPr>
        <w:t>nline delivery services</w:t>
      </w:r>
      <w:r>
        <w:rPr>
          <w:rFonts w:eastAsia="Times New Roman"/>
        </w:rPr>
        <w:t xml:space="preserve"> such as Uber </w:t>
      </w:r>
      <w:r w:rsidRPr="00D94A60">
        <w:rPr>
          <w:rFonts w:eastAsia="Times New Roman"/>
        </w:rPr>
        <w:t>Eats, Menulog, Foodora and Deliveroo offer abundant convenience to hungry</w:t>
      </w:r>
      <w:r>
        <w:rPr>
          <w:rFonts w:eastAsia="Times New Roman"/>
        </w:rPr>
        <w:t>,</w:t>
      </w:r>
      <w:r w:rsidRPr="00D94A60">
        <w:rPr>
          <w:rFonts w:eastAsia="Times New Roman"/>
        </w:rPr>
        <w:t xml:space="preserve"> time-poor people. </w:t>
      </w:r>
    </w:p>
    <w:p w:rsidR="00C559B2" w:rsidRPr="00D94A60" w:rsidRDefault="00C559B2" w:rsidP="00C559B2">
      <w:pPr>
        <w:spacing w:after="200"/>
        <w:rPr>
          <w:rFonts w:eastAsia="Times New Roman"/>
        </w:rPr>
      </w:pPr>
      <w:r>
        <w:rPr>
          <w:rFonts w:eastAsia="Times New Roman"/>
        </w:rPr>
        <w:lastRenderedPageBreak/>
        <w:t xml:space="preserve">While they open up new customers for some, others </w:t>
      </w:r>
      <w:r w:rsidRPr="00D94A60">
        <w:rPr>
          <w:rFonts w:eastAsia="Times New Roman"/>
        </w:rPr>
        <w:t>claim they are eating away at their profit margins and stealing their customers.</w:t>
      </w:r>
      <w:r w:rsidRPr="00D94A60">
        <w:rPr>
          <w:rStyle w:val="FootnoteReference"/>
          <w:rFonts w:eastAsia="Times New Roman"/>
        </w:rPr>
        <w:footnoteReference w:id="8"/>
      </w:r>
      <w:r w:rsidRPr="00D94A60">
        <w:rPr>
          <w:rFonts w:eastAsia="Times New Roman"/>
        </w:rPr>
        <w:t xml:space="preserve"> </w:t>
      </w:r>
    </w:p>
    <w:p w:rsidR="00C559B2" w:rsidRDefault="00C559B2" w:rsidP="00C559B2">
      <w:pPr>
        <w:spacing w:after="200"/>
        <w:rPr>
          <w:rFonts w:eastAsia="Times New Roman"/>
        </w:rPr>
      </w:pPr>
      <w:r>
        <w:rPr>
          <w:rFonts w:eastAsia="Times New Roman"/>
        </w:rPr>
        <w:t xml:space="preserve">For workers, they offer the opportunity </w:t>
      </w:r>
      <w:r w:rsidRPr="00D94A60">
        <w:rPr>
          <w:rFonts w:eastAsia="Times New Roman"/>
        </w:rPr>
        <w:t>to</w:t>
      </w:r>
      <w:r>
        <w:rPr>
          <w:rFonts w:eastAsia="Times New Roman"/>
        </w:rPr>
        <w:t xml:space="preserve"> be their own boss and work when they want, or</w:t>
      </w:r>
      <w:r w:rsidRPr="00D94A60">
        <w:rPr>
          <w:rFonts w:eastAsia="Times New Roman"/>
        </w:rPr>
        <w:t xml:space="preserve"> earn some extra cash, on top of other jobs</w:t>
      </w:r>
      <w:r>
        <w:rPr>
          <w:rFonts w:eastAsia="Times New Roman"/>
        </w:rPr>
        <w:t xml:space="preserve"> or when they are between jobs.</w:t>
      </w:r>
    </w:p>
    <w:p w:rsidR="00C559B2" w:rsidRPr="001A50F9" w:rsidRDefault="00C559B2" w:rsidP="00C559B2">
      <w:pPr>
        <w:spacing w:after="200"/>
        <w:rPr>
          <w:rFonts w:eastAsia="Times New Roman"/>
        </w:rPr>
      </w:pPr>
      <w:r w:rsidRPr="00D94A60">
        <w:rPr>
          <w:rFonts w:eastAsia="Times New Roman"/>
        </w:rPr>
        <w:t xml:space="preserve">But </w:t>
      </w:r>
      <w:r>
        <w:rPr>
          <w:rFonts w:eastAsia="Times New Roman"/>
        </w:rPr>
        <w:t>….</w:t>
      </w:r>
      <w:r w:rsidRPr="00D94A60">
        <w:rPr>
          <w:rFonts w:eastAsia="Times New Roman"/>
        </w:rPr>
        <w:t xml:space="preserve"> What about superannuation? What happens if they crash the car or fall off that bike? </w:t>
      </w:r>
      <w:r>
        <w:rPr>
          <w:rFonts w:eastAsia="Times New Roman"/>
        </w:rPr>
        <w:t xml:space="preserve">Or have a slow week? </w:t>
      </w:r>
    </w:p>
    <w:p w:rsidR="00C559B2" w:rsidRDefault="00C559B2" w:rsidP="00C559B2">
      <w:pPr>
        <w:spacing w:after="200"/>
        <w:rPr>
          <w:rFonts w:eastAsia="Times New Roman"/>
        </w:rPr>
      </w:pPr>
      <w:r w:rsidRPr="00F860CD">
        <w:rPr>
          <w:rFonts w:eastAsia="Times New Roman"/>
        </w:rPr>
        <w:t xml:space="preserve">For me </w:t>
      </w:r>
      <w:r>
        <w:rPr>
          <w:rFonts w:eastAsia="Times New Roman"/>
        </w:rPr>
        <w:t>a recent personal experience gave me pause to consider the opportunities a little differently.</w:t>
      </w:r>
    </w:p>
    <w:p w:rsidR="00C559B2" w:rsidRDefault="00C559B2" w:rsidP="00C559B2">
      <w:pPr>
        <w:spacing w:after="200"/>
        <w:rPr>
          <w:rFonts w:eastAsia="Times New Roman"/>
        </w:rPr>
      </w:pPr>
      <w:r>
        <w:rPr>
          <w:rFonts w:eastAsia="Times New Roman"/>
        </w:rPr>
        <w:t xml:space="preserve">Over the New Year break I moved house – and after five years my previous home required a thorough end of lease clean.  It was the sort of clean that I couldn’t get done on my own despite all the elbow grease and good intentions in the world. </w:t>
      </w:r>
    </w:p>
    <w:p w:rsidR="00C559B2" w:rsidRDefault="00C559B2" w:rsidP="00C559B2">
      <w:pPr>
        <w:spacing w:after="200"/>
        <w:rPr>
          <w:rFonts w:eastAsia="Times New Roman"/>
        </w:rPr>
      </w:pPr>
      <w:r>
        <w:rPr>
          <w:rFonts w:eastAsia="Times New Roman"/>
        </w:rPr>
        <w:t xml:space="preserve">So I started doing research to find a cleaner. Companies were generally quoting a total amount for the job…based on my description, sight unseen. Those who quoted an hourly rate were around $30 per hour. </w:t>
      </w:r>
    </w:p>
    <w:p w:rsidR="00C559B2" w:rsidRDefault="00C559B2" w:rsidP="00C559B2">
      <w:pPr>
        <w:spacing w:after="200"/>
        <w:rPr>
          <w:rFonts w:eastAsia="Times New Roman"/>
        </w:rPr>
      </w:pPr>
      <w:r>
        <w:rPr>
          <w:rFonts w:eastAsia="Times New Roman"/>
        </w:rPr>
        <w:t xml:space="preserve">While these workers may have been contractors, I wanted them to receive the equivalent of award rates. That was my choice, and based on the information I had… with all my knowledge of this industry and the vulnerable workers in it, I had to wonder, how much would the cleaners themselves get? </w:t>
      </w:r>
    </w:p>
    <w:p w:rsidR="00C559B2" w:rsidRDefault="00C559B2" w:rsidP="00C559B2">
      <w:pPr>
        <w:spacing w:after="200"/>
        <w:rPr>
          <w:rFonts w:eastAsia="Times New Roman"/>
        </w:rPr>
      </w:pPr>
      <w:r>
        <w:rPr>
          <w:rFonts w:eastAsia="Times New Roman"/>
        </w:rPr>
        <w:t>I asked one operator, but he wouldn’t answer my very direct question, instead seeking to reassure me that the quote was ‘for the job’ no matter how long it took.</w:t>
      </w:r>
    </w:p>
    <w:p w:rsidR="00C559B2" w:rsidRDefault="00C559B2" w:rsidP="00C559B2">
      <w:pPr>
        <w:spacing w:after="200"/>
        <w:rPr>
          <w:rFonts w:eastAsia="Times New Roman"/>
        </w:rPr>
      </w:pPr>
      <w:r>
        <w:rPr>
          <w:rFonts w:eastAsia="Times New Roman"/>
        </w:rPr>
        <w:t xml:space="preserve">I looked on the FWO’s Pay and Conditions Tool to confirm the base rates applicable under the </w:t>
      </w:r>
      <w:r>
        <w:rPr>
          <w:rFonts w:eastAsia="Times New Roman"/>
          <w:i/>
        </w:rPr>
        <w:t>Cleaning Services Award</w:t>
      </w:r>
      <w:r>
        <w:rPr>
          <w:rFonts w:eastAsia="Times New Roman"/>
        </w:rPr>
        <w:t xml:space="preserve">: $24.41 per hour for a casual and $19.53 per hour for a permanent employee. </w:t>
      </w:r>
    </w:p>
    <w:p w:rsidR="00C559B2" w:rsidRDefault="00C559B2" w:rsidP="00C559B2">
      <w:pPr>
        <w:spacing w:after="200"/>
        <w:rPr>
          <w:rFonts w:eastAsia="Times New Roman"/>
        </w:rPr>
      </w:pPr>
      <w:r>
        <w:rPr>
          <w:rFonts w:eastAsia="Times New Roman"/>
        </w:rPr>
        <w:t>Making allowances for superannuation and the cost of products and equipment … which they were providing … $30 might be enough … but what cut was the company taking? I wasn’t confident the workers would receive the equivalent of award rates after the company’s take was deducted.</w:t>
      </w:r>
    </w:p>
    <w:p w:rsidR="00C559B2" w:rsidRDefault="00C559B2" w:rsidP="00C559B2">
      <w:pPr>
        <w:spacing w:after="200"/>
        <w:rPr>
          <w:rFonts w:eastAsia="Times New Roman"/>
        </w:rPr>
      </w:pPr>
      <w:r>
        <w:rPr>
          <w:rFonts w:eastAsia="Times New Roman"/>
        </w:rPr>
        <w:t>Ironically, perhaps, for me I felt the option of procuring workers directly would make it more likely they would receive fair payment, and that I could assess that amount to be fair, rather than going through an established company.</w:t>
      </w:r>
    </w:p>
    <w:p w:rsidR="00C559B2" w:rsidRDefault="00C559B2" w:rsidP="00C559B2">
      <w:pPr>
        <w:spacing w:after="200"/>
        <w:rPr>
          <w:rFonts w:eastAsia="Times New Roman"/>
        </w:rPr>
      </w:pPr>
      <w:r>
        <w:rPr>
          <w:rFonts w:eastAsia="Times New Roman"/>
        </w:rPr>
        <w:t>So, I put an ad up on Airtasker.</w:t>
      </w:r>
      <w:r>
        <w:rPr>
          <w:rStyle w:val="FootnoteReference"/>
          <w:rFonts w:eastAsia="Times New Roman"/>
        </w:rPr>
        <w:footnoteReference w:id="9"/>
      </w:r>
      <w:r>
        <w:rPr>
          <w:rFonts w:eastAsia="Times New Roman"/>
        </w:rPr>
        <w:t xml:space="preserve"> In what was reported to be a ‘world first’ Airtasker made an agreement with Unions NSW last year about the pay and safety of those providing work through its technology.</w:t>
      </w:r>
    </w:p>
    <w:p w:rsidR="00C559B2" w:rsidRDefault="00C559B2" w:rsidP="00C559B2">
      <w:pPr>
        <w:spacing w:after="200"/>
        <w:rPr>
          <w:rFonts w:eastAsia="Times New Roman"/>
        </w:rPr>
      </w:pPr>
      <w:r>
        <w:rPr>
          <w:rFonts w:eastAsia="Times New Roman"/>
        </w:rPr>
        <w:t xml:space="preserve">I selected higher quotes and bypassed the intermediaries who would otherwise take a cut. </w:t>
      </w:r>
    </w:p>
    <w:p w:rsidR="00C559B2" w:rsidRDefault="00C559B2" w:rsidP="00C559B2">
      <w:pPr>
        <w:spacing w:after="200"/>
        <w:rPr>
          <w:rFonts w:eastAsia="Times New Roman"/>
        </w:rPr>
      </w:pPr>
      <w:r>
        <w:rPr>
          <w:rFonts w:eastAsia="Times New Roman"/>
        </w:rPr>
        <w:lastRenderedPageBreak/>
        <w:t>The two of them arrived with their equipment and daughter in tow. I suggested the best spot for coffee nearby.  When they told me it took a bit longer than they expected, I paid them extra.  We did this ‘outside the system’ but I noticed that Airtasker now allows you to give bonuses within the app.</w:t>
      </w:r>
    </w:p>
    <w:p w:rsidR="00C559B2" w:rsidRDefault="00C559B2" w:rsidP="00C559B2">
      <w:pPr>
        <w:spacing w:after="200"/>
        <w:rPr>
          <w:rFonts w:eastAsia="Times New Roman"/>
        </w:rPr>
      </w:pPr>
      <w:r>
        <w:rPr>
          <w:rFonts w:eastAsia="Times New Roman"/>
        </w:rPr>
        <w:t xml:space="preserve">By engaging directly with the people who would be doing the work, and by doing my research, I felt I had done a fair deal. </w:t>
      </w:r>
    </w:p>
    <w:p w:rsidR="00C559B2" w:rsidRDefault="00C559B2" w:rsidP="00C559B2">
      <w:pPr>
        <w:spacing w:after="200"/>
        <w:rPr>
          <w:rFonts w:eastAsia="Times New Roman"/>
        </w:rPr>
      </w:pPr>
      <w:r>
        <w:rPr>
          <w:rFonts w:eastAsia="Times New Roman"/>
        </w:rPr>
        <w:t xml:space="preserve">But it involved a bit of effort on my part. And I’m sufficiently in the know to work out what questions to ask and get the right information about award rates. </w:t>
      </w:r>
    </w:p>
    <w:p w:rsidR="00C559B2" w:rsidRDefault="00C559B2" w:rsidP="00C559B2">
      <w:pPr>
        <w:spacing w:after="200"/>
        <w:rPr>
          <w:rFonts w:eastAsia="Times New Roman"/>
        </w:rPr>
      </w:pPr>
      <w:r>
        <w:rPr>
          <w:rFonts w:eastAsia="Times New Roman"/>
        </w:rPr>
        <w:t>It made me sympathise with businesses we have dealt with who have thrown their hands up saying: “I pay the going rate for my office cleaners…or security guards” – and protest they can’t be certain what the workers, not their own employees, are actually paid.</w:t>
      </w:r>
    </w:p>
    <w:p w:rsidR="00C559B2" w:rsidRDefault="00C559B2" w:rsidP="00C559B2">
      <w:pPr>
        <w:spacing w:after="200"/>
        <w:rPr>
          <w:rFonts w:eastAsia="Times New Roman"/>
        </w:rPr>
      </w:pPr>
      <w:r>
        <w:rPr>
          <w:rFonts w:eastAsia="Times New Roman"/>
        </w:rPr>
        <w:t xml:space="preserve">It also made me appreciate the value of our new contracting and supply chain guidance material on our website. </w:t>
      </w:r>
    </w:p>
    <w:p w:rsidR="00C559B2" w:rsidRPr="00550C66" w:rsidRDefault="00C559B2" w:rsidP="002C23E3">
      <w:pPr>
        <w:pStyle w:val="Heading3"/>
      </w:pPr>
      <w:r>
        <w:t>New ways to work &amp; old law to apply</w:t>
      </w:r>
    </w:p>
    <w:p w:rsidR="00C559B2" w:rsidRDefault="00C559B2" w:rsidP="00C559B2">
      <w:pPr>
        <w:spacing w:after="200"/>
        <w:rPr>
          <w:rFonts w:eastAsia="Times New Roman"/>
        </w:rPr>
      </w:pPr>
      <w:r w:rsidRPr="0059670A">
        <w:rPr>
          <w:rFonts w:eastAsia="Times New Roman"/>
        </w:rPr>
        <w:t xml:space="preserve">There are obvious questions to ponder, like how do these models intersect with the law? Does our award system apply? </w:t>
      </w:r>
      <w:r>
        <w:rPr>
          <w:rFonts w:eastAsia="Times New Roman"/>
        </w:rPr>
        <w:t xml:space="preserve">If not, should it? </w:t>
      </w:r>
      <w:r w:rsidRPr="0059670A">
        <w:rPr>
          <w:rFonts w:eastAsia="Times New Roman"/>
        </w:rPr>
        <w:t>Or more fundamentally, are the workers even covered by t</w:t>
      </w:r>
      <w:r>
        <w:rPr>
          <w:rFonts w:eastAsia="Times New Roman"/>
        </w:rPr>
        <w:t>he statutory framework,</w:t>
      </w:r>
      <w:r w:rsidRPr="0059670A">
        <w:rPr>
          <w:rFonts w:eastAsia="Times New Roman"/>
        </w:rPr>
        <w:t xml:space="preserve"> founded on the century old principles of the common law </w:t>
      </w:r>
      <w:r>
        <w:rPr>
          <w:rFonts w:eastAsia="Times New Roman"/>
        </w:rPr>
        <w:t xml:space="preserve">contract of </w:t>
      </w:r>
      <w:r w:rsidRPr="0059670A">
        <w:rPr>
          <w:rFonts w:eastAsia="Times New Roman"/>
        </w:rPr>
        <w:t>employment?</w:t>
      </w:r>
      <w:r>
        <w:rPr>
          <w:rFonts w:eastAsia="Times New Roman"/>
        </w:rPr>
        <w:t xml:space="preserve"> What’s behind the effort to which some go, to take themselves outside of that system? Questions of fairness, economics and law are all thrown around.</w:t>
      </w:r>
    </w:p>
    <w:p w:rsidR="00C559B2" w:rsidRPr="008E41F4" w:rsidRDefault="00C559B2" w:rsidP="00C559B2">
      <w:pPr>
        <w:spacing w:after="200"/>
        <w:rPr>
          <w:rFonts w:eastAsia="Times New Roman"/>
        </w:rPr>
      </w:pPr>
      <w:r>
        <w:rPr>
          <w:rFonts w:eastAsia="Times New Roman"/>
        </w:rPr>
        <w:t xml:space="preserve">For the Fair Work Ombudsman, we apply the law under this framework as we are currently doing </w:t>
      </w:r>
      <w:r w:rsidRPr="008E41F4">
        <w:rPr>
          <w:rFonts w:eastAsia="Times New Roman"/>
        </w:rPr>
        <w:t>with respect to a number of platform economy models</w:t>
      </w:r>
      <w:r>
        <w:rPr>
          <w:rFonts w:eastAsia="Times New Roman"/>
        </w:rPr>
        <w:t xml:space="preserve">. Some of this work has been publicly reported. </w:t>
      </w:r>
    </w:p>
    <w:p w:rsidR="00C559B2" w:rsidRDefault="00C559B2" w:rsidP="00C559B2">
      <w:pPr>
        <w:spacing w:after="200"/>
        <w:rPr>
          <w:rFonts w:eastAsia="Times New Roman"/>
        </w:rPr>
      </w:pPr>
      <w:r w:rsidRPr="008E41F4">
        <w:rPr>
          <w:rFonts w:eastAsia="Times New Roman"/>
        </w:rPr>
        <w:t xml:space="preserve">These matters may present the opportunity to test </w:t>
      </w:r>
      <w:r>
        <w:rPr>
          <w:rFonts w:eastAsia="Times New Roman"/>
        </w:rPr>
        <w:t xml:space="preserve">before a court </w:t>
      </w:r>
      <w:r w:rsidRPr="008E41F4">
        <w:rPr>
          <w:rFonts w:eastAsia="Times New Roman"/>
        </w:rPr>
        <w:t>whether these work arrangements comply with our workplace laws. While there has been much theorising, there hasn’t been much judicial consideration of these issues. Until….</w:t>
      </w:r>
    </w:p>
    <w:p w:rsidR="00C559B2" w:rsidRDefault="00C559B2" w:rsidP="00C559B2">
      <w:pPr>
        <w:spacing w:after="200"/>
        <w:rPr>
          <w:rFonts w:eastAsia="Times New Roman"/>
        </w:rPr>
      </w:pPr>
      <w:r>
        <w:rPr>
          <w:rFonts w:eastAsia="Times New Roman"/>
        </w:rPr>
        <w:t>Just before Christmas, the Fair Work Commission handed down a decision concerning Uber.</w:t>
      </w:r>
      <w:r>
        <w:rPr>
          <w:rStyle w:val="FootnoteReference"/>
          <w:rFonts w:eastAsia="Times New Roman"/>
        </w:rPr>
        <w:footnoteReference w:id="10"/>
      </w:r>
      <w:r>
        <w:rPr>
          <w:rFonts w:eastAsia="Times New Roman"/>
        </w:rPr>
        <w:t xml:space="preserve"> It found the applicant was not an employee able to obtain a remedy for unfair dismissal under the Fair Work Act.</w:t>
      </w:r>
    </w:p>
    <w:p w:rsidR="00C559B2" w:rsidRDefault="00C559B2" w:rsidP="00C559B2">
      <w:pPr>
        <w:spacing w:after="200"/>
        <w:rPr>
          <w:rFonts w:eastAsia="Times New Roman"/>
        </w:rPr>
      </w:pPr>
      <w:r>
        <w:rPr>
          <w:rFonts w:eastAsia="Times New Roman"/>
        </w:rPr>
        <w:t xml:space="preserve">The decision applied the law to this particular relationship and found that for the purpose of these laws, the relationship was not one of employment. It did not make a finding about Uber’s business model. That’s not how questions of law in this area are framed or answered. </w:t>
      </w:r>
    </w:p>
    <w:p w:rsidR="00C559B2" w:rsidRDefault="00C559B2" w:rsidP="00C559B2">
      <w:pPr>
        <w:spacing w:after="200"/>
        <w:rPr>
          <w:rFonts w:eastAsia="Times New Roman"/>
        </w:rPr>
      </w:pPr>
      <w:r>
        <w:rPr>
          <w:rFonts w:eastAsia="Times New Roman"/>
        </w:rPr>
        <w:t>The decision does however contain some fascinating observations which I’m sure others at this Conference will discuss in detail.</w:t>
      </w:r>
    </w:p>
    <w:p w:rsidR="00C559B2" w:rsidRDefault="00C559B2" w:rsidP="00C559B2">
      <w:pPr>
        <w:spacing w:after="200"/>
        <w:rPr>
          <w:rFonts w:eastAsia="Times New Roman"/>
        </w:rPr>
      </w:pPr>
      <w:r>
        <w:rPr>
          <w:rFonts w:eastAsia="Times New Roman"/>
        </w:rPr>
        <w:t>From a practical point of view, I have to say I agree with Vice President Gostencnik’s comments about the challenges in applying the range of indicia as if it were a checklist.</w:t>
      </w:r>
      <w:r>
        <w:rPr>
          <w:rStyle w:val="FootnoteReference"/>
          <w:rFonts w:eastAsia="Times New Roman"/>
        </w:rPr>
        <w:footnoteReference w:id="11"/>
      </w:r>
      <w:r>
        <w:rPr>
          <w:rFonts w:eastAsia="Times New Roman"/>
        </w:rPr>
        <w:t xml:space="preserve"> </w:t>
      </w:r>
    </w:p>
    <w:p w:rsidR="00C559B2" w:rsidRDefault="00C559B2" w:rsidP="00C559B2">
      <w:pPr>
        <w:spacing w:after="200"/>
        <w:rPr>
          <w:rFonts w:eastAsia="Times New Roman"/>
        </w:rPr>
      </w:pPr>
      <w:r>
        <w:rPr>
          <w:rFonts w:eastAsia="Times New Roman"/>
        </w:rPr>
        <w:t xml:space="preserve">The test can’t be applied mechanically; the situation needs to be assessed holistically. </w:t>
      </w:r>
    </w:p>
    <w:p w:rsidR="00C559B2" w:rsidRDefault="00C559B2" w:rsidP="00C559B2">
      <w:pPr>
        <w:spacing w:after="200"/>
        <w:rPr>
          <w:rFonts w:eastAsia="Times New Roman"/>
        </w:rPr>
      </w:pPr>
      <w:r>
        <w:rPr>
          <w:rFonts w:eastAsia="Times New Roman"/>
        </w:rPr>
        <w:lastRenderedPageBreak/>
        <w:t>Consideration must be given to the particular circumstances, and not all factors will be as important or of equal weight.</w:t>
      </w:r>
      <w:r w:rsidRPr="00CA42BF">
        <w:rPr>
          <w:rStyle w:val="FootnoteReference"/>
          <w:color w:val="000000"/>
        </w:rPr>
        <w:footnoteReference w:id="12"/>
      </w:r>
      <w:r w:rsidRPr="00A65353">
        <w:rPr>
          <w:rStyle w:val="apple-converted-space"/>
          <w:color w:val="000000"/>
        </w:rPr>
        <w:t> </w:t>
      </w:r>
    </w:p>
    <w:p w:rsidR="00C559B2" w:rsidRDefault="00C559B2" w:rsidP="00C559B2">
      <w:pPr>
        <w:spacing w:after="200"/>
        <w:rPr>
          <w:rFonts w:eastAsia="Times New Roman"/>
        </w:rPr>
      </w:pPr>
      <w:r>
        <w:rPr>
          <w:rFonts w:eastAsia="Times New Roman"/>
        </w:rPr>
        <w:t xml:space="preserve">My Inspectors have to balance these indicia on a day-to-day basis.  But they are not Judges or Commissioners. They can’t give definitive answers. And nor can I.  Only a tribunal or court can do that. </w:t>
      </w:r>
    </w:p>
    <w:p w:rsidR="00C559B2" w:rsidRDefault="00C559B2" w:rsidP="00C559B2">
      <w:pPr>
        <w:spacing w:after="200"/>
        <w:rPr>
          <w:rFonts w:eastAsia="Times New Roman"/>
        </w:rPr>
      </w:pPr>
      <w:r>
        <w:rPr>
          <w:rFonts w:eastAsia="Times New Roman"/>
        </w:rPr>
        <w:t xml:space="preserve">It prompts the question – is this working for us? Is it right that the only way to be sure about whether a young person on a bike delivering food should be getting minimum wage rates is for someone to find a way to get their particular set of facts to court? </w:t>
      </w:r>
    </w:p>
    <w:p w:rsidR="00C559B2" w:rsidRPr="002D17A6" w:rsidRDefault="00C559B2" w:rsidP="00C559B2">
      <w:pPr>
        <w:spacing w:after="200"/>
        <w:rPr>
          <w:rFonts w:eastAsia="Times New Roman"/>
        </w:rPr>
      </w:pPr>
      <w:r>
        <w:rPr>
          <w:rFonts w:eastAsia="Times New Roman"/>
        </w:rPr>
        <w:t>And why hasn’t our system evolved, for example, like the British system from which it sprung, to more comprehensively deal with new forms of work?</w:t>
      </w:r>
      <w:r>
        <w:rPr>
          <w:rStyle w:val="FootnoteReference"/>
          <w:rFonts w:eastAsia="Times New Roman"/>
        </w:rPr>
        <w:footnoteReference w:id="13"/>
      </w:r>
    </w:p>
    <w:p w:rsidR="00C559B2" w:rsidRPr="009C4A94" w:rsidRDefault="00C559B2" w:rsidP="002C23E3">
      <w:pPr>
        <w:pStyle w:val="Heading3"/>
      </w:pPr>
      <w:r>
        <w:t>The FWO’s role – the fissuring of workplaces</w:t>
      </w:r>
    </w:p>
    <w:p w:rsidR="00C559B2" w:rsidRDefault="00C559B2" w:rsidP="00C559B2">
      <w:pPr>
        <w:spacing w:after="200"/>
        <w:rPr>
          <w:rFonts w:eastAsia="Times New Roman"/>
        </w:rPr>
      </w:pPr>
      <w:r>
        <w:rPr>
          <w:rFonts w:eastAsia="Times New Roman"/>
        </w:rPr>
        <w:t xml:space="preserve">Franchising, contracting, labour hire – none of these models are new and they are all quite legitimate forms of business. </w:t>
      </w:r>
    </w:p>
    <w:p w:rsidR="00C559B2" w:rsidRDefault="00C559B2" w:rsidP="00C559B2">
      <w:pPr>
        <w:spacing w:after="200"/>
        <w:rPr>
          <w:rFonts w:eastAsia="Times New Roman"/>
        </w:rPr>
      </w:pPr>
      <w:r>
        <w:rPr>
          <w:rFonts w:eastAsia="Times New Roman"/>
        </w:rPr>
        <w:t>The Fair Work Ombudsman does not set out</w:t>
      </w:r>
      <w:r w:rsidRPr="004F6F0F">
        <w:rPr>
          <w:rFonts w:eastAsia="Times New Roman"/>
        </w:rPr>
        <w:t xml:space="preserve"> to pass value judgments on the </w:t>
      </w:r>
      <w:r>
        <w:rPr>
          <w:rFonts w:eastAsia="Times New Roman"/>
        </w:rPr>
        <w:t xml:space="preserve">nature of business operations, stifle innovation or the entrepreneurial spirit. </w:t>
      </w:r>
    </w:p>
    <w:p w:rsidR="00C559B2" w:rsidRDefault="00C559B2" w:rsidP="00C559B2">
      <w:pPr>
        <w:spacing w:after="200"/>
        <w:rPr>
          <w:rFonts w:eastAsia="Times New Roman"/>
        </w:rPr>
      </w:pPr>
      <w:r>
        <w:rPr>
          <w:rFonts w:eastAsia="Times New Roman"/>
        </w:rPr>
        <w:t>But our experience is the most vulnerable workers end up in the most exploitative scenarios. And these cases usually involve some sort of ‘fissuring’ in the relationships between those doing the work and those benefiting from the labour.</w:t>
      </w:r>
      <w:r>
        <w:rPr>
          <w:rStyle w:val="FootnoteReference"/>
          <w:rFonts w:eastAsia="Times New Roman"/>
        </w:rPr>
        <w:footnoteReference w:id="14"/>
      </w:r>
      <w:r>
        <w:rPr>
          <w:rFonts w:eastAsia="Times New Roman"/>
        </w:rPr>
        <w:t xml:space="preserve"> </w:t>
      </w:r>
    </w:p>
    <w:p w:rsidR="00C559B2" w:rsidRDefault="00C559B2" w:rsidP="00C559B2">
      <w:pPr>
        <w:spacing w:after="200"/>
        <w:rPr>
          <w:rFonts w:eastAsia="Times New Roman"/>
        </w:rPr>
      </w:pPr>
      <w:r>
        <w:rPr>
          <w:rFonts w:eastAsia="Times New Roman"/>
        </w:rPr>
        <w:t xml:space="preserve">Those benefiting from the labour are usually profitable enterprises, but sadly, the direct employers are often unable or unwilling to pay up when we investigate underpayments that have occurred. </w:t>
      </w:r>
    </w:p>
    <w:p w:rsidR="00C559B2" w:rsidRPr="007918D3" w:rsidRDefault="00C559B2" w:rsidP="00C559B2">
      <w:pPr>
        <w:spacing w:after="200"/>
        <w:rPr>
          <w:rFonts w:eastAsia="Times New Roman" w:cstheme="minorHAnsi"/>
        </w:rPr>
      </w:pPr>
      <w:r>
        <w:rPr>
          <w:rFonts w:eastAsia="Times New Roman"/>
        </w:rPr>
        <w:t xml:space="preserve">Vulnerable workers in these parts of </w:t>
      </w:r>
      <w:r w:rsidR="008C4F8D">
        <w:rPr>
          <w:rFonts w:eastAsia="Times New Roman"/>
        </w:rPr>
        <w:t xml:space="preserve">the </w:t>
      </w:r>
      <w:r>
        <w:rPr>
          <w:rFonts w:eastAsia="Times New Roman"/>
        </w:rPr>
        <w:t xml:space="preserve">labour market are usually young, and/or often present in Australia on a visa. </w:t>
      </w:r>
    </w:p>
    <w:p w:rsidR="00C559B2" w:rsidRPr="00964CEF" w:rsidRDefault="00C559B2" w:rsidP="00C559B2">
      <w:pPr>
        <w:spacing w:after="200"/>
      </w:pPr>
      <w:r w:rsidRPr="00964CEF">
        <w:t>Young workers typically make up just over a quarter of people making complaints to us and there have been signs over the past 18 months that this is increasing.</w:t>
      </w:r>
      <w:r w:rsidRPr="00964CEF">
        <w:rPr>
          <w:rStyle w:val="FootnoteReference"/>
        </w:rPr>
        <w:footnoteReference w:id="15"/>
      </w:r>
      <w:r w:rsidRPr="00964CEF">
        <w:t xml:space="preserve"> Yet they comprise </w:t>
      </w:r>
      <w:r w:rsidR="00CF3F04">
        <w:t xml:space="preserve">only </w:t>
      </w:r>
      <w:r w:rsidRPr="00964CEF">
        <w:t>16% of the workforce.</w:t>
      </w:r>
      <w:r w:rsidRPr="00964CEF">
        <w:rPr>
          <w:rStyle w:val="FootnoteReference"/>
          <w:rFonts w:eastAsia="Times New Roman"/>
        </w:rPr>
        <w:footnoteReference w:id="16"/>
      </w:r>
    </w:p>
    <w:p w:rsidR="00C559B2" w:rsidRPr="00964CEF" w:rsidRDefault="00C559B2" w:rsidP="00C559B2">
      <w:pPr>
        <w:spacing w:after="200"/>
      </w:pPr>
      <w:r w:rsidRPr="00964CEF">
        <w:t>The over-representation of visa holders in our disputes has also been on the increase with visa holders accounting for nearly one fifth of disputes last year</w:t>
      </w:r>
      <w:r w:rsidRPr="00964CEF">
        <w:rPr>
          <w:rStyle w:val="FootnoteReference"/>
        </w:rPr>
        <w:footnoteReference w:id="17"/>
      </w:r>
      <w:r w:rsidRPr="00964CEF">
        <w:t xml:space="preserve"> despite this group only accounting for an estimated 5-6% of the workforce.</w:t>
      </w:r>
      <w:r w:rsidRPr="00964CEF">
        <w:rPr>
          <w:rStyle w:val="FootnoteReference"/>
          <w:rFonts w:eastAsia="Times New Roman"/>
        </w:rPr>
        <w:footnoteReference w:id="18"/>
      </w:r>
    </w:p>
    <w:p w:rsidR="00C559B2" w:rsidRPr="00964CEF" w:rsidRDefault="00C559B2" w:rsidP="00C559B2">
      <w:pPr>
        <w:spacing w:after="200"/>
        <w:rPr>
          <w:rFonts w:eastAsia="Times New Roman"/>
        </w:rPr>
      </w:pPr>
      <w:r w:rsidRPr="00964CEF">
        <w:rPr>
          <w:rFonts w:eastAsia="Times New Roman"/>
        </w:rPr>
        <w:lastRenderedPageBreak/>
        <w:t>But t</w:t>
      </w:r>
      <w:r w:rsidR="00CF3F04">
        <w:rPr>
          <w:rFonts w:eastAsia="Times New Roman"/>
        </w:rPr>
        <w:t>hese cohorts are even more over-</w:t>
      </w:r>
      <w:r w:rsidRPr="00964CEF">
        <w:rPr>
          <w:rFonts w:eastAsia="Times New Roman"/>
        </w:rPr>
        <w:t>represented in cases of serious exploitation. Take for example, our work with</w:t>
      </w:r>
      <w:r w:rsidR="00CF3F04">
        <w:rPr>
          <w:rFonts w:eastAsia="Times New Roman"/>
        </w:rPr>
        <w:t xml:space="preserve"> </w:t>
      </w:r>
      <w:r w:rsidRPr="00964CEF">
        <w:rPr>
          <w:rFonts w:eastAsia="Times New Roman"/>
        </w:rPr>
        <w:t>7-Eleven, where young workers accounted for 39% of complaints that we dealt with and visa holders accounted for 51%.</w:t>
      </w:r>
      <w:r w:rsidRPr="00964CEF">
        <w:rPr>
          <w:rStyle w:val="FootnoteReference"/>
          <w:rFonts w:eastAsia="Times New Roman"/>
        </w:rPr>
        <w:footnoteReference w:id="19"/>
      </w:r>
      <w:r w:rsidRPr="00964CEF">
        <w:rPr>
          <w:rFonts w:eastAsia="Times New Roman"/>
        </w:rPr>
        <w:t xml:space="preserve">  </w:t>
      </w:r>
    </w:p>
    <w:p w:rsidR="00C559B2" w:rsidRDefault="00C559B2" w:rsidP="00C559B2">
      <w:pPr>
        <w:spacing w:after="200"/>
        <w:rPr>
          <w:rFonts w:eastAsia="Times New Roman"/>
        </w:rPr>
      </w:pPr>
      <w:r w:rsidRPr="00964CEF">
        <w:rPr>
          <w:rFonts w:eastAsia="Times New Roman"/>
        </w:rPr>
        <w:t>In the poultry processing sector in NSW, where we looked at the Baiada Group along with the entities Baiada contracted with to supply labour</w:t>
      </w:r>
      <w:r w:rsidRPr="00964CEF">
        <w:rPr>
          <w:rStyle w:val="FootnoteReference"/>
          <w:rFonts w:eastAsia="Times New Roman"/>
        </w:rPr>
        <w:footnoteReference w:id="20"/>
      </w:r>
      <w:r w:rsidRPr="00964CEF">
        <w:rPr>
          <w:rFonts w:eastAsia="Times New Roman"/>
        </w:rPr>
        <w:t>, we saw that 79% of complaints involved visa holders.</w:t>
      </w:r>
      <w:r>
        <w:rPr>
          <w:rStyle w:val="FootnoteReference"/>
          <w:rFonts w:eastAsia="Times New Roman"/>
        </w:rPr>
        <w:footnoteReference w:id="21"/>
      </w:r>
    </w:p>
    <w:p w:rsidR="00C559B2" w:rsidRPr="005B59F7" w:rsidRDefault="00C559B2" w:rsidP="00C559B2">
      <w:pPr>
        <w:spacing w:after="200"/>
        <w:rPr>
          <w:rFonts w:eastAsia="Times New Roman"/>
        </w:rPr>
      </w:pPr>
      <w:r w:rsidRPr="005B59F7">
        <w:rPr>
          <w:rFonts w:eastAsia="Times New Roman" w:cstheme="minorHAnsi"/>
          <w:lang w:eastAsia="en-AU"/>
        </w:rPr>
        <w:t>This is where it is vital for a regulator such as t</w:t>
      </w:r>
      <w:r>
        <w:rPr>
          <w:rFonts w:eastAsia="Times New Roman" w:cstheme="minorHAnsi"/>
          <w:lang w:eastAsia="en-AU"/>
        </w:rPr>
        <w:t>he FWO to be strategic in focus and the deployment of resources.</w:t>
      </w:r>
      <w:r w:rsidRPr="005B59F7">
        <w:rPr>
          <w:rFonts w:eastAsia="Times New Roman" w:cstheme="minorHAnsi"/>
          <w:lang w:eastAsia="en-AU"/>
        </w:rPr>
        <w:t xml:space="preserve"> </w:t>
      </w:r>
      <w:r>
        <w:rPr>
          <w:rFonts w:eastAsia="Times New Roman"/>
        </w:rPr>
        <w:t xml:space="preserve">Merely </w:t>
      </w:r>
      <w:r w:rsidRPr="005B59F7">
        <w:rPr>
          <w:rFonts w:eastAsia="Times New Roman"/>
        </w:rPr>
        <w:t xml:space="preserve">responding to the requests for assistance coming through the door and resolving those individual disputes does not solve the most complex, structural drivers of non-compliance.  As the Australian workplace transforms, so too must its regulator.  </w:t>
      </w:r>
    </w:p>
    <w:p w:rsidR="00C559B2" w:rsidRDefault="00C559B2" w:rsidP="00C559B2">
      <w:pPr>
        <w:spacing w:after="200"/>
        <w:rPr>
          <w:rFonts w:eastAsia="Times New Roman" w:cstheme="minorHAnsi"/>
          <w:lang w:eastAsia="en-AU"/>
        </w:rPr>
      </w:pPr>
      <w:r w:rsidRPr="005B59F7">
        <w:rPr>
          <w:rFonts w:eastAsia="Times New Roman" w:cstheme="minorHAnsi"/>
          <w:lang w:eastAsia="en-AU"/>
        </w:rPr>
        <w:t>There are a number of parts of our operati</w:t>
      </w:r>
      <w:r>
        <w:rPr>
          <w:rFonts w:eastAsia="Times New Roman" w:cstheme="minorHAnsi"/>
          <w:lang w:eastAsia="en-AU"/>
        </w:rPr>
        <w:t>ng model that respond to this. Our i</w:t>
      </w:r>
      <w:r w:rsidRPr="005B59F7">
        <w:rPr>
          <w:rFonts w:eastAsia="Times New Roman" w:cstheme="minorHAnsi"/>
          <w:lang w:eastAsia="en-AU"/>
        </w:rPr>
        <w:t xml:space="preserve">nvestment in deeper ‘Inquiries’ </w:t>
      </w:r>
      <w:r>
        <w:rPr>
          <w:rFonts w:eastAsia="Times New Roman" w:cstheme="minorHAnsi"/>
          <w:lang w:eastAsia="en-AU"/>
        </w:rPr>
        <w:t xml:space="preserve">is </w:t>
      </w:r>
      <w:r w:rsidRPr="005B59F7">
        <w:rPr>
          <w:rFonts w:eastAsia="Times New Roman" w:cstheme="minorHAnsi"/>
          <w:lang w:eastAsia="en-AU"/>
        </w:rPr>
        <w:t xml:space="preserve">designed to understand and offer recommendations to systemic problems. </w:t>
      </w:r>
    </w:p>
    <w:p w:rsidR="00C559B2" w:rsidRDefault="00C559B2" w:rsidP="00C559B2">
      <w:pPr>
        <w:spacing w:after="200"/>
        <w:rPr>
          <w:rFonts w:eastAsia="Times New Roman"/>
        </w:rPr>
      </w:pPr>
      <w:r w:rsidRPr="005B59F7">
        <w:rPr>
          <w:rFonts w:eastAsia="Times New Roman"/>
        </w:rPr>
        <w:t xml:space="preserve">Our Inquiries into </w:t>
      </w:r>
      <w:r w:rsidR="008C4F8D">
        <w:rPr>
          <w:rFonts w:eastAsia="Times New Roman"/>
        </w:rPr>
        <w:t>7-Eleven, Baiada, four and five-</w:t>
      </w:r>
      <w:r w:rsidRPr="005B59F7">
        <w:rPr>
          <w:rFonts w:eastAsia="Times New Roman"/>
        </w:rPr>
        <w:t>star hotels, major supermarkets, and the working holiday visa program helped shine a light on the correlation between worker vulnerability and unacceptable workplace practices.</w:t>
      </w:r>
      <w:r>
        <w:rPr>
          <w:rFonts w:eastAsia="Times New Roman"/>
        </w:rPr>
        <w:t xml:space="preserve"> </w:t>
      </w:r>
    </w:p>
    <w:p w:rsidR="00C559B2" w:rsidRPr="009D5B28" w:rsidRDefault="00C559B2" w:rsidP="00C559B2">
      <w:pPr>
        <w:spacing w:after="200"/>
        <w:rPr>
          <w:rFonts w:eastAsia="Times New Roman"/>
        </w:rPr>
      </w:pPr>
      <w:r>
        <w:rPr>
          <w:rFonts w:eastAsia="Times New Roman"/>
        </w:rPr>
        <w:t xml:space="preserve">Since our interventions there have been significant reductions in </w:t>
      </w:r>
      <w:r w:rsidRPr="009D5B28">
        <w:rPr>
          <w:rFonts w:eastAsia="Times New Roman"/>
        </w:rPr>
        <w:t>complaints received about 7-Eleven and Baiada</w:t>
      </w:r>
      <w:r>
        <w:rPr>
          <w:rFonts w:eastAsia="Times New Roman"/>
        </w:rPr>
        <w:t>. We hope this is sustained and shows that the partnerships entered into by those businesses with the Fair Work Ombudsman are working</w:t>
      </w:r>
      <w:r w:rsidRPr="009D5B28">
        <w:rPr>
          <w:rFonts w:eastAsia="Times New Roman"/>
        </w:rPr>
        <w:t>.</w:t>
      </w:r>
    </w:p>
    <w:p w:rsidR="00C559B2" w:rsidRDefault="00C559B2" w:rsidP="00C559B2">
      <w:pPr>
        <w:spacing w:after="200"/>
        <w:rPr>
          <w:rFonts w:eastAsia="Times New Roman"/>
        </w:rPr>
      </w:pPr>
      <w:r>
        <w:rPr>
          <w:rFonts w:eastAsia="Times New Roman" w:cstheme="minorHAnsi"/>
          <w:lang w:eastAsia="en-AU"/>
        </w:rPr>
        <w:t xml:space="preserve">These approaches are part of our Supply Chain Strategy. Through this strategy, we work </w:t>
      </w:r>
      <w:r w:rsidRPr="005B59F7">
        <w:rPr>
          <w:rFonts w:cstheme="minorHAnsi"/>
          <w:color w:val="000000" w:themeColor="text1"/>
        </w:rPr>
        <w:t xml:space="preserve">with government as well as </w:t>
      </w:r>
      <w:r>
        <w:rPr>
          <w:rFonts w:cstheme="minorHAnsi"/>
          <w:color w:val="000000" w:themeColor="text1"/>
        </w:rPr>
        <w:t xml:space="preserve">the </w:t>
      </w:r>
      <w:r w:rsidRPr="005B59F7">
        <w:rPr>
          <w:rFonts w:cstheme="minorHAnsi"/>
          <w:color w:val="000000" w:themeColor="text1"/>
        </w:rPr>
        <w:t xml:space="preserve">community </w:t>
      </w:r>
      <w:r w:rsidRPr="005B59F7">
        <w:rPr>
          <w:rFonts w:eastAsia="Times New Roman"/>
        </w:rPr>
        <w:t>and</w:t>
      </w:r>
      <w:r w:rsidRPr="005B59F7">
        <w:rPr>
          <w:rFonts w:cstheme="minorHAnsi"/>
          <w:color w:val="000000" w:themeColor="text1"/>
        </w:rPr>
        <w:t xml:space="preserve"> social partners</w:t>
      </w:r>
      <w:r>
        <w:rPr>
          <w:rFonts w:cstheme="minorHAnsi"/>
          <w:color w:val="000000" w:themeColor="text1"/>
        </w:rPr>
        <w:t xml:space="preserve"> to</w:t>
      </w:r>
      <w:r w:rsidRPr="005B59F7">
        <w:rPr>
          <w:rFonts w:cstheme="minorHAnsi"/>
          <w:color w:val="000000" w:themeColor="text1"/>
        </w:rPr>
        <w:t xml:space="preserve"> </w:t>
      </w:r>
      <w:r w:rsidRPr="005B59F7">
        <w:rPr>
          <w:rFonts w:eastAsia="Times New Roman"/>
        </w:rPr>
        <w:t>change</w:t>
      </w:r>
      <w:r w:rsidRPr="005B59F7">
        <w:rPr>
          <w:rFonts w:cstheme="minorHAnsi"/>
          <w:b/>
          <w:color w:val="000000" w:themeColor="text1"/>
        </w:rPr>
        <w:t xml:space="preserve"> </w:t>
      </w:r>
      <w:r w:rsidRPr="005B59F7">
        <w:rPr>
          <w:rFonts w:eastAsia="Times New Roman"/>
        </w:rPr>
        <w:t>behaviour</w:t>
      </w:r>
      <w:r>
        <w:rPr>
          <w:rFonts w:eastAsia="Times New Roman"/>
        </w:rPr>
        <w:t xml:space="preserve"> in sectors or businesses where non-compliance has become the norm</w:t>
      </w:r>
      <w:r w:rsidRPr="005B59F7">
        <w:rPr>
          <w:rFonts w:eastAsia="Times New Roman"/>
        </w:rPr>
        <w:t>.</w:t>
      </w:r>
      <w:r w:rsidRPr="005B59F7">
        <w:rPr>
          <w:rFonts w:cstheme="minorHAnsi"/>
          <w:color w:val="000000" w:themeColor="text1"/>
        </w:rPr>
        <w:t xml:space="preserve"> </w:t>
      </w:r>
      <w:r w:rsidRPr="005B59F7">
        <w:rPr>
          <w:rFonts w:eastAsia="Times New Roman"/>
        </w:rPr>
        <w:t xml:space="preserve">We’ve been implementing our Supply Chain Strategy in a number of major Inquiries over the past few years. </w:t>
      </w:r>
    </w:p>
    <w:p w:rsidR="00C559B2" w:rsidRDefault="00C559B2" w:rsidP="00C559B2">
      <w:pPr>
        <w:spacing w:after="200"/>
        <w:rPr>
          <w:rFonts w:eastAsia="Times New Roman"/>
        </w:rPr>
      </w:pPr>
      <w:r>
        <w:rPr>
          <w:rFonts w:eastAsia="Times New Roman"/>
        </w:rPr>
        <w:t xml:space="preserve">Another response to the fissuring of work has been our Compliance Partnerships – providing a mechanism for non-employing entities to formally and transparently take responsibility for their entire business, not just their direct employees, and to strengthen compliance throughout their business. </w:t>
      </w:r>
    </w:p>
    <w:p w:rsidR="00C559B2" w:rsidRDefault="00C559B2" w:rsidP="00C559B2">
      <w:pPr>
        <w:spacing w:after="200"/>
        <w:rPr>
          <w:rFonts w:eastAsia="Times New Roman"/>
        </w:rPr>
      </w:pPr>
      <w:r>
        <w:rPr>
          <w:rFonts w:eastAsia="Times New Roman"/>
        </w:rPr>
        <w:t>We have also seen a legislative response to the exploitation of vulnerable workers – with the passage of the Protecting Vulnerable Workers Act.</w:t>
      </w:r>
      <w:r>
        <w:rPr>
          <w:rStyle w:val="FootnoteReference"/>
          <w:rFonts w:eastAsia="Times New Roman"/>
        </w:rPr>
        <w:footnoteReference w:id="22"/>
      </w:r>
      <w:r>
        <w:rPr>
          <w:rFonts w:eastAsia="Times New Roman"/>
        </w:rPr>
        <w:t xml:space="preserve"> The new laws are designed to ensure the regulator has the tools required to deal with those who seek to deliberately exploit vulnerable workers, hide behind inadequate records, or the corporate veil. </w:t>
      </w:r>
    </w:p>
    <w:p w:rsidR="00C559B2" w:rsidRDefault="00C559B2" w:rsidP="00C559B2">
      <w:pPr>
        <w:spacing w:after="200"/>
        <w:rPr>
          <w:rFonts w:eastAsia="Times New Roman"/>
        </w:rPr>
      </w:pPr>
      <w:r>
        <w:rPr>
          <w:rFonts w:eastAsia="Times New Roman"/>
        </w:rPr>
        <w:lastRenderedPageBreak/>
        <w:t xml:space="preserve">The Act expands my evidence gathering options and increases penalties, including for record keeping breaches. And for the first time we have laws that extend responsibility for entitlements beyond the direct employer to a third party with high influence over the relationship – the franchisor. This provides a legislative mechanism for the sort of outcome we leveraged via our Compliance Partnership with 7-Eleven. </w:t>
      </w:r>
    </w:p>
    <w:p w:rsidR="00C559B2" w:rsidRDefault="00C559B2" w:rsidP="002C23E3">
      <w:pPr>
        <w:pStyle w:val="Heading3"/>
      </w:pPr>
      <w:r>
        <w:t>Trolleys</w:t>
      </w:r>
    </w:p>
    <w:p w:rsidR="00C559B2" w:rsidRDefault="00C559B2" w:rsidP="00C559B2">
      <w:pPr>
        <w:spacing w:after="200"/>
        <w:rPr>
          <w:rFonts w:eastAsia="Times New Roman"/>
        </w:rPr>
      </w:pPr>
      <w:r>
        <w:rPr>
          <w:rFonts w:eastAsia="Times New Roman"/>
        </w:rPr>
        <w:t>One of the first</w:t>
      </w:r>
      <w:r w:rsidRPr="0059670A">
        <w:rPr>
          <w:rFonts w:eastAsia="Times New Roman"/>
        </w:rPr>
        <w:t xml:space="preserve"> sector</w:t>
      </w:r>
      <w:r>
        <w:rPr>
          <w:rFonts w:eastAsia="Times New Roman"/>
        </w:rPr>
        <w:t xml:space="preserve">s that we knew demanded a different approach was </w:t>
      </w:r>
      <w:r w:rsidRPr="0059670A">
        <w:rPr>
          <w:rFonts w:eastAsia="Times New Roman"/>
        </w:rPr>
        <w:t xml:space="preserve">the trolley collection </w:t>
      </w:r>
      <w:r>
        <w:rPr>
          <w:rFonts w:eastAsia="Times New Roman"/>
        </w:rPr>
        <w:t>sector</w:t>
      </w:r>
      <w:r w:rsidRPr="0059670A">
        <w:rPr>
          <w:rFonts w:eastAsia="Times New Roman"/>
        </w:rPr>
        <w:t>. While not a disruptive technology or (as yet) part of the platform economy, i</w:t>
      </w:r>
      <w:r>
        <w:rPr>
          <w:rFonts w:eastAsia="Times New Roman"/>
        </w:rPr>
        <w:t>t</w:t>
      </w:r>
      <w:r w:rsidRPr="0059670A">
        <w:rPr>
          <w:rFonts w:eastAsia="Times New Roman"/>
        </w:rPr>
        <w:t xml:space="preserve"> </w:t>
      </w:r>
      <w:r>
        <w:rPr>
          <w:rFonts w:eastAsia="Times New Roman"/>
        </w:rPr>
        <w:t>recently relied heavily on outsourced labour.</w:t>
      </w:r>
    </w:p>
    <w:p w:rsidR="00C559B2" w:rsidRDefault="00C559B2" w:rsidP="00C559B2">
      <w:pPr>
        <w:spacing w:after="200"/>
        <w:rPr>
          <w:rFonts w:eastAsia="Times New Roman"/>
        </w:rPr>
      </w:pPr>
      <w:r>
        <w:rPr>
          <w:rFonts w:eastAsia="Times New Roman"/>
        </w:rPr>
        <w:t xml:space="preserve">It’s defined by low-skilled, labour-intensive work, where labour is often supplied through procurement or outsourcing arrangements. It’s highly competitive and the profit margins with respect to the labour component are often low. </w:t>
      </w:r>
    </w:p>
    <w:p w:rsidR="00C559B2" w:rsidRDefault="00C559B2" w:rsidP="00C559B2">
      <w:pPr>
        <w:rPr>
          <w:rFonts w:eastAsia="Times New Roman"/>
        </w:rPr>
      </w:pPr>
      <w:r w:rsidRPr="00BD5035">
        <w:rPr>
          <w:rFonts w:eastAsia="Times New Roman"/>
        </w:rPr>
        <w:t xml:space="preserve">These workers are vulnerable. </w:t>
      </w:r>
    </w:p>
    <w:p w:rsidR="00C559B2" w:rsidRPr="00BD5035" w:rsidRDefault="00C559B2" w:rsidP="00C559B2">
      <w:r>
        <w:t>T</w:t>
      </w:r>
      <w:r w:rsidRPr="00BD5035">
        <w:t xml:space="preserve">here are </w:t>
      </w:r>
      <w:r w:rsidRPr="00BD5035">
        <w:rPr>
          <w:bCs/>
        </w:rPr>
        <w:t>2,132 trolley collectors Australia wide</w:t>
      </w:r>
      <w:r w:rsidRPr="00BD5035">
        <w:t xml:space="preserve">. Approximately </w:t>
      </w:r>
      <w:r w:rsidRPr="00BD5035">
        <w:rPr>
          <w:bCs/>
        </w:rPr>
        <w:t>60%</w:t>
      </w:r>
      <w:r>
        <w:t xml:space="preserve"> we</w:t>
      </w:r>
      <w:r w:rsidRPr="00BD5035">
        <w:t>re born</w:t>
      </w:r>
      <w:r>
        <w:t xml:space="preserve"> in Australia,</w:t>
      </w:r>
      <w:r w:rsidRPr="00BD5035">
        <w:t xml:space="preserve"> while </w:t>
      </w:r>
      <w:r w:rsidRPr="00BD5035">
        <w:rPr>
          <w:bCs/>
        </w:rPr>
        <w:t>40%</w:t>
      </w:r>
      <w:r>
        <w:t xml:space="preserve"> we</w:t>
      </w:r>
      <w:r w:rsidRPr="00BD5035">
        <w:t xml:space="preserve">re born overseas. The majority are aged </w:t>
      </w:r>
      <w:r>
        <w:t xml:space="preserve">between </w:t>
      </w:r>
      <w:r>
        <w:rPr>
          <w:bCs/>
        </w:rPr>
        <w:t>15 and</w:t>
      </w:r>
      <w:r w:rsidRPr="00BD5035">
        <w:rPr>
          <w:bCs/>
        </w:rPr>
        <w:t xml:space="preserve"> 24 years.</w:t>
      </w:r>
      <w:r w:rsidRPr="00BD5035">
        <w:rPr>
          <w:rStyle w:val="FootnoteReference"/>
          <w:bCs/>
        </w:rPr>
        <w:footnoteReference w:id="23"/>
      </w:r>
    </w:p>
    <w:p w:rsidR="00C559B2" w:rsidRDefault="00C559B2" w:rsidP="00C559B2">
      <w:pPr>
        <w:spacing w:after="200"/>
        <w:rPr>
          <w:rFonts w:eastAsia="Times New Roman"/>
        </w:rPr>
      </w:pPr>
      <w:r>
        <w:rPr>
          <w:rFonts w:eastAsia="Times New Roman"/>
        </w:rPr>
        <w:t xml:space="preserve">Some of the most serious examples of underpayment we saw were occurring in this industry. </w:t>
      </w:r>
    </w:p>
    <w:p w:rsidR="00C559B2" w:rsidRDefault="00C559B2" w:rsidP="00C559B2">
      <w:pPr>
        <w:spacing w:after="200"/>
        <w:rPr>
          <w:rFonts w:eastAsia="Times New Roman"/>
        </w:rPr>
      </w:pPr>
      <w:r w:rsidRPr="00964CEF">
        <w:rPr>
          <w:rFonts w:eastAsia="Times New Roman"/>
        </w:rPr>
        <w:t>Between 2013 and 2017, in the trolley sector, 38% of people we assisted were young and 36% held visas.</w:t>
      </w:r>
      <w:r w:rsidRPr="00964CEF">
        <w:rPr>
          <w:rStyle w:val="FootnoteReference"/>
          <w:rFonts w:eastAsia="Times New Roman"/>
        </w:rPr>
        <w:footnoteReference w:id="24"/>
      </w:r>
    </w:p>
    <w:p w:rsidR="00C559B2" w:rsidRPr="00FB51BC" w:rsidRDefault="00C559B2" w:rsidP="00C559B2">
      <w:pPr>
        <w:spacing w:after="200"/>
        <w:rPr>
          <w:rFonts w:eastAsia="Times New Roman"/>
        </w:rPr>
      </w:pPr>
      <w:r w:rsidRPr="00FB51BC">
        <w:rPr>
          <w:rFonts w:eastAsia="Times New Roman"/>
        </w:rPr>
        <w:t>Since 200</w:t>
      </w:r>
      <w:r>
        <w:rPr>
          <w:rFonts w:eastAsia="Times New Roman"/>
        </w:rPr>
        <w:t>6</w:t>
      </w:r>
      <w:r w:rsidRPr="00FB51BC">
        <w:rPr>
          <w:rFonts w:eastAsia="Times New Roman"/>
        </w:rPr>
        <w:t xml:space="preserve"> we have commenced 17 litigations</w:t>
      </w:r>
      <w:r w:rsidRPr="00FB51BC">
        <w:rPr>
          <w:rStyle w:val="FootnoteReference"/>
          <w:rFonts w:eastAsia="Times New Roman"/>
        </w:rPr>
        <w:footnoteReference w:id="25"/>
      </w:r>
      <w:r>
        <w:rPr>
          <w:rFonts w:eastAsia="Times New Roman"/>
        </w:rPr>
        <w:t>, often against repeat offenders</w:t>
      </w:r>
      <w:r w:rsidRPr="00FB51BC">
        <w:rPr>
          <w:rFonts w:eastAsia="Times New Roman"/>
        </w:rPr>
        <w:t xml:space="preserve">. We have secured just over $800,000 </w:t>
      </w:r>
      <w:r>
        <w:rPr>
          <w:rFonts w:eastAsia="Times New Roman"/>
        </w:rPr>
        <w:t xml:space="preserve">in employee entitlements </w:t>
      </w:r>
      <w:r w:rsidRPr="00FB51BC">
        <w:rPr>
          <w:rFonts w:eastAsia="Times New Roman"/>
        </w:rPr>
        <w:t>for approximately 300 employees through litigation alone</w:t>
      </w:r>
      <w:r>
        <w:rPr>
          <w:rFonts w:eastAsia="Times New Roman"/>
        </w:rPr>
        <w:t>, and a further $800,000 has been ordered in the form of pecuniary penalties.</w:t>
      </w:r>
      <w:r w:rsidRPr="00FB51BC">
        <w:rPr>
          <w:rFonts w:eastAsia="Times New Roman"/>
        </w:rPr>
        <w:t xml:space="preserve"> </w:t>
      </w:r>
    </w:p>
    <w:p w:rsidR="00C559B2" w:rsidRDefault="00C559B2" w:rsidP="00C559B2">
      <w:pPr>
        <w:spacing w:after="200"/>
        <w:rPr>
          <w:rFonts w:eastAsia="Times New Roman"/>
        </w:rPr>
      </w:pPr>
      <w:r w:rsidRPr="00FB51BC">
        <w:rPr>
          <w:rFonts w:eastAsia="Times New Roman"/>
        </w:rPr>
        <w:t xml:space="preserve">However, </w:t>
      </w:r>
      <w:r>
        <w:rPr>
          <w:rFonts w:eastAsia="Times New Roman"/>
        </w:rPr>
        <w:t xml:space="preserve">to date, through a combination of companies entering liquidation and respondents disappearing overseas, </w:t>
      </w:r>
      <w:r w:rsidRPr="00FB51BC">
        <w:rPr>
          <w:rFonts w:eastAsia="Times New Roman"/>
        </w:rPr>
        <w:t>only just over $3</w:t>
      </w:r>
      <w:r>
        <w:rPr>
          <w:rFonts w:eastAsia="Times New Roman"/>
        </w:rPr>
        <w:t>00</w:t>
      </w:r>
      <w:r w:rsidRPr="00FB51BC">
        <w:rPr>
          <w:rFonts w:eastAsia="Times New Roman"/>
        </w:rPr>
        <w:t xml:space="preserve">,000 </w:t>
      </w:r>
      <w:r>
        <w:rPr>
          <w:rFonts w:eastAsia="Times New Roman"/>
        </w:rPr>
        <w:t>of those penalties have actually been paid</w:t>
      </w:r>
      <w:r w:rsidRPr="00FB51BC">
        <w:rPr>
          <w:rFonts w:eastAsia="Times New Roman"/>
        </w:rPr>
        <w:t>.</w:t>
      </w:r>
      <w:r>
        <w:rPr>
          <w:rStyle w:val="FootnoteReference"/>
          <w:rFonts w:eastAsia="Times New Roman"/>
        </w:rPr>
        <w:footnoteReference w:id="26"/>
      </w:r>
      <w:r w:rsidRPr="00FB51BC">
        <w:rPr>
          <w:rFonts w:eastAsia="Times New Roman"/>
        </w:rPr>
        <w:t xml:space="preserve"> </w:t>
      </w:r>
    </w:p>
    <w:p w:rsidR="00C559B2" w:rsidRDefault="00C559B2" w:rsidP="00C559B2">
      <w:pPr>
        <w:spacing w:after="200"/>
        <w:rPr>
          <w:rFonts w:eastAsia="Times New Roman"/>
        </w:rPr>
      </w:pPr>
      <w:r w:rsidRPr="00FB51BC">
        <w:rPr>
          <w:rFonts w:eastAsia="Times New Roman"/>
        </w:rPr>
        <w:t xml:space="preserve">We were frustrated </w:t>
      </w:r>
      <w:r>
        <w:rPr>
          <w:rFonts w:eastAsia="Times New Roman"/>
        </w:rPr>
        <w:t>that we were taking employers to court</w:t>
      </w:r>
      <w:r>
        <w:rPr>
          <w:rStyle w:val="FootnoteReference"/>
          <w:rFonts w:eastAsia="Times New Roman"/>
        </w:rPr>
        <w:footnoteReference w:id="27"/>
      </w:r>
      <w:r>
        <w:rPr>
          <w:rFonts w:eastAsia="Times New Roman"/>
        </w:rPr>
        <w:t xml:space="preserve"> and</w:t>
      </w:r>
      <w:r w:rsidRPr="00FB51BC">
        <w:rPr>
          <w:rFonts w:eastAsia="Times New Roman"/>
        </w:rPr>
        <w:t xml:space="preserve"> being awarded penalties </w:t>
      </w:r>
      <w:r>
        <w:rPr>
          <w:rFonts w:eastAsia="Times New Roman"/>
        </w:rPr>
        <w:t xml:space="preserve">that went unpaid. </w:t>
      </w:r>
    </w:p>
    <w:p w:rsidR="00C559B2" w:rsidRDefault="00C559B2" w:rsidP="00C559B2">
      <w:pPr>
        <w:spacing w:after="200"/>
        <w:rPr>
          <w:rFonts w:eastAsia="Times New Roman"/>
        </w:rPr>
      </w:pPr>
      <w:r>
        <w:rPr>
          <w:rFonts w:eastAsia="Times New Roman"/>
        </w:rPr>
        <w:t xml:space="preserve">Our work saw us </w:t>
      </w:r>
      <w:r w:rsidRPr="00FB51BC">
        <w:rPr>
          <w:rFonts w:eastAsia="Times New Roman"/>
        </w:rPr>
        <w:t>map convoluted supply chains</w:t>
      </w:r>
      <w:r>
        <w:rPr>
          <w:rFonts w:eastAsia="Times New Roman"/>
        </w:rPr>
        <w:t xml:space="preserve"> that all too often involved the usual suspects and the misuse of the corporate form to sidestep liability</w:t>
      </w:r>
      <w:r w:rsidRPr="00FB51BC">
        <w:rPr>
          <w:rFonts w:eastAsia="Times New Roman"/>
        </w:rPr>
        <w:t xml:space="preserve">. </w:t>
      </w:r>
      <w:r>
        <w:rPr>
          <w:rFonts w:eastAsia="Times New Roman"/>
        </w:rPr>
        <w:t>Taking the bottom</w:t>
      </w:r>
      <w:r w:rsidR="00A25858">
        <w:rPr>
          <w:rFonts w:eastAsia="Times New Roman"/>
        </w:rPr>
        <w:t>-</w:t>
      </w:r>
      <w:r>
        <w:rPr>
          <w:rFonts w:eastAsia="Times New Roman"/>
        </w:rPr>
        <w:t xml:space="preserve">feeders to court wasn’t changing things and it wasn’t seeing workers get their wages. </w:t>
      </w:r>
    </w:p>
    <w:p w:rsidR="00C559B2" w:rsidRPr="00FB51BC" w:rsidRDefault="00C559B2" w:rsidP="00C559B2">
      <w:pPr>
        <w:spacing w:after="200"/>
        <w:rPr>
          <w:rFonts w:eastAsia="Times New Roman"/>
        </w:rPr>
      </w:pPr>
      <w:r w:rsidRPr="00FB51BC">
        <w:rPr>
          <w:rFonts w:eastAsia="Times New Roman"/>
        </w:rPr>
        <w:t xml:space="preserve">In 2012, </w:t>
      </w:r>
      <w:r>
        <w:rPr>
          <w:rFonts w:eastAsia="Times New Roman"/>
        </w:rPr>
        <w:t>we lifted our focus. We took court action against all layers of Coles</w:t>
      </w:r>
      <w:r w:rsidR="00A25858">
        <w:rPr>
          <w:rFonts w:eastAsia="Times New Roman"/>
        </w:rPr>
        <w:t>’</w:t>
      </w:r>
      <w:r>
        <w:rPr>
          <w:rFonts w:eastAsia="Times New Roman"/>
        </w:rPr>
        <w:t xml:space="preserve"> Adelaide supply chain, including alleging Coles to be accessory to breaches of workplace laws</w:t>
      </w:r>
      <w:r w:rsidRPr="00FB51BC">
        <w:rPr>
          <w:rFonts w:eastAsia="Times New Roman"/>
        </w:rPr>
        <w:t xml:space="preserve"> </w:t>
      </w:r>
      <w:r>
        <w:rPr>
          <w:rFonts w:eastAsia="Times New Roman"/>
        </w:rPr>
        <w:t>by its</w:t>
      </w:r>
      <w:r w:rsidRPr="00FB51BC">
        <w:rPr>
          <w:rFonts w:eastAsia="Times New Roman"/>
        </w:rPr>
        <w:t xml:space="preserve"> contractors providing </w:t>
      </w:r>
      <w:r>
        <w:rPr>
          <w:rFonts w:eastAsia="Times New Roman"/>
        </w:rPr>
        <w:t xml:space="preserve">its </w:t>
      </w:r>
      <w:r w:rsidRPr="00FB51BC">
        <w:rPr>
          <w:rFonts w:eastAsia="Times New Roman"/>
        </w:rPr>
        <w:lastRenderedPageBreak/>
        <w:t>trolley collection services.</w:t>
      </w:r>
      <w:r w:rsidRPr="00FB51BC">
        <w:rPr>
          <w:rStyle w:val="FootnoteReference"/>
          <w:rFonts w:eastAsia="Times New Roman"/>
        </w:rPr>
        <w:footnoteReference w:id="28"/>
      </w:r>
      <w:r w:rsidRPr="00FB51BC">
        <w:rPr>
          <w:rFonts w:eastAsia="Times New Roman"/>
        </w:rPr>
        <w:t xml:space="preserve"> Coles contracted with </w:t>
      </w:r>
      <w:r>
        <w:rPr>
          <w:rFonts w:eastAsia="Times New Roman"/>
        </w:rPr>
        <w:t xml:space="preserve">one of </w:t>
      </w:r>
      <w:r w:rsidRPr="00FB51BC">
        <w:rPr>
          <w:rFonts w:eastAsia="Times New Roman"/>
        </w:rPr>
        <w:t>two Starlink companies</w:t>
      </w:r>
      <w:r w:rsidRPr="00FB51BC">
        <w:rPr>
          <w:rStyle w:val="FootnoteReference"/>
          <w:rFonts w:eastAsia="Times New Roman"/>
        </w:rPr>
        <w:footnoteReference w:id="29"/>
      </w:r>
      <w:r w:rsidRPr="00FB51BC">
        <w:rPr>
          <w:rFonts w:eastAsia="Times New Roman"/>
        </w:rPr>
        <w:t xml:space="preserve"> who then subcontracted to Mr Al Hilfi</w:t>
      </w:r>
      <w:r>
        <w:rPr>
          <w:rFonts w:eastAsia="Times New Roman"/>
        </w:rPr>
        <w:t xml:space="preserve"> and Mr Al Basry</w:t>
      </w:r>
      <w:r w:rsidRPr="00FB51BC">
        <w:rPr>
          <w:rFonts w:eastAsia="Times New Roman"/>
        </w:rPr>
        <w:t>.</w:t>
      </w:r>
    </w:p>
    <w:p w:rsidR="00C559B2" w:rsidRDefault="00C559B2" w:rsidP="00C559B2">
      <w:pPr>
        <w:spacing w:after="200"/>
        <w:rPr>
          <w:rFonts w:eastAsia="Times New Roman"/>
        </w:rPr>
      </w:pPr>
      <w:r>
        <w:rPr>
          <w:rFonts w:eastAsia="Times New Roman"/>
        </w:rPr>
        <w:t>Our position was that</w:t>
      </w:r>
      <w:r w:rsidRPr="00FB51BC">
        <w:rPr>
          <w:rFonts w:eastAsia="Times New Roman"/>
        </w:rPr>
        <w:t xml:space="preserve"> Coles had the capacity to direct and/or influence the conduct of Mr Al Hilfi</w:t>
      </w:r>
      <w:r>
        <w:rPr>
          <w:rFonts w:eastAsia="Times New Roman"/>
        </w:rPr>
        <w:t xml:space="preserve"> and Mr Al Basry</w:t>
      </w:r>
      <w:r w:rsidRPr="00FB51BC">
        <w:rPr>
          <w:rFonts w:eastAsia="Times New Roman"/>
        </w:rPr>
        <w:t xml:space="preserve"> in relation to the wages and conditions of </w:t>
      </w:r>
      <w:r>
        <w:rPr>
          <w:rFonts w:eastAsia="Times New Roman"/>
        </w:rPr>
        <w:t>their</w:t>
      </w:r>
      <w:r w:rsidRPr="00FB51BC">
        <w:rPr>
          <w:rFonts w:eastAsia="Times New Roman"/>
        </w:rPr>
        <w:t xml:space="preserve"> employees</w:t>
      </w:r>
      <w:r>
        <w:rPr>
          <w:rFonts w:eastAsia="Times New Roman"/>
        </w:rPr>
        <w:t xml:space="preserve">, and that it was not putting enough funds into the supply chain to allow for the workers to be paid their lawful minimum rates of pay. </w:t>
      </w:r>
    </w:p>
    <w:p w:rsidR="00C559B2" w:rsidRDefault="00C559B2" w:rsidP="00C559B2">
      <w:pPr>
        <w:spacing w:after="200"/>
        <w:rPr>
          <w:rFonts w:eastAsia="Times New Roman"/>
        </w:rPr>
      </w:pPr>
      <w:r>
        <w:rPr>
          <w:rFonts w:eastAsia="Times New Roman"/>
        </w:rPr>
        <w:t>While this matter was under way</w:t>
      </w:r>
      <w:r w:rsidR="00A25858">
        <w:rPr>
          <w:rFonts w:eastAsia="Times New Roman"/>
        </w:rPr>
        <w:t>,</w:t>
      </w:r>
      <w:r>
        <w:rPr>
          <w:rFonts w:eastAsia="Times New Roman"/>
        </w:rPr>
        <w:t xml:space="preserve"> reform gained momentum in 2014 when</w:t>
      </w:r>
      <w:r w:rsidRPr="0063337D">
        <w:rPr>
          <w:rFonts w:eastAsia="Times New Roman"/>
        </w:rPr>
        <w:t xml:space="preserve"> </w:t>
      </w:r>
      <w:r>
        <w:rPr>
          <w:rFonts w:eastAsia="Times New Roman"/>
        </w:rPr>
        <w:t>a national trolley collection contractor entered into a Proactive Compliance Deed</w:t>
      </w:r>
      <w:r w:rsidR="00A25858">
        <w:rPr>
          <w:rFonts w:eastAsia="Times New Roman"/>
        </w:rPr>
        <w:t xml:space="preserve"> with the FWO</w:t>
      </w:r>
      <w:r>
        <w:rPr>
          <w:rFonts w:eastAsia="Times New Roman"/>
        </w:rPr>
        <w:t>.</w:t>
      </w:r>
      <w:r>
        <w:rPr>
          <w:rStyle w:val="FootnoteReference"/>
          <w:rFonts w:eastAsia="Times New Roman"/>
        </w:rPr>
        <w:footnoteReference w:id="30"/>
      </w:r>
      <w:r>
        <w:rPr>
          <w:rFonts w:eastAsia="Times New Roman"/>
        </w:rPr>
        <w:t xml:space="preserve"> United Trolley Collectors engages subcontractors to provide trolley collection services. It held a contract with Coles to service some 700 plus sites.</w:t>
      </w:r>
      <w:r>
        <w:rPr>
          <w:rStyle w:val="FootnoteReference"/>
          <w:rFonts w:eastAsia="Times New Roman"/>
        </w:rPr>
        <w:footnoteReference w:id="31"/>
      </w:r>
    </w:p>
    <w:p w:rsidR="00C559B2" w:rsidRDefault="00C559B2" w:rsidP="00C559B2">
      <w:pPr>
        <w:spacing w:after="200"/>
        <w:rPr>
          <w:rFonts w:eastAsia="Times New Roman"/>
        </w:rPr>
      </w:pPr>
      <w:r>
        <w:rPr>
          <w:rFonts w:eastAsia="Times New Roman"/>
        </w:rPr>
        <w:t>UTC stepped up and took responsibility for the employees in its supply chain and made measurable commitments to ensure that its subcontractors were fully compliant with the law.</w:t>
      </w:r>
      <w:r>
        <w:rPr>
          <w:rStyle w:val="FootnoteReference"/>
          <w:rFonts w:eastAsia="Times New Roman"/>
        </w:rPr>
        <w:footnoteReference w:id="32"/>
      </w:r>
      <w:r>
        <w:rPr>
          <w:rFonts w:eastAsia="Times New Roman"/>
        </w:rPr>
        <w:t xml:space="preserve"> </w:t>
      </w:r>
    </w:p>
    <w:p w:rsidR="00C559B2" w:rsidRDefault="00C559B2" w:rsidP="00C559B2">
      <w:pPr>
        <w:spacing w:after="200"/>
        <w:rPr>
          <w:rFonts w:eastAsia="Times New Roman"/>
        </w:rPr>
      </w:pPr>
      <w:r>
        <w:rPr>
          <w:rFonts w:eastAsia="Times New Roman"/>
        </w:rPr>
        <w:t xml:space="preserve">In October 2014, </w:t>
      </w:r>
      <w:r w:rsidRPr="00050932">
        <w:rPr>
          <w:rFonts w:eastAsia="Times New Roman"/>
        </w:rPr>
        <w:t>Coles</w:t>
      </w:r>
      <w:r>
        <w:rPr>
          <w:rFonts w:eastAsia="Times New Roman"/>
        </w:rPr>
        <w:t xml:space="preserve"> followed suit via an Enforceable Undertaking and accepted it had an ‘ethical and moral responsibility’ for its supply chain.</w:t>
      </w:r>
      <w:r>
        <w:rPr>
          <w:rStyle w:val="FootnoteReference"/>
          <w:rFonts w:eastAsia="Times New Roman"/>
        </w:rPr>
        <w:footnoteReference w:id="33"/>
      </w:r>
      <w:r>
        <w:rPr>
          <w:rFonts w:eastAsia="Times New Roman"/>
        </w:rPr>
        <w:t xml:space="preserve">  </w:t>
      </w:r>
    </w:p>
    <w:p w:rsidR="00C559B2" w:rsidRDefault="00C559B2" w:rsidP="00C559B2">
      <w:pPr>
        <w:spacing w:after="200"/>
        <w:rPr>
          <w:rFonts w:eastAsia="Times New Roman"/>
        </w:rPr>
      </w:pPr>
      <w:r>
        <w:rPr>
          <w:rFonts w:eastAsia="Times New Roman"/>
        </w:rPr>
        <w:t>Within 28 days of signing the EU</w:t>
      </w:r>
      <w:r w:rsidR="00A25858">
        <w:rPr>
          <w:rFonts w:eastAsia="Times New Roman"/>
        </w:rPr>
        <w:t>,</w:t>
      </w:r>
      <w:r>
        <w:rPr>
          <w:rFonts w:eastAsia="Times New Roman"/>
        </w:rPr>
        <w:t xml:space="preserve"> Coles returned just over $220,000 in underpayments to its contractors’ trolley collectors.  </w:t>
      </w:r>
    </w:p>
    <w:p w:rsidR="00C559B2" w:rsidRDefault="00C559B2" w:rsidP="00C559B2">
      <w:pPr>
        <w:spacing w:after="200"/>
        <w:rPr>
          <w:rFonts w:eastAsia="Times New Roman"/>
        </w:rPr>
      </w:pPr>
      <w:r>
        <w:rPr>
          <w:rFonts w:eastAsia="Times New Roman"/>
        </w:rPr>
        <w:t xml:space="preserve">Long term, sustainable commitments were made to ensure integrity across the supply chain. </w:t>
      </w:r>
    </w:p>
    <w:p w:rsidR="00C559B2" w:rsidRDefault="00C559B2" w:rsidP="00C559B2">
      <w:pPr>
        <w:spacing w:after="200"/>
        <w:rPr>
          <w:rFonts w:eastAsia="Times New Roman"/>
        </w:rPr>
      </w:pPr>
      <w:r>
        <w:rPr>
          <w:rFonts w:eastAsia="Times New Roman"/>
        </w:rPr>
        <w:t>Litigation outcomes take much longer, often years and years, and can lack the flexibility to resolve underlying structural drivers of non-compliance.</w:t>
      </w:r>
      <w:r>
        <w:rPr>
          <w:rStyle w:val="FootnoteReference"/>
          <w:rFonts w:eastAsia="Times New Roman"/>
        </w:rPr>
        <w:footnoteReference w:id="34"/>
      </w:r>
      <w:r>
        <w:rPr>
          <w:rFonts w:eastAsia="Times New Roman"/>
        </w:rPr>
        <w:t xml:space="preserve"> </w:t>
      </w:r>
    </w:p>
    <w:p w:rsidR="00C559B2" w:rsidRDefault="00C559B2" w:rsidP="00C559B2">
      <w:pPr>
        <w:spacing w:after="200"/>
        <w:rPr>
          <w:rFonts w:eastAsia="Times New Roman"/>
        </w:rPr>
      </w:pPr>
      <w:r>
        <w:rPr>
          <w:rFonts w:eastAsia="Times New Roman"/>
        </w:rPr>
        <w:t xml:space="preserve">Coles has also set about directly employing most of its trolley collectors. The Fair Work Ombudsman did not prescribe this course of action – it was a business decision by the company. </w:t>
      </w:r>
    </w:p>
    <w:p w:rsidR="00564AC6" w:rsidRPr="00E912E3" w:rsidRDefault="00564AC6" w:rsidP="00C559B2">
      <w:pPr>
        <w:spacing w:after="200"/>
        <w:rPr>
          <w:rFonts w:eastAsia="Times New Roman"/>
        </w:rPr>
      </w:pPr>
      <w:r w:rsidRPr="00564AC6">
        <w:rPr>
          <w:rFonts w:eastAsia="Times New Roman"/>
        </w:rPr>
        <w:t>We have today released the third report under this E</w:t>
      </w:r>
      <w:r>
        <w:rPr>
          <w:rFonts w:eastAsia="Times New Roman"/>
        </w:rPr>
        <w:t xml:space="preserve">nforceable </w:t>
      </w:r>
      <w:r w:rsidRPr="00564AC6">
        <w:rPr>
          <w:rFonts w:eastAsia="Times New Roman"/>
        </w:rPr>
        <w:t>U</w:t>
      </w:r>
      <w:r>
        <w:rPr>
          <w:rFonts w:eastAsia="Times New Roman"/>
        </w:rPr>
        <w:t>ndertaking</w:t>
      </w:r>
      <w:r w:rsidRPr="00564AC6">
        <w:rPr>
          <w:rFonts w:eastAsia="Times New Roman"/>
        </w:rPr>
        <w:t xml:space="preserve"> and it contains good results which build on those from the preceding reports.</w:t>
      </w:r>
      <w:r>
        <w:rPr>
          <w:rStyle w:val="FootnoteReference"/>
          <w:rFonts w:eastAsia="Times New Roman"/>
        </w:rPr>
        <w:footnoteReference w:id="35"/>
      </w:r>
    </w:p>
    <w:p w:rsidR="00C559B2" w:rsidRPr="00BB19EB" w:rsidRDefault="00C559B2" w:rsidP="002C23E3">
      <w:pPr>
        <w:pStyle w:val="Heading3"/>
      </w:pPr>
      <w:r>
        <w:t>The ‘solutions’ we apply to real people in the real world</w:t>
      </w:r>
    </w:p>
    <w:p w:rsidR="00C559B2" w:rsidRDefault="00C559B2" w:rsidP="00C559B2">
      <w:pPr>
        <w:spacing w:after="200"/>
        <w:rPr>
          <w:rFonts w:eastAsia="Times New Roman"/>
        </w:rPr>
      </w:pPr>
      <w:r>
        <w:rPr>
          <w:rFonts w:eastAsia="Times New Roman"/>
        </w:rPr>
        <w:t>F</w:t>
      </w:r>
      <w:r w:rsidRPr="00BB19EB">
        <w:rPr>
          <w:rFonts w:eastAsia="Times New Roman"/>
        </w:rPr>
        <w:t xml:space="preserve">inally, in October last year, Woolworths entered into a Proactive Compliance Deed which contains </w:t>
      </w:r>
      <w:r w:rsidR="00A25858">
        <w:rPr>
          <w:rFonts w:eastAsia="Times New Roman"/>
        </w:rPr>
        <w:t>similar</w:t>
      </w:r>
      <w:r w:rsidRPr="00BB19EB">
        <w:rPr>
          <w:rFonts w:eastAsia="Times New Roman"/>
        </w:rPr>
        <w:t xml:space="preserve"> commitments as the Coles EU.</w:t>
      </w:r>
      <w:r w:rsidRPr="00BB19EB">
        <w:rPr>
          <w:rStyle w:val="FootnoteReference"/>
          <w:rFonts w:eastAsia="Times New Roman"/>
        </w:rPr>
        <w:footnoteReference w:id="36"/>
      </w:r>
      <w:r>
        <w:rPr>
          <w:rFonts w:eastAsia="Times New Roman"/>
        </w:rPr>
        <w:t xml:space="preserve"> </w:t>
      </w:r>
    </w:p>
    <w:p w:rsidR="00C559B2" w:rsidRDefault="00C559B2" w:rsidP="00C559B2">
      <w:pPr>
        <w:keepNext/>
        <w:spacing w:after="200"/>
        <w:rPr>
          <w:rFonts w:eastAsia="Times New Roman"/>
        </w:rPr>
      </w:pPr>
      <w:r>
        <w:rPr>
          <w:rFonts w:eastAsia="Times New Roman"/>
        </w:rPr>
        <w:lastRenderedPageBreak/>
        <w:t>Woolworths’ commitment</w:t>
      </w:r>
      <w:r>
        <w:rPr>
          <w:rStyle w:val="FootnoteReference"/>
          <w:rFonts w:eastAsia="Times New Roman"/>
        </w:rPr>
        <w:footnoteReference w:id="37"/>
      </w:r>
      <w:r>
        <w:rPr>
          <w:rFonts w:eastAsia="Times New Roman"/>
        </w:rPr>
        <w:t xml:space="preserve"> came after the 2016 publication of our Inquiry report into its trolley collection supply chain. It had similar issues to Coles, rei</w:t>
      </w:r>
      <w:r w:rsidR="00A25858">
        <w:rPr>
          <w:rFonts w:eastAsia="Times New Roman"/>
        </w:rPr>
        <w:t>nforcing that this was a sector-</w:t>
      </w:r>
      <w:r>
        <w:rPr>
          <w:rFonts w:eastAsia="Times New Roman"/>
        </w:rPr>
        <w:t xml:space="preserve">wide problem. We had to shine a light into some pretty dark places to get them on board. But the outcome set a new benchmark in supply chain responsibility. </w:t>
      </w:r>
    </w:p>
    <w:p w:rsidR="00C559B2" w:rsidRPr="009D5B28" w:rsidRDefault="00C559B2" w:rsidP="00C559B2">
      <w:r>
        <w:t xml:space="preserve">We use all levers available to us, including the media and public pressure to effect change. And change has occurred – based on our continued work in the sector and the reduced complaint numbers since our interventions.  </w:t>
      </w:r>
    </w:p>
    <w:p w:rsidR="00C559B2" w:rsidRDefault="00C559B2" w:rsidP="00C559B2">
      <w:pPr>
        <w:spacing w:after="120" w:line="240" w:lineRule="auto"/>
      </w:pPr>
      <w:r w:rsidRPr="00F62A5B">
        <w:t>We are</w:t>
      </w:r>
      <w:r>
        <w:t xml:space="preserve"> continuing to</w:t>
      </w:r>
      <w:r w:rsidRPr="00F62A5B">
        <w:t xml:space="preserve"> mak</w:t>
      </w:r>
      <w:r>
        <w:t>e</w:t>
      </w:r>
      <w:r w:rsidRPr="00F62A5B">
        <w:t xml:space="preserve"> sup</w:t>
      </w:r>
      <w:r>
        <w:t>ply chain compliance a priority.</w:t>
      </w:r>
      <w:r w:rsidRPr="00F62A5B">
        <w:t xml:space="preserve"> </w:t>
      </w:r>
    </w:p>
    <w:p w:rsidR="00C559B2" w:rsidRDefault="00C559B2" w:rsidP="00C559B2">
      <w:pPr>
        <w:spacing w:after="120" w:line="240" w:lineRule="auto"/>
      </w:pPr>
      <w:r>
        <w:t>We now have comprehensive guides on our website to help businesses that engage vulnerable workers, like in cleaning and security, take practical steps to make fair choices and manage risk in their supply chains.</w:t>
      </w:r>
      <w:r>
        <w:rPr>
          <w:rStyle w:val="FootnoteReference"/>
        </w:rPr>
        <w:footnoteReference w:id="38"/>
      </w:r>
    </w:p>
    <w:p w:rsidR="00C559B2" w:rsidRDefault="00C559B2" w:rsidP="00C559B2">
      <w:pPr>
        <w:spacing w:after="120" w:line="240" w:lineRule="auto"/>
      </w:pPr>
      <w:r>
        <w:t>We will take note of businesses that apply best practice to ensure workers aren’t being exploited.</w:t>
      </w:r>
    </w:p>
    <w:p w:rsidR="00C559B2" w:rsidRDefault="00C559B2" w:rsidP="00C559B2">
      <w:r>
        <w:t xml:space="preserve">But, if businesses close their eyes to what is going on, and we find workers are being exploited, then </w:t>
      </w:r>
      <w:r w:rsidRPr="00DA7DB2">
        <w:t xml:space="preserve">know we </w:t>
      </w:r>
      <w:r>
        <w:t xml:space="preserve">will be </w:t>
      </w:r>
      <w:r w:rsidRPr="00DA7DB2">
        <w:t xml:space="preserve">asking the question – </w:t>
      </w:r>
      <w:r>
        <w:t>who contributed</w:t>
      </w:r>
      <w:r w:rsidRPr="00DA7DB2">
        <w:t xml:space="preserve"> to what’s happened here? And when we ask these questions, </w:t>
      </w:r>
      <w:r>
        <w:t xml:space="preserve">others – community groups, unions and </w:t>
      </w:r>
      <w:r w:rsidRPr="00DA7DB2">
        <w:t xml:space="preserve">the media </w:t>
      </w:r>
      <w:r>
        <w:t xml:space="preserve">will be asking </w:t>
      </w:r>
      <w:r w:rsidRPr="00DA7DB2">
        <w:t xml:space="preserve">them too. </w:t>
      </w:r>
    </w:p>
    <w:p w:rsidR="00C559B2" w:rsidRPr="00F62A5B" w:rsidRDefault="00C559B2" w:rsidP="00C559B2">
      <w:r>
        <w:t>We are involved in innovative projects like t</w:t>
      </w:r>
      <w:r w:rsidRPr="00F05CE8">
        <w:t>he Cleanin</w:t>
      </w:r>
      <w:r>
        <w:t xml:space="preserve">g Accountability Framework which </w:t>
      </w:r>
      <w:r w:rsidRPr="00F05CE8">
        <w:t>seeks to improve labour and cleaning stand</w:t>
      </w:r>
      <w:r>
        <w:t>ards in Australia</w:t>
      </w:r>
      <w:r w:rsidRPr="00F05CE8">
        <w:t xml:space="preserve">. </w:t>
      </w:r>
    </w:p>
    <w:p w:rsidR="00C559B2" w:rsidRDefault="00C559B2" w:rsidP="00C559B2">
      <w:r>
        <w:t>And we will continue to use legal levers like the accessorial liability provisions in the Fair Work Act creatively, looking outside of the ‘traditional’ workplace at people who play a critical role in what people get paid.</w:t>
      </w:r>
      <w:r w:rsidRPr="00CB23AE">
        <w:rPr>
          <w:vertAlign w:val="superscript"/>
        </w:rPr>
        <w:footnoteReference w:id="39"/>
      </w:r>
      <w:r w:rsidRPr="00CB23AE">
        <w:rPr>
          <w:vertAlign w:val="superscript"/>
        </w:rPr>
        <w:t xml:space="preserve"> </w:t>
      </w:r>
    </w:p>
    <w:p w:rsidR="00C559B2" w:rsidRPr="0037654D" w:rsidRDefault="00C559B2" w:rsidP="00C559B2">
      <w:r>
        <w:t>We are also looking closely at how, and to whom, we will apply the Protecting Vulnerable Workers franchising and serious contravention provisions.</w:t>
      </w:r>
    </w:p>
    <w:p w:rsidR="00C559B2" w:rsidRDefault="00C559B2" w:rsidP="002C23E3">
      <w:pPr>
        <w:pStyle w:val="Heading3"/>
      </w:pPr>
      <w:r>
        <w:t>Conclusion</w:t>
      </w:r>
    </w:p>
    <w:p w:rsidR="00C559B2" w:rsidRDefault="00C559B2" w:rsidP="00C559B2">
      <w:r>
        <w:t xml:space="preserve">It’s clear the public won’t tolerate the kind of exploitation seen with 7-Eleven, Baiada and the trolley sector. </w:t>
      </w:r>
    </w:p>
    <w:p w:rsidR="00C559B2" w:rsidRDefault="00C559B2" w:rsidP="00C559B2">
      <w:r>
        <w:t>And neither will we.</w:t>
      </w:r>
    </w:p>
    <w:p w:rsidR="00C559B2" w:rsidRPr="00730F03" w:rsidRDefault="00C559B2" w:rsidP="00C559B2">
      <w:pPr>
        <w:spacing w:after="100" w:afterAutospacing="1" w:line="240" w:lineRule="auto"/>
      </w:pPr>
      <w:r w:rsidRPr="00730F03">
        <w:t>I</w:t>
      </w:r>
      <w:r>
        <w:t>n terms of how the FWO will regulate within the existing framework, I</w:t>
      </w:r>
      <w:r w:rsidRPr="00730F03">
        <w:t xml:space="preserve"> will leave you to ponder what D</w:t>
      </w:r>
      <w:r>
        <w:t xml:space="preserve">eputy </w:t>
      </w:r>
      <w:r w:rsidRPr="00730F03">
        <w:t>P</w:t>
      </w:r>
      <w:r>
        <w:t>resident</w:t>
      </w:r>
      <w:r w:rsidRPr="00730F03">
        <w:t xml:space="preserve"> Gostencnik said at the conclusion of the Uber decision</w:t>
      </w:r>
      <w:r>
        <w:t>:</w:t>
      </w:r>
    </w:p>
    <w:p w:rsidR="00C559B2" w:rsidRDefault="00C559B2" w:rsidP="00C559B2">
      <w:pPr>
        <w:spacing w:after="100" w:afterAutospacing="1" w:line="240" w:lineRule="auto"/>
        <w:ind w:left="720"/>
      </w:pPr>
      <w:r w:rsidRPr="00CB23AE">
        <w:rPr>
          <w:i/>
        </w:rPr>
        <w:t>… Perhaps the law of employment will evolve to catch pace with the evolving nature of the digital economy. Perhaps the legislature will develop laws to refine traditional notions of employment or broaden protection to participants in the digital economy. But until then, the traditional available tests of employment will continue to be applied.</w:t>
      </w:r>
      <w:r w:rsidRPr="00CB23AE">
        <w:rPr>
          <w:rStyle w:val="FootnoteReference"/>
          <w:i/>
        </w:rPr>
        <w:footnoteReference w:id="40"/>
      </w:r>
    </w:p>
    <w:p w:rsidR="007455CB" w:rsidRDefault="00C818A7"/>
    <w:sectPr w:rsidR="007455C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148A" w:rsidRDefault="006C148A" w:rsidP="0095535C">
      <w:pPr>
        <w:spacing w:after="0" w:line="240" w:lineRule="auto"/>
      </w:pPr>
      <w:r>
        <w:separator/>
      </w:r>
    </w:p>
  </w:endnote>
  <w:endnote w:type="continuationSeparator" w:id="0">
    <w:p w:rsidR="006C148A" w:rsidRDefault="006C148A" w:rsidP="009553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9F9" w:rsidRDefault="00C279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0870312"/>
      <w:docPartObj>
        <w:docPartGallery w:val="Page Numbers (Bottom of Page)"/>
        <w:docPartUnique/>
      </w:docPartObj>
    </w:sdtPr>
    <w:sdtEndPr>
      <w:rPr>
        <w:noProof/>
      </w:rPr>
    </w:sdtEndPr>
    <w:sdtContent>
      <w:p w:rsidR="00D67741" w:rsidRDefault="00F17438">
        <w:pPr>
          <w:pStyle w:val="Footer"/>
          <w:jc w:val="right"/>
        </w:pPr>
        <w:r>
          <w:fldChar w:fldCharType="begin"/>
        </w:r>
        <w:r>
          <w:instrText xml:space="preserve"> PAGE   \* MERGEFORMAT </w:instrText>
        </w:r>
        <w:r>
          <w:fldChar w:fldCharType="separate"/>
        </w:r>
        <w:r w:rsidR="00C818A7">
          <w:rPr>
            <w:noProof/>
          </w:rPr>
          <w:t>1</w:t>
        </w:r>
        <w:r>
          <w:rPr>
            <w:noProof/>
          </w:rPr>
          <w:fldChar w:fldCharType="end"/>
        </w:r>
      </w:p>
    </w:sdtContent>
  </w:sdt>
  <w:p w:rsidR="00D67741" w:rsidRDefault="00C818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9F9" w:rsidRDefault="00C279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148A" w:rsidRDefault="006C148A" w:rsidP="0095535C">
      <w:pPr>
        <w:spacing w:after="0" w:line="240" w:lineRule="auto"/>
      </w:pPr>
      <w:r>
        <w:separator/>
      </w:r>
    </w:p>
  </w:footnote>
  <w:footnote w:type="continuationSeparator" w:id="0">
    <w:p w:rsidR="006C148A" w:rsidRDefault="006C148A" w:rsidP="0095535C">
      <w:pPr>
        <w:spacing w:after="0" w:line="240" w:lineRule="auto"/>
      </w:pPr>
      <w:r>
        <w:continuationSeparator/>
      </w:r>
    </w:p>
  </w:footnote>
  <w:footnote w:id="1">
    <w:p w:rsidR="00C559B2" w:rsidRPr="003A317E" w:rsidRDefault="00C559B2" w:rsidP="003A317E">
      <w:pPr>
        <w:spacing w:after="0"/>
        <w:rPr>
          <w:i/>
          <w:spacing w:val="-5"/>
          <w:sz w:val="20"/>
          <w:szCs w:val="20"/>
        </w:rPr>
      </w:pPr>
      <w:r w:rsidRPr="003A317E">
        <w:rPr>
          <w:rStyle w:val="FootnoteReference"/>
          <w:b/>
          <w:i/>
          <w:sz w:val="20"/>
          <w:szCs w:val="20"/>
        </w:rPr>
        <w:footnoteRef/>
      </w:r>
      <w:r w:rsidRPr="003A317E">
        <w:rPr>
          <w:rStyle w:val="FootnoteReference"/>
          <w:b/>
          <w:i/>
          <w:sz w:val="20"/>
          <w:szCs w:val="20"/>
        </w:rPr>
        <w:t xml:space="preserve"> </w:t>
      </w:r>
      <w:r w:rsidRPr="003A317E">
        <w:rPr>
          <w:i/>
          <w:sz w:val="20"/>
          <w:szCs w:val="20"/>
          <w:lang w:val="en-US"/>
        </w:rPr>
        <w:t xml:space="preserve">See for example: Fair Work Ombudsman v MAI Pty Ltd [2016] FCCA 1481 (where total penalties of $408,348 were awarded against the respondents); Fair Work Ombudsman v Grouped Property Services Pty Ltd </w:t>
      </w:r>
      <w:r w:rsidRPr="003A317E">
        <w:rPr>
          <w:i/>
          <w:spacing w:val="-5"/>
          <w:sz w:val="20"/>
          <w:szCs w:val="20"/>
        </w:rPr>
        <w:t xml:space="preserve">(No 2) [2017] FCA 557 (where total penalties of $447,300 were awarded against the respondents); </w:t>
      </w:r>
      <w:r w:rsidRPr="003A317E">
        <w:rPr>
          <w:i/>
          <w:sz w:val="20"/>
          <w:szCs w:val="20"/>
          <w:lang w:val="en-US"/>
        </w:rPr>
        <w:t>Fair Work Ombudsman v Rubee Enterprises Pty Ltd [2016] FCCA 3456 (where total penalties of $532,91 were awarded against the respondents); Fair Work Ombudsman v Mhoney Pty Ltd [2017] FCCA 811 (where total penalties of $660,020 were awarded against the respondents).</w:t>
      </w:r>
    </w:p>
  </w:footnote>
  <w:footnote w:id="2">
    <w:p w:rsidR="00C559B2" w:rsidRPr="00C15B8C" w:rsidRDefault="00C559B2" w:rsidP="00C559B2">
      <w:pPr>
        <w:shd w:val="clear" w:color="auto" w:fill="FFFFFF"/>
        <w:spacing w:after="0" w:line="240" w:lineRule="auto"/>
        <w:outlineLvl w:val="0"/>
        <w:rPr>
          <w:rFonts w:eastAsia="Times New Roman" w:cstheme="minorHAnsi"/>
          <w:bCs/>
          <w:kern w:val="36"/>
          <w:sz w:val="20"/>
          <w:szCs w:val="20"/>
          <w:lang w:val="en-US" w:eastAsia="en-AU"/>
        </w:rPr>
      </w:pPr>
      <w:r w:rsidRPr="00721F97">
        <w:rPr>
          <w:rStyle w:val="FootnoteReference"/>
        </w:rPr>
        <w:footnoteRef/>
      </w:r>
      <w:r w:rsidRPr="00721F97">
        <w:rPr>
          <w:sz w:val="20"/>
          <w:szCs w:val="20"/>
        </w:rPr>
        <w:t xml:space="preserve"> </w:t>
      </w:r>
      <w:r w:rsidRPr="00721F97">
        <w:rPr>
          <w:sz w:val="20"/>
          <w:szCs w:val="20"/>
          <w:lang w:val="en-US"/>
        </w:rPr>
        <w:t xml:space="preserve">See for example: </w:t>
      </w:r>
      <w:r w:rsidRPr="00C15B8C">
        <w:rPr>
          <w:rFonts w:eastAsia="Times New Roman" w:cstheme="minorHAnsi"/>
          <w:bCs/>
          <w:i/>
          <w:kern w:val="36"/>
          <w:sz w:val="20"/>
          <w:szCs w:val="20"/>
          <w:lang w:val="en-US" w:eastAsia="en-AU"/>
        </w:rPr>
        <w:t>Fair Work Ombudsman v Pioneer Personnel Pty Ltd</w:t>
      </w:r>
      <w:r w:rsidRPr="006147F5">
        <w:rPr>
          <w:i/>
          <w:lang w:val="en-US"/>
        </w:rPr>
        <w:t xml:space="preserve"> </w:t>
      </w:r>
      <w:r w:rsidRPr="00C15B8C">
        <w:rPr>
          <w:rFonts w:eastAsia="Times New Roman" w:cstheme="minorHAnsi"/>
          <w:bCs/>
          <w:kern w:val="36"/>
          <w:sz w:val="20"/>
          <w:szCs w:val="20"/>
          <w:lang w:val="en-US" w:eastAsia="en-AU"/>
        </w:rPr>
        <w:t>[2017] FCCA 3223</w:t>
      </w:r>
      <w:r>
        <w:rPr>
          <w:rFonts w:eastAsia="Times New Roman" w:cstheme="minorHAnsi"/>
          <w:bCs/>
          <w:kern w:val="36"/>
          <w:sz w:val="20"/>
          <w:szCs w:val="20"/>
          <w:lang w:val="en-US" w:eastAsia="en-AU"/>
        </w:rPr>
        <w:t xml:space="preserve">; </w:t>
      </w:r>
      <w:r w:rsidRPr="00721F97">
        <w:rPr>
          <w:i/>
          <w:sz w:val="20"/>
          <w:szCs w:val="20"/>
          <w:lang w:val="en-US"/>
        </w:rPr>
        <w:t>Fair Work Ombudsman v Priority Matters Pty Ltd</w:t>
      </w:r>
      <w:r>
        <w:rPr>
          <w:i/>
          <w:sz w:val="20"/>
          <w:szCs w:val="20"/>
          <w:lang w:val="en-US"/>
        </w:rPr>
        <w:t xml:space="preserve"> &amp; Ors </w:t>
      </w:r>
      <w:r w:rsidRPr="00721F97">
        <w:rPr>
          <w:sz w:val="20"/>
          <w:szCs w:val="20"/>
          <w:lang w:val="en-US"/>
        </w:rPr>
        <w:t xml:space="preserve">[2016] FCCA 1474 </w:t>
      </w:r>
      <w:r w:rsidRPr="003E2ED5">
        <w:rPr>
          <w:sz w:val="20"/>
          <w:szCs w:val="20"/>
          <w:lang w:val="en-US"/>
        </w:rPr>
        <w:t>(</w:t>
      </w:r>
      <w:r>
        <w:rPr>
          <w:sz w:val="20"/>
          <w:szCs w:val="20"/>
          <w:lang w:val="en-US"/>
        </w:rPr>
        <w:t>on</w:t>
      </w:r>
      <w:r w:rsidRPr="003E2ED5">
        <w:rPr>
          <w:sz w:val="20"/>
          <w:szCs w:val="20"/>
          <w:lang w:val="en-US"/>
        </w:rPr>
        <w:t xml:space="preserve"> appeal</w:t>
      </w:r>
      <w:r>
        <w:rPr>
          <w:sz w:val="20"/>
          <w:szCs w:val="20"/>
          <w:lang w:val="en-US"/>
        </w:rPr>
        <w:t xml:space="preserve"> the judgment was set aside and the proceedings remitted for rehearing: </w:t>
      </w:r>
      <w:r>
        <w:rPr>
          <w:i/>
          <w:sz w:val="20"/>
          <w:szCs w:val="20"/>
          <w:lang w:val="en-US"/>
        </w:rPr>
        <w:t xml:space="preserve">Fair Work Ombudsman v Priority Matters Pty Ltd </w:t>
      </w:r>
      <w:r>
        <w:rPr>
          <w:sz w:val="20"/>
          <w:szCs w:val="20"/>
          <w:lang w:val="en-US"/>
        </w:rPr>
        <w:t>[2017] FCA 833)</w:t>
      </w:r>
      <w:r w:rsidRPr="00C15B8C">
        <w:rPr>
          <w:rFonts w:eastAsia="Times New Roman" w:cstheme="minorHAnsi"/>
          <w:bCs/>
          <w:kern w:val="36"/>
          <w:sz w:val="20"/>
          <w:szCs w:val="20"/>
          <w:lang w:val="en-US" w:eastAsia="en-AU"/>
        </w:rPr>
        <w:t>.</w:t>
      </w:r>
    </w:p>
  </w:footnote>
  <w:footnote w:id="3">
    <w:p w:rsidR="00C559B2" w:rsidRDefault="00C559B2" w:rsidP="00C559B2">
      <w:pPr>
        <w:pStyle w:val="FootnoteText"/>
      </w:pPr>
      <w:r>
        <w:rPr>
          <w:rStyle w:val="FootnoteReference"/>
        </w:rPr>
        <w:footnoteRef/>
      </w:r>
      <w:r>
        <w:t xml:space="preserve"> 94 percent of requests for assistance were resolved without the use of compliance activities last financial year. </w:t>
      </w:r>
      <w:r w:rsidR="002C23E3">
        <w:t xml:space="preserve">See </w:t>
      </w:r>
      <w:hyperlink r:id="rId1" w:history="1">
        <w:r w:rsidR="002C23E3">
          <w:rPr>
            <w:rStyle w:val="Hyperlink"/>
          </w:rPr>
          <w:t>Fair Work Ombudsman and Registered Organisations Commission Entity 2016-17 Annual Report</w:t>
        </w:r>
      </w:hyperlink>
      <w:r w:rsidR="002C23E3">
        <w:t>, 14. Accessible here: https://www.fairwork.gov.au/about-us/access-accountability-and-reporting/annual-reports</w:t>
      </w:r>
    </w:p>
  </w:footnote>
  <w:footnote w:id="4">
    <w:p w:rsidR="00C559B2" w:rsidRDefault="00C559B2" w:rsidP="002C23E3">
      <w:pPr>
        <w:pStyle w:val="FootnoteText"/>
      </w:pPr>
      <w:r>
        <w:rPr>
          <w:rStyle w:val="FootnoteReference"/>
        </w:rPr>
        <w:footnoteRef/>
      </w:r>
      <w:r>
        <w:t xml:space="preserve"> </w:t>
      </w:r>
      <w:hyperlink r:id="rId2" w:history="1">
        <w:r w:rsidR="002C23E3">
          <w:rPr>
            <w:rStyle w:val="Hyperlink"/>
          </w:rPr>
          <w:t>Compliance and enforcement policy</w:t>
        </w:r>
      </w:hyperlink>
    </w:p>
  </w:footnote>
  <w:footnote w:id="5">
    <w:p w:rsidR="00C559B2" w:rsidRDefault="00C559B2" w:rsidP="00C559B2">
      <w:pPr>
        <w:pStyle w:val="FootnoteText"/>
      </w:pPr>
      <w:r>
        <w:rPr>
          <w:rStyle w:val="FootnoteReference"/>
        </w:rPr>
        <w:footnoteRef/>
      </w:r>
      <w:r>
        <w:t xml:space="preserve"> See for example: </w:t>
      </w:r>
      <w:r>
        <w:rPr>
          <w:i/>
          <w:iCs/>
        </w:rPr>
        <w:t xml:space="preserve">Fair Work Ombudsman v E.A Fuller &amp; Sons Pty </w:t>
      </w:r>
      <w:r w:rsidRPr="00293006">
        <w:rPr>
          <w:i/>
          <w:iCs/>
        </w:rPr>
        <w:t xml:space="preserve">Ltd </w:t>
      </w:r>
      <w:r w:rsidRPr="00293006">
        <w:t>[2013] FCCA 5</w:t>
      </w:r>
      <w:r>
        <w:t>.</w:t>
      </w:r>
    </w:p>
  </w:footnote>
  <w:footnote w:id="6">
    <w:p w:rsidR="00C559B2" w:rsidRDefault="00C559B2" w:rsidP="00C559B2">
      <w:pPr>
        <w:pStyle w:val="FootnoteText"/>
      </w:pPr>
      <w:r>
        <w:rPr>
          <w:rStyle w:val="FootnoteReference"/>
        </w:rPr>
        <w:footnoteRef/>
      </w:r>
      <w:r>
        <w:t xml:space="preserve"> </w:t>
      </w:r>
      <w:r w:rsidRPr="00AB12CB">
        <w:rPr>
          <w:rFonts w:cstheme="minorHAnsi"/>
          <w:i/>
          <w:shd w:val="clear" w:color="auto" w:fill="FFFFFF"/>
        </w:rPr>
        <w:t>Fair Work Ombudsman</w:t>
      </w:r>
      <w:r w:rsidRPr="00AB12CB">
        <w:rPr>
          <w:rFonts w:cstheme="minorHAnsi"/>
          <w:shd w:val="clear" w:color="auto" w:fill="FFFFFF"/>
        </w:rPr>
        <w:t xml:space="preserve"> </w:t>
      </w:r>
      <w:r w:rsidRPr="00AB12CB">
        <w:rPr>
          <w:rFonts w:cstheme="minorHAnsi"/>
          <w:i/>
          <w:shd w:val="clear" w:color="auto" w:fill="FFFFFF"/>
        </w:rPr>
        <w:t>v Leigh Alan Jorgensen</w:t>
      </w:r>
      <w:r>
        <w:rPr>
          <w:rFonts w:cstheme="minorHAnsi"/>
          <w:shd w:val="clear" w:color="auto" w:fill="FFFFFF"/>
        </w:rPr>
        <w:t>, file no:</w:t>
      </w:r>
      <w:r w:rsidRPr="00AB12CB">
        <w:rPr>
          <w:rFonts w:cstheme="minorHAnsi"/>
          <w:shd w:val="clear" w:color="auto" w:fill="FFFFFF"/>
        </w:rPr>
        <w:t xml:space="preserve"> BRG1032/2017</w:t>
      </w:r>
      <w:r>
        <w:rPr>
          <w:rFonts w:cstheme="minorHAnsi"/>
          <w:shd w:val="clear" w:color="auto" w:fill="FFFFFF"/>
        </w:rPr>
        <w:t>.</w:t>
      </w:r>
    </w:p>
  </w:footnote>
  <w:footnote w:id="7">
    <w:p w:rsidR="00C559B2" w:rsidRDefault="00C559B2" w:rsidP="00C559B2">
      <w:pPr>
        <w:pStyle w:val="FootnoteText"/>
      </w:pPr>
      <w:r>
        <w:rPr>
          <w:rStyle w:val="FootnoteReference"/>
        </w:rPr>
        <w:footnoteRef/>
      </w:r>
      <w:r>
        <w:t xml:space="preserve"> Peter Gahan, Joshua Healy and Daniel Nicholson, ‘Technology, the Digital Economy and the Challenge for Labour Market Regulation’ in John Howe, Anna Chapman and Ingrid Landau (eds), </w:t>
      </w:r>
      <w:r w:rsidRPr="004334F3">
        <w:rPr>
          <w:i/>
        </w:rPr>
        <w:t>The Evolving Project of Labour Law: Foundations, Development and Future Research Directions</w:t>
      </w:r>
      <w:r>
        <w:t xml:space="preserve"> (The Federation Press, 2017).</w:t>
      </w:r>
    </w:p>
  </w:footnote>
  <w:footnote w:id="8">
    <w:p w:rsidR="00C559B2" w:rsidRDefault="00C559B2" w:rsidP="00C559B2">
      <w:pPr>
        <w:pStyle w:val="FootnoteText"/>
      </w:pPr>
      <w:r>
        <w:rPr>
          <w:rStyle w:val="FootnoteReference"/>
        </w:rPr>
        <w:footnoteRef/>
      </w:r>
      <w:r>
        <w:t xml:space="preserve"> </w:t>
      </w:r>
      <w:hyperlink r:id="rId3" w:history="1">
        <w:r w:rsidR="002C23E3">
          <w:rPr>
            <w:rStyle w:val="Hyperlink"/>
          </w:rPr>
          <w:t>The Age article - Restaurants have a new frenemy and it's eating their profits</w:t>
        </w:r>
      </w:hyperlink>
      <w:r w:rsidR="002C23E3">
        <w:t>,</w:t>
      </w:r>
      <w:r>
        <w:t xml:space="preserve"> accessed 18 January 2018.</w:t>
      </w:r>
    </w:p>
  </w:footnote>
  <w:footnote w:id="9">
    <w:p w:rsidR="00C559B2" w:rsidRDefault="00C559B2" w:rsidP="00C559B2">
      <w:pPr>
        <w:spacing w:after="0" w:line="240" w:lineRule="auto"/>
        <w:rPr>
          <w:rFonts w:eastAsia="Times New Roman"/>
        </w:rPr>
      </w:pPr>
      <w:r>
        <w:rPr>
          <w:rStyle w:val="FootnoteReference"/>
        </w:rPr>
        <w:footnoteRef/>
      </w:r>
      <w:r>
        <w:t xml:space="preserve"> </w:t>
      </w:r>
      <w:r w:rsidRPr="00442ABA">
        <w:rPr>
          <w:sz w:val="20"/>
          <w:szCs w:val="20"/>
        </w:rPr>
        <w:t>Last year Airtasker agreed with Unions NSW to provide above comparative award rates, and to continue to work to ensure best practice workplace health and safety standards. See</w:t>
      </w:r>
      <w:r w:rsidR="002C23E3">
        <w:rPr>
          <w:sz w:val="20"/>
          <w:szCs w:val="20"/>
        </w:rPr>
        <w:t>:</w:t>
      </w:r>
      <w:r w:rsidR="002C23E3">
        <w:rPr>
          <w:rFonts w:eastAsia="Times New Roman"/>
        </w:rPr>
        <w:t xml:space="preserve"> </w:t>
      </w:r>
      <w:hyperlink r:id="rId4" w:history="1">
        <w:r w:rsidR="002C23E3">
          <w:rPr>
            <w:rStyle w:val="Hyperlink"/>
            <w:rFonts w:eastAsia="Times New Roman"/>
            <w:sz w:val="20"/>
            <w:szCs w:val="20"/>
          </w:rPr>
          <w:t>SMH article - Airtasker and unions make landmark agreement to improve pay rates and conditions</w:t>
        </w:r>
      </w:hyperlink>
      <w:r w:rsidRPr="00442ABA">
        <w:rPr>
          <w:rFonts w:eastAsia="Times New Roman"/>
          <w:sz w:val="20"/>
          <w:szCs w:val="20"/>
        </w:rPr>
        <w:t>,</w:t>
      </w:r>
      <w:r>
        <w:rPr>
          <w:rFonts w:eastAsia="Times New Roman"/>
        </w:rPr>
        <w:t xml:space="preserve"> </w:t>
      </w:r>
      <w:r w:rsidRPr="00442ABA">
        <w:rPr>
          <w:sz w:val="20"/>
          <w:szCs w:val="20"/>
        </w:rPr>
        <w:t>accessed 1 February 2018.</w:t>
      </w:r>
    </w:p>
    <w:p w:rsidR="00C559B2" w:rsidRDefault="00C559B2" w:rsidP="00C559B2">
      <w:pPr>
        <w:pStyle w:val="FootnoteText"/>
      </w:pPr>
    </w:p>
  </w:footnote>
  <w:footnote w:id="10">
    <w:p w:rsidR="00C559B2" w:rsidRPr="00895E5D" w:rsidRDefault="00C559B2" w:rsidP="00C559B2">
      <w:pPr>
        <w:pStyle w:val="FootnoteText"/>
      </w:pPr>
      <w:r>
        <w:rPr>
          <w:rStyle w:val="FootnoteReference"/>
        </w:rPr>
        <w:footnoteRef/>
      </w:r>
      <w:r>
        <w:t xml:space="preserve"> </w:t>
      </w:r>
      <w:r>
        <w:rPr>
          <w:i/>
        </w:rPr>
        <w:t xml:space="preserve">Kaseris v Raiser Pacific V.O.F. </w:t>
      </w:r>
      <w:r>
        <w:t>[2017] FWC 6610 (</w:t>
      </w:r>
      <w:r>
        <w:rPr>
          <w:i/>
        </w:rPr>
        <w:t>‘Kaseris’</w:t>
      </w:r>
      <w:r>
        <w:t>).</w:t>
      </w:r>
    </w:p>
  </w:footnote>
  <w:footnote w:id="11">
    <w:p w:rsidR="00C559B2" w:rsidRDefault="00C559B2" w:rsidP="00C559B2">
      <w:pPr>
        <w:pStyle w:val="FootnoteText"/>
      </w:pPr>
      <w:r>
        <w:rPr>
          <w:rStyle w:val="FootnoteReference"/>
        </w:rPr>
        <w:footnoteRef/>
      </w:r>
      <w:r>
        <w:t xml:space="preserve"> </w:t>
      </w:r>
      <w:r>
        <w:rPr>
          <w:i/>
        </w:rPr>
        <w:t xml:space="preserve">Kaseris </w:t>
      </w:r>
      <w:r>
        <w:t>[2017] FWC 6610, [66].</w:t>
      </w:r>
    </w:p>
  </w:footnote>
  <w:footnote w:id="12">
    <w:p w:rsidR="00C559B2" w:rsidRPr="005231DB" w:rsidRDefault="00C559B2" w:rsidP="00C559B2">
      <w:pPr>
        <w:pStyle w:val="FootnoteText"/>
      </w:pPr>
      <w:r>
        <w:rPr>
          <w:rStyle w:val="FootnoteReference"/>
        </w:rPr>
        <w:footnoteRef/>
      </w:r>
      <w:r>
        <w:t xml:space="preserve"> </w:t>
      </w:r>
      <w:r>
        <w:rPr>
          <w:i/>
        </w:rPr>
        <w:t xml:space="preserve">Jian Shen Cai v Michael Anthony Do Rozario </w:t>
      </w:r>
      <w:r>
        <w:t xml:space="preserve">[2011] FWAFB 8307, [5]; cited in </w:t>
      </w:r>
      <w:r w:rsidRPr="009C4A94">
        <w:rPr>
          <w:i/>
        </w:rPr>
        <w:t>Kaseris</w:t>
      </w:r>
      <w:r>
        <w:t xml:space="preserve"> [2017] FWC 6610, [51].</w:t>
      </w:r>
    </w:p>
  </w:footnote>
  <w:footnote w:id="13">
    <w:p w:rsidR="00C559B2" w:rsidRDefault="00C559B2" w:rsidP="00C559B2">
      <w:pPr>
        <w:pStyle w:val="FootnoteText"/>
      </w:pPr>
      <w:r>
        <w:rPr>
          <w:rStyle w:val="FootnoteReference"/>
        </w:rPr>
        <w:footnoteRef/>
      </w:r>
      <w:r>
        <w:t xml:space="preserve"> See for example the </w:t>
      </w:r>
      <w:r w:rsidRPr="00A6736C">
        <w:rPr>
          <w:rFonts w:eastAsia="Times New Roman"/>
          <w:i/>
        </w:rPr>
        <w:t>Employment Rights Act 199</w:t>
      </w:r>
      <w:r>
        <w:rPr>
          <w:rFonts w:eastAsia="Times New Roman"/>
          <w:i/>
        </w:rPr>
        <w:t xml:space="preserve">6 </w:t>
      </w:r>
      <w:r>
        <w:rPr>
          <w:rFonts w:eastAsia="Times New Roman"/>
        </w:rPr>
        <w:t xml:space="preserve">(UK) c 18, </w:t>
      </w:r>
      <w:r>
        <w:t>s 230(3).</w:t>
      </w:r>
    </w:p>
  </w:footnote>
  <w:footnote w:id="14">
    <w:p w:rsidR="00C559B2" w:rsidRPr="009161A8" w:rsidRDefault="00C559B2" w:rsidP="00C559B2">
      <w:pPr>
        <w:pStyle w:val="FootnoteText"/>
      </w:pPr>
      <w:r>
        <w:rPr>
          <w:rStyle w:val="FootnoteReference"/>
        </w:rPr>
        <w:footnoteRef/>
      </w:r>
      <w:r>
        <w:t xml:space="preserve"> David Weil, </w:t>
      </w:r>
      <w:r>
        <w:rPr>
          <w:i/>
        </w:rPr>
        <w:t xml:space="preserve">The Fissured Workplace </w:t>
      </w:r>
      <w:r>
        <w:t>(Harvard University Press, 2014).</w:t>
      </w:r>
    </w:p>
  </w:footnote>
  <w:footnote w:id="15">
    <w:p w:rsidR="00C559B2" w:rsidRDefault="00C559B2" w:rsidP="00C559B2">
      <w:pPr>
        <w:pStyle w:val="FootnoteText"/>
      </w:pPr>
      <w:r>
        <w:rPr>
          <w:rStyle w:val="FootnoteReference"/>
        </w:rPr>
        <w:footnoteRef/>
      </w:r>
      <w:r>
        <w:t xml:space="preserve"> FWO internal data source, obtained 19 January 2018.</w:t>
      </w:r>
    </w:p>
  </w:footnote>
  <w:footnote w:id="16">
    <w:p w:rsidR="00C559B2" w:rsidRPr="00BD5035" w:rsidRDefault="00C559B2" w:rsidP="00C559B2">
      <w:pPr>
        <w:spacing w:after="0" w:line="240" w:lineRule="auto"/>
        <w:rPr>
          <w:color w:val="1F497D"/>
          <w:sz w:val="18"/>
          <w:szCs w:val="18"/>
        </w:rPr>
      </w:pPr>
      <w:r>
        <w:rPr>
          <w:rStyle w:val="FootnoteReference"/>
        </w:rPr>
        <w:footnoteRef/>
      </w:r>
      <w:r>
        <w:t xml:space="preserve"> </w:t>
      </w:r>
      <w:r w:rsidRPr="00BD5035">
        <w:rPr>
          <w:sz w:val="20"/>
          <w:szCs w:val="20"/>
        </w:rPr>
        <w:t>Young worker disputes are calculated from formal dispute lodgements completed for workers aged 15-25yrs. % of Employed persons are derived from ABS labour force cat 6202, table 1/table 13. Calculated by: employed persons aged 15-24yrs/total employed persons.</w:t>
      </w:r>
    </w:p>
  </w:footnote>
  <w:footnote w:id="17">
    <w:p w:rsidR="00C559B2" w:rsidRDefault="00C559B2" w:rsidP="00C559B2">
      <w:pPr>
        <w:pStyle w:val="FootnoteText"/>
      </w:pPr>
      <w:r>
        <w:rPr>
          <w:rStyle w:val="FootnoteReference"/>
        </w:rPr>
        <w:footnoteRef/>
      </w:r>
      <w:r>
        <w:t xml:space="preserve"> FWO internal data source, obtained 19 January 2018.</w:t>
      </w:r>
    </w:p>
  </w:footnote>
  <w:footnote w:id="18">
    <w:p w:rsidR="00C559B2" w:rsidRPr="0038127C" w:rsidRDefault="00C559B2" w:rsidP="00C559B2">
      <w:pPr>
        <w:spacing w:after="0" w:line="240" w:lineRule="auto"/>
        <w:rPr>
          <w:sz w:val="20"/>
          <w:szCs w:val="20"/>
        </w:rPr>
      </w:pPr>
      <w:r>
        <w:rPr>
          <w:rStyle w:val="FootnoteReference"/>
        </w:rPr>
        <w:footnoteRef/>
      </w:r>
      <w:r>
        <w:t xml:space="preserve"> </w:t>
      </w:r>
      <w:r w:rsidRPr="00BD5035">
        <w:rPr>
          <w:sz w:val="20"/>
          <w:szCs w:val="20"/>
        </w:rPr>
        <w:t>Visa holder disputes are calculated from formal dispute lodgements completed for visa workers</w:t>
      </w:r>
      <w:r>
        <w:rPr>
          <w:sz w:val="20"/>
          <w:szCs w:val="20"/>
        </w:rPr>
        <w:t xml:space="preserve">. </w:t>
      </w:r>
      <w:r w:rsidRPr="00BD5035">
        <w:rPr>
          <w:sz w:val="20"/>
          <w:szCs w:val="20"/>
        </w:rPr>
        <w:t>Employed persons are derived from ABS labour force cat 6202, table 1. Number of visa workers sourced from Home Affairs temporary entrants - selected visas of ‘Students’, ‘s457 working’, ‘working holiday’ (as at June within corresponding FY (13/14, 14/15, 15/16)</w:t>
      </w:r>
      <w:r>
        <w:rPr>
          <w:sz w:val="20"/>
          <w:szCs w:val="20"/>
        </w:rPr>
        <w:t>, 2016-17 figures are as at Dec</w:t>
      </w:r>
      <w:r w:rsidRPr="00BD5035">
        <w:rPr>
          <w:sz w:val="20"/>
          <w:szCs w:val="20"/>
        </w:rPr>
        <w:t xml:space="preserve"> 16 (June 2017 yet to be released)</w:t>
      </w:r>
      <w:r>
        <w:rPr>
          <w:sz w:val="20"/>
          <w:szCs w:val="20"/>
        </w:rPr>
        <w:t xml:space="preserve">. </w:t>
      </w:r>
      <w:r w:rsidRPr="00CF3F04">
        <w:rPr>
          <w:sz w:val="20"/>
          <w:szCs w:val="20"/>
        </w:rPr>
        <w:t>% of Employed persons calculated: Number of temporary entrants/total employed persons</w:t>
      </w:r>
      <w:r w:rsidR="00CF3F04">
        <w:rPr>
          <w:sz w:val="20"/>
          <w:szCs w:val="20"/>
        </w:rPr>
        <w:t>.</w:t>
      </w:r>
    </w:p>
  </w:footnote>
  <w:footnote w:id="19">
    <w:p w:rsidR="00C559B2" w:rsidRDefault="00C559B2" w:rsidP="00C559B2">
      <w:pPr>
        <w:pStyle w:val="FootnoteText"/>
      </w:pPr>
      <w:r>
        <w:rPr>
          <w:rStyle w:val="FootnoteReference"/>
        </w:rPr>
        <w:footnoteRef/>
      </w:r>
      <w:r>
        <w:t xml:space="preserve"> FWO internal data source, obtained 19 January 2018. Average figures for the 2013-14, 2014-15, 2015-16, 2016-17 financial years.</w:t>
      </w:r>
    </w:p>
  </w:footnote>
  <w:footnote w:id="20">
    <w:p w:rsidR="00C559B2" w:rsidRDefault="00C559B2" w:rsidP="00C559B2">
      <w:pPr>
        <w:pStyle w:val="Bullet"/>
        <w:ind w:left="0"/>
      </w:pPr>
      <w:r>
        <w:rPr>
          <w:rStyle w:val="FootnoteReference"/>
        </w:rPr>
        <w:footnoteRef/>
      </w:r>
      <w:r>
        <w:t xml:space="preserve"> See</w:t>
      </w:r>
      <w:r w:rsidRPr="00DA7464">
        <w:t xml:space="preserve"> the </w:t>
      </w:r>
      <w:hyperlink r:id="rId5" w:history="1">
        <w:r w:rsidR="002C23E3">
          <w:rPr>
            <w:rStyle w:val="Hyperlink"/>
          </w:rPr>
          <w:t>Baiada Inquiry Report</w:t>
        </w:r>
      </w:hyperlink>
      <w:r w:rsidR="002C23E3">
        <w:t xml:space="preserve"> </w:t>
      </w:r>
      <w:r w:rsidRPr="00DA7464">
        <w:t xml:space="preserve">at </w:t>
      </w:r>
      <w:r w:rsidRPr="002C23E3">
        <w:t>https://www.fairwork.gov.au/about-us/access-accountability-and-reporting/inquiry-reports</w:t>
      </w:r>
      <w:r w:rsidRPr="00DA7464">
        <w:t xml:space="preserve">. The Baiada Group refers to Baiada Poultry Pty Limited (ACN </w:t>
      </w:r>
      <w:r w:rsidRPr="00DA7464">
        <w:rPr>
          <w:color w:val="252525"/>
        </w:rPr>
        <w:t xml:space="preserve">002925948) </w:t>
      </w:r>
      <w:r w:rsidRPr="00DA7464">
        <w:t xml:space="preserve">and Bartter Enterprises Pty Limited (ACN </w:t>
      </w:r>
      <w:r w:rsidRPr="00DA7464">
        <w:rPr>
          <w:color w:val="252525"/>
        </w:rPr>
        <w:t>087485943)</w:t>
      </w:r>
      <w:r w:rsidRPr="00DA7464">
        <w:t>. As at October 2013, information disclosed that the Baiada Group had agreements to source labour with the following six principal contractors: B &amp; E Poultry Holdings Pty Ltd (ACN 137 454 678), Mushland Pty Ltd (ACN 139 033 686), JL Poultry Pty Ltd (ACN 159 101 309), VNJ Foods Pty Ltd (ACN 146 980 574), Evergreenlee Pty Ltd (ACN 129 340 709),</w:t>
      </w:r>
      <w:r>
        <w:t xml:space="preserve"> and</w:t>
      </w:r>
      <w:r w:rsidRPr="00DA7464">
        <w:t xml:space="preserve"> Pham Poultry (AUS) Pty Ltd (ACN 158 702 295).</w:t>
      </w:r>
    </w:p>
  </w:footnote>
  <w:footnote w:id="21">
    <w:p w:rsidR="00C559B2" w:rsidRDefault="00C559B2" w:rsidP="00C559B2">
      <w:pPr>
        <w:pStyle w:val="FootnoteText"/>
      </w:pPr>
      <w:r>
        <w:rPr>
          <w:rStyle w:val="FootnoteReference"/>
        </w:rPr>
        <w:footnoteRef/>
      </w:r>
      <w:r>
        <w:t xml:space="preserve"> FWO internal data source, obtained 19 January 2018. Average figures for the 2013-14, 2014-15, 2015-16, 2016-17 financial years.</w:t>
      </w:r>
    </w:p>
  </w:footnote>
  <w:footnote w:id="22">
    <w:p w:rsidR="00C559B2" w:rsidRPr="006E6FD4" w:rsidRDefault="00C559B2" w:rsidP="00C559B2">
      <w:pPr>
        <w:pStyle w:val="FootnoteText"/>
      </w:pPr>
      <w:r>
        <w:rPr>
          <w:rStyle w:val="FootnoteReference"/>
        </w:rPr>
        <w:footnoteRef/>
      </w:r>
      <w:r>
        <w:t xml:space="preserve"> </w:t>
      </w:r>
      <w:r>
        <w:rPr>
          <w:i/>
        </w:rPr>
        <w:t xml:space="preserve">Fair Work (Protecting Vulnerable Workers) Act 2017 </w:t>
      </w:r>
      <w:r>
        <w:t>(Cth).</w:t>
      </w:r>
    </w:p>
  </w:footnote>
  <w:footnote w:id="23">
    <w:p w:rsidR="00C559B2" w:rsidRDefault="00C559B2" w:rsidP="00C559B2">
      <w:pPr>
        <w:pStyle w:val="FootnoteText"/>
      </w:pPr>
      <w:r>
        <w:rPr>
          <w:rStyle w:val="FootnoteReference"/>
        </w:rPr>
        <w:footnoteRef/>
      </w:r>
      <w:r>
        <w:t xml:space="preserve"> 2016</w:t>
      </w:r>
      <w:r w:rsidRPr="0082114B">
        <w:t xml:space="preserve"> Census</w:t>
      </w:r>
      <w:r>
        <w:t xml:space="preserve"> data, Australian Bureau of Statistics.</w:t>
      </w:r>
    </w:p>
  </w:footnote>
  <w:footnote w:id="24">
    <w:p w:rsidR="00C559B2" w:rsidRDefault="00C559B2" w:rsidP="00C559B2">
      <w:pPr>
        <w:pStyle w:val="FootnoteText"/>
      </w:pPr>
      <w:r>
        <w:rPr>
          <w:rStyle w:val="FootnoteReference"/>
        </w:rPr>
        <w:footnoteRef/>
      </w:r>
      <w:r>
        <w:t xml:space="preserve"> FWO internal data source, obtained 19 January 2018. Average figures for the 2013-14, 2014-15, 2015-16, 2016-17 financial years.</w:t>
      </w:r>
    </w:p>
  </w:footnote>
  <w:footnote w:id="25">
    <w:p w:rsidR="00C559B2" w:rsidRDefault="00C559B2" w:rsidP="00C559B2">
      <w:pPr>
        <w:pStyle w:val="FootnoteText"/>
      </w:pPr>
      <w:r>
        <w:rPr>
          <w:rStyle w:val="FootnoteReference"/>
        </w:rPr>
        <w:footnoteRef/>
      </w:r>
      <w:r>
        <w:t xml:space="preserve"> 1 has been discontinued (Green World);</w:t>
      </w:r>
      <w:r w:rsidR="00A25858">
        <w:t xml:space="preserve"> figure</w:t>
      </w:r>
      <w:r>
        <w:t xml:space="preserve"> includes </w:t>
      </w:r>
      <w:r w:rsidR="00A25858">
        <w:t>liability, penalty and wind-</w:t>
      </w:r>
      <w:r>
        <w:t>up action</w:t>
      </w:r>
      <w:r w:rsidR="00A25858">
        <w:t>s</w:t>
      </w:r>
      <w:r>
        <w:t>.</w:t>
      </w:r>
    </w:p>
  </w:footnote>
  <w:footnote w:id="26">
    <w:p w:rsidR="00C559B2" w:rsidRDefault="00C559B2" w:rsidP="00C559B2">
      <w:pPr>
        <w:pStyle w:val="FootnoteText"/>
      </w:pPr>
      <w:r>
        <w:rPr>
          <w:rStyle w:val="FootnoteReference"/>
        </w:rPr>
        <w:footnoteRef/>
      </w:r>
      <w:r>
        <w:t xml:space="preserve"> FWO internal data source, obtained 25 January 2018.</w:t>
      </w:r>
    </w:p>
  </w:footnote>
  <w:footnote w:id="27">
    <w:p w:rsidR="00C559B2" w:rsidRDefault="00C559B2" w:rsidP="00C559B2">
      <w:pPr>
        <w:pStyle w:val="FootnoteText"/>
      </w:pPr>
      <w:r>
        <w:rPr>
          <w:rStyle w:val="FootnoteReference"/>
        </w:rPr>
        <w:footnoteRef/>
      </w:r>
      <w:r>
        <w:t xml:space="preserve"> </w:t>
      </w:r>
      <w:hyperlink r:id="rId6" w:history="1">
        <w:r w:rsidR="002C23E3">
          <w:rPr>
            <w:rStyle w:val="Hyperlink"/>
          </w:rPr>
          <w:t>FWO media release - South Jin</w:t>
        </w:r>
      </w:hyperlink>
    </w:p>
  </w:footnote>
  <w:footnote w:id="28">
    <w:p w:rsidR="00C559B2" w:rsidRDefault="00C559B2" w:rsidP="00C559B2">
      <w:pPr>
        <w:pStyle w:val="FootnoteText"/>
      </w:pPr>
      <w:r>
        <w:rPr>
          <w:rStyle w:val="FootnoteReference"/>
        </w:rPr>
        <w:footnoteRef/>
      </w:r>
      <w:r>
        <w:t xml:space="preserve"> </w:t>
      </w:r>
      <w:hyperlink r:id="rId7" w:history="1">
        <w:r w:rsidR="002C23E3">
          <w:rPr>
            <w:rStyle w:val="Hyperlink"/>
          </w:rPr>
          <w:t>FWO media release - Al Hilfi prosecution</w:t>
        </w:r>
      </w:hyperlink>
      <w:r w:rsidR="002C23E3">
        <w:rPr>
          <w:rStyle w:val="Hyperlink"/>
        </w:rPr>
        <w:t xml:space="preserve">; and  </w:t>
      </w:r>
      <w:hyperlink r:id="rId8" w:history="1">
        <w:r w:rsidR="002C23E3">
          <w:rPr>
            <w:rStyle w:val="Hyperlink"/>
          </w:rPr>
          <w:t>FWO media release - Al Basry prosecution</w:t>
        </w:r>
      </w:hyperlink>
      <w:r>
        <w:rPr>
          <w:rStyle w:val="Hyperlink"/>
        </w:rPr>
        <w:t>;</w:t>
      </w:r>
    </w:p>
  </w:footnote>
  <w:footnote w:id="29">
    <w:p w:rsidR="00C559B2" w:rsidRDefault="00C559B2" w:rsidP="00C559B2">
      <w:pPr>
        <w:pStyle w:val="FootnoteText"/>
      </w:pPr>
      <w:r w:rsidRPr="00FB51BC">
        <w:rPr>
          <w:rStyle w:val="FootnoteReference"/>
        </w:rPr>
        <w:footnoteRef/>
      </w:r>
      <w:r w:rsidRPr="00FB51BC">
        <w:t xml:space="preserve"> </w:t>
      </w:r>
      <w:r w:rsidRPr="00FB51BC">
        <w:rPr>
          <w:rFonts w:eastAsia="Times New Roman"/>
        </w:rPr>
        <w:t>Starlink International Group Pty Ltd (in liquidation), Starlink Operations Group Pty Ltd (in liquidation)</w:t>
      </w:r>
    </w:p>
  </w:footnote>
  <w:footnote w:id="30">
    <w:p w:rsidR="00C559B2" w:rsidRDefault="00C559B2" w:rsidP="00C559B2">
      <w:pPr>
        <w:pStyle w:val="FootnoteText"/>
      </w:pPr>
      <w:r>
        <w:rPr>
          <w:rStyle w:val="FootnoteReference"/>
        </w:rPr>
        <w:footnoteRef/>
      </w:r>
      <w:r>
        <w:t xml:space="preserve"> </w:t>
      </w:r>
      <w:r w:rsidRPr="00096650">
        <w:t>https://www.fairwork.gov.au/about-us/news-and-media-releases/2014-media-releases/august-2014/20140829-trolley-collectors</w:t>
      </w:r>
    </w:p>
  </w:footnote>
  <w:footnote w:id="31">
    <w:p w:rsidR="00C559B2" w:rsidRDefault="00C559B2" w:rsidP="00C559B2">
      <w:pPr>
        <w:pStyle w:val="FootnoteText"/>
      </w:pPr>
      <w:r>
        <w:rPr>
          <w:rStyle w:val="FootnoteReference"/>
        </w:rPr>
        <w:footnoteRef/>
      </w:r>
      <w:r>
        <w:t xml:space="preserve"> In 2016 Coles had 787 supermarkets, 865 liquor stores, 89 hotels and 690 convenience outlets across Australia. Source: Coles Year in Review 2016: </w:t>
      </w:r>
      <w:r w:rsidRPr="002C23E3">
        <w:t>file:///C:/Users/jd3116/Downloads/Coles_Year_in_Review_2016.pdf</w:t>
      </w:r>
      <w:r>
        <w:t xml:space="preserve"> </w:t>
      </w:r>
    </w:p>
  </w:footnote>
  <w:footnote w:id="32">
    <w:p w:rsidR="00C559B2" w:rsidRDefault="00C559B2" w:rsidP="00C559B2">
      <w:pPr>
        <w:pStyle w:val="FootnoteText"/>
      </w:pPr>
      <w:r>
        <w:rPr>
          <w:rStyle w:val="FootnoteReference"/>
        </w:rPr>
        <w:footnoteRef/>
      </w:r>
      <w:r>
        <w:t xml:space="preserve"> PCD term of operation: 13 May 2014 – 13 May 2017</w:t>
      </w:r>
      <w:hyperlink r:id="rId9" w:history="1">
        <w:r w:rsidR="002C23E3">
          <w:rPr>
            <w:rStyle w:val="Hyperlink"/>
          </w:rPr>
          <w:t>List of PCDs</w:t>
        </w:r>
      </w:hyperlink>
      <w:r w:rsidR="002C23E3">
        <w:t xml:space="preserve"> </w:t>
      </w:r>
      <w:r>
        <w:t xml:space="preserve"> </w:t>
      </w:r>
    </w:p>
  </w:footnote>
  <w:footnote w:id="33">
    <w:p w:rsidR="00C559B2" w:rsidRDefault="00C559B2" w:rsidP="00C559B2">
      <w:pPr>
        <w:pStyle w:val="FootnoteText"/>
      </w:pPr>
      <w:r>
        <w:rPr>
          <w:rStyle w:val="FootnoteReference"/>
        </w:rPr>
        <w:footnoteRef/>
      </w:r>
      <w:r>
        <w:t xml:space="preserve"> </w:t>
      </w:r>
      <w:hyperlink r:id="rId10" w:history="1">
        <w:r w:rsidR="002C23E3">
          <w:rPr>
            <w:rStyle w:val="Hyperlink"/>
          </w:rPr>
          <w:t>FWO media release - Coles EU</w:t>
        </w:r>
      </w:hyperlink>
      <w:r w:rsidR="002C23E3">
        <w:t xml:space="preserve">; </w:t>
      </w:r>
      <w:r>
        <w:t>Coles EU clause R.(b)</w:t>
      </w:r>
    </w:p>
  </w:footnote>
  <w:footnote w:id="34">
    <w:p w:rsidR="00C559B2" w:rsidRDefault="00C559B2" w:rsidP="00C559B2">
      <w:pPr>
        <w:pStyle w:val="FootnoteText"/>
      </w:pPr>
      <w:r>
        <w:rPr>
          <w:rStyle w:val="FootnoteReference"/>
        </w:rPr>
        <w:footnoteRef/>
      </w:r>
      <w:r>
        <w:t xml:space="preserve"> See for example </w:t>
      </w:r>
      <w:r w:rsidRPr="00635B9C">
        <w:rPr>
          <w:i/>
        </w:rPr>
        <w:t>Fair Work Ombudsman v Atkins Freight Services Pty Ltd</w:t>
      </w:r>
      <w:r>
        <w:t xml:space="preserve"> [2017] FCA 1134.</w:t>
      </w:r>
    </w:p>
  </w:footnote>
  <w:footnote w:id="35">
    <w:p w:rsidR="00564AC6" w:rsidRDefault="00564AC6" w:rsidP="002C23E3">
      <w:pPr>
        <w:pStyle w:val="FootnoteText"/>
      </w:pPr>
      <w:r>
        <w:rPr>
          <w:rStyle w:val="FootnoteReference"/>
        </w:rPr>
        <w:footnoteRef/>
      </w:r>
      <w:r>
        <w:t xml:space="preserve"> </w:t>
      </w:r>
      <w:hyperlink r:id="rId11" w:history="1">
        <w:r w:rsidR="002C23E3">
          <w:rPr>
            <w:rStyle w:val="Hyperlink"/>
          </w:rPr>
          <w:t xml:space="preserve">FWO media release - Coles EU 3rd annual report </w:t>
        </w:r>
      </w:hyperlink>
    </w:p>
  </w:footnote>
  <w:footnote w:id="36">
    <w:p w:rsidR="00C559B2" w:rsidRDefault="00C559B2" w:rsidP="00C559B2">
      <w:pPr>
        <w:pStyle w:val="FootnoteText"/>
      </w:pPr>
      <w:r>
        <w:rPr>
          <w:rStyle w:val="FootnoteReference"/>
        </w:rPr>
        <w:footnoteRef/>
      </w:r>
      <w:r>
        <w:t xml:space="preserve"> </w:t>
      </w:r>
      <w:r w:rsidR="002C23E3">
        <w:rPr>
          <w:rStyle w:val="FootnoteReference"/>
        </w:rPr>
        <w:footnoteRef/>
      </w:r>
      <w:r w:rsidR="002C23E3">
        <w:t xml:space="preserve"> </w:t>
      </w:r>
      <w:hyperlink r:id="rId12" w:history="1">
        <w:r w:rsidR="002C23E3">
          <w:rPr>
            <w:rStyle w:val="Hyperlink"/>
          </w:rPr>
          <w:t>FWO media release - Woolworths PCD</w:t>
        </w:r>
      </w:hyperlink>
      <w:r w:rsidR="002C23E3">
        <w:t xml:space="preserve"> </w:t>
      </w:r>
      <w:r>
        <w:t>Woolworths PCD clause O.(b)</w:t>
      </w:r>
    </w:p>
  </w:footnote>
  <w:footnote w:id="37">
    <w:p w:rsidR="00C559B2" w:rsidRDefault="00C559B2" w:rsidP="002C23E3">
      <w:pPr>
        <w:pStyle w:val="FootnoteText"/>
      </w:pPr>
      <w:r>
        <w:rPr>
          <w:rStyle w:val="FootnoteReference"/>
        </w:rPr>
        <w:footnoteRef/>
      </w:r>
      <w:r>
        <w:t xml:space="preserve"> </w:t>
      </w:r>
      <w:hyperlink r:id="rId13" w:anchor="trolley-collection-services-procurement-by-woolworths-limited" w:history="1">
        <w:r w:rsidR="002C23E3">
          <w:rPr>
            <w:rStyle w:val="Hyperlink"/>
          </w:rPr>
          <w:t>FWO inquiry - Trolley collection services procurement by Woolworths Limited</w:t>
        </w:r>
      </w:hyperlink>
    </w:p>
  </w:footnote>
  <w:footnote w:id="38">
    <w:p w:rsidR="00C559B2" w:rsidRDefault="00C559B2" w:rsidP="00C559B2">
      <w:pPr>
        <w:pStyle w:val="FootnoteText"/>
      </w:pPr>
      <w:r>
        <w:rPr>
          <w:rStyle w:val="FootnoteReference"/>
        </w:rPr>
        <w:footnoteRef/>
      </w:r>
      <w:r>
        <w:t xml:space="preserve"> </w:t>
      </w:r>
      <w:hyperlink r:id="rId14" w:history="1">
        <w:r w:rsidR="002C23E3">
          <w:rPr>
            <w:rStyle w:val="Hyperlink"/>
          </w:rPr>
          <w:t>Contracting labour and supply chains</w:t>
        </w:r>
      </w:hyperlink>
      <w:r w:rsidR="002C23E3">
        <w:t xml:space="preserve"> </w:t>
      </w:r>
      <w:r>
        <w:t xml:space="preserve"> </w:t>
      </w:r>
    </w:p>
  </w:footnote>
  <w:footnote w:id="39">
    <w:p w:rsidR="00C559B2" w:rsidRDefault="00C559B2" w:rsidP="00C559B2">
      <w:pPr>
        <w:pStyle w:val="FootnoteText"/>
      </w:pPr>
      <w:r w:rsidRPr="003A047A">
        <w:rPr>
          <w:rStyle w:val="FootnoteReference"/>
        </w:rPr>
        <w:footnoteRef/>
      </w:r>
      <w:r w:rsidRPr="003A047A">
        <w:t xml:space="preserve"> </w:t>
      </w:r>
      <w:r w:rsidRPr="003A047A">
        <w:rPr>
          <w:i/>
        </w:rPr>
        <w:t>FWO v Blue Impression Pty Ltd</w:t>
      </w:r>
      <w:r w:rsidRPr="003A047A">
        <w:t xml:space="preserve"> [2017] FCCA 810; </w:t>
      </w:r>
      <w:r w:rsidRPr="003A047A">
        <w:rPr>
          <w:i/>
        </w:rPr>
        <w:t>Fair Work Ombudsman v Kjoo Pty Ltd</w:t>
      </w:r>
      <w:r w:rsidRPr="003A047A">
        <w:t xml:space="preserve"> [2017] FCCA 3160.</w:t>
      </w:r>
    </w:p>
  </w:footnote>
  <w:footnote w:id="40">
    <w:p w:rsidR="00C559B2" w:rsidRPr="00CB23AE" w:rsidRDefault="00C559B2" w:rsidP="00C559B2">
      <w:pPr>
        <w:pStyle w:val="FootnoteText"/>
      </w:pPr>
      <w:r>
        <w:rPr>
          <w:rStyle w:val="FootnoteReference"/>
        </w:rPr>
        <w:footnoteRef/>
      </w:r>
      <w:r>
        <w:t xml:space="preserve"> </w:t>
      </w:r>
      <w:r>
        <w:rPr>
          <w:i/>
        </w:rPr>
        <w:t xml:space="preserve">Kaseris </w:t>
      </w:r>
      <w:r>
        <w:t>[2017] FWC 6610, [66].</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9F9" w:rsidRDefault="00C279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9F9" w:rsidRDefault="00C279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79F9" w:rsidRDefault="00C279F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35C"/>
    <w:rsid w:val="0002468C"/>
    <w:rsid w:val="000E696A"/>
    <w:rsid w:val="001C6F8D"/>
    <w:rsid w:val="002C23E3"/>
    <w:rsid w:val="003A317E"/>
    <w:rsid w:val="00480415"/>
    <w:rsid w:val="00564AC6"/>
    <w:rsid w:val="005F3DF8"/>
    <w:rsid w:val="006C148A"/>
    <w:rsid w:val="00716572"/>
    <w:rsid w:val="008C4F8D"/>
    <w:rsid w:val="0093786B"/>
    <w:rsid w:val="0095535C"/>
    <w:rsid w:val="00961432"/>
    <w:rsid w:val="00A25858"/>
    <w:rsid w:val="00C279F9"/>
    <w:rsid w:val="00C559B2"/>
    <w:rsid w:val="00C818A7"/>
    <w:rsid w:val="00CF3959"/>
    <w:rsid w:val="00CF3F04"/>
    <w:rsid w:val="00D67B97"/>
    <w:rsid w:val="00F174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59B2"/>
  </w:style>
  <w:style w:type="paragraph" w:styleId="Heading1">
    <w:name w:val="heading 1"/>
    <w:basedOn w:val="Normal"/>
    <w:link w:val="Heading1Char"/>
    <w:uiPriority w:val="9"/>
    <w:qFormat/>
    <w:rsid w:val="002C23E3"/>
    <w:pPr>
      <w:spacing w:line="360" w:lineRule="auto"/>
      <w:outlineLvl w:val="0"/>
    </w:pPr>
    <w:rPr>
      <w:b/>
      <w:bCs/>
      <w:i/>
      <w:iCs/>
      <w:sz w:val="24"/>
      <w:szCs w:val="32"/>
    </w:rPr>
  </w:style>
  <w:style w:type="paragraph" w:styleId="Heading2">
    <w:name w:val="heading 2"/>
    <w:basedOn w:val="Heading1"/>
    <w:next w:val="Normal"/>
    <w:link w:val="Heading2Char"/>
    <w:uiPriority w:val="9"/>
    <w:unhideWhenUsed/>
    <w:qFormat/>
    <w:rsid w:val="002C23E3"/>
    <w:pPr>
      <w:outlineLvl w:val="1"/>
    </w:pPr>
  </w:style>
  <w:style w:type="paragraph" w:styleId="Heading3">
    <w:name w:val="heading 3"/>
    <w:basedOn w:val="Heading2"/>
    <w:next w:val="Normal"/>
    <w:link w:val="Heading3Char"/>
    <w:uiPriority w:val="9"/>
    <w:unhideWhenUsed/>
    <w:qFormat/>
    <w:rsid w:val="002C23E3"/>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23E3"/>
    <w:rPr>
      <w:b/>
      <w:bCs/>
      <w:i/>
      <w:iCs/>
      <w:sz w:val="24"/>
      <w:szCs w:val="32"/>
    </w:rPr>
  </w:style>
  <w:style w:type="paragraph" w:styleId="FootnoteText">
    <w:name w:val="footnote text"/>
    <w:basedOn w:val="Normal"/>
    <w:link w:val="FootnoteTextChar"/>
    <w:uiPriority w:val="99"/>
    <w:semiHidden/>
    <w:unhideWhenUsed/>
    <w:rsid w:val="0095535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5535C"/>
    <w:rPr>
      <w:sz w:val="20"/>
      <w:szCs w:val="20"/>
    </w:rPr>
  </w:style>
  <w:style w:type="character" w:styleId="FootnoteReference">
    <w:name w:val="footnote reference"/>
    <w:basedOn w:val="DefaultParagraphFont"/>
    <w:uiPriority w:val="99"/>
    <w:semiHidden/>
    <w:unhideWhenUsed/>
    <w:rsid w:val="0095535C"/>
    <w:rPr>
      <w:vertAlign w:val="superscript"/>
    </w:rPr>
  </w:style>
  <w:style w:type="character" w:styleId="Hyperlink">
    <w:name w:val="Hyperlink"/>
    <w:basedOn w:val="DefaultParagraphFont"/>
    <w:uiPriority w:val="99"/>
    <w:unhideWhenUsed/>
    <w:rsid w:val="0095535C"/>
    <w:rPr>
      <w:color w:val="0563C1" w:themeColor="hyperlink"/>
      <w:u w:val="single"/>
    </w:rPr>
  </w:style>
  <w:style w:type="character" w:customStyle="1" w:styleId="apple-converted-space">
    <w:name w:val="apple-converted-space"/>
    <w:basedOn w:val="DefaultParagraphFont"/>
    <w:rsid w:val="0095535C"/>
  </w:style>
  <w:style w:type="paragraph" w:styleId="Footer">
    <w:name w:val="footer"/>
    <w:basedOn w:val="Normal"/>
    <w:link w:val="FooterChar"/>
    <w:uiPriority w:val="99"/>
    <w:unhideWhenUsed/>
    <w:rsid w:val="009553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35C"/>
  </w:style>
  <w:style w:type="paragraph" w:customStyle="1" w:styleId="Bullet">
    <w:name w:val="Bullet"/>
    <w:basedOn w:val="Normal"/>
    <w:autoRedefine/>
    <w:qFormat/>
    <w:rsid w:val="0095535C"/>
    <w:pPr>
      <w:spacing w:after="0" w:line="240" w:lineRule="auto"/>
      <w:ind w:left="357"/>
      <w:jc w:val="both"/>
    </w:pPr>
    <w:rPr>
      <w:rFonts w:cstheme="minorHAnsi"/>
      <w:sz w:val="20"/>
      <w:szCs w:val="20"/>
      <w:lang w:val="en-US"/>
    </w:rPr>
  </w:style>
  <w:style w:type="character" w:customStyle="1" w:styleId="Heading2Char">
    <w:name w:val="Heading 2 Char"/>
    <w:basedOn w:val="DefaultParagraphFont"/>
    <w:link w:val="Heading2"/>
    <w:uiPriority w:val="9"/>
    <w:rsid w:val="002C23E3"/>
    <w:rPr>
      <w:b/>
      <w:bCs/>
      <w:i/>
      <w:iCs/>
      <w:sz w:val="24"/>
      <w:szCs w:val="32"/>
    </w:rPr>
  </w:style>
  <w:style w:type="paragraph" w:styleId="Title">
    <w:name w:val="Title"/>
    <w:basedOn w:val="Heading1"/>
    <w:next w:val="Normal"/>
    <w:link w:val="TitleChar"/>
    <w:uiPriority w:val="10"/>
    <w:qFormat/>
    <w:rsid w:val="002C23E3"/>
  </w:style>
  <w:style w:type="character" w:customStyle="1" w:styleId="TitleChar">
    <w:name w:val="Title Char"/>
    <w:basedOn w:val="DefaultParagraphFont"/>
    <w:link w:val="Title"/>
    <w:uiPriority w:val="10"/>
    <w:rsid w:val="002C23E3"/>
    <w:rPr>
      <w:b/>
      <w:bCs/>
      <w:i/>
      <w:iCs/>
      <w:sz w:val="24"/>
      <w:szCs w:val="32"/>
    </w:rPr>
  </w:style>
  <w:style w:type="character" w:customStyle="1" w:styleId="Heading3Char">
    <w:name w:val="Heading 3 Char"/>
    <w:basedOn w:val="DefaultParagraphFont"/>
    <w:link w:val="Heading3"/>
    <w:uiPriority w:val="9"/>
    <w:rsid w:val="002C23E3"/>
    <w:rPr>
      <w:b/>
    </w:rPr>
  </w:style>
  <w:style w:type="paragraph" w:styleId="Header">
    <w:name w:val="header"/>
    <w:basedOn w:val="Normal"/>
    <w:link w:val="HeaderChar"/>
    <w:uiPriority w:val="99"/>
    <w:unhideWhenUsed/>
    <w:rsid w:val="00C279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79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262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fairwork.gov.au/about-us/news-and-media-releases/2012-media-releases/june-2012/20120603-al-basry-prosecution" TargetMode="External"/><Relationship Id="rId13" Type="http://schemas.openxmlformats.org/officeDocument/2006/relationships/hyperlink" Target="https://www.fairwork.gov.au/about-us/access-accountability-and-reporting/inquiry-reports" TargetMode="External"/><Relationship Id="rId3" Type="http://schemas.openxmlformats.org/officeDocument/2006/relationships/hyperlink" Target="http://www.theage.com.au/business/restaurants-have-a-new-frenemy-and-its-eating-their-profits-20180116-h0j21x.html" TargetMode="External"/><Relationship Id="rId7" Type="http://schemas.openxmlformats.org/officeDocument/2006/relationships/hyperlink" Target="https://www.fairwork.gov.au/about-us/news-and-media-releases/2012-media-releases/february-2012/20120226-al-hilfi-prosecution" TargetMode="External"/><Relationship Id="rId12" Type="http://schemas.openxmlformats.org/officeDocument/2006/relationships/hyperlink" Target="https://www.fairwork.gov.au/about-us/news-and-media-releases/2017-media-releases/october-2017/20171011-woolworths-pcd-trolley-collectors-release" TargetMode="External"/><Relationship Id="rId2" Type="http://schemas.openxmlformats.org/officeDocument/2006/relationships/hyperlink" Target="https://www.fairwork.gov.au/about-us/our-vision/compliance-and-enforcement-policy" TargetMode="External"/><Relationship Id="rId1" Type="http://schemas.openxmlformats.org/officeDocument/2006/relationships/hyperlink" Target="https://www.fairwork.gov.au/annual-reports/annual-report-2016-17/default" TargetMode="External"/><Relationship Id="rId6" Type="http://schemas.openxmlformats.org/officeDocument/2006/relationships/hyperlink" Target="https://www.fairwork.gov.au/about-us/news-and-media-releases/2011-media-releases/august-2011/20110814-south-jin" TargetMode="External"/><Relationship Id="rId11" Type="http://schemas.openxmlformats.org/officeDocument/2006/relationships/hyperlink" Target="https://www.fairwork.gov.au/about-us/news-and-media-releases/2018-media-releases/february-2018/20180207-coles-eu-3rd-annual-report-mr" TargetMode="External"/><Relationship Id="rId5" Type="http://schemas.openxmlformats.org/officeDocument/2006/relationships/hyperlink" Target="https://www.fairwork.gov.au/about-us/access-accountability-and-reporting/inquiry-reports" TargetMode="External"/><Relationship Id="rId10" Type="http://schemas.openxmlformats.org/officeDocument/2006/relationships/hyperlink" Target="https://www.fairwork.gov.au/about-us/news-and-media-releases/2014-media-releases/october-2014/20141007-coles-eu-presser" TargetMode="External"/><Relationship Id="rId4" Type="http://schemas.openxmlformats.org/officeDocument/2006/relationships/hyperlink" Target="http://www.smh.com.au/business/workplace-relations/airtasker-and-unions-make-landmark-agreement-to-improve-pay-rates-and-conditions-20170427-gvtvpo.html" TargetMode="External"/><Relationship Id="rId9" Type="http://schemas.openxmlformats.org/officeDocument/2006/relationships/hyperlink" Target="https://www.fairwork.gov.au/about-us/our-role/enforcing-the-legislation/compliance-partnerships/list-of-proactive-compliance-deeds" TargetMode="External"/><Relationship Id="rId14" Type="http://schemas.openxmlformats.org/officeDocument/2006/relationships/hyperlink" Target="https://www.fairwork.gov.au/find-help-for/contracting-labour-and-supply-chai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F1C210-684C-452A-A2B6-2AA7DABD6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84A465C3.dotm</Template>
  <TotalTime>0</TotalTime>
  <Pages>9</Pages>
  <Words>3087</Words>
  <Characters>17601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2019-04-15T00:45:00Z</dcterms:created>
  <dcterms:modified xsi:type="dcterms:W3CDTF">2019-04-15T00:45:00Z</dcterms:modified>
</cp:coreProperties>
</file>