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DD5D" w14:textId="77777777" w:rsidR="00174429" w:rsidRDefault="00174429" w:rsidP="002A65CC"/>
    <w:p w14:paraId="65597B0A" w14:textId="05D89C88" w:rsidR="0089278A" w:rsidRPr="0089278A" w:rsidRDefault="0089278A" w:rsidP="001E4DAE">
      <w:pPr>
        <w:pStyle w:val="Heading1"/>
      </w:pPr>
      <w:bookmarkStart w:id="0" w:name="_Toc410822213"/>
      <w:bookmarkStart w:id="1" w:name="_Toc410822926"/>
      <w:r>
        <w:t>Woolworths</w:t>
      </w:r>
      <w:r w:rsidR="003621B5">
        <w:t xml:space="preserve"> compliance partnership</w:t>
      </w:r>
      <w:r>
        <w:t xml:space="preserve">: </w:t>
      </w:r>
      <w:r w:rsidR="003621B5">
        <w:t>i</w:t>
      </w:r>
      <w:r>
        <w:t>nterim report</w:t>
      </w:r>
    </w:p>
    <w:p w14:paraId="196F7B81" w14:textId="22226DDA" w:rsidR="008774ED" w:rsidRDefault="0089278A" w:rsidP="001E4DAE">
      <w:r>
        <w:t>In 2014, the Fair Work Ombudsman (FWO) commenced an</w:t>
      </w:r>
      <w:r w:rsidRPr="007404F3">
        <w:t xml:space="preserve"> </w:t>
      </w:r>
      <w:r>
        <w:t>i</w:t>
      </w:r>
      <w:r w:rsidRPr="007404F3">
        <w:t>nquiry into Woolworths’ procurement</w:t>
      </w:r>
      <w:r>
        <w:t xml:space="preserve"> of trolley collection services. </w:t>
      </w:r>
      <w:r w:rsidR="00CD567D">
        <w:t xml:space="preserve">This </w:t>
      </w:r>
      <w:r w:rsidR="00303DF7">
        <w:t>followed</w:t>
      </w:r>
      <w:bookmarkStart w:id="2" w:name="_GoBack"/>
      <w:bookmarkEnd w:id="2"/>
      <w:r w:rsidR="00CD567D">
        <w:t xml:space="preserve"> </w:t>
      </w:r>
      <w:r w:rsidR="003F628D">
        <w:t xml:space="preserve">our </w:t>
      </w:r>
      <w:r w:rsidR="008774ED">
        <w:t xml:space="preserve">investigations into a number of non-compliant businesses providing </w:t>
      </w:r>
      <w:r w:rsidR="00CD567D">
        <w:t xml:space="preserve">Woolworths </w:t>
      </w:r>
      <w:r w:rsidR="008774ED">
        <w:t xml:space="preserve">with </w:t>
      </w:r>
      <w:proofErr w:type="gramStart"/>
      <w:r w:rsidR="008774ED">
        <w:t>cont</w:t>
      </w:r>
      <w:r w:rsidR="00CD567D">
        <w:t>r</w:t>
      </w:r>
      <w:r w:rsidR="008774ED">
        <w:t>a</w:t>
      </w:r>
      <w:r w:rsidR="001E4DAE">
        <w:t>ct trolley collection services</w:t>
      </w:r>
      <w:proofErr w:type="gramEnd"/>
      <w:r w:rsidR="001E4DAE">
        <w:t>.</w:t>
      </w:r>
    </w:p>
    <w:p w14:paraId="34D22BFD" w14:textId="751A48CE" w:rsidR="0089278A" w:rsidRDefault="00CD567D" w:rsidP="001E4DAE">
      <w:pPr>
        <w:rPr>
          <w:szCs w:val="22"/>
        </w:rPr>
      </w:pPr>
      <w:r>
        <w:t xml:space="preserve">Our findings </w:t>
      </w:r>
      <w:proofErr w:type="gramStart"/>
      <w:r>
        <w:t xml:space="preserve">were </w:t>
      </w:r>
      <w:r w:rsidR="008774ED">
        <w:t>detailed</w:t>
      </w:r>
      <w:proofErr w:type="gramEnd"/>
      <w:r w:rsidR="008774ED">
        <w:t xml:space="preserve"> in an inquiry report</w:t>
      </w:r>
      <w:r w:rsidR="00BA7DEB">
        <w:t>.</w:t>
      </w:r>
      <w:r w:rsidR="008774ED">
        <w:rPr>
          <w:rStyle w:val="FootnoteReference"/>
        </w:rPr>
        <w:footnoteReference w:id="2"/>
      </w:r>
      <w:r w:rsidR="008774ED">
        <w:t xml:space="preserve"> </w:t>
      </w:r>
      <w:r w:rsidR="00E9440F">
        <w:t>The report</w:t>
      </w:r>
      <w:r w:rsidR="008774ED">
        <w:t xml:space="preserve"> noted that </w:t>
      </w:r>
      <w:r>
        <w:t xml:space="preserve">Woolworths’ </w:t>
      </w:r>
      <w:r w:rsidR="008774ED">
        <w:t>procurement and governance processes</w:t>
      </w:r>
      <w:r w:rsidR="008774ED" w:rsidRPr="00542437">
        <w:t xml:space="preserve"> contributed</w:t>
      </w:r>
      <w:r w:rsidR="008774ED">
        <w:t xml:space="preserve"> to a culture of non-compliance in its supply chain network</w:t>
      </w:r>
      <w:r w:rsidR="0089278A">
        <w:t>.</w:t>
      </w:r>
    </w:p>
    <w:p w14:paraId="7DEE5E53" w14:textId="39A43F57" w:rsidR="0089278A" w:rsidRDefault="00CD567D" w:rsidP="001E4DAE">
      <w:r>
        <w:t xml:space="preserve">To address these findings, </w:t>
      </w:r>
      <w:r w:rsidR="0089278A">
        <w:t>W</w:t>
      </w:r>
      <w:r w:rsidR="0089278A">
        <w:rPr>
          <w:szCs w:val="22"/>
        </w:rPr>
        <w:t xml:space="preserve">oolworths </w:t>
      </w:r>
      <w:r w:rsidR="003621B5">
        <w:rPr>
          <w:szCs w:val="22"/>
        </w:rPr>
        <w:t xml:space="preserve">Group Ltd </w:t>
      </w:r>
      <w:r w:rsidR="0089278A">
        <w:t xml:space="preserve">entered into a three-year compliance partnership with </w:t>
      </w:r>
      <w:r w:rsidR="00E9440F">
        <w:t>the FWO</w:t>
      </w:r>
      <w:r w:rsidR="0089278A">
        <w:t xml:space="preserve"> </w:t>
      </w:r>
      <w:r w:rsidR="00E46537">
        <w:t>on 22 September 2017</w:t>
      </w:r>
      <w:r w:rsidR="0089278A">
        <w:t>.</w:t>
      </w:r>
      <w:r w:rsidR="00E46537">
        <w:t xml:space="preserve"> T</w:t>
      </w:r>
      <w:r w:rsidR="0089278A">
        <w:t xml:space="preserve">he terms of our partnership are contained in a </w:t>
      </w:r>
      <w:r w:rsidR="0089278A" w:rsidRPr="002F6437">
        <w:rPr>
          <w:szCs w:val="22"/>
        </w:rPr>
        <w:t xml:space="preserve">Proactive Compliance Deed </w:t>
      </w:r>
      <w:r w:rsidR="0089278A" w:rsidRPr="002F6437">
        <w:t>(PCD</w:t>
      </w:r>
      <w:r w:rsidR="0089278A">
        <w:t>).</w:t>
      </w:r>
      <w:r w:rsidR="0089278A">
        <w:rPr>
          <w:rStyle w:val="FootnoteReference"/>
        </w:rPr>
        <w:footnoteReference w:id="3"/>
      </w:r>
    </w:p>
    <w:p w14:paraId="4037FF93" w14:textId="77777777" w:rsidR="00C92C60" w:rsidRPr="00C92C60" w:rsidRDefault="0089278A" w:rsidP="001E4DAE">
      <w:pPr>
        <w:rPr>
          <w:szCs w:val="22"/>
        </w:rPr>
      </w:pPr>
      <w:r w:rsidRPr="00C92C60">
        <w:rPr>
          <w:szCs w:val="22"/>
        </w:rPr>
        <w:t>This interim report summarises progress made towards satisfying the commitments in the PCD.</w:t>
      </w:r>
    </w:p>
    <w:p w14:paraId="3CA5990D" w14:textId="4D8924DF" w:rsidR="0089278A" w:rsidRPr="00C92C60" w:rsidRDefault="006037E8" w:rsidP="001E4DAE">
      <w:pPr>
        <w:rPr>
          <w:szCs w:val="22"/>
        </w:rPr>
      </w:pPr>
      <w:r>
        <w:rPr>
          <w:szCs w:val="22"/>
        </w:rPr>
        <w:t>It</w:t>
      </w:r>
      <w:r w:rsidR="00E9440F">
        <w:rPr>
          <w:szCs w:val="22"/>
        </w:rPr>
        <w:t xml:space="preserve"> i</w:t>
      </w:r>
      <w:r w:rsidR="009C3C82" w:rsidRPr="00C92C60">
        <w:rPr>
          <w:szCs w:val="22"/>
        </w:rPr>
        <w:t>s</w:t>
      </w:r>
      <w:r w:rsidR="003E0E0D" w:rsidRPr="00C92C60">
        <w:rPr>
          <w:szCs w:val="22"/>
        </w:rPr>
        <w:t xml:space="preserve"> important to note that outcomes from a range of new governance arrangements are yet to be realised. For example, all trolley collection labour hire contracts have </w:t>
      </w:r>
      <w:r w:rsidR="006108ED" w:rsidRPr="00C92C60">
        <w:rPr>
          <w:szCs w:val="22"/>
        </w:rPr>
        <w:t xml:space="preserve">recently </w:t>
      </w:r>
      <w:r w:rsidR="003E0E0D" w:rsidRPr="00C92C60">
        <w:rPr>
          <w:szCs w:val="22"/>
        </w:rPr>
        <w:t>been renegotiated</w:t>
      </w:r>
      <w:r w:rsidR="006108ED" w:rsidRPr="00C92C60">
        <w:rPr>
          <w:szCs w:val="22"/>
        </w:rPr>
        <w:t>,</w:t>
      </w:r>
      <w:r w:rsidR="003E0E0D" w:rsidRPr="00C92C60">
        <w:rPr>
          <w:szCs w:val="22"/>
        </w:rPr>
        <w:t xml:space="preserve"> and</w:t>
      </w:r>
      <w:r w:rsidR="006108ED" w:rsidRPr="00C92C60">
        <w:rPr>
          <w:szCs w:val="22"/>
        </w:rPr>
        <w:t xml:space="preserve"> new biometric systems are being put in place to more accurately track hours worked</w:t>
      </w:r>
      <w:r w:rsidR="009C3C82">
        <w:rPr>
          <w:szCs w:val="22"/>
        </w:rPr>
        <w:t xml:space="preserve"> (details of</w:t>
      </w:r>
      <w:r w:rsidR="00F47B98" w:rsidRPr="00C92C60">
        <w:rPr>
          <w:szCs w:val="22"/>
        </w:rPr>
        <w:t xml:space="preserve"> these changes will be report</w:t>
      </w:r>
      <w:r>
        <w:rPr>
          <w:szCs w:val="22"/>
        </w:rPr>
        <w:t>ed</w:t>
      </w:r>
      <w:r w:rsidR="00F47B98" w:rsidRPr="00C92C60">
        <w:rPr>
          <w:szCs w:val="22"/>
        </w:rPr>
        <w:t xml:space="preserve"> at the conclusion of the compliance partnership)</w:t>
      </w:r>
      <w:r w:rsidR="003E0E0D" w:rsidRPr="00C92C60">
        <w:rPr>
          <w:szCs w:val="22"/>
        </w:rPr>
        <w:t xml:space="preserve">. </w:t>
      </w:r>
      <w:r w:rsidR="006108ED" w:rsidRPr="00C92C60">
        <w:rPr>
          <w:szCs w:val="22"/>
        </w:rPr>
        <w:t>This interim report captures compliance issues under previous settings</w:t>
      </w:r>
      <w:r w:rsidR="00A65BC1">
        <w:rPr>
          <w:szCs w:val="22"/>
        </w:rPr>
        <w:t xml:space="preserve"> and it </w:t>
      </w:r>
      <w:proofErr w:type="gramStart"/>
      <w:r w:rsidR="00A65BC1">
        <w:rPr>
          <w:szCs w:val="22"/>
        </w:rPr>
        <w:t>is anticipated</w:t>
      </w:r>
      <w:proofErr w:type="gramEnd"/>
      <w:r w:rsidR="00A65BC1">
        <w:rPr>
          <w:szCs w:val="22"/>
        </w:rPr>
        <w:t xml:space="preserve"> </w:t>
      </w:r>
      <w:r w:rsidR="00327A8A" w:rsidRPr="00C92C60">
        <w:rPr>
          <w:szCs w:val="22"/>
        </w:rPr>
        <w:t>the second half of the compliance partnership period</w:t>
      </w:r>
      <w:r w:rsidR="00A65BC1">
        <w:rPr>
          <w:szCs w:val="22"/>
        </w:rPr>
        <w:t xml:space="preserve"> will </w:t>
      </w:r>
      <w:r w:rsidR="00327A8A">
        <w:rPr>
          <w:szCs w:val="22"/>
        </w:rPr>
        <w:t xml:space="preserve">see a </w:t>
      </w:r>
      <w:r w:rsidR="00165B76">
        <w:rPr>
          <w:szCs w:val="22"/>
        </w:rPr>
        <w:t xml:space="preserve">reduction in the </w:t>
      </w:r>
      <w:r w:rsidR="006108ED" w:rsidRPr="00C92C60">
        <w:rPr>
          <w:szCs w:val="22"/>
        </w:rPr>
        <w:t xml:space="preserve">instances of </w:t>
      </w:r>
      <w:r w:rsidR="00327A8A">
        <w:rPr>
          <w:szCs w:val="22"/>
        </w:rPr>
        <w:t>non-compliance</w:t>
      </w:r>
      <w:r w:rsidR="006108ED" w:rsidRPr="00C92C60">
        <w:rPr>
          <w:szCs w:val="22"/>
        </w:rPr>
        <w:t>.</w:t>
      </w:r>
    </w:p>
    <w:p w14:paraId="37ED6E27" w14:textId="450BD0C9" w:rsidR="0089278A" w:rsidRDefault="006108ED" w:rsidP="001E4DAE">
      <w:pPr>
        <w:pStyle w:val="Heading1"/>
      </w:pPr>
      <w:r>
        <w:t>I</w:t>
      </w:r>
      <w:r w:rsidR="0089278A">
        <w:t>nterim outcomes</w:t>
      </w:r>
    </w:p>
    <w:p w14:paraId="2AA78D42" w14:textId="77777777" w:rsidR="0089278A" w:rsidRPr="009A4339" w:rsidRDefault="0089278A" w:rsidP="001E4DAE">
      <w:pPr>
        <w:pStyle w:val="Heading2"/>
      </w:pPr>
      <w:r>
        <w:t>Public n</w:t>
      </w:r>
      <w:r w:rsidRPr="009A4339">
        <w:t>otice</w:t>
      </w:r>
    </w:p>
    <w:p w14:paraId="78E2F491" w14:textId="32CD0AD7" w:rsidR="0089278A" w:rsidRPr="00A65BC1" w:rsidRDefault="0089278A" w:rsidP="001E4DAE">
      <w:r w:rsidRPr="00A65BC1">
        <w:t xml:space="preserve">Woolworths published information about </w:t>
      </w:r>
      <w:r w:rsidR="00A65BC1" w:rsidRPr="00A65BC1">
        <w:t>the</w:t>
      </w:r>
      <w:r w:rsidR="003F628D" w:rsidRPr="00A65BC1">
        <w:t xml:space="preserve"> </w:t>
      </w:r>
      <w:r w:rsidRPr="00A65BC1">
        <w:t xml:space="preserve">partnership on woolworths.com.au and in national newspapers, </w:t>
      </w:r>
      <w:r w:rsidRPr="00A65BC1">
        <w:rPr>
          <w:i/>
        </w:rPr>
        <w:t>The Australian</w:t>
      </w:r>
      <w:r w:rsidRPr="00A65BC1">
        <w:t xml:space="preserve"> and </w:t>
      </w:r>
      <w:r w:rsidRPr="00A65BC1">
        <w:rPr>
          <w:i/>
        </w:rPr>
        <w:t>The Australian Financial Review</w:t>
      </w:r>
      <w:r w:rsidRPr="00A65BC1">
        <w:t xml:space="preserve"> (as per clause 4.2 of the PCD).</w:t>
      </w:r>
    </w:p>
    <w:p w14:paraId="35CD457A" w14:textId="77777777" w:rsidR="0089278A" w:rsidRDefault="0089278A" w:rsidP="001E4DAE">
      <w:pPr>
        <w:pStyle w:val="Heading2"/>
      </w:pPr>
      <w:bookmarkStart w:id="3" w:name="_Toc525655522"/>
      <w:bookmarkStart w:id="4" w:name="_Toc527984997"/>
      <w:r w:rsidRPr="002F6437">
        <w:t>Workplace relations training</w:t>
      </w:r>
      <w:bookmarkEnd w:id="3"/>
      <w:bookmarkEnd w:id="4"/>
    </w:p>
    <w:p w14:paraId="1EEF3B41" w14:textId="77777777" w:rsidR="0089278A" w:rsidRDefault="0089278A" w:rsidP="001E4DAE">
      <w:r w:rsidRPr="00DD7316">
        <w:t xml:space="preserve">Woolworths engaged a </w:t>
      </w:r>
      <w:r>
        <w:t xml:space="preserve">human resources (HR) </w:t>
      </w:r>
      <w:r w:rsidRPr="00DD7316">
        <w:t xml:space="preserve">specialist to design workplace relations training for </w:t>
      </w:r>
      <w:r>
        <w:t xml:space="preserve">trolley collectors, contractors and Woolworths staff </w:t>
      </w:r>
      <w:r w:rsidRPr="00DD7316">
        <w:t>(clause 11</w:t>
      </w:r>
      <w:r>
        <w:t>), covering:</w:t>
      </w:r>
    </w:p>
    <w:p w14:paraId="5AC0EF99" w14:textId="5FC7FE4D" w:rsidR="0089278A" w:rsidRPr="00E41113" w:rsidRDefault="0089278A" w:rsidP="00E41113">
      <w:pPr>
        <w:pStyle w:val="Bullet"/>
      </w:pPr>
      <w:r w:rsidRPr="00E41113">
        <w:lastRenderedPageBreak/>
        <w:t>Woolworths’ ‘Speak</w:t>
      </w:r>
      <w:r w:rsidR="006037E8" w:rsidRPr="00E41113">
        <w:t>-</w:t>
      </w:r>
      <w:r w:rsidRPr="00E41113">
        <w:t>Up’ hotline and email service</w:t>
      </w:r>
    </w:p>
    <w:p w14:paraId="36B4A942" w14:textId="77777777" w:rsidR="0089278A" w:rsidRPr="00E41113" w:rsidRDefault="0089278A" w:rsidP="00E41113">
      <w:pPr>
        <w:pStyle w:val="Bullet"/>
      </w:pPr>
      <w:r w:rsidRPr="00E41113">
        <w:t>FWO assistance and information</w:t>
      </w:r>
    </w:p>
    <w:p w14:paraId="4BCE194D" w14:textId="77777777" w:rsidR="0089278A" w:rsidRPr="00E41113" w:rsidRDefault="0089278A" w:rsidP="00E41113">
      <w:pPr>
        <w:pStyle w:val="Bullet"/>
      </w:pPr>
      <w:r w:rsidRPr="00E41113">
        <w:t xml:space="preserve">minimum entitlements and employer obligations under the </w:t>
      </w:r>
      <w:r w:rsidRPr="00EA1C29">
        <w:rPr>
          <w:i/>
        </w:rPr>
        <w:t>Fair Work Act 2009</w:t>
      </w:r>
      <w:r w:rsidRPr="00E41113">
        <w:t xml:space="preserve">, </w:t>
      </w:r>
      <w:r w:rsidRPr="00EA1C29">
        <w:rPr>
          <w:i/>
        </w:rPr>
        <w:t>Fair Work Regulations 2009</w:t>
      </w:r>
      <w:r w:rsidRPr="00E41113">
        <w:t xml:space="preserve"> and awards</w:t>
      </w:r>
    </w:p>
    <w:p w14:paraId="3CAD6E06" w14:textId="77777777" w:rsidR="0089278A" w:rsidRPr="00E41113" w:rsidRDefault="0089278A" w:rsidP="00E41113">
      <w:pPr>
        <w:pStyle w:val="Bullet"/>
      </w:pPr>
      <w:r w:rsidRPr="00E41113">
        <w:t>general protections</w:t>
      </w:r>
      <w:r w:rsidRPr="00CA5DEA">
        <w:rPr>
          <w:vertAlign w:val="superscript"/>
        </w:rPr>
        <w:footnoteReference w:id="4"/>
      </w:r>
    </w:p>
    <w:p w14:paraId="6462A7DB" w14:textId="77777777" w:rsidR="0089278A" w:rsidRPr="00E41113" w:rsidRDefault="0089278A" w:rsidP="00E41113">
      <w:pPr>
        <w:pStyle w:val="Bullet"/>
      </w:pPr>
      <w:proofErr w:type="gramStart"/>
      <w:r w:rsidRPr="00E41113">
        <w:t>contractor</w:t>
      </w:r>
      <w:proofErr w:type="gramEnd"/>
      <w:r w:rsidRPr="00E41113">
        <w:t xml:space="preserve"> obligations under the </w:t>
      </w:r>
      <w:r w:rsidRPr="00EA1C29">
        <w:rPr>
          <w:i/>
        </w:rPr>
        <w:t>Migration Act 1958</w:t>
      </w:r>
      <w:r w:rsidRPr="00E41113">
        <w:t xml:space="preserve"> to check collectors’ right to work in Australia.</w:t>
      </w:r>
    </w:p>
    <w:p w14:paraId="0475FA78" w14:textId="1F51B468" w:rsidR="0089278A" w:rsidRDefault="0089278A" w:rsidP="001E4DAE">
      <w:r>
        <w:t xml:space="preserve">This training </w:t>
      </w:r>
      <w:proofErr w:type="gramStart"/>
      <w:r>
        <w:t>is delivered</w:t>
      </w:r>
      <w:proofErr w:type="gramEnd"/>
      <w:r>
        <w:t xml:space="preserve"> via:</w:t>
      </w:r>
    </w:p>
    <w:p w14:paraId="3D167B60" w14:textId="4EB1F1EC" w:rsidR="0089278A" w:rsidRPr="001E4DAE" w:rsidRDefault="0089278A" w:rsidP="00E41113">
      <w:pPr>
        <w:pStyle w:val="Bullet"/>
      </w:pPr>
      <w:r w:rsidRPr="001E4DAE">
        <w:t>an e-learning module for trolley collectors to complete annually (with text and voiceover in English, Hindi, Arabic or Korean</w:t>
      </w:r>
      <w:r w:rsidR="006037E8" w:rsidRPr="001E4DAE">
        <w:t>,</w:t>
      </w:r>
      <w:r w:rsidRPr="001E4DAE">
        <w:t xml:space="preserve"> and additional languages to be added)</w:t>
      </w:r>
    </w:p>
    <w:p w14:paraId="2287EB0B" w14:textId="77777777" w:rsidR="0089278A" w:rsidRPr="001E4DAE" w:rsidRDefault="0089278A" w:rsidP="00E41113">
      <w:pPr>
        <w:pStyle w:val="Bullet"/>
      </w:pPr>
      <w:proofErr w:type="gramStart"/>
      <w:r w:rsidRPr="001E4DAE">
        <w:t>annual</w:t>
      </w:r>
      <w:proofErr w:type="gramEnd"/>
      <w:r w:rsidRPr="001E4DAE">
        <w:t xml:space="preserve"> workplace relations and HR programs for contractors and </w:t>
      </w:r>
      <w:r w:rsidR="00E914A4" w:rsidRPr="001E4DAE">
        <w:t>relevant Woolworths staff (internal compliance, procurement and facilities management teams)</w:t>
      </w:r>
      <w:r w:rsidRPr="001E4DAE">
        <w:t>.</w:t>
      </w:r>
    </w:p>
    <w:p w14:paraId="36891CCF" w14:textId="77777777" w:rsidR="008177BB" w:rsidRPr="00E92615" w:rsidRDefault="008177BB" w:rsidP="001E4DAE">
      <w:pPr>
        <w:pStyle w:val="Heading2"/>
        <w:rPr>
          <w:sz w:val="40"/>
        </w:rPr>
      </w:pPr>
      <w:bookmarkStart w:id="5" w:name="_Toc525655524"/>
      <w:bookmarkStart w:id="6" w:name="_Toc527984999"/>
      <w:r>
        <w:t xml:space="preserve">Hotline and reporting non-compliance </w:t>
      </w:r>
    </w:p>
    <w:p w14:paraId="4523075E" w14:textId="49E2DE03" w:rsidR="008177BB" w:rsidRDefault="008177BB" w:rsidP="001E4DAE">
      <w:r>
        <w:t>Woolworths established its ‘Speak-Up’ service before our partnership commenced. Woolworths continue</w:t>
      </w:r>
      <w:r w:rsidR="003F628D">
        <w:t>s</w:t>
      </w:r>
      <w:r>
        <w:t xml:space="preserve"> to fund and enhance the service (clause 8). </w:t>
      </w:r>
    </w:p>
    <w:p w14:paraId="417CA160" w14:textId="2A7C43FA" w:rsidR="003F628D" w:rsidRDefault="008177BB" w:rsidP="001E4DAE">
      <w:r>
        <w:t>Contractors, employees and members of the public can raise concerns or inquire about workplace issues via a hotline or web portal. The hotline covers 150 languages and the web portal is in</w:t>
      </w:r>
      <w:r w:rsidRPr="00780297">
        <w:t xml:space="preserve"> </w:t>
      </w:r>
      <w:r>
        <w:t>English, Hindi, Arabic, Korean, Mandarin or Thai.</w:t>
      </w:r>
    </w:p>
    <w:p w14:paraId="6BDE76A4" w14:textId="6B51F04D" w:rsidR="008177BB" w:rsidRDefault="003F628D" w:rsidP="001E4DAE">
      <w:r>
        <w:t xml:space="preserve">Just over half of workplace complaints in 2018 </w:t>
      </w:r>
      <w:proofErr w:type="gramStart"/>
      <w:r>
        <w:t>were received</w:t>
      </w:r>
      <w:proofErr w:type="gramEnd"/>
      <w:r>
        <w:t xml:space="preserve"> via Speak Up (51%).</w:t>
      </w:r>
    </w:p>
    <w:p w14:paraId="0A414AD6" w14:textId="546D6A42" w:rsidR="00B861AF" w:rsidRPr="002F6437" w:rsidRDefault="00B861AF" w:rsidP="001E4DAE">
      <w:pPr>
        <w:pStyle w:val="Heading2"/>
      </w:pPr>
      <w:r w:rsidRPr="002F6437">
        <w:t>Self-resolution of workplace disputes</w:t>
      </w:r>
      <w:bookmarkEnd w:id="5"/>
      <w:bookmarkEnd w:id="6"/>
    </w:p>
    <w:p w14:paraId="25BAFFA9" w14:textId="68D5C05F" w:rsidR="006108ED" w:rsidRDefault="006108ED" w:rsidP="001E4DAE">
      <w:r>
        <w:t xml:space="preserve">Woolworths </w:t>
      </w:r>
      <w:r w:rsidR="00C92C60">
        <w:t>established</w:t>
      </w:r>
      <w:r>
        <w:t xml:space="preserve"> a new internal compliance team to monitor, audit and investigate compliance with Australian workplace laws</w:t>
      </w:r>
      <w:r w:rsidR="00C92C60">
        <w:t xml:space="preserve"> within its trolley collection service network</w:t>
      </w:r>
      <w:r>
        <w:t>.</w:t>
      </w:r>
    </w:p>
    <w:p w14:paraId="71956954" w14:textId="7A8283A7" w:rsidR="008177BB" w:rsidRDefault="00B861AF" w:rsidP="001E4DAE">
      <w:r>
        <w:t xml:space="preserve">In 2018, Woolworths received 57 workplace complaints through various channels, </w:t>
      </w:r>
      <w:proofErr w:type="gramStart"/>
      <w:r w:rsidR="005F43FB">
        <w:t>including:</w:t>
      </w:r>
      <w:proofErr w:type="gramEnd"/>
      <w:r>
        <w:t xml:space="preserve"> FWO referrals (12</w:t>
      </w:r>
      <w:r w:rsidR="00DB7D1B">
        <w:t xml:space="preserve">), </w:t>
      </w:r>
      <w:r w:rsidR="00DB7D1B">
        <w:rPr>
          <w:szCs w:val="22"/>
        </w:rPr>
        <w:t>the Speak-Up service (</w:t>
      </w:r>
      <w:r w:rsidR="00DB7D1B">
        <w:t xml:space="preserve">29), other direct contact, internal and external sources, and </w:t>
      </w:r>
      <w:r w:rsidR="003B229C">
        <w:t xml:space="preserve">internal </w:t>
      </w:r>
      <w:r w:rsidR="00DB7D1B">
        <w:t>Woolworths’ audits and investigations.</w:t>
      </w:r>
      <w:r w:rsidR="0035064C">
        <w:t xml:space="preserve"> </w:t>
      </w:r>
      <w:r w:rsidR="008177BB">
        <w:t>Two-thirds of complaints came from sites in Queensland and New South Wales.</w:t>
      </w:r>
    </w:p>
    <w:p w14:paraId="7167A4EB" w14:textId="5300870F" w:rsidR="00DB7D1B" w:rsidRDefault="00DB0B51" w:rsidP="001E4DAE">
      <w:r>
        <w:t xml:space="preserve">At the time of publishing this report, </w:t>
      </w:r>
      <w:r w:rsidR="003F628D">
        <w:t>38</w:t>
      </w:r>
      <w:r w:rsidR="0035064C">
        <w:t xml:space="preserve"> complaints are </w:t>
      </w:r>
      <w:r w:rsidR="00A65BC1">
        <w:t>finalised</w:t>
      </w:r>
      <w:r>
        <w:t>,</w:t>
      </w:r>
      <w:r w:rsidR="0035064C">
        <w:t xml:space="preserve"> with 19 currently under investigation by Woolworths.</w:t>
      </w:r>
    </w:p>
    <w:p w14:paraId="4DF67C13" w14:textId="17C1C0EC" w:rsidR="00910890" w:rsidRDefault="00910890" w:rsidP="001E4DAE">
      <w:r>
        <w:t>Woolworths’ investigations have uncovered a range of monetary and non-monetary breaches of workplace relations laws</w:t>
      </w:r>
      <w:r w:rsidR="00813215">
        <w:t xml:space="preserve"> by contractors</w:t>
      </w:r>
      <w:r>
        <w:t>, including:</w:t>
      </w:r>
    </w:p>
    <w:p w14:paraId="65A6EE8A" w14:textId="6E8AF22A" w:rsidR="00910890" w:rsidRPr="001E4DAE" w:rsidRDefault="00910890" w:rsidP="00E41113">
      <w:pPr>
        <w:pStyle w:val="Bullet"/>
      </w:pPr>
      <w:r w:rsidRPr="001E4DAE">
        <w:lastRenderedPageBreak/>
        <w:t>underpayment of wages and superannuation</w:t>
      </w:r>
    </w:p>
    <w:p w14:paraId="63791D55" w14:textId="21E0C6F5" w:rsidR="003B229C" w:rsidRPr="001E4DAE" w:rsidRDefault="003B229C" w:rsidP="00E41113">
      <w:pPr>
        <w:pStyle w:val="Bullet"/>
      </w:pPr>
      <w:r w:rsidRPr="001E4DAE">
        <w:t>cash back schemes</w:t>
      </w:r>
      <w:r w:rsidRPr="00CA5DEA">
        <w:rPr>
          <w:rStyle w:val="FootnoteReference"/>
          <w:rFonts w:cs="Arial"/>
        </w:rPr>
        <w:footnoteReference w:id="5"/>
      </w:r>
    </w:p>
    <w:p w14:paraId="10EDF845" w14:textId="626F206C" w:rsidR="00910890" w:rsidRPr="001E4DAE" w:rsidRDefault="00910890" w:rsidP="00E41113">
      <w:pPr>
        <w:pStyle w:val="Bullet"/>
      </w:pPr>
      <w:r w:rsidRPr="001E4DAE">
        <w:t>failure to pay penalty rates</w:t>
      </w:r>
    </w:p>
    <w:p w14:paraId="5C3BC924" w14:textId="7F9BA9AE" w:rsidR="00910890" w:rsidRPr="001E4DAE" w:rsidRDefault="00910890" w:rsidP="00E41113">
      <w:pPr>
        <w:pStyle w:val="Bullet"/>
      </w:pPr>
      <w:r w:rsidRPr="001E4DAE">
        <w:t>unlawful deductions</w:t>
      </w:r>
    </w:p>
    <w:p w14:paraId="1746AEF1" w14:textId="15C218D8" w:rsidR="00910890" w:rsidRPr="001E4DAE" w:rsidRDefault="00910890" w:rsidP="00E41113">
      <w:pPr>
        <w:pStyle w:val="Bullet"/>
      </w:pPr>
      <w:r w:rsidRPr="001E4DAE">
        <w:t>inadequate record-keeping</w:t>
      </w:r>
    </w:p>
    <w:p w14:paraId="4B3D4026" w14:textId="2D64BF4C" w:rsidR="00910890" w:rsidRPr="001E4DAE" w:rsidRDefault="00910890" w:rsidP="00E41113">
      <w:pPr>
        <w:pStyle w:val="Bullet"/>
      </w:pPr>
      <w:r w:rsidRPr="001E4DAE">
        <w:t>falsification of records</w:t>
      </w:r>
    </w:p>
    <w:p w14:paraId="0D0B92AA" w14:textId="4AA4DB0E" w:rsidR="00910890" w:rsidRPr="001E4DAE" w:rsidRDefault="00910890" w:rsidP="00E41113">
      <w:pPr>
        <w:pStyle w:val="Bullet"/>
      </w:pPr>
      <w:r w:rsidRPr="001E4DAE">
        <w:t>incorrect pay slips</w:t>
      </w:r>
    </w:p>
    <w:p w14:paraId="337441D9" w14:textId="77777777" w:rsidR="00910890" w:rsidRPr="001E4DAE" w:rsidRDefault="00910890" w:rsidP="00E41113">
      <w:pPr>
        <w:pStyle w:val="Bullet"/>
      </w:pPr>
      <w:r w:rsidRPr="001E4DAE">
        <w:t>failure to provide pay slips</w:t>
      </w:r>
    </w:p>
    <w:p w14:paraId="317480BA" w14:textId="17AE3A3E" w:rsidR="00910890" w:rsidRDefault="00910890" w:rsidP="00E41113">
      <w:pPr>
        <w:pStyle w:val="Bullet"/>
      </w:pPr>
      <w:proofErr w:type="gramStart"/>
      <w:r>
        <w:t>bullying</w:t>
      </w:r>
      <w:proofErr w:type="gramEnd"/>
      <w:r>
        <w:t xml:space="preserve"> and intimidation.</w:t>
      </w:r>
    </w:p>
    <w:p w14:paraId="41C7CB21" w14:textId="0F71FECC" w:rsidR="000D61DD" w:rsidRDefault="0082422E" w:rsidP="001E4DAE">
      <w:pPr>
        <w:rPr>
          <w:szCs w:val="22"/>
        </w:rPr>
      </w:pPr>
      <w:r>
        <w:rPr>
          <w:szCs w:val="22"/>
        </w:rPr>
        <w:t>To date</w:t>
      </w:r>
      <w:r w:rsidR="00DB0B51">
        <w:rPr>
          <w:szCs w:val="22"/>
        </w:rPr>
        <w:t>,</w:t>
      </w:r>
      <w:r>
        <w:rPr>
          <w:szCs w:val="22"/>
        </w:rPr>
        <w:t xml:space="preserve"> the </w:t>
      </w:r>
      <w:r w:rsidR="000D61DD">
        <w:rPr>
          <w:szCs w:val="22"/>
        </w:rPr>
        <w:t xml:space="preserve">Woolworths internal compliance team </w:t>
      </w:r>
      <w:r>
        <w:rPr>
          <w:szCs w:val="22"/>
        </w:rPr>
        <w:t xml:space="preserve">has </w:t>
      </w:r>
      <w:r w:rsidR="000D61DD">
        <w:rPr>
          <w:szCs w:val="22"/>
        </w:rPr>
        <w:t>recovered $166,803 in outstanding entitlements for 29</w:t>
      </w:r>
      <w:r w:rsidR="00910890">
        <w:rPr>
          <w:szCs w:val="22"/>
        </w:rPr>
        <w:t xml:space="preserve"> employees. This includ</w:t>
      </w:r>
      <w:r w:rsidR="008177BB">
        <w:rPr>
          <w:szCs w:val="22"/>
        </w:rPr>
        <w:t>es</w:t>
      </w:r>
      <w:r w:rsidR="00910890">
        <w:rPr>
          <w:szCs w:val="22"/>
        </w:rPr>
        <w:t xml:space="preserve"> </w:t>
      </w:r>
      <w:r w:rsidR="000D61DD">
        <w:rPr>
          <w:szCs w:val="22"/>
        </w:rPr>
        <w:t xml:space="preserve">$78,684.46 </w:t>
      </w:r>
      <w:r w:rsidR="003B229C">
        <w:rPr>
          <w:szCs w:val="22"/>
        </w:rPr>
        <w:t xml:space="preserve">for 15 employees </w:t>
      </w:r>
      <w:r w:rsidR="006037E8">
        <w:rPr>
          <w:szCs w:val="22"/>
        </w:rPr>
        <w:t>resulting</w:t>
      </w:r>
      <w:r w:rsidR="000D61DD">
        <w:rPr>
          <w:szCs w:val="22"/>
        </w:rPr>
        <w:t xml:space="preserve"> from requests for assistance to the FWO that </w:t>
      </w:r>
      <w:proofErr w:type="gramStart"/>
      <w:r w:rsidR="000D61DD">
        <w:rPr>
          <w:szCs w:val="22"/>
        </w:rPr>
        <w:t>were referred</w:t>
      </w:r>
      <w:proofErr w:type="gramEnd"/>
      <w:r w:rsidR="000D61DD">
        <w:rPr>
          <w:szCs w:val="22"/>
        </w:rPr>
        <w:t xml:space="preserve"> to Woolworths</w:t>
      </w:r>
      <w:r w:rsidR="003B229C">
        <w:rPr>
          <w:szCs w:val="22"/>
        </w:rPr>
        <w:t xml:space="preserve"> </w:t>
      </w:r>
      <w:r w:rsidR="003B229C" w:rsidRPr="002F6437">
        <w:t>(clause 9)</w:t>
      </w:r>
      <w:r w:rsidR="00910890">
        <w:rPr>
          <w:szCs w:val="22"/>
        </w:rPr>
        <w:t>.</w:t>
      </w:r>
    </w:p>
    <w:p w14:paraId="4F601126" w14:textId="3E34AF9F" w:rsidR="008177BB" w:rsidRPr="000D61DD" w:rsidRDefault="00910890" w:rsidP="001E4DAE">
      <w:pPr>
        <w:rPr>
          <w:szCs w:val="22"/>
        </w:rPr>
      </w:pPr>
      <w:r>
        <w:rPr>
          <w:szCs w:val="22"/>
        </w:rPr>
        <w:t>Woolworths has acted to ensure workers were reimbursed (within 3-6 months)</w:t>
      </w:r>
      <w:r w:rsidR="006037E8">
        <w:rPr>
          <w:szCs w:val="22"/>
        </w:rPr>
        <w:t>,</w:t>
      </w:r>
      <w:r>
        <w:rPr>
          <w:szCs w:val="22"/>
        </w:rPr>
        <w:t xml:space="preserve"> </w:t>
      </w:r>
      <w:r w:rsidR="00A339E4">
        <w:rPr>
          <w:szCs w:val="22"/>
        </w:rPr>
        <w:t>including</w:t>
      </w:r>
      <w:r>
        <w:rPr>
          <w:szCs w:val="22"/>
        </w:rPr>
        <w:t xml:space="preserve"> by providing education and training to contractors. In some cases, contractors have been suspended </w:t>
      </w:r>
      <w:r w:rsidR="00C9290C">
        <w:rPr>
          <w:szCs w:val="22"/>
        </w:rPr>
        <w:t>(</w:t>
      </w:r>
      <w:proofErr w:type="gramStart"/>
      <w:r w:rsidR="00C9290C">
        <w:rPr>
          <w:szCs w:val="22"/>
        </w:rPr>
        <w:t>2</w:t>
      </w:r>
      <w:proofErr w:type="gramEnd"/>
      <w:r w:rsidR="00C9290C">
        <w:rPr>
          <w:szCs w:val="22"/>
        </w:rPr>
        <w:t xml:space="preserve"> primary contractors) </w:t>
      </w:r>
      <w:r>
        <w:rPr>
          <w:szCs w:val="22"/>
        </w:rPr>
        <w:t>or terminated</w:t>
      </w:r>
      <w:r w:rsidR="00C9290C">
        <w:rPr>
          <w:szCs w:val="22"/>
        </w:rPr>
        <w:t xml:space="preserve"> (1 primary and 3 secondary contractors)</w:t>
      </w:r>
      <w:r w:rsidR="006108ED">
        <w:rPr>
          <w:szCs w:val="22"/>
        </w:rPr>
        <w:t xml:space="preserve"> for serious non-compliance</w:t>
      </w:r>
      <w:r>
        <w:rPr>
          <w:szCs w:val="22"/>
        </w:rPr>
        <w:t>.</w:t>
      </w:r>
    </w:p>
    <w:p w14:paraId="1D5FD74B" w14:textId="2060B976" w:rsidR="0035064C" w:rsidRDefault="0035064C" w:rsidP="001E4DAE">
      <w:pPr>
        <w:pStyle w:val="Heading3"/>
      </w:pPr>
      <w:r>
        <w:t>FWO referrals</w:t>
      </w:r>
    </w:p>
    <w:p w14:paraId="7BC45D90" w14:textId="7B7FBD3B" w:rsidR="001F4F6A" w:rsidRDefault="00122C83" w:rsidP="001E4DAE">
      <w:pPr>
        <w:spacing w:before="120"/>
      </w:pPr>
      <w:r>
        <w:t xml:space="preserve">We </w:t>
      </w:r>
      <w:r w:rsidR="00B861AF">
        <w:t xml:space="preserve">referred 12 </w:t>
      </w:r>
      <w:r w:rsidR="00B861AF" w:rsidRPr="002F6437">
        <w:t xml:space="preserve">requests for assistance from current or former </w:t>
      </w:r>
      <w:r w:rsidR="00B861AF">
        <w:t>trolley collectors to Woolworths’ new internal compliance team</w:t>
      </w:r>
      <w:r w:rsidR="003B229C">
        <w:t xml:space="preserve"> for investigation</w:t>
      </w:r>
      <w:r w:rsidR="003B0F4C">
        <w:t>.</w:t>
      </w:r>
    </w:p>
    <w:p w14:paraId="0ED80E38" w14:textId="08AE82E3" w:rsidR="0035064C" w:rsidRDefault="001F4F6A" w:rsidP="001E4DAE">
      <w:r>
        <w:t>S</w:t>
      </w:r>
      <w:r w:rsidR="00B861AF">
        <w:t>ix of</w:t>
      </w:r>
      <w:r w:rsidR="0035064C">
        <w:t xml:space="preserve"> these matters are now resolved</w:t>
      </w:r>
      <w:r>
        <w:t xml:space="preserve">. Three </w:t>
      </w:r>
      <w:r w:rsidR="003F628D">
        <w:t>did</w:t>
      </w:r>
      <w:r w:rsidR="00A65BC1">
        <w:t xml:space="preserve"> no</w:t>
      </w:r>
      <w:r w:rsidR="00B861AF">
        <w:t>t involve outstanding monetary entitlements.</w:t>
      </w:r>
      <w:r w:rsidR="00C509BD">
        <w:t xml:space="preserve"> The other three</w:t>
      </w:r>
      <w:r>
        <w:t xml:space="preserve"> involved </w:t>
      </w:r>
      <w:r w:rsidR="00C509BD">
        <w:t xml:space="preserve">15 </w:t>
      </w:r>
      <w:r w:rsidR="00B861AF">
        <w:t xml:space="preserve">workers at three stores who were underpaid </w:t>
      </w:r>
      <w:r>
        <w:t xml:space="preserve">a total of </w:t>
      </w:r>
      <w:r w:rsidR="00B861AF">
        <w:t>$</w:t>
      </w:r>
      <w:r>
        <w:t>78</w:t>
      </w:r>
      <w:r w:rsidR="00B861AF">
        <w:t>,</w:t>
      </w:r>
      <w:r>
        <w:t>684</w:t>
      </w:r>
      <w:r w:rsidR="00B861AF">
        <w:t>.</w:t>
      </w:r>
      <w:r>
        <w:t>46</w:t>
      </w:r>
      <w:r w:rsidR="003B229C">
        <w:t xml:space="preserve">. </w:t>
      </w:r>
      <w:r w:rsidR="004728A1">
        <w:t xml:space="preserve">To uncover the full extent of the underpayments, Woolworths expanded investigations to all trolley collectors at the sites involved. A primary and secondary contractor were terminated </w:t>
      </w:r>
      <w:proofErr w:type="gramStart"/>
      <w:r w:rsidR="004728A1">
        <w:t>as a result</w:t>
      </w:r>
      <w:proofErr w:type="gramEnd"/>
      <w:r w:rsidR="004728A1">
        <w:t xml:space="preserve"> of these investigations. Other </w:t>
      </w:r>
      <w:r w:rsidR="00EA1C29">
        <w:t xml:space="preserve">non-compliant </w:t>
      </w:r>
      <w:r w:rsidR="004728A1">
        <w:t xml:space="preserve">contractors are to be included in future </w:t>
      </w:r>
      <w:r w:rsidR="004728A1" w:rsidRPr="00C509BD">
        <w:t xml:space="preserve">audits and </w:t>
      </w:r>
      <w:r w:rsidR="00A34112" w:rsidRPr="00C509BD">
        <w:t xml:space="preserve">are </w:t>
      </w:r>
      <w:proofErr w:type="gramStart"/>
      <w:r w:rsidR="004728A1" w:rsidRPr="00C509BD">
        <w:t>being closely</w:t>
      </w:r>
      <w:r w:rsidR="004728A1">
        <w:t xml:space="preserve"> monitored</w:t>
      </w:r>
      <w:proofErr w:type="gramEnd"/>
      <w:r w:rsidR="004728A1">
        <w:t>.</w:t>
      </w:r>
    </w:p>
    <w:p w14:paraId="621D52C6" w14:textId="1B304597" w:rsidR="00B861AF" w:rsidRDefault="00B861AF" w:rsidP="001E4DAE">
      <w:r>
        <w:t>The internal compliance team is still investigating five referrals, and one matter is currently in mediation between the contractors and worker.</w:t>
      </w:r>
    </w:p>
    <w:p w14:paraId="3069AD37" w14:textId="46A1187C" w:rsidR="0089278A" w:rsidRPr="002F6437" w:rsidRDefault="0089278A" w:rsidP="001E4DAE">
      <w:pPr>
        <w:pStyle w:val="Heading2"/>
      </w:pPr>
      <w:bookmarkStart w:id="7" w:name="_Toc525655525"/>
      <w:bookmarkStart w:id="8" w:name="_Toc527985000"/>
      <w:r w:rsidRPr="002F6437">
        <w:t>Self-audits</w:t>
      </w:r>
      <w:bookmarkEnd w:id="7"/>
      <w:bookmarkEnd w:id="8"/>
    </w:p>
    <w:p w14:paraId="6126E8F3" w14:textId="3F3E3885" w:rsidR="0089278A" w:rsidRDefault="0089278A" w:rsidP="001E4DAE">
      <w:r>
        <w:t>Woolworths implemented a comprehensive external and internal annual audit program (clause 7</w:t>
      </w:r>
      <w:r w:rsidRPr="002F6437">
        <w:t>).</w:t>
      </w:r>
    </w:p>
    <w:p w14:paraId="2CC3A78B" w14:textId="77777777" w:rsidR="0089278A" w:rsidRPr="009A4339" w:rsidRDefault="0089278A" w:rsidP="001E4DAE">
      <w:pPr>
        <w:pStyle w:val="Heading3"/>
      </w:pPr>
      <w:r w:rsidRPr="009A4339">
        <w:t xml:space="preserve">External </w:t>
      </w:r>
      <w:r>
        <w:t>a</w:t>
      </w:r>
      <w:r w:rsidRPr="009A4339">
        <w:t>udits</w:t>
      </w:r>
    </w:p>
    <w:p w14:paraId="68FF3D3C" w14:textId="77777777" w:rsidR="0089278A" w:rsidRPr="00854300" w:rsidRDefault="0089278A" w:rsidP="001E4DAE">
      <w:proofErr w:type="gramStart"/>
      <w:r>
        <w:t xml:space="preserve">Contractors were audited by </w:t>
      </w:r>
      <w:r w:rsidRPr="00E05A33">
        <w:t>BSI Group Australia</w:t>
      </w:r>
      <w:r>
        <w:t>,</w:t>
      </w:r>
      <w:r>
        <w:rPr>
          <w:rStyle w:val="FootnoteReference"/>
        </w:rPr>
        <w:footnoteReference w:id="6"/>
      </w:r>
      <w:r>
        <w:t xml:space="preserve"> </w:t>
      </w:r>
      <w:r w:rsidRPr="00E05A33">
        <w:t>Intertek</w:t>
      </w:r>
      <w:r>
        <w:rPr>
          <w:rStyle w:val="FootnoteReference"/>
        </w:rPr>
        <w:footnoteReference w:id="7"/>
      </w:r>
      <w:r>
        <w:t xml:space="preserve"> or </w:t>
      </w:r>
      <w:r w:rsidRPr="00E05A33">
        <w:t>SAI Global</w:t>
      </w:r>
      <w:proofErr w:type="gramEnd"/>
      <w:r>
        <w:t>.</w:t>
      </w:r>
      <w:r>
        <w:rPr>
          <w:rStyle w:val="FootnoteReference"/>
        </w:rPr>
        <w:footnoteReference w:id="8"/>
      </w:r>
    </w:p>
    <w:p w14:paraId="22DD1A6A" w14:textId="77777777" w:rsidR="0089278A" w:rsidRDefault="0089278A" w:rsidP="001E4DAE">
      <w:r>
        <w:lastRenderedPageBreak/>
        <w:t>Woolworths selected a sample of sites including urban and regional locations in each state and territory, and a mix of company brands (i.e. Woolworths, Big W and Dan Murphy’s).</w:t>
      </w:r>
    </w:p>
    <w:p w14:paraId="174B1267" w14:textId="79713415" w:rsidR="0089278A" w:rsidRDefault="0089278A" w:rsidP="001E4DAE">
      <w:r>
        <w:t xml:space="preserve">To ensure each contractor in the supply chain was audited properly, the sample included at least 10% of sites that each contractor provided trolley collections services to (this was beyond the </w:t>
      </w:r>
      <w:r w:rsidR="00C509BD">
        <w:t>5% requirement</w:t>
      </w:r>
      <w:r>
        <w:t xml:space="preserve"> </w:t>
      </w:r>
      <w:r w:rsidR="00C509BD">
        <w:t xml:space="preserve">set out in the </w:t>
      </w:r>
      <w:r>
        <w:t>PCD).</w:t>
      </w:r>
    </w:p>
    <w:p w14:paraId="360DAE3E" w14:textId="526310A8" w:rsidR="0089278A" w:rsidRDefault="0089278A" w:rsidP="001E4DAE">
      <w:r>
        <w:t xml:space="preserve">Auditors </w:t>
      </w:r>
      <w:r w:rsidR="003621B5">
        <w:t xml:space="preserve">did site visits to </w:t>
      </w:r>
      <w:r>
        <w:t>interview contractor administrative staff and trolley collectors</w:t>
      </w:r>
      <w:r w:rsidR="003621B5">
        <w:t>,</w:t>
      </w:r>
      <w:r>
        <w:t xml:space="preserve"> and reviewed records </w:t>
      </w:r>
      <w:r w:rsidR="00285D8D">
        <w:t xml:space="preserve">covering </w:t>
      </w:r>
      <w:r w:rsidR="00285D8D" w:rsidRPr="00C92C60">
        <w:t xml:space="preserve">a </w:t>
      </w:r>
      <w:r w:rsidR="00C92C60" w:rsidRPr="00C92C60">
        <w:t>six</w:t>
      </w:r>
      <w:r w:rsidR="00285D8D" w:rsidRPr="00C92C60">
        <w:t>-week period</w:t>
      </w:r>
      <w:r w:rsidR="00344B8B">
        <w:t>,</w:t>
      </w:r>
      <w:r w:rsidR="00285D8D">
        <w:t xml:space="preserve"> </w:t>
      </w:r>
      <w:r>
        <w:t>to check employees were receiv</w:t>
      </w:r>
      <w:r w:rsidR="001E4DAE">
        <w:t xml:space="preserve">ing their minimum entitlements. </w:t>
      </w:r>
      <w:r>
        <w:t>They identified:</w:t>
      </w:r>
    </w:p>
    <w:p w14:paraId="45E25C89" w14:textId="77777777" w:rsidR="0089278A" w:rsidRPr="001E4DAE" w:rsidRDefault="0089278A" w:rsidP="00E41113">
      <w:pPr>
        <w:pStyle w:val="Bullet"/>
      </w:pPr>
      <w:r w:rsidRPr="001E4DAE">
        <w:t>pay slip errors</w:t>
      </w:r>
    </w:p>
    <w:p w14:paraId="1804CFB6" w14:textId="77777777" w:rsidR="0089278A" w:rsidRPr="001E4DAE" w:rsidRDefault="0089278A" w:rsidP="00E41113">
      <w:pPr>
        <w:pStyle w:val="Bullet"/>
      </w:pPr>
      <w:r w:rsidRPr="001E4DAE">
        <w:t>underpayment of wages</w:t>
      </w:r>
    </w:p>
    <w:p w14:paraId="0BA127BA" w14:textId="77777777" w:rsidR="0089278A" w:rsidRPr="001E4DAE" w:rsidRDefault="0089278A" w:rsidP="00E41113">
      <w:pPr>
        <w:pStyle w:val="Bullet"/>
      </w:pPr>
      <w:proofErr w:type="gramStart"/>
      <w:r w:rsidRPr="001E4DAE">
        <w:t>incorrect</w:t>
      </w:r>
      <w:proofErr w:type="gramEnd"/>
      <w:r w:rsidRPr="001E4DAE">
        <w:t xml:space="preserve"> rosters and timesheets.</w:t>
      </w:r>
    </w:p>
    <w:p w14:paraId="0AC29638" w14:textId="58FD09F1" w:rsidR="003B229C" w:rsidRDefault="003B229C" w:rsidP="001E4DAE">
      <w:r w:rsidRPr="00285D8D">
        <w:t xml:space="preserve">One employee was found to have been underpaid </w:t>
      </w:r>
      <w:r w:rsidR="008177BB" w:rsidRPr="00285D8D">
        <w:t xml:space="preserve">$752.19 and </w:t>
      </w:r>
      <w:proofErr w:type="gramStart"/>
      <w:r w:rsidR="008177BB" w:rsidRPr="00285D8D">
        <w:t>was reimbursed</w:t>
      </w:r>
      <w:proofErr w:type="gramEnd"/>
      <w:r w:rsidR="008177BB" w:rsidRPr="00285D8D">
        <w:t>.</w:t>
      </w:r>
    </w:p>
    <w:p w14:paraId="407DBD4C" w14:textId="30E6366C" w:rsidR="0089278A" w:rsidRDefault="0089278A" w:rsidP="001E4DAE">
      <w:r>
        <w:t>In addition to specific breaches of workplace relations laws, auditors found:</w:t>
      </w:r>
    </w:p>
    <w:p w14:paraId="32D3E553" w14:textId="5DE5717C" w:rsidR="0089278A" w:rsidRPr="001E4DAE" w:rsidRDefault="009B39C5" w:rsidP="00E41113">
      <w:pPr>
        <w:pStyle w:val="Bullet"/>
      </w:pPr>
      <w:r w:rsidRPr="001E4DAE">
        <w:t>insufficient</w:t>
      </w:r>
      <w:r w:rsidR="0089278A" w:rsidRPr="001E4DAE">
        <w:t xml:space="preserve"> processes in place to identify underpayments </w:t>
      </w:r>
    </w:p>
    <w:p w14:paraId="06117D65" w14:textId="77777777" w:rsidR="0089278A" w:rsidRPr="001E4DAE" w:rsidRDefault="0089278A" w:rsidP="00E41113">
      <w:pPr>
        <w:pStyle w:val="Bullet"/>
      </w:pPr>
      <w:r w:rsidRPr="001E4DAE">
        <w:t>contracts not being issued</w:t>
      </w:r>
    </w:p>
    <w:p w14:paraId="68042FCE" w14:textId="77777777" w:rsidR="0089278A" w:rsidRPr="001E4DAE" w:rsidRDefault="0089278A" w:rsidP="00E41113">
      <w:pPr>
        <w:pStyle w:val="Bullet"/>
      </w:pPr>
      <w:r w:rsidRPr="001E4DAE">
        <w:t>an absence of policies (e.g. ethical and sustainability policies)</w:t>
      </w:r>
    </w:p>
    <w:p w14:paraId="03AAE0CF" w14:textId="2C1D3FE1" w:rsidR="0089278A" w:rsidRPr="001E4DAE" w:rsidRDefault="0089278A" w:rsidP="00E41113">
      <w:pPr>
        <w:pStyle w:val="Bullet"/>
      </w:pPr>
      <w:proofErr w:type="gramStart"/>
      <w:r w:rsidRPr="001E4DAE">
        <w:t>an</w:t>
      </w:r>
      <w:proofErr w:type="gramEnd"/>
      <w:r w:rsidRPr="001E4DAE">
        <w:t xml:space="preserve"> absence of / failure to deliver employee training programs.</w:t>
      </w:r>
    </w:p>
    <w:p w14:paraId="79287506" w14:textId="0CF9CD7C" w:rsidR="008177BB" w:rsidRPr="008177BB" w:rsidRDefault="008177BB" w:rsidP="001E4DAE">
      <w:pPr>
        <w:rPr>
          <w:rFonts w:ascii="Times New Roman" w:hAnsi="Times New Roman" w:cs="Times New Roman"/>
          <w:sz w:val="24"/>
        </w:rPr>
      </w:pPr>
      <w:r>
        <w:t xml:space="preserve">Contractors </w:t>
      </w:r>
      <w:proofErr w:type="gramStart"/>
      <w:r>
        <w:t>were directed</w:t>
      </w:r>
      <w:proofErr w:type="gramEnd"/>
      <w:r>
        <w:t xml:space="preserve"> to implement corrective measures and provide evidence that this had been done before audits were closed for each site</w:t>
      </w:r>
      <w:r w:rsidRPr="008177BB">
        <w:rPr>
          <w:rStyle w:val="gmaildefault"/>
          <w:rFonts w:cstheme="minorHAnsi"/>
          <w:color w:val="000000"/>
        </w:rPr>
        <w:t>.</w:t>
      </w:r>
    </w:p>
    <w:p w14:paraId="4D7F190D" w14:textId="77777777" w:rsidR="0089278A" w:rsidRPr="00D27FB9" w:rsidRDefault="0089278A" w:rsidP="001E4DAE">
      <w:pPr>
        <w:pStyle w:val="Heading3"/>
      </w:pPr>
      <w:r w:rsidRPr="00D27FB9">
        <w:t xml:space="preserve">Internal </w:t>
      </w:r>
      <w:r>
        <w:t>a</w:t>
      </w:r>
      <w:r w:rsidRPr="00D27FB9">
        <w:t>udits</w:t>
      </w:r>
    </w:p>
    <w:p w14:paraId="6736B432" w14:textId="067F4D04" w:rsidR="009C3C82" w:rsidRDefault="0089278A" w:rsidP="001E4DAE">
      <w:bookmarkStart w:id="9" w:name="_Toc525655526"/>
      <w:bookmarkStart w:id="10" w:name="_Toc527985001"/>
      <w:r>
        <w:t xml:space="preserve">Woolworths’ </w:t>
      </w:r>
      <w:r w:rsidRPr="00D27FB9">
        <w:t xml:space="preserve">internal compliance team </w:t>
      </w:r>
      <w:r>
        <w:t xml:space="preserve">audited an additional </w:t>
      </w:r>
      <w:r w:rsidRPr="00D27FB9">
        <w:t>59 sites</w:t>
      </w:r>
      <w:r w:rsidR="007B2DFE">
        <w:t xml:space="preserve"> using a mixed methodology of site visits and desk-based audits</w:t>
      </w:r>
      <w:r w:rsidR="001E4DAE">
        <w:t>.</w:t>
      </w:r>
    </w:p>
    <w:p w14:paraId="1FF0D5E0" w14:textId="212A1A11" w:rsidR="0089278A" w:rsidRDefault="00E97123" w:rsidP="001E4DAE">
      <w:r w:rsidRPr="00C92C60">
        <w:t xml:space="preserve">Two investigations have arisen from these audits. One is ongoing. The closed matter resulted in </w:t>
      </w:r>
      <w:r w:rsidR="00C9290C" w:rsidRPr="00C92C60">
        <w:t>a</w:t>
      </w:r>
      <w:r w:rsidR="00C9290C">
        <w:t xml:space="preserve"> $43,500 back payment to one employee (part of the </w:t>
      </w:r>
      <w:r w:rsidR="00C9290C">
        <w:rPr>
          <w:szCs w:val="22"/>
        </w:rPr>
        <w:t xml:space="preserve">$166,803 </w:t>
      </w:r>
      <w:r w:rsidR="00C9290C">
        <w:t xml:space="preserve">in total recoveries) and termination of </w:t>
      </w:r>
      <w:r>
        <w:t>a sub-contractor for multiple breaches</w:t>
      </w:r>
      <w:r w:rsidR="003F628D">
        <w:t>,</w:t>
      </w:r>
      <w:r>
        <w:t xml:space="preserve"> including payment of a daily flat rate and falsification of records</w:t>
      </w:r>
      <w:r w:rsidR="00C9290C">
        <w:t>.</w:t>
      </w:r>
    </w:p>
    <w:p w14:paraId="7549B728" w14:textId="77777777" w:rsidR="0089278A" w:rsidRPr="002F6437" w:rsidRDefault="0089278A" w:rsidP="001E4DAE">
      <w:pPr>
        <w:pStyle w:val="Heading2"/>
      </w:pPr>
      <w:r w:rsidRPr="002F6437">
        <w:t>Reporting to the FWO</w:t>
      </w:r>
      <w:bookmarkEnd w:id="9"/>
      <w:bookmarkEnd w:id="10"/>
    </w:p>
    <w:p w14:paraId="28046FFF" w14:textId="22FC8CB7" w:rsidR="0089278A" w:rsidRDefault="0089278A" w:rsidP="001E4DAE">
      <w:r>
        <w:t xml:space="preserve">As part of the partnership </w:t>
      </w:r>
      <w:r w:rsidRPr="0041218E">
        <w:t xml:space="preserve">Woolworths </w:t>
      </w:r>
      <w:r w:rsidR="00A65BC1">
        <w:t xml:space="preserve">reports to </w:t>
      </w:r>
      <w:r w:rsidR="00122C83">
        <w:t xml:space="preserve">us </w:t>
      </w:r>
      <w:r>
        <w:t xml:space="preserve">on: </w:t>
      </w:r>
    </w:p>
    <w:p w14:paraId="4D4943DB" w14:textId="77777777" w:rsidR="0089278A" w:rsidRPr="001E4DAE" w:rsidRDefault="0089278A" w:rsidP="00E41113">
      <w:pPr>
        <w:pStyle w:val="Bullet"/>
      </w:pPr>
      <w:r w:rsidRPr="001E4DAE">
        <w:t>complaints received through the ‘Speak up’ service</w:t>
      </w:r>
    </w:p>
    <w:p w14:paraId="0EBD0792" w14:textId="77777777" w:rsidR="0089278A" w:rsidRPr="001E4DAE" w:rsidRDefault="0089278A" w:rsidP="00E41113">
      <w:pPr>
        <w:pStyle w:val="Bullet"/>
      </w:pPr>
      <w:r w:rsidRPr="001E4DAE">
        <w:t>results of its internal and external audits</w:t>
      </w:r>
    </w:p>
    <w:p w14:paraId="04D82BCF" w14:textId="15A7AA13" w:rsidR="0089278A" w:rsidRPr="001E4DAE" w:rsidRDefault="0089278A" w:rsidP="00E41113">
      <w:pPr>
        <w:pStyle w:val="Bullet"/>
      </w:pPr>
      <w:proofErr w:type="gramStart"/>
      <w:r w:rsidRPr="001E4DAE">
        <w:t>investigations</w:t>
      </w:r>
      <w:proofErr w:type="gramEnd"/>
      <w:r w:rsidRPr="001E4DAE">
        <w:t xml:space="preserve"> of FWO referrals.</w:t>
      </w:r>
    </w:p>
    <w:p w14:paraId="6F619595" w14:textId="51CB2C85" w:rsidR="0089278A" w:rsidRPr="009C3C82" w:rsidRDefault="0089278A" w:rsidP="001E4DAE">
      <w:pPr>
        <w:pStyle w:val="Heading1"/>
      </w:pPr>
      <w:bookmarkStart w:id="11" w:name="_Toc525655527"/>
      <w:bookmarkStart w:id="12" w:name="_Toc527985002"/>
      <w:r w:rsidRPr="002F6437">
        <w:lastRenderedPageBreak/>
        <w:t>Conclusion</w:t>
      </w:r>
      <w:bookmarkEnd w:id="11"/>
      <w:bookmarkEnd w:id="12"/>
      <w:r w:rsidRPr="002F6437">
        <w:t xml:space="preserve"> </w:t>
      </w:r>
    </w:p>
    <w:p w14:paraId="110794B2" w14:textId="0AEDFCEA" w:rsidR="00E97123" w:rsidRDefault="00E97123" w:rsidP="001E4DAE">
      <w:pPr>
        <w:spacing w:before="240"/>
        <w:rPr>
          <w:szCs w:val="22"/>
        </w:rPr>
      </w:pPr>
      <w:r>
        <w:rPr>
          <w:szCs w:val="22"/>
        </w:rPr>
        <w:t xml:space="preserve">This compliance partnership has led to the discovery of </w:t>
      </w:r>
      <w:r w:rsidR="007958E2">
        <w:rPr>
          <w:szCs w:val="22"/>
        </w:rPr>
        <w:t xml:space="preserve">instances of </w:t>
      </w:r>
      <w:r>
        <w:rPr>
          <w:szCs w:val="22"/>
        </w:rPr>
        <w:t xml:space="preserve">significant </w:t>
      </w:r>
      <w:r w:rsidR="003F628D">
        <w:rPr>
          <w:szCs w:val="22"/>
        </w:rPr>
        <w:t xml:space="preserve">non-compliance with workplace laws, including </w:t>
      </w:r>
      <w:r>
        <w:rPr>
          <w:szCs w:val="22"/>
        </w:rPr>
        <w:t>underpayments</w:t>
      </w:r>
      <w:r w:rsidR="003F628D">
        <w:rPr>
          <w:szCs w:val="22"/>
        </w:rPr>
        <w:t xml:space="preserve"> of $16</w:t>
      </w:r>
      <w:r w:rsidR="00C92C60">
        <w:rPr>
          <w:szCs w:val="22"/>
        </w:rPr>
        <w:t>7</w:t>
      </w:r>
      <w:r w:rsidR="003F628D">
        <w:rPr>
          <w:szCs w:val="22"/>
        </w:rPr>
        <w:t>,</w:t>
      </w:r>
      <w:r w:rsidR="00C92C60">
        <w:rPr>
          <w:szCs w:val="22"/>
        </w:rPr>
        <w:t>555 to 30</w:t>
      </w:r>
      <w:r w:rsidR="003F628D">
        <w:rPr>
          <w:szCs w:val="22"/>
        </w:rPr>
        <w:t xml:space="preserve"> employees</w:t>
      </w:r>
      <w:r>
        <w:rPr>
          <w:szCs w:val="22"/>
        </w:rPr>
        <w:t>.</w:t>
      </w:r>
      <w:r w:rsidR="00285D8D">
        <w:rPr>
          <w:szCs w:val="22"/>
        </w:rPr>
        <w:t xml:space="preserve"> Woolworths’ internal compliance team have acted to see employees reimbursed, and a number of primary and secondary labour hire contractors have been suspended or terminated.</w:t>
      </w:r>
    </w:p>
    <w:p w14:paraId="0DB45A83" w14:textId="011AB24D" w:rsidR="003621B5" w:rsidRDefault="00E97123" w:rsidP="001E4DAE">
      <w:pPr>
        <w:spacing w:before="240"/>
        <w:rPr>
          <w:szCs w:val="22"/>
        </w:rPr>
      </w:pPr>
      <w:r>
        <w:rPr>
          <w:szCs w:val="22"/>
        </w:rPr>
        <w:t xml:space="preserve">Woolworths has fulfilled its commitment to </w:t>
      </w:r>
      <w:r w:rsidR="00A65BC1">
        <w:rPr>
          <w:szCs w:val="22"/>
        </w:rPr>
        <w:t>the</w:t>
      </w:r>
      <w:r>
        <w:rPr>
          <w:szCs w:val="22"/>
        </w:rPr>
        <w:t xml:space="preserve"> compliance partnership thus far</w:t>
      </w:r>
      <w:r w:rsidR="003F628D">
        <w:rPr>
          <w:szCs w:val="22"/>
        </w:rPr>
        <w:t>,</w:t>
      </w:r>
      <w:r>
        <w:rPr>
          <w:szCs w:val="22"/>
        </w:rPr>
        <w:t xml:space="preserve"> and has made substantial investments in governance and monitoring of its trolley collection services supply chain.</w:t>
      </w:r>
      <w:r w:rsidR="00285D8D">
        <w:rPr>
          <w:szCs w:val="22"/>
        </w:rPr>
        <w:t xml:space="preserve"> Positive outcomes are expected </w:t>
      </w:r>
      <w:proofErr w:type="gramStart"/>
      <w:r w:rsidR="00285D8D">
        <w:rPr>
          <w:szCs w:val="22"/>
        </w:rPr>
        <w:t>as a result</w:t>
      </w:r>
      <w:proofErr w:type="gramEnd"/>
      <w:r w:rsidR="00285D8D">
        <w:rPr>
          <w:szCs w:val="22"/>
        </w:rPr>
        <w:t xml:space="preserve"> of improved contracts with trolley collection services providers and new management systems being implemented.</w:t>
      </w:r>
    </w:p>
    <w:p w14:paraId="18FB2F90" w14:textId="4F5E420E" w:rsidR="0089278A" w:rsidRDefault="00122C83" w:rsidP="001E4DAE">
      <w:pPr>
        <w:rPr>
          <w:szCs w:val="22"/>
        </w:rPr>
      </w:pPr>
      <w:r>
        <w:rPr>
          <w:szCs w:val="22"/>
        </w:rPr>
        <w:t xml:space="preserve">We </w:t>
      </w:r>
      <w:r w:rsidR="0089278A">
        <w:rPr>
          <w:szCs w:val="22"/>
        </w:rPr>
        <w:t>maintain regular contact with Woolworths, including through monthly meetings and workshops with the i</w:t>
      </w:r>
      <w:r w:rsidR="0089278A" w:rsidRPr="000A2474">
        <w:rPr>
          <w:szCs w:val="22"/>
        </w:rPr>
        <w:t xml:space="preserve">nternal </w:t>
      </w:r>
      <w:r w:rsidR="0089278A">
        <w:rPr>
          <w:szCs w:val="22"/>
        </w:rPr>
        <w:t>c</w:t>
      </w:r>
      <w:r w:rsidR="0089278A" w:rsidRPr="000A2474">
        <w:rPr>
          <w:szCs w:val="22"/>
        </w:rPr>
        <w:t xml:space="preserve">ompliance </w:t>
      </w:r>
      <w:r w:rsidR="0089278A">
        <w:rPr>
          <w:szCs w:val="22"/>
        </w:rPr>
        <w:t>t</w:t>
      </w:r>
      <w:r w:rsidR="0089278A" w:rsidRPr="000A2474">
        <w:rPr>
          <w:szCs w:val="22"/>
        </w:rPr>
        <w:t>eam</w:t>
      </w:r>
      <w:r w:rsidR="00E97123">
        <w:rPr>
          <w:szCs w:val="22"/>
        </w:rPr>
        <w:t>.</w:t>
      </w:r>
    </w:p>
    <w:p w14:paraId="775C6E31" w14:textId="77777777" w:rsidR="0089278A" w:rsidRPr="002F6437" w:rsidRDefault="0089278A" w:rsidP="001E4DAE">
      <w:pPr>
        <w:rPr>
          <w:szCs w:val="22"/>
        </w:rPr>
      </w:pPr>
      <w:r>
        <w:rPr>
          <w:szCs w:val="22"/>
        </w:rPr>
        <w:t xml:space="preserve">The FWO will </w:t>
      </w:r>
      <w:r w:rsidRPr="002F6437">
        <w:rPr>
          <w:szCs w:val="22"/>
        </w:rPr>
        <w:t xml:space="preserve">continue to work with </w:t>
      </w:r>
      <w:r>
        <w:rPr>
          <w:szCs w:val="22"/>
        </w:rPr>
        <w:t xml:space="preserve">Woolworths </w:t>
      </w:r>
      <w:r w:rsidRPr="002F6437">
        <w:rPr>
          <w:szCs w:val="22"/>
        </w:rPr>
        <w:t xml:space="preserve">to </w:t>
      </w:r>
      <w:r>
        <w:rPr>
          <w:szCs w:val="22"/>
        </w:rPr>
        <w:t>i</w:t>
      </w:r>
      <w:r w:rsidRPr="002F6437">
        <w:rPr>
          <w:szCs w:val="22"/>
        </w:rPr>
        <w:t xml:space="preserve">mprove compliance </w:t>
      </w:r>
      <w:r>
        <w:rPr>
          <w:szCs w:val="22"/>
        </w:rPr>
        <w:t>in</w:t>
      </w:r>
      <w:r w:rsidRPr="002F6437">
        <w:rPr>
          <w:szCs w:val="22"/>
        </w:rPr>
        <w:t xml:space="preserve"> </w:t>
      </w:r>
      <w:r w:rsidRPr="00AD4355">
        <w:rPr>
          <w:szCs w:val="22"/>
        </w:rPr>
        <w:t>its supply chain</w:t>
      </w:r>
      <w:r>
        <w:rPr>
          <w:szCs w:val="22"/>
        </w:rPr>
        <w:t>s and provide a final report at</w:t>
      </w:r>
      <w:r w:rsidRPr="002F6437">
        <w:rPr>
          <w:szCs w:val="22"/>
        </w:rPr>
        <w:t xml:space="preserve"> the </w:t>
      </w:r>
      <w:r>
        <w:rPr>
          <w:szCs w:val="22"/>
        </w:rPr>
        <w:t xml:space="preserve">end </w:t>
      </w:r>
      <w:r w:rsidRPr="002F6437">
        <w:rPr>
          <w:szCs w:val="22"/>
        </w:rPr>
        <w:t xml:space="preserve">of </w:t>
      </w:r>
      <w:r>
        <w:rPr>
          <w:szCs w:val="22"/>
        </w:rPr>
        <w:t xml:space="preserve">our </w:t>
      </w:r>
      <w:r w:rsidRPr="002F6437">
        <w:rPr>
          <w:szCs w:val="22"/>
        </w:rPr>
        <w:t>three-year partnership</w:t>
      </w:r>
      <w:r>
        <w:rPr>
          <w:szCs w:val="22"/>
        </w:rPr>
        <w:t xml:space="preserve"> in 2020.</w:t>
      </w:r>
      <w:bookmarkEnd w:id="0"/>
      <w:bookmarkEnd w:id="1"/>
    </w:p>
    <w:sectPr w:rsidR="0089278A" w:rsidRPr="002F6437" w:rsidSect="00DA1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A571" w14:textId="77777777" w:rsidR="006037E8" w:rsidRDefault="006037E8" w:rsidP="00AB465A">
      <w:pPr>
        <w:spacing w:after="0" w:line="240" w:lineRule="auto"/>
      </w:pPr>
      <w:r>
        <w:separator/>
      </w:r>
    </w:p>
  </w:endnote>
  <w:endnote w:type="continuationSeparator" w:id="0">
    <w:p w14:paraId="77BCA56E" w14:textId="77777777" w:rsidR="006037E8" w:rsidRDefault="006037E8" w:rsidP="00AB465A">
      <w:pPr>
        <w:spacing w:after="0" w:line="240" w:lineRule="auto"/>
      </w:pPr>
      <w:r>
        <w:continuationSeparator/>
      </w:r>
    </w:p>
  </w:endnote>
  <w:endnote w:type="continuationNotice" w:id="1">
    <w:p w14:paraId="5A424A34" w14:textId="77777777" w:rsidR="000A0AC1" w:rsidRDefault="000A0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494D" w14:textId="77777777" w:rsidR="00E56373" w:rsidRDefault="00E56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8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9ED02" w14:textId="7DF33866" w:rsidR="006037E8" w:rsidRPr="00DA1AD1" w:rsidRDefault="006037E8" w:rsidP="00DA1AD1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10E23251" wp14:editId="223825E1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81" name="Straight Connector 81" title="footnote divi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1ED20A0" id="Straight Connector 81" o:spid="_x0000_s1026" alt="Title: footnote divider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4" behindDoc="1" locked="0" layoutInCell="1" allowOverlap="1" wp14:anchorId="31E3EAEF" wp14:editId="57C38200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 title="decorativ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F3A19BE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alt="Title: decorative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uHugIAAM8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Woolworths compliance partnership: interim report</w:t>
        </w:r>
      </w:p>
      <w:p w14:paraId="38764F4D" w14:textId="253E48FC" w:rsidR="006037E8" w:rsidRDefault="006037E8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DF7">
          <w:rPr>
            <w:noProof/>
          </w:rPr>
          <w:t>2</w:t>
        </w:r>
        <w:r>
          <w:rPr>
            <w:noProof/>
          </w:rPr>
          <w:fldChar w:fldCharType="end"/>
        </w:r>
      </w:p>
      <w:p w14:paraId="2DCD1431" w14:textId="77777777" w:rsidR="006037E8" w:rsidRPr="00DA1AD1" w:rsidRDefault="00303DF7" w:rsidP="00DA1AD1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42C98" w14:textId="6C68EBD9" w:rsidR="006037E8" w:rsidRDefault="006037E8" w:rsidP="003621B5">
        <w:pPr>
          <w:pStyle w:val="Header"/>
          <w:rPr>
            <w:noProof/>
          </w:rPr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1870DA97" wp14:editId="4739094F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 title="footnote divi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728AFD" id="Straight Connector 39" o:spid="_x0000_s1026" alt="Title: footnote divider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05295C0" wp14:editId="1B1CBD33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 title="decorative foot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D75439E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Title: decorative footer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6F154016" wp14:editId="46A3248F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2" name="Straight Connector 2" title="footnote divid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86AD54A" id="Straight Connector 2" o:spid="_x0000_s1026" alt="Title: footnote divider" style="position:absolute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3C125B5" wp14:editId="2D054FA8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3" name="Right Triangle 3" title="decorative footer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1DA236A" id="Right Triangle 3" o:spid="_x0000_s1026" type="#_x0000_t6" alt="Title: decorative footer" style="position:absolute;margin-left:525.85pt;margin-top:771.15pt;width:69.45pt;height:69.45pt;flip:x;z-index:-2516582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Woolworths compliance partnership: interim report</w:t>
        </w:r>
        <w:r>
          <w:rPr>
            <w:color w:val="1B365D"/>
            <w:sz w:val="20"/>
            <w:szCs w:val="20"/>
          </w:rPr>
          <w:tab/>
        </w:r>
        <w:r>
          <w:rPr>
            <w:color w:val="1B365D"/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DF7">
          <w:rPr>
            <w:noProof/>
          </w:rPr>
          <w:t>1</w:t>
        </w:r>
        <w:r>
          <w:rPr>
            <w:noProof/>
          </w:rPr>
          <w:fldChar w:fldCharType="end"/>
        </w:r>
      </w:p>
      <w:p w14:paraId="4C5FADD7" w14:textId="77777777" w:rsidR="006037E8" w:rsidRPr="00DA1AD1" w:rsidRDefault="00303DF7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B6CA" w14:textId="77777777" w:rsidR="006037E8" w:rsidRDefault="006037E8" w:rsidP="00AB465A">
      <w:pPr>
        <w:spacing w:after="0" w:line="240" w:lineRule="auto"/>
      </w:pPr>
      <w:r>
        <w:separator/>
      </w:r>
    </w:p>
  </w:footnote>
  <w:footnote w:type="continuationSeparator" w:id="0">
    <w:p w14:paraId="67AF4E60" w14:textId="77777777" w:rsidR="006037E8" w:rsidRDefault="006037E8" w:rsidP="00AB465A">
      <w:pPr>
        <w:spacing w:after="0" w:line="240" w:lineRule="auto"/>
      </w:pPr>
      <w:r>
        <w:continuationSeparator/>
      </w:r>
    </w:p>
  </w:footnote>
  <w:footnote w:type="continuationNotice" w:id="1">
    <w:p w14:paraId="4FFDC996" w14:textId="77777777" w:rsidR="000A0AC1" w:rsidRDefault="000A0AC1">
      <w:pPr>
        <w:spacing w:after="0" w:line="240" w:lineRule="auto"/>
      </w:pPr>
    </w:p>
  </w:footnote>
  <w:footnote w:id="2">
    <w:p w14:paraId="7C9D9E51" w14:textId="0863C5C6" w:rsidR="006037E8" w:rsidRDefault="006037E8" w:rsidP="00E75CAE">
      <w:pPr>
        <w:pStyle w:val="FootnoteText"/>
        <w:spacing w:before="0" w:line="240" w:lineRule="auto"/>
      </w:pPr>
      <w:r>
        <w:rPr>
          <w:rStyle w:val="FootnoteReference"/>
        </w:rPr>
        <w:footnoteRef/>
      </w:r>
      <w:r>
        <w:t xml:space="preserve"> </w:t>
      </w:r>
      <w:r w:rsidRPr="003621B5">
        <w:rPr>
          <w:rFonts w:asciiTheme="minorHAnsi" w:hAnsiTheme="minorHAnsi" w:cstheme="minorHAnsi"/>
          <w:sz w:val="18"/>
          <w:szCs w:val="18"/>
        </w:rPr>
        <w:t>FWO inquiry report:</w:t>
      </w:r>
      <w:r w:rsidRPr="00CD567D">
        <w:rPr>
          <w:rFonts w:asciiTheme="minorHAnsi" w:hAnsiTheme="minorHAnsi" w:cstheme="minorHAnsi"/>
          <w:sz w:val="18"/>
          <w:szCs w:val="18"/>
        </w:rPr>
        <w:t xml:space="preserve"> </w:t>
      </w:r>
      <w:r w:rsidRPr="003621B5">
        <w:rPr>
          <w:rFonts w:asciiTheme="minorHAnsi" w:hAnsiTheme="minorHAnsi" w:cstheme="minorHAnsi"/>
          <w:sz w:val="18"/>
          <w:szCs w:val="18"/>
        </w:rPr>
        <w:t>https://www.fairwork.gov.au/ArticleDocuments/763/inquiry-into-trolley-collection-services-procurement-by-woolworths-limited.docx.aspx</w:t>
      </w:r>
    </w:p>
  </w:footnote>
  <w:footnote w:id="3">
    <w:p w14:paraId="49AB936F" w14:textId="044CE75B" w:rsidR="006037E8" w:rsidRPr="003621B5" w:rsidRDefault="006037E8" w:rsidP="00D22232">
      <w:pPr>
        <w:pStyle w:val="FootnoteText"/>
        <w:spacing w:before="0" w:line="240" w:lineRule="auto"/>
        <w:rPr>
          <w:rFonts w:asciiTheme="minorHAnsi" w:hAnsiTheme="minorHAnsi" w:cstheme="minorHAnsi"/>
        </w:rPr>
      </w:pPr>
      <w:r w:rsidRPr="003621B5">
        <w:rPr>
          <w:rStyle w:val="FootnoteReference"/>
          <w:rFonts w:asciiTheme="minorHAnsi" w:hAnsiTheme="minorHAnsi" w:cstheme="minorHAnsi"/>
        </w:rPr>
        <w:footnoteRef/>
      </w:r>
      <w:r w:rsidRPr="003621B5">
        <w:rPr>
          <w:rFonts w:asciiTheme="minorHAnsi" w:hAnsiTheme="minorHAnsi" w:cstheme="minorHAnsi"/>
        </w:rPr>
        <w:t xml:space="preserve"> </w:t>
      </w:r>
      <w:r w:rsidR="00EA1C29" w:rsidRPr="00EA1C29">
        <w:rPr>
          <w:rFonts w:asciiTheme="minorHAnsi" w:hAnsiTheme="minorHAnsi" w:cstheme="minorHAnsi"/>
          <w:sz w:val="18"/>
          <w:szCs w:val="18"/>
        </w:rPr>
        <w:t>https://www.fairwork.gov.au/ArticleDocuments/762/woolworths-proactive-compliance-deed.docx.aspx</w:t>
      </w:r>
    </w:p>
  </w:footnote>
  <w:footnote w:id="4">
    <w:p w14:paraId="5643DA2C" w14:textId="77777777" w:rsidR="006037E8" w:rsidRDefault="006037E8" w:rsidP="00D22232">
      <w:pPr>
        <w:pStyle w:val="FootnoteText"/>
        <w:spacing w:before="0" w:line="240" w:lineRule="auto"/>
      </w:pPr>
      <w:r w:rsidRPr="003621B5">
        <w:rPr>
          <w:rStyle w:val="FootnoteReference"/>
          <w:rFonts w:asciiTheme="minorHAnsi" w:hAnsiTheme="minorHAnsi" w:cstheme="minorHAnsi"/>
        </w:rPr>
        <w:footnoteRef/>
      </w:r>
      <w:r w:rsidRPr="003621B5">
        <w:rPr>
          <w:rFonts w:asciiTheme="minorHAnsi" w:hAnsiTheme="minorHAnsi" w:cstheme="minorHAnsi"/>
        </w:rPr>
        <w:t xml:space="preserve"> </w:t>
      </w:r>
      <w:r w:rsidRPr="003621B5">
        <w:rPr>
          <w:rFonts w:asciiTheme="minorHAnsi" w:hAnsiTheme="minorHAnsi" w:cstheme="minorHAnsi"/>
          <w:sz w:val="18"/>
          <w:szCs w:val="18"/>
        </w:rPr>
        <w:t>https://www.fairwork.gov.au/employee-entitlements/protections-at-work</w:t>
      </w:r>
    </w:p>
  </w:footnote>
  <w:footnote w:id="5">
    <w:p w14:paraId="473D655E" w14:textId="77777777" w:rsidR="006037E8" w:rsidRPr="00292B53" w:rsidRDefault="006037E8" w:rsidP="003B229C">
      <w:pPr>
        <w:pStyle w:val="FootnoteText"/>
        <w:spacing w:before="0" w:line="240" w:lineRule="auto"/>
        <w:rPr>
          <w:rFonts w:asciiTheme="minorHAnsi" w:hAnsiTheme="minorHAnsi" w:cstheme="minorHAnsi"/>
        </w:rPr>
      </w:pPr>
      <w:r w:rsidRPr="00292B53">
        <w:rPr>
          <w:rStyle w:val="FootnoteReference"/>
          <w:rFonts w:asciiTheme="minorHAnsi" w:hAnsiTheme="minorHAnsi" w:cstheme="minorHAnsi"/>
        </w:rPr>
        <w:footnoteRef/>
      </w:r>
      <w:r w:rsidRPr="00292B53">
        <w:rPr>
          <w:rFonts w:asciiTheme="minorHAnsi" w:hAnsiTheme="minorHAnsi" w:cstheme="minorHAnsi"/>
        </w:rPr>
        <w:t xml:space="preserve"> </w:t>
      </w:r>
      <w:r w:rsidRPr="00292B53">
        <w:rPr>
          <w:rFonts w:asciiTheme="minorHAnsi" w:hAnsiTheme="minorHAnsi" w:cstheme="minorHAnsi"/>
          <w:sz w:val="18"/>
          <w:szCs w:val="18"/>
        </w:rPr>
        <w:t>https://www.fairwork.gov.au/pay/deducting-pay-and-overpayments#cash-back</w:t>
      </w:r>
    </w:p>
  </w:footnote>
  <w:footnote w:id="6">
    <w:p w14:paraId="36D1E317" w14:textId="6CB1C92B" w:rsidR="006037E8" w:rsidRPr="00292B53" w:rsidRDefault="006037E8" w:rsidP="00292B53">
      <w:pPr>
        <w:pStyle w:val="FootnoteText"/>
        <w:spacing w:before="0" w:line="240" w:lineRule="auto"/>
        <w:rPr>
          <w:rFonts w:asciiTheme="minorHAnsi" w:hAnsiTheme="minorHAnsi" w:cstheme="minorHAnsi"/>
        </w:rPr>
      </w:pPr>
      <w:r w:rsidRPr="00292B53">
        <w:rPr>
          <w:rStyle w:val="FootnoteReference"/>
          <w:rFonts w:asciiTheme="minorHAnsi" w:hAnsiTheme="minorHAnsi" w:cstheme="minorHAnsi"/>
        </w:rPr>
        <w:footnoteRef/>
      </w:r>
      <w:r w:rsidRPr="00292B53">
        <w:rPr>
          <w:rFonts w:asciiTheme="minorHAnsi" w:hAnsiTheme="minorHAnsi" w:cstheme="minorHAnsi"/>
        </w:rPr>
        <w:t xml:space="preserve"> </w:t>
      </w:r>
      <w:r w:rsidRPr="00CA5DEA">
        <w:rPr>
          <w:rFonts w:asciiTheme="minorHAnsi" w:hAnsiTheme="minorHAnsi" w:cstheme="minorHAnsi"/>
          <w:sz w:val="18"/>
          <w:szCs w:val="18"/>
        </w:rPr>
        <w:t>https://www.bsigroup.com/en-AU/</w:t>
      </w:r>
    </w:p>
  </w:footnote>
  <w:footnote w:id="7">
    <w:p w14:paraId="2D01B5B5" w14:textId="7C26F018" w:rsidR="006037E8" w:rsidRPr="00292B53" w:rsidRDefault="006037E8" w:rsidP="00292B53">
      <w:pPr>
        <w:pStyle w:val="FootnoteText"/>
        <w:spacing w:before="0" w:line="240" w:lineRule="auto"/>
        <w:rPr>
          <w:rFonts w:asciiTheme="minorHAnsi" w:hAnsiTheme="minorHAnsi" w:cstheme="minorHAnsi"/>
        </w:rPr>
      </w:pPr>
      <w:r w:rsidRPr="00292B53">
        <w:rPr>
          <w:rStyle w:val="FootnoteReference"/>
          <w:rFonts w:asciiTheme="minorHAnsi" w:hAnsiTheme="minorHAnsi" w:cstheme="minorHAnsi"/>
        </w:rPr>
        <w:footnoteRef/>
      </w:r>
      <w:r w:rsidRPr="00292B53">
        <w:rPr>
          <w:rFonts w:asciiTheme="minorHAnsi" w:hAnsiTheme="minorHAnsi" w:cstheme="minorHAnsi"/>
        </w:rPr>
        <w:t xml:space="preserve"> </w:t>
      </w:r>
      <w:r w:rsidRPr="00CA5DEA">
        <w:rPr>
          <w:rFonts w:asciiTheme="minorHAnsi" w:hAnsiTheme="minorHAnsi" w:cstheme="minorHAnsi"/>
          <w:sz w:val="18"/>
          <w:szCs w:val="18"/>
        </w:rPr>
        <w:t>https://www.intertek.com/</w:t>
      </w:r>
    </w:p>
  </w:footnote>
  <w:footnote w:id="8">
    <w:p w14:paraId="35A4BE1E" w14:textId="225DAFB5" w:rsidR="006037E8" w:rsidRPr="00292B53" w:rsidRDefault="006037E8" w:rsidP="00292B53">
      <w:pPr>
        <w:pStyle w:val="FootnoteText"/>
        <w:spacing w:before="0" w:line="240" w:lineRule="auto"/>
        <w:rPr>
          <w:rFonts w:asciiTheme="minorHAnsi" w:hAnsiTheme="minorHAnsi" w:cstheme="minorHAnsi"/>
        </w:rPr>
      </w:pPr>
      <w:r w:rsidRPr="00292B53">
        <w:rPr>
          <w:rStyle w:val="FootnoteReference"/>
          <w:rFonts w:asciiTheme="minorHAnsi" w:hAnsiTheme="minorHAnsi" w:cstheme="minorHAnsi"/>
        </w:rPr>
        <w:footnoteRef/>
      </w:r>
      <w:r w:rsidRPr="00292B53">
        <w:rPr>
          <w:rFonts w:asciiTheme="minorHAnsi" w:hAnsiTheme="minorHAnsi" w:cstheme="minorHAnsi"/>
        </w:rPr>
        <w:t xml:space="preserve"> </w:t>
      </w:r>
      <w:r w:rsidRPr="00CA5DEA">
        <w:rPr>
          <w:rFonts w:asciiTheme="minorHAnsi" w:hAnsiTheme="minorHAnsi" w:cstheme="minorHAnsi"/>
          <w:sz w:val="18"/>
          <w:szCs w:val="18"/>
        </w:rPr>
        <w:t>https://www.saiglobal.com/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292F" w14:textId="77777777" w:rsidR="00E56373" w:rsidRDefault="00E56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345A" w14:textId="77777777" w:rsidR="00E56373" w:rsidRDefault="00E56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28C04" w14:textId="77777777" w:rsidR="006037E8" w:rsidRPr="00583EDF" w:rsidRDefault="006037E8" w:rsidP="006037E8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3B76FF69" wp14:editId="3D825AFE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46D77F" wp14:editId="51BF40DA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 title="Decorative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7E678" id="Rectangle 1" o:spid="_x0000_s1026" alt="Title: Decorative header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D5F"/>
    <w:multiLevelType w:val="hybridMultilevel"/>
    <w:tmpl w:val="3E1ACE6E"/>
    <w:lvl w:ilvl="0" w:tplc="03E02A00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CE0"/>
    <w:multiLevelType w:val="hybridMultilevel"/>
    <w:tmpl w:val="43FEBB74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477A9"/>
    <w:multiLevelType w:val="hybridMultilevel"/>
    <w:tmpl w:val="DCD2141E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F4703"/>
    <w:multiLevelType w:val="hybridMultilevel"/>
    <w:tmpl w:val="212259CE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5733E"/>
    <w:multiLevelType w:val="hybridMultilevel"/>
    <w:tmpl w:val="C764C602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F52375"/>
    <w:multiLevelType w:val="hybridMultilevel"/>
    <w:tmpl w:val="E730D7A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F43150"/>
    <w:multiLevelType w:val="hybridMultilevel"/>
    <w:tmpl w:val="143A34A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BE"/>
    <w:rsid w:val="00011400"/>
    <w:rsid w:val="00082D20"/>
    <w:rsid w:val="0008680D"/>
    <w:rsid w:val="00093049"/>
    <w:rsid w:val="000A0AC1"/>
    <w:rsid w:val="000D46B8"/>
    <w:rsid w:val="000D61DD"/>
    <w:rsid w:val="00122C83"/>
    <w:rsid w:val="001271FA"/>
    <w:rsid w:val="00127352"/>
    <w:rsid w:val="00163841"/>
    <w:rsid w:val="00165B76"/>
    <w:rsid w:val="00174429"/>
    <w:rsid w:val="0018617C"/>
    <w:rsid w:val="001E4DAE"/>
    <w:rsid w:val="001F4F6A"/>
    <w:rsid w:val="00232CA4"/>
    <w:rsid w:val="002666D5"/>
    <w:rsid w:val="0026797B"/>
    <w:rsid w:val="00285D8D"/>
    <w:rsid w:val="00292B53"/>
    <w:rsid w:val="002A65CC"/>
    <w:rsid w:val="002E28E8"/>
    <w:rsid w:val="002E78A5"/>
    <w:rsid w:val="00303DF7"/>
    <w:rsid w:val="00320930"/>
    <w:rsid w:val="00327A8A"/>
    <w:rsid w:val="00344B8B"/>
    <w:rsid w:val="0035064C"/>
    <w:rsid w:val="003621B5"/>
    <w:rsid w:val="003B0F4C"/>
    <w:rsid w:val="003B229C"/>
    <w:rsid w:val="003D3891"/>
    <w:rsid w:val="003E0E0D"/>
    <w:rsid w:val="003F628D"/>
    <w:rsid w:val="00421696"/>
    <w:rsid w:val="00465E7E"/>
    <w:rsid w:val="004728A1"/>
    <w:rsid w:val="00483507"/>
    <w:rsid w:val="00486F77"/>
    <w:rsid w:val="004874D2"/>
    <w:rsid w:val="004A28FC"/>
    <w:rsid w:val="00524929"/>
    <w:rsid w:val="005261A5"/>
    <w:rsid w:val="00531C7F"/>
    <w:rsid w:val="005708C9"/>
    <w:rsid w:val="005F43FB"/>
    <w:rsid w:val="006037E8"/>
    <w:rsid w:val="006108ED"/>
    <w:rsid w:val="006A5C51"/>
    <w:rsid w:val="00703886"/>
    <w:rsid w:val="00727206"/>
    <w:rsid w:val="007272F7"/>
    <w:rsid w:val="00772E49"/>
    <w:rsid w:val="0077684C"/>
    <w:rsid w:val="00786E3C"/>
    <w:rsid w:val="007958E2"/>
    <w:rsid w:val="007A6811"/>
    <w:rsid w:val="007B2DFE"/>
    <w:rsid w:val="007B665B"/>
    <w:rsid w:val="007B6AC8"/>
    <w:rsid w:val="007D19A1"/>
    <w:rsid w:val="007E5FAD"/>
    <w:rsid w:val="00803A9A"/>
    <w:rsid w:val="00813215"/>
    <w:rsid w:val="008177BB"/>
    <w:rsid w:val="0082422E"/>
    <w:rsid w:val="00840520"/>
    <w:rsid w:val="008774ED"/>
    <w:rsid w:val="0089278A"/>
    <w:rsid w:val="00902AE3"/>
    <w:rsid w:val="00910890"/>
    <w:rsid w:val="009470A4"/>
    <w:rsid w:val="009946F6"/>
    <w:rsid w:val="00995EBE"/>
    <w:rsid w:val="009B39C5"/>
    <w:rsid w:val="009C3C82"/>
    <w:rsid w:val="00A15981"/>
    <w:rsid w:val="00A25A80"/>
    <w:rsid w:val="00A267BA"/>
    <w:rsid w:val="00A3363A"/>
    <w:rsid w:val="00A339E4"/>
    <w:rsid w:val="00A34112"/>
    <w:rsid w:val="00A65BC1"/>
    <w:rsid w:val="00A841DA"/>
    <w:rsid w:val="00A97F48"/>
    <w:rsid w:val="00AA0244"/>
    <w:rsid w:val="00AA1953"/>
    <w:rsid w:val="00AA2A2A"/>
    <w:rsid w:val="00AB465A"/>
    <w:rsid w:val="00AB5511"/>
    <w:rsid w:val="00AF74D9"/>
    <w:rsid w:val="00B02B68"/>
    <w:rsid w:val="00B30912"/>
    <w:rsid w:val="00B478AD"/>
    <w:rsid w:val="00B56C5A"/>
    <w:rsid w:val="00B861AF"/>
    <w:rsid w:val="00BA5269"/>
    <w:rsid w:val="00BA7DEB"/>
    <w:rsid w:val="00BB53D7"/>
    <w:rsid w:val="00BC0303"/>
    <w:rsid w:val="00BC634B"/>
    <w:rsid w:val="00BD663B"/>
    <w:rsid w:val="00BF5736"/>
    <w:rsid w:val="00C079AD"/>
    <w:rsid w:val="00C37A29"/>
    <w:rsid w:val="00C509BD"/>
    <w:rsid w:val="00C72594"/>
    <w:rsid w:val="00C9290C"/>
    <w:rsid w:val="00C92C60"/>
    <w:rsid w:val="00CA39F1"/>
    <w:rsid w:val="00CA5DEA"/>
    <w:rsid w:val="00CD567D"/>
    <w:rsid w:val="00CE6055"/>
    <w:rsid w:val="00D11BC7"/>
    <w:rsid w:val="00D20453"/>
    <w:rsid w:val="00D22232"/>
    <w:rsid w:val="00D95B26"/>
    <w:rsid w:val="00D960E2"/>
    <w:rsid w:val="00DA1AD1"/>
    <w:rsid w:val="00DA7095"/>
    <w:rsid w:val="00DB083C"/>
    <w:rsid w:val="00DB0B51"/>
    <w:rsid w:val="00DB7D1B"/>
    <w:rsid w:val="00E13A01"/>
    <w:rsid w:val="00E41113"/>
    <w:rsid w:val="00E46537"/>
    <w:rsid w:val="00E56373"/>
    <w:rsid w:val="00E62396"/>
    <w:rsid w:val="00E62AC7"/>
    <w:rsid w:val="00E75CAE"/>
    <w:rsid w:val="00E80136"/>
    <w:rsid w:val="00E914A4"/>
    <w:rsid w:val="00E9440F"/>
    <w:rsid w:val="00E97123"/>
    <w:rsid w:val="00EA1C29"/>
    <w:rsid w:val="00EA6B05"/>
    <w:rsid w:val="00EC4AA0"/>
    <w:rsid w:val="00F14086"/>
    <w:rsid w:val="00F16B88"/>
    <w:rsid w:val="00F210A5"/>
    <w:rsid w:val="00F2334A"/>
    <w:rsid w:val="00F47B98"/>
    <w:rsid w:val="00FC338A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B5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3621B5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E41113"/>
    <w:pPr>
      <w:numPr>
        <w:numId w:val="4"/>
      </w:numPr>
      <w:spacing w:before="120" w:after="240" w:line="320" w:lineRule="exact"/>
      <w:ind w:left="714" w:hanging="357"/>
      <w:contextualSpacing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621B5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9278A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"/>
    <w:basedOn w:val="Normal"/>
    <w:link w:val="ListParagraphChar"/>
    <w:uiPriority w:val="34"/>
    <w:qFormat/>
    <w:rsid w:val="0089278A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"/>
    <w:basedOn w:val="DefaultParagraphFont"/>
    <w:link w:val="ListParagraph"/>
    <w:uiPriority w:val="34"/>
    <w:locked/>
    <w:rsid w:val="0089278A"/>
    <w:rPr>
      <w:rFonts w:ascii="Arial" w:hAnsi="Arial" w:cs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696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696"/>
    <w:rPr>
      <w:rFonts w:asciiTheme="minorHAnsi" w:hAnsiTheme="minorHAnsi" w:cs="Arial"/>
      <w:b/>
      <w:bCs/>
      <w:sz w:val="22"/>
      <w:szCs w:val="24"/>
    </w:rPr>
  </w:style>
  <w:style w:type="paragraph" w:customStyle="1" w:styleId="m3325232185963423696m3632372181950445466m8059908882110907034gmail-m-6551388570972081958gmail-m-5428380406099383564msolistparagraph">
    <w:name w:val="m_3325232185963423696m_3632372181950445466m_8059908882110907034gmail-m_-6551388570972081958gmail-m_-5428380406099383564msolistparagraph"/>
    <w:basedOn w:val="Normal"/>
    <w:uiPriority w:val="99"/>
    <w:rsid w:val="008177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lang w:eastAsia="en-AU"/>
    </w:rPr>
  </w:style>
  <w:style w:type="character" w:customStyle="1" w:styleId="gmaildefault">
    <w:name w:val="gmail_default"/>
    <w:basedOn w:val="DefaultParagraphFont"/>
    <w:rsid w:val="0081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CCF1-7ED7-4D28-B9CC-9BC6F20B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A2BD2D66.dotm</Template>
  <TotalTime>0</TotalTime>
  <Pages>5</Pages>
  <Words>1231</Words>
  <Characters>7216</Characters>
  <Application>Microsoft Office Word</Application>
  <DocSecurity>0</DocSecurity>
  <Lines>126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Woolworths interim PCD report</vt:lpstr>
    </vt:vector>
  </TitlesOfParts>
  <Manager/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Woolworths interim PCD report</dc:title>
  <dc:subject>Woolworths interim PCD report</dc:subject>
  <dc:creator/>
  <cp:keywords>Woolworths interim PCD report</cp:keywords>
  <cp:lastModifiedBy/>
  <cp:revision>1</cp:revision>
  <dcterms:created xsi:type="dcterms:W3CDTF">2019-08-06T02:15:00Z</dcterms:created>
  <dcterms:modified xsi:type="dcterms:W3CDTF">2019-08-06T04:43:00Z</dcterms:modified>
</cp:coreProperties>
</file>