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E6985" w14:textId="6598753D" w:rsidR="002A65CC" w:rsidRDefault="002A7B50" w:rsidP="002A7B50">
      <w:pPr>
        <w:pStyle w:val="Heading1"/>
      </w:pPr>
      <w:bookmarkStart w:id="0" w:name="_Toc410822213"/>
      <w:bookmarkStart w:id="1" w:name="_Toc410822926"/>
      <w:proofErr w:type="spellStart"/>
      <w:r>
        <w:t>Foodco</w:t>
      </w:r>
      <w:proofErr w:type="spellEnd"/>
      <w:r>
        <w:t xml:space="preserve"> Group Pty Ltd compliance partnership</w:t>
      </w:r>
      <w:r w:rsidR="002A65CC">
        <w:t xml:space="preserve">: </w:t>
      </w:r>
      <w:r>
        <w:t xml:space="preserve">final </w:t>
      </w:r>
      <w:r w:rsidR="002A65CC">
        <w:t>report</w:t>
      </w:r>
    </w:p>
    <w:bookmarkEnd w:id="0"/>
    <w:bookmarkEnd w:id="1"/>
    <w:p w14:paraId="72A38729" w14:textId="152C72EA" w:rsidR="002A7B50" w:rsidRDefault="002A7B50" w:rsidP="0030778E">
      <w:pPr>
        <w:spacing w:before="240"/>
        <w:rPr>
          <w:lang w:eastAsia="en-AU"/>
        </w:rPr>
      </w:pPr>
      <w:proofErr w:type="spellStart"/>
      <w:r>
        <w:rPr>
          <w:lang w:eastAsia="en-AU"/>
        </w:rPr>
        <w:t>Foodco</w:t>
      </w:r>
      <w:proofErr w:type="spellEnd"/>
      <w:r>
        <w:rPr>
          <w:lang w:eastAsia="en-AU"/>
        </w:rPr>
        <w:t xml:space="preserve"> Group Pty Ltd (</w:t>
      </w:r>
      <w:proofErr w:type="spellStart"/>
      <w:r>
        <w:rPr>
          <w:lang w:eastAsia="en-AU"/>
        </w:rPr>
        <w:t>Foodco</w:t>
      </w:r>
      <w:proofErr w:type="spellEnd"/>
      <w:r>
        <w:rPr>
          <w:lang w:eastAsia="en-AU"/>
        </w:rPr>
        <w:t>) was established in 1989 with a single Muffin Break store</w:t>
      </w:r>
      <w:r w:rsidR="007D09F7" w:rsidRPr="007D09F7">
        <w:rPr>
          <w:lang w:eastAsia="en-AU"/>
        </w:rPr>
        <w:t xml:space="preserve"> </w:t>
      </w:r>
      <w:r w:rsidR="007D09F7">
        <w:rPr>
          <w:lang w:eastAsia="en-AU"/>
        </w:rPr>
        <w:t>in Coolangatta</w:t>
      </w:r>
      <w:r>
        <w:rPr>
          <w:lang w:eastAsia="en-AU"/>
        </w:rPr>
        <w:t xml:space="preserve">. </w:t>
      </w:r>
      <w:r w:rsidR="00552707">
        <w:rPr>
          <w:lang w:eastAsia="en-AU"/>
        </w:rPr>
        <w:t xml:space="preserve">Their </w:t>
      </w:r>
      <w:r w:rsidR="007D09F7">
        <w:rPr>
          <w:lang w:eastAsia="en-AU"/>
        </w:rPr>
        <w:t xml:space="preserve">franchise network now spans </w:t>
      </w:r>
      <w:r>
        <w:rPr>
          <w:lang w:eastAsia="en-AU"/>
        </w:rPr>
        <w:t xml:space="preserve">seven countries, including Australia and New Zealand. In Australia, </w:t>
      </w:r>
      <w:r w:rsidR="008C4E3B">
        <w:rPr>
          <w:lang w:eastAsia="en-AU"/>
        </w:rPr>
        <w:t xml:space="preserve">this </w:t>
      </w:r>
      <w:r>
        <w:rPr>
          <w:lang w:eastAsia="en-AU"/>
        </w:rPr>
        <w:t>include</w:t>
      </w:r>
      <w:r w:rsidR="008C4E3B">
        <w:rPr>
          <w:lang w:eastAsia="en-AU"/>
        </w:rPr>
        <w:t>s</w:t>
      </w:r>
      <w:r>
        <w:rPr>
          <w:lang w:eastAsia="en-AU"/>
        </w:rPr>
        <w:t xml:space="preserve"> </w:t>
      </w:r>
      <w:r w:rsidR="00AB034D">
        <w:t xml:space="preserve">323 outlets (202 Muffin Break and 121 Jamaica Blue cafes). Approximately 95% of stores are operated by franchisees, who employ around 4,000 staff. The remaining 5% are </w:t>
      </w:r>
      <w:r w:rsidR="00450631">
        <w:t>company-operated</w:t>
      </w:r>
      <w:r w:rsidR="00AB034D">
        <w:t xml:space="preserve"> stores where</w:t>
      </w:r>
      <w:r w:rsidR="00CE48DD">
        <w:t xml:space="preserve"> </w:t>
      </w:r>
      <w:proofErr w:type="spellStart"/>
      <w:r w:rsidR="00CE48DD">
        <w:t>Foodco</w:t>
      </w:r>
      <w:proofErr w:type="spellEnd"/>
      <w:r w:rsidR="00CE48DD">
        <w:t xml:space="preserve"> is the direct employer.</w:t>
      </w:r>
    </w:p>
    <w:p w14:paraId="10BFA434" w14:textId="796E9695" w:rsidR="00AB034D" w:rsidRDefault="00AB034D" w:rsidP="00AB034D">
      <w:proofErr w:type="spellStart"/>
      <w:r>
        <w:t>Foodco</w:t>
      </w:r>
      <w:proofErr w:type="spellEnd"/>
      <w:r>
        <w:t xml:space="preserve"> is a member of the Franch</w:t>
      </w:r>
      <w:r w:rsidR="007D09F7">
        <w:t>ise Council of Australia (FCA).</w:t>
      </w:r>
      <w:r w:rsidR="00552707">
        <w:t xml:space="preserve"> </w:t>
      </w:r>
      <w:r>
        <w:rPr>
          <w:lang w:eastAsia="en-AU"/>
        </w:rPr>
        <w:t xml:space="preserve">In 2015, </w:t>
      </w:r>
      <w:r w:rsidR="00552707">
        <w:t xml:space="preserve">we </w:t>
      </w:r>
      <w:r>
        <w:t xml:space="preserve">met with the FCA to discuss a range of issues affecting franchises in Australia. Following this meeting, we wrote to </w:t>
      </w:r>
      <w:r w:rsidR="007842FF" w:rsidRPr="00F80A80">
        <w:t>eight</w:t>
      </w:r>
      <w:r>
        <w:t xml:space="preserve"> FCA members, including </w:t>
      </w:r>
      <w:proofErr w:type="spellStart"/>
      <w:r>
        <w:t>Foodco</w:t>
      </w:r>
      <w:proofErr w:type="spellEnd"/>
      <w:r>
        <w:t>, inviting them to enter</w:t>
      </w:r>
      <w:r w:rsidR="00552707">
        <w:t xml:space="preserve"> into a compliance partnership.</w:t>
      </w:r>
      <w:r w:rsidR="00841E98">
        <w:t xml:space="preserve"> </w:t>
      </w:r>
      <w:proofErr w:type="spellStart"/>
      <w:r w:rsidR="00841E98">
        <w:t>Foodco</w:t>
      </w:r>
      <w:proofErr w:type="spellEnd"/>
      <w:r w:rsidR="00841E98">
        <w:t xml:space="preserve"> </w:t>
      </w:r>
      <w:r w:rsidR="007842FF">
        <w:t xml:space="preserve">was the only member that </w:t>
      </w:r>
      <w:r w:rsidR="00841E98">
        <w:t>responded</w:t>
      </w:r>
      <w:r w:rsidR="00C350E2">
        <w:t>,</w:t>
      </w:r>
      <w:r w:rsidR="00841E98">
        <w:t xml:space="preserve"> indicating it wanted to publicly demonstrate its commitment to compliance.</w:t>
      </w:r>
    </w:p>
    <w:p w14:paraId="13096745" w14:textId="0FEA8EEF" w:rsidR="002A7B50" w:rsidRDefault="008C4E3B" w:rsidP="00552707">
      <w:pPr>
        <w:rPr>
          <w:lang w:eastAsia="en-AU"/>
        </w:rPr>
      </w:pPr>
      <w:r>
        <w:t xml:space="preserve">In </w:t>
      </w:r>
      <w:r w:rsidR="00841E98">
        <w:t>November</w:t>
      </w:r>
      <w:r>
        <w:t xml:space="preserve"> 2016, a</w:t>
      </w:r>
      <w:r w:rsidR="002A7B50">
        <w:t xml:space="preserve"> </w:t>
      </w:r>
      <w:r>
        <w:t xml:space="preserve">Hobart </w:t>
      </w:r>
      <w:r w:rsidR="002A7B50">
        <w:t xml:space="preserve">Muffin Break </w:t>
      </w:r>
      <w:r w:rsidR="00841E98">
        <w:t>franchisee</w:t>
      </w:r>
      <w:r w:rsidR="002A7B50">
        <w:t xml:space="preserve"> </w:t>
      </w:r>
      <w:r>
        <w:t>entered into an enforceable u</w:t>
      </w:r>
      <w:r w:rsidR="002A7B50">
        <w:t xml:space="preserve">ndertaking with </w:t>
      </w:r>
      <w:r>
        <w:t>us</w:t>
      </w:r>
      <w:r w:rsidR="00552707">
        <w:t xml:space="preserve"> </w:t>
      </w:r>
      <w:r>
        <w:t>after paying two workers as little as $11 an hour and a total underpayment of $46,</w:t>
      </w:r>
      <w:r w:rsidR="002A7B50">
        <w:t>000.</w:t>
      </w:r>
      <w:r w:rsidR="00552707" w:rsidRPr="00552707">
        <w:rPr>
          <w:rStyle w:val="FootnoteReference"/>
        </w:rPr>
        <w:t xml:space="preserve"> </w:t>
      </w:r>
      <w:r w:rsidR="00552707">
        <w:rPr>
          <w:rStyle w:val="FootnoteReference"/>
        </w:rPr>
        <w:footnoteReference w:id="1"/>
      </w:r>
    </w:p>
    <w:p w14:paraId="49871568" w14:textId="552C3471" w:rsidR="007D09F7" w:rsidRDefault="00E72D1E" w:rsidP="00AB034D">
      <w:r w:rsidRPr="00F80A80">
        <w:t xml:space="preserve">Acknowledging the need to ensure system-wide compliance, </w:t>
      </w:r>
      <w:proofErr w:type="spellStart"/>
      <w:r w:rsidR="002A7B50">
        <w:t>Foodco</w:t>
      </w:r>
      <w:proofErr w:type="spellEnd"/>
      <w:r w:rsidR="002A7B50">
        <w:t xml:space="preserve"> </w:t>
      </w:r>
      <w:r w:rsidR="008C4E3B">
        <w:t xml:space="preserve">began </w:t>
      </w:r>
      <w:r w:rsidR="002A7B50">
        <w:t xml:space="preserve">a </w:t>
      </w:r>
      <w:r w:rsidR="00AB034D">
        <w:t xml:space="preserve">two-year </w:t>
      </w:r>
      <w:r w:rsidR="002A7B50">
        <w:t xml:space="preserve">compliance </w:t>
      </w:r>
      <w:proofErr w:type="gramStart"/>
      <w:r w:rsidR="002A7B50">
        <w:t>partnership</w:t>
      </w:r>
      <w:proofErr w:type="gramEnd"/>
      <w:r w:rsidR="002A7B50">
        <w:t xml:space="preserve"> with </w:t>
      </w:r>
      <w:r w:rsidR="008C4E3B">
        <w:t xml:space="preserve">us </w:t>
      </w:r>
      <w:r w:rsidR="002A7B50">
        <w:t>on 18 January 2017</w:t>
      </w:r>
      <w:r w:rsidR="00AB034D">
        <w:t>, u</w:t>
      </w:r>
      <w:r w:rsidR="002A7B50">
        <w:t>nderpinned by a Proactive Compliance Deed (PCD)</w:t>
      </w:r>
      <w:r w:rsidR="00AB034D">
        <w:t>.</w:t>
      </w:r>
      <w:r w:rsidR="002A7B50">
        <w:rPr>
          <w:rStyle w:val="FootnoteReference"/>
          <w:rFonts w:eastAsiaTheme="majorEastAsia" w:cs="Helvetica"/>
          <w:szCs w:val="22"/>
        </w:rPr>
        <w:footnoteReference w:id="2"/>
      </w:r>
    </w:p>
    <w:p w14:paraId="02A135DB" w14:textId="6E78763D" w:rsidR="007D09F7" w:rsidRDefault="007D09F7" w:rsidP="007D09F7">
      <w:r>
        <w:t xml:space="preserve">The partnership has seen the discovery of </w:t>
      </w:r>
      <w:r w:rsidR="00841E98">
        <w:t xml:space="preserve">some </w:t>
      </w:r>
      <w:r>
        <w:t xml:space="preserve">non-compliance across the </w:t>
      </w:r>
      <w:proofErr w:type="spellStart"/>
      <w:r>
        <w:t>Foodco</w:t>
      </w:r>
      <w:proofErr w:type="spellEnd"/>
      <w:r>
        <w:t xml:space="preserve"> franchise network, and action to resolve it. </w:t>
      </w:r>
      <w:proofErr w:type="spellStart"/>
      <w:r>
        <w:t>Foodco</w:t>
      </w:r>
      <w:proofErr w:type="spellEnd"/>
      <w:r>
        <w:t xml:space="preserve"> has enhanced its systems and processes to prevent, detect and address non-compliance. This has included a</w:t>
      </w:r>
      <w:r w:rsidR="00841E98">
        <w:t xml:space="preserve"> new workplace training program and </w:t>
      </w:r>
      <w:r>
        <w:t xml:space="preserve">dedicated hotline for employee complaints. </w:t>
      </w:r>
      <w:proofErr w:type="spellStart"/>
      <w:r w:rsidR="000C7637" w:rsidRPr="00D861C9">
        <w:rPr>
          <w:rFonts w:ascii="Calibri" w:hAnsi="Calibri"/>
          <w:szCs w:val="22"/>
        </w:rPr>
        <w:t>Foodco</w:t>
      </w:r>
      <w:proofErr w:type="spellEnd"/>
      <w:r w:rsidR="000C7637" w:rsidRPr="00D861C9">
        <w:rPr>
          <w:rFonts w:ascii="Calibri" w:hAnsi="Calibri"/>
          <w:szCs w:val="22"/>
        </w:rPr>
        <w:t xml:space="preserve"> investigated matters referred by the FWO</w:t>
      </w:r>
      <w:r w:rsidR="00D65192">
        <w:rPr>
          <w:rFonts w:ascii="Calibri" w:hAnsi="Calibri"/>
          <w:szCs w:val="22"/>
        </w:rPr>
        <w:t xml:space="preserve"> and these</w:t>
      </w:r>
      <w:r w:rsidR="000C7637" w:rsidRPr="00D861C9">
        <w:rPr>
          <w:rFonts w:ascii="Calibri" w:hAnsi="Calibri"/>
          <w:szCs w:val="22"/>
        </w:rPr>
        <w:t xml:space="preserve"> resulted in franchisees reimbursing</w:t>
      </w:r>
      <w:r w:rsidR="00D65192">
        <w:rPr>
          <w:rFonts w:ascii="Calibri" w:hAnsi="Calibri"/>
          <w:szCs w:val="22"/>
        </w:rPr>
        <w:t xml:space="preserve"> employees</w:t>
      </w:r>
      <w:r w:rsidR="000C7637" w:rsidRPr="00D861C9">
        <w:rPr>
          <w:rFonts w:ascii="Calibri" w:hAnsi="Calibri"/>
          <w:szCs w:val="22"/>
        </w:rPr>
        <w:t xml:space="preserve"> $22,317.55. </w:t>
      </w:r>
      <w:r>
        <w:t xml:space="preserve">They also acted on the results </w:t>
      </w:r>
      <w:r w:rsidRPr="00F80A80">
        <w:t xml:space="preserve">of </w:t>
      </w:r>
      <w:r w:rsidR="002C755D" w:rsidRPr="00F80A80">
        <w:t>a third-party</w:t>
      </w:r>
      <w:r w:rsidRPr="00F80A80">
        <w:t xml:space="preserve"> </w:t>
      </w:r>
      <w:r>
        <w:t>au</w:t>
      </w:r>
      <w:r w:rsidR="00F932FE">
        <w:t xml:space="preserve">dit, which found non-compliance and </w:t>
      </w:r>
      <w:r w:rsidR="00F932FE" w:rsidRPr="00F80A80">
        <w:t>resulted in the repayment o</w:t>
      </w:r>
      <w:bookmarkStart w:id="2" w:name="_GoBack"/>
      <w:bookmarkEnd w:id="2"/>
      <w:r w:rsidR="00F932FE" w:rsidRPr="00F80A80">
        <w:t xml:space="preserve">f $4,244.75 to </w:t>
      </w:r>
      <w:r w:rsidR="009C38EC" w:rsidRPr="00F80A80">
        <w:t>152 employees</w:t>
      </w:r>
      <w:r w:rsidR="00F932FE" w:rsidRPr="00F80A80">
        <w:t>.</w:t>
      </w:r>
    </w:p>
    <w:p w14:paraId="4F1A0439" w14:textId="23010C63" w:rsidR="007D09F7" w:rsidRDefault="007D09F7" w:rsidP="00AB034D">
      <w:r>
        <w:t xml:space="preserve">We encourage </w:t>
      </w:r>
      <w:proofErr w:type="spellStart"/>
      <w:r>
        <w:t>Foodco</w:t>
      </w:r>
      <w:proofErr w:type="spellEnd"/>
      <w:r>
        <w:t xml:space="preserve"> to continue</w:t>
      </w:r>
      <w:r w:rsidRPr="002F6437">
        <w:t xml:space="preserve"> to </w:t>
      </w:r>
      <w:r>
        <w:t>invest in enhancing</w:t>
      </w:r>
      <w:r w:rsidRPr="002F6437">
        <w:t xml:space="preserve"> compliance </w:t>
      </w:r>
      <w:r w:rsidR="009C3F75">
        <w:t>practis</w:t>
      </w:r>
      <w:r>
        <w:t xml:space="preserve">es </w:t>
      </w:r>
      <w:r w:rsidRPr="002F6437">
        <w:t xml:space="preserve">throughout </w:t>
      </w:r>
      <w:r w:rsidRPr="00AD4355">
        <w:t xml:space="preserve">its </w:t>
      </w:r>
      <w:r>
        <w:t>franchise network.</w:t>
      </w:r>
      <w:r w:rsidR="00E34EAB">
        <w:t xml:space="preserve"> To support these </w:t>
      </w:r>
      <w:r w:rsidR="00E34EAB" w:rsidRPr="00F80A80">
        <w:t xml:space="preserve">efforts we </w:t>
      </w:r>
      <w:r w:rsidR="002E311C" w:rsidRPr="00F80A80">
        <w:t>are open to</w:t>
      </w:r>
      <w:r w:rsidR="00E34EAB" w:rsidRPr="00F80A80">
        <w:t xml:space="preserve"> enter</w:t>
      </w:r>
      <w:r w:rsidR="002E311C" w:rsidRPr="00F80A80">
        <w:t>ing</w:t>
      </w:r>
      <w:r w:rsidR="00E34EAB" w:rsidRPr="00F80A80">
        <w:t xml:space="preserve"> into </w:t>
      </w:r>
      <w:r w:rsidR="00E34EAB">
        <w:t>a second compliance partnership.</w:t>
      </w:r>
    </w:p>
    <w:p w14:paraId="1E1C4CA3" w14:textId="7EE99D94" w:rsidR="007D09F7" w:rsidRDefault="007D09F7" w:rsidP="007D09F7">
      <w:proofErr w:type="spellStart"/>
      <w:r>
        <w:t>Foodco’s</w:t>
      </w:r>
      <w:proofErr w:type="spellEnd"/>
      <w:r>
        <w:t xml:space="preserve"> fulfilment of its responsibilities under the terms of the PCD are </w:t>
      </w:r>
      <w:r w:rsidRPr="00F80A80">
        <w:t xml:space="preserve">outlined </w:t>
      </w:r>
      <w:r w:rsidR="003B7B16" w:rsidRPr="00F80A80">
        <w:t>in this report</w:t>
      </w:r>
      <w:r w:rsidRPr="00F80A80">
        <w:t>.</w:t>
      </w:r>
    </w:p>
    <w:p w14:paraId="4C24BFB8" w14:textId="27098735" w:rsidR="002A7B50" w:rsidRPr="00D3415D" w:rsidRDefault="002A7B50" w:rsidP="007D09F7"/>
    <w:p w14:paraId="5E95018E" w14:textId="77777777" w:rsidR="002A7B50" w:rsidRPr="004E6331" w:rsidRDefault="002A7B50" w:rsidP="004E6331">
      <w:pPr>
        <w:pStyle w:val="Heading2"/>
      </w:pPr>
      <w:bookmarkStart w:id="3" w:name="_Toc527984996"/>
      <w:bookmarkStart w:id="4" w:name="_Toc534799281"/>
      <w:r w:rsidRPr="004E6331">
        <w:lastRenderedPageBreak/>
        <w:t xml:space="preserve">Communication </w:t>
      </w:r>
      <w:bookmarkEnd w:id="3"/>
      <w:bookmarkEnd w:id="4"/>
      <w:r w:rsidRPr="004E6331">
        <w:t>about the compliance partnership</w:t>
      </w:r>
    </w:p>
    <w:p w14:paraId="2A9479E9" w14:textId="77777777" w:rsidR="00A25379" w:rsidRDefault="002A7B50" w:rsidP="00C12702">
      <w:pPr>
        <w:spacing w:before="120"/>
      </w:pPr>
      <w:proofErr w:type="spellStart"/>
      <w:r>
        <w:t>Foodco</w:t>
      </w:r>
      <w:proofErr w:type="spellEnd"/>
      <w:r>
        <w:t xml:space="preserve"> informed franchisee</w:t>
      </w:r>
      <w:r w:rsidR="00A25379">
        <w:t>s</w:t>
      </w:r>
      <w:r>
        <w:t xml:space="preserve"> and directly employed café and head office staff about the compliance partnership</w:t>
      </w:r>
      <w:r w:rsidR="00A25379">
        <w:t xml:space="preserve"> (</w:t>
      </w:r>
      <w:r>
        <w:t>clause 5 of the PCD</w:t>
      </w:r>
      <w:r w:rsidR="00A25379">
        <w:t>).</w:t>
      </w:r>
    </w:p>
    <w:p w14:paraId="6DA93FF1" w14:textId="33D1B836" w:rsidR="00A25379" w:rsidRDefault="00A25379" w:rsidP="00C12702">
      <w:pPr>
        <w:spacing w:after="0"/>
      </w:pPr>
      <w:r>
        <w:t>C</w:t>
      </w:r>
      <w:r w:rsidR="002A7B50">
        <w:t>ommunications at the commencement and throughout the partnership</w:t>
      </w:r>
      <w:r w:rsidR="000151A9">
        <w:t xml:space="preserve"> were distributed</w:t>
      </w:r>
      <w:r w:rsidR="00CF25BA">
        <w:t xml:space="preserve"> via</w:t>
      </w:r>
      <w:r>
        <w:t>:</w:t>
      </w:r>
    </w:p>
    <w:p w14:paraId="7025E088" w14:textId="5488C0D8" w:rsidR="00A25379" w:rsidRDefault="007D09F7" w:rsidP="00E41B29">
      <w:pPr>
        <w:pStyle w:val="Bullet"/>
      </w:pPr>
      <w:r>
        <w:t>website</w:t>
      </w:r>
      <w:r w:rsidR="00A25379">
        <w:t xml:space="preserve"> notices</w:t>
      </w:r>
    </w:p>
    <w:p w14:paraId="19F7EAE9" w14:textId="77777777" w:rsidR="00A25379" w:rsidRDefault="00A25379" w:rsidP="00E41B29">
      <w:pPr>
        <w:pStyle w:val="Bullet"/>
      </w:pPr>
      <w:r>
        <w:t xml:space="preserve">franchisee </w:t>
      </w:r>
      <w:r w:rsidR="002A7B50">
        <w:t>handouts</w:t>
      </w:r>
    </w:p>
    <w:p w14:paraId="4828542D" w14:textId="4D488614" w:rsidR="00A25379" w:rsidRDefault="002A7B50" w:rsidP="00E41B29">
      <w:pPr>
        <w:pStyle w:val="Bullet"/>
      </w:pPr>
      <w:proofErr w:type="gramStart"/>
      <w:r>
        <w:t>intranet</w:t>
      </w:r>
      <w:proofErr w:type="gramEnd"/>
      <w:r>
        <w:t xml:space="preserve"> </w:t>
      </w:r>
      <w:r w:rsidR="00A25379">
        <w:t>updates</w:t>
      </w:r>
      <w:r w:rsidR="00492FCE">
        <w:t>.</w:t>
      </w:r>
    </w:p>
    <w:p w14:paraId="582B903C" w14:textId="11D93B72" w:rsidR="00A25379" w:rsidRDefault="00A25379" w:rsidP="00C12702">
      <w:pPr>
        <w:spacing w:after="0"/>
      </w:pPr>
      <w:r>
        <w:t xml:space="preserve">Communications </w:t>
      </w:r>
      <w:r w:rsidR="009B3FD1">
        <w:t>included</w:t>
      </w:r>
      <w:r>
        <w:t>:</w:t>
      </w:r>
    </w:p>
    <w:p w14:paraId="765274D3" w14:textId="77777777" w:rsidR="00A25379" w:rsidRDefault="00A25379" w:rsidP="00E41B29">
      <w:pPr>
        <w:pStyle w:val="Bullet"/>
      </w:pPr>
      <w:r>
        <w:t>a copy of the PCD</w:t>
      </w:r>
    </w:p>
    <w:p w14:paraId="6B6F6262" w14:textId="77777777" w:rsidR="00A25379" w:rsidRDefault="002A7B50" w:rsidP="00E41B29">
      <w:pPr>
        <w:pStyle w:val="Bullet"/>
      </w:pPr>
      <w:r>
        <w:t xml:space="preserve">reasons for entering </w:t>
      </w:r>
      <w:r w:rsidR="00A25379">
        <w:t xml:space="preserve">into </w:t>
      </w:r>
      <w:r>
        <w:t>the partnership</w:t>
      </w:r>
    </w:p>
    <w:p w14:paraId="5C99B72E" w14:textId="77777777" w:rsidR="00A25379" w:rsidRDefault="00A25379" w:rsidP="00E41B29">
      <w:pPr>
        <w:pStyle w:val="Bullet"/>
      </w:pPr>
      <w:r>
        <w:t>implications for franchisees, staff</w:t>
      </w:r>
      <w:r w:rsidR="002A7B50">
        <w:t xml:space="preserve"> and the brands</w:t>
      </w:r>
    </w:p>
    <w:p w14:paraId="0F0C4044" w14:textId="5F18111F" w:rsidR="002A7B50" w:rsidDel="007A2F3F" w:rsidRDefault="002A7B50" w:rsidP="00E41B29">
      <w:pPr>
        <w:pStyle w:val="Bullet"/>
      </w:pPr>
      <w:proofErr w:type="gramStart"/>
      <w:r>
        <w:t>where</w:t>
      </w:r>
      <w:proofErr w:type="gramEnd"/>
      <w:r>
        <w:t xml:space="preserve"> to </w:t>
      </w:r>
      <w:r w:rsidR="00A25379">
        <w:t xml:space="preserve">go for more </w:t>
      </w:r>
      <w:r>
        <w:t>information.</w:t>
      </w:r>
    </w:p>
    <w:p w14:paraId="04F86A5E" w14:textId="6B71E429" w:rsidR="00A25379" w:rsidRDefault="00A25379" w:rsidP="002A7B50">
      <w:r>
        <w:t>N</w:t>
      </w:r>
      <w:r w:rsidR="002A7B50">
        <w:t xml:space="preserve">ew franchisees </w:t>
      </w:r>
      <w:r w:rsidR="009B3FD1">
        <w:t xml:space="preserve">were </w:t>
      </w:r>
      <w:r>
        <w:t xml:space="preserve">advised about the partnership as part of </w:t>
      </w:r>
      <w:r w:rsidR="002A7B50">
        <w:t xml:space="preserve">a Human Resources module </w:t>
      </w:r>
      <w:r>
        <w:t xml:space="preserve">in </w:t>
      </w:r>
      <w:proofErr w:type="spellStart"/>
      <w:r>
        <w:t>Foodco’s</w:t>
      </w:r>
      <w:proofErr w:type="spellEnd"/>
      <w:r>
        <w:t xml:space="preserve"> </w:t>
      </w:r>
      <w:r w:rsidR="002A7B50">
        <w:t xml:space="preserve">Centre of Retail </w:t>
      </w:r>
      <w:r w:rsidR="009B3FD1">
        <w:t>Excellence (CORE)</w:t>
      </w:r>
      <w:r w:rsidR="002A7B50">
        <w:t xml:space="preserve"> program. </w:t>
      </w:r>
      <w:r>
        <w:t xml:space="preserve">New employees </w:t>
      </w:r>
      <w:r w:rsidR="009B3FD1">
        <w:t>we</w:t>
      </w:r>
      <w:r>
        <w:t xml:space="preserve">re advised </w:t>
      </w:r>
      <w:r w:rsidR="009B3FD1">
        <w:t>in their letter</w:t>
      </w:r>
      <w:r>
        <w:t xml:space="preserve"> of engagement.</w:t>
      </w:r>
    </w:p>
    <w:p w14:paraId="5018400B" w14:textId="6DBD5087" w:rsidR="004E6331" w:rsidRDefault="004E6331" w:rsidP="004E6331">
      <w:r>
        <w:t xml:space="preserve">Specific communications resources were provided to assist franchisees communicate with vulnerable workers. </w:t>
      </w:r>
      <w:r w:rsidR="00CB5A9C">
        <w:t xml:space="preserve">As is commonly found in the food franchise sector, </w:t>
      </w:r>
      <w:r>
        <w:t xml:space="preserve">25% of employees in the </w:t>
      </w:r>
      <w:proofErr w:type="spellStart"/>
      <w:r>
        <w:t>Foodco</w:t>
      </w:r>
      <w:proofErr w:type="spellEnd"/>
      <w:r>
        <w:t xml:space="preserve"> network are under the age of 16. There are also significant numbers of migrant visa workers, including international students. Resources included:</w:t>
      </w:r>
    </w:p>
    <w:p w14:paraId="4D5DCE5F" w14:textId="58A6F4AD" w:rsidR="004E6331" w:rsidRPr="009B3FD1" w:rsidRDefault="004E6331" w:rsidP="00E41B29">
      <w:pPr>
        <w:pStyle w:val="Bullet"/>
        <w:rPr>
          <w:lang w:val="en-US"/>
        </w:rPr>
      </w:pPr>
      <w:r>
        <w:t>tailored information du</w:t>
      </w:r>
      <w:r w:rsidR="00492FCE">
        <w:t>ring CORE training sessions</w:t>
      </w:r>
      <w:r w:rsidR="0022582D">
        <w:rPr>
          <w:rStyle w:val="FootnoteReference"/>
        </w:rPr>
        <w:footnoteReference w:id="3"/>
      </w:r>
      <w:r w:rsidR="00492FCE">
        <w:t xml:space="preserve"> </w:t>
      </w:r>
      <w:r>
        <w:t>(</w:t>
      </w:r>
      <w:r w:rsidR="0022582D">
        <w:t>covering</w:t>
      </w:r>
      <w:r>
        <w:t xml:space="preserve"> the FWO’s </w:t>
      </w:r>
      <w:r w:rsidRPr="009B3FD1">
        <w:rPr>
          <w:i/>
        </w:rPr>
        <w:t>Employer’s guide to employing young workers</w:t>
      </w:r>
      <w:r>
        <w:rPr>
          <w:rStyle w:val="FootnoteReference"/>
        </w:rPr>
        <w:footnoteReference w:id="4"/>
      </w:r>
      <w:r w:rsidRPr="009B3FD1">
        <w:rPr>
          <w:i/>
        </w:rPr>
        <w:t xml:space="preserve">, </w:t>
      </w:r>
      <w:r w:rsidR="00E27D65">
        <w:t xml:space="preserve">and </w:t>
      </w:r>
      <w:r w:rsidR="00492FCE">
        <w:t>how</w:t>
      </w:r>
      <w:r w:rsidR="00E27D65">
        <w:t xml:space="preserve"> </w:t>
      </w:r>
      <w:r>
        <w:t xml:space="preserve">to check a migrant worker’s eligibility to work using the </w:t>
      </w:r>
      <w:r w:rsidRPr="00D137CE">
        <w:t>Visa Entitlement Verification Online system</w:t>
      </w:r>
      <w:r>
        <w:rPr>
          <w:rStyle w:val="FootnoteReference"/>
        </w:rPr>
        <w:footnoteReference w:id="5"/>
      </w:r>
      <w:r>
        <w:t>)</w:t>
      </w:r>
      <w:r w:rsidR="0022582D">
        <w:t xml:space="preserve"> </w:t>
      </w:r>
    </w:p>
    <w:p w14:paraId="22C2ED54" w14:textId="07C8E62B" w:rsidR="004E6331" w:rsidRDefault="004E6331" w:rsidP="00E41B29">
      <w:pPr>
        <w:pStyle w:val="Bullet"/>
        <w:rPr>
          <w:lang w:val="en-US"/>
        </w:rPr>
      </w:pPr>
      <w:r>
        <w:rPr>
          <w:lang w:val="en-US"/>
        </w:rPr>
        <w:t xml:space="preserve">template letters of engagement and supporting information to assist young workers and their parents to know their award entitlements </w:t>
      </w:r>
    </w:p>
    <w:p w14:paraId="17091789" w14:textId="75538F42" w:rsidR="004E6331" w:rsidRPr="004E6331" w:rsidRDefault="004E6331" w:rsidP="00E41B29">
      <w:pPr>
        <w:pStyle w:val="Bullet"/>
        <w:rPr>
          <w:lang w:val="en-US"/>
        </w:rPr>
      </w:pPr>
      <w:proofErr w:type="gramStart"/>
      <w:r>
        <w:rPr>
          <w:lang w:val="en-US"/>
        </w:rPr>
        <w:t>regular</w:t>
      </w:r>
      <w:proofErr w:type="gramEnd"/>
      <w:r>
        <w:rPr>
          <w:lang w:val="en-US"/>
        </w:rPr>
        <w:t xml:space="preserve"> posts on the </w:t>
      </w:r>
      <w:proofErr w:type="spellStart"/>
      <w:r>
        <w:rPr>
          <w:lang w:val="en-US"/>
        </w:rPr>
        <w:t>Foodco</w:t>
      </w:r>
      <w:proofErr w:type="spellEnd"/>
      <w:r>
        <w:rPr>
          <w:lang w:val="en-US"/>
        </w:rPr>
        <w:t xml:space="preserve"> intranet with advice on hiring young employees.</w:t>
      </w:r>
    </w:p>
    <w:p w14:paraId="7795E24A" w14:textId="7E52510A" w:rsidR="002A7B50" w:rsidRDefault="002A7B50" w:rsidP="002A7B50">
      <w:r>
        <w:t xml:space="preserve">FWO </w:t>
      </w:r>
      <w:r w:rsidR="009B3FD1">
        <w:t xml:space="preserve">staff were notified about the partnership via the </w:t>
      </w:r>
      <w:r w:rsidR="00874C62">
        <w:t>FWO</w:t>
      </w:r>
      <w:r w:rsidR="00CB5A9C">
        <w:t xml:space="preserve"> </w:t>
      </w:r>
      <w:r>
        <w:t>intranet</w:t>
      </w:r>
      <w:r w:rsidR="009B3FD1">
        <w:t xml:space="preserve"> (</w:t>
      </w:r>
      <w:r>
        <w:t>clause 7</w:t>
      </w:r>
      <w:r w:rsidR="009B3FD1">
        <w:t>)</w:t>
      </w:r>
      <w:r>
        <w:t xml:space="preserve">. </w:t>
      </w:r>
      <w:r w:rsidR="009B3FD1">
        <w:t xml:space="preserve">They were given </w:t>
      </w:r>
      <w:r>
        <w:t xml:space="preserve">information </w:t>
      </w:r>
      <w:r w:rsidR="009B3FD1">
        <w:t xml:space="preserve">about </w:t>
      </w:r>
      <w:r>
        <w:t xml:space="preserve">the </w:t>
      </w:r>
      <w:r w:rsidR="009B3FD1">
        <w:t xml:space="preserve">PCD </w:t>
      </w:r>
      <w:r>
        <w:t xml:space="preserve">and instructed </w:t>
      </w:r>
      <w:r w:rsidR="009B3FD1">
        <w:t xml:space="preserve">to direct related </w:t>
      </w:r>
      <w:r>
        <w:t xml:space="preserve">enquiries to a dedicated </w:t>
      </w:r>
      <w:r w:rsidR="00CB5A9C">
        <w:t xml:space="preserve">head office </w:t>
      </w:r>
      <w:r>
        <w:t xml:space="preserve">contact responsible for </w:t>
      </w:r>
      <w:r w:rsidR="009B3FD1">
        <w:t>managing</w:t>
      </w:r>
      <w:r>
        <w:t xml:space="preserve"> the </w:t>
      </w:r>
      <w:r w:rsidR="009B3FD1">
        <w:t>partnership</w:t>
      </w:r>
      <w:r>
        <w:t>.</w:t>
      </w:r>
    </w:p>
    <w:p w14:paraId="18927A5B" w14:textId="77777777" w:rsidR="002A7B50" w:rsidRDefault="002A7B50" w:rsidP="002A7B50">
      <w:pPr>
        <w:pStyle w:val="Heading2"/>
      </w:pPr>
      <w:bookmarkStart w:id="5" w:name="_Toc525655522"/>
      <w:bookmarkStart w:id="6" w:name="_Toc527984997"/>
      <w:bookmarkStart w:id="7" w:name="_Toc534799282"/>
      <w:r w:rsidRPr="000810FE">
        <w:t>Workplace relations training</w:t>
      </w:r>
      <w:bookmarkEnd w:id="5"/>
      <w:bookmarkEnd w:id="6"/>
      <w:bookmarkEnd w:id="7"/>
    </w:p>
    <w:p w14:paraId="466CB3C6" w14:textId="7A48078C" w:rsidR="002A7B50" w:rsidRDefault="002A7B50" w:rsidP="00C12702">
      <w:pPr>
        <w:spacing w:before="120"/>
      </w:pPr>
      <w:proofErr w:type="spellStart"/>
      <w:r>
        <w:t>Foodco</w:t>
      </w:r>
      <w:proofErr w:type="spellEnd"/>
      <w:r>
        <w:t xml:space="preserve"> provided </w:t>
      </w:r>
      <w:r w:rsidR="004E6331">
        <w:t xml:space="preserve">us </w:t>
      </w:r>
      <w:r>
        <w:t xml:space="preserve">with details of workplace relations training within 28 days of </w:t>
      </w:r>
      <w:r w:rsidR="004E6331">
        <w:t>commencing</w:t>
      </w:r>
      <w:r>
        <w:t xml:space="preserve"> the </w:t>
      </w:r>
      <w:r w:rsidR="004E6331">
        <w:t>PCD (</w:t>
      </w:r>
      <w:r>
        <w:t>clause 12</w:t>
      </w:r>
      <w:r w:rsidR="004E6331">
        <w:t>)</w:t>
      </w:r>
      <w:r>
        <w:t>.</w:t>
      </w:r>
    </w:p>
    <w:p w14:paraId="34AAB7EB" w14:textId="60D3CEDC" w:rsidR="004E6331" w:rsidRPr="004E6331" w:rsidRDefault="004E18B6" w:rsidP="004E6331">
      <w:pPr>
        <w:pStyle w:val="Heading3"/>
      </w:pPr>
      <w:r>
        <w:lastRenderedPageBreak/>
        <w:t>Franchisee t</w:t>
      </w:r>
      <w:r w:rsidR="004E6331" w:rsidRPr="004E6331">
        <w:t xml:space="preserve">raining – CORE </w:t>
      </w:r>
    </w:p>
    <w:p w14:paraId="49CE8534" w14:textId="5167D9EC" w:rsidR="004E6331" w:rsidRDefault="004E6331" w:rsidP="00C12702">
      <w:pPr>
        <w:spacing w:before="120"/>
      </w:pPr>
      <w:proofErr w:type="spellStart"/>
      <w:r>
        <w:t>Foodco</w:t>
      </w:r>
      <w:proofErr w:type="spellEnd"/>
      <w:r>
        <w:t xml:space="preserve"> requires all new franchisees to complete a 3-week training program at its Sydney head office.</w:t>
      </w:r>
    </w:p>
    <w:p w14:paraId="36C73902" w14:textId="1EED92DB" w:rsidR="004E6331" w:rsidRDefault="004E6331" w:rsidP="004E6331">
      <w:r>
        <w:t xml:space="preserve">CORE is an in-house training program covering compliance with Australian workplace laws and other aspects of business operations. </w:t>
      </w:r>
      <w:r w:rsidR="00492FCE">
        <w:t xml:space="preserve">Content </w:t>
      </w:r>
      <w:r>
        <w:t xml:space="preserve">remains accessible to franchisees via </w:t>
      </w:r>
      <w:proofErr w:type="spellStart"/>
      <w:r>
        <w:t>Foodco’s</w:t>
      </w:r>
      <w:proofErr w:type="spellEnd"/>
      <w:r>
        <w:t xml:space="preserve"> intranet. Topics covered include:</w:t>
      </w:r>
    </w:p>
    <w:p w14:paraId="237F4046" w14:textId="62062ACB" w:rsidR="00CF25BA" w:rsidRDefault="004E18B6" w:rsidP="00E41B29">
      <w:pPr>
        <w:pStyle w:val="Bullet"/>
      </w:pPr>
      <w:r w:rsidRPr="002A7B50">
        <w:t xml:space="preserve">the </w:t>
      </w:r>
      <w:r w:rsidRPr="00CF25BA">
        <w:rPr>
          <w:i/>
        </w:rPr>
        <w:t>Fair Work Act 2009</w:t>
      </w:r>
      <w:r w:rsidR="00101B35">
        <w:t xml:space="preserve"> (FW Act)</w:t>
      </w:r>
      <w:r w:rsidRPr="002A7B50">
        <w:t xml:space="preserve">, National Employment Standards (NES) and </w:t>
      </w:r>
      <w:r w:rsidR="00CF25BA">
        <w:t xml:space="preserve">relevant </w:t>
      </w:r>
      <w:r>
        <w:t>a</w:t>
      </w:r>
      <w:r w:rsidR="00CF25BA">
        <w:t xml:space="preserve">wards (the </w:t>
      </w:r>
      <w:r w:rsidR="00CF25BA" w:rsidRPr="00CF25BA">
        <w:rPr>
          <w:i/>
        </w:rPr>
        <w:t>Restaurant Industry</w:t>
      </w:r>
      <w:r w:rsidR="00CF25BA">
        <w:t xml:space="preserve"> </w:t>
      </w:r>
      <w:r w:rsidR="00CF25BA" w:rsidRPr="00CF25BA">
        <w:rPr>
          <w:i/>
        </w:rPr>
        <w:t>Award 2010</w:t>
      </w:r>
      <w:r w:rsidR="00CF25BA">
        <w:t xml:space="preserve"> and </w:t>
      </w:r>
      <w:r w:rsidR="00CF25BA">
        <w:rPr>
          <w:i/>
        </w:rPr>
        <w:t>Fast Food Industry Award 2010</w:t>
      </w:r>
      <w:r w:rsidR="00CF25BA" w:rsidRPr="00CF25BA">
        <w:t>)</w:t>
      </w:r>
    </w:p>
    <w:p w14:paraId="09D71800" w14:textId="112C9CBD" w:rsidR="004E18B6" w:rsidRDefault="004E18B6" w:rsidP="00E41B29">
      <w:pPr>
        <w:pStyle w:val="Bullet"/>
      </w:pPr>
      <w:r>
        <w:t>award classifications and job descriptions</w:t>
      </w:r>
    </w:p>
    <w:p w14:paraId="07695C39" w14:textId="212250C0" w:rsidR="004E6331" w:rsidRDefault="004E6331" w:rsidP="00E41B29">
      <w:pPr>
        <w:pStyle w:val="Bullet"/>
      </w:pPr>
      <w:r>
        <w:t>pay rates</w:t>
      </w:r>
      <w:r w:rsidR="004E18B6">
        <w:t>,</w:t>
      </w:r>
      <w:r w:rsidR="004E18B6" w:rsidRPr="004E18B6">
        <w:t xml:space="preserve"> </w:t>
      </w:r>
      <w:r w:rsidR="004E18B6" w:rsidRPr="002A7B50">
        <w:t>allowances, penalty rates and overtime</w:t>
      </w:r>
    </w:p>
    <w:p w14:paraId="34CDB7EA" w14:textId="77777777" w:rsidR="00492FCE" w:rsidRDefault="004E18B6" w:rsidP="00E41B29">
      <w:pPr>
        <w:pStyle w:val="Bullet"/>
      </w:pPr>
      <w:r w:rsidRPr="002A7B50">
        <w:t>pay</w:t>
      </w:r>
      <w:r>
        <w:t xml:space="preserve"> </w:t>
      </w:r>
      <w:r w:rsidRPr="002A7B50">
        <w:t>sli</w:t>
      </w:r>
      <w:r w:rsidR="00492FCE">
        <w:t>ps, rosters, timesheets</w:t>
      </w:r>
    </w:p>
    <w:p w14:paraId="2DD58449" w14:textId="7B743978" w:rsidR="004E18B6" w:rsidRPr="002A7B50" w:rsidRDefault="004E18B6" w:rsidP="00E41B29">
      <w:pPr>
        <w:pStyle w:val="Bullet"/>
      </w:pPr>
      <w:r>
        <w:t>record-</w:t>
      </w:r>
      <w:r w:rsidRPr="002A7B50">
        <w:t>keeping and employment documentation</w:t>
      </w:r>
    </w:p>
    <w:p w14:paraId="74EDDF66" w14:textId="49B7801A" w:rsidR="004E6331" w:rsidRDefault="004E18B6" w:rsidP="00E41B29">
      <w:pPr>
        <w:pStyle w:val="Bullet"/>
      </w:pPr>
      <w:r>
        <w:t>payroll and rostering systems</w:t>
      </w:r>
    </w:p>
    <w:p w14:paraId="3E74D28A" w14:textId="4E41FEC0" w:rsidR="004E18B6" w:rsidRDefault="004E18B6" w:rsidP="00E41B29">
      <w:pPr>
        <w:pStyle w:val="Bullet"/>
      </w:pPr>
      <w:r>
        <w:t>the hiring process and letters of engagement</w:t>
      </w:r>
    </w:p>
    <w:p w14:paraId="251C2DD0" w14:textId="52719D12" w:rsidR="004E18B6" w:rsidRPr="002A7B50" w:rsidRDefault="004E18B6" w:rsidP="00E41B29">
      <w:pPr>
        <w:pStyle w:val="Bullet"/>
      </w:pPr>
      <w:r w:rsidRPr="002A7B50">
        <w:t>performance management</w:t>
      </w:r>
    </w:p>
    <w:p w14:paraId="01537C33" w14:textId="77777777" w:rsidR="004E18B6" w:rsidRDefault="004E18B6" w:rsidP="00E41B29">
      <w:pPr>
        <w:pStyle w:val="Bullet"/>
      </w:pPr>
      <w:r w:rsidRPr="002A7B50">
        <w:t>fair/un</w:t>
      </w:r>
      <w:r>
        <w:t>fair termination and dismissal</w:t>
      </w:r>
    </w:p>
    <w:p w14:paraId="6347F900" w14:textId="77777777" w:rsidR="004E18B6" w:rsidRDefault="004E18B6" w:rsidP="00E41B29">
      <w:pPr>
        <w:pStyle w:val="Bullet"/>
      </w:pPr>
      <w:r w:rsidRPr="002A7B50">
        <w:t>bullying and sexual harassment</w:t>
      </w:r>
    </w:p>
    <w:p w14:paraId="009327C2" w14:textId="10369C0B" w:rsidR="004E18B6" w:rsidRDefault="004E18B6" w:rsidP="00E41B29">
      <w:pPr>
        <w:pStyle w:val="Bullet"/>
      </w:pPr>
      <w:proofErr w:type="gramStart"/>
      <w:r w:rsidRPr="002A7B50">
        <w:t>advice</w:t>
      </w:r>
      <w:proofErr w:type="gramEnd"/>
      <w:r w:rsidRPr="002A7B50">
        <w:t xml:space="preserve"> on the 2017 legislative reforms to protect vulnerable workers</w:t>
      </w:r>
      <w:r>
        <w:t>.</w:t>
      </w:r>
      <w:r w:rsidRPr="004E18B6">
        <w:rPr>
          <w:rStyle w:val="FootnoteReference"/>
          <w:rFonts w:cs="Arial"/>
        </w:rPr>
        <w:footnoteReference w:id="6"/>
      </w:r>
    </w:p>
    <w:p w14:paraId="64A04D9B" w14:textId="6384D5F6" w:rsidR="004E6331" w:rsidRDefault="004E6331" w:rsidP="004E6331">
      <w:r>
        <w:t xml:space="preserve">Franchisees </w:t>
      </w:r>
      <w:r w:rsidR="00E27D65">
        <w:t xml:space="preserve">also </w:t>
      </w:r>
      <w:r>
        <w:t xml:space="preserve">receive an employment relations handbook containing detailed information and policies. </w:t>
      </w:r>
    </w:p>
    <w:p w14:paraId="094BDF82" w14:textId="1A534DFD" w:rsidR="004E18B6" w:rsidRDefault="004E18B6" w:rsidP="004E18B6">
      <w:pPr>
        <w:pStyle w:val="Heading3"/>
      </w:pPr>
      <w:proofErr w:type="spellStart"/>
      <w:r>
        <w:t>Foodco</w:t>
      </w:r>
      <w:proofErr w:type="spellEnd"/>
      <w:r>
        <w:t xml:space="preserve"> staff training</w:t>
      </w:r>
    </w:p>
    <w:p w14:paraId="620B110A" w14:textId="66A11F8A" w:rsidR="002A7B50" w:rsidRDefault="004E18B6" w:rsidP="00C12702">
      <w:pPr>
        <w:spacing w:before="120" w:after="0"/>
      </w:pPr>
      <w:proofErr w:type="spellStart"/>
      <w:r>
        <w:t>Foodco</w:t>
      </w:r>
      <w:proofErr w:type="spellEnd"/>
      <w:r>
        <w:t xml:space="preserve"> </w:t>
      </w:r>
      <w:r w:rsidR="002A7B50">
        <w:t xml:space="preserve">consultants and staff </w:t>
      </w:r>
      <w:r>
        <w:t xml:space="preserve">receive </w:t>
      </w:r>
      <w:r w:rsidR="002A7B50">
        <w:t xml:space="preserve">training </w:t>
      </w:r>
      <w:r>
        <w:t>on</w:t>
      </w:r>
      <w:r w:rsidR="002A7B50">
        <w:t>:</w:t>
      </w:r>
    </w:p>
    <w:p w14:paraId="5D998CB0" w14:textId="77777777" w:rsidR="002A7B50" w:rsidRPr="002A7B50" w:rsidRDefault="002A7B50" w:rsidP="00E41B29">
      <w:pPr>
        <w:pStyle w:val="Bullet"/>
      </w:pPr>
      <w:r w:rsidRPr="002A7B50">
        <w:t>the relevant modern awards</w:t>
      </w:r>
    </w:p>
    <w:p w14:paraId="4CBE270F" w14:textId="77777777" w:rsidR="004E18B6" w:rsidRDefault="004E18B6" w:rsidP="00E41B29">
      <w:pPr>
        <w:pStyle w:val="Bullet"/>
      </w:pPr>
      <w:r>
        <w:t>pay rates,</w:t>
      </w:r>
      <w:r w:rsidRPr="004E18B6">
        <w:t xml:space="preserve"> </w:t>
      </w:r>
      <w:r w:rsidRPr="002A7B50">
        <w:t>allowances, penalty rates and overtime</w:t>
      </w:r>
    </w:p>
    <w:p w14:paraId="1DC1CBCE" w14:textId="0C9A1645" w:rsidR="002A7B50" w:rsidRPr="002A7B50" w:rsidRDefault="004E18B6" w:rsidP="00E41B29">
      <w:pPr>
        <w:pStyle w:val="Bullet"/>
      </w:pPr>
      <w:proofErr w:type="gramStart"/>
      <w:r>
        <w:t>hiring</w:t>
      </w:r>
      <w:proofErr w:type="gramEnd"/>
      <w:r>
        <w:t xml:space="preserve"> and </w:t>
      </w:r>
      <w:r w:rsidR="002A7B50" w:rsidRPr="002A7B50">
        <w:t>letters of engagement</w:t>
      </w:r>
      <w:r w:rsidR="00492FCE">
        <w:t>.</w:t>
      </w:r>
    </w:p>
    <w:p w14:paraId="4CC93B4B" w14:textId="40E1A00A" w:rsidR="004E18B6" w:rsidRDefault="00492FCE" w:rsidP="00E41B29">
      <w:pPr>
        <w:spacing w:after="0"/>
      </w:pPr>
      <w:r>
        <w:t xml:space="preserve">They also </w:t>
      </w:r>
      <w:r w:rsidR="004E18B6">
        <w:t xml:space="preserve">sign up for </w:t>
      </w:r>
      <w:r w:rsidR="00CB5A9C">
        <w:t xml:space="preserve">FWO’s </w:t>
      </w:r>
      <w:r w:rsidR="004E18B6">
        <w:t>My Account</w:t>
      </w:r>
      <w:r w:rsidR="004E18B6" w:rsidRPr="004E18B6">
        <w:rPr>
          <w:rStyle w:val="FootnoteReference"/>
          <w:rFonts w:cs="Arial"/>
        </w:rPr>
        <w:footnoteReference w:id="7"/>
      </w:r>
      <w:r w:rsidR="00CB5A9C">
        <w:t xml:space="preserve"> service and</w:t>
      </w:r>
      <w:r w:rsidR="004E18B6" w:rsidRPr="002A7B50">
        <w:t xml:space="preserve"> </w:t>
      </w:r>
      <w:r>
        <w:t>are required</w:t>
      </w:r>
      <w:r w:rsidR="004E18B6" w:rsidRPr="002A7B50">
        <w:t xml:space="preserve"> to complete</w:t>
      </w:r>
      <w:r w:rsidR="00CB5A9C">
        <w:t xml:space="preserve"> the following</w:t>
      </w:r>
      <w:r w:rsidR="004E18B6" w:rsidRPr="002A7B50">
        <w:t xml:space="preserve"> training modules on</w:t>
      </w:r>
      <w:r>
        <w:t xml:space="preserve"> fairwork.gov.au</w:t>
      </w:r>
      <w:r w:rsidR="004E18B6" w:rsidRPr="002A7B50">
        <w:t>:</w:t>
      </w:r>
    </w:p>
    <w:p w14:paraId="4CB6E844" w14:textId="62A5EF27" w:rsidR="004E18B6" w:rsidRPr="002A7B50" w:rsidRDefault="004E18B6" w:rsidP="00E41B29">
      <w:pPr>
        <w:pStyle w:val="Bullet"/>
      </w:pPr>
      <w:r w:rsidRPr="002A7B50">
        <w:t>difficult conversations in the workplace</w:t>
      </w:r>
    </w:p>
    <w:p w14:paraId="1FF95BB0" w14:textId="77777777" w:rsidR="004E18B6" w:rsidRPr="002A7B50" w:rsidRDefault="004E18B6" w:rsidP="00E41B29">
      <w:pPr>
        <w:pStyle w:val="Bullet"/>
      </w:pPr>
      <w:r w:rsidRPr="002A7B50">
        <w:t>hiring employees</w:t>
      </w:r>
    </w:p>
    <w:p w14:paraId="17261A68" w14:textId="3EABB6FC" w:rsidR="002A7B50" w:rsidRDefault="004E18B6" w:rsidP="00E41B29">
      <w:pPr>
        <w:pStyle w:val="Bullet"/>
      </w:pPr>
      <w:proofErr w:type="gramStart"/>
      <w:r w:rsidRPr="002A7B50">
        <w:t>managing</w:t>
      </w:r>
      <w:proofErr w:type="gramEnd"/>
      <w:r w:rsidRPr="002A7B50">
        <w:t xml:space="preserve"> performance</w:t>
      </w:r>
      <w:r>
        <w:t>.</w:t>
      </w:r>
      <w:r w:rsidRPr="004E18B6">
        <w:rPr>
          <w:rStyle w:val="FootnoteReference"/>
          <w:rFonts w:cs="Arial"/>
        </w:rPr>
        <w:footnoteReference w:id="8"/>
      </w:r>
    </w:p>
    <w:p w14:paraId="2BCFC141" w14:textId="67278232" w:rsidR="002A7B50" w:rsidRDefault="002A7B50" w:rsidP="002A7B50">
      <w:pPr>
        <w:pStyle w:val="Heading2"/>
      </w:pPr>
      <w:bookmarkStart w:id="8" w:name="_Toc525655523"/>
      <w:bookmarkStart w:id="9" w:name="_Toc527984998"/>
      <w:bookmarkStart w:id="10" w:name="_Toc534799283"/>
      <w:r w:rsidRPr="00780697">
        <w:t>Systems and processes</w:t>
      </w:r>
      <w:bookmarkEnd w:id="8"/>
      <w:bookmarkEnd w:id="9"/>
      <w:bookmarkEnd w:id="10"/>
    </w:p>
    <w:p w14:paraId="2D719CCE" w14:textId="66C88CD8" w:rsidR="004E18B6" w:rsidRDefault="002A7B50" w:rsidP="00C12702">
      <w:pPr>
        <w:spacing w:before="120"/>
      </w:pPr>
      <w:proofErr w:type="spellStart"/>
      <w:r>
        <w:t>Foodco</w:t>
      </w:r>
      <w:proofErr w:type="spellEnd"/>
      <w:r>
        <w:t xml:space="preserve"> implement</w:t>
      </w:r>
      <w:r w:rsidR="004E18B6">
        <w:t>ed</w:t>
      </w:r>
      <w:r>
        <w:t xml:space="preserve"> </w:t>
      </w:r>
      <w:r w:rsidR="007D09F7">
        <w:t xml:space="preserve">new </w:t>
      </w:r>
      <w:r>
        <w:t>and/or update</w:t>
      </w:r>
      <w:r w:rsidR="004E18B6">
        <w:t>d</w:t>
      </w:r>
      <w:r>
        <w:t xml:space="preserve"> systems and processes to ensure ongoing compliance </w:t>
      </w:r>
      <w:r w:rsidR="007D09F7">
        <w:t>with workplace laws (clause 8), including</w:t>
      </w:r>
      <w:r w:rsidR="00552707">
        <w:t>:</w:t>
      </w:r>
      <w:r w:rsidR="007D09F7">
        <w:t xml:space="preserve"> changes to intranet communications, the establishment of </w:t>
      </w:r>
      <w:r w:rsidR="00552707">
        <w:t xml:space="preserve">an </w:t>
      </w:r>
      <w:r w:rsidR="00552707">
        <w:lastRenderedPageBreak/>
        <w:t>employment relations hotline and anonymous survey, ongoing training through webinars and group meetings and promotion of FWO’s My Account service.</w:t>
      </w:r>
    </w:p>
    <w:p w14:paraId="3CECFCD5" w14:textId="4EFEA777" w:rsidR="004E18B6" w:rsidRDefault="002A7B50" w:rsidP="002A7B50">
      <w:r>
        <w:t xml:space="preserve">During the term of the partnership, </w:t>
      </w:r>
      <w:proofErr w:type="spellStart"/>
      <w:r w:rsidR="007D09F7">
        <w:t>Foodco</w:t>
      </w:r>
      <w:proofErr w:type="spellEnd"/>
      <w:r w:rsidR="007D09F7">
        <w:t xml:space="preserve"> </w:t>
      </w:r>
      <w:r>
        <w:t xml:space="preserve">conducted </w:t>
      </w:r>
      <w:r w:rsidR="007D09F7">
        <w:t xml:space="preserve">6-monthly </w:t>
      </w:r>
      <w:r>
        <w:t>formal review</w:t>
      </w:r>
      <w:r w:rsidR="007D09F7">
        <w:t>s</w:t>
      </w:r>
      <w:r>
        <w:t xml:space="preserve"> of its systems </w:t>
      </w:r>
      <w:r w:rsidR="007D09F7">
        <w:t>and processes. They have committed to continuing this review process.</w:t>
      </w:r>
    </w:p>
    <w:p w14:paraId="19057BBB" w14:textId="7A4A424B" w:rsidR="002A7B50" w:rsidRPr="00CD5B44" w:rsidRDefault="004F5515" w:rsidP="002A7B50">
      <w:pPr>
        <w:pStyle w:val="Heading3"/>
      </w:pPr>
      <w:r>
        <w:t>Brand communications p</w:t>
      </w:r>
      <w:r w:rsidR="002A7B50" w:rsidRPr="00CD5B44">
        <w:t xml:space="preserve">latform – </w:t>
      </w:r>
      <w:r>
        <w:t>i</w:t>
      </w:r>
      <w:r w:rsidR="002A7B50">
        <w:t>ntranets</w:t>
      </w:r>
    </w:p>
    <w:p w14:paraId="026871B4" w14:textId="2B75786F" w:rsidR="002A7B50" w:rsidRDefault="002A7B50" w:rsidP="00C12702">
      <w:pPr>
        <w:spacing w:before="120"/>
      </w:pPr>
      <w:r>
        <w:t xml:space="preserve">Jamaica Blue and Muffin Break </w:t>
      </w:r>
      <w:r w:rsidR="00F43561">
        <w:t xml:space="preserve">franchisees and staff can </w:t>
      </w:r>
      <w:r w:rsidR="004F5515">
        <w:t>now find</w:t>
      </w:r>
      <w:r w:rsidR="00F43561">
        <w:t xml:space="preserve"> the following information on their respective intranets</w:t>
      </w:r>
      <w:r>
        <w:t>:</w:t>
      </w:r>
    </w:p>
    <w:p w14:paraId="7BDEC5C7" w14:textId="55E0DA10" w:rsidR="002A7B50" w:rsidRDefault="004F5515" w:rsidP="00E41B29">
      <w:pPr>
        <w:pStyle w:val="Bullet"/>
      </w:pPr>
      <w:r>
        <w:t>copies</w:t>
      </w:r>
      <w:r w:rsidR="002A7B50">
        <w:t xml:space="preserve"> of the relevant awards</w:t>
      </w:r>
    </w:p>
    <w:p w14:paraId="2C5656C3" w14:textId="77777777" w:rsidR="002A7B50" w:rsidRDefault="002A7B50" w:rsidP="00E41B29">
      <w:pPr>
        <w:pStyle w:val="Bullet"/>
      </w:pPr>
      <w:r>
        <w:t>pay rates</w:t>
      </w:r>
    </w:p>
    <w:p w14:paraId="39F8CBFA" w14:textId="65A19B0F" w:rsidR="002A7B50" w:rsidRPr="002A7B50" w:rsidRDefault="004F5515" w:rsidP="00E41B29">
      <w:pPr>
        <w:pStyle w:val="Bullet"/>
      </w:pPr>
      <w:proofErr w:type="gramStart"/>
      <w:r>
        <w:t>templates</w:t>
      </w:r>
      <w:proofErr w:type="gramEnd"/>
      <w:r>
        <w:t xml:space="preserve"> for letters of e</w:t>
      </w:r>
      <w:r w:rsidR="002A7B50">
        <w:t>ngagement</w:t>
      </w:r>
      <w:r>
        <w:t>,</w:t>
      </w:r>
      <w:r w:rsidR="002A7B50">
        <w:t xml:space="preserve"> </w:t>
      </w:r>
      <w:r>
        <w:t>r</w:t>
      </w:r>
      <w:r w:rsidR="002A7B50">
        <w:t>oster</w:t>
      </w:r>
      <w:r>
        <w:t>s and</w:t>
      </w:r>
      <w:r w:rsidR="002A7B50">
        <w:t xml:space="preserve"> </w:t>
      </w:r>
      <w:r>
        <w:t>timesheets.</w:t>
      </w:r>
    </w:p>
    <w:p w14:paraId="18B60DA4" w14:textId="31AF0F0F" w:rsidR="002A7B50" w:rsidRPr="00CD5B44" w:rsidRDefault="002A7B50" w:rsidP="002A7B50">
      <w:pPr>
        <w:pStyle w:val="Heading3"/>
      </w:pPr>
      <w:r w:rsidRPr="00CD5B44">
        <w:t>E</w:t>
      </w:r>
      <w:r w:rsidR="004F5515">
        <w:t>mployment relations h</w:t>
      </w:r>
      <w:r w:rsidRPr="00CD5B44">
        <w:t xml:space="preserve">otline </w:t>
      </w:r>
      <w:r w:rsidR="007D6227">
        <w:t>and survey</w:t>
      </w:r>
    </w:p>
    <w:p w14:paraId="65B48D0D" w14:textId="77777777" w:rsidR="004F5515" w:rsidRDefault="002A7B50" w:rsidP="00C12702">
      <w:pPr>
        <w:spacing w:before="120"/>
      </w:pPr>
      <w:proofErr w:type="spellStart"/>
      <w:r>
        <w:t>Foodco</w:t>
      </w:r>
      <w:proofErr w:type="spellEnd"/>
      <w:r>
        <w:t xml:space="preserve"> introduced an employment hotline after signing the PCD. </w:t>
      </w:r>
    </w:p>
    <w:p w14:paraId="32348B4A" w14:textId="5A9EF432" w:rsidR="004F5515" w:rsidRDefault="004F5515" w:rsidP="004F5515">
      <w:r>
        <w:t>F</w:t>
      </w:r>
      <w:r w:rsidR="00F43561">
        <w:t>ranchisees and</w:t>
      </w:r>
      <w:r w:rsidR="002A7B50">
        <w:t xml:space="preserve"> staff </w:t>
      </w:r>
      <w:r>
        <w:t xml:space="preserve">can call to </w:t>
      </w:r>
      <w:r w:rsidR="002A7B50">
        <w:t>make an enquiry or complaint</w:t>
      </w:r>
      <w:r>
        <w:t xml:space="preserve"> via the </w:t>
      </w:r>
      <w:r w:rsidR="002A7B50">
        <w:t>hotline</w:t>
      </w:r>
      <w:r w:rsidR="00492FCE">
        <w:t>,</w:t>
      </w:r>
      <w:r w:rsidR="002A7B50">
        <w:t xml:space="preserve"> </w:t>
      </w:r>
      <w:r w:rsidR="00492FCE">
        <w:t>which is</w:t>
      </w:r>
      <w:r>
        <w:t xml:space="preserve"> </w:t>
      </w:r>
      <w:r w:rsidR="00C12702">
        <w:t>monitored</w:t>
      </w:r>
      <w:r w:rsidR="00650B49">
        <w:t xml:space="preserve"> </w:t>
      </w:r>
      <w:r>
        <w:t xml:space="preserve">by </w:t>
      </w:r>
      <w:r w:rsidR="002A7B50">
        <w:t xml:space="preserve">a dedicated </w:t>
      </w:r>
      <w:r w:rsidR="00CB5A9C">
        <w:t xml:space="preserve">head office </w:t>
      </w:r>
      <w:r w:rsidR="002A7B50">
        <w:t>staff member between 8:30</w:t>
      </w:r>
      <w:r>
        <w:t>am</w:t>
      </w:r>
      <w:r w:rsidR="002A7B50">
        <w:t>-5:00</w:t>
      </w:r>
      <w:r>
        <w:t xml:space="preserve">pm on weekdays. </w:t>
      </w:r>
      <w:r w:rsidR="00CF645D">
        <w:t>S</w:t>
      </w:r>
      <w:r w:rsidR="008A3D0A">
        <w:t xml:space="preserve">taff can </w:t>
      </w:r>
      <w:r w:rsidR="00CF645D">
        <w:t>also make</w:t>
      </w:r>
      <w:r w:rsidR="001015F5">
        <w:t xml:space="preserve"> t</w:t>
      </w:r>
      <w:r w:rsidR="00650B49">
        <w:t xml:space="preserve">ext </w:t>
      </w:r>
      <w:r w:rsidR="00F43561">
        <w:t>message</w:t>
      </w:r>
      <w:r w:rsidR="001015F5">
        <w:t xml:space="preserve"> and email enquiries</w:t>
      </w:r>
      <w:r w:rsidR="00CF645D" w:rsidRPr="00CF645D">
        <w:t xml:space="preserve"> </w:t>
      </w:r>
      <w:r w:rsidR="00CF645D">
        <w:t>out of hours</w:t>
      </w:r>
      <w:r>
        <w:t xml:space="preserve">. </w:t>
      </w:r>
    </w:p>
    <w:p w14:paraId="1B35FB90" w14:textId="7F94A633" w:rsidR="002A7B50" w:rsidRDefault="004F5515" w:rsidP="004F5515">
      <w:r>
        <w:t xml:space="preserve">Between </w:t>
      </w:r>
      <w:r w:rsidR="002A7B50">
        <w:t xml:space="preserve">January 2017 </w:t>
      </w:r>
      <w:r>
        <w:t xml:space="preserve">and </w:t>
      </w:r>
      <w:r w:rsidR="002A7B50">
        <w:t xml:space="preserve">December 2018, the hotline received 170 </w:t>
      </w:r>
      <w:r w:rsidR="00E1185A">
        <w:t>enquires</w:t>
      </w:r>
      <w:r>
        <w:t xml:space="preserve"> (110 </w:t>
      </w:r>
      <w:r w:rsidR="002A7B50">
        <w:t xml:space="preserve">Muffin Break and </w:t>
      </w:r>
      <w:r>
        <w:t xml:space="preserve">60 </w:t>
      </w:r>
      <w:r w:rsidR="002A7B50">
        <w:t>Jamaica Blue</w:t>
      </w:r>
      <w:r>
        <w:t>)</w:t>
      </w:r>
      <w:r w:rsidR="002A7B50">
        <w:t xml:space="preserve"> </w:t>
      </w:r>
      <w:r>
        <w:t>about</w:t>
      </w:r>
      <w:r w:rsidR="002A7B50">
        <w:t>:</w:t>
      </w:r>
    </w:p>
    <w:p w14:paraId="410B6307" w14:textId="689E9634" w:rsidR="004F5515" w:rsidRDefault="004F5515" w:rsidP="00E41B29">
      <w:pPr>
        <w:pStyle w:val="Bullet"/>
      </w:pPr>
      <w:r>
        <w:t>pay (51)</w:t>
      </w:r>
    </w:p>
    <w:p w14:paraId="1DCFD817" w14:textId="05DA0DDD" w:rsidR="004F5515" w:rsidRDefault="004F5515" w:rsidP="00E41B29">
      <w:pPr>
        <w:pStyle w:val="Bullet"/>
        <w:numPr>
          <w:ilvl w:val="0"/>
          <w:numId w:val="0"/>
        </w:numPr>
        <w:ind w:left="714"/>
      </w:pPr>
      <w:proofErr w:type="gramStart"/>
      <w:r>
        <w:t>employment</w:t>
      </w:r>
      <w:proofErr w:type="gramEnd"/>
      <w:r>
        <w:t xml:space="preserve"> conditions (44)</w:t>
      </w:r>
    </w:p>
    <w:p w14:paraId="55606F0A" w14:textId="77777777" w:rsidR="007D6227" w:rsidRDefault="007D6227" w:rsidP="00E41B29">
      <w:pPr>
        <w:pStyle w:val="Bullet"/>
      </w:pPr>
      <w:r>
        <w:t xml:space="preserve">termination of employment (37) </w:t>
      </w:r>
    </w:p>
    <w:p w14:paraId="01007286" w14:textId="5F73510C" w:rsidR="002A7B50" w:rsidRDefault="004F5515" w:rsidP="00E41B29">
      <w:pPr>
        <w:pStyle w:val="Bullet"/>
      </w:pPr>
      <w:r>
        <w:t>b</w:t>
      </w:r>
      <w:r w:rsidR="002A7B50">
        <w:t>ullying</w:t>
      </w:r>
      <w:r>
        <w:t xml:space="preserve"> </w:t>
      </w:r>
      <w:r w:rsidR="002A7B50">
        <w:t>/</w:t>
      </w:r>
      <w:r>
        <w:t xml:space="preserve"> </w:t>
      </w:r>
      <w:r w:rsidR="002A7B50">
        <w:t>harassment (31)</w:t>
      </w:r>
    </w:p>
    <w:p w14:paraId="7BED5FB5" w14:textId="362DE886" w:rsidR="002A7B50" w:rsidRDefault="004F5515" w:rsidP="00E41B29">
      <w:pPr>
        <w:pStyle w:val="Bullet"/>
      </w:pPr>
      <w:r>
        <w:t>s</w:t>
      </w:r>
      <w:r w:rsidR="002A7B50">
        <w:t>uperannuation (5)</w:t>
      </w:r>
    </w:p>
    <w:p w14:paraId="57A9D7D7" w14:textId="6CCCD47C" w:rsidR="002A7B50" w:rsidRDefault="007D6227" w:rsidP="00E41B29">
      <w:pPr>
        <w:pStyle w:val="Bullet"/>
      </w:pPr>
      <w:r>
        <w:t>v</w:t>
      </w:r>
      <w:r w:rsidR="002A7B50">
        <w:t>isa issues (1)</w:t>
      </w:r>
    </w:p>
    <w:p w14:paraId="4C61AF21" w14:textId="4194C1BF" w:rsidR="002A7B50" w:rsidRDefault="007D6227" w:rsidP="00E41B29">
      <w:pPr>
        <w:pStyle w:val="Bullet"/>
      </w:pPr>
      <w:proofErr w:type="gramStart"/>
      <w:r>
        <w:t>t</w:t>
      </w:r>
      <w:r w:rsidR="004F5515">
        <w:t>rials</w:t>
      </w:r>
      <w:proofErr w:type="gramEnd"/>
      <w:r w:rsidR="004F5515">
        <w:t xml:space="preserve"> (1).</w:t>
      </w:r>
    </w:p>
    <w:p w14:paraId="3C5D202E" w14:textId="62ABEBE6" w:rsidR="002A7B50" w:rsidRPr="002A7B50" w:rsidRDefault="002A7B50" w:rsidP="002A7B50">
      <w:proofErr w:type="spellStart"/>
      <w:r>
        <w:t>Foodco</w:t>
      </w:r>
      <w:proofErr w:type="spellEnd"/>
      <w:r>
        <w:t xml:space="preserve"> </w:t>
      </w:r>
      <w:r w:rsidR="00F43561">
        <w:t>reported</w:t>
      </w:r>
      <w:r>
        <w:t xml:space="preserve"> that all enquiries </w:t>
      </w:r>
      <w:r w:rsidR="007D6227" w:rsidRPr="00F80A80">
        <w:t xml:space="preserve">were </w:t>
      </w:r>
      <w:r w:rsidR="00631F03" w:rsidRPr="00F80A80">
        <w:t xml:space="preserve">responded to and </w:t>
      </w:r>
      <w:r w:rsidRPr="00F80A80">
        <w:t xml:space="preserve">resolved </w:t>
      </w:r>
      <w:r>
        <w:t xml:space="preserve">without the need </w:t>
      </w:r>
      <w:r w:rsidR="007D6227">
        <w:t xml:space="preserve">for </w:t>
      </w:r>
      <w:r>
        <w:t>further investigation.</w:t>
      </w:r>
    </w:p>
    <w:p w14:paraId="595A4ED0" w14:textId="259E8050" w:rsidR="002A7B50" w:rsidRDefault="007D6227" w:rsidP="002A7B50">
      <w:r>
        <w:t>A</w:t>
      </w:r>
      <w:r w:rsidR="002A7B50">
        <w:t>n anonymous online survey</w:t>
      </w:r>
      <w:r>
        <w:rPr>
          <w:rStyle w:val="FootnoteReference"/>
          <w:szCs w:val="22"/>
        </w:rPr>
        <w:t xml:space="preserve"> </w:t>
      </w:r>
      <w:r>
        <w:rPr>
          <w:szCs w:val="22"/>
        </w:rPr>
        <w:t xml:space="preserve">can be completed by </w:t>
      </w:r>
      <w:r>
        <w:t xml:space="preserve">anyone not </w:t>
      </w:r>
      <w:r w:rsidR="002A7B50">
        <w:t>comfortable raising a</w:t>
      </w:r>
      <w:r>
        <w:t>n</w:t>
      </w:r>
      <w:r w:rsidR="002A7B50">
        <w:t xml:space="preserve"> issue directly and wish</w:t>
      </w:r>
      <w:r>
        <w:t>ing</w:t>
      </w:r>
      <w:r w:rsidR="002A7B50">
        <w:t xml:space="preserve"> to remain confidential. </w:t>
      </w:r>
      <w:proofErr w:type="spellStart"/>
      <w:r>
        <w:t>Foodco</w:t>
      </w:r>
      <w:proofErr w:type="spellEnd"/>
      <w:r>
        <w:t xml:space="preserve"> advises</w:t>
      </w:r>
      <w:r w:rsidR="002A7B50">
        <w:t xml:space="preserve"> </w:t>
      </w:r>
      <w:r w:rsidR="00803CE2">
        <w:t xml:space="preserve">they received 375 responses during the compliance partnership period and </w:t>
      </w:r>
      <w:r w:rsidR="00803CE2" w:rsidRPr="00F80A80">
        <w:t xml:space="preserve">that </w:t>
      </w:r>
      <w:r w:rsidR="003071E5" w:rsidRPr="00F80A80">
        <w:t>it ha</w:t>
      </w:r>
      <w:r w:rsidRPr="00F80A80">
        <w:t xml:space="preserve">s </w:t>
      </w:r>
      <w:r w:rsidR="002A7B50" w:rsidRPr="00F80A80">
        <w:t xml:space="preserve">been </w:t>
      </w:r>
      <w:r w:rsidR="002A7B50">
        <w:t xml:space="preserve">an effective tool </w:t>
      </w:r>
      <w:r>
        <w:t xml:space="preserve">for </w:t>
      </w:r>
      <w:r w:rsidR="00803CE2">
        <w:t xml:space="preserve">cross-checking </w:t>
      </w:r>
      <w:r w:rsidR="002A7B50">
        <w:t xml:space="preserve">data </w:t>
      </w:r>
      <w:r w:rsidR="00803CE2">
        <w:t>a</w:t>
      </w:r>
      <w:r w:rsidR="003071E5">
        <w:t>gainst information provided by f</w:t>
      </w:r>
      <w:r w:rsidR="00803CE2">
        <w:t>ranchisees in the audits.</w:t>
      </w:r>
    </w:p>
    <w:p w14:paraId="7B03E13A" w14:textId="77777777" w:rsidR="0030778E" w:rsidRDefault="0030778E" w:rsidP="002A7B50">
      <w:pPr>
        <w:pStyle w:val="Heading3"/>
      </w:pPr>
      <w:r>
        <w:br w:type="page"/>
      </w:r>
    </w:p>
    <w:p w14:paraId="4FBC2406" w14:textId="18D6944C" w:rsidR="002A7B50" w:rsidRPr="00CD5B44" w:rsidRDefault="002A7B50" w:rsidP="002A7B50">
      <w:pPr>
        <w:pStyle w:val="Heading3"/>
      </w:pPr>
      <w:r w:rsidRPr="00CD5B44">
        <w:lastRenderedPageBreak/>
        <w:t>O</w:t>
      </w:r>
      <w:r>
        <w:t>n-going training and e</w:t>
      </w:r>
      <w:r w:rsidRPr="00CD5B44">
        <w:t>ducation –</w:t>
      </w:r>
      <w:r>
        <w:t xml:space="preserve"> w</w:t>
      </w:r>
      <w:r w:rsidRPr="00CD5B44">
        <w:t>ebinars</w:t>
      </w:r>
      <w:r>
        <w:t xml:space="preserve"> &amp; group meetings</w:t>
      </w:r>
    </w:p>
    <w:p w14:paraId="557CC523" w14:textId="0BFBDC7C" w:rsidR="002A7B50" w:rsidRDefault="007D6227" w:rsidP="00CF645D">
      <w:pPr>
        <w:spacing w:before="120"/>
      </w:pPr>
      <w:r>
        <w:t>N</w:t>
      </w:r>
      <w:r w:rsidR="002A7B50">
        <w:t xml:space="preserve">ew franchisees are required to attend a webinar, three months after their initial </w:t>
      </w:r>
      <w:r>
        <w:t xml:space="preserve">CORE </w:t>
      </w:r>
      <w:r w:rsidR="002A7B50">
        <w:t>training</w:t>
      </w:r>
      <w:r w:rsidR="00F43561">
        <w:t>,</w:t>
      </w:r>
      <w:r>
        <w:t xml:space="preserve"> to </w:t>
      </w:r>
      <w:r w:rsidR="002A7B50">
        <w:t xml:space="preserve">revise workplace relations information and </w:t>
      </w:r>
      <w:r w:rsidR="00F43561">
        <w:t>address</w:t>
      </w:r>
      <w:r w:rsidR="002A7B50">
        <w:t xml:space="preserve"> any difficulties </w:t>
      </w:r>
      <w:r>
        <w:t>experienced</w:t>
      </w:r>
      <w:r w:rsidR="002A7B50">
        <w:t>.</w:t>
      </w:r>
    </w:p>
    <w:p w14:paraId="7321BC98" w14:textId="77777777" w:rsidR="007D6227" w:rsidRDefault="007D6227" w:rsidP="00CF645D">
      <w:pPr>
        <w:spacing w:after="0"/>
      </w:pPr>
      <w:r>
        <w:t>F</w:t>
      </w:r>
      <w:r w:rsidR="002A7B50">
        <w:t xml:space="preserve">ranchisees </w:t>
      </w:r>
      <w:r>
        <w:t xml:space="preserve">must </w:t>
      </w:r>
      <w:r w:rsidR="002A7B50">
        <w:t xml:space="preserve">attend a group meeting twice a year, where </w:t>
      </w:r>
      <w:proofErr w:type="spellStart"/>
      <w:r>
        <w:t>Foodco’s</w:t>
      </w:r>
      <w:proofErr w:type="spellEnd"/>
      <w:r>
        <w:t xml:space="preserve"> HR department </w:t>
      </w:r>
      <w:r w:rsidR="002A7B50">
        <w:t>provide</w:t>
      </w:r>
      <w:r>
        <w:t>s</w:t>
      </w:r>
      <w:r w:rsidR="002A7B50">
        <w:t xml:space="preserve"> a presentation </w:t>
      </w:r>
      <w:r>
        <w:t>on:</w:t>
      </w:r>
    </w:p>
    <w:p w14:paraId="020F4D54" w14:textId="77777777" w:rsidR="007D6227" w:rsidRDefault="002A7B50" w:rsidP="00E41B29">
      <w:pPr>
        <w:pStyle w:val="Bullet"/>
      </w:pPr>
      <w:r>
        <w:t>self-audit findings</w:t>
      </w:r>
    </w:p>
    <w:p w14:paraId="26296FAA" w14:textId="77777777" w:rsidR="007D6227" w:rsidRDefault="007D6227" w:rsidP="00E41B29">
      <w:pPr>
        <w:pStyle w:val="Bullet"/>
      </w:pPr>
      <w:r>
        <w:t xml:space="preserve">the </w:t>
      </w:r>
      <w:r w:rsidR="002A7B50">
        <w:t xml:space="preserve">main compliance issues in the network </w:t>
      </w:r>
    </w:p>
    <w:p w14:paraId="579B3F08" w14:textId="28E586F5" w:rsidR="002A7B50" w:rsidRPr="00C550A3" w:rsidRDefault="002A7B50" w:rsidP="00E41B29">
      <w:pPr>
        <w:pStyle w:val="Bullet"/>
      </w:pPr>
      <w:proofErr w:type="gramStart"/>
      <w:r>
        <w:t>updates</w:t>
      </w:r>
      <w:proofErr w:type="gramEnd"/>
      <w:r>
        <w:t xml:space="preserve"> </w:t>
      </w:r>
      <w:r w:rsidR="007D6227">
        <w:t xml:space="preserve">to </w:t>
      </w:r>
      <w:r>
        <w:t xml:space="preserve">the </w:t>
      </w:r>
      <w:r w:rsidR="007D6227">
        <w:t>award</w:t>
      </w:r>
      <w:r>
        <w:t>s.</w:t>
      </w:r>
    </w:p>
    <w:p w14:paraId="79CE0805" w14:textId="49CBEEFF" w:rsidR="002A7B50" w:rsidRPr="00CD5B44" w:rsidRDefault="002A7B50" w:rsidP="002A7B50">
      <w:pPr>
        <w:pStyle w:val="Heading3"/>
      </w:pPr>
      <w:r>
        <w:t>M</w:t>
      </w:r>
      <w:r w:rsidR="007D6227">
        <w:t>y Account</w:t>
      </w:r>
    </w:p>
    <w:p w14:paraId="70169A28" w14:textId="471CCE8C" w:rsidR="002A7B50" w:rsidRDefault="00BD11B2" w:rsidP="00CF645D">
      <w:pPr>
        <w:spacing w:before="120"/>
      </w:pPr>
      <w:r>
        <w:t>N</w:t>
      </w:r>
      <w:r w:rsidR="002A7B50">
        <w:t xml:space="preserve">ew franchisees </w:t>
      </w:r>
      <w:r>
        <w:t>are encouraged to sign</w:t>
      </w:r>
      <w:r w:rsidR="002A7B50">
        <w:t xml:space="preserve"> up </w:t>
      </w:r>
      <w:r>
        <w:t xml:space="preserve">for </w:t>
      </w:r>
      <w:r w:rsidR="002A7B50">
        <w:t>My Account</w:t>
      </w:r>
      <w:r>
        <w:t xml:space="preserve"> on fairwork.gov.au</w:t>
      </w:r>
      <w:r w:rsidR="00F43561">
        <w:t xml:space="preserve">, through which they can </w:t>
      </w:r>
      <w:r w:rsidR="002A7B50">
        <w:t xml:space="preserve">complete </w:t>
      </w:r>
      <w:r w:rsidR="00F43561">
        <w:t xml:space="preserve">the following </w:t>
      </w:r>
      <w:r>
        <w:t xml:space="preserve">FWO </w:t>
      </w:r>
      <w:r w:rsidR="002A7B50">
        <w:t>online learning modules:</w:t>
      </w:r>
    </w:p>
    <w:p w14:paraId="2E24D191" w14:textId="77777777" w:rsidR="002A7B50" w:rsidRDefault="002A7B50" w:rsidP="00E41B29">
      <w:pPr>
        <w:pStyle w:val="Bullet"/>
      </w:pPr>
      <w:r>
        <w:t>difficult conversations in the workplace</w:t>
      </w:r>
    </w:p>
    <w:p w14:paraId="558863D8" w14:textId="77777777" w:rsidR="002A7B50" w:rsidRDefault="002A7B50" w:rsidP="00E41B29">
      <w:pPr>
        <w:pStyle w:val="Bullet"/>
      </w:pPr>
      <w:r>
        <w:t>hiring employees</w:t>
      </w:r>
    </w:p>
    <w:p w14:paraId="6C6B29D6" w14:textId="38090E73" w:rsidR="002A7B50" w:rsidRPr="00AB004D" w:rsidRDefault="00BD11B2" w:rsidP="00E41B29">
      <w:pPr>
        <w:pStyle w:val="Bullet"/>
      </w:pPr>
      <w:proofErr w:type="gramStart"/>
      <w:r>
        <w:t>managing</w:t>
      </w:r>
      <w:proofErr w:type="gramEnd"/>
      <w:r>
        <w:t xml:space="preserve"> performance.</w:t>
      </w:r>
    </w:p>
    <w:p w14:paraId="7CC6D2F4" w14:textId="32976BA4" w:rsidR="002A7B50" w:rsidRDefault="002A7B50" w:rsidP="002A7B50">
      <w:pPr>
        <w:pStyle w:val="Heading2"/>
      </w:pPr>
      <w:bookmarkStart w:id="11" w:name="_Toc525655524"/>
      <w:bookmarkStart w:id="12" w:name="_Toc527984999"/>
      <w:bookmarkStart w:id="13" w:name="_Toc534799284"/>
      <w:r w:rsidRPr="008566C5">
        <w:t>Self-resolution of workplace disputes</w:t>
      </w:r>
      <w:bookmarkEnd w:id="11"/>
      <w:bookmarkEnd w:id="12"/>
      <w:bookmarkEnd w:id="13"/>
    </w:p>
    <w:p w14:paraId="7297E136" w14:textId="5D4C042C" w:rsidR="002A7B50" w:rsidRDefault="00BD11B2" w:rsidP="00CF645D">
      <w:pPr>
        <w:spacing w:before="120"/>
        <w:rPr>
          <w:rFonts w:ascii="Calibri" w:hAnsi="Calibri" w:cs="Calibri"/>
          <w:szCs w:val="22"/>
        </w:rPr>
      </w:pPr>
      <w:r>
        <w:t xml:space="preserve">We referred 12 </w:t>
      </w:r>
      <w:r w:rsidR="002A7B50">
        <w:t xml:space="preserve">requests for assistance from current </w:t>
      </w:r>
      <w:r>
        <w:t xml:space="preserve">and </w:t>
      </w:r>
      <w:r w:rsidR="002A7B50">
        <w:t xml:space="preserve">former employees </w:t>
      </w:r>
      <w:r>
        <w:t xml:space="preserve">to </w:t>
      </w:r>
      <w:proofErr w:type="spellStart"/>
      <w:r>
        <w:t>Foodco</w:t>
      </w:r>
      <w:proofErr w:type="spellEnd"/>
      <w:r>
        <w:t xml:space="preserve"> (</w:t>
      </w:r>
      <w:r w:rsidR="002A7B50">
        <w:t>Part IV of the PCD</w:t>
      </w:r>
      <w:r>
        <w:t>)</w:t>
      </w:r>
      <w:r w:rsidR="002A7B50">
        <w:t xml:space="preserve">. </w:t>
      </w:r>
    </w:p>
    <w:p w14:paraId="47A7B726" w14:textId="483BA4F7" w:rsidR="002A7B50" w:rsidRPr="00431B6D" w:rsidRDefault="002A7B50" w:rsidP="002A7B50">
      <w:pPr>
        <w:rPr>
          <w:color w:val="000000" w:themeColor="text1"/>
        </w:rPr>
      </w:pPr>
      <w:proofErr w:type="spellStart"/>
      <w:r w:rsidRPr="00431B6D">
        <w:rPr>
          <w:color w:val="000000" w:themeColor="text1"/>
        </w:rPr>
        <w:t>Foodco</w:t>
      </w:r>
      <w:proofErr w:type="spellEnd"/>
      <w:r w:rsidRPr="00431B6D">
        <w:rPr>
          <w:color w:val="000000" w:themeColor="text1"/>
        </w:rPr>
        <w:t xml:space="preserve"> assist</w:t>
      </w:r>
      <w:r w:rsidR="00BD11B2">
        <w:rPr>
          <w:color w:val="000000" w:themeColor="text1"/>
        </w:rPr>
        <w:t>ed</w:t>
      </w:r>
      <w:r w:rsidRPr="00431B6D">
        <w:rPr>
          <w:color w:val="000000" w:themeColor="text1"/>
        </w:rPr>
        <w:t xml:space="preserve"> franchisees investigate, resolve and rectify underpayme</w:t>
      </w:r>
      <w:r w:rsidR="00F43561">
        <w:rPr>
          <w:color w:val="000000" w:themeColor="text1"/>
        </w:rPr>
        <w:t>nts within 28 days of referral.</w:t>
      </w:r>
    </w:p>
    <w:p w14:paraId="29C66664" w14:textId="43EC8175" w:rsidR="00FD3A85" w:rsidRDefault="00BD11B2" w:rsidP="002A7B50">
      <w:pPr>
        <w:rPr>
          <w:color w:val="000000" w:themeColor="text1"/>
        </w:rPr>
      </w:pPr>
      <w:r>
        <w:rPr>
          <w:color w:val="000000" w:themeColor="text1"/>
        </w:rPr>
        <w:t xml:space="preserve">The referred matters related to 10 outlets </w:t>
      </w:r>
      <w:r w:rsidRPr="00431B6D">
        <w:rPr>
          <w:color w:val="000000" w:themeColor="text1"/>
        </w:rPr>
        <w:t>(</w:t>
      </w:r>
      <w:r>
        <w:rPr>
          <w:color w:val="000000" w:themeColor="text1"/>
        </w:rPr>
        <w:t xml:space="preserve">7 </w:t>
      </w:r>
      <w:r w:rsidRPr="00431B6D">
        <w:rPr>
          <w:color w:val="000000" w:themeColor="text1"/>
        </w:rPr>
        <w:t xml:space="preserve">Muffin Break and </w:t>
      </w:r>
      <w:r>
        <w:rPr>
          <w:color w:val="000000" w:themeColor="text1"/>
        </w:rPr>
        <w:t xml:space="preserve">3 </w:t>
      </w:r>
      <w:r w:rsidRPr="00431B6D">
        <w:rPr>
          <w:color w:val="000000" w:themeColor="text1"/>
        </w:rPr>
        <w:t>Jamaica Blue</w:t>
      </w:r>
      <w:r>
        <w:rPr>
          <w:color w:val="000000" w:themeColor="text1"/>
        </w:rPr>
        <w:t xml:space="preserve">), and some involved more than one </w:t>
      </w:r>
      <w:r w:rsidR="002A7B50" w:rsidRPr="00431B6D">
        <w:rPr>
          <w:color w:val="000000" w:themeColor="text1"/>
        </w:rPr>
        <w:t>emp</w:t>
      </w:r>
      <w:r w:rsidR="00F43561">
        <w:rPr>
          <w:color w:val="000000" w:themeColor="text1"/>
        </w:rPr>
        <w:t>loyee.</w:t>
      </w:r>
    </w:p>
    <w:p w14:paraId="4E7EC2ED" w14:textId="3E41001C" w:rsidR="002A7B50" w:rsidRPr="00431B6D" w:rsidRDefault="00BD11B2" w:rsidP="00CF645D">
      <w:pPr>
        <w:spacing w:after="0"/>
        <w:rPr>
          <w:color w:val="000000" w:themeColor="text1"/>
        </w:rPr>
      </w:pPr>
      <w:r>
        <w:rPr>
          <w:color w:val="000000" w:themeColor="text1"/>
        </w:rPr>
        <w:t>Investigations</w:t>
      </w:r>
      <w:r w:rsidR="002A7B50" w:rsidRPr="00431B6D">
        <w:rPr>
          <w:color w:val="000000" w:themeColor="text1"/>
        </w:rPr>
        <w:t xml:space="preserve"> by </w:t>
      </w:r>
      <w:proofErr w:type="spellStart"/>
      <w:r w:rsidR="002A7B50" w:rsidRPr="00431B6D">
        <w:rPr>
          <w:color w:val="000000" w:themeColor="text1"/>
        </w:rPr>
        <w:t>Foodco’s</w:t>
      </w:r>
      <w:proofErr w:type="spellEnd"/>
      <w:r w:rsidR="002A7B50" w:rsidRPr="00431B6D">
        <w:rPr>
          <w:color w:val="000000" w:themeColor="text1"/>
        </w:rPr>
        <w:t xml:space="preserve"> internal compliance team </w:t>
      </w:r>
      <w:r>
        <w:rPr>
          <w:color w:val="000000" w:themeColor="text1"/>
        </w:rPr>
        <w:t xml:space="preserve">led to </w:t>
      </w:r>
      <w:r w:rsidR="002A7B50" w:rsidRPr="00431B6D">
        <w:rPr>
          <w:color w:val="000000" w:themeColor="text1"/>
        </w:rPr>
        <w:t xml:space="preserve">14 workers </w:t>
      </w:r>
      <w:r>
        <w:rPr>
          <w:color w:val="000000" w:themeColor="text1"/>
        </w:rPr>
        <w:t>being reimbursed $22,</w:t>
      </w:r>
      <w:r w:rsidR="002A7B50" w:rsidRPr="00431B6D">
        <w:rPr>
          <w:color w:val="000000" w:themeColor="text1"/>
        </w:rPr>
        <w:t>317.55</w:t>
      </w:r>
      <w:r w:rsidR="00734BE0">
        <w:rPr>
          <w:color w:val="000000" w:themeColor="text1"/>
        </w:rPr>
        <w:t xml:space="preserve"> by franchisees.</w:t>
      </w:r>
      <w:r w:rsidR="002A7B50" w:rsidRPr="00431B6D">
        <w:rPr>
          <w:color w:val="000000" w:themeColor="text1"/>
        </w:rPr>
        <w:t xml:space="preserve"> </w:t>
      </w:r>
      <w:r w:rsidR="00FD3A85">
        <w:rPr>
          <w:color w:val="000000" w:themeColor="text1"/>
        </w:rPr>
        <w:t>These matters related to:</w:t>
      </w:r>
    </w:p>
    <w:p w14:paraId="1CB8B63A" w14:textId="6C032839" w:rsidR="002A7B50" w:rsidRPr="00431B6D" w:rsidRDefault="00FD3A85" w:rsidP="00E41B29">
      <w:pPr>
        <w:pStyle w:val="Bullet"/>
      </w:pPr>
      <w:r>
        <w:t>u</w:t>
      </w:r>
      <w:r w:rsidR="002A7B50" w:rsidRPr="00431B6D">
        <w:t>nderpayment of wages</w:t>
      </w:r>
    </w:p>
    <w:p w14:paraId="75338BD6" w14:textId="5C4977AB" w:rsidR="002A7B50" w:rsidRPr="00431B6D" w:rsidRDefault="00FD3A85" w:rsidP="00E41B29">
      <w:pPr>
        <w:pStyle w:val="Bullet"/>
      </w:pPr>
      <w:r>
        <w:t>n</w:t>
      </w:r>
      <w:r w:rsidR="002A7B50" w:rsidRPr="00431B6D">
        <w:t>on-payment of superannuation</w:t>
      </w:r>
    </w:p>
    <w:p w14:paraId="5588767E" w14:textId="5B43917A" w:rsidR="002A7B50" w:rsidRPr="00431B6D" w:rsidRDefault="00FD3A85" w:rsidP="00E41B29">
      <w:pPr>
        <w:pStyle w:val="Bullet"/>
      </w:pPr>
      <w:r>
        <w:t>n</w:t>
      </w:r>
      <w:r w:rsidR="002A7B50" w:rsidRPr="00431B6D">
        <w:t xml:space="preserve">otice of termination </w:t>
      </w:r>
    </w:p>
    <w:p w14:paraId="6F36B363" w14:textId="414F3A33" w:rsidR="002A7B50" w:rsidRPr="00431B6D" w:rsidRDefault="00FD3A85" w:rsidP="00E41B29">
      <w:pPr>
        <w:pStyle w:val="Bullet"/>
      </w:pPr>
      <w:proofErr w:type="gramStart"/>
      <w:r>
        <w:t>annual</w:t>
      </w:r>
      <w:proofErr w:type="gramEnd"/>
      <w:r>
        <w:t xml:space="preserve"> leave.</w:t>
      </w:r>
    </w:p>
    <w:p w14:paraId="52DD5CAE" w14:textId="65B14C36" w:rsidR="002A7B50" w:rsidRPr="00FD3A85" w:rsidRDefault="002A7B50" w:rsidP="002A7B50">
      <w:pPr>
        <w:rPr>
          <w:rFonts w:ascii="Calibri" w:hAnsi="Calibri" w:cs="Calibri"/>
        </w:rPr>
      </w:pPr>
      <w:r w:rsidRPr="00431B6D">
        <w:t xml:space="preserve">Two </w:t>
      </w:r>
      <w:r w:rsidR="00FD3A85">
        <w:t>referred matters didn’</w:t>
      </w:r>
      <w:r w:rsidRPr="00431B6D">
        <w:t xml:space="preserve">t result in </w:t>
      </w:r>
      <w:r w:rsidR="00FD3A85">
        <w:t>money being reimbursed. O</w:t>
      </w:r>
      <w:r w:rsidRPr="00431B6D">
        <w:t xml:space="preserve">ne because the franchisee had left the network and </w:t>
      </w:r>
      <w:proofErr w:type="spellStart"/>
      <w:r w:rsidRPr="00431B6D">
        <w:t>Foodco</w:t>
      </w:r>
      <w:proofErr w:type="spellEnd"/>
      <w:r w:rsidRPr="00431B6D">
        <w:t xml:space="preserve"> could not secure payment</w:t>
      </w:r>
      <w:r w:rsidR="00FD3A85">
        <w:t xml:space="preserve"> – the FWO was </w:t>
      </w:r>
      <w:r w:rsidRPr="00431B6D">
        <w:t xml:space="preserve">able to assist </w:t>
      </w:r>
      <w:r w:rsidR="00FD3A85">
        <w:t xml:space="preserve">this </w:t>
      </w:r>
      <w:r w:rsidRPr="00431B6D">
        <w:t>worker to recover $633</w:t>
      </w:r>
      <w:r>
        <w:t xml:space="preserve"> from a separate employing entity</w:t>
      </w:r>
      <w:r w:rsidRPr="00431B6D">
        <w:t xml:space="preserve">. The second employee </w:t>
      </w:r>
      <w:r w:rsidR="00FD3A85">
        <w:t>did not respond</w:t>
      </w:r>
      <w:r w:rsidRPr="00431B6D">
        <w:t xml:space="preserve"> to attempts to contact</w:t>
      </w:r>
      <w:r w:rsidR="00FD3A85">
        <w:t xml:space="preserve"> them</w:t>
      </w:r>
      <w:r w:rsidRPr="00431B6D">
        <w:t>.</w:t>
      </w:r>
    </w:p>
    <w:p w14:paraId="221BA881" w14:textId="77777777" w:rsidR="0030778E" w:rsidRDefault="0030778E">
      <w:pPr>
        <w:spacing w:after="0" w:line="240" w:lineRule="auto"/>
        <w:rPr>
          <w:b/>
          <w:color w:val="1B365D"/>
          <w:sz w:val="32"/>
        </w:rPr>
      </w:pPr>
      <w:bookmarkStart w:id="14" w:name="_Toc525655525"/>
      <w:bookmarkStart w:id="15" w:name="_Toc527985000"/>
      <w:bookmarkStart w:id="16" w:name="_Toc534799285"/>
      <w:r>
        <w:br w:type="page"/>
      </w:r>
    </w:p>
    <w:p w14:paraId="1139692A" w14:textId="5222F4F1" w:rsidR="002A7B50" w:rsidRDefault="00FD3A85" w:rsidP="002A7B50">
      <w:pPr>
        <w:pStyle w:val="Heading2"/>
      </w:pPr>
      <w:r>
        <w:lastRenderedPageBreak/>
        <w:t xml:space="preserve">External </w:t>
      </w:r>
      <w:r w:rsidR="002A7B50">
        <w:t>a</w:t>
      </w:r>
      <w:r w:rsidR="002A7B50" w:rsidRPr="0022190E">
        <w:t>udits</w:t>
      </w:r>
      <w:bookmarkEnd w:id="14"/>
      <w:bookmarkEnd w:id="15"/>
      <w:bookmarkEnd w:id="16"/>
    </w:p>
    <w:p w14:paraId="62841D96" w14:textId="728C4DCC" w:rsidR="002A7B50" w:rsidRDefault="002A7B50" w:rsidP="00CF645D">
      <w:pPr>
        <w:spacing w:before="120"/>
      </w:pPr>
      <w:proofErr w:type="spellStart"/>
      <w:r>
        <w:t>Foodco</w:t>
      </w:r>
      <w:proofErr w:type="spellEnd"/>
      <w:r>
        <w:t xml:space="preserve"> engaged a specialist firm, Employment Innovations, to conduct an audit of its franchise network (clauses 19-21).</w:t>
      </w:r>
    </w:p>
    <w:p w14:paraId="03AB6A58" w14:textId="77777777" w:rsidR="00101B35" w:rsidRDefault="00FD3A85" w:rsidP="002A7B50">
      <w:r>
        <w:t>T</w:t>
      </w:r>
      <w:r w:rsidR="002A7B50">
        <w:t>he audit cover</w:t>
      </w:r>
      <w:r>
        <w:t>ed</w:t>
      </w:r>
      <w:r w:rsidR="002A7B50">
        <w:t xml:space="preserve"> a four-week</w:t>
      </w:r>
      <w:r>
        <w:t xml:space="preserve"> period</w:t>
      </w:r>
      <w:r w:rsidR="002A7B50">
        <w:t xml:space="preserve"> </w:t>
      </w:r>
      <w:r>
        <w:t xml:space="preserve">including </w:t>
      </w:r>
      <w:r w:rsidR="002A7B50">
        <w:t xml:space="preserve">a public holiday and was conducted within the first year of the </w:t>
      </w:r>
      <w:r>
        <w:t>compliance p</w:t>
      </w:r>
      <w:r w:rsidR="002A7B50">
        <w:t>artnership</w:t>
      </w:r>
      <w:r w:rsidR="00101B35">
        <w:t>, from June 2016</w:t>
      </w:r>
      <w:r w:rsidR="002A7B50">
        <w:t xml:space="preserve">. </w:t>
      </w:r>
    </w:p>
    <w:p w14:paraId="016FFF94" w14:textId="2BAA47A9" w:rsidR="002A7B50" w:rsidRDefault="00101B35" w:rsidP="002A7B50">
      <w:r>
        <w:t xml:space="preserve">38 stores (representing </w:t>
      </w:r>
      <w:r w:rsidR="002A7B50">
        <w:t xml:space="preserve">10% of </w:t>
      </w:r>
      <w:r>
        <w:t xml:space="preserve">the network) were audited </w:t>
      </w:r>
      <w:r w:rsidR="00FD3A85">
        <w:t xml:space="preserve">in a </w:t>
      </w:r>
      <w:r w:rsidR="002A7B50">
        <w:t>mix of state, metropolitan and regional locations</w:t>
      </w:r>
      <w:r w:rsidR="00FD3A85" w:rsidRPr="00FD3A85">
        <w:t xml:space="preserve"> </w:t>
      </w:r>
      <w:r>
        <w:t>(10 Vic, 14 NSW, 6 Qld, 9 WA and 1 ACT)</w:t>
      </w:r>
      <w:r w:rsidR="002A7B50">
        <w:t>.</w:t>
      </w:r>
      <w:r>
        <w:t xml:space="preserve"> Two-thirds of employees audited were casuals.</w:t>
      </w:r>
    </w:p>
    <w:p w14:paraId="40AC7C73" w14:textId="3A494DA3" w:rsidR="002A7B50" w:rsidRDefault="00101B35" w:rsidP="00CF645D">
      <w:pPr>
        <w:spacing w:after="0"/>
      </w:pPr>
      <w:r>
        <w:t>C</w:t>
      </w:r>
      <w:r w:rsidR="002A7B50">
        <w:t xml:space="preserve">ompliance with the following </w:t>
      </w:r>
      <w:r>
        <w:t>entitlements and obligations was assessed</w:t>
      </w:r>
      <w:r w:rsidR="002A7B50">
        <w:t>:</w:t>
      </w:r>
    </w:p>
    <w:p w14:paraId="342F1DA6" w14:textId="46184643" w:rsidR="002A7B50" w:rsidRDefault="00101B35" w:rsidP="00E41B29">
      <w:pPr>
        <w:pStyle w:val="Bullet"/>
      </w:pPr>
      <w:r>
        <w:t>c</w:t>
      </w:r>
      <w:r w:rsidR="002A7B50">
        <w:t>lassif</w:t>
      </w:r>
      <w:r>
        <w:t>ication of employees under the a</w:t>
      </w:r>
      <w:r w:rsidR="002A7B50">
        <w:t>wards</w:t>
      </w:r>
    </w:p>
    <w:p w14:paraId="0E912E64" w14:textId="31E5D766" w:rsidR="002A7B50" w:rsidRDefault="00101B35" w:rsidP="00E41B29">
      <w:pPr>
        <w:pStyle w:val="Bullet"/>
      </w:pPr>
      <w:r>
        <w:t>t</w:t>
      </w:r>
      <w:r w:rsidR="002A7B50">
        <w:t xml:space="preserve">he </w:t>
      </w:r>
      <w:r>
        <w:t>NES</w:t>
      </w:r>
    </w:p>
    <w:p w14:paraId="72AD77EF" w14:textId="4C719D4E" w:rsidR="002A7B50" w:rsidRDefault="00101B35" w:rsidP="00E41B29">
      <w:pPr>
        <w:pStyle w:val="Bullet"/>
      </w:pPr>
      <w:r>
        <w:t>employment status</w:t>
      </w:r>
    </w:p>
    <w:p w14:paraId="03DF0237" w14:textId="2DCA5CE6" w:rsidR="002A7B50" w:rsidRDefault="00101B35" w:rsidP="00E41B29">
      <w:pPr>
        <w:pStyle w:val="Bullet"/>
      </w:pPr>
      <w:r>
        <w:t>record-keeping</w:t>
      </w:r>
    </w:p>
    <w:p w14:paraId="1D64AB29" w14:textId="545A937C" w:rsidR="002A7B50" w:rsidRDefault="00101B35" w:rsidP="00E41B29">
      <w:pPr>
        <w:pStyle w:val="Bullet"/>
      </w:pPr>
      <w:r>
        <w:t>l</w:t>
      </w:r>
      <w:r w:rsidR="002A7B50">
        <w:t>eave and termination payments</w:t>
      </w:r>
    </w:p>
    <w:p w14:paraId="3A06F9B2" w14:textId="15C42BAF" w:rsidR="002A7B50" w:rsidRDefault="00101B35" w:rsidP="00E41B29">
      <w:pPr>
        <w:pStyle w:val="Bullet"/>
      </w:pPr>
      <w:proofErr w:type="gramStart"/>
      <w:r>
        <w:t>minimum</w:t>
      </w:r>
      <w:proofErr w:type="gramEnd"/>
      <w:r>
        <w:t xml:space="preserve"> pay</w:t>
      </w:r>
      <w:r w:rsidR="002A7B50">
        <w:t>, loadings, allowances and penalties</w:t>
      </w:r>
      <w:r>
        <w:t>.</w:t>
      </w:r>
    </w:p>
    <w:p w14:paraId="271CFEBE" w14:textId="615F8783" w:rsidR="002A7B50" w:rsidRDefault="00101B35" w:rsidP="00CF645D">
      <w:pPr>
        <w:spacing w:after="0"/>
      </w:pPr>
      <w:r>
        <w:t xml:space="preserve">Only two stores were fully compliant with Australian workplace laws. A </w:t>
      </w:r>
      <w:r w:rsidR="002A7B50">
        <w:t>total</w:t>
      </w:r>
      <w:r>
        <w:t xml:space="preserve"> of</w:t>
      </w:r>
      <w:r w:rsidR="002A7B50">
        <w:t xml:space="preserve"> </w:t>
      </w:r>
      <w:r w:rsidR="00753E55">
        <w:t xml:space="preserve">57 </w:t>
      </w:r>
      <w:r w:rsidR="002A7B50">
        <w:t xml:space="preserve">breaches were </w:t>
      </w:r>
      <w:r>
        <w:t xml:space="preserve">discovered </w:t>
      </w:r>
      <w:r w:rsidR="002A7B50">
        <w:t>in relation to:</w:t>
      </w:r>
    </w:p>
    <w:p w14:paraId="0875B7A8" w14:textId="77777777" w:rsidR="00101B35" w:rsidRDefault="00101B35" w:rsidP="00E41B29">
      <w:pPr>
        <w:pStyle w:val="Bullet"/>
      </w:pPr>
      <w:r>
        <w:t>allowances (22)</w:t>
      </w:r>
    </w:p>
    <w:p w14:paraId="58A43723" w14:textId="77777777" w:rsidR="00101B35" w:rsidRDefault="00101B35" w:rsidP="00E41B29">
      <w:pPr>
        <w:pStyle w:val="Bullet"/>
      </w:pPr>
      <w:r>
        <w:t>classifications (17)</w:t>
      </w:r>
    </w:p>
    <w:p w14:paraId="1E6590B3" w14:textId="0CFD7853" w:rsidR="002A7B50" w:rsidRDefault="002A7B50" w:rsidP="00E41B29">
      <w:pPr>
        <w:pStyle w:val="Bullet"/>
      </w:pPr>
      <w:r>
        <w:t>time and wage</w:t>
      </w:r>
      <w:r w:rsidR="00F43561">
        <w:t>s</w:t>
      </w:r>
      <w:r>
        <w:t xml:space="preserve"> records (10)</w:t>
      </w:r>
    </w:p>
    <w:p w14:paraId="33B829DA" w14:textId="7E0D72C0" w:rsidR="00101B35" w:rsidRDefault="00F43561" w:rsidP="00E41B29">
      <w:pPr>
        <w:pStyle w:val="Bullet"/>
      </w:pPr>
      <w:r>
        <w:t>penalties and</w:t>
      </w:r>
      <w:r w:rsidR="00101B35">
        <w:t xml:space="preserve"> weekend rates (5)</w:t>
      </w:r>
    </w:p>
    <w:p w14:paraId="23E195BB" w14:textId="19FFAE7F" w:rsidR="00101B35" w:rsidRDefault="00101B35" w:rsidP="00E41B29">
      <w:pPr>
        <w:pStyle w:val="Bullet"/>
      </w:pPr>
      <w:r>
        <w:t>overall non-compliance - stores did not provide enough information to assess (4)</w:t>
      </w:r>
    </w:p>
    <w:p w14:paraId="416B52E7" w14:textId="3C485FDF" w:rsidR="002A7B50" w:rsidRDefault="002A7B50" w:rsidP="00E41B29">
      <w:pPr>
        <w:pStyle w:val="Bullet"/>
      </w:pPr>
      <w:proofErr w:type="gramStart"/>
      <w:r>
        <w:t>pay</w:t>
      </w:r>
      <w:proofErr w:type="gramEnd"/>
      <w:r w:rsidR="00F43561">
        <w:t xml:space="preserve"> </w:t>
      </w:r>
      <w:r>
        <w:t>slips (3)</w:t>
      </w:r>
      <w:r w:rsidR="00101B35">
        <w:t>.</w:t>
      </w:r>
    </w:p>
    <w:p w14:paraId="104549EB" w14:textId="5ACCA727" w:rsidR="002A7B50" w:rsidRDefault="002A7B50" w:rsidP="002A7B50">
      <w:r>
        <w:t xml:space="preserve">The audit uncovered 152 employees </w:t>
      </w:r>
      <w:r w:rsidR="00101B35">
        <w:t xml:space="preserve">who had been </w:t>
      </w:r>
      <w:r>
        <w:t xml:space="preserve">underpaid a total of </w:t>
      </w:r>
      <w:r w:rsidR="00101B35">
        <w:t>$4,</w:t>
      </w:r>
      <w:r>
        <w:t xml:space="preserve">244.75. </w:t>
      </w:r>
      <w:r w:rsidR="00101B35">
        <w:t xml:space="preserve">Individual </w:t>
      </w:r>
      <w:r>
        <w:t>underpayment</w:t>
      </w:r>
      <w:r w:rsidR="00FB7485">
        <w:t xml:space="preserve">s ranged from </w:t>
      </w:r>
      <w:r>
        <w:t xml:space="preserve">$5.75 </w:t>
      </w:r>
      <w:r w:rsidR="00FB7485">
        <w:t xml:space="preserve">to </w:t>
      </w:r>
      <w:r>
        <w:t>$611.09</w:t>
      </w:r>
      <w:r w:rsidR="00FB7485">
        <w:t>.</w:t>
      </w:r>
      <w:r>
        <w:t xml:space="preserve"> </w:t>
      </w:r>
      <w:r w:rsidR="00FB7485">
        <w:t>A</w:t>
      </w:r>
      <w:r>
        <w:t xml:space="preserve">ll monies were </w:t>
      </w:r>
      <w:r w:rsidR="00FB7485">
        <w:t>reimbursed</w:t>
      </w:r>
      <w:r>
        <w:t>.</w:t>
      </w:r>
    </w:p>
    <w:p w14:paraId="1F0249BA" w14:textId="260513D1" w:rsidR="00E1185A" w:rsidRDefault="00FB7485" w:rsidP="00E41B29">
      <w:pPr>
        <w:rPr>
          <w:b/>
          <w:color w:val="1B365D"/>
          <w:sz w:val="32"/>
        </w:rPr>
      </w:pPr>
      <w:proofErr w:type="spellStart"/>
      <w:r>
        <w:t>Foodco</w:t>
      </w:r>
      <w:proofErr w:type="spellEnd"/>
      <w:r>
        <w:t xml:space="preserve"> </w:t>
      </w:r>
      <w:r w:rsidR="002A7B50">
        <w:t>advised that all ot</w:t>
      </w:r>
      <w:r w:rsidR="002A7B50" w:rsidRPr="00F80A80">
        <w:t xml:space="preserve">her </w:t>
      </w:r>
      <w:r w:rsidR="00893D43" w:rsidRPr="00F80A80">
        <w:t xml:space="preserve">non-monetary </w:t>
      </w:r>
      <w:r w:rsidR="002A7B50" w:rsidRPr="00F80A80">
        <w:t xml:space="preserve">matters </w:t>
      </w:r>
      <w:r>
        <w:t xml:space="preserve">were </w:t>
      </w:r>
      <w:r w:rsidR="002A7B50">
        <w:t xml:space="preserve">addressed through </w:t>
      </w:r>
      <w:r>
        <w:t>communications, education and assistance to rectify issues.</w:t>
      </w:r>
      <w:bookmarkStart w:id="17" w:name="_Toc525655526"/>
      <w:bookmarkStart w:id="18" w:name="_Toc527985001"/>
      <w:bookmarkStart w:id="19" w:name="_Toc534799286"/>
    </w:p>
    <w:p w14:paraId="51C3DED0" w14:textId="49A37668" w:rsidR="002A7B50" w:rsidRPr="0022190E" w:rsidRDefault="002A7B50" w:rsidP="002A7B50">
      <w:pPr>
        <w:pStyle w:val="Heading2"/>
      </w:pPr>
      <w:r w:rsidRPr="0022190E">
        <w:t>Report</w:t>
      </w:r>
      <w:r>
        <w:t>ing to the FWO</w:t>
      </w:r>
      <w:bookmarkEnd w:id="17"/>
      <w:bookmarkEnd w:id="18"/>
      <w:bookmarkEnd w:id="19"/>
    </w:p>
    <w:p w14:paraId="7139FD7A" w14:textId="381DB6AE" w:rsidR="002A7B50" w:rsidRPr="008566C5" w:rsidRDefault="002A7B50" w:rsidP="00CF645D">
      <w:pPr>
        <w:spacing w:before="120" w:after="0"/>
      </w:pPr>
      <w:r w:rsidRPr="008566C5">
        <w:t xml:space="preserve">In addition to reporting on hotline </w:t>
      </w:r>
      <w:r>
        <w:t>e</w:t>
      </w:r>
      <w:r w:rsidRPr="008566C5">
        <w:t xml:space="preserve">nquiries and audits, </w:t>
      </w:r>
      <w:proofErr w:type="spellStart"/>
      <w:r>
        <w:t>Foodco</w:t>
      </w:r>
      <w:proofErr w:type="spellEnd"/>
      <w:r>
        <w:t xml:space="preserve"> provided two </w:t>
      </w:r>
      <w:r w:rsidRPr="008566C5">
        <w:t xml:space="preserve">annual progress reports to </w:t>
      </w:r>
      <w:r>
        <w:t xml:space="preserve">the </w:t>
      </w:r>
      <w:r w:rsidRPr="008566C5">
        <w:t>FWO</w:t>
      </w:r>
      <w:r w:rsidR="00FB7485">
        <w:t xml:space="preserve"> (</w:t>
      </w:r>
      <w:r>
        <w:t>clause 22</w:t>
      </w:r>
      <w:r w:rsidR="00FB7485">
        <w:t>). They described</w:t>
      </w:r>
      <w:r w:rsidR="00F43561">
        <w:t>:</w:t>
      </w:r>
    </w:p>
    <w:p w14:paraId="58BE1799" w14:textId="5B39AEC7" w:rsidR="002A7B50" w:rsidRPr="008566C5" w:rsidRDefault="002A7B50" w:rsidP="00E41B29">
      <w:pPr>
        <w:pStyle w:val="Bullet"/>
      </w:pPr>
      <w:r w:rsidRPr="008566C5">
        <w:t>actions taken to address the requirements of the deed</w:t>
      </w:r>
    </w:p>
    <w:p w14:paraId="0F9C202D" w14:textId="23285F1D" w:rsidR="002A7B50" w:rsidRPr="008566C5" w:rsidRDefault="002A7B50" w:rsidP="00E41B29">
      <w:pPr>
        <w:pStyle w:val="Bullet"/>
      </w:pPr>
      <w:r w:rsidRPr="008566C5">
        <w:t xml:space="preserve">outcomes of requests for assistance referred by </w:t>
      </w:r>
      <w:r>
        <w:t xml:space="preserve">the </w:t>
      </w:r>
      <w:r w:rsidRPr="008566C5">
        <w:t>F</w:t>
      </w:r>
      <w:r w:rsidR="00F43561">
        <w:t>WO</w:t>
      </w:r>
    </w:p>
    <w:p w14:paraId="738B1EC8" w14:textId="3D0B2828" w:rsidR="002A7B50" w:rsidRPr="008566C5" w:rsidRDefault="00FB7485" w:rsidP="00E41B29">
      <w:pPr>
        <w:pStyle w:val="Bullet"/>
      </w:pPr>
      <w:r>
        <w:t xml:space="preserve">a </w:t>
      </w:r>
      <w:r w:rsidR="002A7B50" w:rsidRPr="008566C5">
        <w:t>review of systems and processes and their effectiveness in promoting compliance</w:t>
      </w:r>
    </w:p>
    <w:p w14:paraId="3B28E6F4" w14:textId="5084868A" w:rsidR="002A7B50" w:rsidRPr="008566C5" w:rsidRDefault="002A7B50" w:rsidP="00E41B29">
      <w:pPr>
        <w:pStyle w:val="Bullet"/>
      </w:pPr>
      <w:r w:rsidRPr="008566C5">
        <w:t xml:space="preserve">workplace relations issues encountered in the first year and </w:t>
      </w:r>
      <w:proofErr w:type="spellStart"/>
      <w:r w:rsidR="00FB7485">
        <w:t>Foodco’s</w:t>
      </w:r>
      <w:proofErr w:type="spellEnd"/>
      <w:r w:rsidR="00FB7485">
        <w:t xml:space="preserve"> response</w:t>
      </w:r>
    </w:p>
    <w:p w14:paraId="2B30E1B4" w14:textId="5EC30A3F" w:rsidR="002A7B50" w:rsidRDefault="002A7B50" w:rsidP="00E41B29">
      <w:pPr>
        <w:pStyle w:val="Bullet"/>
      </w:pPr>
      <w:r w:rsidRPr="008566C5">
        <w:t>workplace relations training undertaken</w:t>
      </w:r>
    </w:p>
    <w:p w14:paraId="0D4F7FAD" w14:textId="7E575BA3" w:rsidR="002A7B50" w:rsidRPr="008566C5" w:rsidRDefault="00F43561" w:rsidP="00E41B29">
      <w:pPr>
        <w:pStyle w:val="Bullet"/>
      </w:pPr>
      <w:r>
        <w:t>audit outcomes</w:t>
      </w:r>
    </w:p>
    <w:p w14:paraId="3DE1B5B0" w14:textId="5BA3B0AC" w:rsidR="002A7B50" w:rsidRDefault="002A7B50" w:rsidP="00E41B29">
      <w:pPr>
        <w:pStyle w:val="Bullet"/>
      </w:pPr>
      <w:proofErr w:type="gramStart"/>
      <w:r w:rsidRPr="008566C5">
        <w:lastRenderedPageBreak/>
        <w:t>benefits</w:t>
      </w:r>
      <w:proofErr w:type="gramEnd"/>
      <w:r w:rsidRPr="008566C5">
        <w:t xml:space="preserve"> or learnings from the compliance partnership.</w:t>
      </w:r>
    </w:p>
    <w:sectPr w:rsidR="002A7B50" w:rsidSect="00307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225" w:bottom="993" w:left="1321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232BB" w14:textId="77777777" w:rsidR="00174505" w:rsidRDefault="00174505" w:rsidP="00AB465A">
      <w:pPr>
        <w:spacing w:after="0" w:line="240" w:lineRule="auto"/>
      </w:pPr>
      <w:r>
        <w:separator/>
      </w:r>
    </w:p>
  </w:endnote>
  <w:endnote w:type="continuationSeparator" w:id="0">
    <w:p w14:paraId="441C991B" w14:textId="77777777" w:rsidR="00174505" w:rsidRDefault="00174505" w:rsidP="00AB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89BAA" w14:textId="77777777" w:rsidR="00CD0CA0" w:rsidRDefault="00CD0C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75F44" w14:textId="7827C943" w:rsidR="00CD0CA0" w:rsidRDefault="00CD0CA0" w:rsidP="002A7B50">
    <w:pPr>
      <w:pStyle w:val="Header"/>
    </w:pPr>
  </w:p>
  <w:sdt>
    <w:sdtPr>
      <w:id w:val="-761065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F44AC9" w14:textId="155276F9" w:rsidR="00FD3A85" w:rsidRDefault="0030778E" w:rsidP="002A7B50">
        <w:pPr>
          <w:pStyle w:val="Header"/>
          <w:rPr>
            <w:noProof/>
          </w:rPr>
        </w:pPr>
        <w:r w:rsidRPr="002A65CC">
          <w:rPr>
            <w:rFonts w:ascii="Arial" w:hAnsi="Arial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53C6F125" wp14:editId="7899EC2E">
                  <wp:simplePos x="0" y="0"/>
                  <wp:positionH relativeFrom="margin">
                    <wp:align>left</wp:align>
                  </wp:positionH>
                  <wp:positionV relativeFrom="page">
                    <wp:posOffset>10092055</wp:posOffset>
                  </wp:positionV>
                  <wp:extent cx="3369945" cy="0"/>
                  <wp:effectExtent l="0" t="0" r="2095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B81C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F7332DD" id="Straight Connector 2" o:spid="_x0000_s1026" style="position:absolute;z-index:2516766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94.65pt" to="265.35pt,7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" strokecolor="#ffb81c" strokeweight="1pt">
                  <w10:wrap anchorx="margin" anchory="page"/>
                </v:line>
              </w:pict>
            </mc:Fallback>
          </mc:AlternateContent>
        </w:r>
        <w:r w:rsidR="00FD3A85" w:rsidRPr="002A65CC">
          <w:rPr>
            <w:rFonts w:cstheme="minorHAnsi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72576" behindDoc="1" locked="0" layoutInCell="1" allowOverlap="1" wp14:anchorId="06798245" wp14:editId="34A61B81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82" name="Right Triangle 8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5ABF7E04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82" o:spid="_x0000_s1026" type="#_x0000_t6" style="position:absolute;margin-left:525.85pt;margin-top:771.15pt;width:69.45pt;height:69.45pt;flip:x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  <w:r w:rsidR="00FD3A85" w:rsidRPr="002A65CC">
          <w:rPr>
            <w:rFonts w:cstheme="minorHAnsi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75648" behindDoc="1" locked="0" layoutInCell="1" allowOverlap="1" wp14:anchorId="24B32580" wp14:editId="07B25813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3" name="Right Tri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1E06FA5E" id="Right Triangle 3" o:spid="_x0000_s1026" type="#_x0000_t6" style="position:absolute;margin-left:525.85pt;margin-top:771.15pt;width:69.45pt;height:69.45pt;flip:x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  <w:proofErr w:type="spellStart"/>
        <w:r w:rsidR="00FD3A85">
          <w:rPr>
            <w:color w:val="1B365D"/>
            <w:sz w:val="20"/>
            <w:szCs w:val="20"/>
          </w:rPr>
          <w:t>Foodco</w:t>
        </w:r>
        <w:proofErr w:type="spellEnd"/>
        <w:r w:rsidR="00FD3A85">
          <w:rPr>
            <w:color w:val="1B365D"/>
            <w:sz w:val="20"/>
            <w:szCs w:val="20"/>
          </w:rPr>
          <w:t xml:space="preserve"> Group Pty Ltd compliance partnership: final r</w:t>
        </w:r>
        <w:r w:rsidR="00FD3A85" w:rsidRPr="002A65CC">
          <w:rPr>
            <w:color w:val="1B365D"/>
            <w:sz w:val="20"/>
            <w:szCs w:val="20"/>
          </w:rPr>
          <w:t>eport</w:t>
        </w:r>
        <w:r w:rsidR="00FD3A85">
          <w:rPr>
            <w:color w:val="1B365D"/>
            <w:sz w:val="20"/>
            <w:szCs w:val="20"/>
          </w:rPr>
          <w:tab/>
        </w:r>
        <w:r w:rsidR="00FD3A85">
          <w:fldChar w:fldCharType="begin"/>
        </w:r>
        <w:r w:rsidR="00FD3A85">
          <w:instrText xml:space="preserve"> PAGE   \* MERGEFORMAT </w:instrText>
        </w:r>
        <w:r w:rsidR="00FD3A85">
          <w:fldChar w:fldCharType="separate"/>
        </w:r>
        <w:r w:rsidR="00D65192">
          <w:rPr>
            <w:noProof/>
          </w:rPr>
          <w:t>7</w:t>
        </w:r>
        <w:r w:rsidR="00FD3A85">
          <w:rPr>
            <w:noProof/>
          </w:rPr>
          <w:fldChar w:fldCharType="end"/>
        </w:r>
      </w:p>
      <w:p w14:paraId="32F8B8B3" w14:textId="77777777" w:rsidR="00FD3A85" w:rsidRPr="00DA1AD1" w:rsidRDefault="00174505" w:rsidP="00DA1AD1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45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3D8EDB" w14:textId="3BFCA5F1" w:rsidR="00FD3A85" w:rsidRPr="00DA1AD1" w:rsidRDefault="00FD3A85" w:rsidP="00DA1AD1">
        <w:pPr>
          <w:pStyle w:val="Header"/>
        </w:pPr>
        <w:r w:rsidRPr="002A65CC">
          <w:rPr>
            <w:rFonts w:ascii="Arial" w:hAnsi="Arial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42619473" wp14:editId="2C924875">
                  <wp:simplePos x="0" y="0"/>
                  <wp:positionH relativeFrom="margin">
                    <wp:posOffset>0</wp:posOffset>
                  </wp:positionH>
                  <wp:positionV relativeFrom="page">
                    <wp:posOffset>9949342</wp:posOffset>
                  </wp:positionV>
                  <wp:extent cx="3369945" cy="0"/>
                  <wp:effectExtent l="0" t="0" r="20955" b="19050"/>
                  <wp:wrapNone/>
                  <wp:docPr id="39" name="Straight Connector 3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37E8CFD" id="Straight Connector 3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" strokecolor="#ffb81c" strokeweight="1pt">
                  <w10:wrap anchorx="margin" anchory="page"/>
                </v:line>
              </w:pict>
            </mc:Fallback>
          </mc:AlternateContent>
        </w:r>
        <w:r w:rsidRPr="002A65CC">
          <w:rPr>
            <w:rFonts w:cstheme="minorHAnsi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69504" behindDoc="1" locked="0" layoutInCell="1" allowOverlap="1" wp14:anchorId="026A448E" wp14:editId="41D4B2CF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40" name="Right Triangle 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1FFB2B1C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40" o:spid="_x0000_s1026" type="#_x0000_t6" style="position:absolute;margin-left:525.85pt;margin-top:771.15pt;width:69.45pt;height:69.45pt;flip:x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  <w:proofErr w:type="spellStart"/>
        <w:r>
          <w:rPr>
            <w:color w:val="1B365D"/>
            <w:sz w:val="20"/>
            <w:szCs w:val="20"/>
          </w:rPr>
          <w:t>Foodco</w:t>
        </w:r>
        <w:proofErr w:type="spellEnd"/>
        <w:r>
          <w:rPr>
            <w:color w:val="1B365D"/>
            <w:sz w:val="20"/>
            <w:szCs w:val="20"/>
          </w:rPr>
          <w:t xml:space="preserve"> Group Pty Ltd compliance partnership: final r</w:t>
        </w:r>
        <w:r w:rsidRPr="002A65CC">
          <w:rPr>
            <w:color w:val="1B365D"/>
            <w:sz w:val="20"/>
            <w:szCs w:val="20"/>
          </w:rPr>
          <w:t>eport</w:t>
        </w:r>
      </w:p>
      <w:p w14:paraId="7125FEB5" w14:textId="143E289B" w:rsidR="00FD3A85" w:rsidRDefault="00FD3A85" w:rsidP="00DA1AD1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192">
          <w:rPr>
            <w:noProof/>
          </w:rPr>
          <w:t>1</w:t>
        </w:r>
        <w:r>
          <w:rPr>
            <w:noProof/>
          </w:rPr>
          <w:fldChar w:fldCharType="end"/>
        </w:r>
      </w:p>
      <w:p w14:paraId="419E5A46" w14:textId="77777777" w:rsidR="00FD3A85" w:rsidRPr="00DA1AD1" w:rsidRDefault="00174505" w:rsidP="00DA1AD1">
        <w:pPr>
          <w:pStyle w:val="Footer"/>
          <w:jc w:val="right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5A4DA" w14:textId="77777777" w:rsidR="00174505" w:rsidRDefault="00174505" w:rsidP="00AB465A">
      <w:pPr>
        <w:spacing w:after="0" w:line="240" w:lineRule="auto"/>
      </w:pPr>
      <w:r>
        <w:separator/>
      </w:r>
    </w:p>
  </w:footnote>
  <w:footnote w:type="continuationSeparator" w:id="0">
    <w:p w14:paraId="66A3C8BC" w14:textId="77777777" w:rsidR="00174505" w:rsidRDefault="00174505" w:rsidP="00AB465A">
      <w:pPr>
        <w:spacing w:after="0" w:line="240" w:lineRule="auto"/>
      </w:pPr>
      <w:r>
        <w:continuationSeparator/>
      </w:r>
    </w:p>
  </w:footnote>
  <w:footnote w:id="1">
    <w:p w14:paraId="2043DA25" w14:textId="77777777" w:rsidR="00552707" w:rsidRDefault="00552707" w:rsidP="00E41B29">
      <w:pPr>
        <w:pStyle w:val="FootnoteText"/>
        <w:spacing w:before="0" w:line="240" w:lineRule="auto"/>
      </w:pPr>
      <w:r w:rsidRPr="00E41B29">
        <w:rPr>
          <w:rStyle w:val="FootnoteReference"/>
          <w:rFonts w:eastAsiaTheme="majorEastAsia"/>
          <w:sz w:val="16"/>
          <w:szCs w:val="16"/>
        </w:rPr>
        <w:footnoteRef/>
      </w:r>
      <w:r w:rsidRPr="00E41B29">
        <w:rPr>
          <w:rStyle w:val="FootnoteReference"/>
          <w:rFonts w:eastAsiaTheme="majorEastAsia"/>
          <w:sz w:val="16"/>
          <w:szCs w:val="16"/>
        </w:rPr>
        <w:t xml:space="preserve"> </w:t>
      </w:r>
      <w:r w:rsidRPr="00552707">
        <w:rPr>
          <w:rFonts w:asciiTheme="minorHAnsi" w:hAnsiTheme="minorHAnsi"/>
          <w:sz w:val="18"/>
          <w:szCs w:val="18"/>
        </w:rPr>
        <w:t xml:space="preserve">FWO media release: </w:t>
      </w:r>
      <w:r w:rsidRPr="00552707">
        <w:rPr>
          <w:rStyle w:val="Hyperlink"/>
          <w:rFonts w:asciiTheme="minorHAnsi" w:hAnsiTheme="minorHAnsi"/>
          <w:sz w:val="18"/>
        </w:rPr>
        <w:t>https://www.fairwork.gov.au/about-us/news-and-media-releases/archived-media-releases/2016-media-releases/november-2016/20161103-muffin-break-franchisee-media-release</w:t>
      </w:r>
    </w:p>
  </w:footnote>
  <w:footnote w:id="2">
    <w:p w14:paraId="1E5D4A1A" w14:textId="1D6C4A1C" w:rsidR="00FD3A85" w:rsidRDefault="00FD3A85" w:rsidP="00E41B29">
      <w:pPr>
        <w:pStyle w:val="FootnoteText"/>
        <w:spacing w:before="0" w:line="240" w:lineRule="auto"/>
        <w:rPr>
          <w:rFonts w:asciiTheme="minorHAnsi" w:hAnsiTheme="minorHAnsi"/>
          <w:sz w:val="18"/>
          <w:szCs w:val="18"/>
        </w:rPr>
      </w:pPr>
      <w:r>
        <w:rPr>
          <w:rStyle w:val="FootnoteReference"/>
          <w:rFonts w:eastAsiaTheme="majorEastAsi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="00552707" w:rsidRPr="00552707">
        <w:rPr>
          <w:rFonts w:asciiTheme="minorHAnsi" w:hAnsiTheme="minorHAnsi"/>
          <w:sz w:val="18"/>
          <w:szCs w:val="18"/>
        </w:rPr>
        <w:t>FWO media release</w:t>
      </w:r>
      <w:r w:rsidR="00552707">
        <w:rPr>
          <w:rFonts w:asciiTheme="minorHAnsi" w:hAnsiTheme="minorHAnsi"/>
          <w:sz w:val="18"/>
          <w:szCs w:val="18"/>
        </w:rPr>
        <w:t xml:space="preserve"> and link to PCD</w:t>
      </w:r>
      <w:r w:rsidRPr="00552707">
        <w:rPr>
          <w:rFonts w:asciiTheme="minorHAnsi" w:hAnsiTheme="minorHAnsi"/>
          <w:sz w:val="18"/>
          <w:szCs w:val="18"/>
        </w:rPr>
        <w:t xml:space="preserve">: </w:t>
      </w:r>
      <w:hyperlink r:id="rId1" w:history="1">
        <w:r w:rsidRPr="00552707">
          <w:rPr>
            <w:rStyle w:val="Hyperlink"/>
            <w:rFonts w:asciiTheme="minorHAnsi" w:hAnsiTheme="minorHAnsi"/>
            <w:sz w:val="18"/>
            <w:szCs w:val="18"/>
          </w:rPr>
          <w:t>https://www.fairwork.gov.au/about-us/news-and-media-releases/2017-media-releases/march-2017/20170313-foodco-pcd-mr</w:t>
        </w:r>
      </w:hyperlink>
      <w:r w:rsidRPr="00552707">
        <w:rPr>
          <w:rFonts w:asciiTheme="minorHAnsi" w:hAnsiTheme="minorHAnsi"/>
          <w:sz w:val="18"/>
          <w:szCs w:val="18"/>
        </w:rPr>
        <w:t xml:space="preserve"> </w:t>
      </w:r>
    </w:p>
    <w:p w14:paraId="5E63C6BF" w14:textId="77777777" w:rsidR="00CF2317" w:rsidRDefault="00CF2317" w:rsidP="00E41B29">
      <w:pPr>
        <w:pStyle w:val="FootnoteText"/>
        <w:spacing w:before="0" w:line="240" w:lineRule="auto"/>
        <w:rPr>
          <w:sz w:val="16"/>
          <w:szCs w:val="16"/>
        </w:rPr>
      </w:pPr>
    </w:p>
  </w:footnote>
  <w:footnote w:id="3">
    <w:p w14:paraId="56313A61" w14:textId="10BCB9C6" w:rsidR="0022582D" w:rsidRDefault="0022582D" w:rsidP="00E41B29">
      <w:pPr>
        <w:pStyle w:val="FootnoteText"/>
        <w:spacing w:before="0" w:line="240" w:lineRule="auto"/>
      </w:pPr>
      <w:r w:rsidRPr="00E41B29">
        <w:rPr>
          <w:rStyle w:val="FootnoteReference"/>
          <w:rFonts w:eastAsiaTheme="majorEastAsia"/>
          <w:sz w:val="16"/>
          <w:szCs w:val="16"/>
        </w:rPr>
        <w:footnoteRef/>
      </w:r>
      <w:r w:rsidRPr="00E41B29">
        <w:rPr>
          <w:rStyle w:val="FootnoteReference"/>
          <w:rFonts w:eastAsiaTheme="majorEastAsia"/>
          <w:sz w:val="16"/>
          <w:szCs w:val="16"/>
        </w:rPr>
        <w:t xml:space="preserve"> </w:t>
      </w:r>
      <w:r w:rsidRPr="00CF645D">
        <w:rPr>
          <w:rFonts w:asciiTheme="minorHAnsi" w:hAnsiTheme="minorHAnsi" w:cstheme="minorHAnsi"/>
          <w:sz w:val="18"/>
          <w:szCs w:val="18"/>
        </w:rPr>
        <w:t>See Franchisee training – CORE for more information below</w:t>
      </w:r>
    </w:p>
  </w:footnote>
  <w:footnote w:id="4">
    <w:p w14:paraId="3C17F21E" w14:textId="77777777" w:rsidR="00FD3A85" w:rsidRPr="00492FCE" w:rsidRDefault="00FD3A85" w:rsidP="00E41B29">
      <w:pPr>
        <w:pStyle w:val="FootnoteText"/>
        <w:spacing w:before="0" w:line="240" w:lineRule="auto"/>
        <w:rPr>
          <w:rFonts w:asciiTheme="minorHAnsi" w:hAnsiTheme="minorHAnsi"/>
          <w:sz w:val="18"/>
          <w:szCs w:val="18"/>
        </w:rPr>
      </w:pPr>
      <w:r w:rsidRPr="00E41B29">
        <w:rPr>
          <w:rStyle w:val="FootnoteReference"/>
          <w:rFonts w:eastAsiaTheme="majorEastAsia"/>
          <w:sz w:val="16"/>
          <w:szCs w:val="16"/>
        </w:rPr>
        <w:footnoteRef/>
      </w:r>
      <w:r w:rsidRPr="00E41B29">
        <w:rPr>
          <w:rStyle w:val="FootnoteReference"/>
          <w:rFonts w:eastAsiaTheme="majorEastAsia"/>
          <w:sz w:val="16"/>
          <w:szCs w:val="16"/>
        </w:rPr>
        <w:t xml:space="preserve"> </w:t>
      </w:r>
      <w:r w:rsidRPr="00492FCE">
        <w:rPr>
          <w:rFonts w:asciiTheme="minorHAnsi" w:hAnsiTheme="minorHAnsi"/>
          <w:sz w:val="18"/>
          <w:szCs w:val="18"/>
        </w:rPr>
        <w:t xml:space="preserve">See: </w:t>
      </w:r>
      <w:hyperlink r:id="rId2" w:history="1">
        <w:r w:rsidRPr="00492FCE">
          <w:rPr>
            <w:rStyle w:val="Hyperlink"/>
            <w:rFonts w:asciiTheme="minorHAnsi" w:hAnsiTheme="minorHAnsi"/>
            <w:sz w:val="18"/>
            <w:szCs w:val="18"/>
          </w:rPr>
          <w:t>https://www.fairwork.gov.au/how-we-will-help/templates-and-guides/best-practice-guides/an-employers-guide-to-employing-young-workers</w:t>
        </w:r>
      </w:hyperlink>
      <w:r w:rsidRPr="00492FCE">
        <w:rPr>
          <w:rFonts w:asciiTheme="minorHAnsi" w:hAnsiTheme="minorHAnsi"/>
          <w:sz w:val="18"/>
          <w:szCs w:val="18"/>
        </w:rPr>
        <w:t xml:space="preserve"> </w:t>
      </w:r>
    </w:p>
  </w:footnote>
  <w:footnote w:id="5">
    <w:p w14:paraId="7DB03BFE" w14:textId="77777777" w:rsidR="00FD3A85" w:rsidRDefault="00FD3A85" w:rsidP="00E41B29">
      <w:pPr>
        <w:pStyle w:val="FootnoteText"/>
        <w:spacing w:before="0" w:line="240" w:lineRule="auto"/>
      </w:pPr>
      <w:r w:rsidRPr="00492FCE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492FCE">
        <w:rPr>
          <w:rFonts w:asciiTheme="minorHAnsi" w:hAnsiTheme="minorHAnsi"/>
          <w:sz w:val="18"/>
          <w:szCs w:val="18"/>
        </w:rPr>
        <w:t xml:space="preserve"> See: </w:t>
      </w:r>
      <w:hyperlink r:id="rId3" w:history="1">
        <w:r w:rsidRPr="00492FCE">
          <w:rPr>
            <w:rStyle w:val="Hyperlink"/>
            <w:rFonts w:asciiTheme="minorHAnsi" w:hAnsiTheme="minorHAnsi"/>
            <w:sz w:val="18"/>
            <w:szCs w:val="18"/>
          </w:rPr>
          <w:t>https://immi.homeaffairs.gov.au/visas/already-have-a-visa/check-visa-details-and-conditions/check-conditions-online/visa-holders</w:t>
        </w:r>
      </w:hyperlink>
      <w:r>
        <w:t xml:space="preserve"> </w:t>
      </w:r>
    </w:p>
  </w:footnote>
  <w:footnote w:id="6">
    <w:p w14:paraId="2868E56A" w14:textId="77777777" w:rsidR="00FD3A85" w:rsidRPr="00CF25BA" w:rsidRDefault="00FD3A85" w:rsidP="004E18B6">
      <w:pPr>
        <w:pStyle w:val="FootnoteText"/>
        <w:spacing w:before="0" w:line="240" w:lineRule="auto"/>
        <w:rPr>
          <w:rFonts w:asciiTheme="minorHAnsi" w:hAnsiTheme="minorHAnsi"/>
          <w:sz w:val="18"/>
          <w:szCs w:val="18"/>
        </w:rPr>
      </w:pPr>
      <w:r w:rsidRPr="00CF25BA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CF25BA">
        <w:rPr>
          <w:rFonts w:asciiTheme="minorHAnsi" w:hAnsiTheme="minorHAnsi"/>
          <w:sz w:val="18"/>
          <w:szCs w:val="18"/>
        </w:rPr>
        <w:t xml:space="preserve"> See: </w:t>
      </w:r>
      <w:hyperlink r:id="rId4" w:history="1">
        <w:r w:rsidRPr="00CF25BA">
          <w:rPr>
            <w:rStyle w:val="Hyperlink"/>
            <w:rFonts w:asciiTheme="minorHAnsi" w:hAnsiTheme="minorHAnsi"/>
            <w:sz w:val="18"/>
            <w:szCs w:val="18"/>
          </w:rPr>
          <w:t>https://www.fairwork.gov.au/about-us/legislation/the-fair-work-system/protecting-vulnerable-workers-reform</w:t>
        </w:r>
      </w:hyperlink>
      <w:r w:rsidRPr="00CF25BA">
        <w:rPr>
          <w:rFonts w:asciiTheme="minorHAnsi" w:hAnsiTheme="minorHAnsi"/>
          <w:sz w:val="18"/>
          <w:szCs w:val="18"/>
        </w:rPr>
        <w:t xml:space="preserve"> </w:t>
      </w:r>
    </w:p>
  </w:footnote>
  <w:footnote w:id="7">
    <w:p w14:paraId="1B5B463F" w14:textId="77777777" w:rsidR="00FD3A85" w:rsidRPr="00CF25BA" w:rsidRDefault="00FD3A85" w:rsidP="004E18B6">
      <w:pPr>
        <w:pStyle w:val="FootnoteText"/>
        <w:spacing w:before="0" w:line="240" w:lineRule="auto"/>
        <w:rPr>
          <w:rFonts w:asciiTheme="minorHAnsi" w:hAnsiTheme="minorHAnsi"/>
          <w:sz w:val="18"/>
          <w:szCs w:val="18"/>
        </w:rPr>
      </w:pPr>
      <w:r w:rsidRPr="00CF25BA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CF25BA">
        <w:rPr>
          <w:rFonts w:asciiTheme="minorHAnsi" w:hAnsiTheme="minorHAnsi"/>
          <w:sz w:val="18"/>
          <w:szCs w:val="18"/>
        </w:rPr>
        <w:t xml:space="preserve"> See: </w:t>
      </w:r>
      <w:hyperlink r:id="rId5" w:history="1">
        <w:r w:rsidRPr="00CF25BA">
          <w:rPr>
            <w:rStyle w:val="Hyperlink"/>
            <w:rFonts w:asciiTheme="minorHAnsi" w:hAnsiTheme="minorHAnsi"/>
            <w:sz w:val="18"/>
            <w:szCs w:val="18"/>
          </w:rPr>
          <w:t>https://www.fairwork.gov.au/my-account/registerpage.aspx</w:t>
        </w:r>
      </w:hyperlink>
      <w:r w:rsidRPr="00CF25BA">
        <w:rPr>
          <w:rFonts w:asciiTheme="minorHAnsi" w:hAnsiTheme="minorHAnsi"/>
          <w:sz w:val="18"/>
          <w:szCs w:val="18"/>
        </w:rPr>
        <w:t xml:space="preserve"> </w:t>
      </w:r>
    </w:p>
  </w:footnote>
  <w:footnote w:id="8">
    <w:p w14:paraId="5CCA71AC" w14:textId="77777777" w:rsidR="00FD3A85" w:rsidRPr="0027026F" w:rsidRDefault="00FD3A85" w:rsidP="004E18B6">
      <w:pPr>
        <w:pStyle w:val="FootnoteText"/>
        <w:spacing w:before="0" w:line="240" w:lineRule="auto"/>
        <w:rPr>
          <w:sz w:val="18"/>
          <w:szCs w:val="18"/>
        </w:rPr>
      </w:pPr>
      <w:r w:rsidRPr="00CF25BA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CF25BA">
        <w:rPr>
          <w:rFonts w:asciiTheme="minorHAnsi" w:hAnsiTheme="minorHAnsi"/>
          <w:sz w:val="18"/>
          <w:szCs w:val="18"/>
        </w:rPr>
        <w:t xml:space="preserve"> See: </w:t>
      </w:r>
      <w:hyperlink r:id="rId6" w:history="1">
        <w:r w:rsidRPr="00CF25BA">
          <w:rPr>
            <w:rStyle w:val="Hyperlink"/>
            <w:rFonts w:asciiTheme="minorHAnsi" w:hAnsiTheme="minorHAnsi"/>
            <w:sz w:val="18"/>
            <w:szCs w:val="18"/>
          </w:rPr>
          <w:t>https://www.fairwork.gov.au/how-we-will-help/online-training</w:t>
        </w:r>
      </w:hyperlink>
      <w:r w:rsidRPr="00CF25BA">
        <w:rPr>
          <w:rFonts w:asciiTheme="minorHAnsi" w:hAnsiTheme="minorHAns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75E3A" w14:textId="77777777" w:rsidR="00CD0CA0" w:rsidRDefault="00CD0C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333A" w14:textId="77777777" w:rsidR="00CD0CA0" w:rsidRDefault="00CD0C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7718" w14:textId="77777777" w:rsidR="00FD3A85" w:rsidRPr="00583EDF" w:rsidRDefault="00FD3A85" w:rsidP="00FD3A85">
    <w:pPr>
      <w:tabs>
        <w:tab w:val="center" w:pos="4820"/>
        <w:tab w:val="right" w:pos="9639"/>
      </w:tabs>
      <w:spacing w:after="0"/>
      <w:ind w:left="-851"/>
      <w:rPr>
        <w:rFonts w:cs="HelveticaNeue-Light"/>
        <w:color w:val="000000"/>
        <w:sz w:val="32"/>
        <w:szCs w:val="44"/>
      </w:rPr>
    </w:pPr>
    <w:r>
      <w:rPr>
        <w:rFonts w:cs="HelveticaNeue-Light"/>
        <w:noProof/>
        <w:color w:val="000000"/>
        <w:sz w:val="32"/>
        <w:szCs w:val="44"/>
        <w:lang w:eastAsia="en-AU"/>
      </w:rPr>
      <w:drawing>
        <wp:anchor distT="0" distB="0" distL="114300" distR="114300" simplePos="0" relativeHeight="251660288" behindDoc="0" locked="0" layoutInCell="1" allowOverlap="1" wp14:anchorId="3D9F1D84" wp14:editId="1C3C2540">
          <wp:simplePos x="0" y="0"/>
          <wp:positionH relativeFrom="column">
            <wp:posOffset>-520065</wp:posOffset>
          </wp:positionH>
          <wp:positionV relativeFrom="page">
            <wp:posOffset>255905</wp:posOffset>
          </wp:positionV>
          <wp:extent cx="2971165" cy="541655"/>
          <wp:effectExtent l="0" t="0" r="63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HelveticaNeue-Light"/>
        <w:noProof/>
        <w:color w:val="000000"/>
        <w:sz w:val="32"/>
        <w:szCs w:val="4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6DC8FD" wp14:editId="70C46959">
              <wp:simplePos x="0" y="0"/>
              <wp:positionH relativeFrom="column">
                <wp:posOffset>-828202</wp:posOffset>
              </wp:positionH>
              <wp:positionV relativeFrom="page">
                <wp:posOffset>10160</wp:posOffset>
              </wp:positionV>
              <wp:extent cx="7548880" cy="103124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031240"/>
                      </a:xfrm>
                      <a:prstGeom prst="rect">
                        <a:avLst/>
                      </a:prstGeom>
                      <a:solidFill>
                        <a:srgbClr val="1B36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6433C6" id="Rectangle 1" o:spid="_x0000_s1026" style="position:absolute;margin-left:-65.2pt;margin-top:.8pt;width:594.4pt;height:81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" fillcolor="#1b365d" stroked="f" strokeweight="2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DC1"/>
    <w:multiLevelType w:val="hybridMultilevel"/>
    <w:tmpl w:val="E2D2187E"/>
    <w:lvl w:ilvl="0" w:tplc="BA62B5C6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1273B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74EA2"/>
    <w:multiLevelType w:val="hybridMultilevel"/>
    <w:tmpl w:val="809C764E"/>
    <w:lvl w:ilvl="0" w:tplc="21E4875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D7D5F"/>
    <w:multiLevelType w:val="hybridMultilevel"/>
    <w:tmpl w:val="C25A6CE2"/>
    <w:lvl w:ilvl="0" w:tplc="BB9ABDEE">
      <w:start w:val="1"/>
      <w:numFmt w:val="bullet"/>
      <w:pStyle w:val="Bullet"/>
      <w:lvlText w:val=""/>
      <w:lvlJc w:val="left"/>
      <w:pPr>
        <w:ind w:left="1353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E71FA"/>
    <w:multiLevelType w:val="hybridMultilevel"/>
    <w:tmpl w:val="A9744A36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E83C64"/>
    <w:multiLevelType w:val="hybridMultilevel"/>
    <w:tmpl w:val="019E4F66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8A5513"/>
    <w:multiLevelType w:val="hybridMultilevel"/>
    <w:tmpl w:val="4E00EBC8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1E265D"/>
    <w:multiLevelType w:val="hybridMultilevel"/>
    <w:tmpl w:val="D28A9800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61AB2"/>
    <w:multiLevelType w:val="hybridMultilevel"/>
    <w:tmpl w:val="C28ACBAC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0B4626"/>
    <w:multiLevelType w:val="hybridMultilevel"/>
    <w:tmpl w:val="E0968528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0B3F2A"/>
    <w:multiLevelType w:val="hybridMultilevel"/>
    <w:tmpl w:val="BEFAECAA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877270"/>
    <w:multiLevelType w:val="hybridMultilevel"/>
    <w:tmpl w:val="13BA0F10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6067D5"/>
    <w:multiLevelType w:val="hybridMultilevel"/>
    <w:tmpl w:val="2A102256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F52375"/>
    <w:multiLevelType w:val="hybridMultilevel"/>
    <w:tmpl w:val="E730D7AA"/>
    <w:lvl w:ilvl="0" w:tplc="22BE39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4273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13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  <w:num w:numId="14">
    <w:abstractNumId w:val="10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BE"/>
    <w:rsid w:val="00011400"/>
    <w:rsid w:val="000151A9"/>
    <w:rsid w:val="00081C72"/>
    <w:rsid w:val="00093049"/>
    <w:rsid w:val="000C7637"/>
    <w:rsid w:val="000D46B8"/>
    <w:rsid w:val="001015F5"/>
    <w:rsid w:val="00101B35"/>
    <w:rsid w:val="00174429"/>
    <w:rsid w:val="00174505"/>
    <w:rsid w:val="0022582D"/>
    <w:rsid w:val="00232CA4"/>
    <w:rsid w:val="00261800"/>
    <w:rsid w:val="002666D5"/>
    <w:rsid w:val="0026797B"/>
    <w:rsid w:val="002A65CC"/>
    <w:rsid w:val="002A7B50"/>
    <w:rsid w:val="002C724C"/>
    <w:rsid w:val="002C755D"/>
    <w:rsid w:val="002E28E8"/>
    <w:rsid w:val="002E311C"/>
    <w:rsid w:val="002E78A5"/>
    <w:rsid w:val="003071E5"/>
    <w:rsid w:val="0030778E"/>
    <w:rsid w:val="003443DA"/>
    <w:rsid w:val="00371B68"/>
    <w:rsid w:val="003B7B16"/>
    <w:rsid w:val="003D3891"/>
    <w:rsid w:val="00424EBA"/>
    <w:rsid w:val="00450631"/>
    <w:rsid w:val="00465E7E"/>
    <w:rsid w:val="00467F98"/>
    <w:rsid w:val="00480BFB"/>
    <w:rsid w:val="00483507"/>
    <w:rsid w:val="00486F77"/>
    <w:rsid w:val="004874D2"/>
    <w:rsid w:val="00492FCE"/>
    <w:rsid w:val="004D6DF8"/>
    <w:rsid w:val="004E18B6"/>
    <w:rsid w:val="004E6331"/>
    <w:rsid w:val="004F5515"/>
    <w:rsid w:val="005261A5"/>
    <w:rsid w:val="00552707"/>
    <w:rsid w:val="005909B2"/>
    <w:rsid w:val="00631F03"/>
    <w:rsid w:val="00650B49"/>
    <w:rsid w:val="006E5776"/>
    <w:rsid w:val="00703886"/>
    <w:rsid w:val="00727206"/>
    <w:rsid w:val="00734BE0"/>
    <w:rsid w:val="007425DF"/>
    <w:rsid w:val="00753E55"/>
    <w:rsid w:val="007842FF"/>
    <w:rsid w:val="00786E3C"/>
    <w:rsid w:val="007A6811"/>
    <w:rsid w:val="007B6AC8"/>
    <w:rsid w:val="007D09F7"/>
    <w:rsid w:val="007D19A1"/>
    <w:rsid w:val="007D6227"/>
    <w:rsid w:val="007E5FAD"/>
    <w:rsid w:val="00803A9A"/>
    <w:rsid w:val="00803CE2"/>
    <w:rsid w:val="00807802"/>
    <w:rsid w:val="00840520"/>
    <w:rsid w:val="00841E98"/>
    <w:rsid w:val="00874C62"/>
    <w:rsid w:val="00893D43"/>
    <w:rsid w:val="008A0587"/>
    <w:rsid w:val="008A3D0A"/>
    <w:rsid w:val="008C4E3B"/>
    <w:rsid w:val="009470A4"/>
    <w:rsid w:val="00953F96"/>
    <w:rsid w:val="009946F6"/>
    <w:rsid w:val="00995C21"/>
    <w:rsid w:val="00995EBE"/>
    <w:rsid w:val="009B3FD1"/>
    <w:rsid w:val="009C38EC"/>
    <w:rsid w:val="009C3F75"/>
    <w:rsid w:val="00A25379"/>
    <w:rsid w:val="00A25A80"/>
    <w:rsid w:val="00A267BA"/>
    <w:rsid w:val="00A42621"/>
    <w:rsid w:val="00A83CC5"/>
    <w:rsid w:val="00A841DA"/>
    <w:rsid w:val="00A97F48"/>
    <w:rsid w:val="00AA0244"/>
    <w:rsid w:val="00AA1953"/>
    <w:rsid w:val="00AB034D"/>
    <w:rsid w:val="00AB465A"/>
    <w:rsid w:val="00AB5511"/>
    <w:rsid w:val="00B02B68"/>
    <w:rsid w:val="00B34904"/>
    <w:rsid w:val="00B478AD"/>
    <w:rsid w:val="00B56C5A"/>
    <w:rsid w:val="00BA5269"/>
    <w:rsid w:val="00BB53D7"/>
    <w:rsid w:val="00BC0303"/>
    <w:rsid w:val="00BD11B2"/>
    <w:rsid w:val="00C079AD"/>
    <w:rsid w:val="00C12702"/>
    <w:rsid w:val="00C350E2"/>
    <w:rsid w:val="00C5186A"/>
    <w:rsid w:val="00C57B6D"/>
    <w:rsid w:val="00C72594"/>
    <w:rsid w:val="00CA39F1"/>
    <w:rsid w:val="00CB5A9C"/>
    <w:rsid w:val="00CD0CA0"/>
    <w:rsid w:val="00CE48DD"/>
    <w:rsid w:val="00CE6055"/>
    <w:rsid w:val="00CF2317"/>
    <w:rsid w:val="00CF25BA"/>
    <w:rsid w:val="00CF645D"/>
    <w:rsid w:val="00D057EB"/>
    <w:rsid w:val="00D11BC7"/>
    <w:rsid w:val="00D20453"/>
    <w:rsid w:val="00D65192"/>
    <w:rsid w:val="00D861C9"/>
    <w:rsid w:val="00D95B26"/>
    <w:rsid w:val="00DA1AD1"/>
    <w:rsid w:val="00DA7095"/>
    <w:rsid w:val="00DB083C"/>
    <w:rsid w:val="00E1185A"/>
    <w:rsid w:val="00E13A01"/>
    <w:rsid w:val="00E26978"/>
    <w:rsid w:val="00E27D65"/>
    <w:rsid w:val="00E34EAB"/>
    <w:rsid w:val="00E41B29"/>
    <w:rsid w:val="00E62AC7"/>
    <w:rsid w:val="00E72D1E"/>
    <w:rsid w:val="00E80136"/>
    <w:rsid w:val="00E8785F"/>
    <w:rsid w:val="00EA6B05"/>
    <w:rsid w:val="00F210A5"/>
    <w:rsid w:val="00F43561"/>
    <w:rsid w:val="00F80A80"/>
    <w:rsid w:val="00F932FE"/>
    <w:rsid w:val="00FB7485"/>
    <w:rsid w:val="00FD3A85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C2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"/>
    <w:qFormat/>
    <w:rsid w:val="002A65CC"/>
    <w:pPr>
      <w:spacing w:after="120" w:line="360" w:lineRule="auto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65CC"/>
    <w:pPr>
      <w:keepNext/>
      <w:keepLines/>
      <w:spacing w:before="240" w:after="60" w:line="240" w:lineRule="auto"/>
      <w:outlineLvl w:val="0"/>
    </w:pPr>
    <w:rPr>
      <w:rFonts w:ascii="Calibri Light" w:hAnsi="Calibri Light"/>
      <w:color w:val="1B365D"/>
      <w:sz w:val="60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4E6331"/>
    <w:pPr>
      <w:numPr>
        <w:ilvl w:val="1"/>
      </w:numPr>
      <w:spacing w:before="180"/>
      <w:outlineLvl w:val="1"/>
    </w:pPr>
    <w:rPr>
      <w:rFonts w:asciiTheme="minorHAnsi" w:hAnsiTheme="minorHAnsi"/>
      <w:b/>
      <w:sz w:val="32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4E6331"/>
    <w:pPr>
      <w:numPr>
        <w:ilvl w:val="2"/>
      </w:numPr>
      <w:spacing w:before="120" w:after="0"/>
      <w:outlineLvl w:val="2"/>
    </w:pPr>
    <w:rPr>
      <w:sz w:val="36"/>
      <w:szCs w:val="3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outlineLvl w:val="3"/>
    </w:pPr>
    <w:rPr>
      <w:rFonts w:eastAsiaTheme="minorEastAsia" w:cs="Times New Roman"/>
      <w:b w:val="0"/>
      <w:bCs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after="0" w:line="480" w:lineRule="auto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E41B29"/>
    <w:pPr>
      <w:numPr>
        <w:numId w:val="4"/>
      </w:numPr>
      <w:spacing w:after="240" w:line="320" w:lineRule="exact"/>
      <w:ind w:left="714" w:hanging="357"/>
      <w:contextualSpacing/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995EBE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995EBE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995EBE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995EBE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65CC"/>
    <w:rPr>
      <w:rFonts w:ascii="Calibri Light" w:hAnsi="Calibri Light" w:cs="Arial"/>
      <w:color w:val="1B365D"/>
      <w:sz w:val="6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4E6331"/>
    <w:rPr>
      <w:rFonts w:asciiTheme="minorHAnsi" w:hAnsiTheme="minorHAnsi" w:cs="Arial"/>
      <w:b/>
      <w:color w:val="1B365D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E6331"/>
    <w:rPr>
      <w:rFonts w:asciiTheme="minorHAnsi" w:hAnsiTheme="minorHAnsi" w:cs="Arial"/>
      <w:b/>
      <w:color w:val="1B365D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A65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CC"/>
    <w:rPr>
      <w:rFonts w:ascii="Arial" w:hAnsi="Arial" w:cs="Arial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65CC"/>
    <w:rPr>
      <w:rFonts w:ascii="Arial" w:hAnsi="Arial" w:cs="Arial"/>
      <w:sz w:val="22"/>
      <w:szCs w:val="24"/>
    </w:rPr>
  </w:style>
  <w:style w:type="character" w:styleId="FootnoteReference">
    <w:name w:val="footnote reference"/>
    <w:basedOn w:val="DefaultParagraphFont"/>
    <w:uiPriority w:val="99"/>
    <w:rsid w:val="002A65CC"/>
    <w:rPr>
      <w:rFonts w:cs="Times New Roman"/>
      <w:vertAlign w:val="superscript"/>
    </w:rPr>
  </w:style>
  <w:style w:type="paragraph" w:customStyle="1" w:styleId="Footnote">
    <w:name w:val="Footnote"/>
    <w:basedOn w:val="FootnoteText"/>
    <w:qFormat/>
    <w:rsid w:val="002C724C"/>
    <w:pPr>
      <w:spacing w:before="0" w:after="120" w:line="240" w:lineRule="auto"/>
    </w:pPr>
    <w:rPr>
      <w:rFonts w:asciiTheme="minorHAnsi" w:hAnsiTheme="minorHAnsi"/>
      <w:sz w:val="18"/>
      <w:szCs w:val="18"/>
    </w:rPr>
  </w:style>
  <w:style w:type="character" w:styleId="Hyperlink">
    <w:name w:val="Hyperlink"/>
    <w:basedOn w:val="DefaultParagraphFont"/>
    <w:uiPriority w:val="99"/>
    <w:rsid w:val="002A7B50"/>
    <w:rPr>
      <w:rFonts w:ascii="Arial" w:hAnsi="Arial" w:cs="Times New Roman"/>
      <w:color w:val="0000FF"/>
      <w:u w:val="single"/>
    </w:rPr>
  </w:style>
  <w:style w:type="paragraph" w:styleId="ListParagraph">
    <w:name w:val="List Paragraph"/>
    <w:aliases w:val="List Paragraph1,List Paragraph11,Recommendation,Brief List Paragraph 1,DDM Gen Text,L,Numbered paragraph,CV text,Table text,F5 List Paragraph,Dot pt,List Paragraph111,Medium Grid 1 - Accent 21,Numbered Paragraph,List Paragraph2,Bullets"/>
    <w:basedOn w:val="Normal"/>
    <w:link w:val="ListParagraphChar"/>
    <w:uiPriority w:val="34"/>
    <w:qFormat/>
    <w:rsid w:val="002A7B50"/>
    <w:pPr>
      <w:spacing w:before="120" w:after="0"/>
      <w:ind w:left="720"/>
      <w:contextualSpacing/>
    </w:pPr>
    <w:rPr>
      <w:rFonts w:ascii="Arial" w:hAnsi="Arial"/>
    </w:rPr>
  </w:style>
  <w:style w:type="character" w:customStyle="1" w:styleId="ListParagraphChar">
    <w:name w:val="List Paragraph Char"/>
    <w:aliases w:val="List Paragraph1 Char,List Paragraph11 Char,Recommendation Char,Brief List Paragraph 1 Char,DDM Gen Text Char,L Char,Numbered paragraph Char,CV text Char,Table text Char,F5 List Paragraph Char,Dot pt Char,List Paragraph111 Char"/>
    <w:basedOn w:val="DefaultParagraphFont"/>
    <w:link w:val="ListParagraph"/>
    <w:uiPriority w:val="34"/>
    <w:locked/>
    <w:rsid w:val="002A7B50"/>
    <w:rPr>
      <w:rFonts w:ascii="Arial" w:hAnsi="Arial" w:cs="Arial"/>
      <w:sz w:val="22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E3B"/>
    <w:pPr>
      <w:spacing w:before="0" w:after="120" w:line="240" w:lineRule="auto"/>
    </w:pPr>
    <w:rPr>
      <w:rFonts w:ascii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E3B"/>
    <w:rPr>
      <w:rFonts w:asciiTheme="minorHAnsi" w:hAnsiTheme="minorHAnsi" w:cs="Arial"/>
      <w:b/>
      <w:bCs/>
      <w:sz w:val="22"/>
      <w:szCs w:val="24"/>
    </w:rPr>
  </w:style>
  <w:style w:type="paragraph" w:styleId="Revision">
    <w:name w:val="Revision"/>
    <w:hidden/>
    <w:uiPriority w:val="99"/>
    <w:semiHidden/>
    <w:rsid w:val="00995C21"/>
    <w:rPr>
      <w:rFonts w:asciiTheme="minorHAnsi" w:hAnsiTheme="minorHAnsi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mmi.homeaffairs.gov.au/visas/already-have-a-visa/check-visa-details-and-conditions/check-conditions-online/visa-holders" TargetMode="External"/><Relationship Id="rId2" Type="http://schemas.openxmlformats.org/officeDocument/2006/relationships/hyperlink" Target="https://www.fairwork.gov.au/how-we-will-help/templates-and-guides/best-practice-guides/an-employers-guide-to-employing-young-workers" TargetMode="External"/><Relationship Id="rId1" Type="http://schemas.openxmlformats.org/officeDocument/2006/relationships/hyperlink" Target="https://www.fairwork.gov.au/about-us/news-and-media-releases/2017-media-releases/march-2017/20170313-foodco-pcd-mr" TargetMode="External"/><Relationship Id="rId6" Type="http://schemas.openxmlformats.org/officeDocument/2006/relationships/hyperlink" Target="https://www.fairwork.gov.au/how-we-will-help/online-training" TargetMode="External"/><Relationship Id="rId5" Type="http://schemas.openxmlformats.org/officeDocument/2006/relationships/hyperlink" Target="https://www.fairwork.gov.au/my-account/registerpage.aspx" TargetMode="External"/><Relationship Id="rId4" Type="http://schemas.openxmlformats.org/officeDocument/2006/relationships/hyperlink" Target="https://www.fairwork.gov.au/about-us/legislation/the-fair-work-system/protecting-vulnerable-workers-refor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8DF1B-6F99-4CDC-918F-48AFEBBE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376BAE62.dotm</Template>
  <TotalTime>0</TotalTime>
  <Pages>7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2019-09-10T00:20:00Z</dcterms:created>
  <dcterms:modified xsi:type="dcterms:W3CDTF">2019-10-10T05:50:00Z</dcterms:modified>
</cp:coreProperties>
</file>