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11D1" w14:textId="1AA8F43F" w:rsidR="005409BE" w:rsidRPr="00387156" w:rsidRDefault="00542C35" w:rsidP="00387156">
      <w:pPr>
        <w:pStyle w:val="CoverReportTitle"/>
      </w:pPr>
      <w:bookmarkStart w:id="0" w:name="_GoBack"/>
      <w:bookmarkEnd w:id="0"/>
      <w:r w:rsidRPr="00387156">
        <w:rPr>
          <w:noProof/>
          <w:lang w:eastAsia="en-AU"/>
        </w:rPr>
        <w:drawing>
          <wp:anchor distT="0" distB="0" distL="114300" distR="114300" simplePos="0" relativeHeight="251659264" behindDoc="1" locked="0" layoutInCell="1" allowOverlap="1" wp14:anchorId="66CF351C" wp14:editId="3CA4E321">
            <wp:simplePos x="0" y="0"/>
            <wp:positionH relativeFrom="page">
              <wp:posOffset>-38100</wp:posOffset>
            </wp:positionH>
            <wp:positionV relativeFrom="paragraph">
              <wp:posOffset>1418590</wp:posOffset>
            </wp:positionV>
            <wp:extent cx="7795895" cy="8439150"/>
            <wp:effectExtent l="0" t="0" r="0" b="0"/>
            <wp:wrapNone/>
            <wp:docPr id="1" name="Picture 32" descr="Title: A report on the compliance partnership between the Fair Work Ombudsman and Compass Group." title="Fair Work Ombudsma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97155" cy="8440514"/>
                    </a:xfrm>
                    <a:prstGeom prst="rect">
                      <a:avLst/>
                    </a:prstGeom>
                    <a:noFill/>
                    <a:ln>
                      <a:noFill/>
                    </a:ln>
                  </pic:spPr>
                </pic:pic>
              </a:graphicData>
            </a:graphic>
            <wp14:sizeRelH relativeFrom="page">
              <wp14:pctWidth>0</wp14:pctWidth>
            </wp14:sizeRelH>
            <wp14:sizeRelV relativeFrom="page">
              <wp14:pctHeight>0</wp14:pctHeight>
            </wp14:sizeRelV>
          </wp:anchor>
        </w:drawing>
      </w:r>
      <w:r w:rsidR="00D83AF6" w:rsidRPr="00387156">
        <w:t>A r</w:t>
      </w:r>
      <w:r w:rsidRPr="00387156">
        <w:t>eport on the compliance</w:t>
      </w:r>
      <w:r w:rsidR="00D63A45" w:rsidRPr="00387156">
        <w:rPr>
          <w:noProof/>
          <w:lang w:eastAsia="en-AU"/>
        </w:rPr>
        <w:t xml:space="preserve"> </w:t>
      </w:r>
      <w:r w:rsidR="003C5A59" w:rsidRPr="00387156">
        <w:t>p</w:t>
      </w:r>
      <w:r w:rsidR="00D83AF6" w:rsidRPr="00387156">
        <w:t xml:space="preserve">artnership between the Fair Work Ombudsman and Compass Group </w:t>
      </w:r>
    </w:p>
    <w:p w14:paraId="18B22B5C" w14:textId="122485CB" w:rsidR="00BF0029" w:rsidRPr="00BF0029" w:rsidRDefault="00ED0554" w:rsidP="00BF0029">
      <w:r>
        <w:t xml:space="preserve">January </w:t>
      </w:r>
      <w:r w:rsidR="00610B15">
        <w:t>2018</w:t>
      </w:r>
    </w:p>
    <w:p w14:paraId="06363741" w14:textId="5E348695" w:rsidR="00BF0029" w:rsidRDefault="009629F3" w:rsidP="002E33B3">
      <w:pPr>
        <w:rPr>
          <w:rFonts w:eastAsiaTheme="minorHAnsi" w:cs="Times New Roman"/>
          <w:szCs w:val="22"/>
          <w:lang w:eastAsia="en-AU"/>
        </w:rPr>
      </w:pPr>
      <w:r w:rsidRPr="0045600E">
        <w:t>©</w:t>
      </w:r>
      <w:r w:rsidR="00CC7FFE" w:rsidRPr="0045600E">
        <w:t xml:space="preserve"> </w:t>
      </w:r>
      <w:r w:rsidRPr="0045600E">
        <w:t xml:space="preserve">Commonwealth of Australia, </w:t>
      </w:r>
      <w:r w:rsidR="00610B15" w:rsidRPr="0045600E">
        <w:t>201</w:t>
      </w:r>
      <w:r w:rsidR="00610B15">
        <w:t>8</w:t>
      </w:r>
      <w:r w:rsidR="00BF0029">
        <w:rPr>
          <w:lang w:eastAsia="en-AU"/>
        </w:rPr>
        <w:br w:type="page"/>
      </w:r>
    </w:p>
    <w:p w14:paraId="355AB4DA" w14:textId="77777777" w:rsidR="005409BE" w:rsidRPr="00E87D88" w:rsidRDefault="005409BE" w:rsidP="00E87D88">
      <w:pPr>
        <w:pStyle w:val="Heading1"/>
      </w:pPr>
      <w:r w:rsidRPr="00E87D88">
        <w:lastRenderedPageBreak/>
        <w:t xml:space="preserve">Executive </w:t>
      </w:r>
      <w:r w:rsidR="00EA4F95" w:rsidRPr="00E87D88">
        <w:t>s</w:t>
      </w:r>
      <w:r w:rsidRPr="00E87D88">
        <w:t>ummary</w:t>
      </w:r>
    </w:p>
    <w:p w14:paraId="73D8CD88" w14:textId="0FBBD341" w:rsidR="00084E43" w:rsidRDefault="00084E43" w:rsidP="00542C35">
      <w:r w:rsidRPr="00084E43">
        <w:t xml:space="preserve">On 4 June 2014, the Fair Work Ombudsman </w:t>
      </w:r>
      <w:r w:rsidR="0002408D">
        <w:t>(F</w:t>
      </w:r>
      <w:r w:rsidRPr="00084E43">
        <w:t>WO</w:t>
      </w:r>
      <w:r w:rsidR="0002408D">
        <w:t>)</w:t>
      </w:r>
      <w:r w:rsidRPr="00084E43">
        <w:t xml:space="preserve"> entered into a </w:t>
      </w:r>
      <w:r w:rsidR="007F2FFC">
        <w:t>two</w:t>
      </w:r>
      <w:r w:rsidR="003C5A59">
        <w:t>-</w:t>
      </w:r>
      <w:r w:rsidR="007F2FFC">
        <w:t xml:space="preserve">year </w:t>
      </w:r>
      <w:r w:rsidRPr="00084E43">
        <w:t>formal compliance partnership with one of the world’s largest food services and hospitality providers, Compass Group (Australia) Pty Ltd</w:t>
      </w:r>
      <w:r w:rsidR="002E33B3">
        <w:t xml:space="preserve"> (</w:t>
      </w:r>
      <w:r w:rsidR="002E33B3" w:rsidRPr="004F6A14">
        <w:t xml:space="preserve">ACN </w:t>
      </w:r>
      <w:r w:rsidR="004F6A14" w:rsidRPr="004F6A14">
        <w:t>000</w:t>
      </w:r>
      <w:r w:rsidR="004F6A14">
        <w:t xml:space="preserve"> </w:t>
      </w:r>
      <w:r w:rsidR="004F6A14" w:rsidRPr="004F6A14">
        <w:t>683</w:t>
      </w:r>
      <w:r w:rsidR="004F6A14">
        <w:t xml:space="preserve"> </w:t>
      </w:r>
      <w:r w:rsidR="004F6A14" w:rsidRPr="004F6A14">
        <w:t>125</w:t>
      </w:r>
      <w:r w:rsidR="002E33B3">
        <w:t>)</w:t>
      </w:r>
      <w:r w:rsidRPr="00084E43">
        <w:t xml:space="preserve"> [Compass Group].</w:t>
      </w:r>
      <w:r w:rsidR="00CB6F84">
        <w:rPr>
          <w:rStyle w:val="FootnoteReference"/>
          <w:color w:val="000000" w:themeColor="text1"/>
          <w:szCs w:val="22"/>
        </w:rPr>
        <w:footnoteReference w:id="1"/>
      </w:r>
      <w:r w:rsidRPr="00084E43">
        <w:t xml:space="preserve"> </w:t>
      </w:r>
    </w:p>
    <w:p w14:paraId="5F51DF67" w14:textId="06E53296" w:rsidR="00084E43" w:rsidRDefault="00FB1DAE" w:rsidP="00542C35">
      <w:r>
        <w:t xml:space="preserve">Employing over 10 </w:t>
      </w:r>
      <w:r w:rsidR="007C37CA">
        <w:t xml:space="preserve">000 people across </w:t>
      </w:r>
      <w:r w:rsidR="004D2214">
        <w:t xml:space="preserve">its </w:t>
      </w:r>
      <w:r w:rsidR="0002408D">
        <w:t>5</w:t>
      </w:r>
      <w:r w:rsidR="007C37CA">
        <w:t xml:space="preserve">00 </w:t>
      </w:r>
      <w:r w:rsidR="004D2214">
        <w:t xml:space="preserve">Australian </w:t>
      </w:r>
      <w:r w:rsidR="007C37CA">
        <w:t xml:space="preserve">workplace sites, </w:t>
      </w:r>
      <w:r w:rsidR="003972CA">
        <w:t xml:space="preserve">Compass Group’s </w:t>
      </w:r>
      <w:r w:rsidR="00084E43" w:rsidRPr="00084E43">
        <w:t xml:space="preserve">chief objective of </w:t>
      </w:r>
      <w:r w:rsidR="003972CA">
        <w:t>partnering with the FWO</w:t>
      </w:r>
      <w:r w:rsidR="00084E43" w:rsidRPr="00084E43">
        <w:t xml:space="preserve"> was to </w:t>
      </w:r>
      <w:r w:rsidR="00A86BE7">
        <w:t>improve</w:t>
      </w:r>
      <w:r w:rsidR="00AF48C2">
        <w:t xml:space="preserve"> the compan</w:t>
      </w:r>
      <w:r w:rsidR="00093408">
        <w:t>y’s</w:t>
      </w:r>
      <w:r w:rsidR="00AF48C2">
        <w:t xml:space="preserve"> general workplace compliance.</w:t>
      </w:r>
      <w:r w:rsidR="00084E43">
        <w:t xml:space="preserve">  </w:t>
      </w:r>
    </w:p>
    <w:p w14:paraId="62F45C24" w14:textId="43F85754" w:rsidR="00084E43" w:rsidRDefault="00084E43" w:rsidP="00542C35">
      <w:r w:rsidRPr="008876AA">
        <w:t>Underpinned by a Proactive Compliance Deed</w:t>
      </w:r>
      <w:r w:rsidR="00AF48C2">
        <w:t xml:space="preserve"> (PCD)</w:t>
      </w:r>
      <w:r w:rsidRPr="008876AA">
        <w:t xml:space="preserve">, the partnership involved Compass Group providing the FWO with details of the systems and processes already in place </w:t>
      </w:r>
      <w:r w:rsidR="00AF48C2">
        <w:t>(</w:t>
      </w:r>
      <w:r w:rsidRPr="008876AA">
        <w:t>or to be implemented</w:t>
      </w:r>
      <w:r w:rsidR="00AF48C2">
        <w:t>)</w:t>
      </w:r>
      <w:r w:rsidRPr="008876AA">
        <w:t xml:space="preserve"> to ensure ongoing compliance by Compass Group and its related entities, with relevant Commonwealth workplace laws.</w:t>
      </w:r>
      <w:r w:rsidRPr="00084E43">
        <w:t xml:space="preserve"> </w:t>
      </w:r>
    </w:p>
    <w:p w14:paraId="537FB63B" w14:textId="4AFF8BD0" w:rsidR="00B60E0E" w:rsidRDefault="00084E43" w:rsidP="00542C35">
      <w:r w:rsidRPr="00084E43">
        <w:t xml:space="preserve">From the commencement of the </w:t>
      </w:r>
      <w:r w:rsidR="008D33B3">
        <w:t>PCD</w:t>
      </w:r>
      <w:r w:rsidRPr="00084E43">
        <w:t xml:space="preserve"> to </w:t>
      </w:r>
      <w:r w:rsidRPr="00F24979">
        <w:t>June 2016</w:t>
      </w:r>
      <w:r w:rsidRPr="00084E43">
        <w:t xml:space="preserve">, </w:t>
      </w:r>
      <w:r w:rsidRPr="0058388F">
        <w:t>the FWO received 54 requests for assistance</w:t>
      </w:r>
      <w:r w:rsidRPr="00084E43">
        <w:t xml:space="preserve"> from employees of Compass Group or their related entities</w:t>
      </w:r>
      <w:r w:rsidR="004F6A14">
        <w:t>.</w:t>
      </w:r>
      <w:r w:rsidRPr="00084E43">
        <w:t xml:space="preserve">  </w:t>
      </w:r>
    </w:p>
    <w:p w14:paraId="657ED783" w14:textId="77777777" w:rsidR="005628CA" w:rsidRDefault="00084E43" w:rsidP="00542C35">
      <w:r w:rsidRPr="00084E43">
        <w:t xml:space="preserve">The majority of the requests for assistance </w:t>
      </w:r>
      <w:r w:rsidR="00B60E0E">
        <w:t xml:space="preserve">received by the FWO </w:t>
      </w:r>
      <w:r w:rsidRPr="00084E43">
        <w:t xml:space="preserve">concerned underpayment of wages or allowances, non-payment of wages for all hours worked, non-payment of leave entitlements and non-payment of redundancy pay. </w:t>
      </w:r>
    </w:p>
    <w:p w14:paraId="4E1EB3E0" w14:textId="77777777" w:rsidR="005628CA" w:rsidRDefault="005628CA" w:rsidP="00542C35">
      <w:r>
        <w:t>Of the total number received</w:t>
      </w:r>
      <w:r w:rsidRPr="00084E43">
        <w:t xml:space="preserve">, </w:t>
      </w:r>
      <w:r w:rsidRPr="00080122">
        <w:t>40 requests for assistance</w:t>
      </w:r>
      <w:r w:rsidRPr="00084E43">
        <w:t xml:space="preserve"> were </w:t>
      </w:r>
      <w:r>
        <w:t xml:space="preserve">regarded by the FWO as of a ‘routine-low’ nature and </w:t>
      </w:r>
      <w:r w:rsidRPr="00084E43">
        <w:t xml:space="preserve">referred to Compass Group for assessment and rectification.  </w:t>
      </w:r>
      <w:r>
        <w:t>In response, Compass Group:</w:t>
      </w:r>
    </w:p>
    <w:p w14:paraId="0AE778D0" w14:textId="33A40C40" w:rsidR="0058388F" w:rsidRPr="00497A58" w:rsidRDefault="0058388F" w:rsidP="0079623E">
      <w:pPr>
        <w:pStyle w:val="ListParagraph"/>
        <w:numPr>
          <w:ilvl w:val="0"/>
          <w:numId w:val="20"/>
        </w:numPr>
        <w:contextualSpacing w:val="0"/>
        <w:rPr>
          <w:szCs w:val="22"/>
        </w:rPr>
      </w:pPr>
      <w:r>
        <w:rPr>
          <w:szCs w:val="22"/>
        </w:rPr>
        <w:t xml:space="preserve">resolved </w:t>
      </w:r>
      <w:r w:rsidRPr="00497A58">
        <w:rPr>
          <w:szCs w:val="22"/>
        </w:rPr>
        <w:t>1</w:t>
      </w:r>
      <w:r>
        <w:rPr>
          <w:szCs w:val="22"/>
        </w:rPr>
        <w:t>4</w:t>
      </w:r>
      <w:r w:rsidRPr="00497A58">
        <w:rPr>
          <w:szCs w:val="22"/>
        </w:rPr>
        <w:t xml:space="preserve"> matters </w:t>
      </w:r>
      <w:r>
        <w:rPr>
          <w:szCs w:val="22"/>
        </w:rPr>
        <w:t xml:space="preserve">resulting in a </w:t>
      </w:r>
      <w:r w:rsidR="00F82ADC">
        <w:rPr>
          <w:szCs w:val="22"/>
        </w:rPr>
        <w:t>total</w:t>
      </w:r>
      <w:r w:rsidR="00F82ADC" w:rsidRPr="00497A58">
        <w:rPr>
          <w:szCs w:val="22"/>
        </w:rPr>
        <w:t xml:space="preserve"> </w:t>
      </w:r>
      <w:r w:rsidRPr="00497A58">
        <w:rPr>
          <w:szCs w:val="22"/>
        </w:rPr>
        <w:t>of $</w:t>
      </w:r>
      <w:r>
        <w:rPr>
          <w:szCs w:val="22"/>
        </w:rPr>
        <w:t>51</w:t>
      </w:r>
      <w:r w:rsidR="00ED0554">
        <w:rPr>
          <w:szCs w:val="22"/>
        </w:rPr>
        <w:t xml:space="preserve"> </w:t>
      </w:r>
      <w:r>
        <w:rPr>
          <w:szCs w:val="22"/>
        </w:rPr>
        <w:t>404.91</w:t>
      </w:r>
      <w:r w:rsidRPr="00497A58">
        <w:rPr>
          <w:szCs w:val="22"/>
        </w:rPr>
        <w:t xml:space="preserve"> </w:t>
      </w:r>
      <w:r w:rsidR="00F82ADC">
        <w:rPr>
          <w:szCs w:val="22"/>
        </w:rPr>
        <w:t>being re</w:t>
      </w:r>
      <w:r w:rsidRPr="00497A58">
        <w:rPr>
          <w:szCs w:val="22"/>
        </w:rPr>
        <w:t>paid to employees</w:t>
      </w:r>
    </w:p>
    <w:p w14:paraId="6D126E45" w14:textId="54D24A1C" w:rsidR="0058388F" w:rsidRPr="00497A58" w:rsidRDefault="0058388F" w:rsidP="0079623E">
      <w:pPr>
        <w:pStyle w:val="ListParagraph"/>
        <w:numPr>
          <w:ilvl w:val="0"/>
          <w:numId w:val="20"/>
        </w:numPr>
        <w:contextualSpacing w:val="0"/>
        <w:rPr>
          <w:szCs w:val="22"/>
        </w:rPr>
      </w:pPr>
      <w:r>
        <w:rPr>
          <w:szCs w:val="22"/>
        </w:rPr>
        <w:t>reported that in 25 matters there was no evidence of any claim and provided reas</w:t>
      </w:r>
      <w:r w:rsidR="00ED0554">
        <w:rPr>
          <w:szCs w:val="22"/>
        </w:rPr>
        <w:t>ons for their decisions</w:t>
      </w:r>
    </w:p>
    <w:p w14:paraId="771D3B6F" w14:textId="77777777" w:rsidR="0058388F" w:rsidRPr="00497A58" w:rsidRDefault="0058388F" w:rsidP="0079623E">
      <w:pPr>
        <w:pStyle w:val="ListParagraph"/>
        <w:numPr>
          <w:ilvl w:val="0"/>
          <w:numId w:val="20"/>
        </w:numPr>
        <w:contextualSpacing w:val="0"/>
        <w:rPr>
          <w:szCs w:val="22"/>
        </w:rPr>
      </w:pPr>
      <w:r>
        <w:rPr>
          <w:szCs w:val="22"/>
        </w:rPr>
        <w:t xml:space="preserve">resolved one </w:t>
      </w:r>
      <w:r w:rsidRPr="00497A58">
        <w:rPr>
          <w:szCs w:val="22"/>
        </w:rPr>
        <w:t>matter without the need for payment to be made</w:t>
      </w:r>
      <w:r>
        <w:rPr>
          <w:szCs w:val="22"/>
        </w:rPr>
        <w:t>.</w:t>
      </w:r>
      <w:r w:rsidRPr="00497A58">
        <w:rPr>
          <w:szCs w:val="22"/>
        </w:rPr>
        <w:t xml:space="preserve"> </w:t>
      </w:r>
    </w:p>
    <w:p w14:paraId="377E0098" w14:textId="55549A2B" w:rsidR="0058388F" w:rsidRDefault="00EF0BF0" w:rsidP="007F14DF">
      <w:pPr>
        <w:rPr>
          <w:szCs w:val="22"/>
        </w:rPr>
      </w:pPr>
      <w:r w:rsidRPr="006C04ED">
        <w:rPr>
          <w:szCs w:val="22"/>
        </w:rPr>
        <w:t>On review of these findings, the FWO validated these outcomes</w:t>
      </w:r>
      <w:r w:rsidR="00ED0554">
        <w:rPr>
          <w:szCs w:val="22"/>
        </w:rPr>
        <w:t>.</w:t>
      </w:r>
    </w:p>
    <w:p w14:paraId="77E99704" w14:textId="2764157F" w:rsidR="0058388F" w:rsidRDefault="00FB40B1">
      <w:pPr>
        <w:rPr>
          <w:szCs w:val="22"/>
          <w:lang w:eastAsia="en-AU"/>
        </w:rPr>
      </w:pPr>
      <w:r>
        <w:rPr>
          <w:szCs w:val="22"/>
          <w:lang w:eastAsia="en-AU"/>
        </w:rPr>
        <w:t xml:space="preserve">It was determined that 12 </w:t>
      </w:r>
      <w:r>
        <w:rPr>
          <w:szCs w:val="22"/>
        </w:rPr>
        <w:t>of</w:t>
      </w:r>
      <w:r w:rsidR="0058388F">
        <w:rPr>
          <w:szCs w:val="22"/>
        </w:rPr>
        <w:t xml:space="preserve"> 14 </w:t>
      </w:r>
      <w:r w:rsidR="0058388F">
        <w:rPr>
          <w:szCs w:val="22"/>
          <w:lang w:eastAsia="en-AU"/>
        </w:rPr>
        <w:t>requests for assistance retained by the FWO</w:t>
      </w:r>
      <w:r w:rsidR="009A747E">
        <w:rPr>
          <w:szCs w:val="22"/>
          <w:lang w:eastAsia="en-AU"/>
        </w:rPr>
        <w:t xml:space="preserve"> </w:t>
      </w:r>
      <w:r w:rsidR="00041A82">
        <w:rPr>
          <w:szCs w:val="22"/>
          <w:lang w:eastAsia="en-AU"/>
        </w:rPr>
        <w:t>did not require f</w:t>
      </w:r>
      <w:r w:rsidR="0058388F">
        <w:rPr>
          <w:szCs w:val="22"/>
          <w:lang w:eastAsia="en-AU"/>
        </w:rPr>
        <w:t xml:space="preserve">urther action on the part of Compass Group and </w:t>
      </w:r>
      <w:r w:rsidR="00F23F18">
        <w:rPr>
          <w:szCs w:val="22"/>
          <w:lang w:eastAsia="en-AU"/>
        </w:rPr>
        <w:t>the</w:t>
      </w:r>
      <w:r w:rsidR="007603F5">
        <w:rPr>
          <w:szCs w:val="22"/>
          <w:lang w:eastAsia="en-AU"/>
        </w:rPr>
        <w:t>se requests</w:t>
      </w:r>
      <w:r w:rsidR="00F23F18">
        <w:rPr>
          <w:szCs w:val="22"/>
          <w:lang w:eastAsia="en-AU"/>
        </w:rPr>
        <w:t xml:space="preserve"> </w:t>
      </w:r>
      <w:r w:rsidR="00041A82">
        <w:rPr>
          <w:szCs w:val="22"/>
          <w:lang w:eastAsia="en-AU"/>
        </w:rPr>
        <w:t xml:space="preserve">were not referred </w:t>
      </w:r>
      <w:r w:rsidR="0058388F">
        <w:rPr>
          <w:szCs w:val="22"/>
          <w:lang w:eastAsia="en-AU"/>
        </w:rPr>
        <w:t>for further action.  Examples included:</w:t>
      </w:r>
    </w:p>
    <w:p w14:paraId="57535F73" w14:textId="77777777" w:rsidR="0058388F" w:rsidRDefault="0058388F" w:rsidP="0079623E">
      <w:pPr>
        <w:pStyle w:val="ListParagraph"/>
        <w:numPr>
          <w:ilvl w:val="0"/>
          <w:numId w:val="27"/>
        </w:numPr>
        <w:contextualSpacing w:val="0"/>
        <w:rPr>
          <w:szCs w:val="22"/>
          <w:lang w:eastAsia="en-AU"/>
        </w:rPr>
      </w:pPr>
      <w:r>
        <w:rPr>
          <w:szCs w:val="22"/>
          <w:lang w:eastAsia="en-AU"/>
        </w:rPr>
        <w:t>where the dispute was resolved soon after lodgement with the FWO and the employee requested to withdraw their matter</w:t>
      </w:r>
    </w:p>
    <w:p w14:paraId="3481A74E" w14:textId="0246C320" w:rsidR="0058388F" w:rsidRDefault="0058388F" w:rsidP="0079623E">
      <w:pPr>
        <w:pStyle w:val="ListParagraph"/>
        <w:numPr>
          <w:ilvl w:val="0"/>
          <w:numId w:val="27"/>
        </w:numPr>
        <w:contextualSpacing w:val="0"/>
        <w:rPr>
          <w:szCs w:val="22"/>
          <w:lang w:eastAsia="en-AU"/>
        </w:rPr>
      </w:pPr>
      <w:r>
        <w:rPr>
          <w:szCs w:val="22"/>
        </w:rPr>
        <w:lastRenderedPageBreak/>
        <w:t>it was found upon preliminary review that the allegations of non-compliance lacked any substance</w:t>
      </w:r>
      <w:r w:rsidR="00ED0554">
        <w:rPr>
          <w:szCs w:val="22"/>
        </w:rPr>
        <w:t>.</w:t>
      </w:r>
    </w:p>
    <w:p w14:paraId="46639AB0" w14:textId="77777777" w:rsidR="00EF0BF0" w:rsidRDefault="009A747E" w:rsidP="007F14DF">
      <w:pPr>
        <w:rPr>
          <w:szCs w:val="22"/>
        </w:rPr>
      </w:pPr>
      <w:r w:rsidRPr="009A747E">
        <w:rPr>
          <w:szCs w:val="22"/>
        </w:rPr>
        <w:t>However, two requests for assistance were deemed worthy of further consideration</w:t>
      </w:r>
      <w:r>
        <w:rPr>
          <w:szCs w:val="22"/>
        </w:rPr>
        <w:t xml:space="preserve"> by the FWO</w:t>
      </w:r>
      <w:r w:rsidRPr="009A747E">
        <w:rPr>
          <w:szCs w:val="22"/>
        </w:rPr>
        <w:t>.</w:t>
      </w:r>
      <w:r>
        <w:rPr>
          <w:szCs w:val="22"/>
        </w:rPr>
        <w:t xml:space="preserve"> </w:t>
      </w:r>
    </w:p>
    <w:p w14:paraId="6CFC1DB8" w14:textId="2CA25E27" w:rsidR="009A747E" w:rsidRDefault="001D079A">
      <w:pPr>
        <w:rPr>
          <w:szCs w:val="22"/>
          <w:lang w:eastAsia="en-AU"/>
        </w:rPr>
      </w:pPr>
      <w:r>
        <w:rPr>
          <w:szCs w:val="22"/>
        </w:rPr>
        <w:t>The first</w:t>
      </w:r>
      <w:r w:rsidR="00610B15">
        <w:rPr>
          <w:szCs w:val="22"/>
        </w:rPr>
        <w:t xml:space="preserve"> </w:t>
      </w:r>
      <w:r w:rsidR="00D83B4B">
        <w:rPr>
          <w:szCs w:val="22"/>
          <w:lang w:eastAsia="en-AU"/>
        </w:rPr>
        <w:t xml:space="preserve">related to </w:t>
      </w:r>
      <w:r w:rsidR="00610B15">
        <w:rPr>
          <w:szCs w:val="22"/>
          <w:lang w:eastAsia="en-AU"/>
        </w:rPr>
        <w:t xml:space="preserve">allegations of non-compliance </w:t>
      </w:r>
      <w:r w:rsidR="00D83B4B">
        <w:rPr>
          <w:szCs w:val="22"/>
          <w:lang w:eastAsia="en-AU"/>
        </w:rPr>
        <w:t>made by the Maritime Union of Australia</w:t>
      </w:r>
      <w:r w:rsidR="00ED0554">
        <w:rPr>
          <w:szCs w:val="22"/>
          <w:lang w:eastAsia="en-AU"/>
        </w:rPr>
        <w:t xml:space="preserve"> (</w:t>
      </w:r>
      <w:r w:rsidR="0055784F">
        <w:rPr>
          <w:szCs w:val="22"/>
          <w:lang w:eastAsia="en-AU"/>
        </w:rPr>
        <w:t>MUA</w:t>
      </w:r>
      <w:r w:rsidR="00ED0554">
        <w:rPr>
          <w:szCs w:val="22"/>
          <w:lang w:eastAsia="en-AU"/>
        </w:rPr>
        <w:t>)</w:t>
      </w:r>
      <w:r w:rsidR="00D83B4B">
        <w:rPr>
          <w:szCs w:val="22"/>
          <w:lang w:eastAsia="en-AU"/>
        </w:rPr>
        <w:t xml:space="preserve">. </w:t>
      </w:r>
      <w:r w:rsidR="009160FA">
        <w:rPr>
          <w:szCs w:val="22"/>
          <w:lang w:eastAsia="en-AU"/>
        </w:rPr>
        <w:t>However, despite r</w:t>
      </w:r>
      <w:r w:rsidR="009A747E">
        <w:rPr>
          <w:szCs w:val="22"/>
          <w:lang w:eastAsia="en-AU"/>
        </w:rPr>
        <w:t xml:space="preserve">equesting further details </w:t>
      </w:r>
      <w:r w:rsidR="0055784F">
        <w:rPr>
          <w:szCs w:val="22"/>
          <w:lang w:eastAsia="en-AU"/>
        </w:rPr>
        <w:t xml:space="preserve">from the MUA </w:t>
      </w:r>
      <w:r w:rsidR="009A747E">
        <w:rPr>
          <w:szCs w:val="22"/>
          <w:lang w:eastAsia="en-AU"/>
        </w:rPr>
        <w:t xml:space="preserve">about the allegations, no response was received and in the absence of any substantial </w:t>
      </w:r>
      <w:r w:rsidR="00EF0BF0">
        <w:rPr>
          <w:szCs w:val="22"/>
          <w:lang w:eastAsia="en-AU"/>
        </w:rPr>
        <w:t xml:space="preserve">information or </w:t>
      </w:r>
      <w:r w:rsidR="009A747E">
        <w:rPr>
          <w:szCs w:val="22"/>
          <w:lang w:eastAsia="en-AU"/>
        </w:rPr>
        <w:t xml:space="preserve">evidence, the FWO </w:t>
      </w:r>
      <w:r w:rsidR="0055784F">
        <w:rPr>
          <w:szCs w:val="22"/>
          <w:lang w:eastAsia="en-AU"/>
        </w:rPr>
        <w:t>was unable to</w:t>
      </w:r>
      <w:r w:rsidR="009A747E">
        <w:rPr>
          <w:szCs w:val="22"/>
          <w:lang w:eastAsia="en-AU"/>
        </w:rPr>
        <w:t xml:space="preserve"> progress the matter.</w:t>
      </w:r>
    </w:p>
    <w:p w14:paraId="73BDDC00" w14:textId="464D6317" w:rsidR="00610B15" w:rsidRDefault="009A747E">
      <w:pPr>
        <w:rPr>
          <w:szCs w:val="22"/>
        </w:rPr>
      </w:pPr>
      <w:r>
        <w:rPr>
          <w:szCs w:val="22"/>
          <w:lang w:eastAsia="en-AU"/>
        </w:rPr>
        <w:t xml:space="preserve">The second matter related to </w:t>
      </w:r>
      <w:r w:rsidR="00610B15">
        <w:rPr>
          <w:szCs w:val="22"/>
          <w:lang w:eastAsia="en-AU"/>
        </w:rPr>
        <w:t>an allegation from an employee</w:t>
      </w:r>
      <w:r>
        <w:rPr>
          <w:szCs w:val="22"/>
          <w:lang w:eastAsia="en-AU"/>
        </w:rPr>
        <w:t xml:space="preserve"> alleging pregnancy discrimination due to not being transferred to a safe job. </w:t>
      </w:r>
      <w:r w:rsidR="0055784F">
        <w:rPr>
          <w:szCs w:val="22"/>
          <w:lang w:eastAsia="en-AU"/>
        </w:rPr>
        <w:t>In this matter, t</w:t>
      </w:r>
      <w:r>
        <w:rPr>
          <w:szCs w:val="22"/>
          <w:lang w:eastAsia="en-AU"/>
        </w:rPr>
        <w:t>he FWO conducted a thorough investigation and concluded there was insufficient evidence of discrimination or failure to provide a safe job. However, the FWO was concerned about the nature of an email sent to the employee that may have breached the employee’s workplace rights. Th</w:t>
      </w:r>
      <w:r w:rsidR="00ED0554">
        <w:rPr>
          <w:szCs w:val="22"/>
          <w:lang w:eastAsia="en-AU"/>
        </w:rPr>
        <w:t>e FWO issued a l</w:t>
      </w:r>
      <w:r>
        <w:rPr>
          <w:szCs w:val="22"/>
          <w:lang w:eastAsia="en-AU"/>
        </w:rPr>
        <w:t xml:space="preserve">etter of </w:t>
      </w:r>
      <w:r w:rsidR="00ED0554">
        <w:rPr>
          <w:szCs w:val="22"/>
          <w:lang w:eastAsia="en-AU"/>
        </w:rPr>
        <w:t>c</w:t>
      </w:r>
      <w:r>
        <w:rPr>
          <w:szCs w:val="22"/>
          <w:lang w:eastAsia="en-AU"/>
        </w:rPr>
        <w:t>aution</w:t>
      </w:r>
      <w:r>
        <w:rPr>
          <w:rStyle w:val="FootnoteReference"/>
          <w:szCs w:val="22"/>
          <w:lang w:eastAsia="en-AU"/>
        </w:rPr>
        <w:footnoteReference w:id="2"/>
      </w:r>
      <w:r>
        <w:rPr>
          <w:szCs w:val="22"/>
          <w:lang w:eastAsia="en-AU"/>
        </w:rPr>
        <w:t xml:space="preserve"> and strongly encouraged Compass Group to improve their handling procedures in relation to pregnant workers and their rights and entitlements.</w:t>
      </w:r>
      <w:r w:rsidR="00610B15">
        <w:rPr>
          <w:szCs w:val="22"/>
          <w:lang w:eastAsia="en-AU"/>
        </w:rPr>
        <w:t xml:space="preserve"> </w:t>
      </w:r>
    </w:p>
    <w:p w14:paraId="2C93B22C" w14:textId="5C3640EA" w:rsidR="00610B15" w:rsidRDefault="005628CA">
      <w:pPr>
        <w:rPr>
          <w:szCs w:val="22"/>
        </w:rPr>
      </w:pPr>
      <w:r>
        <w:rPr>
          <w:szCs w:val="22"/>
        </w:rPr>
        <w:t>In addition,</w:t>
      </w:r>
      <w:r w:rsidR="00EF0BF0">
        <w:rPr>
          <w:szCs w:val="22"/>
        </w:rPr>
        <w:t xml:space="preserve"> as a key element of the self-regulation inherent in a compliance partnership, Compass Group conducted a self-audit of security officers at sites in Western Australia </w:t>
      </w:r>
      <w:r w:rsidR="007E06E1">
        <w:rPr>
          <w:szCs w:val="22"/>
        </w:rPr>
        <w:t xml:space="preserve">following a series of </w:t>
      </w:r>
      <w:r w:rsidR="00610B15">
        <w:rPr>
          <w:szCs w:val="22"/>
        </w:rPr>
        <w:t>related</w:t>
      </w:r>
      <w:r w:rsidR="007E06E1">
        <w:rPr>
          <w:szCs w:val="22"/>
        </w:rPr>
        <w:t xml:space="preserve"> </w:t>
      </w:r>
      <w:r w:rsidR="00080122">
        <w:rPr>
          <w:szCs w:val="22"/>
        </w:rPr>
        <w:t>requests for assistance</w:t>
      </w:r>
      <w:r w:rsidR="00EF0BF0">
        <w:rPr>
          <w:szCs w:val="22"/>
        </w:rPr>
        <w:t xml:space="preserve"> which </w:t>
      </w:r>
      <w:r w:rsidR="008F3373">
        <w:rPr>
          <w:szCs w:val="22"/>
        </w:rPr>
        <w:t xml:space="preserve">resulted in the </w:t>
      </w:r>
      <w:r w:rsidR="00EA4F95">
        <w:rPr>
          <w:szCs w:val="22"/>
        </w:rPr>
        <w:t>back payment</w:t>
      </w:r>
      <w:r w:rsidR="008F3373">
        <w:rPr>
          <w:szCs w:val="22"/>
        </w:rPr>
        <w:t xml:space="preserve"> of $40</w:t>
      </w:r>
      <w:r w:rsidR="00ED0554">
        <w:rPr>
          <w:szCs w:val="22"/>
        </w:rPr>
        <w:t xml:space="preserve"> </w:t>
      </w:r>
      <w:r w:rsidR="008F3373">
        <w:rPr>
          <w:szCs w:val="22"/>
        </w:rPr>
        <w:t>707.00 to 21 workers.</w:t>
      </w:r>
      <w:r w:rsidR="00610B15">
        <w:rPr>
          <w:szCs w:val="22"/>
        </w:rPr>
        <w:t xml:space="preserve"> </w:t>
      </w:r>
    </w:p>
    <w:p w14:paraId="66D66704" w14:textId="2B3D58A5" w:rsidR="00610B15" w:rsidRDefault="00610B15" w:rsidP="00542C35">
      <w:r>
        <w:t>Significantly, o</w:t>
      </w:r>
      <w:r w:rsidR="00084E43" w:rsidRPr="00084E43">
        <w:t>ver the course of the partnership, the FWO observed a declining trend in the number of requests for assistance received from Compass Gro</w:t>
      </w:r>
      <w:r w:rsidR="00084E43">
        <w:t>up employees.</w:t>
      </w:r>
      <w:r>
        <w:t xml:space="preserve"> </w:t>
      </w:r>
    </w:p>
    <w:p w14:paraId="424BB0AA" w14:textId="6B935A08" w:rsidR="008445CD" w:rsidRDefault="00084E43" w:rsidP="00542C35">
      <w:r>
        <w:t>Other benefits from the partnership included Compass Group</w:t>
      </w:r>
      <w:r w:rsidR="00D07E7C">
        <w:t xml:space="preserve"> refining its systems and processes to improve its capability in ensuring</w:t>
      </w:r>
      <w:r w:rsidR="00610B15">
        <w:t xml:space="preserve"> </w:t>
      </w:r>
      <w:r w:rsidR="00EA4F95">
        <w:t xml:space="preserve">workers </w:t>
      </w:r>
      <w:r w:rsidRPr="00084E43">
        <w:t xml:space="preserve">who were </w:t>
      </w:r>
      <w:r w:rsidR="00A22FF1" w:rsidRPr="00084E43">
        <w:t>leaving</w:t>
      </w:r>
      <w:r w:rsidRPr="00084E43">
        <w:t xml:space="preserve"> employment </w:t>
      </w:r>
      <w:r w:rsidR="00A22FF1">
        <w:t xml:space="preserve">promptly </w:t>
      </w:r>
      <w:r w:rsidRPr="00084E43">
        <w:t xml:space="preserve">received their </w:t>
      </w:r>
      <w:r w:rsidR="00EA4F95">
        <w:t xml:space="preserve">correct </w:t>
      </w:r>
      <w:r w:rsidRPr="00084E43">
        <w:t>notice pay a</w:t>
      </w:r>
      <w:r w:rsidR="00D07E7C">
        <w:t xml:space="preserve">nd annual </w:t>
      </w:r>
      <w:r w:rsidR="00EA4F95">
        <w:t xml:space="preserve">leave </w:t>
      </w:r>
      <w:r w:rsidR="00D07E7C">
        <w:t>entitlements</w:t>
      </w:r>
      <w:r w:rsidR="00F82ADC">
        <w:t xml:space="preserve">. The </w:t>
      </w:r>
      <w:r w:rsidR="00FB1DAE">
        <w:t>g</w:t>
      </w:r>
      <w:r w:rsidR="00610B15">
        <w:t xml:space="preserve">roup </w:t>
      </w:r>
      <w:r w:rsidR="00F82ADC">
        <w:t xml:space="preserve">also developed </w:t>
      </w:r>
      <w:r w:rsidR="00EA4F95">
        <w:t>new toolkits and guides to assist managers.</w:t>
      </w:r>
      <w:r w:rsidR="00A22FF1">
        <w:t xml:space="preserve"> </w:t>
      </w:r>
    </w:p>
    <w:p w14:paraId="544823B4" w14:textId="3B5C1BCF" w:rsidR="0005738C" w:rsidRDefault="00FB1DAE" w:rsidP="00542C35">
      <w:pPr>
        <w:rPr>
          <w:rStyle w:val="Strong"/>
          <w:b w:val="0"/>
        </w:rPr>
      </w:pPr>
      <w:r>
        <w:t>At the conclusion of the p</w:t>
      </w:r>
      <w:r w:rsidR="0005738C">
        <w:t>artnership, the FWO considers Compass Group is well placed to better manage compliance within its network.</w:t>
      </w:r>
    </w:p>
    <w:p w14:paraId="7BAEFBE7" w14:textId="77777777" w:rsidR="0005738C" w:rsidRDefault="0005738C" w:rsidP="0079623E">
      <w:pPr>
        <w:jc w:val="left"/>
        <w:rPr>
          <w:rStyle w:val="Strong"/>
          <w:b w:val="0"/>
          <w:color w:val="0194A6"/>
          <w:sz w:val="40"/>
          <w:szCs w:val="40"/>
        </w:rPr>
      </w:pPr>
      <w:r>
        <w:rPr>
          <w:rStyle w:val="Strong"/>
          <w:b w:val="0"/>
        </w:rPr>
        <w:br w:type="page"/>
      </w:r>
    </w:p>
    <w:p w14:paraId="119E7945" w14:textId="77777777" w:rsidR="003D69FD" w:rsidRPr="00E87D88" w:rsidRDefault="003D69FD" w:rsidP="00E87D88">
      <w:pPr>
        <w:pStyle w:val="Heading1"/>
      </w:pPr>
      <w:r w:rsidRPr="00E87D88">
        <w:lastRenderedPageBreak/>
        <w:t>Background</w:t>
      </w:r>
    </w:p>
    <w:p w14:paraId="079EF595" w14:textId="77777777" w:rsidR="003D69FD" w:rsidRPr="000A672F" w:rsidRDefault="003D69FD" w:rsidP="003D69FD">
      <w:r w:rsidRPr="000A672F">
        <w:t xml:space="preserve">Compass Group (Australia) Pty Ltd </w:t>
      </w:r>
      <w:r>
        <w:rPr>
          <w:color w:val="000000" w:themeColor="text1"/>
          <w:szCs w:val="22"/>
        </w:rPr>
        <w:t>(</w:t>
      </w:r>
      <w:r w:rsidRPr="001F1E2C">
        <w:rPr>
          <w:color w:val="000000" w:themeColor="text1"/>
          <w:szCs w:val="22"/>
        </w:rPr>
        <w:t>ACN 000 683 125</w:t>
      </w:r>
      <w:r>
        <w:rPr>
          <w:color w:val="000000" w:themeColor="text1"/>
          <w:szCs w:val="22"/>
        </w:rPr>
        <w:t>)</w:t>
      </w:r>
      <w:r w:rsidRPr="00084E43">
        <w:rPr>
          <w:color w:val="000000" w:themeColor="text1"/>
          <w:szCs w:val="22"/>
        </w:rPr>
        <w:t xml:space="preserve"> [Compass Group]</w:t>
      </w:r>
      <w:r w:rsidRPr="000A672F">
        <w:t xml:space="preserve"> is wholly owned by </w:t>
      </w:r>
      <w:r>
        <w:t xml:space="preserve">the British based </w:t>
      </w:r>
      <w:r w:rsidRPr="000A672F">
        <w:t>Compass Group PLC, which is one of the world’s largest food services and hospitality providers. In Australia, Compass Group employs more than 1</w:t>
      </w:r>
      <w:r>
        <w:t>0</w:t>
      </w:r>
      <w:r w:rsidRPr="000A672F">
        <w:t xml:space="preserve">,000 people at over </w:t>
      </w:r>
      <w:r>
        <w:t>5</w:t>
      </w:r>
      <w:r w:rsidRPr="000A672F">
        <w:t xml:space="preserve">00 client sites. </w:t>
      </w:r>
    </w:p>
    <w:p w14:paraId="783FFA5D" w14:textId="77777777" w:rsidR="003D69FD" w:rsidRDefault="003D69FD" w:rsidP="003D69FD">
      <w:r w:rsidRPr="000A672F">
        <w:t xml:space="preserve">Compass Group provides on-site catering and other support services to </w:t>
      </w:r>
      <w:r>
        <w:t xml:space="preserve">its </w:t>
      </w:r>
      <w:r w:rsidRPr="000A672F">
        <w:t xml:space="preserve">clients </w:t>
      </w:r>
      <w:r>
        <w:t xml:space="preserve">and operates the following portfolio of brands and businesses; </w:t>
      </w:r>
      <w:r w:rsidRPr="000A672F">
        <w:t>Chartwells, Eurest, ESS, DeltaFM, Medirest, Restaurant Associates</w:t>
      </w:r>
      <w:r>
        <w:t xml:space="preserve"> </w:t>
      </w:r>
      <w:r w:rsidRPr="000A672F">
        <w:t>and Omega Security Services</w:t>
      </w:r>
      <w:r>
        <w:t>.</w:t>
      </w:r>
      <w:r w:rsidRPr="000A672F">
        <w:t xml:space="preserve"> </w:t>
      </w:r>
    </w:p>
    <w:p w14:paraId="4974CC8D" w14:textId="77777777" w:rsidR="003D69FD" w:rsidRPr="000A672F" w:rsidRDefault="003D69FD" w:rsidP="003D69FD">
      <w:r>
        <w:t>It operates</w:t>
      </w:r>
      <w:r w:rsidRPr="000A672F">
        <w:t xml:space="preserve"> across a wide range of </w:t>
      </w:r>
      <w:r>
        <w:t xml:space="preserve">market </w:t>
      </w:r>
      <w:r w:rsidRPr="000A672F">
        <w:t>sectors including Business &amp; Industry, Education, H</w:t>
      </w:r>
      <w:r>
        <w:t>ospitals</w:t>
      </w:r>
      <w:r w:rsidRPr="000A672F">
        <w:t xml:space="preserve"> &amp; Senior Living, Defence, Leisure &amp; Retail</w:t>
      </w:r>
      <w:r>
        <w:t>, Security</w:t>
      </w:r>
      <w:r w:rsidRPr="000A672F">
        <w:t xml:space="preserve"> and the Remote &amp; Offshore sector (</w:t>
      </w:r>
      <w:r>
        <w:t xml:space="preserve">which services the </w:t>
      </w:r>
      <w:r w:rsidRPr="000A672F">
        <w:t>oil and gas industry, mining and major resources industry construction projects).</w:t>
      </w:r>
      <w:r>
        <w:rPr>
          <w:rStyle w:val="FootnoteReference"/>
        </w:rPr>
        <w:footnoteReference w:id="3"/>
      </w:r>
    </w:p>
    <w:p w14:paraId="20D82659" w14:textId="77777777" w:rsidR="003D69FD" w:rsidRDefault="003D69FD" w:rsidP="003D69FD">
      <w:r w:rsidRPr="000A672F">
        <w:t>From September 2012 to August 2013, the F</w:t>
      </w:r>
      <w:r>
        <w:t xml:space="preserve">WO </w:t>
      </w:r>
      <w:r w:rsidRPr="000A672F">
        <w:t xml:space="preserve">received a </w:t>
      </w:r>
      <w:r w:rsidRPr="00D83AF6">
        <w:t>number</w:t>
      </w:r>
      <w:r w:rsidRPr="00C34F4A">
        <w:t xml:space="preserve"> of </w:t>
      </w:r>
      <w:r>
        <w:t xml:space="preserve">requests for assistance regarding alleged </w:t>
      </w:r>
      <w:r w:rsidRPr="000A672F">
        <w:t xml:space="preserve">underpayment of wages and entitlements </w:t>
      </w:r>
      <w:r>
        <w:t xml:space="preserve">concerning </w:t>
      </w:r>
      <w:r w:rsidRPr="000A672F">
        <w:t xml:space="preserve">Compass Group and </w:t>
      </w:r>
      <w:r>
        <w:t xml:space="preserve">its </w:t>
      </w:r>
      <w:r w:rsidRPr="000A672F">
        <w:t xml:space="preserve">related entities. </w:t>
      </w:r>
      <w:r>
        <w:t>While investigations showed that in a number of these matters there were no contraventions of workplace laws, the FWO experienced considerable difficulty dealing with Compass. As a consequence, the FWO initiated discussions to offer a formal compliance partnership with Compass in an attempt to focus on resolving matters in a timelier and transparent manner. The main premise of such an offer by the FWO was that an entity the size of Compass Group should not be ‘outsourcing’ its compliance commitment and responsibilities to the taxpayer through the agency of the FWO.  Any formal partnership would be underpinned by a PCD, which is a key tool of the FWO’s compliance framework</w:t>
      </w:r>
      <w:r>
        <w:rPr>
          <w:rStyle w:val="FootnoteReference"/>
        </w:rPr>
        <w:footnoteReference w:id="4"/>
      </w:r>
      <w:r>
        <w:t xml:space="preserve">.  </w:t>
      </w:r>
    </w:p>
    <w:p w14:paraId="38D67276" w14:textId="338732BA" w:rsidR="003D69FD" w:rsidRDefault="003D69FD" w:rsidP="0079623E">
      <w:r>
        <w:t>Compass and the FWO entered a formal compliance partnership on 4 June 2014.</w:t>
      </w:r>
      <w:r>
        <w:rPr>
          <w:rStyle w:val="FootnoteReference"/>
        </w:rPr>
        <w:footnoteReference w:id="5"/>
      </w:r>
    </w:p>
    <w:p w14:paraId="64B1E8F4" w14:textId="77777777" w:rsidR="00AD7390" w:rsidRDefault="00AD7390" w:rsidP="0079623E">
      <w:pPr>
        <w:rPr>
          <w:rStyle w:val="Strong"/>
          <w:b w:val="0"/>
          <w:bCs w:val="0"/>
        </w:rPr>
      </w:pPr>
    </w:p>
    <w:p w14:paraId="458F887A" w14:textId="5C009A9C" w:rsidR="005409BE" w:rsidRPr="00E87D88" w:rsidRDefault="005409BE" w:rsidP="00E87D88">
      <w:pPr>
        <w:pStyle w:val="Heading1"/>
      </w:pPr>
      <w:r w:rsidRPr="00E87D88">
        <w:lastRenderedPageBreak/>
        <w:t xml:space="preserve">Detail of </w:t>
      </w:r>
      <w:r w:rsidR="00FB1DAE" w:rsidRPr="00E87D88">
        <w:t>m</w:t>
      </w:r>
      <w:r w:rsidRPr="00E87D88">
        <w:t xml:space="preserve">ilestones reached under the </w:t>
      </w:r>
      <w:r w:rsidR="003C5A59" w:rsidRPr="00E87D88">
        <w:t>c</w:t>
      </w:r>
      <w:r w:rsidR="00DC2DCA" w:rsidRPr="00E87D88">
        <w:t xml:space="preserve">ompliance </w:t>
      </w:r>
      <w:r w:rsidR="003C5A59" w:rsidRPr="00E87D88">
        <w:t>p</w:t>
      </w:r>
      <w:r w:rsidR="00DC2DCA" w:rsidRPr="00E87D88">
        <w:t>artnership</w:t>
      </w:r>
    </w:p>
    <w:p w14:paraId="2E737867" w14:textId="7035B808" w:rsidR="005409BE" w:rsidRDefault="005409BE" w:rsidP="00E87D88">
      <w:pPr>
        <w:pStyle w:val="Heading2"/>
        <w:numPr>
          <w:ilvl w:val="0"/>
          <w:numId w:val="36"/>
        </w:numPr>
      </w:pPr>
      <w:r w:rsidRPr="00E87D88">
        <w:t>Communicatio</w:t>
      </w:r>
      <w:r w:rsidRPr="00CF71E3">
        <w:rPr>
          <w:rStyle w:val="Strong"/>
          <w:b w:val="0"/>
        </w:rPr>
        <w:t>n</w:t>
      </w:r>
    </w:p>
    <w:p w14:paraId="65F343FA" w14:textId="3A7D1145" w:rsidR="00C831EC" w:rsidRDefault="00C242EC" w:rsidP="007F14DF">
      <w:r>
        <w:t xml:space="preserve">One of the main obligations under the </w:t>
      </w:r>
      <w:r w:rsidR="00E6271B">
        <w:t>PCD</w:t>
      </w:r>
      <w:r>
        <w:t xml:space="preserve"> was </w:t>
      </w:r>
      <w:r w:rsidR="00E6271B">
        <w:t>for</w:t>
      </w:r>
      <w:r>
        <w:t xml:space="preserve"> Compass Group to communicate its compliance partnership with the F</w:t>
      </w:r>
      <w:r w:rsidR="00D83AF6">
        <w:t>WO</w:t>
      </w:r>
      <w:r>
        <w:t xml:space="preserve"> to all employees of Compass Group and </w:t>
      </w:r>
      <w:r w:rsidR="005336B6">
        <w:t>its</w:t>
      </w:r>
      <w:r>
        <w:t xml:space="preserve"> related entities.  </w:t>
      </w:r>
    </w:p>
    <w:p w14:paraId="35E8F8A7" w14:textId="750DB45C" w:rsidR="003C5A59" w:rsidRDefault="00DC2DCA">
      <w:r>
        <w:t>The reasons for this were</w:t>
      </w:r>
      <w:r w:rsidR="003C5A59">
        <w:t xml:space="preserve"> to:</w:t>
      </w:r>
    </w:p>
    <w:p w14:paraId="4E60AD5B" w14:textId="21B268AF" w:rsidR="003C5A59" w:rsidRDefault="00DC2DCA" w:rsidP="0079623E">
      <w:pPr>
        <w:pStyle w:val="ListParagraph"/>
        <w:numPr>
          <w:ilvl w:val="0"/>
          <w:numId w:val="32"/>
        </w:numPr>
        <w:contextualSpacing w:val="0"/>
        <w:rPr>
          <w:szCs w:val="22"/>
        </w:rPr>
      </w:pPr>
      <w:r>
        <w:t xml:space="preserve">demonstrate to all employees, related entities and the community </w:t>
      </w:r>
      <w:r w:rsidRPr="003C5A59">
        <w:rPr>
          <w:szCs w:val="22"/>
        </w:rPr>
        <w:t>that Compass Group was committed to working with the F</w:t>
      </w:r>
      <w:r w:rsidR="00B21FC3" w:rsidRPr="00A1305A">
        <w:rPr>
          <w:szCs w:val="22"/>
        </w:rPr>
        <w:t>WO</w:t>
      </w:r>
      <w:r w:rsidRPr="00A1305A">
        <w:rPr>
          <w:szCs w:val="22"/>
        </w:rPr>
        <w:t xml:space="preserve"> to promote harmonious, productive and c</w:t>
      </w:r>
      <w:r w:rsidRPr="007F14DF">
        <w:rPr>
          <w:szCs w:val="22"/>
        </w:rPr>
        <w:t>ooperative workplaces</w:t>
      </w:r>
    </w:p>
    <w:p w14:paraId="4083B658" w14:textId="5466C72F" w:rsidR="00DC2DCA" w:rsidRPr="003C5A59" w:rsidRDefault="00DC2DCA" w:rsidP="0079623E">
      <w:pPr>
        <w:pStyle w:val="ListParagraph"/>
        <w:numPr>
          <w:ilvl w:val="0"/>
          <w:numId w:val="32"/>
        </w:numPr>
        <w:contextualSpacing w:val="0"/>
        <w:rPr>
          <w:szCs w:val="22"/>
        </w:rPr>
      </w:pPr>
      <w:r w:rsidRPr="003C5A59">
        <w:rPr>
          <w:szCs w:val="22"/>
        </w:rPr>
        <w:t xml:space="preserve">ensure that all related </w:t>
      </w:r>
      <w:r w:rsidR="00C242EC" w:rsidRPr="003C5A59">
        <w:rPr>
          <w:szCs w:val="22"/>
        </w:rPr>
        <w:t>entities commit</w:t>
      </w:r>
      <w:r w:rsidR="00B21FC3" w:rsidRPr="003C5A59">
        <w:rPr>
          <w:szCs w:val="22"/>
        </w:rPr>
        <w:t>ted</w:t>
      </w:r>
      <w:r w:rsidRPr="003C5A59">
        <w:rPr>
          <w:szCs w:val="22"/>
        </w:rPr>
        <w:t xml:space="preserve"> to complying with their workplace obligations to enhance the Compass Group brand and the ongoing success of the business.</w:t>
      </w:r>
    </w:p>
    <w:p w14:paraId="58B165B6" w14:textId="77777777" w:rsidR="0036029C" w:rsidRDefault="008C25E9" w:rsidP="007F14DF">
      <w:r w:rsidRPr="000A672F">
        <w:t>Compass Group w</w:t>
      </w:r>
      <w:r>
        <w:t>as</w:t>
      </w:r>
      <w:r w:rsidRPr="000A672F">
        <w:t xml:space="preserve"> required</w:t>
      </w:r>
      <w:r>
        <w:t xml:space="preserve"> to</w:t>
      </w:r>
      <w:r w:rsidR="0036029C">
        <w:t>:</w:t>
      </w:r>
    </w:p>
    <w:p w14:paraId="7FD33523" w14:textId="08F13B11" w:rsidR="0036029C" w:rsidRDefault="008C25E9" w:rsidP="0079623E">
      <w:pPr>
        <w:pStyle w:val="ListParagraph"/>
        <w:numPr>
          <w:ilvl w:val="0"/>
          <w:numId w:val="30"/>
        </w:numPr>
        <w:contextualSpacing w:val="0"/>
      </w:pPr>
      <w:r>
        <w:t xml:space="preserve">communicate the </w:t>
      </w:r>
      <w:r w:rsidR="00892D33">
        <w:t xml:space="preserve">existence of the </w:t>
      </w:r>
      <w:r>
        <w:t>PCD and</w:t>
      </w:r>
      <w:r w:rsidRPr="008C25E9">
        <w:t xml:space="preserve"> </w:t>
      </w:r>
      <w:r>
        <w:t>provide a copy to all its employees and employees of its related entities</w:t>
      </w:r>
      <w:r w:rsidR="0036029C" w:rsidRPr="0036029C">
        <w:t xml:space="preserve"> </w:t>
      </w:r>
      <w:r w:rsidR="0036029C">
        <w:t>within 14 days of the PCD being signed</w:t>
      </w:r>
    </w:p>
    <w:p w14:paraId="20860C5D" w14:textId="77777777" w:rsidR="0036029C" w:rsidRDefault="000A672F" w:rsidP="0079623E">
      <w:pPr>
        <w:pStyle w:val="ListParagraph"/>
        <w:numPr>
          <w:ilvl w:val="0"/>
          <w:numId w:val="30"/>
        </w:numPr>
        <w:contextualSpacing w:val="0"/>
      </w:pPr>
      <w:r>
        <w:t xml:space="preserve">communicate the existence of the </w:t>
      </w:r>
      <w:r w:rsidR="008C25E9">
        <w:t>PCD</w:t>
      </w:r>
      <w:r w:rsidR="00DC2DCA">
        <w:t xml:space="preserve"> </w:t>
      </w:r>
      <w:r>
        <w:t>to all future employees within 14 days of the commencement of their employment</w:t>
      </w:r>
    </w:p>
    <w:p w14:paraId="17F736B9" w14:textId="66067366" w:rsidR="000A672F" w:rsidRDefault="00C34F4A" w:rsidP="0079623E">
      <w:pPr>
        <w:pStyle w:val="ListParagraph"/>
        <w:numPr>
          <w:ilvl w:val="0"/>
          <w:numId w:val="30"/>
        </w:numPr>
        <w:contextualSpacing w:val="0"/>
      </w:pPr>
      <w:r>
        <w:t xml:space="preserve">advise </w:t>
      </w:r>
      <w:r w:rsidR="00DC2DCA">
        <w:t>all employees how they could access information about their entitlements and rights at work, either through Compass Group directly or with the F</w:t>
      </w:r>
      <w:r w:rsidR="00B21FC3">
        <w:t>WO</w:t>
      </w:r>
      <w:r w:rsidR="00DC2DCA">
        <w:t>.</w:t>
      </w:r>
    </w:p>
    <w:p w14:paraId="01FB0824" w14:textId="4FA174A3" w:rsidR="009E40E2" w:rsidRDefault="008E734B" w:rsidP="007F14DF">
      <w:r>
        <w:t>On 25 August 2014</w:t>
      </w:r>
      <w:r w:rsidR="005568F3">
        <w:t xml:space="preserve">, </w:t>
      </w:r>
      <w:r w:rsidR="009E40E2">
        <w:t xml:space="preserve">Compass Group advised all employees via </w:t>
      </w:r>
      <w:r w:rsidR="007864DD">
        <w:t xml:space="preserve">its </w:t>
      </w:r>
      <w:r w:rsidR="00877076">
        <w:t xml:space="preserve">online </w:t>
      </w:r>
      <w:r w:rsidR="00095FEC">
        <w:t xml:space="preserve">employee </w:t>
      </w:r>
      <w:r w:rsidR="00877076">
        <w:t>portal</w:t>
      </w:r>
      <w:r w:rsidR="009E40E2">
        <w:t xml:space="preserve"> that </w:t>
      </w:r>
      <w:r w:rsidR="007864DD">
        <w:t>it</w:t>
      </w:r>
      <w:r w:rsidR="009E40E2">
        <w:t xml:space="preserve"> had entered into a compliance partnership with the F</w:t>
      </w:r>
      <w:r w:rsidR="00B21FC3">
        <w:t>WO</w:t>
      </w:r>
      <w:r w:rsidR="009E40E2">
        <w:t>. At the same time, a notice was sent by mail to all of the related entities advising them of the compliance partnership with the F</w:t>
      </w:r>
      <w:r w:rsidR="00B21FC3">
        <w:t>WO</w:t>
      </w:r>
      <w:r w:rsidR="009E40E2">
        <w:t xml:space="preserve">. </w:t>
      </w:r>
      <w:r w:rsidR="00095FEC">
        <w:t>Compass Group confirmed with the FWO that a</w:t>
      </w:r>
      <w:r w:rsidR="009E40E2" w:rsidRPr="009E40E2">
        <w:t xml:space="preserve"> copy of the </w:t>
      </w:r>
      <w:r w:rsidR="0036029C">
        <w:t>PCD</w:t>
      </w:r>
      <w:r w:rsidR="009E40E2" w:rsidRPr="009E40E2">
        <w:t xml:space="preserve"> </w:t>
      </w:r>
      <w:r w:rsidR="00C831EC">
        <w:t>was made</w:t>
      </w:r>
      <w:r w:rsidR="00C831EC" w:rsidRPr="009E40E2">
        <w:t xml:space="preserve"> </w:t>
      </w:r>
      <w:r w:rsidR="009E40E2" w:rsidRPr="009E40E2">
        <w:t>available for all employees on an ongoing basis via</w:t>
      </w:r>
      <w:r w:rsidR="00095FEC">
        <w:t xml:space="preserve"> </w:t>
      </w:r>
      <w:r w:rsidR="006A17CF">
        <w:t>its</w:t>
      </w:r>
      <w:r w:rsidR="00095FEC">
        <w:t xml:space="preserve"> employee portal.</w:t>
      </w:r>
    </w:p>
    <w:p w14:paraId="1673F1A5" w14:textId="00046510" w:rsidR="00DC2DCA" w:rsidRDefault="00DC2DCA">
      <w:r>
        <w:t xml:space="preserve">In </w:t>
      </w:r>
      <w:r w:rsidR="009F5F64">
        <w:t>addition, all</w:t>
      </w:r>
      <w:r>
        <w:t xml:space="preserve"> employees were advised of the Compass Group’s contact details for information about their </w:t>
      </w:r>
      <w:r w:rsidR="006A17CF">
        <w:t xml:space="preserve">workplace rights and </w:t>
      </w:r>
      <w:r>
        <w:t>entitlements, as well as the contact details of the F</w:t>
      </w:r>
      <w:r w:rsidR="00B21FC3">
        <w:t>WO.</w:t>
      </w:r>
    </w:p>
    <w:p w14:paraId="12879921" w14:textId="3790DAE7" w:rsidR="005409BE" w:rsidRPr="00E87D88" w:rsidRDefault="005409BE" w:rsidP="00E87D88">
      <w:pPr>
        <w:pStyle w:val="Heading2"/>
        <w:numPr>
          <w:ilvl w:val="0"/>
          <w:numId w:val="36"/>
        </w:numPr>
      </w:pPr>
      <w:r w:rsidRPr="00E87D88">
        <w:t>Systems and processes to promote compliance</w:t>
      </w:r>
    </w:p>
    <w:p w14:paraId="770A4E64" w14:textId="43A5D41B" w:rsidR="00736D84" w:rsidRDefault="00736D84" w:rsidP="007F14DF">
      <w:r>
        <w:t>An objective of c</w:t>
      </w:r>
      <w:r w:rsidR="00DC2DCA" w:rsidRPr="003814DB">
        <w:t>ompliance partnership</w:t>
      </w:r>
      <w:r w:rsidR="006A17CF">
        <w:t>s</w:t>
      </w:r>
      <w:r>
        <w:t xml:space="preserve"> is to</w:t>
      </w:r>
      <w:r w:rsidR="00DC2DCA" w:rsidRPr="003814DB">
        <w:t xml:space="preserve"> give </w:t>
      </w:r>
      <w:r>
        <w:t>workers</w:t>
      </w:r>
      <w:r w:rsidR="00DC2DCA" w:rsidRPr="003814DB">
        <w:t xml:space="preserve"> certainty that the</w:t>
      </w:r>
      <w:r>
        <w:t xml:space="preserve"> various</w:t>
      </w:r>
      <w:r w:rsidR="00DC2DCA" w:rsidRPr="003814DB">
        <w:t xml:space="preserve"> systems and processes are working effectively and </w:t>
      </w:r>
      <w:r w:rsidR="00DC2DCA">
        <w:t xml:space="preserve">to </w:t>
      </w:r>
      <w:r w:rsidR="00DC2DCA" w:rsidRPr="003814DB">
        <w:t>help build a culture of compliance</w:t>
      </w:r>
      <w:r>
        <w:t xml:space="preserve"> in the brand</w:t>
      </w:r>
      <w:r w:rsidR="00DC2DCA">
        <w:t xml:space="preserve">.  </w:t>
      </w:r>
    </w:p>
    <w:p w14:paraId="616E5680" w14:textId="77777777" w:rsidR="00DC2DCA" w:rsidRDefault="00DC2DCA">
      <w:r>
        <w:lastRenderedPageBreak/>
        <w:t xml:space="preserve">Regardless of the size of any business, it is </w:t>
      </w:r>
      <w:r w:rsidR="00BE5CFD">
        <w:t>critical</w:t>
      </w:r>
      <w:r w:rsidR="00736D84">
        <w:t xml:space="preserve"> </w:t>
      </w:r>
      <w:r>
        <w:t>to have effective and current systems</w:t>
      </w:r>
      <w:r w:rsidR="00C34F4A">
        <w:t>, processes and controls</w:t>
      </w:r>
      <w:r>
        <w:t xml:space="preserve"> in place to ensure that issues such as records relating to employees are made and kept and employees are paid </w:t>
      </w:r>
      <w:r w:rsidR="009F5F64">
        <w:t>correctly,</w:t>
      </w:r>
      <w:r>
        <w:t xml:space="preserve"> for all hours worked.  </w:t>
      </w:r>
    </w:p>
    <w:p w14:paraId="60F95639" w14:textId="49E28919" w:rsidR="00221795" w:rsidRDefault="00221795">
      <w:r>
        <w:t xml:space="preserve">Compass Group uses </w:t>
      </w:r>
      <w:r w:rsidR="006A17CF">
        <w:t xml:space="preserve">software </w:t>
      </w:r>
      <w:r w:rsidR="00EA4F95">
        <w:t>which</w:t>
      </w:r>
      <w:r>
        <w:t xml:space="preserve"> has an award interpreter module that </w:t>
      </w:r>
      <w:r w:rsidR="00BE5CFD">
        <w:t xml:space="preserve">seeks to ensure </w:t>
      </w:r>
      <w:r>
        <w:t xml:space="preserve">each </w:t>
      </w:r>
      <w:r w:rsidR="006A17CF">
        <w:t>employee</w:t>
      </w:r>
      <w:r>
        <w:t xml:space="preserve"> is pai</w:t>
      </w:r>
      <w:r w:rsidR="006A17CF">
        <w:t>d</w:t>
      </w:r>
      <w:r>
        <w:t xml:space="preserve"> the correct rates of pay </w:t>
      </w:r>
      <w:r w:rsidR="006A17CF">
        <w:t xml:space="preserve">from their industrial instrument </w:t>
      </w:r>
      <w:r>
        <w:t xml:space="preserve">when working hours are entered into the system. This is based on the information completed and signed by employees on their timesheets.  </w:t>
      </w:r>
      <w:r w:rsidR="00EA4F95">
        <w:t xml:space="preserve">This is the primary way that Compass Group ensures employees are paid correctly for all hours worked. </w:t>
      </w:r>
      <w:r>
        <w:t xml:space="preserve">Managers are trained in how to use </w:t>
      </w:r>
      <w:r w:rsidR="006A17CF">
        <w:t xml:space="preserve">the payroll software </w:t>
      </w:r>
      <w:r>
        <w:t>and the relevant payroll codes.</w:t>
      </w:r>
    </w:p>
    <w:p w14:paraId="586DADDC" w14:textId="6128051D" w:rsidR="005409BE" w:rsidRDefault="000A3498">
      <w:r w:rsidRPr="000A3498">
        <w:t>Compass Group w</w:t>
      </w:r>
      <w:r w:rsidR="00D07E7C">
        <w:t>as</w:t>
      </w:r>
      <w:r w:rsidRPr="000A3498">
        <w:t xml:space="preserve"> required</w:t>
      </w:r>
      <w:r w:rsidR="00D90EC5">
        <w:t>,</w:t>
      </w:r>
      <w:r w:rsidRPr="000A3498">
        <w:t xml:space="preserve"> </w:t>
      </w:r>
      <w:r w:rsidR="001F1E2C">
        <w:t>within 28 days of the</w:t>
      </w:r>
      <w:r w:rsidR="003929C3">
        <w:t xml:space="preserve"> PCD</w:t>
      </w:r>
      <w:r w:rsidR="001F1E2C">
        <w:t xml:space="preserve"> being signed</w:t>
      </w:r>
      <w:r w:rsidR="00D90EC5">
        <w:t>,</w:t>
      </w:r>
      <w:r w:rsidR="001F1E2C" w:rsidRPr="000A3498">
        <w:t xml:space="preserve"> </w:t>
      </w:r>
      <w:r w:rsidRPr="000A3498">
        <w:t xml:space="preserve">to </w:t>
      </w:r>
      <w:r w:rsidR="00DC2DCA">
        <w:t>provide the F</w:t>
      </w:r>
      <w:r w:rsidR="00B21FC3">
        <w:t>WO wi</w:t>
      </w:r>
      <w:r w:rsidR="00DC2DCA">
        <w:t xml:space="preserve">th details of the systems and processes </w:t>
      </w:r>
      <w:r>
        <w:t xml:space="preserve">already in place or to be implemented to ensure ongoing compliance </w:t>
      </w:r>
      <w:r w:rsidR="00DC2DCA">
        <w:t>by Compass</w:t>
      </w:r>
      <w:r w:rsidR="00D90EC5">
        <w:t xml:space="preserve"> Group and its related entities</w:t>
      </w:r>
      <w:r w:rsidR="00DC2DCA">
        <w:t xml:space="preserve"> </w:t>
      </w:r>
      <w:r>
        <w:t>with relev</w:t>
      </w:r>
      <w:r w:rsidR="00366FE1">
        <w:t>ant Commonwealth workplace laws</w:t>
      </w:r>
      <w:r>
        <w:t>.</w:t>
      </w:r>
      <w:r w:rsidR="00366FE1">
        <w:t xml:space="preserve"> </w:t>
      </w:r>
    </w:p>
    <w:p w14:paraId="02B3B302" w14:textId="60E89EB2" w:rsidR="00E72290" w:rsidRDefault="001F1E2C">
      <w:r>
        <w:t xml:space="preserve">These details were not formally provided by Compass Group at this time. However, as part of the reporting requirements under the </w:t>
      </w:r>
      <w:r w:rsidR="008755B5">
        <w:t>PCD</w:t>
      </w:r>
      <w:r>
        <w:t xml:space="preserve">, </w:t>
      </w:r>
      <w:r w:rsidR="002C6C56" w:rsidRPr="00221795">
        <w:t xml:space="preserve">Compass </w:t>
      </w:r>
      <w:r w:rsidR="00C34F4A" w:rsidRPr="00221795">
        <w:t xml:space="preserve">Group advised </w:t>
      </w:r>
      <w:r w:rsidR="00221795" w:rsidRPr="00221795">
        <w:t xml:space="preserve">the </w:t>
      </w:r>
      <w:r w:rsidR="00476B01">
        <w:t>FWO of the</w:t>
      </w:r>
      <w:r w:rsidR="00221795" w:rsidRPr="00221795">
        <w:t xml:space="preserve"> </w:t>
      </w:r>
      <w:r w:rsidR="00C34F4A" w:rsidRPr="00221795">
        <w:t xml:space="preserve">systems and processes </w:t>
      </w:r>
      <w:r w:rsidR="00221795" w:rsidRPr="00221795">
        <w:t xml:space="preserve">that </w:t>
      </w:r>
      <w:r w:rsidR="00D07E7C" w:rsidRPr="00221795">
        <w:t xml:space="preserve">had been refined </w:t>
      </w:r>
      <w:r w:rsidR="00C34F4A" w:rsidRPr="00221795">
        <w:t>to ensure compliance with Commonwealth workplace laws across a</w:t>
      </w:r>
      <w:r w:rsidR="00D07E7C" w:rsidRPr="00221795">
        <w:t>ll of its brands and businesses</w:t>
      </w:r>
      <w:r w:rsidR="008755B5">
        <w:t>. F</w:t>
      </w:r>
      <w:r w:rsidR="00476B01">
        <w:t>or instance:</w:t>
      </w:r>
    </w:p>
    <w:p w14:paraId="42E6FE49" w14:textId="77777777" w:rsidR="00C34F4A" w:rsidRPr="00872ACD" w:rsidRDefault="00E72290" w:rsidP="00E87D88">
      <w:pPr>
        <w:pStyle w:val="Heading3"/>
      </w:pPr>
      <w:r w:rsidRPr="00872ACD">
        <w:t>Notice pay paid correctly on termination</w:t>
      </w:r>
    </w:p>
    <w:p w14:paraId="32B616F5" w14:textId="5F1AA04B" w:rsidR="00EC320F" w:rsidRDefault="00E72290">
      <w:r>
        <w:t xml:space="preserve">The Termination Advice Form that is submitted by </w:t>
      </w:r>
      <w:r w:rsidR="006F7C15">
        <w:t>s</w:t>
      </w:r>
      <w:r w:rsidR="00221795">
        <w:t xml:space="preserve">ite </w:t>
      </w:r>
      <w:r w:rsidR="006F7C15">
        <w:t>m</w:t>
      </w:r>
      <w:r>
        <w:t xml:space="preserve">anagers to the payroll team for the processing of entitlements on termination was </w:t>
      </w:r>
      <w:r w:rsidR="001D079A">
        <w:t xml:space="preserve">updated </w:t>
      </w:r>
      <w:r>
        <w:t>to include the following:</w:t>
      </w:r>
    </w:p>
    <w:p w14:paraId="0E9B76B8" w14:textId="77777777" w:rsidR="00E72290" w:rsidRDefault="00221795" w:rsidP="0079623E">
      <w:pPr>
        <w:pStyle w:val="ListParagraph"/>
        <w:numPr>
          <w:ilvl w:val="0"/>
          <w:numId w:val="25"/>
        </w:numPr>
        <w:contextualSpacing w:val="0"/>
      </w:pPr>
      <w:r>
        <w:t>a</w:t>
      </w:r>
      <w:r w:rsidR="00E72290">
        <w:t xml:space="preserve"> record of the notice provided</w:t>
      </w:r>
    </w:p>
    <w:p w14:paraId="7D262FC8" w14:textId="77777777" w:rsidR="00E72290" w:rsidRDefault="00221795" w:rsidP="0079623E">
      <w:pPr>
        <w:pStyle w:val="ListParagraph"/>
        <w:numPr>
          <w:ilvl w:val="0"/>
          <w:numId w:val="25"/>
        </w:numPr>
        <w:contextualSpacing w:val="0"/>
      </w:pPr>
      <w:r>
        <w:t xml:space="preserve">the </w:t>
      </w:r>
      <w:r w:rsidR="00EA4F95">
        <w:t>anticipated</w:t>
      </w:r>
      <w:r>
        <w:t xml:space="preserve"> working hours during the notice period so that a notice in lieu payment was calculated correctly.</w:t>
      </w:r>
    </w:p>
    <w:p w14:paraId="3D03FBAD" w14:textId="77777777" w:rsidR="00E72290" w:rsidRPr="00221795" w:rsidRDefault="00E72290" w:rsidP="00E87D88">
      <w:pPr>
        <w:pStyle w:val="Heading3"/>
      </w:pPr>
      <w:r w:rsidRPr="00221795">
        <w:t>Annual leave enti</w:t>
      </w:r>
      <w:r w:rsidR="00EA15ED" w:rsidRPr="00221795">
        <w:t>t</w:t>
      </w:r>
      <w:r w:rsidRPr="00221795">
        <w:t>lements on termination to be paid in a timely manner</w:t>
      </w:r>
    </w:p>
    <w:p w14:paraId="440DD5D0" w14:textId="03DB533A" w:rsidR="00A1305A" w:rsidRDefault="001D079A">
      <w:pPr>
        <w:rPr>
          <w:b/>
          <w:u w:val="single"/>
        </w:rPr>
      </w:pPr>
      <w:r>
        <w:t>A</w:t>
      </w:r>
      <w:r w:rsidR="00EA15ED">
        <w:t xml:space="preserve">ll </w:t>
      </w:r>
      <w:r w:rsidR="00221795">
        <w:t xml:space="preserve">Site </w:t>
      </w:r>
      <w:r w:rsidR="00EA15ED">
        <w:t xml:space="preserve">Managers were reminded </w:t>
      </w:r>
      <w:r w:rsidR="00F45C5D">
        <w:t>of their responsibility to</w:t>
      </w:r>
      <w:r w:rsidR="00EA15ED">
        <w:t xml:space="preserve"> complete termination advices correctly and in a timely manner</w:t>
      </w:r>
      <w:r>
        <w:t>,</w:t>
      </w:r>
      <w:r w:rsidR="00EA15ED">
        <w:t xml:space="preserve"> </w:t>
      </w:r>
      <w:r>
        <w:t xml:space="preserve">which ensured that annual leave on termination was paid promptly to employees. </w:t>
      </w:r>
      <w:r w:rsidR="00F45C5D">
        <w:t>As an additional check</w:t>
      </w:r>
      <w:r w:rsidR="00EA15ED">
        <w:t>, a monthly report is generated and sent to the Human Resources Team to advise of any employees who are still active in the payroll system, but with no hours being processed.</w:t>
      </w:r>
    </w:p>
    <w:p w14:paraId="5480D018" w14:textId="007282BA" w:rsidR="00221795" w:rsidRPr="00221795" w:rsidRDefault="00221795" w:rsidP="00E87D88">
      <w:pPr>
        <w:pStyle w:val="Heading3"/>
      </w:pPr>
      <w:r w:rsidRPr="00221795">
        <w:t>Development of toolkits and guides for Managers</w:t>
      </w:r>
    </w:p>
    <w:p w14:paraId="6CBC14FD" w14:textId="2B804733" w:rsidR="00221795" w:rsidRDefault="00EA4F95">
      <w:r>
        <w:t>Toolkits</w:t>
      </w:r>
      <w:r w:rsidR="00221795">
        <w:t xml:space="preserve"> </w:t>
      </w:r>
      <w:r w:rsidR="00430ECD">
        <w:t xml:space="preserve">and guides for managers on topics such as parental leave and absence management were developed and communicated to all staff in a management role. </w:t>
      </w:r>
      <w:r w:rsidR="00F45C5D">
        <w:t>To improve each manager’s knowledge of industrial instruments, m</w:t>
      </w:r>
      <w:r w:rsidR="00221795">
        <w:t xml:space="preserve">anager guides were also developed on the </w:t>
      </w:r>
      <w:r w:rsidR="00221795" w:rsidRPr="00FB1DAE">
        <w:rPr>
          <w:i/>
        </w:rPr>
        <w:t xml:space="preserve">Hospitality </w:t>
      </w:r>
      <w:r w:rsidR="00221795" w:rsidRPr="00FB1DAE">
        <w:rPr>
          <w:i/>
        </w:rPr>
        <w:lastRenderedPageBreak/>
        <w:t>Industry (General) Award</w:t>
      </w:r>
      <w:r w:rsidR="00FB1DAE" w:rsidRPr="00FB1DAE">
        <w:rPr>
          <w:i/>
        </w:rPr>
        <w:t xml:space="preserve"> 2010</w:t>
      </w:r>
      <w:r w:rsidR="00221795">
        <w:t xml:space="preserve"> and the main enterprise </w:t>
      </w:r>
      <w:r>
        <w:t>agreements</w:t>
      </w:r>
      <w:r w:rsidR="00221795">
        <w:t xml:space="preserve"> applicable to Compass Group and their related entities.</w:t>
      </w:r>
    </w:p>
    <w:p w14:paraId="067E19D0" w14:textId="4F9ECA19" w:rsidR="00221795" w:rsidRDefault="00221795">
      <w:pPr>
        <w:ind w:left="720"/>
        <w:rPr>
          <w:i/>
        </w:rPr>
      </w:pPr>
      <w:r>
        <w:rPr>
          <w:i/>
        </w:rPr>
        <w:t xml:space="preserve">We can never be confident that we will pay people accurately 100% of the time, as there will always be human error. </w:t>
      </w:r>
      <w:r w:rsidR="00EA4F95">
        <w:rPr>
          <w:i/>
        </w:rPr>
        <w:t>However,</w:t>
      </w:r>
      <w:r>
        <w:rPr>
          <w:i/>
        </w:rPr>
        <w:t xml:space="preserve"> our central systems and processes are designed to promote compliance.</w:t>
      </w:r>
    </w:p>
    <w:p w14:paraId="67C5FD8E" w14:textId="48A37651" w:rsidR="00FC044E" w:rsidRDefault="00221795">
      <w:pPr>
        <w:ind w:left="720"/>
        <w:rPr>
          <w:i/>
        </w:rPr>
      </w:pPr>
      <w:r>
        <w:rPr>
          <w:i/>
        </w:rPr>
        <w:t>As a business operating primarily in the hospitality industry, we have reasonabl</w:t>
      </w:r>
      <w:r w:rsidR="00447525">
        <w:rPr>
          <w:i/>
        </w:rPr>
        <w:t>y</w:t>
      </w:r>
      <w:r>
        <w:rPr>
          <w:i/>
        </w:rPr>
        <w:t xml:space="preserve"> high labour turnover so it is always a challenge to train new managers on Compass Group systems and processes. </w:t>
      </w:r>
      <w:r w:rsidR="00EA4F95">
        <w:rPr>
          <w:i/>
        </w:rPr>
        <w:t xml:space="preserve">Compass Group has a formal training program in place for new managers, which includes training on the systems they need to perform their key functions. </w:t>
      </w:r>
      <w:r>
        <w:rPr>
          <w:i/>
        </w:rPr>
        <w:t xml:space="preserve">This includes PayGlobal training and People Management Essentials. </w:t>
      </w:r>
    </w:p>
    <w:p w14:paraId="2EB0E341" w14:textId="2ECD5767" w:rsidR="00221795" w:rsidRPr="00FC044E" w:rsidRDefault="00221795">
      <w:pPr>
        <w:ind w:left="720"/>
      </w:pPr>
      <w:r w:rsidRPr="00FC044E">
        <w:t>(National Workplace Relations Manager, Compass Group)</w:t>
      </w:r>
      <w:r w:rsidR="00AD7390">
        <w:t>.</w:t>
      </w:r>
    </w:p>
    <w:p w14:paraId="530B1246" w14:textId="43A3B913" w:rsidR="005409BE" w:rsidRPr="00E87D88" w:rsidRDefault="005409BE" w:rsidP="00E87D88">
      <w:pPr>
        <w:pStyle w:val="Heading2"/>
        <w:numPr>
          <w:ilvl w:val="0"/>
          <w:numId w:val="36"/>
        </w:numPr>
      </w:pPr>
      <w:r w:rsidRPr="00E87D88">
        <w:t>Self-resolution of workplace disputes</w:t>
      </w:r>
    </w:p>
    <w:p w14:paraId="55E0617F" w14:textId="73382ADE" w:rsidR="00656884" w:rsidRDefault="00656884" w:rsidP="00872ACD">
      <w:r>
        <w:t>Under the terms of the partnership, t</w:t>
      </w:r>
      <w:r w:rsidR="008200D3">
        <w:t>he F</w:t>
      </w:r>
      <w:r w:rsidR="00B21FC3">
        <w:t xml:space="preserve">WO </w:t>
      </w:r>
      <w:r w:rsidR="008200D3">
        <w:t>undertook to forward any requests for assistance</w:t>
      </w:r>
      <w:r w:rsidR="008D461B">
        <w:t xml:space="preserve"> of a routine-low nature</w:t>
      </w:r>
      <w:r w:rsidR="008200D3">
        <w:t xml:space="preserve"> </w:t>
      </w:r>
      <w:r w:rsidR="00F45C5D">
        <w:t xml:space="preserve">it received </w:t>
      </w:r>
      <w:r w:rsidR="00EC320F">
        <w:t xml:space="preserve">from employees </w:t>
      </w:r>
      <w:r w:rsidR="008200D3">
        <w:t xml:space="preserve">to Compass Group within </w:t>
      </w:r>
      <w:r w:rsidR="00B21FC3">
        <w:t xml:space="preserve">seven </w:t>
      </w:r>
      <w:r w:rsidR="008200D3">
        <w:t>days of rece</w:t>
      </w:r>
      <w:r w:rsidR="00B21FC3">
        <w:t>ipt</w:t>
      </w:r>
      <w:r w:rsidR="008200D3">
        <w:t xml:space="preserve">. </w:t>
      </w:r>
      <w:r w:rsidR="00EC320F">
        <w:t xml:space="preserve">In turn, </w:t>
      </w:r>
      <w:r w:rsidR="008200D3">
        <w:t xml:space="preserve">Compass Group </w:t>
      </w:r>
      <w:r w:rsidR="00B21FC3">
        <w:t xml:space="preserve">aimed </w:t>
      </w:r>
      <w:r w:rsidR="008200D3">
        <w:t>to resolve each request for assistance within 28 days of receipt from the F</w:t>
      </w:r>
      <w:r w:rsidR="00B21FC3">
        <w:t xml:space="preserve">WO </w:t>
      </w:r>
      <w:r w:rsidR="008200D3">
        <w:t>and to provide evidence to the F</w:t>
      </w:r>
      <w:r w:rsidR="00480325">
        <w:t>W</w:t>
      </w:r>
      <w:r w:rsidR="008200D3">
        <w:t xml:space="preserve">O within </w:t>
      </w:r>
      <w:r w:rsidR="00B21FC3">
        <w:t xml:space="preserve">seven </w:t>
      </w:r>
      <w:r w:rsidR="008200D3">
        <w:t xml:space="preserve">days of the matter being resolved. </w:t>
      </w:r>
    </w:p>
    <w:p w14:paraId="6D9A6291" w14:textId="31C177C8" w:rsidR="00656884" w:rsidRDefault="00656884">
      <w:r>
        <w:t xml:space="preserve">The </w:t>
      </w:r>
      <w:r w:rsidR="00BD54CC">
        <w:t>deed’s provision allowing Compass Group</w:t>
      </w:r>
      <w:r>
        <w:t xml:space="preserve"> to self-resolve workplace disputes recognises that at times unintentional mistakes may occur or employees may believe that a mistake has occurred. The FWO promotes this feature of the partnership as part of its overarching strategic objective to build a culture of compliance by encouraging Australian businesses to manage disputes over workplace entitlements with their employees in the first instance. Not only does this approach empower workplace participants and reduce costs for all parties, it also has the benefit of not transferring the cost of compliance to the taxpayer.</w:t>
      </w:r>
    </w:p>
    <w:p w14:paraId="5F08E37A" w14:textId="5B76672B" w:rsidR="00656884" w:rsidRDefault="00656884">
      <w:r>
        <w:t xml:space="preserve">Considering a key aim of the compliance partnership was to encourage the timely resolution of any workplace disputes at the workplace level, it was disappointing that the </w:t>
      </w:r>
      <w:r w:rsidR="00C02C82">
        <w:t>average time for the resolution of requests for assistance over the life of the partnership was 69.8 days</w:t>
      </w:r>
      <w:r w:rsidR="00D97936">
        <w:t xml:space="preserve">. </w:t>
      </w:r>
    </w:p>
    <w:p w14:paraId="19B6AF39" w14:textId="72FF4432" w:rsidR="008200D3" w:rsidRDefault="00D97936">
      <w:r>
        <w:t xml:space="preserve">The FWO raised strong concerns with the Compass Group about these </w:t>
      </w:r>
      <w:r w:rsidR="00C667B7">
        <w:t>response</w:t>
      </w:r>
      <w:r>
        <w:t xml:space="preserve"> times</w:t>
      </w:r>
      <w:r w:rsidR="00656884">
        <w:t xml:space="preserve"> during the course of the partnership which resulted in the Group improving its response efforts </w:t>
      </w:r>
      <w:r>
        <w:t>over the life of the partnership.</w:t>
      </w:r>
    </w:p>
    <w:p w14:paraId="106CDAA1" w14:textId="77777777" w:rsidR="008200D3" w:rsidRDefault="00EC320F">
      <w:r>
        <w:t>Under the terms of the partnership, t</w:t>
      </w:r>
      <w:r w:rsidR="008200D3">
        <w:t>he F</w:t>
      </w:r>
      <w:r w:rsidR="00B21FC3">
        <w:t xml:space="preserve">WO </w:t>
      </w:r>
      <w:r w:rsidR="008200D3">
        <w:t>reserved its right to investigate any matter it felt it was in the public interest to do so.</w:t>
      </w:r>
    </w:p>
    <w:p w14:paraId="3B0BF974" w14:textId="671AC94C" w:rsidR="001506D8" w:rsidRDefault="008200D3">
      <w:pPr>
        <w:rPr>
          <w:szCs w:val="22"/>
          <w:lang w:eastAsia="en-AU"/>
        </w:rPr>
      </w:pPr>
      <w:r w:rsidRPr="00970502">
        <w:rPr>
          <w:szCs w:val="22"/>
        </w:rPr>
        <w:t xml:space="preserve">From the commencement of the </w:t>
      </w:r>
      <w:r w:rsidR="003929C3">
        <w:rPr>
          <w:szCs w:val="22"/>
        </w:rPr>
        <w:t>PCD</w:t>
      </w:r>
      <w:r>
        <w:rPr>
          <w:szCs w:val="22"/>
        </w:rPr>
        <w:t xml:space="preserve"> </w:t>
      </w:r>
      <w:r w:rsidRPr="008009DE">
        <w:rPr>
          <w:szCs w:val="22"/>
        </w:rPr>
        <w:t xml:space="preserve">to </w:t>
      </w:r>
      <w:r w:rsidR="00497A58">
        <w:rPr>
          <w:szCs w:val="22"/>
        </w:rPr>
        <w:t xml:space="preserve">June </w:t>
      </w:r>
      <w:r w:rsidR="00EC320F" w:rsidRPr="00EC320F">
        <w:rPr>
          <w:szCs w:val="22"/>
        </w:rPr>
        <w:t>2016</w:t>
      </w:r>
      <w:r w:rsidRPr="00970502">
        <w:rPr>
          <w:szCs w:val="22"/>
        </w:rPr>
        <w:t>, the F</w:t>
      </w:r>
      <w:r w:rsidR="00B21FC3">
        <w:rPr>
          <w:szCs w:val="22"/>
        </w:rPr>
        <w:t xml:space="preserve">WO </w:t>
      </w:r>
      <w:r w:rsidRPr="00970502">
        <w:rPr>
          <w:szCs w:val="22"/>
        </w:rPr>
        <w:t xml:space="preserve">received </w:t>
      </w:r>
      <w:r w:rsidR="009F5F64">
        <w:rPr>
          <w:szCs w:val="22"/>
        </w:rPr>
        <w:t>54</w:t>
      </w:r>
      <w:r>
        <w:rPr>
          <w:szCs w:val="22"/>
        </w:rPr>
        <w:t xml:space="preserve"> requests for assistance from employees of Compass Group or their related entities</w:t>
      </w:r>
      <w:r w:rsidRPr="00970502">
        <w:rPr>
          <w:szCs w:val="22"/>
        </w:rPr>
        <w:t xml:space="preserve">. </w:t>
      </w:r>
      <w:r w:rsidR="00B21FC3">
        <w:rPr>
          <w:szCs w:val="22"/>
        </w:rPr>
        <w:t>Of these, 1</w:t>
      </w:r>
      <w:r w:rsidR="00B10949">
        <w:rPr>
          <w:szCs w:val="22"/>
        </w:rPr>
        <w:t>4</w:t>
      </w:r>
      <w:r w:rsidR="00B21FC3">
        <w:rPr>
          <w:szCs w:val="22"/>
        </w:rPr>
        <w:t xml:space="preserve"> </w:t>
      </w:r>
      <w:r w:rsidR="00EC320F">
        <w:rPr>
          <w:szCs w:val="22"/>
          <w:lang w:eastAsia="en-AU"/>
        </w:rPr>
        <w:t>requests for assistance</w:t>
      </w:r>
      <w:r w:rsidR="00B21FC3">
        <w:rPr>
          <w:szCs w:val="22"/>
          <w:lang w:eastAsia="en-AU"/>
        </w:rPr>
        <w:t xml:space="preserve"> </w:t>
      </w:r>
      <w:r w:rsidR="00B21FC3">
        <w:rPr>
          <w:szCs w:val="22"/>
          <w:lang w:eastAsia="en-AU"/>
        </w:rPr>
        <w:lastRenderedPageBreak/>
        <w:t>were not referred to Compass Group</w:t>
      </w:r>
      <w:r w:rsidR="001506D8">
        <w:rPr>
          <w:szCs w:val="22"/>
          <w:lang w:eastAsia="en-AU"/>
        </w:rPr>
        <w:t xml:space="preserve">, as the </w:t>
      </w:r>
      <w:r w:rsidR="00EC320F">
        <w:rPr>
          <w:szCs w:val="22"/>
          <w:lang w:eastAsia="en-AU"/>
        </w:rPr>
        <w:t>F</w:t>
      </w:r>
      <w:r w:rsidR="00B21FC3">
        <w:rPr>
          <w:szCs w:val="22"/>
          <w:lang w:eastAsia="en-AU"/>
        </w:rPr>
        <w:t xml:space="preserve">WO </w:t>
      </w:r>
      <w:r w:rsidR="001506D8">
        <w:rPr>
          <w:szCs w:val="22"/>
          <w:lang w:eastAsia="en-AU"/>
        </w:rPr>
        <w:t xml:space="preserve">determined </w:t>
      </w:r>
      <w:r w:rsidR="00EC320F">
        <w:rPr>
          <w:szCs w:val="22"/>
          <w:lang w:eastAsia="en-AU"/>
        </w:rPr>
        <w:t xml:space="preserve">there was no further action required on the part of Compass Group. </w:t>
      </w:r>
      <w:r w:rsidR="001506D8">
        <w:rPr>
          <w:szCs w:val="22"/>
          <w:lang w:eastAsia="en-AU"/>
        </w:rPr>
        <w:t xml:space="preserve"> </w:t>
      </w:r>
      <w:r w:rsidR="003B3255">
        <w:rPr>
          <w:szCs w:val="22"/>
          <w:lang w:eastAsia="en-AU"/>
        </w:rPr>
        <w:t>E</w:t>
      </w:r>
      <w:r w:rsidR="00743D9A">
        <w:rPr>
          <w:szCs w:val="22"/>
          <w:lang w:eastAsia="en-AU"/>
        </w:rPr>
        <w:t>xamples included:</w:t>
      </w:r>
    </w:p>
    <w:p w14:paraId="556D9C00" w14:textId="77777777" w:rsidR="003B3255" w:rsidRDefault="003B3255" w:rsidP="0079623E">
      <w:pPr>
        <w:pStyle w:val="ListParagraph"/>
        <w:numPr>
          <w:ilvl w:val="0"/>
          <w:numId w:val="27"/>
        </w:numPr>
        <w:contextualSpacing w:val="0"/>
        <w:rPr>
          <w:szCs w:val="22"/>
          <w:lang w:eastAsia="en-AU"/>
        </w:rPr>
      </w:pPr>
      <w:r>
        <w:rPr>
          <w:szCs w:val="22"/>
          <w:lang w:eastAsia="en-AU"/>
        </w:rPr>
        <w:t xml:space="preserve">where the dispute was resolved soon after lodgement with </w:t>
      </w:r>
      <w:r w:rsidR="008877F8">
        <w:rPr>
          <w:szCs w:val="22"/>
          <w:lang w:eastAsia="en-AU"/>
        </w:rPr>
        <w:t xml:space="preserve">the FWO </w:t>
      </w:r>
      <w:r>
        <w:rPr>
          <w:szCs w:val="22"/>
          <w:lang w:eastAsia="en-AU"/>
        </w:rPr>
        <w:t>and the employee requested to withdraw their matter</w:t>
      </w:r>
    </w:p>
    <w:p w14:paraId="69068311" w14:textId="77777777" w:rsidR="003B3255" w:rsidRDefault="003B3255" w:rsidP="0079623E">
      <w:pPr>
        <w:pStyle w:val="ListParagraph"/>
        <w:numPr>
          <w:ilvl w:val="0"/>
          <w:numId w:val="27"/>
        </w:numPr>
        <w:contextualSpacing w:val="0"/>
        <w:rPr>
          <w:szCs w:val="22"/>
          <w:lang w:eastAsia="en-AU"/>
        </w:rPr>
      </w:pPr>
      <w:r>
        <w:rPr>
          <w:szCs w:val="22"/>
        </w:rPr>
        <w:t xml:space="preserve">it was found upon preliminary </w:t>
      </w:r>
      <w:r w:rsidR="006A28B3">
        <w:rPr>
          <w:szCs w:val="22"/>
        </w:rPr>
        <w:t xml:space="preserve">review </w:t>
      </w:r>
      <w:r>
        <w:rPr>
          <w:szCs w:val="22"/>
        </w:rPr>
        <w:t>that the allegations of non-compliance lacked any substance</w:t>
      </w:r>
      <w:r w:rsidR="00476B01">
        <w:rPr>
          <w:szCs w:val="22"/>
        </w:rPr>
        <w:t>.</w:t>
      </w:r>
    </w:p>
    <w:p w14:paraId="3AFF0FBB" w14:textId="77777777" w:rsidR="00EF72EE" w:rsidRDefault="00EF72EE" w:rsidP="007F14DF">
      <w:pPr>
        <w:rPr>
          <w:szCs w:val="22"/>
        </w:rPr>
      </w:pPr>
      <w:r>
        <w:rPr>
          <w:szCs w:val="22"/>
        </w:rPr>
        <w:t xml:space="preserve">A total of 40 requests for assistance </w:t>
      </w:r>
      <w:r w:rsidRPr="00970502">
        <w:rPr>
          <w:szCs w:val="22"/>
        </w:rPr>
        <w:t xml:space="preserve">were referred to </w:t>
      </w:r>
      <w:r>
        <w:rPr>
          <w:szCs w:val="22"/>
        </w:rPr>
        <w:t xml:space="preserve">Compass Group </w:t>
      </w:r>
      <w:r w:rsidRPr="00970502">
        <w:rPr>
          <w:szCs w:val="22"/>
        </w:rPr>
        <w:t>for assessment and rectification</w:t>
      </w:r>
      <w:r>
        <w:rPr>
          <w:szCs w:val="22"/>
        </w:rPr>
        <w:t>.</w:t>
      </w:r>
      <w:r w:rsidRPr="00970502">
        <w:rPr>
          <w:szCs w:val="22"/>
        </w:rPr>
        <w:t xml:space="preserve">  </w:t>
      </w:r>
    </w:p>
    <w:p w14:paraId="660B394C" w14:textId="72876313" w:rsidR="00EF72EE" w:rsidRDefault="00EF72EE">
      <w:pPr>
        <w:rPr>
          <w:szCs w:val="22"/>
        </w:rPr>
      </w:pPr>
      <w:r w:rsidRPr="00EB710B">
        <w:rPr>
          <w:szCs w:val="22"/>
        </w:rPr>
        <w:t>The majority of the</w:t>
      </w:r>
      <w:r>
        <w:rPr>
          <w:szCs w:val="22"/>
        </w:rPr>
        <w:t xml:space="preserve">se </w:t>
      </w:r>
      <w:r w:rsidRPr="00EB710B">
        <w:rPr>
          <w:szCs w:val="22"/>
        </w:rPr>
        <w:t xml:space="preserve">concerned </w:t>
      </w:r>
      <w:r>
        <w:rPr>
          <w:szCs w:val="22"/>
        </w:rPr>
        <w:t xml:space="preserve">routine </w:t>
      </w:r>
      <w:r w:rsidRPr="00EC320F">
        <w:rPr>
          <w:szCs w:val="22"/>
        </w:rPr>
        <w:t>underpayment of wages</w:t>
      </w:r>
      <w:r>
        <w:rPr>
          <w:szCs w:val="22"/>
        </w:rPr>
        <w:t xml:space="preserve"> or allowances</w:t>
      </w:r>
      <w:r w:rsidRPr="00EC320F">
        <w:rPr>
          <w:szCs w:val="22"/>
        </w:rPr>
        <w:t>, non-payment of wages for all hours worked, non-payment of leave entitlements and non-payment of redundancy</w:t>
      </w:r>
      <w:r>
        <w:rPr>
          <w:szCs w:val="22"/>
        </w:rPr>
        <w:t xml:space="preserve"> pay</w:t>
      </w:r>
      <w:r w:rsidRPr="00EC320F">
        <w:rPr>
          <w:szCs w:val="22"/>
        </w:rPr>
        <w:t xml:space="preserve">. </w:t>
      </w:r>
    </w:p>
    <w:p w14:paraId="57A1F392" w14:textId="77777777" w:rsidR="00EF72EE" w:rsidRPr="00EC320F" w:rsidRDefault="00EF72EE">
      <w:pPr>
        <w:rPr>
          <w:szCs w:val="22"/>
        </w:rPr>
      </w:pPr>
      <w:r>
        <w:rPr>
          <w:szCs w:val="22"/>
        </w:rPr>
        <w:t>The outcomes of those referrals led to</w:t>
      </w:r>
      <w:r w:rsidRPr="00EC320F">
        <w:rPr>
          <w:szCs w:val="22"/>
        </w:rPr>
        <w:t>:</w:t>
      </w:r>
    </w:p>
    <w:p w14:paraId="7B0A1582" w14:textId="661D0926" w:rsidR="00EF72EE" w:rsidRPr="00497A58" w:rsidRDefault="00EF72EE" w:rsidP="0079623E">
      <w:pPr>
        <w:pStyle w:val="ListParagraph"/>
        <w:numPr>
          <w:ilvl w:val="0"/>
          <w:numId w:val="20"/>
        </w:numPr>
        <w:contextualSpacing w:val="0"/>
        <w:rPr>
          <w:szCs w:val="22"/>
        </w:rPr>
      </w:pPr>
      <w:r w:rsidRPr="00497A58">
        <w:rPr>
          <w:szCs w:val="22"/>
        </w:rPr>
        <w:t>1</w:t>
      </w:r>
      <w:r>
        <w:rPr>
          <w:szCs w:val="22"/>
        </w:rPr>
        <w:t>4</w:t>
      </w:r>
      <w:r w:rsidRPr="00497A58">
        <w:rPr>
          <w:szCs w:val="22"/>
        </w:rPr>
        <w:t xml:space="preserve"> matters </w:t>
      </w:r>
      <w:r>
        <w:rPr>
          <w:szCs w:val="22"/>
        </w:rPr>
        <w:t>being</w:t>
      </w:r>
      <w:r w:rsidRPr="00497A58">
        <w:rPr>
          <w:szCs w:val="22"/>
        </w:rPr>
        <w:t xml:space="preserve"> voluntarily re</w:t>
      </w:r>
      <w:r>
        <w:rPr>
          <w:szCs w:val="22"/>
        </w:rPr>
        <w:t xml:space="preserve">solved </w:t>
      </w:r>
      <w:r w:rsidRPr="00497A58">
        <w:rPr>
          <w:szCs w:val="22"/>
        </w:rPr>
        <w:t xml:space="preserve">with a </w:t>
      </w:r>
      <w:r w:rsidR="00BD54CC">
        <w:rPr>
          <w:szCs w:val="22"/>
        </w:rPr>
        <w:t>total</w:t>
      </w:r>
      <w:r w:rsidR="00BD54CC" w:rsidRPr="00497A58">
        <w:rPr>
          <w:szCs w:val="22"/>
        </w:rPr>
        <w:t xml:space="preserve"> </w:t>
      </w:r>
      <w:r w:rsidRPr="00497A58">
        <w:rPr>
          <w:szCs w:val="22"/>
        </w:rPr>
        <w:t>of $</w:t>
      </w:r>
      <w:r>
        <w:rPr>
          <w:szCs w:val="22"/>
        </w:rPr>
        <w:t>51</w:t>
      </w:r>
      <w:r w:rsidR="003A0447">
        <w:rPr>
          <w:szCs w:val="22"/>
        </w:rPr>
        <w:t xml:space="preserve"> </w:t>
      </w:r>
      <w:r>
        <w:rPr>
          <w:szCs w:val="22"/>
        </w:rPr>
        <w:t>404.91</w:t>
      </w:r>
      <w:r w:rsidRPr="00497A58">
        <w:rPr>
          <w:szCs w:val="22"/>
        </w:rPr>
        <w:t xml:space="preserve"> </w:t>
      </w:r>
      <w:r w:rsidR="00BD54CC">
        <w:rPr>
          <w:szCs w:val="22"/>
        </w:rPr>
        <w:t>being re</w:t>
      </w:r>
      <w:r w:rsidRPr="00497A58">
        <w:rPr>
          <w:szCs w:val="22"/>
        </w:rPr>
        <w:t>paid to employees</w:t>
      </w:r>
    </w:p>
    <w:p w14:paraId="4CE80487" w14:textId="5134E490" w:rsidR="00EF72EE" w:rsidRPr="00497A58" w:rsidRDefault="00EF72EE" w:rsidP="0079623E">
      <w:pPr>
        <w:pStyle w:val="ListParagraph"/>
        <w:numPr>
          <w:ilvl w:val="0"/>
          <w:numId w:val="20"/>
        </w:numPr>
        <w:contextualSpacing w:val="0"/>
        <w:rPr>
          <w:szCs w:val="22"/>
        </w:rPr>
      </w:pPr>
      <w:r>
        <w:rPr>
          <w:szCs w:val="22"/>
        </w:rPr>
        <w:t>25 matters where Compass Group reported there was no evidence of any claim and provide</w:t>
      </w:r>
      <w:r w:rsidR="003A0447">
        <w:rPr>
          <w:szCs w:val="22"/>
        </w:rPr>
        <w:t>d reasons for their decisions</w:t>
      </w:r>
    </w:p>
    <w:p w14:paraId="7C0282E2" w14:textId="0BE6FA21" w:rsidR="00EF72EE" w:rsidRPr="00497A58" w:rsidRDefault="003A0447" w:rsidP="0079623E">
      <w:pPr>
        <w:pStyle w:val="ListParagraph"/>
        <w:numPr>
          <w:ilvl w:val="0"/>
          <w:numId w:val="20"/>
        </w:numPr>
        <w:contextualSpacing w:val="0"/>
        <w:rPr>
          <w:szCs w:val="22"/>
        </w:rPr>
      </w:pPr>
      <w:r>
        <w:rPr>
          <w:szCs w:val="22"/>
        </w:rPr>
        <w:t>o</w:t>
      </w:r>
      <w:r w:rsidR="00EF72EE">
        <w:rPr>
          <w:szCs w:val="22"/>
        </w:rPr>
        <w:t xml:space="preserve">ne </w:t>
      </w:r>
      <w:r w:rsidR="00EF72EE" w:rsidRPr="00497A58">
        <w:rPr>
          <w:szCs w:val="22"/>
        </w:rPr>
        <w:t xml:space="preserve">matter </w:t>
      </w:r>
      <w:r w:rsidR="00974AF0">
        <w:rPr>
          <w:szCs w:val="22"/>
        </w:rPr>
        <w:t>being</w:t>
      </w:r>
      <w:r w:rsidR="00EF72EE" w:rsidRPr="00497A58">
        <w:rPr>
          <w:szCs w:val="22"/>
        </w:rPr>
        <w:t xml:space="preserve"> resolved without the need for payment to be made</w:t>
      </w:r>
      <w:r w:rsidR="00EF72EE">
        <w:rPr>
          <w:szCs w:val="22"/>
        </w:rPr>
        <w:t>.</w:t>
      </w:r>
      <w:r w:rsidR="00EF72EE" w:rsidRPr="00497A58">
        <w:rPr>
          <w:szCs w:val="22"/>
        </w:rPr>
        <w:t xml:space="preserve"> </w:t>
      </w:r>
    </w:p>
    <w:p w14:paraId="1CF086C3" w14:textId="77777777" w:rsidR="00656884" w:rsidRPr="006C04ED" w:rsidRDefault="00656884" w:rsidP="007F14DF">
      <w:pPr>
        <w:rPr>
          <w:szCs w:val="22"/>
        </w:rPr>
      </w:pPr>
      <w:r w:rsidRPr="006C04ED">
        <w:rPr>
          <w:szCs w:val="22"/>
        </w:rPr>
        <w:t>On review of these reports, the FWO validated these outcomes.</w:t>
      </w:r>
    </w:p>
    <w:p w14:paraId="277DC938" w14:textId="3092934B" w:rsidR="00B049B1" w:rsidRDefault="00EF72EE">
      <w:pPr>
        <w:rPr>
          <w:szCs w:val="22"/>
          <w:lang w:eastAsia="en-AU"/>
        </w:rPr>
      </w:pPr>
      <w:r>
        <w:rPr>
          <w:szCs w:val="22"/>
          <w:lang w:eastAsia="en-AU"/>
        </w:rPr>
        <w:t>T</w:t>
      </w:r>
      <w:r w:rsidR="00D83AF6">
        <w:rPr>
          <w:szCs w:val="22"/>
          <w:lang w:eastAsia="en-AU"/>
        </w:rPr>
        <w:t xml:space="preserve">he FWO </w:t>
      </w:r>
      <w:r>
        <w:rPr>
          <w:szCs w:val="22"/>
          <w:lang w:eastAsia="en-AU"/>
        </w:rPr>
        <w:t xml:space="preserve">also </w:t>
      </w:r>
      <w:r w:rsidR="00D83AF6">
        <w:rPr>
          <w:szCs w:val="22"/>
          <w:lang w:eastAsia="en-AU"/>
        </w:rPr>
        <w:t xml:space="preserve">deemed </w:t>
      </w:r>
      <w:r>
        <w:rPr>
          <w:szCs w:val="22"/>
          <w:lang w:eastAsia="en-AU"/>
        </w:rPr>
        <w:t xml:space="preserve">that </w:t>
      </w:r>
      <w:r w:rsidR="00D83AF6">
        <w:rPr>
          <w:szCs w:val="22"/>
          <w:lang w:eastAsia="en-AU"/>
        </w:rPr>
        <w:t>two requests for assistance were worthy of further consideration</w:t>
      </w:r>
      <w:r w:rsidR="00476B01">
        <w:rPr>
          <w:szCs w:val="22"/>
          <w:lang w:eastAsia="en-AU"/>
        </w:rPr>
        <w:t xml:space="preserve"> as they were considered to indicate serious non-compliance</w:t>
      </w:r>
      <w:r w:rsidR="00B10949">
        <w:rPr>
          <w:szCs w:val="22"/>
          <w:lang w:eastAsia="en-AU"/>
        </w:rPr>
        <w:t xml:space="preserve">.  </w:t>
      </w:r>
    </w:p>
    <w:p w14:paraId="5E4686BD" w14:textId="648C5DFC" w:rsidR="00FC044E" w:rsidRDefault="00B049B1">
      <w:pPr>
        <w:rPr>
          <w:szCs w:val="22"/>
          <w:lang w:eastAsia="en-AU"/>
        </w:rPr>
      </w:pPr>
      <w:r>
        <w:rPr>
          <w:szCs w:val="22"/>
          <w:lang w:eastAsia="en-AU"/>
        </w:rPr>
        <w:t xml:space="preserve">One of these related to allegations made by the </w:t>
      </w:r>
      <w:r w:rsidR="00892D45">
        <w:rPr>
          <w:szCs w:val="22"/>
          <w:lang w:eastAsia="en-AU"/>
        </w:rPr>
        <w:t>MUA Western Australia Branch</w:t>
      </w:r>
      <w:r w:rsidR="007335DE">
        <w:rPr>
          <w:szCs w:val="22"/>
          <w:lang w:eastAsia="en-AU"/>
        </w:rPr>
        <w:t xml:space="preserve"> on behalf of members employed by Compass Group on the accommodation vessel MS Silja Europa. The allegations related to s</w:t>
      </w:r>
      <w:r w:rsidR="007335DE" w:rsidRPr="007335DE">
        <w:rPr>
          <w:szCs w:val="22"/>
          <w:lang w:eastAsia="en-AU"/>
        </w:rPr>
        <w:t xml:space="preserve">exual </w:t>
      </w:r>
      <w:r w:rsidR="007335DE">
        <w:rPr>
          <w:szCs w:val="22"/>
          <w:lang w:eastAsia="en-AU"/>
        </w:rPr>
        <w:t xml:space="preserve">harassment, bullying and harassment, employees being threatened with dismissal if they join the MUA or participate in union </w:t>
      </w:r>
      <w:r w:rsidR="009A747E">
        <w:rPr>
          <w:szCs w:val="22"/>
          <w:lang w:eastAsia="en-AU"/>
        </w:rPr>
        <w:t>activities</w:t>
      </w:r>
      <w:r w:rsidR="007335DE">
        <w:rPr>
          <w:szCs w:val="22"/>
          <w:lang w:eastAsia="en-AU"/>
        </w:rPr>
        <w:t xml:space="preserve"> and not complying with the roster requirements under the relevant enterprise agreement. </w:t>
      </w:r>
    </w:p>
    <w:p w14:paraId="1F9D2789" w14:textId="638AC8CF" w:rsidR="00B049B1" w:rsidRDefault="007335DE">
      <w:pPr>
        <w:rPr>
          <w:szCs w:val="22"/>
          <w:lang w:eastAsia="en-AU"/>
        </w:rPr>
      </w:pPr>
      <w:r>
        <w:rPr>
          <w:szCs w:val="22"/>
          <w:lang w:eastAsia="en-AU"/>
        </w:rPr>
        <w:t xml:space="preserve">On initially discussing the matter with the MUA representative, </w:t>
      </w:r>
      <w:r w:rsidR="00476B01">
        <w:rPr>
          <w:szCs w:val="22"/>
          <w:lang w:eastAsia="en-AU"/>
        </w:rPr>
        <w:t>the MUA</w:t>
      </w:r>
      <w:r w:rsidR="003A0447">
        <w:rPr>
          <w:szCs w:val="22"/>
          <w:lang w:eastAsia="en-AU"/>
        </w:rPr>
        <w:t xml:space="preserve"> </w:t>
      </w:r>
      <w:r w:rsidR="00476B01">
        <w:rPr>
          <w:szCs w:val="22"/>
          <w:lang w:eastAsia="en-AU"/>
        </w:rPr>
        <w:t>was</w:t>
      </w:r>
      <w:r>
        <w:rPr>
          <w:szCs w:val="22"/>
          <w:lang w:eastAsia="en-AU"/>
        </w:rPr>
        <w:t xml:space="preserve"> advised that the allegations concerning s</w:t>
      </w:r>
      <w:r w:rsidRPr="007335DE">
        <w:rPr>
          <w:szCs w:val="22"/>
          <w:lang w:eastAsia="en-AU"/>
        </w:rPr>
        <w:t xml:space="preserve">exual </w:t>
      </w:r>
      <w:r>
        <w:rPr>
          <w:szCs w:val="22"/>
          <w:lang w:eastAsia="en-AU"/>
        </w:rPr>
        <w:t>harassment, bullying and harassment were not within the FWO</w:t>
      </w:r>
      <w:r w:rsidR="009A747E">
        <w:rPr>
          <w:szCs w:val="22"/>
          <w:lang w:eastAsia="en-AU"/>
        </w:rPr>
        <w:t>’</w:t>
      </w:r>
      <w:r>
        <w:rPr>
          <w:szCs w:val="22"/>
          <w:lang w:eastAsia="en-AU"/>
        </w:rPr>
        <w:t xml:space="preserve">s jurisdiction and that these allegations should be directed to the Australian </w:t>
      </w:r>
      <w:r w:rsidRPr="007335DE">
        <w:rPr>
          <w:szCs w:val="22"/>
          <w:lang w:eastAsia="en-AU"/>
        </w:rPr>
        <w:t xml:space="preserve">Human Rights Commission </w:t>
      </w:r>
      <w:r>
        <w:rPr>
          <w:szCs w:val="22"/>
          <w:lang w:eastAsia="en-AU"/>
        </w:rPr>
        <w:t>and the Fair Work Commission respectively.  With regards to the remaining allegations</w:t>
      </w:r>
      <w:r w:rsidR="00476B01">
        <w:rPr>
          <w:szCs w:val="22"/>
          <w:lang w:eastAsia="en-AU"/>
        </w:rPr>
        <w:t xml:space="preserve"> relating to possible adverse action</w:t>
      </w:r>
      <w:r>
        <w:rPr>
          <w:szCs w:val="22"/>
          <w:lang w:eastAsia="en-AU"/>
        </w:rPr>
        <w:t xml:space="preserve">, the FWO requested further details to commence an investigation.  No response was </w:t>
      </w:r>
      <w:r w:rsidR="00B049B1">
        <w:rPr>
          <w:szCs w:val="22"/>
          <w:lang w:eastAsia="en-AU"/>
        </w:rPr>
        <w:t>received from the MUA and in the absence of any substantial evidence</w:t>
      </w:r>
      <w:r>
        <w:rPr>
          <w:szCs w:val="22"/>
          <w:lang w:eastAsia="en-AU"/>
        </w:rPr>
        <w:t>,</w:t>
      </w:r>
      <w:r w:rsidR="00B049B1">
        <w:rPr>
          <w:szCs w:val="22"/>
          <w:lang w:eastAsia="en-AU"/>
        </w:rPr>
        <w:t xml:space="preserve"> the FWO did not progress the matter.</w:t>
      </w:r>
    </w:p>
    <w:p w14:paraId="6B028377" w14:textId="295D3A7B" w:rsidR="00B049B1" w:rsidRDefault="00B049B1">
      <w:pPr>
        <w:rPr>
          <w:szCs w:val="22"/>
          <w:lang w:eastAsia="en-AU"/>
        </w:rPr>
      </w:pPr>
      <w:r>
        <w:rPr>
          <w:szCs w:val="22"/>
          <w:lang w:eastAsia="en-AU"/>
        </w:rPr>
        <w:t xml:space="preserve">The second matter related to a claim </w:t>
      </w:r>
      <w:r w:rsidR="007335DE">
        <w:rPr>
          <w:szCs w:val="22"/>
          <w:lang w:eastAsia="en-AU"/>
        </w:rPr>
        <w:t>alleging pregnancy discrimination due to not being transferred to a safe job</w:t>
      </w:r>
      <w:r>
        <w:rPr>
          <w:szCs w:val="22"/>
          <w:lang w:eastAsia="en-AU"/>
        </w:rPr>
        <w:t xml:space="preserve">. The FWO conducted a thorough investigation and concluded there was </w:t>
      </w:r>
      <w:r w:rsidR="009A747E">
        <w:rPr>
          <w:szCs w:val="22"/>
          <w:lang w:eastAsia="en-AU"/>
        </w:rPr>
        <w:lastRenderedPageBreak/>
        <w:t>in</w:t>
      </w:r>
      <w:r>
        <w:rPr>
          <w:szCs w:val="22"/>
          <w:lang w:eastAsia="en-AU"/>
        </w:rPr>
        <w:t>sufficient evidence of discrimination or failure to provide a safe job</w:t>
      </w:r>
      <w:r w:rsidR="007335DE">
        <w:rPr>
          <w:szCs w:val="22"/>
          <w:lang w:eastAsia="en-AU"/>
        </w:rPr>
        <w:t>,</w:t>
      </w:r>
      <w:r>
        <w:rPr>
          <w:szCs w:val="22"/>
          <w:lang w:eastAsia="en-AU"/>
        </w:rPr>
        <w:t xml:space="preserve"> to proceed any further with that aspect of the matter. However, the FWO was concerned about the nature of an email sent to the </w:t>
      </w:r>
      <w:r w:rsidR="009A747E">
        <w:rPr>
          <w:szCs w:val="22"/>
          <w:lang w:eastAsia="en-AU"/>
        </w:rPr>
        <w:t>employee that</w:t>
      </w:r>
      <w:r>
        <w:rPr>
          <w:szCs w:val="22"/>
          <w:lang w:eastAsia="en-AU"/>
        </w:rPr>
        <w:t xml:space="preserve"> may have breached the employee’s workplace rights. </w:t>
      </w:r>
      <w:r w:rsidR="00FC044E">
        <w:rPr>
          <w:szCs w:val="22"/>
          <w:lang w:eastAsia="en-AU"/>
        </w:rPr>
        <w:t>The FWO issued a l</w:t>
      </w:r>
      <w:r>
        <w:rPr>
          <w:szCs w:val="22"/>
          <w:lang w:eastAsia="en-AU"/>
        </w:rPr>
        <w:t xml:space="preserve">etter of </w:t>
      </w:r>
      <w:r w:rsidR="00FC044E">
        <w:rPr>
          <w:szCs w:val="22"/>
          <w:lang w:eastAsia="en-AU"/>
        </w:rPr>
        <w:t>c</w:t>
      </w:r>
      <w:r>
        <w:rPr>
          <w:szCs w:val="22"/>
          <w:lang w:eastAsia="en-AU"/>
        </w:rPr>
        <w:t xml:space="preserve">aution and strongly encouraged </w:t>
      </w:r>
      <w:r w:rsidR="009A747E">
        <w:rPr>
          <w:szCs w:val="22"/>
          <w:lang w:eastAsia="en-AU"/>
        </w:rPr>
        <w:t xml:space="preserve">Compass Group </w:t>
      </w:r>
      <w:r>
        <w:rPr>
          <w:szCs w:val="22"/>
          <w:lang w:eastAsia="en-AU"/>
        </w:rPr>
        <w:t>to improve their handling procedures in relation to pregnant workers and their rights and entitlements.</w:t>
      </w:r>
    </w:p>
    <w:p w14:paraId="6F1171A8" w14:textId="015B77CA" w:rsidR="00D70CE6" w:rsidRDefault="00DA10FA">
      <w:r>
        <w:rPr>
          <w:szCs w:val="22"/>
        </w:rPr>
        <w:t xml:space="preserve">As stated above, </w:t>
      </w:r>
      <w:r>
        <w:t>t</w:t>
      </w:r>
      <w:r w:rsidR="00D70CE6">
        <w:t xml:space="preserve">he FWO was disappointed that </w:t>
      </w:r>
      <w:r w:rsidR="00D07E7C">
        <w:t>t</w:t>
      </w:r>
      <w:r w:rsidR="00AE3128" w:rsidRPr="00D83AF6">
        <w:t xml:space="preserve">he average time for resolution of </w:t>
      </w:r>
      <w:r w:rsidR="00CC50D2" w:rsidRPr="00D83AF6">
        <w:t xml:space="preserve">finalised </w:t>
      </w:r>
      <w:r w:rsidR="00AE3128" w:rsidRPr="00D83AF6">
        <w:t xml:space="preserve">requests for assistance </w:t>
      </w:r>
      <w:r w:rsidR="00CC50D2" w:rsidRPr="00D83AF6">
        <w:t xml:space="preserve">in the first year of the </w:t>
      </w:r>
      <w:r w:rsidR="00F76E0A">
        <w:t>PCD</w:t>
      </w:r>
      <w:r w:rsidR="00CC50D2" w:rsidRPr="00D83AF6">
        <w:t xml:space="preserve"> </w:t>
      </w:r>
      <w:r w:rsidR="00AE3128" w:rsidRPr="00D83AF6">
        <w:t xml:space="preserve">was </w:t>
      </w:r>
      <w:r w:rsidR="00CC50D2" w:rsidRPr="00D83AF6">
        <w:t>8</w:t>
      </w:r>
      <w:r w:rsidR="005E6FA2" w:rsidRPr="00D83AF6">
        <w:t>5</w:t>
      </w:r>
      <w:r w:rsidR="00D07E7C">
        <w:t xml:space="preserve"> days</w:t>
      </w:r>
      <w:r w:rsidR="00D70CE6">
        <w:t>.</w:t>
      </w:r>
      <w:r w:rsidR="00EC2452">
        <w:t xml:space="preserve"> The FWO rais</w:t>
      </w:r>
      <w:r w:rsidR="0046722F">
        <w:t>e</w:t>
      </w:r>
      <w:r w:rsidR="00EC2452">
        <w:t>d concerns with Compass Group relatin</w:t>
      </w:r>
      <w:r w:rsidR="00FC044E">
        <w:t>g to these poor response times.</w:t>
      </w:r>
      <w:r w:rsidR="00EC2452">
        <w:t xml:space="preserve"> Compass Group accepted the feedback that </w:t>
      </w:r>
      <w:r w:rsidR="00476B01">
        <w:t xml:space="preserve">its </w:t>
      </w:r>
      <w:r w:rsidR="00EC2452">
        <w:t xml:space="preserve">response times had not met the expectations under the </w:t>
      </w:r>
      <w:r w:rsidR="00F76E0A">
        <w:t>PCD</w:t>
      </w:r>
      <w:r w:rsidR="00EC2452">
        <w:t xml:space="preserve">. Given this, </w:t>
      </w:r>
      <w:r w:rsidR="00EC2452" w:rsidRPr="00C242EC">
        <w:rPr>
          <w:color w:val="000000" w:themeColor="text1"/>
        </w:rPr>
        <w:t xml:space="preserve">Compass </w:t>
      </w:r>
      <w:r w:rsidR="00EC2452">
        <w:rPr>
          <w:color w:val="000000" w:themeColor="text1"/>
        </w:rPr>
        <w:t>Group developed</w:t>
      </w:r>
      <w:r w:rsidR="00EC2452" w:rsidRPr="00C242EC">
        <w:rPr>
          <w:color w:val="000000" w:themeColor="text1"/>
        </w:rPr>
        <w:t xml:space="preserve"> a new process in dealing with requests for assistance </w:t>
      </w:r>
      <w:r w:rsidR="00F76E0A">
        <w:rPr>
          <w:color w:val="000000" w:themeColor="text1"/>
        </w:rPr>
        <w:t>referred</w:t>
      </w:r>
      <w:r w:rsidR="00EC2452" w:rsidRPr="00C242EC">
        <w:rPr>
          <w:color w:val="000000" w:themeColor="text1"/>
        </w:rPr>
        <w:t xml:space="preserve"> by the F</w:t>
      </w:r>
      <w:r w:rsidR="00EC2452">
        <w:rPr>
          <w:color w:val="000000" w:themeColor="text1"/>
        </w:rPr>
        <w:t xml:space="preserve">WO. </w:t>
      </w:r>
      <w:r>
        <w:rPr>
          <w:color w:val="000000" w:themeColor="text1"/>
        </w:rPr>
        <w:t xml:space="preserve">With </w:t>
      </w:r>
      <w:r w:rsidR="00EC2452">
        <w:rPr>
          <w:color w:val="000000" w:themeColor="text1"/>
        </w:rPr>
        <w:t xml:space="preserve">the introduction of this new process, the FWO noted a significant reduction in the average time to resolve requests for assistance.  </w:t>
      </w:r>
    </w:p>
    <w:p w14:paraId="0B422F13" w14:textId="589B3A3D" w:rsidR="00D83AF6" w:rsidRDefault="00D70CE6">
      <w:r>
        <w:rPr>
          <w:color w:val="000000" w:themeColor="text1"/>
        </w:rPr>
        <w:t>I</w:t>
      </w:r>
      <w:r w:rsidR="00D07E7C">
        <w:rPr>
          <w:color w:val="000000" w:themeColor="text1"/>
        </w:rPr>
        <w:t>n the second year</w:t>
      </w:r>
      <w:r w:rsidR="00EC2452">
        <w:rPr>
          <w:color w:val="000000" w:themeColor="text1"/>
        </w:rPr>
        <w:t xml:space="preserve"> of the </w:t>
      </w:r>
      <w:r w:rsidR="00FD63E6">
        <w:rPr>
          <w:color w:val="000000" w:themeColor="text1"/>
        </w:rPr>
        <w:t>PCD</w:t>
      </w:r>
      <w:r w:rsidR="00D07E7C">
        <w:rPr>
          <w:color w:val="000000" w:themeColor="text1"/>
        </w:rPr>
        <w:t xml:space="preserve">, </w:t>
      </w:r>
      <w:r w:rsidR="00D07E7C" w:rsidRPr="00D83AF6">
        <w:rPr>
          <w:color w:val="000000" w:themeColor="text1"/>
        </w:rPr>
        <w:t>t</w:t>
      </w:r>
      <w:r w:rsidR="00D07E7C" w:rsidRPr="00D83AF6">
        <w:t>he average time for resolution of finalised requests for assistance was 32 days.</w:t>
      </w:r>
      <w:r w:rsidR="00D07E7C">
        <w:t xml:space="preserve"> </w:t>
      </w:r>
      <w:r w:rsidR="00D83AF6">
        <w:t xml:space="preserve">Given the significant improvement from year one to year two, the </w:t>
      </w:r>
      <w:r w:rsidR="00D83AF6" w:rsidRPr="00D83AF6">
        <w:t xml:space="preserve">average time for resolution of finalised requests for assistance </w:t>
      </w:r>
      <w:r w:rsidR="00D83AF6">
        <w:t xml:space="preserve">over the life of the </w:t>
      </w:r>
      <w:r w:rsidR="00FD63E6">
        <w:t>PCD</w:t>
      </w:r>
      <w:r w:rsidR="00D83AF6" w:rsidRPr="00D83AF6">
        <w:t xml:space="preserve"> was </w:t>
      </w:r>
      <w:r w:rsidR="00D83AF6">
        <w:t>69.8</w:t>
      </w:r>
      <w:r w:rsidR="00D83AF6" w:rsidRPr="00D83AF6">
        <w:t xml:space="preserve"> days.</w:t>
      </w:r>
      <w:r w:rsidR="00D07E7C">
        <w:t xml:space="preserve"> </w:t>
      </w:r>
      <w:r>
        <w:t>The FWO regards this average time period as sub-optimum</w:t>
      </w:r>
      <w:r w:rsidR="00476B01">
        <w:t>.</w:t>
      </w:r>
      <w:r>
        <w:t xml:space="preserve"> </w:t>
      </w:r>
    </w:p>
    <w:p w14:paraId="01A0B005" w14:textId="77777777" w:rsidR="004D31CE" w:rsidRPr="00E87D88" w:rsidRDefault="004D31CE" w:rsidP="0079623E">
      <w:pPr>
        <w:pStyle w:val="Calloutbox"/>
        <w:pBdr>
          <w:top w:val="single" w:sz="48" w:space="3" w:color="DDDDDD"/>
          <w:left w:val="single" w:sz="48" w:space="8" w:color="DDDDDD"/>
          <w:bottom w:val="single" w:sz="48" w:space="6" w:color="DDDDDD"/>
          <w:right w:val="single" w:sz="48" w:space="8" w:color="DDDDDD"/>
        </w:pBdr>
        <w:shd w:val="clear" w:color="auto" w:fill="92CDDC" w:themeFill="accent5" w:themeFillTint="99"/>
        <w:spacing w:before="0" w:after="120" w:line="360" w:lineRule="auto"/>
        <w:contextualSpacing w:val="0"/>
        <w:rPr>
          <w:b/>
          <w:lang w:eastAsia="en-US"/>
        </w:rPr>
      </w:pPr>
      <w:r w:rsidRPr="00E87D88">
        <w:rPr>
          <w:b/>
          <w:lang w:eastAsia="en-US"/>
        </w:rPr>
        <w:t xml:space="preserve">Case Study: Allowances </w:t>
      </w:r>
    </w:p>
    <w:p w14:paraId="5599D14F" w14:textId="14621E66" w:rsidR="004D31CE" w:rsidRPr="00E87D88" w:rsidRDefault="004D31CE" w:rsidP="0079623E">
      <w:pPr>
        <w:pStyle w:val="Calloutbox"/>
        <w:pBdr>
          <w:top w:val="single" w:sz="48" w:space="3" w:color="DDDDDD"/>
          <w:left w:val="single" w:sz="48" w:space="8" w:color="DDDDDD"/>
          <w:bottom w:val="single" w:sz="48" w:space="6" w:color="DDDDDD"/>
          <w:right w:val="single" w:sz="48" w:space="8" w:color="DDDDDD"/>
        </w:pBdr>
        <w:shd w:val="clear" w:color="auto" w:fill="92CDDC" w:themeFill="accent5" w:themeFillTint="99"/>
        <w:spacing w:before="0" w:after="120" w:line="360" w:lineRule="auto"/>
        <w:contextualSpacing w:val="0"/>
        <w:rPr>
          <w:lang w:eastAsia="en-US"/>
        </w:rPr>
      </w:pPr>
      <w:r w:rsidRPr="00E87D88">
        <w:rPr>
          <w:lang w:eastAsia="en-US"/>
        </w:rPr>
        <w:t xml:space="preserve">A request for assistance was lodged by a current </w:t>
      </w:r>
      <w:r w:rsidR="00D66F39" w:rsidRPr="00E87D88">
        <w:rPr>
          <w:lang w:eastAsia="en-US"/>
        </w:rPr>
        <w:t xml:space="preserve">Compass Group </w:t>
      </w:r>
      <w:r w:rsidRPr="00E87D88">
        <w:rPr>
          <w:lang w:eastAsia="en-US"/>
        </w:rPr>
        <w:t xml:space="preserve">employee </w:t>
      </w:r>
      <w:r w:rsidR="00D66F39" w:rsidRPr="00E87D88">
        <w:rPr>
          <w:lang w:eastAsia="en-US"/>
        </w:rPr>
        <w:t>w</w:t>
      </w:r>
      <w:r w:rsidRPr="00E87D88">
        <w:rPr>
          <w:lang w:eastAsia="en-US"/>
        </w:rPr>
        <w:t xml:space="preserve">orking at an offshore oil site alleging </w:t>
      </w:r>
      <w:r w:rsidR="00FD63E6" w:rsidRPr="00E87D88">
        <w:rPr>
          <w:lang w:eastAsia="en-US"/>
        </w:rPr>
        <w:t xml:space="preserve">non-payment of </w:t>
      </w:r>
      <w:r w:rsidRPr="00E87D88">
        <w:rPr>
          <w:lang w:eastAsia="en-US"/>
        </w:rPr>
        <w:t xml:space="preserve">an allowance for working in an environment </w:t>
      </w:r>
      <w:r w:rsidR="00FD63E6" w:rsidRPr="00E87D88">
        <w:rPr>
          <w:lang w:eastAsia="en-US"/>
        </w:rPr>
        <w:t>in which contact had been made with</w:t>
      </w:r>
      <w:r w:rsidRPr="00E87D88">
        <w:rPr>
          <w:lang w:eastAsia="en-US"/>
        </w:rPr>
        <w:t xml:space="preserve"> synthetic based mud (SBM) under the </w:t>
      </w:r>
      <w:r w:rsidRPr="00E87D88">
        <w:rPr>
          <w:i/>
          <w:lang w:eastAsia="en-US"/>
        </w:rPr>
        <w:t>Compass Group – ESS Offshore Oil &amp; Gas (MODU) – Enterprise Agreement 2014</w:t>
      </w:r>
      <w:r w:rsidR="00D66F39" w:rsidRPr="00E87D88">
        <w:rPr>
          <w:lang w:eastAsia="en-US"/>
        </w:rPr>
        <w:t xml:space="preserve"> (the Agreement)</w:t>
      </w:r>
      <w:r w:rsidRPr="00E87D88">
        <w:rPr>
          <w:i/>
          <w:lang w:eastAsia="en-US"/>
        </w:rPr>
        <w:t>.</w:t>
      </w:r>
      <w:r w:rsidR="00D66F39" w:rsidRPr="00E87D88">
        <w:rPr>
          <w:i/>
          <w:lang w:eastAsia="en-US"/>
        </w:rPr>
        <w:br/>
      </w:r>
      <w:r w:rsidRPr="00E87D88">
        <w:rPr>
          <w:lang w:eastAsia="en-US"/>
        </w:rPr>
        <w:t xml:space="preserve">The request for assistance was referred to Compass Group for self-resolution and the issue was resolved </w:t>
      </w:r>
      <w:r w:rsidR="00D66F39" w:rsidRPr="00E87D88">
        <w:rPr>
          <w:lang w:eastAsia="en-US"/>
        </w:rPr>
        <w:t>and notified to the F</w:t>
      </w:r>
      <w:r w:rsidR="00480325" w:rsidRPr="00E87D88">
        <w:rPr>
          <w:lang w:eastAsia="en-US"/>
        </w:rPr>
        <w:t>WO</w:t>
      </w:r>
      <w:r w:rsidR="00D66F39" w:rsidRPr="00E87D88">
        <w:rPr>
          <w:lang w:eastAsia="en-US"/>
        </w:rPr>
        <w:t xml:space="preserve"> </w:t>
      </w:r>
      <w:r w:rsidRPr="00E87D88">
        <w:rPr>
          <w:lang w:eastAsia="en-US"/>
        </w:rPr>
        <w:t xml:space="preserve">within </w:t>
      </w:r>
      <w:r w:rsidR="00D66F39" w:rsidRPr="00E87D88">
        <w:rPr>
          <w:lang w:eastAsia="en-US"/>
        </w:rPr>
        <w:t xml:space="preserve">33 </w:t>
      </w:r>
      <w:r w:rsidRPr="00E87D88">
        <w:rPr>
          <w:lang w:eastAsia="en-US"/>
        </w:rPr>
        <w:t>days.</w:t>
      </w:r>
      <w:r w:rsidR="00D66F39" w:rsidRPr="00E87D88">
        <w:rPr>
          <w:lang w:eastAsia="en-US"/>
        </w:rPr>
        <w:br/>
        <w:t xml:space="preserve">On discussing the request for assistance with the employee, </w:t>
      </w:r>
      <w:r w:rsidRPr="00E87D88">
        <w:rPr>
          <w:lang w:eastAsia="en-US"/>
        </w:rPr>
        <w:t xml:space="preserve">Compass Group advised that all employees identified as working in </w:t>
      </w:r>
      <w:r w:rsidR="00D66F39" w:rsidRPr="00E87D88">
        <w:rPr>
          <w:lang w:eastAsia="en-US"/>
        </w:rPr>
        <w:t xml:space="preserve">the </w:t>
      </w:r>
      <w:r w:rsidRPr="00E87D88">
        <w:rPr>
          <w:lang w:eastAsia="en-US"/>
        </w:rPr>
        <w:t xml:space="preserve">laundry for their usual work would be paid the SBM allowance and systems would be put in place to ensure the </w:t>
      </w:r>
      <w:r w:rsidR="00D66F39" w:rsidRPr="00E87D88">
        <w:rPr>
          <w:lang w:eastAsia="en-US"/>
        </w:rPr>
        <w:t xml:space="preserve">payment of the </w:t>
      </w:r>
      <w:r w:rsidRPr="00E87D88">
        <w:rPr>
          <w:lang w:eastAsia="en-US"/>
        </w:rPr>
        <w:t>allowance when an employee is required to work with SBM.</w:t>
      </w:r>
      <w:r w:rsidR="00D66F39" w:rsidRPr="00E87D88">
        <w:rPr>
          <w:lang w:eastAsia="en-US"/>
        </w:rPr>
        <w:br/>
      </w:r>
      <w:r w:rsidRPr="00E87D88">
        <w:rPr>
          <w:lang w:eastAsia="en-US"/>
        </w:rPr>
        <w:t xml:space="preserve">The employee </w:t>
      </w:r>
      <w:r w:rsidR="00D66F39" w:rsidRPr="00E87D88">
        <w:rPr>
          <w:lang w:eastAsia="en-US"/>
        </w:rPr>
        <w:t xml:space="preserve">confirmed </w:t>
      </w:r>
      <w:r w:rsidR="00BD54CC" w:rsidRPr="00E87D88">
        <w:rPr>
          <w:lang w:eastAsia="en-US"/>
        </w:rPr>
        <w:t xml:space="preserve">their </w:t>
      </w:r>
      <w:r w:rsidR="00C242EC" w:rsidRPr="00E87D88">
        <w:rPr>
          <w:lang w:eastAsia="en-US"/>
        </w:rPr>
        <w:t>satisf</w:t>
      </w:r>
      <w:r w:rsidR="00E52151" w:rsidRPr="00E87D88">
        <w:rPr>
          <w:lang w:eastAsia="en-US"/>
        </w:rPr>
        <w:t>action</w:t>
      </w:r>
      <w:r w:rsidR="00D66F39" w:rsidRPr="00E87D88">
        <w:rPr>
          <w:lang w:eastAsia="en-US"/>
        </w:rPr>
        <w:t xml:space="preserve"> with the </w:t>
      </w:r>
      <w:r w:rsidR="009F5F64" w:rsidRPr="00E87D88">
        <w:rPr>
          <w:lang w:eastAsia="en-US"/>
        </w:rPr>
        <w:t>resolution</w:t>
      </w:r>
      <w:r w:rsidR="00E52151" w:rsidRPr="00E87D88">
        <w:rPr>
          <w:lang w:eastAsia="en-US"/>
        </w:rPr>
        <w:t xml:space="preserve"> with the FWO</w:t>
      </w:r>
      <w:r w:rsidRPr="00E87D88">
        <w:rPr>
          <w:lang w:eastAsia="en-US"/>
        </w:rPr>
        <w:t xml:space="preserve">. </w:t>
      </w:r>
      <w:r w:rsidR="00D66F39" w:rsidRPr="00E87D88">
        <w:rPr>
          <w:lang w:eastAsia="en-US"/>
        </w:rPr>
        <w:t>T</w:t>
      </w:r>
      <w:r w:rsidRPr="00E87D88">
        <w:rPr>
          <w:lang w:eastAsia="en-US"/>
        </w:rPr>
        <w:t xml:space="preserve">he employee </w:t>
      </w:r>
      <w:r w:rsidR="00FC044E" w:rsidRPr="00E87D88">
        <w:rPr>
          <w:lang w:eastAsia="en-US"/>
        </w:rPr>
        <w:t>was back-paid $1</w:t>
      </w:r>
      <w:r w:rsidR="00D66F39" w:rsidRPr="00E87D88">
        <w:rPr>
          <w:lang w:eastAsia="en-US"/>
        </w:rPr>
        <w:t xml:space="preserve">890 </w:t>
      </w:r>
      <w:r w:rsidR="00C242EC" w:rsidRPr="00E87D88">
        <w:rPr>
          <w:lang w:eastAsia="en-US"/>
        </w:rPr>
        <w:t>gross, which</w:t>
      </w:r>
      <w:r w:rsidR="00D66F39" w:rsidRPr="00E87D88">
        <w:rPr>
          <w:lang w:eastAsia="en-US"/>
        </w:rPr>
        <w:t xml:space="preserve"> was paid from the commencement date of the Agreement. A further </w:t>
      </w:r>
      <w:r w:rsidR="009F5F64" w:rsidRPr="00E87D88">
        <w:rPr>
          <w:lang w:eastAsia="en-US"/>
        </w:rPr>
        <w:t>four</w:t>
      </w:r>
      <w:r w:rsidR="00D66F39" w:rsidRPr="00E87D88">
        <w:rPr>
          <w:lang w:eastAsia="en-US"/>
        </w:rPr>
        <w:t xml:space="preserve"> employee</w:t>
      </w:r>
      <w:r w:rsidR="00FC044E" w:rsidRPr="00E87D88">
        <w:rPr>
          <w:lang w:eastAsia="en-US"/>
        </w:rPr>
        <w:t xml:space="preserve">s were back-paid a total of $10 </w:t>
      </w:r>
      <w:r w:rsidR="00D66F39" w:rsidRPr="00E87D88">
        <w:rPr>
          <w:lang w:eastAsia="en-US"/>
        </w:rPr>
        <w:t>500 gross</w:t>
      </w:r>
      <w:r w:rsidRPr="00E87D88">
        <w:rPr>
          <w:lang w:eastAsia="en-US"/>
        </w:rPr>
        <w:t>.</w:t>
      </w:r>
    </w:p>
    <w:p w14:paraId="54D94FD6" w14:textId="6DE9DEF5" w:rsidR="00BE3CBD" w:rsidRDefault="00BE0829" w:rsidP="00BE0829">
      <w:pPr>
        <w:spacing w:before="240"/>
        <w:rPr>
          <w:szCs w:val="22"/>
        </w:rPr>
      </w:pPr>
      <w:r>
        <w:rPr>
          <w:szCs w:val="22"/>
        </w:rPr>
        <w:t xml:space="preserve">Of positive </w:t>
      </w:r>
      <w:r w:rsidR="00DA10FA">
        <w:rPr>
          <w:szCs w:val="22"/>
        </w:rPr>
        <w:t xml:space="preserve">note, </w:t>
      </w:r>
      <w:r w:rsidR="004D31CE">
        <w:rPr>
          <w:szCs w:val="22"/>
        </w:rPr>
        <w:t xml:space="preserve">there </w:t>
      </w:r>
      <w:r w:rsidR="00DA10FA">
        <w:rPr>
          <w:szCs w:val="22"/>
        </w:rPr>
        <w:t>was</w:t>
      </w:r>
      <w:r w:rsidR="004D31CE">
        <w:rPr>
          <w:szCs w:val="22"/>
        </w:rPr>
        <w:t xml:space="preserve"> a declining trend in the number of requests for assistance received from Compass Group employees </w:t>
      </w:r>
      <w:r w:rsidR="009F5F64">
        <w:rPr>
          <w:szCs w:val="22"/>
        </w:rPr>
        <w:t>over</w:t>
      </w:r>
      <w:r w:rsidR="004D31CE">
        <w:rPr>
          <w:szCs w:val="22"/>
        </w:rPr>
        <w:t xml:space="preserve"> the life of the compliance partnership</w:t>
      </w:r>
      <w:r w:rsidRPr="00BE0829">
        <w:rPr>
          <w:szCs w:val="22"/>
        </w:rPr>
        <w:t xml:space="preserve"> </w:t>
      </w:r>
      <w:r>
        <w:rPr>
          <w:szCs w:val="22"/>
        </w:rPr>
        <w:t>(as shown by the graph below)</w:t>
      </w:r>
      <w:r w:rsidR="004D31CE">
        <w:rPr>
          <w:szCs w:val="22"/>
        </w:rPr>
        <w:t>.</w:t>
      </w:r>
      <w:r w:rsidR="005E6FA2">
        <w:rPr>
          <w:szCs w:val="22"/>
        </w:rPr>
        <w:t xml:space="preserve"> Given the number of employees employed by Compass Group is around 10</w:t>
      </w:r>
      <w:r w:rsidR="00FC044E">
        <w:rPr>
          <w:szCs w:val="22"/>
        </w:rPr>
        <w:t xml:space="preserve"> </w:t>
      </w:r>
      <w:r w:rsidR="005E6FA2">
        <w:rPr>
          <w:szCs w:val="22"/>
        </w:rPr>
        <w:t xml:space="preserve">000, the number of requests for assistance received by the FWO is </w:t>
      </w:r>
      <w:r w:rsidR="00476B01">
        <w:rPr>
          <w:szCs w:val="22"/>
        </w:rPr>
        <w:t xml:space="preserve">considered </w:t>
      </w:r>
      <w:r w:rsidR="00116CA8">
        <w:rPr>
          <w:szCs w:val="22"/>
        </w:rPr>
        <w:t xml:space="preserve">relatively </w:t>
      </w:r>
      <w:r w:rsidR="005E6FA2">
        <w:rPr>
          <w:szCs w:val="22"/>
        </w:rPr>
        <w:t>low</w:t>
      </w:r>
      <w:r w:rsidR="00116CA8">
        <w:rPr>
          <w:szCs w:val="22"/>
        </w:rPr>
        <w:t xml:space="preserve">. </w:t>
      </w:r>
    </w:p>
    <w:p w14:paraId="27DA8E8D" w14:textId="44EA34F5" w:rsidR="005409BE" w:rsidRDefault="005409BE" w:rsidP="007F14DF"/>
    <w:p w14:paraId="26DC99D0" w14:textId="0BAF84A3" w:rsidR="00E10A4C" w:rsidRPr="00E10A4C" w:rsidRDefault="00012FCF">
      <w:r>
        <w:t xml:space="preserve">Under the compliance partnership, </w:t>
      </w:r>
      <w:r w:rsidR="00917ED9">
        <w:t xml:space="preserve">requests for assistance </w:t>
      </w:r>
      <w:r>
        <w:t xml:space="preserve">were </w:t>
      </w:r>
      <w:r w:rsidR="00917ED9">
        <w:t xml:space="preserve">referred to </w:t>
      </w:r>
      <w:r w:rsidR="00795553">
        <w:t>Compass Group’s</w:t>
      </w:r>
      <w:r w:rsidR="00917ED9">
        <w:t xml:space="preserve"> National Workplace Relations Manager who </w:t>
      </w:r>
      <w:r>
        <w:t xml:space="preserve">determined </w:t>
      </w:r>
      <w:r w:rsidR="00917ED9">
        <w:t xml:space="preserve">the best course of action based on the nature of the request. </w:t>
      </w:r>
      <w:r w:rsidR="00795553">
        <w:t>In most cases</w:t>
      </w:r>
      <w:r w:rsidR="002544DB">
        <w:t xml:space="preserve"> the </w:t>
      </w:r>
      <w:r w:rsidR="00E10A4C" w:rsidRPr="00E10A4C">
        <w:t xml:space="preserve">request </w:t>
      </w:r>
      <w:r w:rsidR="00795553">
        <w:t>was referred</w:t>
      </w:r>
      <w:r w:rsidR="00E10A4C" w:rsidRPr="00E10A4C">
        <w:t xml:space="preserve"> to a member of the </w:t>
      </w:r>
      <w:r w:rsidR="00701A2F">
        <w:t>relevant</w:t>
      </w:r>
      <w:r w:rsidR="00795553">
        <w:t xml:space="preserve"> </w:t>
      </w:r>
      <w:r w:rsidR="00E10A4C" w:rsidRPr="00E10A4C">
        <w:t>H</w:t>
      </w:r>
      <w:r w:rsidR="002544DB">
        <w:t xml:space="preserve">uman Resources team who </w:t>
      </w:r>
      <w:r>
        <w:t xml:space="preserve">contacted </w:t>
      </w:r>
      <w:r w:rsidR="002544DB">
        <w:t xml:space="preserve">the employee </w:t>
      </w:r>
      <w:r w:rsidR="00E10A4C" w:rsidRPr="00E10A4C">
        <w:t xml:space="preserve">and </w:t>
      </w:r>
      <w:r w:rsidRPr="00E10A4C">
        <w:t>attempt</w:t>
      </w:r>
      <w:r>
        <w:t>ed</w:t>
      </w:r>
      <w:r w:rsidRPr="00E10A4C">
        <w:t xml:space="preserve"> </w:t>
      </w:r>
      <w:r w:rsidR="00E10A4C" w:rsidRPr="00E10A4C">
        <w:t xml:space="preserve">to resolve the issue. </w:t>
      </w:r>
      <w:r w:rsidR="00795553">
        <w:t xml:space="preserve">More straightforward or ‘one off’ issues were usually resolved directly by the Human Resources Advisor, in the same way that pay or conditions enquiries that an employee directly raised with Compass Group were </w:t>
      </w:r>
      <w:r w:rsidR="003C5A59">
        <w:t>handled.</w:t>
      </w:r>
      <w:r w:rsidR="00E10A4C" w:rsidRPr="00E10A4C">
        <w:t xml:space="preserve"> If the matter involve</w:t>
      </w:r>
      <w:r>
        <w:t>d</w:t>
      </w:r>
      <w:r w:rsidR="00E10A4C" w:rsidRPr="00E10A4C">
        <w:t xml:space="preserve"> a question about the interpretation of an industrial </w:t>
      </w:r>
      <w:r w:rsidR="00EA4F95" w:rsidRPr="00E10A4C">
        <w:t>instrument, which</w:t>
      </w:r>
      <w:r w:rsidR="00E10A4C" w:rsidRPr="00E10A4C">
        <w:t xml:space="preserve"> </w:t>
      </w:r>
      <w:r w:rsidR="00CE4281">
        <w:t>wa</w:t>
      </w:r>
      <w:r w:rsidR="00CE4281" w:rsidRPr="00E10A4C">
        <w:t>s</w:t>
      </w:r>
      <w:r w:rsidR="00E10A4C" w:rsidRPr="00E10A4C">
        <w:t xml:space="preserve"> different to the way the</w:t>
      </w:r>
      <w:r w:rsidR="00BD54CC">
        <w:t>ir</w:t>
      </w:r>
      <w:r w:rsidR="00E10A4C" w:rsidRPr="00E10A4C">
        <w:t xml:space="preserve"> </w:t>
      </w:r>
      <w:r w:rsidR="00BD54CC">
        <w:t>payroll</w:t>
      </w:r>
      <w:r w:rsidR="00EA4F95">
        <w:t xml:space="preserve"> </w:t>
      </w:r>
      <w:r w:rsidR="00EA4F95" w:rsidRPr="00E10A4C">
        <w:t>system</w:t>
      </w:r>
      <w:r w:rsidR="00E10A4C" w:rsidRPr="00E10A4C">
        <w:t xml:space="preserve"> </w:t>
      </w:r>
      <w:r w:rsidR="00BD54CC">
        <w:t>wa</w:t>
      </w:r>
      <w:r w:rsidR="00E10A4C" w:rsidRPr="00E10A4C">
        <w:t>s set up</w:t>
      </w:r>
      <w:r w:rsidR="002544DB">
        <w:t>,</w:t>
      </w:r>
      <w:r w:rsidR="00E10A4C" w:rsidRPr="00E10A4C">
        <w:t xml:space="preserve"> then this </w:t>
      </w:r>
      <w:r w:rsidRPr="00E10A4C">
        <w:t>require</w:t>
      </w:r>
      <w:r>
        <w:t>d</w:t>
      </w:r>
      <w:r w:rsidRPr="00E10A4C">
        <w:t xml:space="preserve"> </w:t>
      </w:r>
      <w:r w:rsidR="00E10A4C" w:rsidRPr="00E10A4C">
        <w:t xml:space="preserve">the involvement of the </w:t>
      </w:r>
      <w:r w:rsidR="002544DB">
        <w:t xml:space="preserve">Workplace Relations </w:t>
      </w:r>
      <w:r w:rsidR="00E10A4C" w:rsidRPr="00E10A4C">
        <w:t xml:space="preserve">team.  </w:t>
      </w:r>
    </w:p>
    <w:p w14:paraId="78058CC3" w14:textId="5C2DB1C4" w:rsidR="002544DB" w:rsidRDefault="002544DB">
      <w:r>
        <w:t xml:space="preserve">Compass Group </w:t>
      </w:r>
      <w:r w:rsidR="00012FCF">
        <w:t xml:space="preserve">advised </w:t>
      </w:r>
      <w:r w:rsidR="00230905">
        <w:t>satisfaction</w:t>
      </w:r>
      <w:r>
        <w:t xml:space="preserve"> with the ‘single point of contact’ arrangement made available thro</w:t>
      </w:r>
      <w:r w:rsidR="00FB1DAE">
        <w:t>ugh the c</w:t>
      </w:r>
      <w:r>
        <w:t xml:space="preserve">ompliance </w:t>
      </w:r>
      <w:r w:rsidR="00FB1DAE">
        <w:t>p</w:t>
      </w:r>
      <w:r>
        <w:t>artnership.</w:t>
      </w:r>
    </w:p>
    <w:p w14:paraId="1F81C961" w14:textId="0C6D845C" w:rsidR="00FC044E" w:rsidRDefault="00E10A4C">
      <w:pPr>
        <w:ind w:left="720"/>
        <w:rPr>
          <w:i/>
        </w:rPr>
      </w:pPr>
      <w:r w:rsidRPr="002544DB">
        <w:rPr>
          <w:i/>
        </w:rPr>
        <w:t xml:space="preserve">One of the major benefits of the </w:t>
      </w:r>
      <w:r w:rsidR="002544DB">
        <w:rPr>
          <w:i/>
        </w:rPr>
        <w:t xml:space="preserve">compliance partnership </w:t>
      </w:r>
      <w:r w:rsidRPr="002544DB">
        <w:rPr>
          <w:i/>
        </w:rPr>
        <w:t xml:space="preserve">is that we </w:t>
      </w:r>
      <w:r w:rsidR="00012FCF" w:rsidRPr="002544DB">
        <w:rPr>
          <w:i/>
        </w:rPr>
        <w:t>ha</w:t>
      </w:r>
      <w:r w:rsidR="00012FCF">
        <w:rPr>
          <w:i/>
        </w:rPr>
        <w:t>d</w:t>
      </w:r>
      <w:r w:rsidR="00012FCF" w:rsidRPr="002544DB">
        <w:rPr>
          <w:i/>
        </w:rPr>
        <w:t xml:space="preserve"> </w:t>
      </w:r>
      <w:r w:rsidRPr="002544DB">
        <w:rPr>
          <w:i/>
        </w:rPr>
        <w:t xml:space="preserve">the opportunity to resolve matters first with employees in the same way </w:t>
      </w:r>
      <w:r w:rsidR="002544DB">
        <w:rPr>
          <w:i/>
        </w:rPr>
        <w:t xml:space="preserve">as </w:t>
      </w:r>
      <w:r w:rsidRPr="002544DB">
        <w:rPr>
          <w:i/>
        </w:rPr>
        <w:t>an employee pay query, and that we deal</w:t>
      </w:r>
      <w:r w:rsidR="00012FCF">
        <w:rPr>
          <w:i/>
        </w:rPr>
        <w:t>t</w:t>
      </w:r>
      <w:r w:rsidRPr="002544DB">
        <w:rPr>
          <w:i/>
        </w:rPr>
        <w:t xml:space="preserve"> with one person at the FWO who understands our business rather than inspectors dealing with different parts of Compass Group and directly with managers.</w:t>
      </w:r>
      <w:r w:rsidR="002544DB">
        <w:rPr>
          <w:i/>
        </w:rPr>
        <w:t xml:space="preserve"> </w:t>
      </w:r>
      <w:r w:rsidR="00EA4F95">
        <w:rPr>
          <w:i/>
        </w:rPr>
        <w:t xml:space="preserve">If we find </w:t>
      </w:r>
      <w:r w:rsidRPr="00EA4F95">
        <w:rPr>
          <w:i/>
        </w:rPr>
        <w:t xml:space="preserve">non-compliance for one employee as a result of a request for assistance, then we ensure that the issue is rectified for other employees as well. </w:t>
      </w:r>
      <w:r w:rsidR="00EA4F95">
        <w:rPr>
          <w:i/>
        </w:rPr>
        <w:t xml:space="preserve">It also allows us to identify any opportunities to develop new </w:t>
      </w:r>
      <w:r w:rsidR="00EA4F95" w:rsidRPr="00EA4F95">
        <w:rPr>
          <w:i/>
        </w:rPr>
        <w:t>toolkits</w:t>
      </w:r>
      <w:r w:rsidRPr="00EA4F95">
        <w:rPr>
          <w:i/>
        </w:rPr>
        <w:t xml:space="preserve"> and processes </w:t>
      </w:r>
      <w:r w:rsidR="00EA4F95">
        <w:rPr>
          <w:i/>
        </w:rPr>
        <w:t xml:space="preserve">that arise from the issues </w:t>
      </w:r>
      <w:r w:rsidRPr="00EA4F95">
        <w:rPr>
          <w:i/>
        </w:rPr>
        <w:t>raised in the requests for assistance so we do not have the same issues recur</w:t>
      </w:r>
      <w:r w:rsidR="00FC044E">
        <w:rPr>
          <w:i/>
        </w:rPr>
        <w:t>.</w:t>
      </w:r>
    </w:p>
    <w:p w14:paraId="07F60AA2" w14:textId="784C093F" w:rsidR="00EA4F95" w:rsidRPr="00FC044E" w:rsidRDefault="00EA4F95">
      <w:pPr>
        <w:ind w:left="720"/>
      </w:pPr>
      <w:r w:rsidRPr="00FC044E">
        <w:t>(National Workplace Relations Manager, Compass Group)</w:t>
      </w:r>
      <w:r w:rsidR="007F14DF">
        <w:t>.</w:t>
      </w:r>
    </w:p>
    <w:p w14:paraId="05028AA6" w14:textId="440AF47A" w:rsidR="005409BE" w:rsidRPr="00E87D88" w:rsidRDefault="005409BE" w:rsidP="00E87D88">
      <w:pPr>
        <w:pStyle w:val="Heading2"/>
        <w:numPr>
          <w:ilvl w:val="0"/>
          <w:numId w:val="36"/>
        </w:numPr>
      </w:pPr>
      <w:r w:rsidRPr="00E87D88">
        <w:t>Self-</w:t>
      </w:r>
      <w:r w:rsidR="00EA4F95" w:rsidRPr="00E87D88">
        <w:t>a</w:t>
      </w:r>
      <w:r w:rsidRPr="00E87D88">
        <w:t>udits</w:t>
      </w:r>
    </w:p>
    <w:p w14:paraId="4D8DB2B5" w14:textId="70BB0C94" w:rsidR="00010CC7" w:rsidRPr="00033E87" w:rsidRDefault="008F3373" w:rsidP="007F14DF">
      <w:r>
        <w:t>T</w:t>
      </w:r>
      <w:r w:rsidR="00795F02" w:rsidRPr="00795F02">
        <w:t xml:space="preserve">he FWO received a small number of requests for assistance </w:t>
      </w:r>
      <w:r w:rsidR="007F3120">
        <w:t xml:space="preserve">from employees engaged as security officers by Omega Security Services Pty Ltd in Western Australia. These requests for assistance related to underpayment of wages due to the alleged incorrect application of </w:t>
      </w:r>
      <w:r w:rsidR="00795F02" w:rsidRPr="00795F02">
        <w:t>classification levels</w:t>
      </w:r>
      <w:r w:rsidR="007F3120">
        <w:t>.</w:t>
      </w:r>
      <w:r w:rsidR="00033E87">
        <w:t xml:space="preserve"> After resolving these matters, </w:t>
      </w:r>
      <w:r w:rsidR="00DA10FA">
        <w:t xml:space="preserve">pleasingly, </w:t>
      </w:r>
      <w:r w:rsidR="007F3120">
        <w:t xml:space="preserve">Compass Group decided to undertake an audit of all security officers engaged by </w:t>
      </w:r>
      <w:r w:rsidR="004E10E3" w:rsidRPr="00795F02">
        <w:t>Omega Security Services</w:t>
      </w:r>
      <w:r w:rsidR="007F3120">
        <w:t xml:space="preserve"> Pty Ltd</w:t>
      </w:r>
      <w:r w:rsidR="004E10E3" w:rsidRPr="00795F02">
        <w:t xml:space="preserve"> in </w:t>
      </w:r>
      <w:r w:rsidR="004E10E3" w:rsidRPr="00033E87">
        <w:t xml:space="preserve">Western Australia. </w:t>
      </w:r>
    </w:p>
    <w:p w14:paraId="500DB0A1" w14:textId="4A492886" w:rsidR="004E10E3" w:rsidRPr="00F301E6" w:rsidRDefault="00F301E6">
      <w:r w:rsidRPr="00F301E6">
        <w:t xml:space="preserve">Compass Group </w:t>
      </w:r>
      <w:r w:rsidR="007F3120">
        <w:t xml:space="preserve">advised </w:t>
      </w:r>
      <w:r w:rsidR="00BC3496">
        <w:t xml:space="preserve">the </w:t>
      </w:r>
      <w:r w:rsidR="007F3120">
        <w:t>F</w:t>
      </w:r>
      <w:r w:rsidR="00480325">
        <w:t xml:space="preserve">WO </w:t>
      </w:r>
      <w:r w:rsidR="007F3120">
        <w:t xml:space="preserve">that the audit </w:t>
      </w:r>
      <w:r w:rsidR="00033E87" w:rsidRPr="00F301E6">
        <w:t xml:space="preserve">resulted </w:t>
      </w:r>
      <w:r w:rsidR="007F3120">
        <w:t xml:space="preserve">in </w:t>
      </w:r>
      <w:r w:rsidR="004E10E3" w:rsidRPr="00F301E6">
        <w:t xml:space="preserve">over 50 security </w:t>
      </w:r>
      <w:r w:rsidR="007F3120">
        <w:t xml:space="preserve">officers </w:t>
      </w:r>
      <w:r w:rsidR="004E10E3" w:rsidRPr="00F301E6">
        <w:t>being reclassified</w:t>
      </w:r>
      <w:r w:rsidR="007F3120">
        <w:t>. Whilst not all of the</w:t>
      </w:r>
      <w:r w:rsidR="005E6FA2">
        <w:t>se</w:t>
      </w:r>
      <w:r w:rsidR="007F3120">
        <w:t xml:space="preserve"> security officers were underpaid, Compass Group determined that 21 </w:t>
      </w:r>
      <w:r w:rsidR="008445CD">
        <w:t xml:space="preserve">security officers </w:t>
      </w:r>
      <w:r w:rsidR="007F3120">
        <w:t xml:space="preserve">were not paid correctly and were subsequently back-paid a total of </w:t>
      </w:r>
      <w:r w:rsidR="004E10E3" w:rsidRPr="00F301E6">
        <w:t>$40</w:t>
      </w:r>
      <w:r w:rsidR="00FC044E">
        <w:t xml:space="preserve"> </w:t>
      </w:r>
      <w:r w:rsidR="004E10E3" w:rsidRPr="00F301E6">
        <w:t>707</w:t>
      </w:r>
      <w:r w:rsidR="007F3120">
        <w:t>.</w:t>
      </w:r>
    </w:p>
    <w:p w14:paraId="42A481E8" w14:textId="13C05472" w:rsidR="00FC044E" w:rsidRDefault="00EA4F95">
      <w:pPr>
        <w:ind w:left="720"/>
        <w:rPr>
          <w:i/>
        </w:rPr>
      </w:pPr>
      <w:r>
        <w:rPr>
          <w:i/>
        </w:rPr>
        <w:t xml:space="preserve">We </w:t>
      </w:r>
      <w:r w:rsidRPr="00EA4F95">
        <w:rPr>
          <w:i/>
        </w:rPr>
        <w:t xml:space="preserve">place a high level of importance on self-audits and prefer to fix any issues proactively before they result in employee queries and concerns. If an underpayment of wages is discovered then we fix it up and make the necessary back pay without the need </w:t>
      </w:r>
      <w:r w:rsidR="00BC6701">
        <w:rPr>
          <w:i/>
        </w:rPr>
        <w:t xml:space="preserve">for </w:t>
      </w:r>
      <w:r w:rsidRPr="00EA4F95">
        <w:rPr>
          <w:i/>
        </w:rPr>
        <w:t xml:space="preserve">an </w:t>
      </w:r>
      <w:r w:rsidRPr="00EA4F95">
        <w:rPr>
          <w:i/>
        </w:rPr>
        <w:lastRenderedPageBreak/>
        <w:t xml:space="preserve">employee to raise the issues first. This demonstrates to </w:t>
      </w:r>
      <w:r>
        <w:rPr>
          <w:i/>
        </w:rPr>
        <w:t xml:space="preserve">our </w:t>
      </w:r>
      <w:r w:rsidRPr="00EA4F95">
        <w:rPr>
          <w:i/>
        </w:rPr>
        <w:t>employees that we are vigilant about complying with the law.</w:t>
      </w:r>
      <w:r>
        <w:rPr>
          <w:i/>
        </w:rPr>
        <w:t xml:space="preserve"> </w:t>
      </w:r>
    </w:p>
    <w:p w14:paraId="383DF964" w14:textId="698CE85A" w:rsidR="00B049B1" w:rsidRPr="00FC044E" w:rsidRDefault="00EA4F95">
      <w:pPr>
        <w:ind w:left="720"/>
      </w:pPr>
      <w:r w:rsidRPr="00FC044E">
        <w:t>(National Workplace Relations Manager, Compass Group)</w:t>
      </w:r>
      <w:r w:rsidR="007F14DF">
        <w:t>.</w:t>
      </w:r>
    </w:p>
    <w:p w14:paraId="3C953032" w14:textId="57C42896" w:rsidR="00B049B1" w:rsidRPr="00BE74E5" w:rsidRDefault="00B049B1">
      <w:r>
        <w:t xml:space="preserve">The FWO acknowledges that there was no requirement on Compass under the PCD to undertake this </w:t>
      </w:r>
      <w:r w:rsidR="00FC044E">
        <w:t>self-audit</w:t>
      </w:r>
      <w:r>
        <w:t>.</w:t>
      </w:r>
      <w:r w:rsidR="00FC044E">
        <w:t xml:space="preserve"> </w:t>
      </w:r>
      <w:r>
        <w:t xml:space="preserve">However, the length of time taken to complete the </w:t>
      </w:r>
      <w:r w:rsidR="00FC044E">
        <w:t>self-audit</w:t>
      </w:r>
      <w:r>
        <w:t xml:space="preserve"> and remedy underpayments highlights the importance of having efficient and effective processes in place to prevent non-compliance and then fix it when it occurs.</w:t>
      </w:r>
    </w:p>
    <w:p w14:paraId="4266B0DA" w14:textId="76B7638D" w:rsidR="005409BE" w:rsidRPr="00E87D88" w:rsidRDefault="005409BE" w:rsidP="00E87D88">
      <w:pPr>
        <w:pStyle w:val="Heading2"/>
      </w:pPr>
      <w:r w:rsidRPr="00E87D88">
        <w:t>Reports</w:t>
      </w:r>
    </w:p>
    <w:p w14:paraId="789B67FE" w14:textId="16AB9832" w:rsidR="00F66685" w:rsidRPr="00F66685" w:rsidRDefault="00D83AF6" w:rsidP="007F14DF">
      <w:r>
        <w:t xml:space="preserve">Reports were to be provided to the FWO, after the completion of the </w:t>
      </w:r>
      <w:r w:rsidR="00FC044E">
        <w:t>one-year</w:t>
      </w:r>
      <w:r>
        <w:t xml:space="preserve"> anniversary and at the expiry of the P</w:t>
      </w:r>
      <w:r w:rsidR="00BC3496">
        <w:t>CD</w:t>
      </w:r>
      <w:r>
        <w:t xml:space="preserve">. </w:t>
      </w:r>
      <w:r w:rsidR="007C3AF5">
        <w:t>Both reports were required to address the following matters:</w:t>
      </w:r>
    </w:p>
    <w:p w14:paraId="7CF18271" w14:textId="2733F907" w:rsidR="00F66685" w:rsidRDefault="003D69FD" w:rsidP="0079623E">
      <w:pPr>
        <w:pStyle w:val="ListParagraph"/>
        <w:numPr>
          <w:ilvl w:val="0"/>
          <w:numId w:val="7"/>
        </w:numPr>
        <w:contextualSpacing w:val="0"/>
      </w:pPr>
      <w:r>
        <w:t>t</w:t>
      </w:r>
      <w:r w:rsidR="00F66685" w:rsidRPr="00F66685">
        <w:t xml:space="preserve">he actions </w:t>
      </w:r>
      <w:r w:rsidR="007C3AF5">
        <w:t xml:space="preserve">taken </w:t>
      </w:r>
      <w:r w:rsidR="00F66685" w:rsidRPr="00F66685">
        <w:t>by Compass Group to address the requirements of the P</w:t>
      </w:r>
      <w:r w:rsidR="003929C3">
        <w:t>CD</w:t>
      </w:r>
    </w:p>
    <w:p w14:paraId="58261CF7" w14:textId="0FE53A7E" w:rsidR="00F66685" w:rsidRPr="00F66685" w:rsidRDefault="003D69FD" w:rsidP="0079623E">
      <w:pPr>
        <w:pStyle w:val="ListParagraph"/>
        <w:numPr>
          <w:ilvl w:val="0"/>
          <w:numId w:val="7"/>
        </w:numPr>
        <w:contextualSpacing w:val="0"/>
      </w:pPr>
      <w:r>
        <w:t>t</w:t>
      </w:r>
      <w:r w:rsidR="00F66685" w:rsidRPr="00F66685">
        <w:t xml:space="preserve">he number of </w:t>
      </w:r>
      <w:r w:rsidR="007C3AF5">
        <w:t>r</w:t>
      </w:r>
      <w:r w:rsidR="00F66685" w:rsidRPr="00F66685">
        <w:t xml:space="preserve">equests for </w:t>
      </w:r>
      <w:r w:rsidR="007C3AF5">
        <w:t>a</w:t>
      </w:r>
      <w:r w:rsidR="00F66685" w:rsidRPr="00F66685">
        <w:t>ssistance referred to Compass Group</w:t>
      </w:r>
    </w:p>
    <w:p w14:paraId="49320992" w14:textId="6801A90C" w:rsidR="00F66685" w:rsidRPr="00F66685" w:rsidRDefault="003D69FD" w:rsidP="0079623E">
      <w:pPr>
        <w:pStyle w:val="ListParagraph"/>
        <w:numPr>
          <w:ilvl w:val="0"/>
          <w:numId w:val="7"/>
        </w:numPr>
        <w:contextualSpacing w:val="0"/>
      </w:pPr>
      <w:r>
        <w:t>t</w:t>
      </w:r>
      <w:r w:rsidR="00F66685" w:rsidRPr="00F66685">
        <w:t xml:space="preserve">he number of </w:t>
      </w:r>
      <w:r w:rsidR="007C3AF5">
        <w:t>r</w:t>
      </w:r>
      <w:r w:rsidR="00F66685" w:rsidRPr="00F66685">
        <w:t xml:space="preserve">equests for </w:t>
      </w:r>
      <w:r w:rsidR="007C3AF5">
        <w:t>a</w:t>
      </w:r>
      <w:r w:rsidR="00F66685" w:rsidRPr="00F66685">
        <w:t>ssistance resolved by Compass Group</w:t>
      </w:r>
    </w:p>
    <w:p w14:paraId="1FA5F7B7" w14:textId="22BF10D2" w:rsidR="00F66685" w:rsidRPr="00F66685" w:rsidRDefault="003D69FD" w:rsidP="0079623E">
      <w:pPr>
        <w:pStyle w:val="ListParagraph"/>
        <w:numPr>
          <w:ilvl w:val="0"/>
          <w:numId w:val="7"/>
        </w:numPr>
        <w:contextualSpacing w:val="0"/>
      </w:pPr>
      <w:r>
        <w:t>t</w:t>
      </w:r>
      <w:r w:rsidR="00F66685" w:rsidRPr="00F66685">
        <w:t xml:space="preserve">he average </w:t>
      </w:r>
      <w:r w:rsidR="007C3AF5">
        <w:t>time taken to resolve each request for assista</w:t>
      </w:r>
      <w:r w:rsidR="009F5F64">
        <w:t>nce</w:t>
      </w:r>
    </w:p>
    <w:p w14:paraId="3D1CDA82" w14:textId="16F50B81" w:rsidR="00F66685" w:rsidRPr="00F66685" w:rsidRDefault="003D69FD" w:rsidP="0079623E">
      <w:pPr>
        <w:pStyle w:val="ListParagraph"/>
        <w:numPr>
          <w:ilvl w:val="0"/>
          <w:numId w:val="7"/>
        </w:numPr>
        <w:contextualSpacing w:val="0"/>
      </w:pPr>
      <w:r>
        <w:t>t</w:t>
      </w:r>
      <w:r w:rsidR="00F66685" w:rsidRPr="00F66685">
        <w:t>he average amount of underpayments.</w:t>
      </w:r>
    </w:p>
    <w:p w14:paraId="16F77B74" w14:textId="4A46C46B" w:rsidR="00F66685" w:rsidRDefault="007C3AF5" w:rsidP="007F14DF">
      <w:r>
        <w:t xml:space="preserve">Compass Group provided both </w:t>
      </w:r>
      <w:r w:rsidR="00C242EC">
        <w:t>reports, which</w:t>
      </w:r>
      <w:r>
        <w:t xml:space="preserve"> were comprehensive. </w:t>
      </w:r>
      <w:r w:rsidR="00243E51">
        <w:t>They</w:t>
      </w:r>
      <w:r>
        <w:t xml:space="preserve"> include details on the communication of the P</w:t>
      </w:r>
      <w:r w:rsidR="00BC3496">
        <w:t>CD</w:t>
      </w:r>
      <w:r>
        <w:t>, the systems and processes implemented during the life of the compliance partnership, as well as details on the self-resolution of requests for assistance.</w:t>
      </w:r>
      <w:r w:rsidR="00243E51">
        <w:t>.</w:t>
      </w:r>
    </w:p>
    <w:p w14:paraId="72F2092A" w14:textId="77777777" w:rsidR="005409BE" w:rsidRPr="00E87D88" w:rsidRDefault="007C3AF5" w:rsidP="00E87D88">
      <w:pPr>
        <w:pStyle w:val="Heading1"/>
      </w:pPr>
      <w:r w:rsidRPr="00E87D88">
        <w:t xml:space="preserve">Concluding </w:t>
      </w:r>
      <w:r w:rsidR="00EA4F95" w:rsidRPr="00E87D88">
        <w:t>c</w:t>
      </w:r>
      <w:r w:rsidR="005409BE" w:rsidRPr="00E87D88">
        <w:t>omments</w:t>
      </w:r>
    </w:p>
    <w:p w14:paraId="4A569781" w14:textId="005167DD" w:rsidR="00D83AF6" w:rsidRDefault="00CC3B26" w:rsidP="007F14DF">
      <w:r>
        <w:t xml:space="preserve">Compass </w:t>
      </w:r>
      <w:r w:rsidR="00EA4F95">
        <w:t xml:space="preserve">Group </w:t>
      </w:r>
      <w:r>
        <w:t>is a large and diverse company</w:t>
      </w:r>
      <w:r w:rsidR="00D83AF6">
        <w:t xml:space="preserve">. Throughout </w:t>
      </w:r>
      <w:r w:rsidR="004225C3">
        <w:t>the two</w:t>
      </w:r>
      <w:r w:rsidR="00A1305A">
        <w:t>-year period</w:t>
      </w:r>
      <w:r w:rsidR="00D83AF6">
        <w:t xml:space="preserve"> of the</w:t>
      </w:r>
      <w:r w:rsidR="0005738C">
        <w:t xml:space="preserve"> compli</w:t>
      </w:r>
      <w:r w:rsidR="00656884">
        <w:t>anc</w:t>
      </w:r>
      <w:r w:rsidR="0005738C">
        <w:t>e partnership</w:t>
      </w:r>
      <w:r w:rsidR="00D83AF6">
        <w:t>, the FWO observed improvements in the systems and processes implemented by Compass</w:t>
      </w:r>
      <w:r w:rsidR="003D69FD">
        <w:t xml:space="preserve"> Group</w:t>
      </w:r>
      <w:r w:rsidR="00D83AF6">
        <w:t xml:space="preserve"> to ensure they meet all their obligations.</w:t>
      </w:r>
    </w:p>
    <w:p w14:paraId="76FF0474" w14:textId="3497E4E2" w:rsidR="007F584A" w:rsidRDefault="00DA10FA">
      <w:r>
        <w:t xml:space="preserve">While the FWO is reasonably confident that Compass Group now has systems in place to handle allegations from employees of non-compliance, it notes </w:t>
      </w:r>
      <w:r w:rsidR="007F584A">
        <w:t xml:space="preserve">Compass </w:t>
      </w:r>
      <w:r w:rsidR="00EA4F95">
        <w:t xml:space="preserve">Group </w:t>
      </w:r>
      <w:r w:rsidR="007F584A">
        <w:t xml:space="preserve">recently moved to have </w:t>
      </w:r>
      <w:r w:rsidR="00EA4F95">
        <w:t xml:space="preserve">the bulk of </w:t>
      </w:r>
      <w:r w:rsidR="007F584A">
        <w:t>its payroll function performed off-shore. Given this, it will be vital that all managers across the operation understand the importance of getting processes right so that non-compliance does not become an issue.</w:t>
      </w:r>
    </w:p>
    <w:p w14:paraId="305AD91E" w14:textId="411C8B9B" w:rsidR="00D83AF6" w:rsidRDefault="007F584A">
      <w:r>
        <w:t>The improved performance in the second year of the partnership provides the FWO with greater c</w:t>
      </w:r>
      <w:r w:rsidR="00D83AF6">
        <w:t xml:space="preserve">onfidence that Compass </w:t>
      </w:r>
      <w:r w:rsidR="003D69FD">
        <w:t xml:space="preserve">Group </w:t>
      </w:r>
      <w:r w:rsidR="00D83AF6">
        <w:t xml:space="preserve">is </w:t>
      </w:r>
      <w:r w:rsidR="004106D6">
        <w:t>better placed to</w:t>
      </w:r>
      <w:r w:rsidR="00D83AF6">
        <w:t xml:space="preserve"> </w:t>
      </w:r>
      <w:r w:rsidR="004106D6">
        <w:t xml:space="preserve">improve </w:t>
      </w:r>
      <w:r>
        <w:t>its compliance framework in the future</w:t>
      </w:r>
      <w:r w:rsidR="00D83AF6">
        <w:t>.</w:t>
      </w:r>
    </w:p>
    <w:p w14:paraId="28481ADB" w14:textId="77777777" w:rsidR="00C242EC" w:rsidRDefault="000A1446">
      <w:r>
        <w:lastRenderedPageBreak/>
        <w:t>While t</w:t>
      </w:r>
      <w:r w:rsidR="00D83AF6">
        <w:t xml:space="preserve">he foundations laid during the life of the compliance partnership provide a solid base for the future compliance success of all Compass </w:t>
      </w:r>
      <w:r w:rsidR="00EA4F95">
        <w:t xml:space="preserve">Group </w:t>
      </w:r>
      <w:r w:rsidR="00D83AF6">
        <w:t>operations</w:t>
      </w:r>
      <w:r>
        <w:t xml:space="preserve">, the FWO will continue to </w:t>
      </w:r>
      <w:r w:rsidR="00012FCF">
        <w:t xml:space="preserve">review </w:t>
      </w:r>
      <w:r>
        <w:t xml:space="preserve">any future requests for assistance from employees and seek to ensure Compass Group is continuing to invest in compliance. </w:t>
      </w:r>
      <w:r w:rsidR="00012FCF">
        <w:t>At this stage, there is no intention to enter into a second compliance partnership.</w:t>
      </w:r>
    </w:p>
    <w:p w14:paraId="006FF6B8" w14:textId="7C6E75A4" w:rsidR="00E75684" w:rsidRPr="003A0447" w:rsidRDefault="00E75684">
      <w:pPr>
        <w:rPr>
          <w:rStyle w:val="Strong"/>
          <w:b w:val="0"/>
          <w:bCs w:val="0"/>
        </w:rPr>
      </w:pPr>
      <w:r>
        <w:rPr>
          <w:rStyle w:val="Strong"/>
          <w:b w:val="0"/>
        </w:rPr>
        <w:br w:type="page"/>
      </w:r>
    </w:p>
    <w:p w14:paraId="74E7FCD9" w14:textId="0FF9E26C" w:rsidR="00E75684" w:rsidRPr="00E87D88" w:rsidRDefault="00E75684" w:rsidP="00E87D88">
      <w:pPr>
        <w:pStyle w:val="Heading1"/>
      </w:pPr>
      <w:r w:rsidRPr="00E87D88">
        <w:lastRenderedPageBreak/>
        <w:t>About the Fair Work Ombudsman</w:t>
      </w:r>
    </w:p>
    <w:p w14:paraId="51EFEECB" w14:textId="77777777" w:rsidR="00E75684" w:rsidRPr="00E75684" w:rsidRDefault="00E75684" w:rsidP="007F14DF">
      <w:pPr>
        <w:rPr>
          <w:lang w:eastAsia="en-AU"/>
        </w:rPr>
      </w:pPr>
      <w:r w:rsidRPr="00E75684">
        <w:rPr>
          <w:lang w:eastAsia="en-AU"/>
        </w:rPr>
        <w:t xml:space="preserve">The Fair Work Ombudsman is an independent agency created by the </w:t>
      </w:r>
      <w:r w:rsidRPr="00E75684">
        <w:rPr>
          <w:i/>
          <w:lang w:eastAsia="en-AU"/>
        </w:rPr>
        <w:t>Fair Work Act 2009</w:t>
      </w:r>
      <w:r w:rsidRPr="00E75684">
        <w:rPr>
          <w:lang w:eastAsia="en-AU"/>
        </w:rPr>
        <w:t xml:space="preserve"> on 1 July 2009. Our main role is to promote harmonious, productive and cooperative workplace relations.</w:t>
      </w:r>
    </w:p>
    <w:p w14:paraId="627C1F86" w14:textId="77777777" w:rsidR="00E75684" w:rsidRPr="00C667B7" w:rsidRDefault="00E75684">
      <w:pPr>
        <w:rPr>
          <w:lang w:eastAsia="en-AU"/>
        </w:rPr>
      </w:pPr>
      <w:r w:rsidRPr="00C667B7">
        <w:rPr>
          <w:lang w:eastAsia="en-AU"/>
        </w:rPr>
        <w:t xml:space="preserve">The Fair Work Ombudsman is an independent statutory agency, created by the FW Act on 1 July 2009.  </w:t>
      </w:r>
    </w:p>
    <w:p w14:paraId="271F4C8C" w14:textId="0E758CD8" w:rsidR="00E75684" w:rsidRPr="00ED0554" w:rsidRDefault="00E75684">
      <w:pPr>
        <w:rPr>
          <w:rFonts w:eastAsia="Arial" w:cs="Helvetica"/>
          <w:szCs w:val="22"/>
        </w:rPr>
      </w:pPr>
      <w:r w:rsidRPr="00C667B7">
        <w:rPr>
          <w:lang w:eastAsia="en-AU"/>
        </w:rPr>
        <w:t>The Fair Work Ombudsman employs a number of strategies to achieve compliance with national workplace laws.  This includes entering into Proactive Compliance Deeds with employers. A Proactive Compliance Deed is an opportunity for businesses to work with the Fair Work Ombudsman in a positive</w:t>
      </w:r>
      <w:r w:rsidRPr="00ED0554">
        <w:rPr>
          <w:rFonts w:eastAsia="Arial" w:cs="Helvetica"/>
          <w:szCs w:val="22"/>
        </w:rPr>
        <w:t xml:space="preserve"> and constructive manner and achieve sustainable monitoring arrangements so as to demonstrate commitment to ‘fair Australian workplaces’.  </w:t>
      </w:r>
    </w:p>
    <w:p w14:paraId="76C865AE" w14:textId="77777777" w:rsidR="00E75684" w:rsidRPr="00ED0554" w:rsidRDefault="00E75684">
      <w:pPr>
        <w:rPr>
          <w:rFonts w:eastAsia="Arial" w:cs="Helvetica"/>
          <w:szCs w:val="22"/>
        </w:rPr>
      </w:pPr>
      <w:r w:rsidRPr="00ED0554">
        <w:rPr>
          <w:rFonts w:eastAsia="Arial" w:cs="Helvetica"/>
          <w:szCs w:val="22"/>
        </w:rPr>
        <w:t xml:space="preserve">Employers may seek to enter into a Deed with the </w:t>
      </w:r>
      <w:r w:rsidRPr="00ED0554">
        <w:rPr>
          <w:rFonts w:cs="Helvetica"/>
          <w:szCs w:val="22"/>
        </w:rPr>
        <w:t>Fair Work Ombudsman</w:t>
      </w:r>
      <w:r w:rsidRPr="00ED0554">
        <w:rPr>
          <w:rFonts w:eastAsia="Arial" w:cs="Helvetica"/>
          <w:szCs w:val="22"/>
        </w:rPr>
        <w:t xml:space="preserve"> for a variety of reasons.  Some of these reasons include:</w:t>
      </w:r>
    </w:p>
    <w:p w14:paraId="00F1C7B7" w14:textId="77777777" w:rsidR="00E75684" w:rsidRPr="00FC044E" w:rsidRDefault="00E75684">
      <w:pPr>
        <w:pStyle w:val="ListParagraph"/>
        <w:numPr>
          <w:ilvl w:val="0"/>
          <w:numId w:val="20"/>
        </w:numPr>
        <w:contextualSpacing w:val="0"/>
        <w:rPr>
          <w:szCs w:val="22"/>
        </w:rPr>
      </w:pPr>
      <w:r w:rsidRPr="00FC044E">
        <w:rPr>
          <w:szCs w:val="22"/>
        </w:rPr>
        <w:t xml:space="preserve">ensuring its obligations under the Act are being met </w:t>
      </w:r>
    </w:p>
    <w:p w14:paraId="56876290" w14:textId="23646859" w:rsidR="00E75684" w:rsidRPr="00FC044E" w:rsidRDefault="00E75684">
      <w:pPr>
        <w:pStyle w:val="ListParagraph"/>
        <w:numPr>
          <w:ilvl w:val="0"/>
          <w:numId w:val="20"/>
        </w:numPr>
        <w:contextualSpacing w:val="0"/>
        <w:rPr>
          <w:szCs w:val="22"/>
        </w:rPr>
      </w:pPr>
      <w:r w:rsidRPr="00FC044E">
        <w:rPr>
          <w:szCs w:val="22"/>
        </w:rPr>
        <w:t xml:space="preserve">a method of identifying and minimising business risks with respect to its employees </w:t>
      </w:r>
    </w:p>
    <w:p w14:paraId="22DD192A" w14:textId="77777777" w:rsidR="00E75684" w:rsidRPr="00FC044E" w:rsidRDefault="00E75684">
      <w:pPr>
        <w:pStyle w:val="ListParagraph"/>
        <w:numPr>
          <w:ilvl w:val="0"/>
          <w:numId w:val="20"/>
        </w:numPr>
        <w:contextualSpacing w:val="0"/>
        <w:rPr>
          <w:szCs w:val="22"/>
        </w:rPr>
      </w:pPr>
      <w:r w:rsidRPr="00FC044E">
        <w:rPr>
          <w:szCs w:val="22"/>
        </w:rPr>
        <w:t>to demonstrate that it is a fair Australian workplace and potentially an employer of choice</w:t>
      </w:r>
    </w:p>
    <w:p w14:paraId="171B1FF3" w14:textId="77777777" w:rsidR="00E75684" w:rsidRPr="00FC044E" w:rsidRDefault="00E75684">
      <w:pPr>
        <w:pStyle w:val="ListParagraph"/>
        <w:numPr>
          <w:ilvl w:val="0"/>
          <w:numId w:val="20"/>
        </w:numPr>
        <w:contextualSpacing w:val="0"/>
        <w:rPr>
          <w:szCs w:val="22"/>
        </w:rPr>
      </w:pPr>
      <w:r w:rsidRPr="00FC044E">
        <w:rPr>
          <w:szCs w:val="22"/>
        </w:rPr>
        <w:t xml:space="preserve">to address potential areas of non-compliance with the Act. </w:t>
      </w:r>
    </w:p>
    <w:p w14:paraId="06A56FE4" w14:textId="155EE440" w:rsidR="00E75684" w:rsidRPr="00ED0554" w:rsidRDefault="00E75684">
      <w:pPr>
        <w:rPr>
          <w:rFonts w:eastAsia="Arial" w:cs="Helvetica"/>
          <w:szCs w:val="22"/>
        </w:rPr>
      </w:pPr>
      <w:r w:rsidRPr="006C04ED">
        <w:rPr>
          <w:rFonts w:eastAsia="Arial" w:cs="Helvetica"/>
          <w:szCs w:val="22"/>
        </w:rPr>
        <w:t>A range of activities can be utilised to assist the business meet</w:t>
      </w:r>
      <w:r w:rsidRPr="00ED0554">
        <w:rPr>
          <w:rFonts w:eastAsia="Arial" w:cs="Helvetica"/>
          <w:szCs w:val="22"/>
        </w:rPr>
        <w:t xml:space="preserve"> the intended outcomes of the </w:t>
      </w:r>
      <w:r w:rsidR="00FC044E">
        <w:rPr>
          <w:rFonts w:eastAsia="Arial" w:cs="Helvetica"/>
          <w:szCs w:val="22"/>
        </w:rPr>
        <w:t>d</w:t>
      </w:r>
      <w:r w:rsidRPr="00ED0554">
        <w:rPr>
          <w:rFonts w:eastAsia="Arial" w:cs="Helvetica"/>
          <w:szCs w:val="22"/>
        </w:rPr>
        <w:t>eed, for example, self-auditing of wages and record keeping, initiatives to engage with employees to improve compliance, and mutually beneficial improvements to employment and business outcomes by focussing on supply chain, brand and franchise relationships.</w:t>
      </w:r>
    </w:p>
    <w:p w14:paraId="13C243AA" w14:textId="12E3468E" w:rsidR="00E75684" w:rsidRPr="00ED0554" w:rsidRDefault="00E75684">
      <w:pPr>
        <w:rPr>
          <w:rFonts w:eastAsia="Arial" w:cs="Helvetica"/>
          <w:szCs w:val="22"/>
        </w:rPr>
      </w:pPr>
      <w:r w:rsidRPr="00ED0554">
        <w:rPr>
          <w:rFonts w:eastAsia="Arial" w:cs="Helvetica"/>
          <w:szCs w:val="22"/>
        </w:rPr>
        <w:t xml:space="preserve">A business that enters into a </w:t>
      </w:r>
      <w:r w:rsidR="00FC044E">
        <w:rPr>
          <w:rFonts w:eastAsia="Arial" w:cs="Helvetica"/>
          <w:szCs w:val="22"/>
        </w:rPr>
        <w:t>d</w:t>
      </w:r>
      <w:r w:rsidRPr="00ED0554">
        <w:rPr>
          <w:rFonts w:eastAsia="Arial" w:cs="Helvetica"/>
          <w:szCs w:val="22"/>
        </w:rPr>
        <w:t xml:space="preserve">eed with the </w:t>
      </w:r>
      <w:r w:rsidRPr="00C667B7">
        <w:rPr>
          <w:rFonts w:eastAsia="Arial" w:cs="Helvetica"/>
          <w:szCs w:val="22"/>
        </w:rPr>
        <w:t>Fair Work Ombudsman</w:t>
      </w:r>
      <w:r w:rsidRPr="00ED0554">
        <w:rPr>
          <w:rFonts w:eastAsia="Arial" w:cs="Helvetica"/>
          <w:szCs w:val="22"/>
        </w:rPr>
        <w:t xml:space="preserve"> is assigned a dedicated Fair Work Officer who provides support and assistance to the business to ensure they are able to meet the outcomes of the </w:t>
      </w:r>
      <w:r w:rsidR="00FC044E">
        <w:rPr>
          <w:rFonts w:eastAsia="Arial" w:cs="Helvetica"/>
          <w:szCs w:val="22"/>
        </w:rPr>
        <w:t>d</w:t>
      </w:r>
      <w:r w:rsidRPr="00ED0554">
        <w:rPr>
          <w:rFonts w:eastAsia="Arial" w:cs="Helvetica"/>
          <w:szCs w:val="22"/>
        </w:rPr>
        <w:t>eed.</w:t>
      </w:r>
    </w:p>
    <w:p w14:paraId="1EAA8F53" w14:textId="089BF545" w:rsidR="00E75684" w:rsidRPr="00C667B7" w:rsidRDefault="00E75684">
      <w:pPr>
        <w:rPr>
          <w:rFonts w:eastAsia="Arial" w:cs="Helvetica"/>
          <w:szCs w:val="22"/>
        </w:rPr>
      </w:pPr>
      <w:r w:rsidRPr="00C667B7">
        <w:rPr>
          <w:rFonts w:eastAsia="Arial" w:cs="Helvetica"/>
          <w:szCs w:val="22"/>
        </w:rPr>
        <w:t>A publicly available report is publi</w:t>
      </w:r>
      <w:r w:rsidR="00FC044E" w:rsidRPr="00C667B7">
        <w:rPr>
          <w:rFonts w:eastAsia="Arial" w:cs="Helvetica"/>
          <w:szCs w:val="22"/>
        </w:rPr>
        <w:t>shed at the conclusion of each d</w:t>
      </w:r>
      <w:r w:rsidRPr="00C667B7">
        <w:rPr>
          <w:rFonts w:eastAsia="Arial" w:cs="Helvetica"/>
          <w:szCs w:val="22"/>
        </w:rPr>
        <w:t>eed.</w:t>
      </w:r>
    </w:p>
    <w:p w14:paraId="62CFE3CD" w14:textId="77777777" w:rsidR="00E75684" w:rsidRPr="00ED0554" w:rsidRDefault="00E75684">
      <w:pPr>
        <w:rPr>
          <w:rFonts w:cs="Helvetica"/>
          <w:szCs w:val="22"/>
        </w:rPr>
      </w:pPr>
      <w:r w:rsidRPr="00ED0554">
        <w:rPr>
          <w:rFonts w:cs="Helvetica"/>
          <w:szCs w:val="22"/>
        </w:rPr>
        <w:t>For further information and media enquiries please contact FWO media (</w:t>
      </w:r>
      <w:hyperlink r:id="rId10" w:history="1">
        <w:r w:rsidRPr="003A0447">
          <w:rPr>
            <w:rStyle w:val="Hyperlink"/>
            <w:rFonts w:ascii="Helvetica" w:hAnsi="Helvetica" w:cs="Helvetica"/>
            <w:szCs w:val="22"/>
          </w:rPr>
          <w:t>media@fwo.gov.au</w:t>
        </w:r>
      </w:hyperlink>
      <w:r w:rsidRPr="006C04ED">
        <w:rPr>
          <w:rFonts w:cs="Helvetica"/>
          <w:szCs w:val="22"/>
        </w:rPr>
        <w:t xml:space="preserve">). </w:t>
      </w:r>
    </w:p>
    <w:p w14:paraId="73336B08" w14:textId="7AEC2130" w:rsidR="00243E51" w:rsidRDefault="00E75684" w:rsidP="00C41A63">
      <w:pPr>
        <w:rPr>
          <w:rStyle w:val="Strong"/>
          <w:b w:val="0"/>
          <w:bCs w:val="0"/>
          <w:color w:val="0194A6"/>
          <w:sz w:val="40"/>
          <w:szCs w:val="40"/>
        </w:rPr>
      </w:pPr>
      <w:r w:rsidRPr="00ED0554">
        <w:rPr>
          <w:rFonts w:eastAsia="Arial" w:cs="Helvetica"/>
          <w:color w:val="000000"/>
          <w:szCs w:val="22"/>
        </w:rPr>
        <w:t xml:space="preserve">If you would like further information about </w:t>
      </w:r>
      <w:r w:rsidR="00FB1DAE">
        <w:rPr>
          <w:rFonts w:eastAsia="Arial" w:cs="Helvetica"/>
          <w:color w:val="000000"/>
          <w:szCs w:val="22"/>
        </w:rPr>
        <w:t>c</w:t>
      </w:r>
      <w:r>
        <w:rPr>
          <w:rFonts w:eastAsia="Arial" w:cs="Helvetica"/>
          <w:color w:val="000000"/>
          <w:szCs w:val="22"/>
        </w:rPr>
        <w:t xml:space="preserve">ompliance </w:t>
      </w:r>
      <w:r w:rsidR="00FB1DAE">
        <w:rPr>
          <w:rFonts w:eastAsia="Arial" w:cs="Helvetica"/>
          <w:color w:val="000000"/>
          <w:szCs w:val="22"/>
        </w:rPr>
        <w:t>p</w:t>
      </w:r>
      <w:r>
        <w:rPr>
          <w:rFonts w:eastAsia="Arial" w:cs="Helvetica"/>
          <w:color w:val="000000"/>
          <w:szCs w:val="22"/>
        </w:rPr>
        <w:t>artnerships</w:t>
      </w:r>
      <w:r w:rsidRPr="006C04ED">
        <w:rPr>
          <w:rFonts w:eastAsia="Arial" w:cs="Helvetica"/>
          <w:color w:val="000000"/>
          <w:szCs w:val="22"/>
        </w:rPr>
        <w:t xml:space="preserve"> please contact Steve</w:t>
      </w:r>
      <w:r w:rsidR="00DF1C8C">
        <w:rPr>
          <w:rFonts w:eastAsia="Arial" w:cs="Helvetica"/>
          <w:color w:val="000000"/>
          <w:szCs w:val="22"/>
        </w:rPr>
        <w:t>n</w:t>
      </w:r>
      <w:r w:rsidRPr="006C04ED">
        <w:rPr>
          <w:rFonts w:eastAsia="Arial" w:cs="Helvetica"/>
          <w:color w:val="000000"/>
          <w:szCs w:val="22"/>
        </w:rPr>
        <w:t xml:space="preserve"> Ronson, Executive Director – </w:t>
      </w:r>
      <w:r>
        <w:rPr>
          <w:rFonts w:eastAsia="Arial" w:cs="Helvetica"/>
          <w:color w:val="000000"/>
          <w:szCs w:val="22"/>
        </w:rPr>
        <w:t>Communications</w:t>
      </w:r>
      <w:r w:rsidR="00FC044E">
        <w:rPr>
          <w:rFonts w:eastAsia="Arial" w:cs="Helvetica"/>
          <w:color w:val="000000"/>
          <w:szCs w:val="22"/>
        </w:rPr>
        <w:t xml:space="preserve"> </w:t>
      </w:r>
      <w:r w:rsidR="00C667B7">
        <w:rPr>
          <w:rFonts w:eastAsia="Arial" w:cs="Helvetica"/>
          <w:color w:val="000000"/>
          <w:szCs w:val="22"/>
        </w:rPr>
        <w:t>(</w:t>
      </w:r>
      <w:hyperlink r:id="rId11" w:history="1">
        <w:r w:rsidR="00FB1DAE" w:rsidRPr="00D17745">
          <w:rPr>
            <w:rStyle w:val="Hyperlink"/>
            <w:rFonts w:ascii="Helvetica" w:eastAsia="Arial" w:hAnsi="Helvetica" w:cs="Helvetica"/>
            <w:szCs w:val="22"/>
          </w:rPr>
          <w:t>steven.ronson@fwo.gov.au</w:t>
        </w:r>
      </w:hyperlink>
      <w:r w:rsidR="00C667B7">
        <w:rPr>
          <w:rFonts w:eastAsia="Arial" w:cs="Helvetica"/>
          <w:color w:val="000000"/>
          <w:szCs w:val="22"/>
        </w:rPr>
        <w:t>)</w:t>
      </w:r>
      <w:r w:rsidR="00DF1C8C">
        <w:rPr>
          <w:rFonts w:eastAsia="Arial" w:cs="Helvetica"/>
          <w:color w:val="000000"/>
          <w:szCs w:val="22"/>
        </w:rPr>
        <w:t>.</w:t>
      </w:r>
    </w:p>
    <w:sectPr w:rsidR="00243E51" w:rsidSect="00C667B7">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296D2" w14:textId="77777777" w:rsidR="00656884" w:rsidRDefault="00656884" w:rsidP="00AB27F9">
      <w:r>
        <w:separator/>
      </w:r>
    </w:p>
  </w:endnote>
  <w:endnote w:type="continuationSeparator" w:id="0">
    <w:p w14:paraId="0A8A6F8B" w14:textId="77777777" w:rsidR="00656884" w:rsidRDefault="00656884"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91C9D" w14:textId="77777777" w:rsidR="00656884" w:rsidRDefault="00656884" w:rsidP="00AB27F9">
      <w:r>
        <w:separator/>
      </w:r>
    </w:p>
  </w:footnote>
  <w:footnote w:type="continuationSeparator" w:id="0">
    <w:p w14:paraId="545B9921" w14:textId="77777777" w:rsidR="00656884" w:rsidRDefault="00656884" w:rsidP="00AB27F9">
      <w:r>
        <w:continuationSeparator/>
      </w:r>
    </w:p>
  </w:footnote>
  <w:footnote w:id="1">
    <w:p w14:paraId="62694C34" w14:textId="3E0080CD" w:rsidR="00656884" w:rsidRPr="00ED0554" w:rsidRDefault="00656884" w:rsidP="00C667B7">
      <w:pPr>
        <w:pStyle w:val="FootnoteText"/>
        <w:spacing w:after="0" w:line="240" w:lineRule="auto"/>
        <w:rPr>
          <w:rFonts w:ascii="Arial" w:hAnsi="Arial"/>
          <w:sz w:val="18"/>
          <w:szCs w:val="18"/>
        </w:rPr>
      </w:pPr>
      <w:r>
        <w:rPr>
          <w:rStyle w:val="FootnoteReference"/>
        </w:rPr>
        <w:footnoteRef/>
      </w:r>
      <w:r>
        <w:t xml:space="preserve"> </w:t>
      </w:r>
      <w:hyperlink r:id="rId1" w:tooltip="Link to Compass Group, our company" w:history="1">
        <w:r w:rsidRPr="00C34F4A">
          <w:rPr>
            <w:rStyle w:val="Hyperlink"/>
            <w:rFonts w:cs="Arial"/>
            <w:sz w:val="18"/>
            <w:szCs w:val="18"/>
          </w:rPr>
          <w:t>http://www.compass-group.com.au/who-we-are/our-company</w:t>
        </w:r>
      </w:hyperlink>
    </w:p>
  </w:footnote>
  <w:footnote w:id="2">
    <w:p w14:paraId="7C9D5555" w14:textId="34321930" w:rsidR="00656884" w:rsidRPr="009A747E" w:rsidRDefault="00656884" w:rsidP="00ED0554">
      <w:pPr>
        <w:pStyle w:val="FootnoteText"/>
        <w:spacing w:after="0"/>
        <w:rPr>
          <w:rFonts w:ascii="Arial" w:hAnsi="Arial"/>
          <w:sz w:val="18"/>
          <w:szCs w:val="18"/>
        </w:rPr>
      </w:pPr>
      <w:r>
        <w:rPr>
          <w:rStyle w:val="FootnoteReference"/>
        </w:rPr>
        <w:footnoteRef/>
      </w:r>
      <w:r>
        <w:t xml:space="preserve"> </w:t>
      </w:r>
      <w:r w:rsidRPr="009A747E">
        <w:rPr>
          <w:rFonts w:ascii="Arial" w:hAnsi="Arial"/>
          <w:sz w:val="18"/>
          <w:szCs w:val="18"/>
        </w:rPr>
        <w:t xml:space="preserve">A </w:t>
      </w:r>
      <w:r w:rsidR="00ED0554">
        <w:rPr>
          <w:rFonts w:ascii="Arial" w:hAnsi="Arial"/>
          <w:sz w:val="18"/>
          <w:szCs w:val="18"/>
        </w:rPr>
        <w:t>l</w:t>
      </w:r>
      <w:r w:rsidRPr="009A747E">
        <w:rPr>
          <w:rFonts w:ascii="Arial" w:hAnsi="Arial"/>
          <w:sz w:val="18"/>
          <w:szCs w:val="18"/>
        </w:rPr>
        <w:t xml:space="preserve">etter of </w:t>
      </w:r>
      <w:r w:rsidR="00ED0554">
        <w:rPr>
          <w:rFonts w:ascii="Arial" w:hAnsi="Arial"/>
          <w:sz w:val="18"/>
          <w:szCs w:val="18"/>
        </w:rPr>
        <w:t>c</w:t>
      </w:r>
      <w:r w:rsidRPr="009A747E">
        <w:rPr>
          <w:rFonts w:ascii="Arial" w:hAnsi="Arial"/>
          <w:sz w:val="18"/>
          <w:szCs w:val="18"/>
        </w:rPr>
        <w:t xml:space="preserve">aution is a written warning given to an employer to place them on notice that future contraventions may result in the FWO seeking financial penalties.  </w:t>
      </w:r>
    </w:p>
  </w:footnote>
  <w:footnote w:id="3">
    <w:p w14:paraId="0D91DA23" w14:textId="5FE74CCB" w:rsidR="003D69FD" w:rsidRPr="00C34F4A" w:rsidRDefault="003D69FD" w:rsidP="003D69FD">
      <w:pPr>
        <w:pStyle w:val="FootnoteText"/>
        <w:spacing w:after="0"/>
        <w:rPr>
          <w:rFonts w:ascii="Arial" w:hAnsi="Arial"/>
          <w:sz w:val="18"/>
          <w:szCs w:val="18"/>
        </w:rPr>
      </w:pPr>
      <w:r w:rsidRPr="00C34F4A">
        <w:rPr>
          <w:rStyle w:val="FootnoteReference"/>
          <w:rFonts w:ascii="Arial" w:hAnsi="Arial" w:cs="Arial"/>
          <w:sz w:val="18"/>
          <w:szCs w:val="18"/>
        </w:rPr>
        <w:footnoteRef/>
      </w:r>
      <w:r w:rsidRPr="00C34F4A">
        <w:rPr>
          <w:rFonts w:ascii="Arial" w:hAnsi="Arial"/>
          <w:sz w:val="18"/>
          <w:szCs w:val="18"/>
        </w:rPr>
        <w:t xml:space="preserve"> </w:t>
      </w:r>
      <w:hyperlink r:id="rId2" w:tooltip="Link to Compass Group, who are we" w:history="1">
        <w:r w:rsidRPr="00C34F4A">
          <w:rPr>
            <w:rStyle w:val="Hyperlink"/>
            <w:rFonts w:cs="Arial"/>
            <w:sz w:val="18"/>
            <w:szCs w:val="18"/>
          </w:rPr>
          <w:t>http://www.compass-group.com.au/who-we-are</w:t>
        </w:r>
      </w:hyperlink>
      <w:r w:rsidRPr="00C34F4A">
        <w:rPr>
          <w:rFonts w:ascii="Arial" w:hAnsi="Arial"/>
          <w:sz w:val="18"/>
          <w:szCs w:val="18"/>
        </w:rPr>
        <w:t xml:space="preserve">  accessed 17 August 2016</w:t>
      </w:r>
    </w:p>
  </w:footnote>
  <w:footnote w:id="4">
    <w:p w14:paraId="2F6A1847" w14:textId="67F3DF7B" w:rsidR="003D69FD" w:rsidRPr="001F1E2C" w:rsidRDefault="003D69FD" w:rsidP="003D69FD">
      <w:pPr>
        <w:pStyle w:val="FootnoteText"/>
        <w:spacing w:after="0"/>
        <w:rPr>
          <w:rFonts w:ascii="Arial" w:hAnsi="Arial"/>
          <w:sz w:val="18"/>
          <w:szCs w:val="18"/>
        </w:rPr>
      </w:pPr>
      <w:r w:rsidRPr="001F1E2C">
        <w:rPr>
          <w:rStyle w:val="FootnoteReference"/>
          <w:rFonts w:ascii="Arial" w:hAnsi="Arial" w:cs="Arial"/>
          <w:sz w:val="18"/>
          <w:szCs w:val="18"/>
        </w:rPr>
        <w:footnoteRef/>
      </w:r>
      <w:r w:rsidRPr="001F1E2C">
        <w:rPr>
          <w:rFonts w:ascii="Arial" w:hAnsi="Arial"/>
          <w:sz w:val="18"/>
          <w:szCs w:val="18"/>
        </w:rPr>
        <w:t xml:space="preserve"> </w:t>
      </w:r>
      <w:hyperlink r:id="rId3" w:tooltip="Link to Fair Work Ombudsman compliance and enforcement policy" w:history="1">
        <w:r w:rsidRPr="001F1E2C">
          <w:rPr>
            <w:rStyle w:val="Hyperlink"/>
            <w:rFonts w:cs="Arial"/>
            <w:sz w:val="18"/>
            <w:szCs w:val="18"/>
          </w:rPr>
          <w:t>http://www.fairwork.gov.au/about-us/our-vision/compliance-and-enforcement-policy</w:t>
        </w:r>
      </w:hyperlink>
      <w:r w:rsidRPr="001F1E2C">
        <w:rPr>
          <w:rFonts w:ascii="Arial" w:hAnsi="Arial"/>
          <w:sz w:val="18"/>
          <w:szCs w:val="18"/>
        </w:rPr>
        <w:t xml:space="preserve"> </w:t>
      </w:r>
    </w:p>
  </w:footnote>
  <w:footnote w:id="5">
    <w:p w14:paraId="1432320A" w14:textId="3A71BF94" w:rsidR="003D69FD" w:rsidRPr="00C34F4A" w:rsidRDefault="003D69FD" w:rsidP="003D69FD">
      <w:pPr>
        <w:pStyle w:val="FootnoteText"/>
        <w:spacing w:after="0"/>
        <w:rPr>
          <w:rFonts w:ascii="Arial" w:hAnsi="Arial"/>
          <w:sz w:val="18"/>
          <w:szCs w:val="18"/>
        </w:rPr>
      </w:pPr>
      <w:r>
        <w:rPr>
          <w:rStyle w:val="FootnoteReference"/>
        </w:rPr>
        <w:footnoteRef/>
      </w:r>
      <w:hyperlink r:id="rId4" w:tooltip="Link for Fair Work Ombudsman media release" w:history="1">
        <w:r w:rsidRPr="00C34F4A">
          <w:rPr>
            <w:rStyle w:val="Hyperlink"/>
            <w:rFonts w:cs="Arial"/>
            <w:sz w:val="18"/>
            <w:szCs w:val="18"/>
          </w:rPr>
          <w:t>https://www.fairwork.gov.au/about-us/news-and-media-releases/2014-media-releases/august-2014/20140823-compass-pcd</w:t>
        </w:r>
      </w:hyperlink>
      <w:r w:rsidRPr="00C34F4A">
        <w:rPr>
          <w:rFonts w:ascii="Arial" w:hAnsi="Arial"/>
          <w:sz w:val="18"/>
          <w:szCs w:val="18"/>
        </w:rPr>
        <w:t xml:space="preserve">  accessed 17 August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1623136"/>
    <w:multiLevelType w:val="multilevel"/>
    <w:tmpl w:val="667C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C5C63"/>
    <w:multiLevelType w:val="hybridMultilevel"/>
    <w:tmpl w:val="0246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2A7913"/>
    <w:multiLevelType w:val="hybridMultilevel"/>
    <w:tmpl w:val="190433B8"/>
    <w:lvl w:ilvl="0" w:tplc="44F86C5A">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D702CA"/>
    <w:multiLevelType w:val="hybridMultilevel"/>
    <w:tmpl w:val="6D2CC1DE"/>
    <w:lvl w:ilvl="0" w:tplc="D28CD8E6">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0AD00CAD"/>
    <w:multiLevelType w:val="hybridMultilevel"/>
    <w:tmpl w:val="F40E5B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0BD23497"/>
    <w:multiLevelType w:val="hybridMultilevel"/>
    <w:tmpl w:val="16ECD442"/>
    <w:lvl w:ilvl="0" w:tplc="A83CA2E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C21CE0"/>
    <w:multiLevelType w:val="hybridMultilevel"/>
    <w:tmpl w:val="63B0F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nsid w:val="253F2776"/>
    <w:multiLevelType w:val="hybridMultilevel"/>
    <w:tmpl w:val="42680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5E5E1D"/>
    <w:multiLevelType w:val="hybridMultilevel"/>
    <w:tmpl w:val="95FC5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327664"/>
    <w:multiLevelType w:val="hybridMultilevel"/>
    <w:tmpl w:val="AC747290"/>
    <w:lvl w:ilvl="0" w:tplc="89C25A6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014C78"/>
    <w:multiLevelType w:val="hybridMultilevel"/>
    <w:tmpl w:val="D47E7D9E"/>
    <w:lvl w:ilvl="0" w:tplc="81BA2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5A32BA"/>
    <w:multiLevelType w:val="hybridMultilevel"/>
    <w:tmpl w:val="A5F06D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24A025D"/>
    <w:multiLevelType w:val="hybridMultilevel"/>
    <w:tmpl w:val="710683F2"/>
    <w:lvl w:ilvl="0" w:tplc="208A9848">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071CC2"/>
    <w:multiLevelType w:val="hybridMultilevel"/>
    <w:tmpl w:val="DA768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6B2EEB"/>
    <w:multiLevelType w:val="hybridMultilevel"/>
    <w:tmpl w:val="39BE90BC"/>
    <w:lvl w:ilvl="0" w:tplc="208A9848">
      <w:numFmt w:val="bullet"/>
      <w:lvlText w:val="-"/>
      <w:lvlJc w:val="left"/>
      <w:pPr>
        <w:ind w:left="1080" w:hanging="360"/>
      </w:pPr>
      <w:rPr>
        <w:rFonts w:ascii="Helvetica" w:eastAsia="Times New Roman" w:hAnsi="Helvetica"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7FD1F5B"/>
    <w:multiLevelType w:val="hybridMultilevel"/>
    <w:tmpl w:val="17A2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AD4435"/>
    <w:multiLevelType w:val="hybridMultilevel"/>
    <w:tmpl w:val="C52CC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D70931"/>
    <w:multiLevelType w:val="hybridMultilevel"/>
    <w:tmpl w:val="0186E1E4"/>
    <w:lvl w:ilvl="0" w:tplc="AFE0AF7E">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E115D0"/>
    <w:multiLevelType w:val="hybridMultilevel"/>
    <w:tmpl w:val="CE46D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B7277C"/>
    <w:multiLevelType w:val="hybridMultilevel"/>
    <w:tmpl w:val="0C08D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0475BE"/>
    <w:multiLevelType w:val="hybridMultilevel"/>
    <w:tmpl w:val="508A4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5E191D4E"/>
    <w:multiLevelType w:val="hybridMultilevel"/>
    <w:tmpl w:val="E0B632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5FF50159"/>
    <w:multiLevelType w:val="hybridMultilevel"/>
    <w:tmpl w:val="DE0C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AE4D66"/>
    <w:multiLevelType w:val="hybridMultilevel"/>
    <w:tmpl w:val="AFDC1C7E"/>
    <w:lvl w:ilvl="0" w:tplc="562A1C6C">
      <w:start w:val="1"/>
      <w:numFmt w:val="decimal"/>
      <w:lvlText w:val="%1."/>
      <w:lvlJc w:val="left"/>
      <w:pPr>
        <w:ind w:left="720" w:hanging="360"/>
      </w:pPr>
      <w:rPr>
        <w:rFonts w:hint="default"/>
        <w:color w:val="0194A6"/>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5E5610B"/>
    <w:multiLevelType w:val="hybridMultilevel"/>
    <w:tmpl w:val="5C6E5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nsid w:val="68DF6F1F"/>
    <w:multiLevelType w:val="hybridMultilevel"/>
    <w:tmpl w:val="508A4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6A756096"/>
    <w:multiLevelType w:val="hybridMultilevel"/>
    <w:tmpl w:val="522A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1C0213A"/>
    <w:multiLevelType w:val="hybridMultilevel"/>
    <w:tmpl w:val="D988F52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3">
    <w:nsid w:val="72B971F1"/>
    <w:multiLevelType w:val="hybridMultilevel"/>
    <w:tmpl w:val="FF368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8"/>
  </w:num>
  <w:num w:numId="4">
    <w:abstractNumId w:val="28"/>
  </w:num>
  <w:num w:numId="5">
    <w:abstractNumId w:val="31"/>
  </w:num>
  <w:num w:numId="6">
    <w:abstractNumId w:val="18"/>
  </w:num>
  <w:num w:numId="7">
    <w:abstractNumId w:val="12"/>
  </w:num>
  <w:num w:numId="8">
    <w:abstractNumId w:val="32"/>
  </w:num>
  <w:num w:numId="9">
    <w:abstractNumId w:val="2"/>
  </w:num>
  <w:num w:numId="10">
    <w:abstractNumId w:val="14"/>
  </w:num>
  <w:num w:numId="11">
    <w:abstractNumId w:val="16"/>
  </w:num>
  <w:num w:numId="12">
    <w:abstractNumId w:val="19"/>
  </w:num>
  <w:num w:numId="13">
    <w:abstractNumId w:val="5"/>
  </w:num>
  <w:num w:numId="14">
    <w:abstractNumId w:val="9"/>
  </w:num>
  <w:num w:numId="15">
    <w:abstractNumId w:val="33"/>
  </w:num>
  <w:num w:numId="16">
    <w:abstractNumId w:val="22"/>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5"/>
  </w:num>
  <w:num w:numId="26">
    <w:abstractNumId w:val="7"/>
  </w:num>
  <w:num w:numId="27">
    <w:abstractNumId w:val="30"/>
  </w:num>
  <w:num w:numId="28">
    <w:abstractNumId w:val="26"/>
  </w:num>
  <w:num w:numId="29">
    <w:abstractNumId w:val="1"/>
  </w:num>
  <w:num w:numId="30">
    <w:abstractNumId w:val="17"/>
  </w:num>
  <w:num w:numId="31">
    <w:abstractNumId w:val="20"/>
  </w:num>
  <w:num w:numId="32">
    <w:abstractNumId w:val="10"/>
  </w:num>
  <w:num w:numId="33">
    <w:abstractNumId w:val="11"/>
  </w:num>
  <w:num w:numId="34">
    <w:abstractNumId w:val="6"/>
  </w:num>
  <w:num w:numId="35">
    <w:abstractNumId w:val="27"/>
  </w:num>
  <w:num w:numId="3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3988b2-0979-4bc4-b4ca-4abd55981de7"/>
  </w:docVars>
  <w:rsids>
    <w:rsidRoot w:val="00206061"/>
    <w:rsid w:val="00000C97"/>
    <w:rsid w:val="0000366A"/>
    <w:rsid w:val="00003FF8"/>
    <w:rsid w:val="00006820"/>
    <w:rsid w:val="00006D48"/>
    <w:rsid w:val="00010CC7"/>
    <w:rsid w:val="00012FCF"/>
    <w:rsid w:val="000204E8"/>
    <w:rsid w:val="00020ED9"/>
    <w:rsid w:val="0002408D"/>
    <w:rsid w:val="0003305C"/>
    <w:rsid w:val="00033E87"/>
    <w:rsid w:val="00041A82"/>
    <w:rsid w:val="00042664"/>
    <w:rsid w:val="000437A9"/>
    <w:rsid w:val="00043D63"/>
    <w:rsid w:val="00044A07"/>
    <w:rsid w:val="00045757"/>
    <w:rsid w:val="00052FC2"/>
    <w:rsid w:val="0005738C"/>
    <w:rsid w:val="00057AE4"/>
    <w:rsid w:val="00064562"/>
    <w:rsid w:val="000652ED"/>
    <w:rsid w:val="00067031"/>
    <w:rsid w:val="00070178"/>
    <w:rsid w:val="00070980"/>
    <w:rsid w:val="00080122"/>
    <w:rsid w:val="00084E43"/>
    <w:rsid w:val="00090047"/>
    <w:rsid w:val="00093408"/>
    <w:rsid w:val="00095FEC"/>
    <w:rsid w:val="0009727F"/>
    <w:rsid w:val="000977D1"/>
    <w:rsid w:val="000A023D"/>
    <w:rsid w:val="000A1446"/>
    <w:rsid w:val="000A3498"/>
    <w:rsid w:val="000A5FE4"/>
    <w:rsid w:val="000A672F"/>
    <w:rsid w:val="000B04DA"/>
    <w:rsid w:val="000C1DF4"/>
    <w:rsid w:val="000C359C"/>
    <w:rsid w:val="000C63F1"/>
    <w:rsid w:val="000C6A5F"/>
    <w:rsid w:val="000D22A5"/>
    <w:rsid w:val="000D29E1"/>
    <w:rsid w:val="000E08E4"/>
    <w:rsid w:val="000E2601"/>
    <w:rsid w:val="000E362E"/>
    <w:rsid w:val="000E37AC"/>
    <w:rsid w:val="000F0191"/>
    <w:rsid w:val="000F0FBA"/>
    <w:rsid w:val="000F2720"/>
    <w:rsid w:val="000F34F5"/>
    <w:rsid w:val="000F4B5B"/>
    <w:rsid w:val="001014A0"/>
    <w:rsid w:val="00104293"/>
    <w:rsid w:val="0010572A"/>
    <w:rsid w:val="00105CEF"/>
    <w:rsid w:val="00106B77"/>
    <w:rsid w:val="001079AB"/>
    <w:rsid w:val="00107EAE"/>
    <w:rsid w:val="00110058"/>
    <w:rsid w:val="001103EE"/>
    <w:rsid w:val="00111949"/>
    <w:rsid w:val="00116CA8"/>
    <w:rsid w:val="00120619"/>
    <w:rsid w:val="00123F00"/>
    <w:rsid w:val="00125A38"/>
    <w:rsid w:val="00126FA6"/>
    <w:rsid w:val="00127C72"/>
    <w:rsid w:val="00133B21"/>
    <w:rsid w:val="0013580F"/>
    <w:rsid w:val="001417CA"/>
    <w:rsid w:val="00142043"/>
    <w:rsid w:val="001506D8"/>
    <w:rsid w:val="001506E4"/>
    <w:rsid w:val="001607FB"/>
    <w:rsid w:val="0016101D"/>
    <w:rsid w:val="0016465A"/>
    <w:rsid w:val="001649BB"/>
    <w:rsid w:val="001676B6"/>
    <w:rsid w:val="001721E9"/>
    <w:rsid w:val="00181475"/>
    <w:rsid w:val="00181EA0"/>
    <w:rsid w:val="001850B4"/>
    <w:rsid w:val="00187FF4"/>
    <w:rsid w:val="00190392"/>
    <w:rsid w:val="0019080C"/>
    <w:rsid w:val="00190F51"/>
    <w:rsid w:val="0019100D"/>
    <w:rsid w:val="00194A0D"/>
    <w:rsid w:val="00195B88"/>
    <w:rsid w:val="001A03BE"/>
    <w:rsid w:val="001A1807"/>
    <w:rsid w:val="001A4525"/>
    <w:rsid w:val="001B0059"/>
    <w:rsid w:val="001B25EE"/>
    <w:rsid w:val="001B2781"/>
    <w:rsid w:val="001B2A68"/>
    <w:rsid w:val="001C2FFF"/>
    <w:rsid w:val="001C4A35"/>
    <w:rsid w:val="001D079A"/>
    <w:rsid w:val="001D6D36"/>
    <w:rsid w:val="001D75B0"/>
    <w:rsid w:val="001E47B4"/>
    <w:rsid w:val="001F1E2C"/>
    <w:rsid w:val="001F20C3"/>
    <w:rsid w:val="001F3149"/>
    <w:rsid w:val="001F3169"/>
    <w:rsid w:val="00202975"/>
    <w:rsid w:val="00202E5C"/>
    <w:rsid w:val="00205DBE"/>
    <w:rsid w:val="00206061"/>
    <w:rsid w:val="00214011"/>
    <w:rsid w:val="0021572F"/>
    <w:rsid w:val="00220394"/>
    <w:rsid w:val="00221795"/>
    <w:rsid w:val="00222ACA"/>
    <w:rsid w:val="002265AB"/>
    <w:rsid w:val="00230905"/>
    <w:rsid w:val="00243E51"/>
    <w:rsid w:val="002441CD"/>
    <w:rsid w:val="00244EEE"/>
    <w:rsid w:val="002450DA"/>
    <w:rsid w:val="00252709"/>
    <w:rsid w:val="002533F0"/>
    <w:rsid w:val="0025367E"/>
    <w:rsid w:val="002544DB"/>
    <w:rsid w:val="0025534A"/>
    <w:rsid w:val="00274039"/>
    <w:rsid w:val="00274AEF"/>
    <w:rsid w:val="0028208F"/>
    <w:rsid w:val="00292AAB"/>
    <w:rsid w:val="00293D75"/>
    <w:rsid w:val="002958C4"/>
    <w:rsid w:val="002A4276"/>
    <w:rsid w:val="002A4EFC"/>
    <w:rsid w:val="002A6FBB"/>
    <w:rsid w:val="002B3A54"/>
    <w:rsid w:val="002B5FAD"/>
    <w:rsid w:val="002B621B"/>
    <w:rsid w:val="002C3D6A"/>
    <w:rsid w:val="002C4986"/>
    <w:rsid w:val="002C6C56"/>
    <w:rsid w:val="002C769D"/>
    <w:rsid w:val="002D3F51"/>
    <w:rsid w:val="002D4156"/>
    <w:rsid w:val="002D7216"/>
    <w:rsid w:val="002D78CD"/>
    <w:rsid w:val="002D7B33"/>
    <w:rsid w:val="002E23E2"/>
    <w:rsid w:val="002E33B3"/>
    <w:rsid w:val="002E6E0C"/>
    <w:rsid w:val="002F0DF6"/>
    <w:rsid w:val="002F61D0"/>
    <w:rsid w:val="0030028D"/>
    <w:rsid w:val="00313F3A"/>
    <w:rsid w:val="003151FF"/>
    <w:rsid w:val="00315AB8"/>
    <w:rsid w:val="0032006D"/>
    <w:rsid w:val="003215C7"/>
    <w:rsid w:val="00321E24"/>
    <w:rsid w:val="00330167"/>
    <w:rsid w:val="00330F14"/>
    <w:rsid w:val="00332317"/>
    <w:rsid w:val="0033684C"/>
    <w:rsid w:val="00340E0D"/>
    <w:rsid w:val="003412BC"/>
    <w:rsid w:val="00341A80"/>
    <w:rsid w:val="0034403B"/>
    <w:rsid w:val="00345AD1"/>
    <w:rsid w:val="00346D9A"/>
    <w:rsid w:val="00357D51"/>
    <w:rsid w:val="0036029C"/>
    <w:rsid w:val="00366FE1"/>
    <w:rsid w:val="00370CC2"/>
    <w:rsid w:val="00371258"/>
    <w:rsid w:val="00371C2F"/>
    <w:rsid w:val="003749B1"/>
    <w:rsid w:val="00374EF9"/>
    <w:rsid w:val="0038439E"/>
    <w:rsid w:val="003861B5"/>
    <w:rsid w:val="00387156"/>
    <w:rsid w:val="003929C3"/>
    <w:rsid w:val="003952ED"/>
    <w:rsid w:val="003972CA"/>
    <w:rsid w:val="003A0447"/>
    <w:rsid w:val="003A096B"/>
    <w:rsid w:val="003A6337"/>
    <w:rsid w:val="003A7328"/>
    <w:rsid w:val="003B121D"/>
    <w:rsid w:val="003B2808"/>
    <w:rsid w:val="003B3255"/>
    <w:rsid w:val="003B35B1"/>
    <w:rsid w:val="003B62FE"/>
    <w:rsid w:val="003B7859"/>
    <w:rsid w:val="003C5A59"/>
    <w:rsid w:val="003C6D5B"/>
    <w:rsid w:val="003D18E2"/>
    <w:rsid w:val="003D2933"/>
    <w:rsid w:val="003D69FD"/>
    <w:rsid w:val="003D6E56"/>
    <w:rsid w:val="003E0FDA"/>
    <w:rsid w:val="003E2FB5"/>
    <w:rsid w:val="003E60B3"/>
    <w:rsid w:val="00400743"/>
    <w:rsid w:val="0040294F"/>
    <w:rsid w:val="00403015"/>
    <w:rsid w:val="004033BF"/>
    <w:rsid w:val="00403B6C"/>
    <w:rsid w:val="004044C1"/>
    <w:rsid w:val="004046AC"/>
    <w:rsid w:val="0040543F"/>
    <w:rsid w:val="00405844"/>
    <w:rsid w:val="00410018"/>
    <w:rsid w:val="004106D6"/>
    <w:rsid w:val="00415358"/>
    <w:rsid w:val="004171B5"/>
    <w:rsid w:val="004225C3"/>
    <w:rsid w:val="00426540"/>
    <w:rsid w:val="00430ECD"/>
    <w:rsid w:val="00433812"/>
    <w:rsid w:val="00436CD6"/>
    <w:rsid w:val="00437F8E"/>
    <w:rsid w:val="00440B7F"/>
    <w:rsid w:val="00447525"/>
    <w:rsid w:val="0044765D"/>
    <w:rsid w:val="00451CB0"/>
    <w:rsid w:val="0045285F"/>
    <w:rsid w:val="0045600E"/>
    <w:rsid w:val="00463F3A"/>
    <w:rsid w:val="004650C3"/>
    <w:rsid w:val="00466D4E"/>
    <w:rsid w:val="0046722F"/>
    <w:rsid w:val="00467B47"/>
    <w:rsid w:val="004733F8"/>
    <w:rsid w:val="00475F07"/>
    <w:rsid w:val="00476B01"/>
    <w:rsid w:val="00480325"/>
    <w:rsid w:val="004947D1"/>
    <w:rsid w:val="00494BAC"/>
    <w:rsid w:val="00495DA8"/>
    <w:rsid w:val="00497A58"/>
    <w:rsid w:val="00497F76"/>
    <w:rsid w:val="004A29A2"/>
    <w:rsid w:val="004A4D07"/>
    <w:rsid w:val="004B2104"/>
    <w:rsid w:val="004B22F3"/>
    <w:rsid w:val="004C0B58"/>
    <w:rsid w:val="004C33F0"/>
    <w:rsid w:val="004C6B22"/>
    <w:rsid w:val="004D111F"/>
    <w:rsid w:val="004D2214"/>
    <w:rsid w:val="004D31CE"/>
    <w:rsid w:val="004D39F4"/>
    <w:rsid w:val="004E10E3"/>
    <w:rsid w:val="004E2431"/>
    <w:rsid w:val="004E3470"/>
    <w:rsid w:val="004E36F6"/>
    <w:rsid w:val="004E7102"/>
    <w:rsid w:val="004E7C5C"/>
    <w:rsid w:val="004F15FA"/>
    <w:rsid w:val="004F3284"/>
    <w:rsid w:val="004F4518"/>
    <w:rsid w:val="004F5305"/>
    <w:rsid w:val="004F5503"/>
    <w:rsid w:val="004F6A14"/>
    <w:rsid w:val="004F7BF4"/>
    <w:rsid w:val="00501D43"/>
    <w:rsid w:val="00502485"/>
    <w:rsid w:val="00503E04"/>
    <w:rsid w:val="005103EE"/>
    <w:rsid w:val="00512B40"/>
    <w:rsid w:val="00522144"/>
    <w:rsid w:val="00523F90"/>
    <w:rsid w:val="00524C21"/>
    <w:rsid w:val="00533528"/>
    <w:rsid w:val="005336B6"/>
    <w:rsid w:val="005409BE"/>
    <w:rsid w:val="00542C35"/>
    <w:rsid w:val="0054474D"/>
    <w:rsid w:val="00546447"/>
    <w:rsid w:val="00546C2E"/>
    <w:rsid w:val="0054766E"/>
    <w:rsid w:val="00550F93"/>
    <w:rsid w:val="00551512"/>
    <w:rsid w:val="00551630"/>
    <w:rsid w:val="0055167A"/>
    <w:rsid w:val="0055171A"/>
    <w:rsid w:val="005568F3"/>
    <w:rsid w:val="0055784F"/>
    <w:rsid w:val="00560D5E"/>
    <w:rsid w:val="00560EC8"/>
    <w:rsid w:val="005628CA"/>
    <w:rsid w:val="005630B4"/>
    <w:rsid w:val="00570570"/>
    <w:rsid w:val="0058388F"/>
    <w:rsid w:val="00585EAF"/>
    <w:rsid w:val="00587007"/>
    <w:rsid w:val="00587A9D"/>
    <w:rsid w:val="00592A13"/>
    <w:rsid w:val="00593E35"/>
    <w:rsid w:val="00596451"/>
    <w:rsid w:val="005A33F4"/>
    <w:rsid w:val="005B3334"/>
    <w:rsid w:val="005B3A17"/>
    <w:rsid w:val="005B513C"/>
    <w:rsid w:val="005B6FCF"/>
    <w:rsid w:val="005C390A"/>
    <w:rsid w:val="005D107E"/>
    <w:rsid w:val="005D1AFF"/>
    <w:rsid w:val="005D3AF8"/>
    <w:rsid w:val="005D5F83"/>
    <w:rsid w:val="005E3A11"/>
    <w:rsid w:val="005E3ED5"/>
    <w:rsid w:val="005E6FA2"/>
    <w:rsid w:val="005F3885"/>
    <w:rsid w:val="00602CBE"/>
    <w:rsid w:val="0060649A"/>
    <w:rsid w:val="00607993"/>
    <w:rsid w:val="00610B15"/>
    <w:rsid w:val="00610D4C"/>
    <w:rsid w:val="00611E91"/>
    <w:rsid w:val="00612257"/>
    <w:rsid w:val="006152DD"/>
    <w:rsid w:val="00616148"/>
    <w:rsid w:val="006200D0"/>
    <w:rsid w:val="00624A88"/>
    <w:rsid w:val="0062705E"/>
    <w:rsid w:val="00627F4E"/>
    <w:rsid w:val="00631685"/>
    <w:rsid w:val="00635BD6"/>
    <w:rsid w:val="00637381"/>
    <w:rsid w:val="00637D93"/>
    <w:rsid w:val="006429DA"/>
    <w:rsid w:val="00656884"/>
    <w:rsid w:val="006615E0"/>
    <w:rsid w:val="00663F9B"/>
    <w:rsid w:val="00666A7E"/>
    <w:rsid w:val="00666FD1"/>
    <w:rsid w:val="00680A0E"/>
    <w:rsid w:val="00681844"/>
    <w:rsid w:val="006824E7"/>
    <w:rsid w:val="006836FC"/>
    <w:rsid w:val="006878B3"/>
    <w:rsid w:val="0069288E"/>
    <w:rsid w:val="0069564F"/>
    <w:rsid w:val="00696577"/>
    <w:rsid w:val="00696FD0"/>
    <w:rsid w:val="006A134B"/>
    <w:rsid w:val="006A17CF"/>
    <w:rsid w:val="006A28B3"/>
    <w:rsid w:val="006A3313"/>
    <w:rsid w:val="006A38B5"/>
    <w:rsid w:val="006A412C"/>
    <w:rsid w:val="006B7D36"/>
    <w:rsid w:val="006C04ED"/>
    <w:rsid w:val="006C1A87"/>
    <w:rsid w:val="006C2BEE"/>
    <w:rsid w:val="006C60E5"/>
    <w:rsid w:val="006E2CB7"/>
    <w:rsid w:val="006E34AE"/>
    <w:rsid w:val="006E4D7E"/>
    <w:rsid w:val="006E7D24"/>
    <w:rsid w:val="006F014B"/>
    <w:rsid w:val="006F7C15"/>
    <w:rsid w:val="007013DD"/>
    <w:rsid w:val="00701A2F"/>
    <w:rsid w:val="00717C75"/>
    <w:rsid w:val="00733490"/>
    <w:rsid w:val="007335DE"/>
    <w:rsid w:val="00736C10"/>
    <w:rsid w:val="00736D84"/>
    <w:rsid w:val="00743B2F"/>
    <w:rsid w:val="00743D9A"/>
    <w:rsid w:val="007517F9"/>
    <w:rsid w:val="007525E0"/>
    <w:rsid w:val="00753213"/>
    <w:rsid w:val="00756F3F"/>
    <w:rsid w:val="007603F5"/>
    <w:rsid w:val="00760A02"/>
    <w:rsid w:val="007619D8"/>
    <w:rsid w:val="00774166"/>
    <w:rsid w:val="007862F1"/>
    <w:rsid w:val="007864DD"/>
    <w:rsid w:val="00791818"/>
    <w:rsid w:val="00795553"/>
    <w:rsid w:val="00795F02"/>
    <w:rsid w:val="0079623E"/>
    <w:rsid w:val="007A0AB8"/>
    <w:rsid w:val="007A2082"/>
    <w:rsid w:val="007A2D49"/>
    <w:rsid w:val="007A6309"/>
    <w:rsid w:val="007B16EE"/>
    <w:rsid w:val="007B59F5"/>
    <w:rsid w:val="007B61F1"/>
    <w:rsid w:val="007C37CA"/>
    <w:rsid w:val="007C3AF5"/>
    <w:rsid w:val="007C6F63"/>
    <w:rsid w:val="007D3EF4"/>
    <w:rsid w:val="007D66FA"/>
    <w:rsid w:val="007D7366"/>
    <w:rsid w:val="007E06E1"/>
    <w:rsid w:val="007E1B5B"/>
    <w:rsid w:val="007E3190"/>
    <w:rsid w:val="007E4C63"/>
    <w:rsid w:val="007E6493"/>
    <w:rsid w:val="007F14DF"/>
    <w:rsid w:val="007F2A06"/>
    <w:rsid w:val="007F2FFC"/>
    <w:rsid w:val="007F3120"/>
    <w:rsid w:val="007F584A"/>
    <w:rsid w:val="007F64AB"/>
    <w:rsid w:val="00806523"/>
    <w:rsid w:val="00813552"/>
    <w:rsid w:val="00817370"/>
    <w:rsid w:val="008200D3"/>
    <w:rsid w:val="008205AC"/>
    <w:rsid w:val="008217E4"/>
    <w:rsid w:val="008324C6"/>
    <w:rsid w:val="008340F6"/>
    <w:rsid w:val="00840399"/>
    <w:rsid w:val="008445CD"/>
    <w:rsid w:val="008542D4"/>
    <w:rsid w:val="00856E98"/>
    <w:rsid w:val="00860091"/>
    <w:rsid w:val="00872779"/>
    <w:rsid w:val="00872ACD"/>
    <w:rsid w:val="008755B5"/>
    <w:rsid w:val="00877076"/>
    <w:rsid w:val="008770CF"/>
    <w:rsid w:val="00877300"/>
    <w:rsid w:val="008803F4"/>
    <w:rsid w:val="0088117B"/>
    <w:rsid w:val="008850A2"/>
    <w:rsid w:val="0088737E"/>
    <w:rsid w:val="008876AA"/>
    <w:rsid w:val="008877F8"/>
    <w:rsid w:val="00892902"/>
    <w:rsid w:val="00892D33"/>
    <w:rsid w:val="00892D45"/>
    <w:rsid w:val="00894B3B"/>
    <w:rsid w:val="008967E4"/>
    <w:rsid w:val="008979FD"/>
    <w:rsid w:val="008A33A4"/>
    <w:rsid w:val="008A6906"/>
    <w:rsid w:val="008B4B17"/>
    <w:rsid w:val="008B64FB"/>
    <w:rsid w:val="008B6F69"/>
    <w:rsid w:val="008B7934"/>
    <w:rsid w:val="008C25E9"/>
    <w:rsid w:val="008C494F"/>
    <w:rsid w:val="008C68B5"/>
    <w:rsid w:val="008C7508"/>
    <w:rsid w:val="008D33B3"/>
    <w:rsid w:val="008D461B"/>
    <w:rsid w:val="008D7319"/>
    <w:rsid w:val="008E46F0"/>
    <w:rsid w:val="008E5CCA"/>
    <w:rsid w:val="008E734B"/>
    <w:rsid w:val="008F22E5"/>
    <w:rsid w:val="008F2CC1"/>
    <w:rsid w:val="008F3373"/>
    <w:rsid w:val="008F5354"/>
    <w:rsid w:val="008F5E6D"/>
    <w:rsid w:val="008F7AFC"/>
    <w:rsid w:val="00911CB2"/>
    <w:rsid w:val="00911D94"/>
    <w:rsid w:val="0091246E"/>
    <w:rsid w:val="009137A7"/>
    <w:rsid w:val="009151AA"/>
    <w:rsid w:val="009160FA"/>
    <w:rsid w:val="00917ED9"/>
    <w:rsid w:val="0092169E"/>
    <w:rsid w:val="00925B42"/>
    <w:rsid w:val="009344C6"/>
    <w:rsid w:val="00934779"/>
    <w:rsid w:val="00934AA8"/>
    <w:rsid w:val="0093542C"/>
    <w:rsid w:val="00936511"/>
    <w:rsid w:val="00937E9D"/>
    <w:rsid w:val="009401AC"/>
    <w:rsid w:val="00944F7E"/>
    <w:rsid w:val="00960B57"/>
    <w:rsid w:val="009629F3"/>
    <w:rsid w:val="009657E2"/>
    <w:rsid w:val="00966F98"/>
    <w:rsid w:val="00970C81"/>
    <w:rsid w:val="009729F6"/>
    <w:rsid w:val="00972C87"/>
    <w:rsid w:val="00973351"/>
    <w:rsid w:val="00973C4D"/>
    <w:rsid w:val="00973D6D"/>
    <w:rsid w:val="009742D2"/>
    <w:rsid w:val="00974AF0"/>
    <w:rsid w:val="009755F3"/>
    <w:rsid w:val="00977F7C"/>
    <w:rsid w:val="00981A93"/>
    <w:rsid w:val="009943AB"/>
    <w:rsid w:val="009A0F56"/>
    <w:rsid w:val="009A747E"/>
    <w:rsid w:val="009B0B6A"/>
    <w:rsid w:val="009B11F6"/>
    <w:rsid w:val="009C10C3"/>
    <w:rsid w:val="009C14E2"/>
    <w:rsid w:val="009D0A9F"/>
    <w:rsid w:val="009D2725"/>
    <w:rsid w:val="009D27F5"/>
    <w:rsid w:val="009D3B8F"/>
    <w:rsid w:val="009D7631"/>
    <w:rsid w:val="009E226F"/>
    <w:rsid w:val="009E40E2"/>
    <w:rsid w:val="009F0C25"/>
    <w:rsid w:val="009F5F64"/>
    <w:rsid w:val="00A05A24"/>
    <w:rsid w:val="00A07A1B"/>
    <w:rsid w:val="00A12413"/>
    <w:rsid w:val="00A12742"/>
    <w:rsid w:val="00A1305A"/>
    <w:rsid w:val="00A145CE"/>
    <w:rsid w:val="00A15574"/>
    <w:rsid w:val="00A16C8B"/>
    <w:rsid w:val="00A20CF7"/>
    <w:rsid w:val="00A22FF1"/>
    <w:rsid w:val="00A31EED"/>
    <w:rsid w:val="00A32E18"/>
    <w:rsid w:val="00A35E80"/>
    <w:rsid w:val="00A40015"/>
    <w:rsid w:val="00A46BE5"/>
    <w:rsid w:val="00A46F23"/>
    <w:rsid w:val="00A50448"/>
    <w:rsid w:val="00A512CA"/>
    <w:rsid w:val="00A7186B"/>
    <w:rsid w:val="00A71FA8"/>
    <w:rsid w:val="00A73C8E"/>
    <w:rsid w:val="00A754D7"/>
    <w:rsid w:val="00A82E86"/>
    <w:rsid w:val="00A84228"/>
    <w:rsid w:val="00A86BE7"/>
    <w:rsid w:val="00A86E0E"/>
    <w:rsid w:val="00A9000B"/>
    <w:rsid w:val="00A946A9"/>
    <w:rsid w:val="00A95312"/>
    <w:rsid w:val="00AA0A3E"/>
    <w:rsid w:val="00AA2C2B"/>
    <w:rsid w:val="00AB098D"/>
    <w:rsid w:val="00AB245C"/>
    <w:rsid w:val="00AB27F9"/>
    <w:rsid w:val="00AC17ED"/>
    <w:rsid w:val="00AC229B"/>
    <w:rsid w:val="00AC7EC8"/>
    <w:rsid w:val="00AD0B0A"/>
    <w:rsid w:val="00AD3FD7"/>
    <w:rsid w:val="00AD5F7F"/>
    <w:rsid w:val="00AD7390"/>
    <w:rsid w:val="00AD7ACB"/>
    <w:rsid w:val="00AE0C8C"/>
    <w:rsid w:val="00AE3128"/>
    <w:rsid w:val="00AF0936"/>
    <w:rsid w:val="00AF1CFB"/>
    <w:rsid w:val="00AF48C2"/>
    <w:rsid w:val="00AF790A"/>
    <w:rsid w:val="00B0049B"/>
    <w:rsid w:val="00B00BC8"/>
    <w:rsid w:val="00B049B1"/>
    <w:rsid w:val="00B0742B"/>
    <w:rsid w:val="00B10949"/>
    <w:rsid w:val="00B1184F"/>
    <w:rsid w:val="00B11DDC"/>
    <w:rsid w:val="00B13C89"/>
    <w:rsid w:val="00B148E4"/>
    <w:rsid w:val="00B14AD9"/>
    <w:rsid w:val="00B175A4"/>
    <w:rsid w:val="00B206C4"/>
    <w:rsid w:val="00B21FC3"/>
    <w:rsid w:val="00B26E4B"/>
    <w:rsid w:val="00B33C57"/>
    <w:rsid w:val="00B35CFE"/>
    <w:rsid w:val="00B404DF"/>
    <w:rsid w:val="00B42018"/>
    <w:rsid w:val="00B5427D"/>
    <w:rsid w:val="00B5579F"/>
    <w:rsid w:val="00B55E0B"/>
    <w:rsid w:val="00B60E0E"/>
    <w:rsid w:val="00B67D04"/>
    <w:rsid w:val="00B75A88"/>
    <w:rsid w:val="00B82291"/>
    <w:rsid w:val="00B842F5"/>
    <w:rsid w:val="00B8655E"/>
    <w:rsid w:val="00B87C66"/>
    <w:rsid w:val="00B90991"/>
    <w:rsid w:val="00B9339B"/>
    <w:rsid w:val="00B94A6B"/>
    <w:rsid w:val="00B9546E"/>
    <w:rsid w:val="00B977C0"/>
    <w:rsid w:val="00B97961"/>
    <w:rsid w:val="00BA1ACC"/>
    <w:rsid w:val="00BA4FF9"/>
    <w:rsid w:val="00BA602C"/>
    <w:rsid w:val="00BA6F34"/>
    <w:rsid w:val="00BB25C4"/>
    <w:rsid w:val="00BB26EF"/>
    <w:rsid w:val="00BB3C48"/>
    <w:rsid w:val="00BB4D0B"/>
    <w:rsid w:val="00BB58AD"/>
    <w:rsid w:val="00BB59AA"/>
    <w:rsid w:val="00BC0280"/>
    <w:rsid w:val="00BC3496"/>
    <w:rsid w:val="00BC4F5B"/>
    <w:rsid w:val="00BC6701"/>
    <w:rsid w:val="00BD0563"/>
    <w:rsid w:val="00BD0CAA"/>
    <w:rsid w:val="00BD3003"/>
    <w:rsid w:val="00BD54CC"/>
    <w:rsid w:val="00BD79E5"/>
    <w:rsid w:val="00BE0829"/>
    <w:rsid w:val="00BE15EC"/>
    <w:rsid w:val="00BE3CBD"/>
    <w:rsid w:val="00BE5CFD"/>
    <w:rsid w:val="00BE74E5"/>
    <w:rsid w:val="00BF0029"/>
    <w:rsid w:val="00BF5389"/>
    <w:rsid w:val="00C00C46"/>
    <w:rsid w:val="00C02BFF"/>
    <w:rsid w:val="00C02C82"/>
    <w:rsid w:val="00C0370A"/>
    <w:rsid w:val="00C11D0C"/>
    <w:rsid w:val="00C14135"/>
    <w:rsid w:val="00C209DC"/>
    <w:rsid w:val="00C22392"/>
    <w:rsid w:val="00C2298B"/>
    <w:rsid w:val="00C242EC"/>
    <w:rsid w:val="00C24A7A"/>
    <w:rsid w:val="00C34F4A"/>
    <w:rsid w:val="00C36E87"/>
    <w:rsid w:val="00C41A63"/>
    <w:rsid w:val="00C423F4"/>
    <w:rsid w:val="00C46495"/>
    <w:rsid w:val="00C46A9A"/>
    <w:rsid w:val="00C50617"/>
    <w:rsid w:val="00C51199"/>
    <w:rsid w:val="00C538CC"/>
    <w:rsid w:val="00C548A1"/>
    <w:rsid w:val="00C56962"/>
    <w:rsid w:val="00C6059F"/>
    <w:rsid w:val="00C6068F"/>
    <w:rsid w:val="00C62ACD"/>
    <w:rsid w:val="00C62DA4"/>
    <w:rsid w:val="00C6446B"/>
    <w:rsid w:val="00C667B7"/>
    <w:rsid w:val="00C72D97"/>
    <w:rsid w:val="00C73655"/>
    <w:rsid w:val="00C77C79"/>
    <w:rsid w:val="00C807CA"/>
    <w:rsid w:val="00C81AF7"/>
    <w:rsid w:val="00C831EC"/>
    <w:rsid w:val="00C9231F"/>
    <w:rsid w:val="00CB21ED"/>
    <w:rsid w:val="00CB6F84"/>
    <w:rsid w:val="00CB7D4C"/>
    <w:rsid w:val="00CC3B26"/>
    <w:rsid w:val="00CC3FFC"/>
    <w:rsid w:val="00CC50D2"/>
    <w:rsid w:val="00CC74AF"/>
    <w:rsid w:val="00CC7FFE"/>
    <w:rsid w:val="00CD404B"/>
    <w:rsid w:val="00CD41BA"/>
    <w:rsid w:val="00CD6F15"/>
    <w:rsid w:val="00CD7410"/>
    <w:rsid w:val="00CE03A0"/>
    <w:rsid w:val="00CE3D01"/>
    <w:rsid w:val="00CE4281"/>
    <w:rsid w:val="00CE60A1"/>
    <w:rsid w:val="00CE63BE"/>
    <w:rsid w:val="00CF2A3C"/>
    <w:rsid w:val="00CF3B06"/>
    <w:rsid w:val="00CF71E3"/>
    <w:rsid w:val="00D048A5"/>
    <w:rsid w:val="00D05B0C"/>
    <w:rsid w:val="00D07E7C"/>
    <w:rsid w:val="00D13A87"/>
    <w:rsid w:val="00D27F43"/>
    <w:rsid w:val="00D32399"/>
    <w:rsid w:val="00D3277B"/>
    <w:rsid w:val="00D33C49"/>
    <w:rsid w:val="00D363DC"/>
    <w:rsid w:val="00D46652"/>
    <w:rsid w:val="00D55EC2"/>
    <w:rsid w:val="00D63A45"/>
    <w:rsid w:val="00D6528F"/>
    <w:rsid w:val="00D66F39"/>
    <w:rsid w:val="00D70CE6"/>
    <w:rsid w:val="00D720D0"/>
    <w:rsid w:val="00D7342F"/>
    <w:rsid w:val="00D737B0"/>
    <w:rsid w:val="00D7578E"/>
    <w:rsid w:val="00D77CBC"/>
    <w:rsid w:val="00D8198B"/>
    <w:rsid w:val="00D83AF6"/>
    <w:rsid w:val="00D83B4B"/>
    <w:rsid w:val="00D90EC5"/>
    <w:rsid w:val="00D91A10"/>
    <w:rsid w:val="00D964E9"/>
    <w:rsid w:val="00D97936"/>
    <w:rsid w:val="00DA0189"/>
    <w:rsid w:val="00DA096D"/>
    <w:rsid w:val="00DA10FA"/>
    <w:rsid w:val="00DA57D3"/>
    <w:rsid w:val="00DA7E1A"/>
    <w:rsid w:val="00DB2A3D"/>
    <w:rsid w:val="00DB5915"/>
    <w:rsid w:val="00DC0961"/>
    <w:rsid w:val="00DC1F8D"/>
    <w:rsid w:val="00DC2DCA"/>
    <w:rsid w:val="00DC5A09"/>
    <w:rsid w:val="00DC6E83"/>
    <w:rsid w:val="00DC7AC2"/>
    <w:rsid w:val="00DD0DE9"/>
    <w:rsid w:val="00DD117F"/>
    <w:rsid w:val="00DD5A7B"/>
    <w:rsid w:val="00DD6B16"/>
    <w:rsid w:val="00DE7C28"/>
    <w:rsid w:val="00DF1C8C"/>
    <w:rsid w:val="00DF43BF"/>
    <w:rsid w:val="00DF4831"/>
    <w:rsid w:val="00DF6D17"/>
    <w:rsid w:val="00DF7DD3"/>
    <w:rsid w:val="00E04C9A"/>
    <w:rsid w:val="00E069FF"/>
    <w:rsid w:val="00E10583"/>
    <w:rsid w:val="00E10A4C"/>
    <w:rsid w:val="00E11F6F"/>
    <w:rsid w:val="00E151A0"/>
    <w:rsid w:val="00E22203"/>
    <w:rsid w:val="00E236C0"/>
    <w:rsid w:val="00E2399E"/>
    <w:rsid w:val="00E31457"/>
    <w:rsid w:val="00E32352"/>
    <w:rsid w:val="00E402C2"/>
    <w:rsid w:val="00E403BA"/>
    <w:rsid w:val="00E46CCA"/>
    <w:rsid w:val="00E47350"/>
    <w:rsid w:val="00E52151"/>
    <w:rsid w:val="00E521EE"/>
    <w:rsid w:val="00E601F8"/>
    <w:rsid w:val="00E6271B"/>
    <w:rsid w:val="00E64EE0"/>
    <w:rsid w:val="00E65E59"/>
    <w:rsid w:val="00E72290"/>
    <w:rsid w:val="00E73829"/>
    <w:rsid w:val="00E75684"/>
    <w:rsid w:val="00E8000E"/>
    <w:rsid w:val="00E8678A"/>
    <w:rsid w:val="00E872D6"/>
    <w:rsid w:val="00E878A5"/>
    <w:rsid w:val="00E87D88"/>
    <w:rsid w:val="00E90A75"/>
    <w:rsid w:val="00E944DC"/>
    <w:rsid w:val="00E974A6"/>
    <w:rsid w:val="00EA1340"/>
    <w:rsid w:val="00EA15ED"/>
    <w:rsid w:val="00EA1965"/>
    <w:rsid w:val="00EA1F1A"/>
    <w:rsid w:val="00EA2B1C"/>
    <w:rsid w:val="00EA2C7B"/>
    <w:rsid w:val="00EA4F95"/>
    <w:rsid w:val="00EA5329"/>
    <w:rsid w:val="00EA556A"/>
    <w:rsid w:val="00EA6181"/>
    <w:rsid w:val="00EB1522"/>
    <w:rsid w:val="00EB2C3E"/>
    <w:rsid w:val="00EB40B7"/>
    <w:rsid w:val="00EB79C9"/>
    <w:rsid w:val="00EC2452"/>
    <w:rsid w:val="00EC320F"/>
    <w:rsid w:val="00EC55E6"/>
    <w:rsid w:val="00ED0554"/>
    <w:rsid w:val="00ED0D64"/>
    <w:rsid w:val="00ED2566"/>
    <w:rsid w:val="00ED295F"/>
    <w:rsid w:val="00ED4AEB"/>
    <w:rsid w:val="00ED5694"/>
    <w:rsid w:val="00ED60EC"/>
    <w:rsid w:val="00ED6632"/>
    <w:rsid w:val="00EE1185"/>
    <w:rsid w:val="00EE2EF8"/>
    <w:rsid w:val="00EE30C0"/>
    <w:rsid w:val="00EE3963"/>
    <w:rsid w:val="00EE3A19"/>
    <w:rsid w:val="00EE45B7"/>
    <w:rsid w:val="00EE573C"/>
    <w:rsid w:val="00EF0BF0"/>
    <w:rsid w:val="00EF394B"/>
    <w:rsid w:val="00EF6D72"/>
    <w:rsid w:val="00EF72EE"/>
    <w:rsid w:val="00EF73B3"/>
    <w:rsid w:val="00F105AC"/>
    <w:rsid w:val="00F14AEA"/>
    <w:rsid w:val="00F22811"/>
    <w:rsid w:val="00F23488"/>
    <w:rsid w:val="00F23F18"/>
    <w:rsid w:val="00F24979"/>
    <w:rsid w:val="00F2588C"/>
    <w:rsid w:val="00F26590"/>
    <w:rsid w:val="00F301E6"/>
    <w:rsid w:val="00F31E30"/>
    <w:rsid w:val="00F35001"/>
    <w:rsid w:val="00F44380"/>
    <w:rsid w:val="00F45C5D"/>
    <w:rsid w:val="00F47041"/>
    <w:rsid w:val="00F51A80"/>
    <w:rsid w:val="00F55653"/>
    <w:rsid w:val="00F557CB"/>
    <w:rsid w:val="00F573B5"/>
    <w:rsid w:val="00F65E65"/>
    <w:rsid w:val="00F66106"/>
    <w:rsid w:val="00F66685"/>
    <w:rsid w:val="00F71EC5"/>
    <w:rsid w:val="00F73B56"/>
    <w:rsid w:val="00F74E4B"/>
    <w:rsid w:val="00F76E0A"/>
    <w:rsid w:val="00F77208"/>
    <w:rsid w:val="00F77D9C"/>
    <w:rsid w:val="00F81033"/>
    <w:rsid w:val="00F82056"/>
    <w:rsid w:val="00F8218D"/>
    <w:rsid w:val="00F82ADC"/>
    <w:rsid w:val="00F87A7E"/>
    <w:rsid w:val="00F94F7D"/>
    <w:rsid w:val="00FA1039"/>
    <w:rsid w:val="00FA137B"/>
    <w:rsid w:val="00FA37A8"/>
    <w:rsid w:val="00FA471B"/>
    <w:rsid w:val="00FA64BA"/>
    <w:rsid w:val="00FB13CA"/>
    <w:rsid w:val="00FB1516"/>
    <w:rsid w:val="00FB1DAE"/>
    <w:rsid w:val="00FB40B1"/>
    <w:rsid w:val="00FB48B9"/>
    <w:rsid w:val="00FC044E"/>
    <w:rsid w:val="00FC11E0"/>
    <w:rsid w:val="00FC5967"/>
    <w:rsid w:val="00FD21CA"/>
    <w:rsid w:val="00FD63E6"/>
    <w:rsid w:val="00FD7B4E"/>
    <w:rsid w:val="00FE2A0E"/>
    <w:rsid w:val="00FE4374"/>
    <w:rsid w:val="00FE638A"/>
    <w:rsid w:val="00FE7095"/>
    <w:rsid w:val="00FF07F3"/>
    <w:rsid w:val="00FF1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3814E4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E87D88"/>
    <w:pPr>
      <w:keepNext/>
      <w:keepLines/>
      <w:spacing w:before="240" w:after="60"/>
      <w:jc w:val="left"/>
      <w:outlineLvl w:val="0"/>
    </w:pPr>
    <w:rPr>
      <w:color w:val="0194A6"/>
      <w:sz w:val="44"/>
      <w:szCs w:val="26"/>
    </w:rPr>
  </w:style>
  <w:style w:type="paragraph" w:styleId="Heading2">
    <w:name w:val="heading 2"/>
    <w:basedOn w:val="Heading1"/>
    <w:next w:val="Normal"/>
    <w:link w:val="Heading2Char"/>
    <w:autoRedefine/>
    <w:uiPriority w:val="9"/>
    <w:qFormat/>
    <w:rsid w:val="00E87D88"/>
    <w:pPr>
      <w:spacing w:before="180"/>
      <w:ind w:left="360"/>
      <w:outlineLvl w:val="1"/>
    </w:pPr>
    <w:rPr>
      <w:sz w:val="40"/>
      <w:szCs w:val="40"/>
    </w:rPr>
  </w:style>
  <w:style w:type="paragraph" w:styleId="Heading3">
    <w:name w:val="heading 3"/>
    <w:basedOn w:val="Heading2"/>
    <w:next w:val="Normal"/>
    <w:link w:val="Heading3Char"/>
    <w:autoRedefine/>
    <w:uiPriority w:val="9"/>
    <w:qFormat/>
    <w:rsid w:val="00872ACD"/>
    <w:pPr>
      <w:numPr>
        <w:ilvl w:val="2"/>
      </w:numPr>
      <w:spacing w:before="120" w:after="0"/>
      <w:ind w:left="360"/>
      <w:outlineLvl w:val="2"/>
    </w:pPr>
    <w:rPr>
      <w:sz w:val="28"/>
      <w:szCs w:val="28"/>
    </w:rPr>
  </w:style>
  <w:style w:type="paragraph" w:styleId="Heading4">
    <w:name w:val="heading 4"/>
    <w:basedOn w:val="Heading3"/>
    <w:next w:val="Normal"/>
    <w:link w:val="Heading4Char"/>
    <w:uiPriority w:val="9"/>
    <w:qFormat/>
    <w:rsid w:val="00105CEF"/>
    <w:pPr>
      <w:numPr>
        <w:ilvl w:val="0"/>
      </w:numPr>
      <w:ind w:left="360"/>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7D88"/>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E87D88"/>
    <w:rPr>
      <w:rFonts w:ascii="Helvetica" w:hAnsi="Helvetica" w:cs="Arial"/>
      <w:color w:val="0194A6"/>
      <w:sz w:val="40"/>
      <w:szCs w:val="40"/>
      <w:lang w:eastAsia="en-US"/>
    </w:rPr>
  </w:style>
  <w:style w:type="character" w:customStyle="1" w:styleId="Heading3Char">
    <w:name w:val="Heading 3 Char"/>
    <w:basedOn w:val="DefaultParagraphFont"/>
    <w:link w:val="Heading3"/>
    <w:uiPriority w:val="9"/>
    <w:locked/>
    <w:rsid w:val="00872ACD"/>
    <w:rPr>
      <w:rFonts w:ascii="Helvetica" w:hAnsi="Helvetica" w:cs="Arial"/>
      <w:color w:val="0194A6"/>
      <w:sz w:val="28"/>
      <w:szCs w:val="28"/>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87156"/>
    <w:pPr>
      <w:spacing w:before="2880" w:after="2400" w:line="480" w:lineRule="auto"/>
      <w:jc w:val="left"/>
    </w:pPr>
    <w:rPr>
      <w:rFonts w:eastAsiaTheme="minorHAnsi" w:cs="Times New Roman"/>
      <w:color w:val="FFFFFF" w:themeColor="background1"/>
      <w:spacing w:val="-20"/>
      <w:sz w:val="60"/>
      <w:szCs w:val="22"/>
    </w:rPr>
  </w:style>
  <w:style w:type="paragraph" w:customStyle="1" w:styleId="CoverReportSubTitle">
    <w:name w:val="Cover Report Sub Title"/>
    <w:basedOn w:val="CoverReportTitle"/>
    <w:next w:val="Normal"/>
    <w:autoRedefine/>
    <w:qFormat/>
    <w:rsid w:val="00602CBE"/>
    <w:pPr>
      <w:spacing w:before="113" w:after="57" w:line="400" w:lineRule="exact"/>
    </w:pPr>
    <w:rPr>
      <w:color w:val="auto"/>
      <w:sz w:val="3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B82291"/>
    <w:pPr>
      <w:shd w:val="clear" w:color="auto" w:fill="DAEEF3" w:themeFill="accent5" w:themeFillTint="33"/>
      <w:spacing w:before="240" w:after="113" w:line="320" w:lineRule="exact"/>
      <w:ind w:left="284" w:right="284"/>
      <w:contextualSpacing/>
      <w:jc w:val="left"/>
    </w:pPr>
    <w:rPr>
      <w:rFonts w:eastAsiaTheme="minorHAnsi" w:cs="Times New Roman"/>
      <w:color w:val="000000"/>
      <w:szCs w:val="22"/>
      <w:lang w:eastAsia="en-AU"/>
      <w14:textFill>
        <w14:solidFill>
          <w14:srgbClr w14:val="000000">
            <w14:alpha w14:val="40000"/>
          </w14:srgbClr>
        </w14:solidFill>
      </w14:textFill>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rsid w:val="00EE1185"/>
    <w:rPr>
      <w:b/>
      <w:color w:val="000000" w:themeColor="text1"/>
      <w:sz w:val="24"/>
      <w14:textFill>
        <w14:solidFill>
          <w14:schemeClr w14:val="tx1">
            <w14:alpha w14:val="40000"/>
          </w14:schemeClr>
        </w14:solidFill>
      </w14:textFill>
    </w:rPr>
  </w:style>
  <w:style w:type="character" w:customStyle="1" w:styleId="CalloutboxChar">
    <w:name w:val="Callout box Char"/>
    <w:basedOn w:val="DefaultParagraphFont"/>
    <w:link w:val="Calloutbox"/>
    <w:rsid w:val="00B82291"/>
    <w:rPr>
      <w:rFonts w:ascii="Helvetica" w:eastAsiaTheme="minorHAnsi" w:hAnsi="Helvetica"/>
      <w:color w:val="000000"/>
      <w:sz w:val="22"/>
      <w:szCs w:val="22"/>
      <w:shd w:val="clear" w:color="auto" w:fill="DAEEF3" w:themeFill="accent5" w:themeFillTint="33"/>
      <w14:textFill>
        <w14:solidFill>
          <w14:srgbClr w14:val="000000">
            <w14:alpha w14:val="40000"/>
          </w14:srgbClr>
        </w14:solidFill>
      </w14:textFill>
    </w:rPr>
  </w:style>
  <w:style w:type="character" w:customStyle="1" w:styleId="CalloutBoxHeadingChar">
    <w:name w:val="Callout Box Heading Char"/>
    <w:basedOn w:val="CalloutboxChar"/>
    <w:link w:val="CalloutBoxHeading"/>
    <w:rsid w:val="00EE1185"/>
    <w:rPr>
      <w:rFonts w:ascii="Helvetica" w:eastAsiaTheme="minorHAnsi" w:hAnsi="Helvetica"/>
      <w:b/>
      <w:color w:val="000000" w:themeColor="text1"/>
      <w:sz w:val="24"/>
      <w:szCs w:val="22"/>
      <w:shd w:val="clear" w:color="auto" w:fill="96DEEA"/>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CalloutBold2">
    <w:name w:val="Callout Bold 2"/>
    <w:basedOn w:val="Normal"/>
    <w:link w:val="CalloutBold2Char"/>
    <w:qFormat/>
    <w:rsid w:val="00F35001"/>
    <w:pPr>
      <w:shd w:val="clear" w:color="auto" w:fill="9BDEEA"/>
    </w:pPr>
    <w:rPr>
      <w:b/>
      <w:sz w:val="24"/>
    </w:rPr>
  </w:style>
  <w:style w:type="character" w:customStyle="1" w:styleId="CalloutBold2Char">
    <w:name w:val="Callout Bold 2 Char"/>
    <w:basedOn w:val="DefaultParagraphFont"/>
    <w:link w:val="CalloutBold2"/>
    <w:rsid w:val="00F35001"/>
    <w:rPr>
      <w:rFonts w:ascii="Helvetica" w:hAnsi="Helvetica" w:cs="Arial"/>
      <w:b/>
      <w:sz w:val="24"/>
      <w:szCs w:val="24"/>
      <w:shd w:val="clear" w:color="auto" w:fill="9BDEEA"/>
      <w:lang w:eastAsia="en-US"/>
    </w:rPr>
  </w:style>
  <w:style w:type="paragraph" w:styleId="EndnoteText">
    <w:name w:val="endnote text"/>
    <w:basedOn w:val="Normal"/>
    <w:link w:val="EndnoteTextChar"/>
    <w:rsid w:val="00696FD0"/>
    <w:pPr>
      <w:spacing w:after="0" w:line="240" w:lineRule="auto"/>
    </w:pPr>
    <w:rPr>
      <w:sz w:val="20"/>
      <w:szCs w:val="20"/>
    </w:rPr>
  </w:style>
  <w:style w:type="character" w:customStyle="1" w:styleId="EndnoteTextChar">
    <w:name w:val="Endnote Text Char"/>
    <w:basedOn w:val="DefaultParagraphFont"/>
    <w:link w:val="EndnoteText"/>
    <w:rsid w:val="00696FD0"/>
    <w:rPr>
      <w:rFonts w:ascii="Helvetica" w:hAnsi="Helvetica" w:cs="Arial"/>
      <w:lang w:eastAsia="en-US"/>
    </w:rPr>
  </w:style>
  <w:style w:type="character" w:styleId="EndnoteReference">
    <w:name w:val="endnote reference"/>
    <w:basedOn w:val="DefaultParagraphFont"/>
    <w:rsid w:val="00696FD0"/>
    <w:rPr>
      <w:vertAlign w:val="superscript"/>
    </w:rPr>
  </w:style>
  <w:style w:type="character" w:styleId="FollowedHyperlink">
    <w:name w:val="FollowedHyperlink"/>
    <w:basedOn w:val="DefaultParagraphFont"/>
    <w:rsid w:val="009E40E2"/>
    <w:rPr>
      <w:color w:val="800080" w:themeColor="followedHyperlink"/>
      <w:u w:val="single"/>
    </w:rPr>
  </w:style>
  <w:style w:type="paragraph" w:customStyle="1" w:styleId="Headersub">
    <w:name w:val="Header sub"/>
    <w:basedOn w:val="Normal"/>
    <w:rsid w:val="009A747E"/>
    <w:pPr>
      <w:spacing w:after="1240" w:line="240" w:lineRule="auto"/>
      <w:jc w:val="left"/>
    </w:pPr>
    <w:rPr>
      <w:rFonts w:ascii="Arial" w:hAnsi="Arial" w:cs="Times New Roman"/>
      <w:sz w:val="36"/>
      <w:szCs w:val="20"/>
    </w:rPr>
  </w:style>
  <w:style w:type="paragraph" w:customStyle="1" w:styleId="Default">
    <w:name w:val="Default"/>
    <w:rsid w:val="00E756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E87D88"/>
    <w:pPr>
      <w:keepNext/>
      <w:keepLines/>
      <w:spacing w:before="240" w:after="60"/>
      <w:jc w:val="left"/>
      <w:outlineLvl w:val="0"/>
    </w:pPr>
    <w:rPr>
      <w:color w:val="0194A6"/>
      <w:sz w:val="44"/>
      <w:szCs w:val="26"/>
    </w:rPr>
  </w:style>
  <w:style w:type="paragraph" w:styleId="Heading2">
    <w:name w:val="heading 2"/>
    <w:basedOn w:val="Heading1"/>
    <w:next w:val="Normal"/>
    <w:link w:val="Heading2Char"/>
    <w:autoRedefine/>
    <w:uiPriority w:val="9"/>
    <w:qFormat/>
    <w:rsid w:val="00E87D88"/>
    <w:pPr>
      <w:spacing w:before="180"/>
      <w:ind w:left="360"/>
      <w:outlineLvl w:val="1"/>
    </w:pPr>
    <w:rPr>
      <w:sz w:val="40"/>
      <w:szCs w:val="40"/>
    </w:rPr>
  </w:style>
  <w:style w:type="paragraph" w:styleId="Heading3">
    <w:name w:val="heading 3"/>
    <w:basedOn w:val="Heading2"/>
    <w:next w:val="Normal"/>
    <w:link w:val="Heading3Char"/>
    <w:autoRedefine/>
    <w:uiPriority w:val="9"/>
    <w:qFormat/>
    <w:rsid w:val="00872ACD"/>
    <w:pPr>
      <w:numPr>
        <w:ilvl w:val="2"/>
      </w:numPr>
      <w:spacing w:before="120" w:after="0"/>
      <w:ind w:left="360"/>
      <w:outlineLvl w:val="2"/>
    </w:pPr>
    <w:rPr>
      <w:sz w:val="28"/>
      <w:szCs w:val="28"/>
    </w:rPr>
  </w:style>
  <w:style w:type="paragraph" w:styleId="Heading4">
    <w:name w:val="heading 4"/>
    <w:basedOn w:val="Heading3"/>
    <w:next w:val="Normal"/>
    <w:link w:val="Heading4Char"/>
    <w:uiPriority w:val="9"/>
    <w:qFormat/>
    <w:rsid w:val="00105CEF"/>
    <w:pPr>
      <w:numPr>
        <w:ilvl w:val="0"/>
      </w:numPr>
      <w:ind w:left="360"/>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87D88"/>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E87D88"/>
    <w:rPr>
      <w:rFonts w:ascii="Helvetica" w:hAnsi="Helvetica" w:cs="Arial"/>
      <w:color w:val="0194A6"/>
      <w:sz w:val="40"/>
      <w:szCs w:val="40"/>
      <w:lang w:eastAsia="en-US"/>
    </w:rPr>
  </w:style>
  <w:style w:type="character" w:customStyle="1" w:styleId="Heading3Char">
    <w:name w:val="Heading 3 Char"/>
    <w:basedOn w:val="DefaultParagraphFont"/>
    <w:link w:val="Heading3"/>
    <w:uiPriority w:val="9"/>
    <w:locked/>
    <w:rsid w:val="00872ACD"/>
    <w:rPr>
      <w:rFonts w:ascii="Helvetica" w:hAnsi="Helvetica" w:cs="Arial"/>
      <w:color w:val="0194A6"/>
      <w:sz w:val="28"/>
      <w:szCs w:val="28"/>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387156"/>
    <w:pPr>
      <w:spacing w:before="2880" w:after="2400" w:line="480" w:lineRule="auto"/>
      <w:jc w:val="left"/>
    </w:pPr>
    <w:rPr>
      <w:rFonts w:eastAsiaTheme="minorHAnsi" w:cs="Times New Roman"/>
      <w:color w:val="FFFFFF" w:themeColor="background1"/>
      <w:spacing w:val="-20"/>
      <w:sz w:val="60"/>
      <w:szCs w:val="22"/>
    </w:rPr>
  </w:style>
  <w:style w:type="paragraph" w:customStyle="1" w:styleId="CoverReportSubTitle">
    <w:name w:val="Cover Report Sub Title"/>
    <w:basedOn w:val="CoverReportTitle"/>
    <w:next w:val="Normal"/>
    <w:autoRedefine/>
    <w:qFormat/>
    <w:rsid w:val="00602CBE"/>
    <w:pPr>
      <w:spacing w:before="113" w:after="57" w:line="400" w:lineRule="exact"/>
    </w:pPr>
    <w:rPr>
      <w:color w:val="auto"/>
      <w:sz w:val="36"/>
    </w:rPr>
  </w:style>
  <w:style w:type="paragraph" w:customStyle="1" w:styleId="Bullet">
    <w:name w:val="Bullet"/>
    <w:basedOn w:val="Normal"/>
    <w:autoRedefine/>
    <w:qFormat/>
    <w:rsid w:val="00CF3B06"/>
    <w:pPr>
      <w:numPr>
        <w:numId w:val="6"/>
      </w:numPr>
      <w:spacing w:after="28"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B82291"/>
    <w:pPr>
      <w:shd w:val="clear" w:color="auto" w:fill="DAEEF3" w:themeFill="accent5" w:themeFillTint="33"/>
      <w:spacing w:before="240" w:after="113" w:line="320" w:lineRule="exact"/>
      <w:ind w:left="284" w:right="284"/>
      <w:contextualSpacing/>
      <w:jc w:val="left"/>
    </w:pPr>
    <w:rPr>
      <w:rFonts w:eastAsiaTheme="minorHAnsi" w:cs="Times New Roman"/>
      <w:color w:val="000000"/>
      <w:szCs w:val="22"/>
      <w:lang w:eastAsia="en-AU"/>
      <w14:textFill>
        <w14:solidFill>
          <w14:srgbClr w14:val="000000">
            <w14:alpha w14:val="40000"/>
          </w14:srgbClr>
        </w14:solidFill>
      </w14:textFill>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rsid w:val="00EE1185"/>
    <w:rPr>
      <w:b/>
      <w:color w:val="000000" w:themeColor="text1"/>
      <w:sz w:val="24"/>
      <w14:textFill>
        <w14:solidFill>
          <w14:schemeClr w14:val="tx1">
            <w14:alpha w14:val="40000"/>
          </w14:schemeClr>
        </w14:solidFill>
      </w14:textFill>
    </w:rPr>
  </w:style>
  <w:style w:type="character" w:customStyle="1" w:styleId="CalloutboxChar">
    <w:name w:val="Callout box Char"/>
    <w:basedOn w:val="DefaultParagraphFont"/>
    <w:link w:val="Calloutbox"/>
    <w:rsid w:val="00B82291"/>
    <w:rPr>
      <w:rFonts w:ascii="Helvetica" w:eastAsiaTheme="minorHAnsi" w:hAnsi="Helvetica"/>
      <w:color w:val="000000"/>
      <w:sz w:val="22"/>
      <w:szCs w:val="22"/>
      <w:shd w:val="clear" w:color="auto" w:fill="DAEEF3" w:themeFill="accent5" w:themeFillTint="33"/>
      <w14:textFill>
        <w14:solidFill>
          <w14:srgbClr w14:val="000000">
            <w14:alpha w14:val="40000"/>
          </w14:srgbClr>
        </w14:solidFill>
      </w14:textFill>
    </w:rPr>
  </w:style>
  <w:style w:type="character" w:customStyle="1" w:styleId="CalloutBoxHeadingChar">
    <w:name w:val="Callout Box Heading Char"/>
    <w:basedOn w:val="CalloutboxChar"/>
    <w:link w:val="CalloutBoxHeading"/>
    <w:rsid w:val="00EE1185"/>
    <w:rPr>
      <w:rFonts w:ascii="Helvetica" w:eastAsiaTheme="minorHAnsi" w:hAnsi="Helvetica"/>
      <w:b/>
      <w:color w:val="000000" w:themeColor="text1"/>
      <w:sz w:val="24"/>
      <w:szCs w:val="22"/>
      <w:shd w:val="clear" w:color="auto" w:fill="96DEEA"/>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CalloutBold2">
    <w:name w:val="Callout Bold 2"/>
    <w:basedOn w:val="Normal"/>
    <w:link w:val="CalloutBold2Char"/>
    <w:qFormat/>
    <w:rsid w:val="00F35001"/>
    <w:pPr>
      <w:shd w:val="clear" w:color="auto" w:fill="9BDEEA"/>
    </w:pPr>
    <w:rPr>
      <w:b/>
      <w:sz w:val="24"/>
    </w:rPr>
  </w:style>
  <w:style w:type="character" w:customStyle="1" w:styleId="CalloutBold2Char">
    <w:name w:val="Callout Bold 2 Char"/>
    <w:basedOn w:val="DefaultParagraphFont"/>
    <w:link w:val="CalloutBold2"/>
    <w:rsid w:val="00F35001"/>
    <w:rPr>
      <w:rFonts w:ascii="Helvetica" w:hAnsi="Helvetica" w:cs="Arial"/>
      <w:b/>
      <w:sz w:val="24"/>
      <w:szCs w:val="24"/>
      <w:shd w:val="clear" w:color="auto" w:fill="9BDEEA"/>
      <w:lang w:eastAsia="en-US"/>
    </w:rPr>
  </w:style>
  <w:style w:type="paragraph" w:styleId="EndnoteText">
    <w:name w:val="endnote text"/>
    <w:basedOn w:val="Normal"/>
    <w:link w:val="EndnoteTextChar"/>
    <w:rsid w:val="00696FD0"/>
    <w:pPr>
      <w:spacing w:after="0" w:line="240" w:lineRule="auto"/>
    </w:pPr>
    <w:rPr>
      <w:sz w:val="20"/>
      <w:szCs w:val="20"/>
    </w:rPr>
  </w:style>
  <w:style w:type="character" w:customStyle="1" w:styleId="EndnoteTextChar">
    <w:name w:val="Endnote Text Char"/>
    <w:basedOn w:val="DefaultParagraphFont"/>
    <w:link w:val="EndnoteText"/>
    <w:rsid w:val="00696FD0"/>
    <w:rPr>
      <w:rFonts w:ascii="Helvetica" w:hAnsi="Helvetica" w:cs="Arial"/>
      <w:lang w:eastAsia="en-US"/>
    </w:rPr>
  </w:style>
  <w:style w:type="character" w:styleId="EndnoteReference">
    <w:name w:val="endnote reference"/>
    <w:basedOn w:val="DefaultParagraphFont"/>
    <w:rsid w:val="00696FD0"/>
    <w:rPr>
      <w:vertAlign w:val="superscript"/>
    </w:rPr>
  </w:style>
  <w:style w:type="character" w:styleId="FollowedHyperlink">
    <w:name w:val="FollowedHyperlink"/>
    <w:basedOn w:val="DefaultParagraphFont"/>
    <w:rsid w:val="009E40E2"/>
    <w:rPr>
      <w:color w:val="800080" w:themeColor="followedHyperlink"/>
      <w:u w:val="single"/>
    </w:rPr>
  </w:style>
  <w:style w:type="paragraph" w:customStyle="1" w:styleId="Headersub">
    <w:name w:val="Header sub"/>
    <w:basedOn w:val="Normal"/>
    <w:rsid w:val="009A747E"/>
    <w:pPr>
      <w:spacing w:after="1240" w:line="240" w:lineRule="auto"/>
      <w:jc w:val="left"/>
    </w:pPr>
    <w:rPr>
      <w:rFonts w:ascii="Arial" w:hAnsi="Arial" w:cs="Times New Roman"/>
      <w:sz w:val="36"/>
      <w:szCs w:val="20"/>
    </w:rPr>
  </w:style>
  <w:style w:type="paragraph" w:customStyle="1" w:styleId="Default">
    <w:name w:val="Default"/>
    <w:rsid w:val="00E756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2440">
      <w:bodyDiv w:val="1"/>
      <w:marLeft w:val="0"/>
      <w:marRight w:val="0"/>
      <w:marTop w:val="0"/>
      <w:marBottom w:val="0"/>
      <w:divBdr>
        <w:top w:val="none" w:sz="0" w:space="0" w:color="auto"/>
        <w:left w:val="none" w:sz="0" w:space="0" w:color="auto"/>
        <w:bottom w:val="none" w:sz="0" w:space="0" w:color="auto"/>
        <w:right w:val="none" w:sz="0" w:space="0" w:color="auto"/>
      </w:divBdr>
    </w:div>
    <w:div w:id="202913520">
      <w:bodyDiv w:val="1"/>
      <w:marLeft w:val="0"/>
      <w:marRight w:val="0"/>
      <w:marTop w:val="0"/>
      <w:marBottom w:val="0"/>
      <w:divBdr>
        <w:top w:val="none" w:sz="0" w:space="0" w:color="auto"/>
        <w:left w:val="none" w:sz="0" w:space="0" w:color="auto"/>
        <w:bottom w:val="none" w:sz="0" w:space="0" w:color="auto"/>
        <w:right w:val="none" w:sz="0" w:space="0" w:color="auto"/>
      </w:divBdr>
    </w:div>
    <w:div w:id="712584600">
      <w:bodyDiv w:val="1"/>
      <w:marLeft w:val="0"/>
      <w:marRight w:val="0"/>
      <w:marTop w:val="0"/>
      <w:marBottom w:val="0"/>
      <w:divBdr>
        <w:top w:val="none" w:sz="0" w:space="0" w:color="auto"/>
        <w:left w:val="none" w:sz="0" w:space="0" w:color="auto"/>
        <w:bottom w:val="none" w:sz="0" w:space="0" w:color="auto"/>
        <w:right w:val="none" w:sz="0" w:space="0" w:color="auto"/>
      </w:divBdr>
    </w:div>
    <w:div w:id="1174804383">
      <w:bodyDiv w:val="1"/>
      <w:marLeft w:val="0"/>
      <w:marRight w:val="0"/>
      <w:marTop w:val="0"/>
      <w:marBottom w:val="0"/>
      <w:divBdr>
        <w:top w:val="none" w:sz="0" w:space="0" w:color="auto"/>
        <w:left w:val="none" w:sz="0" w:space="0" w:color="auto"/>
        <w:bottom w:val="none" w:sz="0" w:space="0" w:color="auto"/>
        <w:right w:val="none" w:sz="0" w:space="0" w:color="auto"/>
      </w:divBdr>
    </w:div>
    <w:div w:id="1365057240">
      <w:bodyDiv w:val="1"/>
      <w:marLeft w:val="0"/>
      <w:marRight w:val="0"/>
      <w:marTop w:val="0"/>
      <w:marBottom w:val="0"/>
      <w:divBdr>
        <w:top w:val="none" w:sz="0" w:space="0" w:color="auto"/>
        <w:left w:val="none" w:sz="0" w:space="0" w:color="auto"/>
        <w:bottom w:val="none" w:sz="0" w:space="0" w:color="auto"/>
        <w:right w:val="none" w:sz="0" w:space="0" w:color="auto"/>
      </w:divBdr>
    </w:div>
    <w:div w:id="1395084933">
      <w:bodyDiv w:val="1"/>
      <w:marLeft w:val="0"/>
      <w:marRight w:val="0"/>
      <w:marTop w:val="0"/>
      <w:marBottom w:val="0"/>
      <w:divBdr>
        <w:top w:val="none" w:sz="0" w:space="0" w:color="auto"/>
        <w:left w:val="none" w:sz="0" w:space="0" w:color="auto"/>
        <w:bottom w:val="none" w:sz="0" w:space="0" w:color="auto"/>
        <w:right w:val="none" w:sz="0" w:space="0" w:color="auto"/>
      </w:divBdr>
    </w:div>
    <w:div w:id="1543398861">
      <w:bodyDiv w:val="1"/>
      <w:marLeft w:val="0"/>
      <w:marRight w:val="0"/>
      <w:marTop w:val="0"/>
      <w:marBottom w:val="0"/>
      <w:divBdr>
        <w:top w:val="none" w:sz="0" w:space="0" w:color="auto"/>
        <w:left w:val="none" w:sz="0" w:space="0" w:color="auto"/>
        <w:bottom w:val="none" w:sz="0" w:space="0" w:color="auto"/>
        <w:right w:val="none" w:sz="0" w:space="0" w:color="auto"/>
      </w:divBdr>
    </w:div>
    <w:div w:id="1598904654">
      <w:bodyDiv w:val="1"/>
      <w:marLeft w:val="0"/>
      <w:marRight w:val="0"/>
      <w:marTop w:val="0"/>
      <w:marBottom w:val="0"/>
      <w:divBdr>
        <w:top w:val="none" w:sz="0" w:space="0" w:color="auto"/>
        <w:left w:val="none" w:sz="0" w:space="0" w:color="auto"/>
        <w:bottom w:val="none" w:sz="0" w:space="0" w:color="auto"/>
        <w:right w:val="none" w:sz="0" w:space="0" w:color="auto"/>
      </w:divBdr>
    </w:div>
    <w:div w:id="1657805786">
      <w:bodyDiv w:val="1"/>
      <w:marLeft w:val="0"/>
      <w:marRight w:val="0"/>
      <w:marTop w:val="0"/>
      <w:marBottom w:val="0"/>
      <w:divBdr>
        <w:top w:val="none" w:sz="0" w:space="0" w:color="auto"/>
        <w:left w:val="none" w:sz="0" w:space="0" w:color="auto"/>
        <w:bottom w:val="none" w:sz="0" w:space="0" w:color="auto"/>
        <w:right w:val="none" w:sz="0" w:space="0" w:color="auto"/>
      </w:divBdr>
    </w:div>
    <w:div w:id="2052069489">
      <w:bodyDiv w:val="1"/>
      <w:marLeft w:val="0"/>
      <w:marRight w:val="0"/>
      <w:marTop w:val="0"/>
      <w:marBottom w:val="0"/>
      <w:divBdr>
        <w:top w:val="none" w:sz="0" w:space="0" w:color="auto"/>
        <w:left w:val="none" w:sz="0" w:space="0" w:color="auto"/>
        <w:bottom w:val="none" w:sz="0" w:space="0" w:color="auto"/>
        <w:right w:val="none" w:sz="0" w:space="0" w:color="auto"/>
      </w:divBdr>
    </w:div>
    <w:div w:id="21353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n.ronson@fwo.gov.au" TargetMode="External"/><Relationship Id="rId5" Type="http://schemas.openxmlformats.org/officeDocument/2006/relationships/settings" Target="settings.xml"/><Relationship Id="rId10" Type="http://schemas.openxmlformats.org/officeDocument/2006/relationships/hyperlink" Target="file:///C:/Users/SW0748/AppData/Local/Microsoft/Windows/Temporary%20Internet%20Files/Content.Outlook/RSB4E09Q/media@fwo.gov.au"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fairwork.gov.au/about-us/our-vision/compliance-and-enforcement-policy" TargetMode="External"/><Relationship Id="rId2" Type="http://schemas.openxmlformats.org/officeDocument/2006/relationships/hyperlink" Target="http://www.compass-group.com.au/who-we-are" TargetMode="External"/><Relationship Id="rId1" Type="http://schemas.openxmlformats.org/officeDocument/2006/relationships/hyperlink" Target="http://www.compass-group.com.au/who-we-are/our-company" TargetMode="External"/><Relationship Id="rId4" Type="http://schemas.openxmlformats.org/officeDocument/2006/relationships/hyperlink" Target="https://www.fairwork.gov.au/about-us/news-and-media-releases/2014-media-releases/august-2014/20140823-compass-p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1F74-6311-4283-A3F5-FA11C05B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4D071B45</Template>
  <TotalTime>0</TotalTime>
  <Pages>13</Pages>
  <Words>4030</Words>
  <Characters>21660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Group - FWO Compliance partnership report</dc:title>
  <dc:subject>Compass Group - FWO Compliance partnership report</dc:subject>
  <dc:creator/>
  <cp:keywords>Compass Group - FWO Compliance partnership report</cp:keywords>
  <cp:lastModifiedBy/>
  <cp:revision>1</cp:revision>
  <dcterms:created xsi:type="dcterms:W3CDTF">2018-01-23T02:10:00Z</dcterms:created>
  <dcterms:modified xsi:type="dcterms:W3CDTF">2018-01-24T23:58:00Z</dcterms:modified>
</cp:coreProperties>
</file>