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2C53" w14:textId="6EF24EC1" w:rsidR="00D22BA0" w:rsidRPr="00611696" w:rsidRDefault="0056725C" w:rsidP="004051A2">
      <w:pPr>
        <w:pStyle w:val="CoverReportSubTitle"/>
        <w:rPr>
          <w:rFonts w:asciiTheme="minorHAnsi" w:hAnsiTheme="minorHAnsi"/>
        </w:rPr>
      </w:pPr>
      <w:r w:rsidRPr="00611696"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736AC19" wp14:editId="01EEA1F6">
            <wp:simplePos x="0" y="0"/>
            <wp:positionH relativeFrom="margin">
              <wp:posOffset>-795020</wp:posOffset>
            </wp:positionH>
            <wp:positionV relativeFrom="paragraph">
              <wp:posOffset>-810260</wp:posOffset>
            </wp:positionV>
            <wp:extent cx="8514080" cy="12156440"/>
            <wp:effectExtent l="0" t="0" r="1270" b="0"/>
            <wp:wrapNone/>
            <wp:docPr id="18" name="Picture 18" title="Background image with Fair Work 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ct backg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4080" cy="1215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0A5" w:rsidRPr="00611696">
        <w:rPr>
          <w:rFonts w:asciiTheme="minorHAnsi" w:hAnsiTheme="minorHAnsi"/>
          <w:noProof/>
          <w:lang w:eastAsia="en-AU"/>
        </w:rPr>
        <w:t xml:space="preserve"> </w:t>
      </w:r>
    </w:p>
    <w:p w14:paraId="653DE42E" w14:textId="0C191FA3" w:rsidR="00FE0D0F" w:rsidRPr="00611696" w:rsidRDefault="00FE0D0F" w:rsidP="004051A2">
      <w:pPr>
        <w:pStyle w:val="CoverReportTitle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</w:t>
      </w:r>
      <w:bookmarkStart w:id="0" w:name="_GoBack"/>
      <w:bookmarkEnd w:id="0"/>
      <w:r w:rsidRPr="00611696">
        <w:rPr>
          <w:rFonts w:asciiTheme="minorHAnsi" w:hAnsiTheme="minorHAnsi"/>
        </w:rPr>
        <w:t>rehouse (CW Retail Services Pty Ltd) Compliance Partnership</w:t>
      </w:r>
      <w:r w:rsidR="00F55343" w:rsidRPr="00611696">
        <w:rPr>
          <w:rFonts w:asciiTheme="minorHAnsi" w:hAnsiTheme="minorHAnsi"/>
        </w:rPr>
        <w:t>:</w:t>
      </w:r>
      <w:r w:rsidRPr="00611696">
        <w:rPr>
          <w:rFonts w:asciiTheme="minorHAnsi" w:hAnsiTheme="minorHAnsi"/>
        </w:rPr>
        <w:t xml:space="preserve"> Interim Report</w:t>
      </w:r>
    </w:p>
    <w:p w14:paraId="5367FEF7" w14:textId="7AAAC816" w:rsidR="005A5409" w:rsidRPr="00611696" w:rsidRDefault="00014919" w:rsidP="005A5409">
      <w:pPr>
        <w:rPr>
          <w:rFonts w:asciiTheme="minorHAnsi" w:hAnsiTheme="minorHAnsi"/>
        </w:rPr>
      </w:pPr>
      <w:r w:rsidRPr="00611696">
        <w:rPr>
          <w:rFonts w:asciiTheme="minorHAnsi" w:hAnsiTheme="minorHAnsi"/>
        </w:rPr>
        <w:t>November</w:t>
      </w:r>
      <w:r w:rsidR="00F55343" w:rsidRPr="00611696">
        <w:rPr>
          <w:rFonts w:asciiTheme="minorHAnsi" w:hAnsiTheme="minorHAnsi"/>
        </w:rPr>
        <w:t xml:space="preserve"> </w:t>
      </w:r>
      <w:r w:rsidR="00982B23" w:rsidRPr="00611696">
        <w:rPr>
          <w:rFonts w:asciiTheme="minorHAnsi" w:hAnsiTheme="minorHAnsi"/>
        </w:rPr>
        <w:t>2018</w:t>
      </w:r>
    </w:p>
    <w:p w14:paraId="57AD1E2C" w14:textId="77777777" w:rsidR="001F20C3" w:rsidRPr="00611696" w:rsidRDefault="005A5409" w:rsidP="005A5409">
      <w:pPr>
        <w:rPr>
          <w:rFonts w:asciiTheme="minorHAnsi" w:hAnsiTheme="minorHAnsi" w:cstheme="minorHAnsi"/>
        </w:rPr>
      </w:pPr>
      <w:r w:rsidRPr="00611696">
        <w:rPr>
          <w:rFonts w:asciiTheme="minorHAnsi" w:hAnsiTheme="minorHAnsi"/>
        </w:rPr>
        <w:t>©</w:t>
      </w:r>
      <w:r w:rsidR="00982B23" w:rsidRPr="00611696">
        <w:rPr>
          <w:rFonts w:asciiTheme="minorHAnsi" w:hAnsiTheme="minorHAnsi"/>
        </w:rPr>
        <w:t xml:space="preserve"> Commonwealth of Australia, 2018</w:t>
      </w:r>
      <w:r w:rsidR="001F20C3" w:rsidRPr="00611696">
        <w:rPr>
          <w:rFonts w:asciiTheme="minorHAnsi" w:hAnsiTheme="minorHAnsi" w:cstheme="minorHAnsi"/>
        </w:rPr>
        <w:br w:type="page"/>
      </w:r>
    </w:p>
    <w:p w14:paraId="276B7306" w14:textId="77777777" w:rsidR="00BF0029" w:rsidRPr="00611696" w:rsidRDefault="00BF0029" w:rsidP="00C15AC0">
      <w:pPr>
        <w:pStyle w:val="Header"/>
        <w:rPr>
          <w:rFonts w:asciiTheme="minorHAnsi" w:eastAsiaTheme="minorHAnsi" w:hAnsiTheme="minorHAnsi" w:cstheme="minorHAnsi"/>
          <w:szCs w:val="22"/>
          <w:lang w:eastAsia="en-AU"/>
        </w:rPr>
      </w:pPr>
      <w:r w:rsidRPr="00611696">
        <w:rPr>
          <w:rFonts w:asciiTheme="minorHAnsi" w:hAnsiTheme="minorHAnsi" w:cstheme="minorHAnsi"/>
        </w:rPr>
        <w:lastRenderedPageBreak/>
        <w:tab/>
      </w:r>
    </w:p>
    <w:p w14:paraId="1DCBC20D" w14:textId="77777777" w:rsidR="00B02154" w:rsidRPr="00611696" w:rsidRDefault="00BF0029" w:rsidP="00611696">
      <w:pPr>
        <w:pStyle w:val="Heading1"/>
        <w:rPr>
          <w:rFonts w:asciiTheme="minorHAnsi" w:hAnsiTheme="minorHAnsi"/>
        </w:rPr>
      </w:pPr>
      <w:bookmarkStart w:id="1" w:name="_Toc524505461"/>
      <w:bookmarkStart w:id="2" w:name="_Toc525305523"/>
      <w:bookmarkStart w:id="3" w:name="_Toc525306167"/>
      <w:bookmarkStart w:id="4" w:name="_Toc525307410"/>
      <w:bookmarkStart w:id="5" w:name="_Toc525655517"/>
      <w:bookmarkStart w:id="6" w:name="_Toc525657550"/>
      <w:bookmarkStart w:id="7" w:name="_Toc527984898"/>
      <w:bookmarkStart w:id="8" w:name="_Toc527984991"/>
      <w:r w:rsidRPr="00611696">
        <w:rPr>
          <w:rFonts w:asciiTheme="minorHAnsi" w:hAnsiTheme="minorHAnsi"/>
        </w:rPr>
        <w:t xml:space="preserve">Table of </w:t>
      </w:r>
      <w:r w:rsidR="00A96940" w:rsidRPr="00611696">
        <w:rPr>
          <w:rFonts w:asciiTheme="minorHAnsi" w:hAnsiTheme="minorHAnsi"/>
        </w:rPr>
        <w:t>c</w:t>
      </w:r>
      <w:r w:rsidRPr="00611696">
        <w:rPr>
          <w:rFonts w:asciiTheme="minorHAnsi" w:hAnsiTheme="minorHAnsi"/>
        </w:rPr>
        <w:t>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A5FF23" w14:textId="77777777" w:rsidR="00B02154" w:rsidRPr="00611696" w:rsidRDefault="00B02154">
      <w:pPr>
        <w:pStyle w:val="TOC1"/>
        <w:rPr>
          <w:rFonts w:asciiTheme="minorHAnsi" w:hAnsiTheme="minorHAnsi"/>
        </w:rPr>
      </w:pPr>
    </w:p>
    <w:p w14:paraId="4BD7A2BC" w14:textId="3AF37D5A" w:rsidR="00B02154" w:rsidRPr="00611696" w:rsidRDefault="00B02154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r w:rsidRPr="00611696">
        <w:rPr>
          <w:rFonts w:asciiTheme="minorHAnsi" w:hAnsiTheme="minorHAnsi"/>
          <w:b/>
          <w:color w:val="41273B"/>
          <w:sz w:val="44"/>
        </w:rPr>
        <w:fldChar w:fldCharType="begin"/>
      </w:r>
      <w:r w:rsidRPr="00611696">
        <w:rPr>
          <w:rFonts w:asciiTheme="minorHAnsi" w:hAnsiTheme="minorHAnsi"/>
          <w:b/>
          <w:color w:val="41273B"/>
          <w:sz w:val="44"/>
        </w:rPr>
        <w:instrText xml:space="preserve"> TOC \o "1-2" \h \z \u </w:instrText>
      </w:r>
      <w:r w:rsidRPr="00611696">
        <w:rPr>
          <w:rFonts w:asciiTheme="minorHAnsi" w:hAnsiTheme="minorHAnsi"/>
          <w:b/>
          <w:color w:val="41273B"/>
          <w:sz w:val="44"/>
        </w:rPr>
        <w:fldChar w:fldCharType="separate"/>
      </w:r>
      <w:hyperlink w:anchor="_Toc527984992" w:history="1">
        <w:r w:rsidRPr="00611696">
          <w:rPr>
            <w:rStyle w:val="Hyperlink"/>
            <w:rFonts w:asciiTheme="minorHAnsi" w:hAnsiTheme="minorHAnsi"/>
            <w:noProof/>
          </w:rPr>
          <w:t>Summary</w:t>
        </w:r>
        <w:r w:rsidRPr="00611696">
          <w:rPr>
            <w:rFonts w:asciiTheme="minorHAnsi" w:hAnsiTheme="minorHAnsi"/>
            <w:noProof/>
            <w:webHidden/>
          </w:rPr>
          <w:tab/>
        </w:r>
        <w:r w:rsidRPr="00611696">
          <w:rPr>
            <w:rFonts w:asciiTheme="minorHAnsi" w:hAnsiTheme="minorHAnsi"/>
            <w:noProof/>
            <w:webHidden/>
          </w:rPr>
          <w:fldChar w:fldCharType="begin"/>
        </w:r>
        <w:r w:rsidRPr="00611696">
          <w:rPr>
            <w:rFonts w:asciiTheme="minorHAnsi" w:hAnsiTheme="minorHAnsi"/>
            <w:noProof/>
            <w:webHidden/>
          </w:rPr>
          <w:instrText xml:space="preserve"> PAGEREF _Toc527984992 \h </w:instrText>
        </w:r>
        <w:r w:rsidRPr="00611696">
          <w:rPr>
            <w:rFonts w:asciiTheme="minorHAnsi" w:hAnsiTheme="minorHAnsi"/>
            <w:noProof/>
            <w:webHidden/>
          </w:rPr>
        </w:r>
        <w:r w:rsidRPr="00611696">
          <w:rPr>
            <w:rFonts w:asciiTheme="minorHAnsi" w:hAnsiTheme="minorHAnsi"/>
            <w:noProof/>
            <w:webHidden/>
          </w:rPr>
          <w:fldChar w:fldCharType="separate"/>
        </w:r>
        <w:r w:rsidRPr="00611696">
          <w:rPr>
            <w:rFonts w:asciiTheme="minorHAnsi" w:hAnsiTheme="minorHAnsi"/>
            <w:noProof/>
            <w:webHidden/>
          </w:rPr>
          <w:t>3</w:t>
        </w:r>
        <w:r w:rsidRPr="0061169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2A8AECBA" w14:textId="35F0F7E5" w:rsidR="00B02154" w:rsidRPr="00611696" w:rsidRDefault="00C6007F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27984993" w:history="1">
        <w:r w:rsidR="00B02154" w:rsidRPr="00611696">
          <w:rPr>
            <w:rStyle w:val="Hyperlink"/>
            <w:rFonts w:asciiTheme="minorHAnsi" w:hAnsiTheme="minorHAnsi"/>
            <w:noProof/>
          </w:rPr>
          <w:t>Background</w:t>
        </w:r>
        <w:r w:rsidR="00B02154" w:rsidRPr="00611696">
          <w:rPr>
            <w:rFonts w:asciiTheme="minorHAnsi" w:hAnsiTheme="minorHAnsi"/>
            <w:noProof/>
            <w:webHidden/>
          </w:rPr>
          <w:tab/>
        </w:r>
        <w:r w:rsidR="00B02154" w:rsidRPr="00611696">
          <w:rPr>
            <w:rFonts w:asciiTheme="minorHAnsi" w:hAnsiTheme="minorHAnsi"/>
            <w:noProof/>
            <w:webHidden/>
          </w:rPr>
          <w:fldChar w:fldCharType="begin"/>
        </w:r>
        <w:r w:rsidR="00B02154" w:rsidRPr="00611696">
          <w:rPr>
            <w:rFonts w:asciiTheme="minorHAnsi" w:hAnsiTheme="minorHAnsi"/>
            <w:noProof/>
            <w:webHidden/>
          </w:rPr>
          <w:instrText xml:space="preserve"> PAGEREF _Toc527984993 \h </w:instrText>
        </w:r>
        <w:r w:rsidR="00B02154" w:rsidRPr="00611696">
          <w:rPr>
            <w:rFonts w:asciiTheme="minorHAnsi" w:hAnsiTheme="minorHAnsi"/>
            <w:noProof/>
            <w:webHidden/>
          </w:rPr>
        </w:r>
        <w:r w:rsidR="00B02154" w:rsidRPr="00611696">
          <w:rPr>
            <w:rFonts w:asciiTheme="minorHAnsi" w:hAnsiTheme="minorHAnsi"/>
            <w:noProof/>
            <w:webHidden/>
          </w:rPr>
          <w:fldChar w:fldCharType="separate"/>
        </w:r>
        <w:r w:rsidR="00B02154" w:rsidRPr="00611696">
          <w:rPr>
            <w:rFonts w:asciiTheme="minorHAnsi" w:hAnsiTheme="minorHAnsi"/>
            <w:noProof/>
            <w:webHidden/>
          </w:rPr>
          <w:t>5</w:t>
        </w:r>
        <w:r w:rsidR="00B02154" w:rsidRPr="0061169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2EA85AA9" w14:textId="06982D13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4994" w:history="1">
        <w:r w:rsidR="00B02154" w:rsidRPr="00611696">
          <w:rPr>
            <w:rStyle w:val="Hyperlink"/>
            <w:rFonts w:asciiTheme="minorHAnsi" w:hAnsiTheme="minorHAnsi"/>
          </w:rPr>
          <w:t>Workplace relations settings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_Toc527984994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6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0BAADCFD" w14:textId="20FA6909" w:rsidR="00B02154" w:rsidRPr="00611696" w:rsidRDefault="00C6007F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27984995" w:history="1">
        <w:r w:rsidR="00B02154" w:rsidRPr="00611696">
          <w:rPr>
            <w:rStyle w:val="Hyperlink"/>
            <w:rFonts w:asciiTheme="minorHAnsi" w:hAnsiTheme="minorHAnsi"/>
            <w:noProof/>
          </w:rPr>
          <w:t>Progress report</w:t>
        </w:r>
        <w:r w:rsidR="00B02154" w:rsidRPr="00611696">
          <w:rPr>
            <w:rFonts w:asciiTheme="minorHAnsi" w:hAnsiTheme="minorHAnsi"/>
            <w:noProof/>
            <w:webHidden/>
          </w:rPr>
          <w:tab/>
        </w:r>
        <w:r w:rsidR="00B02154" w:rsidRPr="00611696">
          <w:rPr>
            <w:rFonts w:asciiTheme="minorHAnsi" w:hAnsiTheme="minorHAnsi"/>
            <w:noProof/>
            <w:webHidden/>
          </w:rPr>
          <w:fldChar w:fldCharType="begin"/>
        </w:r>
        <w:r w:rsidR="00B02154" w:rsidRPr="00611696">
          <w:rPr>
            <w:rFonts w:asciiTheme="minorHAnsi" w:hAnsiTheme="minorHAnsi"/>
            <w:noProof/>
            <w:webHidden/>
          </w:rPr>
          <w:instrText xml:space="preserve"> PAGEREF _Toc527984995 \h </w:instrText>
        </w:r>
        <w:r w:rsidR="00B02154" w:rsidRPr="00611696">
          <w:rPr>
            <w:rFonts w:asciiTheme="minorHAnsi" w:hAnsiTheme="minorHAnsi"/>
            <w:noProof/>
            <w:webHidden/>
          </w:rPr>
        </w:r>
        <w:r w:rsidR="00B02154" w:rsidRPr="00611696">
          <w:rPr>
            <w:rFonts w:asciiTheme="minorHAnsi" w:hAnsiTheme="minorHAnsi"/>
            <w:noProof/>
            <w:webHidden/>
          </w:rPr>
          <w:fldChar w:fldCharType="separate"/>
        </w:r>
        <w:r w:rsidR="00B02154" w:rsidRPr="00611696">
          <w:rPr>
            <w:rFonts w:asciiTheme="minorHAnsi" w:hAnsiTheme="minorHAnsi"/>
            <w:noProof/>
            <w:webHidden/>
          </w:rPr>
          <w:t>7</w:t>
        </w:r>
        <w:r w:rsidR="00B02154" w:rsidRPr="0061169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34EC9659" w14:textId="0C80C1A2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4996" w:history="1">
        <w:r w:rsidR="00B02154" w:rsidRPr="00611696">
          <w:rPr>
            <w:rStyle w:val="Hyperlink"/>
            <w:rFonts w:asciiTheme="minorHAnsi" w:hAnsiTheme="minorHAnsi"/>
          </w:rPr>
          <w:t>Communication of the deed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_Toc527984996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7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7350B643" w14:textId="640E7BC6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4997" w:history="1">
        <w:r w:rsidR="00B02154" w:rsidRPr="00611696">
          <w:rPr>
            <w:rStyle w:val="Hyperlink"/>
            <w:rFonts w:asciiTheme="minorHAnsi" w:hAnsiTheme="minorHAnsi"/>
          </w:rPr>
          <w:t>Workplace relations training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_Toc527984997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7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7A6D11B0" w14:textId="6A7C24A8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4998" w:history="1">
        <w:r w:rsidR="00B02154" w:rsidRPr="00611696">
          <w:rPr>
            <w:rStyle w:val="Hyperlink"/>
            <w:rFonts w:asciiTheme="minorHAnsi" w:hAnsiTheme="minorHAnsi"/>
          </w:rPr>
          <w:t>Systems and processes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_Toc527984998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8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454C75C3" w14:textId="306AD05C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4999" w:history="1">
        <w:r w:rsidR="00B02154" w:rsidRPr="00611696">
          <w:rPr>
            <w:rStyle w:val="Hyperlink"/>
            <w:rFonts w:asciiTheme="minorHAnsi" w:hAnsiTheme="minorHAnsi"/>
          </w:rPr>
          <w:t>Self-resolution of workplace disputes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_Toc527984999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10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214E982D" w14:textId="440041CB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5000" w:history="1">
        <w:r w:rsidR="00B02154" w:rsidRPr="00611696">
          <w:rPr>
            <w:rStyle w:val="Hyperlink"/>
            <w:rFonts w:asciiTheme="minorHAnsi" w:hAnsiTheme="minorHAnsi"/>
          </w:rPr>
          <w:t>Self-audits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_Toc527985000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10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5F30C41F" w14:textId="0DD012DF" w:rsidR="00B02154" w:rsidRPr="00611696" w:rsidRDefault="00C6007F" w:rsidP="00611696">
      <w:pPr>
        <w:pStyle w:val="TOC2"/>
        <w:rPr>
          <w:rFonts w:asciiTheme="minorHAnsi" w:eastAsiaTheme="minorEastAsia" w:hAnsiTheme="minorHAnsi" w:cstheme="minorBidi"/>
          <w:szCs w:val="22"/>
          <w:lang w:eastAsia="en-AU"/>
        </w:rPr>
      </w:pPr>
      <w:hyperlink w:anchor="_Toc527985001" w:history="1">
        <w:r w:rsidR="00B02154" w:rsidRPr="00611696">
          <w:rPr>
            <w:rStyle w:val="Hyperlink"/>
            <w:rFonts w:asciiTheme="minorHAnsi" w:hAnsiTheme="minorHAnsi"/>
          </w:rPr>
          <w:t>Reporting to the FWO</w:t>
        </w:r>
        <w:r w:rsidR="00B02154" w:rsidRPr="00611696">
          <w:rPr>
            <w:rFonts w:asciiTheme="minorHAnsi" w:hAnsiTheme="minorHAnsi"/>
            <w:webHidden/>
          </w:rPr>
          <w:tab/>
        </w:r>
        <w:r w:rsidR="00B02154" w:rsidRPr="00611696">
          <w:rPr>
            <w:rFonts w:asciiTheme="minorHAnsi" w:hAnsiTheme="minorHAnsi"/>
            <w:webHidden/>
          </w:rPr>
          <w:fldChar w:fldCharType="begin"/>
        </w:r>
        <w:r w:rsidR="00B02154" w:rsidRPr="00611696">
          <w:rPr>
            <w:rFonts w:asciiTheme="minorHAnsi" w:hAnsiTheme="minorHAnsi"/>
            <w:webHidden/>
          </w:rPr>
          <w:instrText xml:space="preserve"> PAGEREF _Toc527985001 \h </w:instrText>
        </w:r>
        <w:r w:rsidR="00B02154" w:rsidRPr="00611696">
          <w:rPr>
            <w:rFonts w:asciiTheme="minorHAnsi" w:hAnsiTheme="minorHAnsi"/>
            <w:webHidden/>
          </w:rPr>
        </w:r>
        <w:r w:rsidR="00B02154" w:rsidRPr="00611696">
          <w:rPr>
            <w:rFonts w:asciiTheme="minorHAnsi" w:hAnsiTheme="minorHAnsi"/>
            <w:webHidden/>
          </w:rPr>
          <w:fldChar w:fldCharType="separate"/>
        </w:r>
        <w:r w:rsidR="00B02154" w:rsidRPr="00611696">
          <w:rPr>
            <w:rFonts w:asciiTheme="minorHAnsi" w:hAnsiTheme="minorHAnsi"/>
            <w:webHidden/>
          </w:rPr>
          <w:t>11</w:t>
        </w:r>
        <w:r w:rsidR="00B02154" w:rsidRPr="00611696">
          <w:rPr>
            <w:rFonts w:asciiTheme="minorHAnsi" w:hAnsiTheme="minorHAnsi"/>
            <w:webHidden/>
          </w:rPr>
          <w:fldChar w:fldCharType="end"/>
        </w:r>
      </w:hyperlink>
    </w:p>
    <w:p w14:paraId="6CE0C7EE" w14:textId="35B2F9C8" w:rsidR="00B02154" w:rsidRPr="00611696" w:rsidRDefault="00C6007F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27985002" w:history="1">
        <w:r w:rsidR="00B02154" w:rsidRPr="00611696">
          <w:rPr>
            <w:rStyle w:val="Hyperlink"/>
            <w:rFonts w:asciiTheme="minorHAnsi" w:hAnsiTheme="minorHAnsi"/>
            <w:noProof/>
          </w:rPr>
          <w:t>Conclusion</w:t>
        </w:r>
        <w:r w:rsidR="00B02154" w:rsidRPr="00611696">
          <w:rPr>
            <w:rFonts w:asciiTheme="minorHAnsi" w:hAnsiTheme="minorHAnsi"/>
            <w:noProof/>
            <w:webHidden/>
          </w:rPr>
          <w:tab/>
        </w:r>
        <w:r w:rsidR="00B02154" w:rsidRPr="00611696">
          <w:rPr>
            <w:rFonts w:asciiTheme="minorHAnsi" w:hAnsiTheme="minorHAnsi"/>
            <w:noProof/>
            <w:webHidden/>
          </w:rPr>
          <w:fldChar w:fldCharType="begin"/>
        </w:r>
        <w:r w:rsidR="00B02154" w:rsidRPr="00611696">
          <w:rPr>
            <w:rFonts w:asciiTheme="minorHAnsi" w:hAnsiTheme="minorHAnsi"/>
            <w:noProof/>
            <w:webHidden/>
          </w:rPr>
          <w:instrText xml:space="preserve"> PAGEREF _Toc527985002 \h </w:instrText>
        </w:r>
        <w:r w:rsidR="00B02154" w:rsidRPr="00611696">
          <w:rPr>
            <w:rFonts w:asciiTheme="minorHAnsi" w:hAnsiTheme="minorHAnsi"/>
            <w:noProof/>
            <w:webHidden/>
          </w:rPr>
        </w:r>
        <w:r w:rsidR="00B02154" w:rsidRPr="00611696">
          <w:rPr>
            <w:rFonts w:asciiTheme="minorHAnsi" w:hAnsiTheme="minorHAnsi"/>
            <w:noProof/>
            <w:webHidden/>
          </w:rPr>
          <w:fldChar w:fldCharType="separate"/>
        </w:r>
        <w:r w:rsidR="00B02154" w:rsidRPr="00611696">
          <w:rPr>
            <w:rFonts w:asciiTheme="minorHAnsi" w:hAnsiTheme="minorHAnsi"/>
            <w:noProof/>
            <w:webHidden/>
          </w:rPr>
          <w:t>12</w:t>
        </w:r>
        <w:r w:rsidR="00B02154" w:rsidRPr="0061169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662DA2B" w14:textId="5902F203" w:rsidR="00B02154" w:rsidRPr="00611696" w:rsidRDefault="00C6007F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527985003" w:history="1">
        <w:r w:rsidR="00B02154" w:rsidRPr="00611696">
          <w:rPr>
            <w:rStyle w:val="Hyperlink"/>
            <w:rFonts w:asciiTheme="minorHAnsi" w:hAnsiTheme="minorHAnsi"/>
            <w:noProof/>
          </w:rPr>
          <w:t>About the Fair Work Ombudsman</w:t>
        </w:r>
        <w:r w:rsidR="00B02154" w:rsidRPr="00611696">
          <w:rPr>
            <w:rFonts w:asciiTheme="minorHAnsi" w:hAnsiTheme="minorHAnsi"/>
            <w:noProof/>
            <w:webHidden/>
          </w:rPr>
          <w:tab/>
        </w:r>
        <w:r w:rsidR="00B02154" w:rsidRPr="00611696">
          <w:rPr>
            <w:rFonts w:asciiTheme="minorHAnsi" w:hAnsiTheme="minorHAnsi"/>
            <w:noProof/>
            <w:webHidden/>
          </w:rPr>
          <w:fldChar w:fldCharType="begin"/>
        </w:r>
        <w:r w:rsidR="00B02154" w:rsidRPr="00611696">
          <w:rPr>
            <w:rFonts w:asciiTheme="minorHAnsi" w:hAnsiTheme="minorHAnsi"/>
            <w:noProof/>
            <w:webHidden/>
          </w:rPr>
          <w:instrText xml:space="preserve"> PAGEREF _Toc527985003 \h </w:instrText>
        </w:r>
        <w:r w:rsidR="00B02154" w:rsidRPr="00611696">
          <w:rPr>
            <w:rFonts w:asciiTheme="minorHAnsi" w:hAnsiTheme="minorHAnsi"/>
            <w:noProof/>
            <w:webHidden/>
          </w:rPr>
        </w:r>
        <w:r w:rsidR="00B02154" w:rsidRPr="00611696">
          <w:rPr>
            <w:rFonts w:asciiTheme="minorHAnsi" w:hAnsiTheme="minorHAnsi"/>
            <w:noProof/>
            <w:webHidden/>
          </w:rPr>
          <w:fldChar w:fldCharType="separate"/>
        </w:r>
        <w:r w:rsidR="00B02154" w:rsidRPr="00611696">
          <w:rPr>
            <w:rFonts w:asciiTheme="minorHAnsi" w:hAnsiTheme="minorHAnsi"/>
            <w:noProof/>
            <w:webHidden/>
          </w:rPr>
          <w:t>13</w:t>
        </w:r>
        <w:r w:rsidR="00B02154" w:rsidRPr="0061169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C0F8A51" w14:textId="03E90179" w:rsidR="00BF0029" w:rsidRPr="00611696" w:rsidRDefault="00B02154" w:rsidP="00BF0029">
      <w:pPr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b/>
          <w:color w:val="41273B"/>
          <w:sz w:val="44"/>
        </w:rPr>
        <w:fldChar w:fldCharType="end"/>
      </w:r>
    </w:p>
    <w:p w14:paraId="4B39F96D" w14:textId="77777777" w:rsidR="00982B23" w:rsidRPr="00611696" w:rsidRDefault="00BF0029" w:rsidP="00A464E5">
      <w:pPr>
        <w:spacing w:after="0" w:line="240" w:lineRule="auto"/>
        <w:jc w:val="left"/>
        <w:rPr>
          <w:rFonts w:asciiTheme="minorHAnsi" w:eastAsiaTheme="minorHAnsi" w:hAnsiTheme="minorHAnsi"/>
          <w:szCs w:val="22"/>
          <w:lang w:eastAsia="en-AU"/>
        </w:rPr>
      </w:pPr>
      <w:r w:rsidRPr="00611696">
        <w:rPr>
          <w:rFonts w:asciiTheme="minorHAnsi" w:hAnsiTheme="minorHAnsi"/>
          <w:szCs w:val="22"/>
          <w:lang w:eastAsia="en-AU"/>
        </w:rPr>
        <w:br w:type="page"/>
      </w:r>
    </w:p>
    <w:p w14:paraId="0A22A6B0" w14:textId="77777777" w:rsidR="005D7114" w:rsidRPr="00611696" w:rsidRDefault="00676948" w:rsidP="00611696">
      <w:pPr>
        <w:pStyle w:val="Heading1"/>
        <w:rPr>
          <w:rFonts w:asciiTheme="minorHAnsi" w:hAnsiTheme="minorHAnsi"/>
        </w:rPr>
      </w:pPr>
      <w:bookmarkStart w:id="9" w:name="_Toc525655518"/>
      <w:bookmarkStart w:id="10" w:name="_Toc527984992"/>
      <w:r w:rsidRPr="00611696">
        <w:rPr>
          <w:rFonts w:asciiTheme="minorHAnsi" w:hAnsiTheme="minorHAnsi"/>
        </w:rPr>
        <w:lastRenderedPageBreak/>
        <w:t>Summary</w:t>
      </w:r>
      <w:bookmarkEnd w:id="9"/>
      <w:bookmarkEnd w:id="10"/>
    </w:p>
    <w:p w14:paraId="5EDE8842" w14:textId="0922EBE4" w:rsidR="00F55343" w:rsidRPr="00611696" w:rsidRDefault="00F55343" w:rsidP="00044DE9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CW Retail Services Pty Ltd [ACN 606 509 791] (Chemist Warehouse) is a retail pharmacy franchise business </w:t>
      </w:r>
      <w:r w:rsidR="004A5CB6" w:rsidRPr="00611696">
        <w:rPr>
          <w:rFonts w:asciiTheme="minorHAnsi" w:hAnsiTheme="minorHAnsi"/>
        </w:rPr>
        <w:t>with</w:t>
      </w:r>
      <w:r w:rsidRPr="00611696">
        <w:rPr>
          <w:rFonts w:asciiTheme="minorHAnsi" w:hAnsiTheme="minorHAnsi"/>
        </w:rPr>
        <w:t xml:space="preserve"> a significant </w:t>
      </w:r>
      <w:r w:rsidR="00023A18" w:rsidRPr="00611696">
        <w:rPr>
          <w:rFonts w:asciiTheme="minorHAnsi" w:hAnsiTheme="minorHAnsi"/>
        </w:rPr>
        <w:t>presence</w:t>
      </w:r>
      <w:r w:rsidR="002864DB" w:rsidRPr="00611696">
        <w:rPr>
          <w:rFonts w:asciiTheme="minorHAnsi" w:hAnsiTheme="minorHAnsi"/>
        </w:rPr>
        <w:t xml:space="preserve"> in </w:t>
      </w:r>
      <w:r w:rsidRPr="00611696">
        <w:rPr>
          <w:rFonts w:asciiTheme="minorHAnsi" w:hAnsiTheme="minorHAnsi"/>
        </w:rPr>
        <w:t>the</w:t>
      </w:r>
      <w:r w:rsidR="00457DCE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pharmacy sector. The</w:t>
      </w:r>
      <w:r w:rsidR="002864DB" w:rsidRPr="00611696">
        <w:rPr>
          <w:rFonts w:asciiTheme="minorHAnsi" w:hAnsiTheme="minorHAnsi"/>
        </w:rPr>
        <w:t xml:space="preserve"> Chemist Warehouse </w:t>
      </w:r>
      <w:r w:rsidR="004A5CB6" w:rsidRPr="00611696">
        <w:rPr>
          <w:rFonts w:asciiTheme="minorHAnsi" w:hAnsiTheme="minorHAnsi"/>
        </w:rPr>
        <w:t xml:space="preserve">network includes </w:t>
      </w:r>
      <w:r w:rsidRPr="00611696">
        <w:rPr>
          <w:rFonts w:asciiTheme="minorHAnsi" w:hAnsiTheme="minorHAnsi"/>
        </w:rPr>
        <w:t>356 stores</w:t>
      </w:r>
      <w:r w:rsidR="002864DB" w:rsidRPr="00611696">
        <w:rPr>
          <w:rFonts w:asciiTheme="minorHAnsi" w:hAnsiTheme="minorHAnsi"/>
        </w:rPr>
        <w:t xml:space="preserve"> and </w:t>
      </w:r>
      <w:r w:rsidRPr="00611696">
        <w:rPr>
          <w:rFonts w:asciiTheme="minorHAnsi" w:hAnsiTheme="minorHAnsi"/>
        </w:rPr>
        <w:t>employ</w:t>
      </w:r>
      <w:r w:rsidR="002864DB" w:rsidRPr="00611696">
        <w:rPr>
          <w:rFonts w:asciiTheme="minorHAnsi" w:hAnsiTheme="minorHAnsi"/>
        </w:rPr>
        <w:t xml:space="preserve">s </w:t>
      </w:r>
      <w:r w:rsidRPr="00611696">
        <w:rPr>
          <w:rFonts w:asciiTheme="minorHAnsi" w:hAnsiTheme="minorHAnsi"/>
        </w:rPr>
        <w:t>over 12 000 staff across Australia.</w:t>
      </w:r>
      <w:r w:rsidRPr="00611696">
        <w:rPr>
          <w:rStyle w:val="FootnoteReference"/>
          <w:rFonts w:asciiTheme="minorHAnsi" w:hAnsiTheme="minorHAnsi" w:cs="Arial"/>
        </w:rPr>
        <w:footnoteReference w:id="2"/>
      </w:r>
      <w:r w:rsidRPr="00611696">
        <w:rPr>
          <w:rFonts w:asciiTheme="minorHAnsi" w:hAnsiTheme="minorHAnsi"/>
        </w:rPr>
        <w:t xml:space="preserve"> </w:t>
      </w:r>
    </w:p>
    <w:p w14:paraId="06024C77" w14:textId="67271B62" w:rsidR="004A5CB6" w:rsidRPr="00611696" w:rsidRDefault="00F55343" w:rsidP="00044DE9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The FWO audited a selection of Chemist Warehouse stores as part </w:t>
      </w:r>
      <w:r w:rsidR="009D1741" w:rsidRPr="00611696">
        <w:rPr>
          <w:rFonts w:asciiTheme="minorHAnsi" w:hAnsiTheme="minorHAnsi"/>
          <w:szCs w:val="22"/>
        </w:rPr>
        <w:t xml:space="preserve">of </w:t>
      </w:r>
      <w:r w:rsidR="001113BD" w:rsidRPr="00611696">
        <w:rPr>
          <w:rFonts w:asciiTheme="minorHAnsi" w:hAnsiTheme="minorHAnsi"/>
          <w:szCs w:val="22"/>
        </w:rPr>
        <w:t xml:space="preserve">the </w:t>
      </w:r>
      <w:r w:rsidR="009D1741" w:rsidRPr="00611696">
        <w:rPr>
          <w:rFonts w:asciiTheme="minorHAnsi" w:hAnsiTheme="minorHAnsi"/>
          <w:szCs w:val="22"/>
        </w:rPr>
        <w:t>ongoing</w:t>
      </w:r>
      <w:r w:rsidRPr="00611696">
        <w:rPr>
          <w:rFonts w:asciiTheme="minorHAnsi" w:hAnsiTheme="minorHAnsi"/>
          <w:szCs w:val="22"/>
        </w:rPr>
        <w:t xml:space="preserve"> </w:t>
      </w:r>
      <w:r w:rsidR="00E65366" w:rsidRPr="00611696">
        <w:rPr>
          <w:rFonts w:asciiTheme="minorHAnsi" w:hAnsiTheme="minorHAnsi"/>
        </w:rPr>
        <w:t>National Compliance Monitoring Program.</w:t>
      </w:r>
      <w:r w:rsidR="00D926B1" w:rsidRPr="00611696">
        <w:rPr>
          <w:rStyle w:val="FootnoteReference"/>
          <w:rFonts w:asciiTheme="minorHAnsi" w:hAnsiTheme="minorHAnsi"/>
          <w:szCs w:val="22"/>
        </w:rPr>
        <w:footnoteReference w:id="3"/>
      </w:r>
      <w:r w:rsidR="00AF273F" w:rsidRPr="00611696">
        <w:rPr>
          <w:rFonts w:asciiTheme="minorHAnsi" w:hAnsiTheme="minorHAnsi"/>
          <w:szCs w:val="22"/>
        </w:rPr>
        <w:t xml:space="preserve"> </w:t>
      </w:r>
    </w:p>
    <w:p w14:paraId="61239DC2" w14:textId="0E5C9BF0" w:rsidR="002864DB" w:rsidRPr="00611696" w:rsidDel="002864DB" w:rsidRDefault="00AF273F" w:rsidP="00044DE9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During the</w:t>
      </w:r>
      <w:r w:rsidR="004A5CB6" w:rsidRPr="00611696">
        <w:rPr>
          <w:rFonts w:asciiTheme="minorHAnsi" w:hAnsiTheme="minorHAnsi"/>
          <w:szCs w:val="22"/>
        </w:rPr>
        <w:t xml:space="preserve"> course of the</w:t>
      </w:r>
      <w:r w:rsidRPr="00611696">
        <w:rPr>
          <w:rFonts w:asciiTheme="minorHAnsi" w:hAnsiTheme="minorHAnsi"/>
          <w:szCs w:val="22"/>
        </w:rPr>
        <w:t xml:space="preserve"> audit</w:t>
      </w:r>
      <w:r w:rsidR="004A5CB6" w:rsidRPr="00611696">
        <w:rPr>
          <w:rFonts w:asciiTheme="minorHAnsi" w:hAnsiTheme="minorHAnsi"/>
          <w:szCs w:val="22"/>
        </w:rPr>
        <w:t>s</w:t>
      </w:r>
      <w:r w:rsidRPr="00611696">
        <w:rPr>
          <w:rFonts w:asciiTheme="minorHAnsi" w:hAnsiTheme="minorHAnsi"/>
          <w:szCs w:val="22"/>
        </w:rPr>
        <w:t>, t</w:t>
      </w:r>
      <w:r w:rsidR="004A5CB6" w:rsidRPr="00611696">
        <w:rPr>
          <w:rFonts w:asciiTheme="minorHAnsi" w:hAnsiTheme="minorHAnsi"/>
          <w:szCs w:val="22"/>
        </w:rPr>
        <w:t>he FWO requested</w:t>
      </w:r>
      <w:r w:rsidR="00F55343" w:rsidRPr="00611696">
        <w:rPr>
          <w:rFonts w:asciiTheme="minorHAnsi" w:hAnsiTheme="minorHAnsi"/>
          <w:szCs w:val="22"/>
        </w:rPr>
        <w:t xml:space="preserve"> </w:t>
      </w:r>
      <w:r w:rsidR="004A5CB6" w:rsidRPr="00611696">
        <w:rPr>
          <w:rFonts w:asciiTheme="minorHAnsi" w:hAnsiTheme="minorHAnsi"/>
          <w:szCs w:val="22"/>
        </w:rPr>
        <w:t>Chemist Warehouse</w:t>
      </w:r>
      <w:r w:rsidR="00F55343" w:rsidRPr="00611696">
        <w:rPr>
          <w:rFonts w:asciiTheme="minorHAnsi" w:hAnsiTheme="minorHAnsi"/>
          <w:szCs w:val="22"/>
        </w:rPr>
        <w:t xml:space="preserve"> check that it </w:t>
      </w:r>
      <w:r w:rsidRPr="00611696">
        <w:rPr>
          <w:rFonts w:asciiTheme="minorHAnsi" w:hAnsiTheme="minorHAnsi"/>
          <w:szCs w:val="22"/>
        </w:rPr>
        <w:t xml:space="preserve">had </w:t>
      </w:r>
      <w:r w:rsidR="00F55343" w:rsidRPr="00611696">
        <w:rPr>
          <w:rFonts w:asciiTheme="minorHAnsi" w:hAnsiTheme="minorHAnsi"/>
          <w:szCs w:val="22"/>
        </w:rPr>
        <w:t xml:space="preserve">paid staff correctly for compulsory online training. The company conducted a review and identified </w:t>
      </w:r>
      <w:r w:rsidR="00176859" w:rsidRPr="00611696">
        <w:rPr>
          <w:rFonts w:asciiTheme="minorHAnsi" w:hAnsiTheme="minorHAnsi"/>
          <w:szCs w:val="22"/>
        </w:rPr>
        <w:t>that 5976</w:t>
      </w:r>
      <w:r w:rsidR="00053E4A" w:rsidRPr="00611696">
        <w:rPr>
          <w:rFonts w:asciiTheme="minorHAnsi" w:hAnsiTheme="minorHAnsi"/>
          <w:szCs w:val="22"/>
        </w:rPr>
        <w:t xml:space="preserve"> </w:t>
      </w:r>
      <w:r w:rsidR="004A5CB6" w:rsidRPr="00611696">
        <w:rPr>
          <w:rFonts w:asciiTheme="minorHAnsi" w:hAnsiTheme="minorHAnsi"/>
          <w:szCs w:val="22"/>
        </w:rPr>
        <w:t xml:space="preserve">employees </w:t>
      </w:r>
      <w:r w:rsidR="00176859" w:rsidRPr="00611696">
        <w:rPr>
          <w:rFonts w:asciiTheme="minorHAnsi" w:hAnsiTheme="minorHAnsi"/>
          <w:szCs w:val="22"/>
        </w:rPr>
        <w:t>had been underpaid $3 569 212</w:t>
      </w:r>
      <w:r w:rsidR="00F55343" w:rsidRPr="00611696">
        <w:rPr>
          <w:rFonts w:asciiTheme="minorHAnsi" w:hAnsiTheme="minorHAnsi"/>
          <w:szCs w:val="22"/>
        </w:rPr>
        <w:t>.</w:t>
      </w:r>
      <w:r w:rsidR="002864DB" w:rsidRPr="00611696">
        <w:rPr>
          <w:rFonts w:asciiTheme="minorHAnsi" w:hAnsiTheme="minorHAnsi"/>
          <w:szCs w:val="22"/>
        </w:rPr>
        <w:t xml:space="preserve"> This led Chemist Warehouse </w:t>
      </w:r>
      <w:r w:rsidR="009D1741" w:rsidRPr="00611696">
        <w:rPr>
          <w:rFonts w:asciiTheme="minorHAnsi" w:hAnsiTheme="minorHAnsi"/>
          <w:szCs w:val="22"/>
        </w:rPr>
        <w:t xml:space="preserve">to </w:t>
      </w:r>
      <w:r w:rsidR="002864DB" w:rsidRPr="00611696">
        <w:rPr>
          <w:rFonts w:asciiTheme="minorHAnsi" w:hAnsiTheme="minorHAnsi"/>
          <w:szCs w:val="22"/>
        </w:rPr>
        <w:t xml:space="preserve">enter into </w:t>
      </w:r>
      <w:r w:rsidR="002864DB" w:rsidRPr="00611696">
        <w:rPr>
          <w:rFonts w:asciiTheme="minorHAnsi" w:hAnsiTheme="minorHAnsi"/>
        </w:rPr>
        <w:t>a compliance partnership with the FWO.</w:t>
      </w:r>
    </w:p>
    <w:p w14:paraId="36535B5E" w14:textId="77777777" w:rsidR="004A5CB6" w:rsidRPr="00611696" w:rsidRDefault="004A5CB6" w:rsidP="00044DE9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terms of the compliance partnership are contained in</w:t>
      </w:r>
      <w:r w:rsidRPr="00611696">
        <w:rPr>
          <w:rFonts w:asciiTheme="minorHAnsi" w:hAnsiTheme="minorHAnsi"/>
          <w:szCs w:val="22"/>
        </w:rPr>
        <w:t xml:space="preserve"> </w:t>
      </w:r>
      <w:r w:rsidR="00F55343" w:rsidRPr="00611696">
        <w:rPr>
          <w:rFonts w:asciiTheme="minorHAnsi" w:hAnsiTheme="minorHAnsi"/>
          <w:szCs w:val="22"/>
        </w:rPr>
        <w:t xml:space="preserve">a Proactive Compliance Deed </w:t>
      </w:r>
      <w:r w:rsidR="00F55343" w:rsidRPr="00611696">
        <w:rPr>
          <w:rFonts w:asciiTheme="minorHAnsi" w:hAnsiTheme="minorHAnsi"/>
        </w:rPr>
        <w:t>(PCD)</w:t>
      </w:r>
      <w:r w:rsidR="00F55343" w:rsidRPr="00611696">
        <w:rPr>
          <w:rStyle w:val="FootnoteReference"/>
          <w:rFonts w:asciiTheme="minorHAnsi" w:hAnsiTheme="minorHAnsi" w:cs="Arial"/>
        </w:rPr>
        <w:footnoteReference w:id="4"/>
      </w:r>
      <w:r w:rsidR="00F55343" w:rsidRPr="00611696">
        <w:rPr>
          <w:rFonts w:asciiTheme="minorHAnsi" w:hAnsiTheme="minorHAnsi"/>
        </w:rPr>
        <w:t>, which commenced in November 201</w:t>
      </w:r>
      <w:r w:rsidR="00D53F4F" w:rsidRPr="00611696">
        <w:rPr>
          <w:rFonts w:asciiTheme="minorHAnsi" w:hAnsiTheme="minorHAnsi"/>
        </w:rPr>
        <w:t>6</w:t>
      </w:r>
      <w:r w:rsidR="00F55343" w:rsidRPr="00611696">
        <w:rPr>
          <w:rFonts w:asciiTheme="minorHAnsi" w:hAnsiTheme="minorHAnsi"/>
        </w:rPr>
        <w:t xml:space="preserve"> and </w:t>
      </w:r>
      <w:r w:rsidR="00D53F4F" w:rsidRPr="00611696">
        <w:rPr>
          <w:rFonts w:asciiTheme="minorHAnsi" w:hAnsiTheme="minorHAnsi"/>
        </w:rPr>
        <w:t>finishes</w:t>
      </w:r>
      <w:r w:rsidR="00F55343" w:rsidRPr="00611696">
        <w:rPr>
          <w:rFonts w:asciiTheme="minorHAnsi" w:hAnsiTheme="minorHAnsi"/>
        </w:rPr>
        <w:t xml:space="preserve"> in November 201</w:t>
      </w:r>
      <w:r w:rsidR="00D53F4F" w:rsidRPr="00611696">
        <w:rPr>
          <w:rFonts w:asciiTheme="minorHAnsi" w:hAnsiTheme="minorHAnsi"/>
        </w:rPr>
        <w:t>9</w:t>
      </w:r>
      <w:r w:rsidR="00F55343" w:rsidRPr="00611696">
        <w:rPr>
          <w:rFonts w:asciiTheme="minorHAnsi" w:hAnsiTheme="minorHAnsi"/>
        </w:rPr>
        <w:t xml:space="preserve">. </w:t>
      </w:r>
    </w:p>
    <w:p w14:paraId="1BD29FD5" w14:textId="228E5065" w:rsidR="00F55343" w:rsidRPr="00611696" w:rsidRDefault="00F55343" w:rsidP="00044DE9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</w:t>
      </w:r>
      <w:r w:rsidR="004A5CB6" w:rsidRPr="00611696">
        <w:rPr>
          <w:rFonts w:asciiTheme="minorHAnsi" w:hAnsiTheme="minorHAnsi"/>
        </w:rPr>
        <w:t>partnership</w:t>
      </w:r>
      <w:r w:rsidRPr="00611696">
        <w:rPr>
          <w:rFonts w:asciiTheme="minorHAnsi" w:hAnsiTheme="minorHAnsi"/>
        </w:rPr>
        <w:t xml:space="preserve"> promotes and ensures long-term compliance across the company’s franchise network</w:t>
      </w:r>
      <w:r w:rsidR="009D1741" w:rsidRPr="00611696">
        <w:rPr>
          <w:rFonts w:asciiTheme="minorHAnsi" w:hAnsiTheme="minorHAnsi"/>
        </w:rPr>
        <w:t>, and</w:t>
      </w:r>
      <w:r w:rsidRPr="00611696">
        <w:rPr>
          <w:rFonts w:asciiTheme="minorHAnsi" w:hAnsiTheme="minorHAnsi"/>
        </w:rPr>
        <w:t xml:space="preserve"> contains a number of commitments from both parties, including:</w:t>
      </w:r>
    </w:p>
    <w:p w14:paraId="7A4A6945" w14:textId="77777777" w:rsidR="00F55343" w:rsidRPr="00611696" w:rsidRDefault="00F55343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company’s provision of workplace relations information, training and support to its franchisees</w:t>
      </w:r>
    </w:p>
    <w:p w14:paraId="13B5736E" w14:textId="6E21B953" w:rsidR="00F55343" w:rsidRPr="00611696" w:rsidRDefault="00176859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creation of</w:t>
      </w:r>
      <w:r w:rsidR="001C1CF3" w:rsidRPr="00611696">
        <w:rPr>
          <w:rFonts w:asciiTheme="minorHAnsi" w:hAnsiTheme="minorHAnsi"/>
        </w:rPr>
        <w:t xml:space="preserve"> </w:t>
      </w:r>
      <w:r w:rsidR="00B20FEC" w:rsidRPr="00611696">
        <w:rPr>
          <w:rFonts w:asciiTheme="minorHAnsi" w:hAnsiTheme="minorHAnsi"/>
        </w:rPr>
        <w:t xml:space="preserve">a </w:t>
      </w:r>
      <w:r w:rsidR="007F39CD" w:rsidRPr="00611696">
        <w:rPr>
          <w:rFonts w:asciiTheme="minorHAnsi" w:hAnsiTheme="minorHAnsi"/>
        </w:rPr>
        <w:t xml:space="preserve">company-administered </w:t>
      </w:r>
      <w:r w:rsidR="00F55343" w:rsidRPr="00611696">
        <w:rPr>
          <w:rFonts w:asciiTheme="minorHAnsi" w:hAnsiTheme="minorHAnsi"/>
        </w:rPr>
        <w:t xml:space="preserve">hotline </w:t>
      </w:r>
      <w:r w:rsidR="001C1CF3" w:rsidRPr="00611696">
        <w:rPr>
          <w:rFonts w:asciiTheme="minorHAnsi" w:hAnsiTheme="minorHAnsi"/>
        </w:rPr>
        <w:t xml:space="preserve">and email account </w:t>
      </w:r>
      <w:r w:rsidR="007F39CD" w:rsidRPr="00611696">
        <w:rPr>
          <w:rFonts w:asciiTheme="minorHAnsi" w:hAnsiTheme="minorHAnsi"/>
        </w:rPr>
        <w:t xml:space="preserve">service </w:t>
      </w:r>
      <w:r w:rsidR="00F55343" w:rsidRPr="00611696">
        <w:rPr>
          <w:rFonts w:asciiTheme="minorHAnsi" w:hAnsiTheme="minorHAnsi"/>
        </w:rPr>
        <w:t>for employees to make enquiries</w:t>
      </w:r>
      <w:r w:rsidR="009D1741" w:rsidRPr="00611696">
        <w:rPr>
          <w:rFonts w:asciiTheme="minorHAnsi" w:hAnsiTheme="minorHAnsi"/>
        </w:rPr>
        <w:t xml:space="preserve"> about their entitlements</w:t>
      </w:r>
      <w:r w:rsidR="00F55343" w:rsidRPr="00611696">
        <w:rPr>
          <w:rFonts w:asciiTheme="minorHAnsi" w:hAnsiTheme="minorHAnsi"/>
        </w:rPr>
        <w:t xml:space="preserve"> </w:t>
      </w:r>
    </w:p>
    <w:p w14:paraId="71546CD1" w14:textId="1D3DB925" w:rsidR="002864DB" w:rsidRPr="00611696" w:rsidRDefault="002864DB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an undertaking from the company to engage an external audit specialist to audit its franchise network, and to rectify any </w:t>
      </w:r>
      <w:r w:rsidR="009D1741" w:rsidRPr="00611696">
        <w:rPr>
          <w:rFonts w:asciiTheme="minorHAnsi" w:hAnsiTheme="minorHAnsi"/>
        </w:rPr>
        <w:t xml:space="preserve">identified </w:t>
      </w:r>
      <w:r w:rsidRPr="00611696">
        <w:rPr>
          <w:rFonts w:asciiTheme="minorHAnsi" w:hAnsiTheme="minorHAnsi"/>
        </w:rPr>
        <w:t>non-compliance</w:t>
      </w:r>
    </w:p>
    <w:p w14:paraId="081B20D3" w14:textId="6C179D86" w:rsidR="00F55343" w:rsidRPr="00611696" w:rsidRDefault="00F55343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FWO’s referral of requests for assistance, received from franchise employees, to the company for resolution.</w:t>
      </w:r>
    </w:p>
    <w:p w14:paraId="13C702EA" w14:textId="04DA1942" w:rsidR="00F55343" w:rsidRPr="00611696" w:rsidRDefault="004A5CB6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Since commencement of the partnership, </w:t>
      </w:r>
      <w:r w:rsidR="002864DB" w:rsidRPr="00611696">
        <w:rPr>
          <w:rFonts w:asciiTheme="minorHAnsi" w:hAnsiTheme="minorHAnsi"/>
        </w:rPr>
        <w:t>Chemist Warehouse</w:t>
      </w:r>
      <w:r w:rsidR="000870B8" w:rsidRPr="00611696">
        <w:rPr>
          <w:rFonts w:asciiTheme="minorHAnsi" w:hAnsiTheme="minorHAnsi"/>
        </w:rPr>
        <w:t xml:space="preserve"> </w:t>
      </w:r>
      <w:r w:rsidR="009D122A" w:rsidRPr="00611696">
        <w:rPr>
          <w:rFonts w:asciiTheme="minorHAnsi" w:hAnsiTheme="minorHAnsi"/>
        </w:rPr>
        <w:t xml:space="preserve">has run </w:t>
      </w:r>
      <w:r w:rsidR="000870B8" w:rsidRPr="00611696">
        <w:rPr>
          <w:rFonts w:asciiTheme="minorHAnsi" w:hAnsiTheme="minorHAnsi"/>
        </w:rPr>
        <w:t>franchisee conference</w:t>
      </w:r>
      <w:r w:rsidR="008566C5" w:rsidRPr="00611696">
        <w:rPr>
          <w:rFonts w:asciiTheme="minorHAnsi" w:hAnsiTheme="minorHAnsi"/>
        </w:rPr>
        <w:t>s</w:t>
      </w:r>
      <w:r w:rsidR="000870B8" w:rsidRPr="00611696">
        <w:rPr>
          <w:rFonts w:asciiTheme="minorHAnsi" w:hAnsiTheme="minorHAnsi"/>
        </w:rPr>
        <w:t xml:space="preserve"> and </w:t>
      </w:r>
      <w:r w:rsidR="009D122A" w:rsidRPr="00611696">
        <w:rPr>
          <w:rFonts w:asciiTheme="minorHAnsi" w:hAnsiTheme="minorHAnsi"/>
        </w:rPr>
        <w:t xml:space="preserve">has produced </w:t>
      </w:r>
      <w:r w:rsidR="000870B8" w:rsidRPr="00611696">
        <w:rPr>
          <w:rFonts w:asciiTheme="minorHAnsi" w:hAnsiTheme="minorHAnsi"/>
        </w:rPr>
        <w:t>all-staff bulletins contain</w:t>
      </w:r>
      <w:r w:rsidR="002864DB" w:rsidRPr="00611696">
        <w:rPr>
          <w:rFonts w:asciiTheme="minorHAnsi" w:hAnsiTheme="minorHAnsi"/>
        </w:rPr>
        <w:t>ing</w:t>
      </w:r>
      <w:r w:rsidR="000870B8" w:rsidRPr="00611696">
        <w:rPr>
          <w:rFonts w:asciiTheme="minorHAnsi" w:hAnsiTheme="minorHAnsi"/>
        </w:rPr>
        <w:t xml:space="preserve"> workplace relations information. It has </w:t>
      </w:r>
      <w:r w:rsidR="008566C5" w:rsidRPr="00611696">
        <w:rPr>
          <w:rFonts w:asciiTheme="minorHAnsi" w:hAnsiTheme="minorHAnsi"/>
        </w:rPr>
        <w:t>also been developing a</w:t>
      </w:r>
      <w:r w:rsidR="000870B8" w:rsidRPr="00611696">
        <w:rPr>
          <w:rFonts w:asciiTheme="minorHAnsi" w:hAnsiTheme="minorHAnsi"/>
        </w:rPr>
        <w:t xml:space="preserve"> </w:t>
      </w:r>
      <w:r w:rsidR="008566C5" w:rsidRPr="00611696">
        <w:rPr>
          <w:rFonts w:asciiTheme="minorHAnsi" w:hAnsiTheme="minorHAnsi"/>
        </w:rPr>
        <w:t>w</w:t>
      </w:r>
      <w:r w:rsidR="00F55343" w:rsidRPr="00611696">
        <w:rPr>
          <w:rFonts w:asciiTheme="minorHAnsi" w:hAnsiTheme="minorHAnsi"/>
        </w:rPr>
        <w:t>orkplace</w:t>
      </w:r>
      <w:r w:rsidR="008566C5" w:rsidRPr="00611696">
        <w:rPr>
          <w:rFonts w:asciiTheme="minorHAnsi" w:hAnsiTheme="minorHAnsi"/>
        </w:rPr>
        <w:t xml:space="preserve"> </w:t>
      </w:r>
      <w:r w:rsidR="00F55343" w:rsidRPr="00611696">
        <w:rPr>
          <w:rFonts w:asciiTheme="minorHAnsi" w:hAnsiTheme="minorHAnsi"/>
        </w:rPr>
        <w:t xml:space="preserve">relations training </w:t>
      </w:r>
      <w:r w:rsidR="008566C5" w:rsidRPr="00611696">
        <w:rPr>
          <w:rFonts w:asciiTheme="minorHAnsi" w:hAnsiTheme="minorHAnsi"/>
        </w:rPr>
        <w:t xml:space="preserve">package to ensure franchise </w:t>
      </w:r>
      <w:r w:rsidR="00F55343" w:rsidRPr="00611696">
        <w:rPr>
          <w:rFonts w:asciiTheme="minorHAnsi" w:hAnsiTheme="minorHAnsi"/>
        </w:rPr>
        <w:t>owners</w:t>
      </w:r>
      <w:r w:rsidR="008566C5" w:rsidRPr="00611696">
        <w:rPr>
          <w:rFonts w:asciiTheme="minorHAnsi" w:hAnsiTheme="minorHAnsi"/>
        </w:rPr>
        <w:t xml:space="preserve"> and </w:t>
      </w:r>
      <w:r w:rsidR="00F55343" w:rsidRPr="00611696">
        <w:rPr>
          <w:rFonts w:asciiTheme="minorHAnsi" w:hAnsiTheme="minorHAnsi"/>
        </w:rPr>
        <w:t>managers</w:t>
      </w:r>
      <w:r w:rsidR="008566C5" w:rsidRPr="00611696">
        <w:rPr>
          <w:rFonts w:asciiTheme="minorHAnsi" w:hAnsiTheme="minorHAnsi"/>
        </w:rPr>
        <w:t xml:space="preserve"> understand and can comply with their workplace relations obligations.</w:t>
      </w:r>
      <w:r w:rsidR="00F55343" w:rsidRPr="00611696">
        <w:rPr>
          <w:rFonts w:asciiTheme="minorHAnsi" w:hAnsiTheme="minorHAnsi"/>
        </w:rPr>
        <w:t xml:space="preserve"> </w:t>
      </w:r>
    </w:p>
    <w:p w14:paraId="54C790B1" w14:textId="037AA67F" w:rsidR="00F55343" w:rsidRPr="00611696" w:rsidRDefault="009D174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company </w:t>
      </w:r>
      <w:r w:rsidR="001C1CF3" w:rsidRPr="00611696">
        <w:rPr>
          <w:rFonts w:asciiTheme="minorHAnsi" w:hAnsiTheme="minorHAnsi"/>
        </w:rPr>
        <w:t xml:space="preserve">has </w:t>
      </w:r>
      <w:r w:rsidR="002864DB" w:rsidRPr="00611696">
        <w:rPr>
          <w:rFonts w:asciiTheme="minorHAnsi" w:hAnsiTheme="minorHAnsi"/>
        </w:rPr>
        <w:t>report</w:t>
      </w:r>
      <w:r w:rsidR="006771D0" w:rsidRPr="00611696">
        <w:rPr>
          <w:rFonts w:asciiTheme="minorHAnsi" w:hAnsiTheme="minorHAnsi"/>
        </w:rPr>
        <w:t>ed</w:t>
      </w:r>
      <w:r w:rsidR="002864DB" w:rsidRPr="00611696">
        <w:rPr>
          <w:rFonts w:asciiTheme="minorHAnsi" w:hAnsiTheme="minorHAnsi"/>
        </w:rPr>
        <w:t xml:space="preserve"> a decline in </w:t>
      </w:r>
      <w:r w:rsidR="001C1CF3" w:rsidRPr="00611696">
        <w:rPr>
          <w:rFonts w:asciiTheme="minorHAnsi" w:hAnsiTheme="minorHAnsi"/>
        </w:rPr>
        <w:t xml:space="preserve">the number of </w:t>
      </w:r>
      <w:r w:rsidR="002864DB" w:rsidRPr="00611696">
        <w:rPr>
          <w:rFonts w:asciiTheme="minorHAnsi" w:hAnsiTheme="minorHAnsi"/>
        </w:rPr>
        <w:t xml:space="preserve">employee enquiries </w:t>
      </w:r>
      <w:r w:rsidR="001C1CF3" w:rsidRPr="00611696">
        <w:rPr>
          <w:rFonts w:asciiTheme="minorHAnsi" w:hAnsiTheme="minorHAnsi"/>
        </w:rPr>
        <w:t xml:space="preserve">it has received since the commencement of the </w:t>
      </w:r>
      <w:r w:rsidR="004A5CB6" w:rsidRPr="00611696">
        <w:rPr>
          <w:rFonts w:asciiTheme="minorHAnsi" w:hAnsiTheme="minorHAnsi"/>
        </w:rPr>
        <w:t>partnership</w:t>
      </w:r>
      <w:r w:rsidR="001C1CF3" w:rsidRPr="00611696">
        <w:rPr>
          <w:rFonts w:asciiTheme="minorHAnsi" w:hAnsiTheme="minorHAnsi"/>
        </w:rPr>
        <w:t>.</w:t>
      </w:r>
      <w:r w:rsidR="006921EA" w:rsidRPr="00611696">
        <w:rPr>
          <w:rFonts w:asciiTheme="minorHAnsi" w:hAnsiTheme="minorHAnsi"/>
        </w:rPr>
        <w:t xml:space="preserve"> </w:t>
      </w:r>
      <w:r w:rsidR="009D122A" w:rsidRPr="00611696">
        <w:rPr>
          <w:rFonts w:asciiTheme="minorHAnsi" w:hAnsiTheme="minorHAnsi"/>
        </w:rPr>
        <w:t xml:space="preserve">This </w:t>
      </w:r>
      <w:r w:rsidR="00F55343" w:rsidRPr="00611696">
        <w:rPr>
          <w:rFonts w:asciiTheme="minorHAnsi" w:hAnsiTheme="minorHAnsi"/>
        </w:rPr>
        <w:t xml:space="preserve">suggests </w:t>
      </w:r>
      <w:r w:rsidR="00D478B5" w:rsidRPr="00611696">
        <w:rPr>
          <w:rFonts w:asciiTheme="minorHAnsi" w:hAnsiTheme="minorHAnsi"/>
        </w:rPr>
        <w:t>its</w:t>
      </w:r>
      <w:r w:rsidRPr="00611696">
        <w:rPr>
          <w:rFonts w:asciiTheme="minorHAnsi" w:hAnsiTheme="minorHAnsi"/>
        </w:rPr>
        <w:t xml:space="preserve"> </w:t>
      </w:r>
      <w:r w:rsidR="00F55343" w:rsidRPr="00611696">
        <w:rPr>
          <w:rFonts w:asciiTheme="minorHAnsi" w:hAnsiTheme="minorHAnsi"/>
        </w:rPr>
        <w:t xml:space="preserve">hotline </w:t>
      </w:r>
      <w:r w:rsidR="001C1CF3" w:rsidRPr="00611696">
        <w:rPr>
          <w:rFonts w:asciiTheme="minorHAnsi" w:hAnsiTheme="minorHAnsi"/>
        </w:rPr>
        <w:t xml:space="preserve">and </w:t>
      </w:r>
      <w:r w:rsidR="00D478B5" w:rsidRPr="00611696">
        <w:rPr>
          <w:rFonts w:asciiTheme="minorHAnsi" w:hAnsiTheme="minorHAnsi"/>
        </w:rPr>
        <w:t>email enquiry services h</w:t>
      </w:r>
      <w:r w:rsidR="001C1CF3" w:rsidRPr="00611696">
        <w:rPr>
          <w:rFonts w:asciiTheme="minorHAnsi" w:hAnsiTheme="minorHAnsi"/>
        </w:rPr>
        <w:t>ave</w:t>
      </w:r>
      <w:r w:rsidR="00D478B5" w:rsidRPr="00611696">
        <w:rPr>
          <w:rFonts w:asciiTheme="minorHAnsi" w:hAnsiTheme="minorHAnsi"/>
        </w:rPr>
        <w:t xml:space="preserve"> </w:t>
      </w:r>
      <w:r w:rsidR="00F55343" w:rsidRPr="00611696">
        <w:rPr>
          <w:rFonts w:asciiTheme="minorHAnsi" w:hAnsiTheme="minorHAnsi"/>
        </w:rPr>
        <w:t xml:space="preserve">been effective </w:t>
      </w:r>
      <w:r w:rsidR="00F55343" w:rsidRPr="00611696">
        <w:rPr>
          <w:rFonts w:asciiTheme="minorHAnsi" w:hAnsiTheme="minorHAnsi"/>
        </w:rPr>
        <w:lastRenderedPageBreak/>
        <w:t>in helping the company respond to</w:t>
      </w:r>
      <w:r w:rsidR="007F39CD" w:rsidRPr="00611696">
        <w:rPr>
          <w:rFonts w:asciiTheme="minorHAnsi" w:hAnsiTheme="minorHAnsi"/>
        </w:rPr>
        <w:t>, i</w:t>
      </w:r>
      <w:r w:rsidR="00F55343" w:rsidRPr="00611696">
        <w:rPr>
          <w:rFonts w:asciiTheme="minorHAnsi" w:hAnsiTheme="minorHAnsi"/>
        </w:rPr>
        <w:t>nvestigat</w:t>
      </w:r>
      <w:r w:rsidR="007F39CD" w:rsidRPr="00611696">
        <w:rPr>
          <w:rFonts w:asciiTheme="minorHAnsi" w:hAnsiTheme="minorHAnsi"/>
        </w:rPr>
        <w:t>e</w:t>
      </w:r>
      <w:r w:rsidR="00F55343" w:rsidRPr="00611696">
        <w:rPr>
          <w:rFonts w:asciiTheme="minorHAnsi" w:hAnsiTheme="minorHAnsi"/>
        </w:rPr>
        <w:t xml:space="preserve"> and resolve </w:t>
      </w:r>
      <w:r w:rsidR="007F39CD" w:rsidRPr="00611696">
        <w:rPr>
          <w:rFonts w:asciiTheme="minorHAnsi" w:hAnsiTheme="minorHAnsi"/>
        </w:rPr>
        <w:t xml:space="preserve">employee </w:t>
      </w:r>
      <w:r w:rsidR="00F55343" w:rsidRPr="00611696">
        <w:rPr>
          <w:rFonts w:asciiTheme="minorHAnsi" w:hAnsiTheme="minorHAnsi"/>
        </w:rPr>
        <w:t xml:space="preserve">enquiries regarding </w:t>
      </w:r>
      <w:r w:rsidR="007F39CD" w:rsidRPr="00611696">
        <w:rPr>
          <w:rFonts w:asciiTheme="minorHAnsi" w:hAnsiTheme="minorHAnsi"/>
        </w:rPr>
        <w:t xml:space="preserve">payment for </w:t>
      </w:r>
      <w:r w:rsidR="00F55343" w:rsidRPr="00611696">
        <w:rPr>
          <w:rFonts w:asciiTheme="minorHAnsi" w:hAnsiTheme="minorHAnsi"/>
        </w:rPr>
        <w:t>training</w:t>
      </w:r>
      <w:r w:rsidR="007F39CD" w:rsidRPr="00611696">
        <w:rPr>
          <w:rFonts w:asciiTheme="minorHAnsi" w:hAnsiTheme="minorHAnsi"/>
        </w:rPr>
        <w:t>,</w:t>
      </w:r>
      <w:r w:rsidR="00F55343" w:rsidRPr="00611696">
        <w:rPr>
          <w:rFonts w:asciiTheme="minorHAnsi" w:hAnsiTheme="minorHAnsi"/>
        </w:rPr>
        <w:t xml:space="preserve"> and other workplace </w:t>
      </w:r>
      <w:r w:rsidR="007F39CD" w:rsidRPr="00611696">
        <w:rPr>
          <w:rFonts w:asciiTheme="minorHAnsi" w:hAnsiTheme="minorHAnsi"/>
        </w:rPr>
        <w:t>entitlements</w:t>
      </w:r>
      <w:r w:rsidR="00F55343" w:rsidRPr="00611696">
        <w:rPr>
          <w:rFonts w:asciiTheme="minorHAnsi" w:hAnsiTheme="minorHAnsi"/>
        </w:rPr>
        <w:t>.</w:t>
      </w:r>
    </w:p>
    <w:p w14:paraId="2632EBAB" w14:textId="2F5D3F93" w:rsidR="00F55343" w:rsidRPr="00611696" w:rsidRDefault="00F55343">
      <w:pPr>
        <w:autoSpaceDE w:val="0"/>
        <w:autoSpaceDN w:val="0"/>
        <w:jc w:val="left"/>
        <w:rPr>
          <w:rFonts w:asciiTheme="minorHAnsi" w:hAnsiTheme="minorHAnsi"/>
          <w:color w:val="000000"/>
          <w:szCs w:val="22"/>
        </w:rPr>
      </w:pPr>
      <w:r w:rsidRPr="00611696">
        <w:rPr>
          <w:rFonts w:asciiTheme="minorHAnsi" w:hAnsiTheme="minorHAnsi"/>
          <w:szCs w:val="22"/>
        </w:rPr>
        <w:t>Under the terms of the PCD, the company has also engaged an</w:t>
      </w:r>
      <w:r w:rsidR="00BB0700" w:rsidRPr="00611696">
        <w:rPr>
          <w:rFonts w:asciiTheme="minorHAnsi" w:hAnsiTheme="minorHAnsi"/>
          <w:szCs w:val="22"/>
        </w:rPr>
        <w:t xml:space="preserve"> </w:t>
      </w:r>
      <w:r w:rsidRPr="00611696">
        <w:rPr>
          <w:rFonts w:asciiTheme="minorHAnsi" w:hAnsiTheme="minorHAnsi"/>
          <w:szCs w:val="22"/>
        </w:rPr>
        <w:t xml:space="preserve">independent external firm (FCB Group) to audit its franchise network. FCB Group identified underpayments </w:t>
      </w:r>
      <w:r w:rsidR="00BB0700" w:rsidRPr="00611696">
        <w:rPr>
          <w:rFonts w:asciiTheme="minorHAnsi" w:hAnsiTheme="minorHAnsi"/>
          <w:szCs w:val="22"/>
        </w:rPr>
        <w:t xml:space="preserve">in </w:t>
      </w:r>
      <w:r w:rsidR="004A5CB6" w:rsidRPr="00611696">
        <w:rPr>
          <w:rFonts w:asciiTheme="minorHAnsi" w:hAnsiTheme="minorHAnsi"/>
          <w:szCs w:val="22"/>
        </w:rPr>
        <w:t>its</w:t>
      </w:r>
      <w:r w:rsidR="00BB0700" w:rsidRPr="00611696">
        <w:rPr>
          <w:rFonts w:asciiTheme="minorHAnsi" w:hAnsiTheme="minorHAnsi"/>
          <w:szCs w:val="22"/>
        </w:rPr>
        <w:t xml:space="preserve"> initial audit, which </w:t>
      </w:r>
      <w:r w:rsidR="00045BE8" w:rsidRPr="00611696">
        <w:rPr>
          <w:rFonts w:asciiTheme="minorHAnsi" w:hAnsiTheme="minorHAnsi"/>
          <w:szCs w:val="22"/>
        </w:rPr>
        <w:t xml:space="preserve">it has </w:t>
      </w:r>
      <w:r w:rsidRPr="00611696">
        <w:rPr>
          <w:rFonts w:asciiTheme="minorHAnsi" w:hAnsiTheme="minorHAnsi"/>
          <w:szCs w:val="22"/>
        </w:rPr>
        <w:t>attribute</w:t>
      </w:r>
      <w:r w:rsidR="006921EA" w:rsidRPr="00611696">
        <w:rPr>
          <w:rFonts w:asciiTheme="minorHAnsi" w:hAnsiTheme="minorHAnsi"/>
          <w:szCs w:val="22"/>
        </w:rPr>
        <w:t>d</w:t>
      </w:r>
      <w:r w:rsidRPr="00611696">
        <w:rPr>
          <w:rFonts w:asciiTheme="minorHAnsi" w:hAnsiTheme="minorHAnsi"/>
          <w:szCs w:val="22"/>
        </w:rPr>
        <w:t xml:space="preserve"> to payroll </w:t>
      </w:r>
      <w:r w:rsidR="007F39CD" w:rsidRPr="00611696">
        <w:rPr>
          <w:rFonts w:asciiTheme="minorHAnsi" w:hAnsiTheme="minorHAnsi"/>
          <w:szCs w:val="22"/>
        </w:rPr>
        <w:t>deficiencies</w:t>
      </w:r>
      <w:r w:rsidRPr="00611696">
        <w:rPr>
          <w:rFonts w:asciiTheme="minorHAnsi" w:hAnsiTheme="minorHAnsi"/>
          <w:szCs w:val="22"/>
        </w:rPr>
        <w:t>. Chemist Warehouse has resolved all underpayments</w:t>
      </w:r>
      <w:r w:rsidR="00AF210E" w:rsidRPr="00611696">
        <w:rPr>
          <w:rFonts w:asciiTheme="minorHAnsi" w:hAnsiTheme="minorHAnsi"/>
          <w:szCs w:val="22"/>
        </w:rPr>
        <w:t>.</w:t>
      </w:r>
      <w:r w:rsidRPr="00611696">
        <w:rPr>
          <w:rFonts w:asciiTheme="minorHAnsi" w:hAnsiTheme="minorHAnsi"/>
          <w:szCs w:val="22"/>
        </w:rPr>
        <w:t xml:space="preserve"> </w:t>
      </w:r>
      <w:r w:rsidR="00AF210E" w:rsidRPr="00611696">
        <w:rPr>
          <w:rFonts w:asciiTheme="minorHAnsi" w:hAnsiTheme="minorHAnsi"/>
          <w:szCs w:val="22"/>
        </w:rPr>
        <w:t>Wi</w:t>
      </w:r>
      <w:r w:rsidR="007F39CD" w:rsidRPr="00611696">
        <w:rPr>
          <w:rFonts w:asciiTheme="minorHAnsi" w:hAnsiTheme="minorHAnsi"/>
          <w:szCs w:val="22"/>
        </w:rPr>
        <w:t xml:space="preserve">th input from FWO </w:t>
      </w:r>
      <w:r w:rsidR="009D1741" w:rsidRPr="00611696">
        <w:rPr>
          <w:rFonts w:asciiTheme="minorHAnsi" w:hAnsiTheme="minorHAnsi"/>
          <w:szCs w:val="22"/>
        </w:rPr>
        <w:t>and FCB Group</w:t>
      </w:r>
      <w:r w:rsidR="00AF210E" w:rsidRPr="00611696">
        <w:rPr>
          <w:rFonts w:asciiTheme="minorHAnsi" w:hAnsiTheme="minorHAnsi"/>
          <w:szCs w:val="22"/>
        </w:rPr>
        <w:t xml:space="preserve">, </w:t>
      </w:r>
      <w:r w:rsidR="00457DCE" w:rsidRPr="00611696">
        <w:rPr>
          <w:rFonts w:asciiTheme="minorHAnsi" w:hAnsiTheme="minorHAnsi"/>
          <w:szCs w:val="22"/>
        </w:rPr>
        <w:t>Chemist Warehouse ha</w:t>
      </w:r>
      <w:r w:rsidR="004A5CB6" w:rsidRPr="00611696">
        <w:rPr>
          <w:rFonts w:asciiTheme="minorHAnsi" w:hAnsiTheme="minorHAnsi"/>
          <w:szCs w:val="22"/>
        </w:rPr>
        <w:t>s</w:t>
      </w:r>
      <w:r w:rsidRPr="00611696">
        <w:rPr>
          <w:rFonts w:asciiTheme="minorHAnsi" w:hAnsiTheme="minorHAnsi"/>
          <w:szCs w:val="22"/>
        </w:rPr>
        <w:t xml:space="preserve"> </w:t>
      </w:r>
      <w:r w:rsidR="00AF210E" w:rsidRPr="00611696">
        <w:rPr>
          <w:rFonts w:asciiTheme="minorHAnsi" w:hAnsiTheme="minorHAnsi"/>
          <w:szCs w:val="22"/>
        </w:rPr>
        <w:t xml:space="preserve">also </w:t>
      </w:r>
      <w:r w:rsidR="00045BE8" w:rsidRPr="00611696">
        <w:rPr>
          <w:rFonts w:asciiTheme="minorHAnsi" w:hAnsiTheme="minorHAnsi"/>
          <w:szCs w:val="22"/>
        </w:rPr>
        <w:t xml:space="preserve">been upgrading </w:t>
      </w:r>
      <w:r w:rsidR="004A5CB6" w:rsidRPr="00611696">
        <w:rPr>
          <w:rFonts w:asciiTheme="minorHAnsi" w:hAnsiTheme="minorHAnsi"/>
          <w:szCs w:val="22"/>
        </w:rPr>
        <w:t>its s</w:t>
      </w:r>
      <w:r w:rsidRPr="00611696">
        <w:rPr>
          <w:rFonts w:asciiTheme="minorHAnsi" w:hAnsiTheme="minorHAnsi"/>
          <w:szCs w:val="22"/>
        </w:rPr>
        <w:t xml:space="preserve">ystems and processes to ensure </w:t>
      </w:r>
      <w:r w:rsidR="009D1741" w:rsidRPr="00611696">
        <w:rPr>
          <w:rFonts w:asciiTheme="minorHAnsi" w:hAnsiTheme="minorHAnsi"/>
          <w:szCs w:val="22"/>
        </w:rPr>
        <w:t xml:space="preserve">full </w:t>
      </w:r>
      <w:r w:rsidRPr="00611696">
        <w:rPr>
          <w:rFonts w:asciiTheme="minorHAnsi" w:hAnsiTheme="minorHAnsi"/>
          <w:szCs w:val="22"/>
        </w:rPr>
        <w:t>compliance</w:t>
      </w:r>
      <w:r w:rsidR="009D1741" w:rsidRPr="00611696">
        <w:rPr>
          <w:rFonts w:asciiTheme="minorHAnsi" w:hAnsiTheme="minorHAnsi"/>
          <w:szCs w:val="22"/>
        </w:rPr>
        <w:t xml:space="preserve"> with workplace laws</w:t>
      </w:r>
      <w:r w:rsidRPr="00611696">
        <w:rPr>
          <w:rFonts w:asciiTheme="minorHAnsi" w:hAnsiTheme="minorHAnsi"/>
          <w:szCs w:val="22"/>
        </w:rPr>
        <w:t>.</w:t>
      </w:r>
    </w:p>
    <w:p w14:paraId="2C5DD2F4" w14:textId="3365F971" w:rsidR="006921EA" w:rsidRPr="00611696" w:rsidRDefault="006921EA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FWO </w:t>
      </w:r>
      <w:r w:rsidR="00342E93" w:rsidRPr="00611696">
        <w:rPr>
          <w:rFonts w:asciiTheme="minorHAnsi" w:hAnsiTheme="minorHAnsi"/>
        </w:rPr>
        <w:t xml:space="preserve">has </w:t>
      </w:r>
      <w:r w:rsidRPr="00611696">
        <w:rPr>
          <w:rFonts w:asciiTheme="minorHAnsi" w:hAnsiTheme="minorHAnsi"/>
        </w:rPr>
        <w:t xml:space="preserve">referred six requests for assistance to Chemist Warehouse since </w:t>
      </w:r>
      <w:r w:rsidR="00457DCE" w:rsidRPr="00611696">
        <w:rPr>
          <w:rFonts w:asciiTheme="minorHAnsi" w:hAnsiTheme="minorHAnsi"/>
        </w:rPr>
        <w:t xml:space="preserve">the </w:t>
      </w:r>
      <w:r w:rsidRPr="00611696">
        <w:rPr>
          <w:rFonts w:asciiTheme="minorHAnsi" w:hAnsiTheme="minorHAnsi"/>
        </w:rPr>
        <w:t xml:space="preserve">commencement of the </w:t>
      </w:r>
      <w:r w:rsidR="004A5CB6" w:rsidRPr="00611696">
        <w:rPr>
          <w:rFonts w:asciiTheme="minorHAnsi" w:hAnsiTheme="minorHAnsi"/>
        </w:rPr>
        <w:t>partnership</w:t>
      </w:r>
      <w:r w:rsidRPr="00611696">
        <w:rPr>
          <w:rFonts w:asciiTheme="minorHAnsi" w:hAnsiTheme="minorHAnsi"/>
        </w:rPr>
        <w:t xml:space="preserve">. </w:t>
      </w:r>
      <w:r w:rsidR="00C42AB2" w:rsidRPr="00611696">
        <w:rPr>
          <w:rFonts w:asciiTheme="minorHAnsi" w:hAnsiTheme="minorHAnsi"/>
        </w:rPr>
        <w:t>The</w:t>
      </w:r>
      <w:r w:rsidR="00E07224" w:rsidRPr="00611696">
        <w:rPr>
          <w:rFonts w:asciiTheme="minorHAnsi" w:hAnsiTheme="minorHAnsi"/>
        </w:rPr>
        <w:t xml:space="preserve"> company investigated these referrals and </w:t>
      </w:r>
      <w:r w:rsidR="00C42AB2" w:rsidRPr="00611696">
        <w:rPr>
          <w:rFonts w:asciiTheme="minorHAnsi" w:hAnsiTheme="minorHAnsi"/>
        </w:rPr>
        <w:t xml:space="preserve">confirmed </w:t>
      </w:r>
      <w:r w:rsidR="004A5CB6" w:rsidRPr="00611696">
        <w:rPr>
          <w:rFonts w:asciiTheme="minorHAnsi" w:hAnsiTheme="minorHAnsi"/>
        </w:rPr>
        <w:t>breaches</w:t>
      </w:r>
      <w:r w:rsidR="00C42AB2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 xml:space="preserve">in three matters. </w:t>
      </w:r>
      <w:r w:rsidR="00C42AB2" w:rsidRPr="00611696">
        <w:rPr>
          <w:rFonts w:asciiTheme="minorHAnsi" w:hAnsiTheme="minorHAnsi"/>
        </w:rPr>
        <w:t xml:space="preserve">It </w:t>
      </w:r>
      <w:r w:rsidR="004A5CB6" w:rsidRPr="00611696">
        <w:rPr>
          <w:rFonts w:asciiTheme="minorHAnsi" w:hAnsiTheme="minorHAnsi"/>
        </w:rPr>
        <w:t xml:space="preserve">has </w:t>
      </w:r>
      <w:r w:rsidRPr="00611696">
        <w:rPr>
          <w:rFonts w:asciiTheme="minorHAnsi" w:hAnsiTheme="minorHAnsi"/>
        </w:rPr>
        <w:t>notified all affected employees of the results of its investigation</w:t>
      </w:r>
      <w:r w:rsidR="00CE5A84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 and</w:t>
      </w:r>
      <w:r w:rsidR="00CE5A84" w:rsidRPr="00611696">
        <w:rPr>
          <w:rFonts w:asciiTheme="minorHAnsi" w:hAnsiTheme="minorHAnsi"/>
        </w:rPr>
        <w:t xml:space="preserve"> where required</w:t>
      </w:r>
      <w:r w:rsidRPr="00611696">
        <w:rPr>
          <w:rFonts w:asciiTheme="minorHAnsi" w:hAnsiTheme="minorHAnsi"/>
        </w:rPr>
        <w:t xml:space="preserve"> ensured franchisees back-paid their staff.</w:t>
      </w:r>
    </w:p>
    <w:p w14:paraId="0A87B54C" w14:textId="10DD9ECF" w:rsidR="00F55343" w:rsidRPr="00611696" w:rsidRDefault="00F55343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  <w:szCs w:val="22"/>
        </w:rPr>
        <w:t>This report discusses the background to the compliance partnership</w:t>
      </w:r>
      <w:r w:rsidR="006921EA" w:rsidRPr="00611696">
        <w:rPr>
          <w:rFonts w:asciiTheme="minorHAnsi" w:hAnsiTheme="minorHAnsi"/>
          <w:szCs w:val="22"/>
        </w:rPr>
        <w:t xml:space="preserve"> and </w:t>
      </w:r>
      <w:r w:rsidRPr="00611696">
        <w:rPr>
          <w:rFonts w:asciiTheme="minorHAnsi" w:hAnsiTheme="minorHAnsi"/>
          <w:szCs w:val="22"/>
        </w:rPr>
        <w:t xml:space="preserve">provides an interim </w:t>
      </w:r>
      <w:r w:rsidR="00CE5A84" w:rsidRPr="00611696">
        <w:rPr>
          <w:rFonts w:asciiTheme="minorHAnsi" w:hAnsiTheme="minorHAnsi"/>
          <w:szCs w:val="22"/>
        </w:rPr>
        <w:t>assessment</w:t>
      </w:r>
      <w:r w:rsidRPr="00611696">
        <w:rPr>
          <w:rFonts w:asciiTheme="minorHAnsi" w:hAnsiTheme="minorHAnsi"/>
          <w:szCs w:val="22"/>
        </w:rPr>
        <w:t xml:space="preserve"> of progress towards satisfying the commitments set out in the PCD. </w:t>
      </w:r>
    </w:p>
    <w:p w14:paraId="311B1014" w14:textId="7A89F414" w:rsidR="006173B2" w:rsidRPr="00611696" w:rsidRDefault="00F233FB" w:rsidP="00611696">
      <w:pPr>
        <w:pStyle w:val="Heading1"/>
        <w:rPr>
          <w:rFonts w:asciiTheme="minorHAnsi" w:hAnsiTheme="minorHAnsi"/>
        </w:rPr>
      </w:pPr>
      <w:bookmarkStart w:id="11" w:name="_Toc525655519"/>
      <w:bookmarkStart w:id="12" w:name="_Toc527984993"/>
      <w:r w:rsidRPr="00611696">
        <w:rPr>
          <w:rFonts w:asciiTheme="minorHAnsi" w:hAnsiTheme="minorHAnsi"/>
        </w:rPr>
        <w:t>Background</w:t>
      </w:r>
      <w:bookmarkEnd w:id="11"/>
      <w:bookmarkEnd w:id="12"/>
    </w:p>
    <w:p w14:paraId="251A0670" w14:textId="5BE4B2D3" w:rsidR="00CE5A84" w:rsidRPr="00611696" w:rsidRDefault="00BB0700" w:rsidP="00E07224">
      <w:pPr>
        <w:widowControl w:val="0"/>
        <w:snapToGrid w:val="0"/>
        <w:jc w:val="left"/>
        <w:rPr>
          <w:rFonts w:asciiTheme="minorHAnsi" w:hAnsiTheme="minorHAnsi"/>
          <w:szCs w:val="22"/>
          <w:lang w:val="en-US"/>
        </w:rPr>
      </w:pPr>
      <w:r w:rsidRPr="00611696">
        <w:rPr>
          <w:rFonts w:asciiTheme="minorHAnsi" w:hAnsiTheme="minorHAnsi"/>
          <w:szCs w:val="22"/>
          <w:lang w:val="en-US"/>
        </w:rPr>
        <w:t xml:space="preserve">Fair Work Inspectors undertook an audit of </w:t>
      </w:r>
      <w:r w:rsidR="00E17A51" w:rsidRPr="00611696">
        <w:rPr>
          <w:rFonts w:asciiTheme="minorHAnsi" w:hAnsiTheme="minorHAnsi"/>
          <w:szCs w:val="22"/>
          <w:lang w:val="en-US"/>
        </w:rPr>
        <w:t xml:space="preserve">24 </w:t>
      </w:r>
      <w:r w:rsidRPr="00611696">
        <w:rPr>
          <w:rFonts w:asciiTheme="minorHAnsi" w:hAnsiTheme="minorHAnsi"/>
          <w:szCs w:val="22"/>
          <w:lang w:val="en-US"/>
        </w:rPr>
        <w:t xml:space="preserve">Chemist Warehouse </w:t>
      </w:r>
      <w:r w:rsidR="00E17A51" w:rsidRPr="00611696">
        <w:rPr>
          <w:rFonts w:asciiTheme="minorHAnsi" w:hAnsiTheme="minorHAnsi"/>
          <w:szCs w:val="22"/>
          <w:lang w:val="en-US"/>
        </w:rPr>
        <w:t xml:space="preserve">outlets </w:t>
      </w:r>
      <w:r w:rsidR="00EC3281" w:rsidRPr="00611696">
        <w:rPr>
          <w:rFonts w:asciiTheme="minorHAnsi" w:hAnsiTheme="minorHAnsi"/>
          <w:szCs w:val="22"/>
          <w:lang w:val="en-US"/>
        </w:rPr>
        <w:t xml:space="preserve">across Victoria, Queensland, Tasmania and the ACT </w:t>
      </w:r>
      <w:r w:rsidRPr="00611696">
        <w:rPr>
          <w:rFonts w:asciiTheme="minorHAnsi" w:hAnsiTheme="minorHAnsi"/>
          <w:szCs w:val="22"/>
          <w:lang w:val="en-US"/>
        </w:rPr>
        <w:t xml:space="preserve">as part of the National Compliance Monitoring Program. </w:t>
      </w:r>
      <w:r w:rsidR="00194498" w:rsidRPr="00611696">
        <w:rPr>
          <w:rFonts w:asciiTheme="minorHAnsi" w:hAnsiTheme="minorHAnsi"/>
          <w:szCs w:val="22"/>
          <w:lang w:val="en-US"/>
        </w:rPr>
        <w:t xml:space="preserve">The outlets </w:t>
      </w:r>
      <w:r w:rsidR="00E17A51" w:rsidRPr="00611696">
        <w:rPr>
          <w:rFonts w:asciiTheme="minorHAnsi" w:hAnsiTheme="minorHAnsi"/>
          <w:szCs w:val="22"/>
          <w:lang w:val="en-US"/>
        </w:rPr>
        <w:t xml:space="preserve">operated under </w:t>
      </w:r>
      <w:r w:rsidR="00EC3281" w:rsidRPr="00611696">
        <w:rPr>
          <w:rFonts w:asciiTheme="minorHAnsi" w:hAnsiTheme="minorHAnsi"/>
          <w:szCs w:val="22"/>
          <w:lang w:val="en-US"/>
        </w:rPr>
        <w:t xml:space="preserve">individual </w:t>
      </w:r>
      <w:r w:rsidR="00E17A51" w:rsidRPr="00611696">
        <w:rPr>
          <w:rFonts w:asciiTheme="minorHAnsi" w:hAnsiTheme="minorHAnsi"/>
          <w:szCs w:val="22"/>
          <w:lang w:val="en-US"/>
        </w:rPr>
        <w:t xml:space="preserve">Intellectual Property (IP) licensing agreements, </w:t>
      </w:r>
      <w:r w:rsidR="000C0C9C" w:rsidRPr="00611696">
        <w:rPr>
          <w:rFonts w:asciiTheme="minorHAnsi" w:hAnsiTheme="minorHAnsi"/>
          <w:szCs w:val="22"/>
          <w:lang w:val="en-US"/>
        </w:rPr>
        <w:t>entitling</w:t>
      </w:r>
      <w:r w:rsidR="00CA7BA6" w:rsidRPr="00611696">
        <w:rPr>
          <w:rFonts w:asciiTheme="minorHAnsi" w:hAnsiTheme="minorHAnsi"/>
          <w:szCs w:val="22"/>
          <w:lang w:val="en-US"/>
        </w:rPr>
        <w:t xml:space="preserve"> </w:t>
      </w:r>
      <w:r w:rsidR="00194498" w:rsidRPr="00611696">
        <w:rPr>
          <w:rFonts w:asciiTheme="minorHAnsi" w:hAnsiTheme="minorHAnsi"/>
          <w:szCs w:val="22"/>
          <w:lang w:val="en-US"/>
        </w:rPr>
        <w:t xml:space="preserve">them </w:t>
      </w:r>
      <w:r w:rsidR="00E17A51" w:rsidRPr="00611696">
        <w:rPr>
          <w:rFonts w:asciiTheme="minorHAnsi" w:hAnsiTheme="minorHAnsi"/>
          <w:szCs w:val="22"/>
          <w:lang w:val="en-US"/>
        </w:rPr>
        <w:t>to use the Chemist Warehouse brand</w:t>
      </w:r>
      <w:r w:rsidR="00E65366" w:rsidRPr="00611696">
        <w:rPr>
          <w:rFonts w:asciiTheme="minorHAnsi" w:hAnsiTheme="minorHAnsi"/>
          <w:szCs w:val="22"/>
          <w:lang w:val="en-US"/>
        </w:rPr>
        <w:t>.</w:t>
      </w:r>
      <w:r w:rsidR="00EC3281" w:rsidRPr="00611696">
        <w:rPr>
          <w:rStyle w:val="FootnoteReference"/>
          <w:rFonts w:asciiTheme="minorHAnsi" w:hAnsiTheme="minorHAnsi"/>
          <w:szCs w:val="22"/>
          <w:lang w:val="en-US"/>
        </w:rPr>
        <w:footnoteReference w:id="5"/>
      </w:r>
      <w:r w:rsidR="00E17A51" w:rsidRPr="00611696">
        <w:rPr>
          <w:rFonts w:asciiTheme="minorHAnsi" w:hAnsiTheme="minorHAnsi"/>
          <w:sz w:val="16"/>
          <w:szCs w:val="16"/>
        </w:rPr>
        <w:t xml:space="preserve"> </w:t>
      </w:r>
    </w:p>
    <w:p w14:paraId="4C50841C" w14:textId="54E04F8E" w:rsidR="00BB0700" w:rsidRPr="00611696" w:rsidRDefault="00CE5A84" w:rsidP="00E07224">
      <w:pPr>
        <w:widowControl w:val="0"/>
        <w:snapToGrid w:val="0"/>
        <w:jc w:val="left"/>
        <w:rPr>
          <w:rFonts w:asciiTheme="minorHAnsi" w:hAnsiTheme="minorHAnsi"/>
          <w:szCs w:val="22"/>
          <w:lang w:val="en-US"/>
        </w:rPr>
      </w:pPr>
      <w:r w:rsidRPr="00611696">
        <w:rPr>
          <w:rFonts w:asciiTheme="minorHAnsi" w:hAnsiTheme="minorHAnsi"/>
          <w:szCs w:val="22"/>
          <w:lang w:val="en-US"/>
        </w:rPr>
        <w:t>While the Inspectors’</w:t>
      </w:r>
      <w:r w:rsidR="00BB0700" w:rsidRPr="00611696">
        <w:rPr>
          <w:rFonts w:asciiTheme="minorHAnsi" w:hAnsiTheme="minorHAnsi"/>
          <w:szCs w:val="22"/>
          <w:lang w:val="en-US"/>
        </w:rPr>
        <w:t xml:space="preserve"> initial assessment was that the outlets complied with the requirements of the </w:t>
      </w:r>
      <w:r w:rsidR="00BB0700" w:rsidRPr="00611696">
        <w:rPr>
          <w:rFonts w:asciiTheme="minorHAnsi" w:hAnsiTheme="minorHAnsi"/>
          <w:i/>
          <w:szCs w:val="22"/>
          <w:lang w:val="en-US"/>
        </w:rPr>
        <w:t>Pharmacy Industry Award 2010</w:t>
      </w:r>
      <w:r w:rsidRPr="00611696">
        <w:rPr>
          <w:rFonts w:asciiTheme="minorHAnsi" w:hAnsiTheme="minorHAnsi"/>
          <w:i/>
          <w:szCs w:val="22"/>
          <w:lang w:val="en-US"/>
        </w:rPr>
        <w:t xml:space="preserve">, </w:t>
      </w:r>
      <w:r w:rsidRPr="00611696">
        <w:rPr>
          <w:rFonts w:asciiTheme="minorHAnsi" w:hAnsiTheme="minorHAnsi"/>
          <w:szCs w:val="22"/>
          <w:lang w:val="en-US"/>
        </w:rPr>
        <w:t>they</w:t>
      </w:r>
      <w:r w:rsidR="00EA6527" w:rsidRPr="00611696">
        <w:rPr>
          <w:rFonts w:asciiTheme="minorHAnsi" w:hAnsiTheme="minorHAnsi"/>
          <w:szCs w:val="22"/>
          <w:lang w:val="en-US"/>
        </w:rPr>
        <w:t xml:space="preserve"> </w:t>
      </w:r>
      <w:r w:rsidR="00BB0700" w:rsidRPr="00611696">
        <w:rPr>
          <w:rFonts w:asciiTheme="minorHAnsi" w:hAnsiTheme="minorHAnsi"/>
          <w:szCs w:val="22"/>
          <w:lang w:val="en-US"/>
        </w:rPr>
        <w:t xml:space="preserve">contacted employees to verify time and wages records. </w:t>
      </w:r>
      <w:r w:rsidR="00194498" w:rsidRPr="00611696">
        <w:rPr>
          <w:rFonts w:asciiTheme="minorHAnsi" w:hAnsiTheme="minorHAnsi"/>
          <w:szCs w:val="22"/>
          <w:lang w:val="en-US"/>
        </w:rPr>
        <w:t xml:space="preserve">Some </w:t>
      </w:r>
      <w:r w:rsidRPr="00611696">
        <w:rPr>
          <w:rFonts w:asciiTheme="minorHAnsi" w:hAnsiTheme="minorHAnsi"/>
          <w:szCs w:val="22"/>
          <w:lang w:val="en-US"/>
        </w:rPr>
        <w:t>e</w:t>
      </w:r>
      <w:r w:rsidR="00BB0700" w:rsidRPr="00611696">
        <w:rPr>
          <w:rFonts w:asciiTheme="minorHAnsi" w:hAnsiTheme="minorHAnsi"/>
          <w:szCs w:val="22"/>
          <w:lang w:val="en-US"/>
        </w:rPr>
        <w:t>mplo</w:t>
      </w:r>
      <w:r w:rsidRPr="00611696">
        <w:rPr>
          <w:rFonts w:asciiTheme="minorHAnsi" w:hAnsiTheme="minorHAnsi"/>
          <w:szCs w:val="22"/>
          <w:lang w:val="en-US"/>
        </w:rPr>
        <w:t>yees express</w:t>
      </w:r>
      <w:r w:rsidR="00194498" w:rsidRPr="00611696">
        <w:rPr>
          <w:rFonts w:asciiTheme="minorHAnsi" w:hAnsiTheme="minorHAnsi"/>
          <w:szCs w:val="22"/>
          <w:lang w:val="en-US"/>
        </w:rPr>
        <w:t>ed</w:t>
      </w:r>
      <w:r w:rsidRPr="00611696">
        <w:rPr>
          <w:rFonts w:asciiTheme="minorHAnsi" w:hAnsiTheme="minorHAnsi"/>
          <w:szCs w:val="22"/>
          <w:lang w:val="en-US"/>
        </w:rPr>
        <w:t xml:space="preserve"> </w:t>
      </w:r>
      <w:r w:rsidR="00BB0700" w:rsidRPr="00611696">
        <w:rPr>
          <w:rFonts w:asciiTheme="minorHAnsi" w:hAnsiTheme="minorHAnsi"/>
          <w:szCs w:val="22"/>
          <w:lang w:val="en-US"/>
        </w:rPr>
        <w:t>concern about non-payment of training undertaken outside of work hours</w:t>
      </w:r>
      <w:r w:rsidRPr="00611696">
        <w:rPr>
          <w:rFonts w:asciiTheme="minorHAnsi" w:hAnsiTheme="minorHAnsi"/>
          <w:szCs w:val="22"/>
          <w:lang w:val="en-US"/>
        </w:rPr>
        <w:t xml:space="preserve">, </w:t>
      </w:r>
      <w:r w:rsidR="00194498" w:rsidRPr="00611696">
        <w:rPr>
          <w:rFonts w:asciiTheme="minorHAnsi" w:hAnsiTheme="minorHAnsi"/>
          <w:szCs w:val="22"/>
          <w:lang w:val="en-US"/>
        </w:rPr>
        <w:t xml:space="preserve">so </w:t>
      </w:r>
      <w:r w:rsidRPr="00611696">
        <w:rPr>
          <w:rFonts w:asciiTheme="minorHAnsi" w:hAnsiTheme="minorHAnsi"/>
          <w:szCs w:val="22"/>
          <w:lang w:val="en-US"/>
        </w:rPr>
        <w:t>t</w:t>
      </w:r>
      <w:r w:rsidR="00BB0700" w:rsidRPr="00611696">
        <w:rPr>
          <w:rFonts w:asciiTheme="minorHAnsi" w:hAnsiTheme="minorHAnsi"/>
        </w:rPr>
        <w:t xml:space="preserve">he FWO requested Chemist Warehouse review </w:t>
      </w:r>
      <w:r w:rsidR="00D6553D" w:rsidRPr="00611696">
        <w:rPr>
          <w:rFonts w:asciiTheme="minorHAnsi" w:hAnsiTheme="minorHAnsi"/>
        </w:rPr>
        <w:t>its online training arrangements.</w:t>
      </w:r>
    </w:p>
    <w:p w14:paraId="73A16025" w14:textId="2EFD904A" w:rsidR="00457DCE" w:rsidRPr="00611696" w:rsidRDefault="00BB0700" w:rsidP="00E07224">
      <w:pPr>
        <w:widowControl w:val="0"/>
        <w:snapToGrid w:val="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company confirmed that </w:t>
      </w:r>
      <w:r w:rsidR="00791A4A" w:rsidRPr="00611696">
        <w:rPr>
          <w:rFonts w:asciiTheme="minorHAnsi" w:hAnsiTheme="minorHAnsi"/>
        </w:rPr>
        <w:t xml:space="preserve">all staff </w:t>
      </w:r>
      <w:r w:rsidR="00194498" w:rsidRPr="00611696">
        <w:rPr>
          <w:rFonts w:asciiTheme="minorHAnsi" w:hAnsiTheme="minorHAnsi"/>
        </w:rPr>
        <w:t xml:space="preserve">were required </w:t>
      </w:r>
      <w:r w:rsidRPr="00611696">
        <w:rPr>
          <w:rFonts w:asciiTheme="minorHAnsi" w:hAnsiTheme="minorHAnsi"/>
        </w:rPr>
        <w:t xml:space="preserve">to complete online training </w:t>
      </w:r>
      <w:r w:rsidR="00194498" w:rsidRPr="00611696">
        <w:rPr>
          <w:rFonts w:asciiTheme="minorHAnsi" w:hAnsiTheme="minorHAnsi"/>
        </w:rPr>
        <w:t xml:space="preserve">through </w:t>
      </w:r>
      <w:r w:rsidR="006367C1" w:rsidRPr="00611696">
        <w:rPr>
          <w:rFonts w:asciiTheme="minorHAnsi" w:hAnsiTheme="minorHAnsi"/>
        </w:rPr>
        <w:t>registered training organi</w:t>
      </w:r>
      <w:r w:rsidR="00E65366" w:rsidRPr="00611696">
        <w:rPr>
          <w:rFonts w:asciiTheme="minorHAnsi" w:hAnsiTheme="minorHAnsi"/>
        </w:rPr>
        <w:t>s</w:t>
      </w:r>
      <w:r w:rsidR="006367C1" w:rsidRPr="00611696">
        <w:rPr>
          <w:rFonts w:asciiTheme="minorHAnsi" w:hAnsiTheme="minorHAnsi"/>
        </w:rPr>
        <w:t>ation</w:t>
      </w:r>
      <w:r w:rsidR="000C0C9C" w:rsidRPr="00611696">
        <w:rPr>
          <w:rFonts w:asciiTheme="minorHAnsi" w:hAnsiTheme="minorHAnsi"/>
        </w:rPr>
        <w:t xml:space="preserve"> </w:t>
      </w:r>
      <w:r w:rsidR="006367C1" w:rsidRPr="00611696">
        <w:rPr>
          <w:rFonts w:asciiTheme="minorHAnsi" w:hAnsiTheme="minorHAnsi"/>
        </w:rPr>
        <w:t>Healthcare Training Australia Pty Ltd</w:t>
      </w:r>
      <w:r w:rsidR="00E65366" w:rsidRPr="00611696">
        <w:rPr>
          <w:rFonts w:asciiTheme="minorHAnsi" w:hAnsiTheme="minorHAnsi"/>
        </w:rPr>
        <w:t>.</w:t>
      </w:r>
      <w:r w:rsidR="006367C1" w:rsidRPr="00611696">
        <w:rPr>
          <w:rStyle w:val="FootnoteReference"/>
          <w:rFonts w:asciiTheme="minorHAnsi" w:hAnsiTheme="minorHAnsi"/>
        </w:rPr>
        <w:footnoteReference w:id="6"/>
      </w:r>
      <w:r w:rsidRPr="00611696">
        <w:rPr>
          <w:rFonts w:asciiTheme="minorHAnsi" w:hAnsiTheme="minorHAnsi"/>
        </w:rPr>
        <w:t xml:space="preserve"> In </w:t>
      </w:r>
      <w:r w:rsidR="00791A4A" w:rsidRPr="00611696">
        <w:rPr>
          <w:rFonts w:asciiTheme="minorHAnsi" w:hAnsiTheme="minorHAnsi"/>
        </w:rPr>
        <w:t>newsletters circulated in</w:t>
      </w:r>
      <w:r w:rsidRPr="00611696">
        <w:rPr>
          <w:rFonts w:asciiTheme="minorHAnsi" w:hAnsiTheme="minorHAnsi"/>
        </w:rPr>
        <w:t xml:space="preserve"> 2015 and 2016, it advised </w:t>
      </w:r>
      <w:r w:rsidR="00791A4A" w:rsidRPr="00611696">
        <w:rPr>
          <w:rFonts w:asciiTheme="minorHAnsi" w:hAnsiTheme="minorHAnsi"/>
        </w:rPr>
        <w:t xml:space="preserve">all outlets that </w:t>
      </w:r>
      <w:r w:rsidRPr="00611696">
        <w:rPr>
          <w:rFonts w:asciiTheme="minorHAnsi" w:hAnsiTheme="minorHAnsi"/>
        </w:rPr>
        <w:t>staff were to undertake training</w:t>
      </w:r>
      <w:r w:rsidR="00791A4A" w:rsidRPr="00611696">
        <w:rPr>
          <w:rFonts w:asciiTheme="minorHAnsi" w:hAnsiTheme="minorHAnsi"/>
        </w:rPr>
        <w:t xml:space="preserve"> within </w:t>
      </w:r>
      <w:r w:rsidRPr="00611696">
        <w:rPr>
          <w:rFonts w:asciiTheme="minorHAnsi" w:hAnsiTheme="minorHAnsi"/>
        </w:rPr>
        <w:t xml:space="preserve">rostered hours </w:t>
      </w:r>
      <w:r w:rsidR="00194498" w:rsidRPr="00611696">
        <w:rPr>
          <w:rFonts w:asciiTheme="minorHAnsi" w:hAnsiTheme="minorHAnsi"/>
        </w:rPr>
        <w:t>wherever possible</w:t>
      </w:r>
      <w:r w:rsidR="00791A4A" w:rsidRPr="00611696">
        <w:rPr>
          <w:rFonts w:asciiTheme="minorHAnsi" w:hAnsiTheme="minorHAnsi"/>
        </w:rPr>
        <w:t>, and</w:t>
      </w:r>
      <w:r w:rsidR="00B13DD3" w:rsidRPr="00611696">
        <w:rPr>
          <w:rFonts w:asciiTheme="minorHAnsi" w:hAnsiTheme="minorHAnsi"/>
        </w:rPr>
        <w:t xml:space="preserve"> were to be</w:t>
      </w:r>
      <w:r w:rsidR="00791A4A" w:rsidRPr="00611696">
        <w:rPr>
          <w:rFonts w:asciiTheme="minorHAnsi" w:hAnsiTheme="minorHAnsi"/>
        </w:rPr>
        <w:t xml:space="preserve"> paid for time spent completing </w:t>
      </w:r>
      <w:r w:rsidR="00D765C6" w:rsidRPr="00611696">
        <w:rPr>
          <w:rFonts w:asciiTheme="minorHAnsi" w:hAnsiTheme="minorHAnsi"/>
        </w:rPr>
        <w:t xml:space="preserve">the </w:t>
      </w:r>
      <w:r w:rsidR="00791A4A" w:rsidRPr="00611696">
        <w:rPr>
          <w:rFonts w:asciiTheme="minorHAnsi" w:hAnsiTheme="minorHAnsi"/>
        </w:rPr>
        <w:t>online training modules.</w:t>
      </w:r>
      <w:r w:rsidRPr="00611696">
        <w:rPr>
          <w:rFonts w:asciiTheme="minorHAnsi" w:hAnsiTheme="minorHAnsi"/>
        </w:rPr>
        <w:t xml:space="preserve"> However, the company conceded </w:t>
      </w:r>
      <w:r w:rsidR="009E3862" w:rsidRPr="00611696">
        <w:rPr>
          <w:rFonts w:asciiTheme="minorHAnsi" w:hAnsiTheme="minorHAnsi"/>
        </w:rPr>
        <w:t>th</w:t>
      </w:r>
      <w:r w:rsidR="00C30739" w:rsidRPr="00611696">
        <w:rPr>
          <w:rFonts w:asciiTheme="minorHAnsi" w:hAnsiTheme="minorHAnsi"/>
        </w:rPr>
        <w:t>at</w:t>
      </w:r>
      <w:r w:rsidR="009E3862" w:rsidRPr="00611696">
        <w:rPr>
          <w:rFonts w:asciiTheme="minorHAnsi" w:hAnsiTheme="minorHAnsi"/>
        </w:rPr>
        <w:t xml:space="preserve"> </w:t>
      </w:r>
      <w:r w:rsidR="00D765C6" w:rsidRPr="00611696">
        <w:rPr>
          <w:rFonts w:asciiTheme="minorHAnsi" w:hAnsiTheme="minorHAnsi"/>
        </w:rPr>
        <w:t xml:space="preserve">contrary to its </w:t>
      </w:r>
      <w:r w:rsidR="009E3862" w:rsidRPr="00611696">
        <w:rPr>
          <w:rFonts w:asciiTheme="minorHAnsi" w:hAnsiTheme="minorHAnsi"/>
        </w:rPr>
        <w:t xml:space="preserve">advice, </w:t>
      </w:r>
      <w:r w:rsidR="00C30739" w:rsidRPr="00611696">
        <w:rPr>
          <w:rFonts w:asciiTheme="minorHAnsi" w:hAnsiTheme="minorHAnsi"/>
        </w:rPr>
        <w:t>outlet staff</w:t>
      </w:r>
      <w:r w:rsidR="009E3862" w:rsidRPr="00611696">
        <w:rPr>
          <w:rFonts w:asciiTheme="minorHAnsi" w:hAnsiTheme="minorHAnsi"/>
        </w:rPr>
        <w:t xml:space="preserve"> may have completed training outside of rostered work hours, and </w:t>
      </w:r>
      <w:r w:rsidR="00C30739" w:rsidRPr="00611696">
        <w:rPr>
          <w:rFonts w:asciiTheme="minorHAnsi" w:hAnsiTheme="minorHAnsi"/>
        </w:rPr>
        <w:t xml:space="preserve">may </w:t>
      </w:r>
      <w:r w:rsidR="009E3862" w:rsidRPr="00611696">
        <w:rPr>
          <w:rFonts w:asciiTheme="minorHAnsi" w:hAnsiTheme="minorHAnsi"/>
        </w:rPr>
        <w:t xml:space="preserve">not </w:t>
      </w:r>
      <w:r w:rsidR="00C30739" w:rsidRPr="00611696">
        <w:rPr>
          <w:rFonts w:asciiTheme="minorHAnsi" w:hAnsiTheme="minorHAnsi"/>
        </w:rPr>
        <w:t xml:space="preserve">have </w:t>
      </w:r>
      <w:r w:rsidR="009E3862" w:rsidRPr="00611696">
        <w:rPr>
          <w:rFonts w:asciiTheme="minorHAnsi" w:hAnsiTheme="minorHAnsi"/>
        </w:rPr>
        <w:t xml:space="preserve">been paid </w:t>
      </w:r>
      <w:r w:rsidR="001207C5" w:rsidRPr="00611696">
        <w:rPr>
          <w:rFonts w:asciiTheme="minorHAnsi" w:hAnsiTheme="minorHAnsi"/>
        </w:rPr>
        <w:t>for</w:t>
      </w:r>
      <w:r w:rsidR="009E3862" w:rsidRPr="00611696">
        <w:rPr>
          <w:rFonts w:asciiTheme="minorHAnsi" w:hAnsiTheme="minorHAnsi"/>
        </w:rPr>
        <w:t xml:space="preserve"> </w:t>
      </w:r>
      <w:r w:rsidR="00B13DD3" w:rsidRPr="00611696">
        <w:rPr>
          <w:rFonts w:asciiTheme="minorHAnsi" w:hAnsiTheme="minorHAnsi"/>
        </w:rPr>
        <w:t xml:space="preserve">training time. </w:t>
      </w:r>
      <w:r w:rsidR="002C68D3" w:rsidRPr="00611696">
        <w:rPr>
          <w:rFonts w:asciiTheme="minorHAnsi" w:hAnsiTheme="minorHAnsi"/>
        </w:rPr>
        <w:t xml:space="preserve"> </w:t>
      </w:r>
    </w:p>
    <w:p w14:paraId="50DD62D2" w14:textId="26B2BE31" w:rsidR="00BB0700" w:rsidRPr="00611696" w:rsidRDefault="00BB0700" w:rsidP="00023A18">
      <w:pPr>
        <w:widowControl w:val="0"/>
        <w:snapToGrid w:val="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lastRenderedPageBreak/>
        <w:t xml:space="preserve">Chemist Warehouse </w:t>
      </w:r>
      <w:r w:rsidR="00495269" w:rsidRPr="00611696">
        <w:rPr>
          <w:rFonts w:asciiTheme="minorHAnsi" w:hAnsiTheme="minorHAnsi"/>
        </w:rPr>
        <w:t>reviewed the</w:t>
      </w:r>
      <w:r w:rsidR="000C0C9C" w:rsidRPr="00611696">
        <w:rPr>
          <w:rFonts w:asciiTheme="minorHAnsi" w:hAnsiTheme="minorHAnsi"/>
        </w:rPr>
        <w:t xml:space="preserve"> training log-on times for </w:t>
      </w:r>
      <w:r w:rsidR="00495269" w:rsidRPr="00611696">
        <w:rPr>
          <w:rFonts w:asciiTheme="minorHAnsi" w:hAnsiTheme="minorHAnsi"/>
        </w:rPr>
        <w:t xml:space="preserve">all employees engaged </w:t>
      </w:r>
      <w:r w:rsidR="000C0C9C" w:rsidRPr="00611696">
        <w:rPr>
          <w:rFonts w:asciiTheme="minorHAnsi" w:hAnsiTheme="minorHAnsi"/>
        </w:rPr>
        <w:t>by</w:t>
      </w:r>
      <w:r w:rsidR="00495269" w:rsidRPr="00611696">
        <w:rPr>
          <w:rFonts w:asciiTheme="minorHAnsi" w:hAnsiTheme="minorHAnsi"/>
        </w:rPr>
        <w:t xml:space="preserve"> all outlets </w:t>
      </w:r>
      <w:r w:rsidR="000C0C9C" w:rsidRPr="00611696">
        <w:rPr>
          <w:rFonts w:asciiTheme="minorHAnsi" w:hAnsiTheme="minorHAnsi"/>
        </w:rPr>
        <w:t>in its network</w:t>
      </w:r>
      <w:r w:rsidR="00495269" w:rsidRPr="00611696">
        <w:rPr>
          <w:rFonts w:asciiTheme="minorHAnsi" w:hAnsiTheme="minorHAnsi"/>
        </w:rPr>
        <w:t xml:space="preserve">. It </w:t>
      </w:r>
      <w:r w:rsidR="000254E5" w:rsidRPr="00611696">
        <w:rPr>
          <w:rFonts w:asciiTheme="minorHAnsi" w:hAnsiTheme="minorHAnsi"/>
        </w:rPr>
        <w:t xml:space="preserve">found </w:t>
      </w:r>
      <w:r w:rsidR="009E3862" w:rsidRPr="00611696">
        <w:rPr>
          <w:rFonts w:asciiTheme="minorHAnsi" w:hAnsiTheme="minorHAnsi"/>
        </w:rPr>
        <w:t>significant evidence of after-hours log</w:t>
      </w:r>
      <w:r w:rsidR="000C0C9C" w:rsidRPr="00611696">
        <w:rPr>
          <w:rFonts w:asciiTheme="minorHAnsi" w:hAnsiTheme="minorHAnsi"/>
        </w:rPr>
        <w:t>-</w:t>
      </w:r>
      <w:r w:rsidR="009E3862" w:rsidRPr="00611696">
        <w:rPr>
          <w:rFonts w:asciiTheme="minorHAnsi" w:hAnsiTheme="minorHAnsi"/>
        </w:rPr>
        <w:t>on time</w:t>
      </w:r>
      <w:r w:rsidR="00D6553D" w:rsidRPr="00611696">
        <w:rPr>
          <w:rFonts w:asciiTheme="minorHAnsi" w:hAnsiTheme="minorHAnsi"/>
        </w:rPr>
        <w:t>s</w:t>
      </w:r>
      <w:r w:rsidR="009E3862" w:rsidRPr="00611696">
        <w:rPr>
          <w:rFonts w:asciiTheme="minorHAnsi" w:hAnsiTheme="minorHAnsi"/>
        </w:rPr>
        <w:t xml:space="preserve"> and</w:t>
      </w:r>
      <w:r w:rsidRPr="00611696">
        <w:rPr>
          <w:rFonts w:asciiTheme="minorHAnsi" w:hAnsiTheme="minorHAnsi"/>
        </w:rPr>
        <w:t xml:space="preserve"> determined that 5</w:t>
      </w:r>
      <w:r w:rsidR="00CE5A84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 xml:space="preserve">976 employees </w:t>
      </w:r>
      <w:r w:rsidR="00CE5A84" w:rsidRPr="00611696">
        <w:rPr>
          <w:rFonts w:asciiTheme="minorHAnsi" w:hAnsiTheme="minorHAnsi"/>
        </w:rPr>
        <w:t>had been</w:t>
      </w:r>
      <w:r w:rsidR="00053E4A" w:rsidRPr="00611696">
        <w:rPr>
          <w:rFonts w:asciiTheme="minorHAnsi" w:hAnsiTheme="minorHAnsi"/>
        </w:rPr>
        <w:t xml:space="preserve"> </w:t>
      </w:r>
      <w:r w:rsidR="00CE5A84" w:rsidRPr="00611696">
        <w:rPr>
          <w:rFonts w:asciiTheme="minorHAnsi" w:hAnsiTheme="minorHAnsi"/>
        </w:rPr>
        <w:t xml:space="preserve">underpaid a </w:t>
      </w:r>
      <w:r w:rsidRPr="00611696">
        <w:rPr>
          <w:rFonts w:asciiTheme="minorHAnsi" w:hAnsiTheme="minorHAnsi"/>
        </w:rPr>
        <w:t>total of $3 569 212. Chemist W</w:t>
      </w:r>
      <w:r w:rsidR="00CE5A84" w:rsidRPr="00611696">
        <w:rPr>
          <w:rFonts w:asciiTheme="minorHAnsi" w:hAnsiTheme="minorHAnsi"/>
        </w:rPr>
        <w:t xml:space="preserve">arehouse </w:t>
      </w:r>
      <w:r w:rsidR="00B13DD3" w:rsidRPr="00611696">
        <w:rPr>
          <w:rFonts w:asciiTheme="minorHAnsi" w:hAnsiTheme="minorHAnsi"/>
        </w:rPr>
        <w:t xml:space="preserve">wrote </w:t>
      </w:r>
      <w:r w:rsidRPr="00611696">
        <w:rPr>
          <w:rFonts w:asciiTheme="minorHAnsi" w:hAnsiTheme="minorHAnsi"/>
        </w:rPr>
        <w:t xml:space="preserve">to all affected employees to explain </w:t>
      </w:r>
      <w:r w:rsidR="00AF210E" w:rsidRPr="00611696">
        <w:rPr>
          <w:rFonts w:asciiTheme="minorHAnsi" w:hAnsiTheme="minorHAnsi"/>
        </w:rPr>
        <w:t xml:space="preserve">the issue </w:t>
      </w:r>
      <w:r w:rsidR="00053E4A" w:rsidRPr="00611696">
        <w:rPr>
          <w:rFonts w:asciiTheme="minorHAnsi" w:hAnsiTheme="minorHAnsi"/>
        </w:rPr>
        <w:t xml:space="preserve">and </w:t>
      </w:r>
      <w:r w:rsidR="00B13DD3" w:rsidRPr="00611696">
        <w:rPr>
          <w:rFonts w:asciiTheme="minorHAnsi" w:hAnsiTheme="minorHAnsi"/>
        </w:rPr>
        <w:t xml:space="preserve">to provide </w:t>
      </w:r>
      <w:r w:rsidRPr="00611696">
        <w:rPr>
          <w:rFonts w:asciiTheme="minorHAnsi" w:hAnsiTheme="minorHAnsi"/>
        </w:rPr>
        <w:t xml:space="preserve">contact details for further </w:t>
      </w:r>
      <w:r w:rsidR="00053E4A" w:rsidRPr="00611696">
        <w:rPr>
          <w:rFonts w:asciiTheme="minorHAnsi" w:hAnsiTheme="minorHAnsi"/>
        </w:rPr>
        <w:t>e</w:t>
      </w:r>
      <w:r w:rsidRPr="00611696">
        <w:rPr>
          <w:rFonts w:asciiTheme="minorHAnsi" w:hAnsiTheme="minorHAnsi"/>
        </w:rPr>
        <w:t>nquiries.</w:t>
      </w:r>
      <w:r w:rsidR="00B13DD3" w:rsidRPr="00611696">
        <w:rPr>
          <w:rFonts w:asciiTheme="minorHAnsi" w:hAnsiTheme="minorHAnsi"/>
        </w:rPr>
        <w:t xml:space="preserve"> AM </w:t>
      </w:r>
      <w:r w:rsidR="001207C5" w:rsidRPr="00611696">
        <w:rPr>
          <w:rFonts w:asciiTheme="minorHAnsi" w:hAnsiTheme="minorHAnsi"/>
        </w:rPr>
        <w:t>S</w:t>
      </w:r>
      <w:r w:rsidR="00B13DD3" w:rsidRPr="00611696">
        <w:rPr>
          <w:rFonts w:asciiTheme="minorHAnsi" w:hAnsiTheme="minorHAnsi"/>
        </w:rPr>
        <w:t>olutions</w:t>
      </w:r>
      <w:r w:rsidR="007E2099" w:rsidRPr="00611696">
        <w:rPr>
          <w:rStyle w:val="FootnoteReference"/>
          <w:rFonts w:asciiTheme="minorHAnsi" w:hAnsiTheme="minorHAnsi"/>
        </w:rPr>
        <w:footnoteReference w:id="7"/>
      </w:r>
      <w:r w:rsidR="00B13DD3" w:rsidRPr="00611696">
        <w:rPr>
          <w:rFonts w:asciiTheme="minorHAnsi" w:hAnsiTheme="minorHAnsi"/>
        </w:rPr>
        <w:t xml:space="preserve"> back </w:t>
      </w:r>
      <w:r w:rsidR="00194498" w:rsidRPr="00611696">
        <w:rPr>
          <w:rFonts w:asciiTheme="minorHAnsi" w:hAnsiTheme="minorHAnsi"/>
        </w:rPr>
        <w:t xml:space="preserve">paid the employees on behalf of the stores </w:t>
      </w:r>
      <w:r w:rsidR="00B13DD3" w:rsidRPr="00611696">
        <w:rPr>
          <w:rFonts w:asciiTheme="minorHAnsi" w:hAnsiTheme="minorHAnsi"/>
        </w:rPr>
        <w:t xml:space="preserve">as </w:t>
      </w:r>
      <w:r w:rsidR="007C1B7C" w:rsidRPr="00611696">
        <w:rPr>
          <w:rFonts w:asciiTheme="minorHAnsi" w:hAnsiTheme="minorHAnsi"/>
        </w:rPr>
        <w:t>part of normal payroll practices</w:t>
      </w:r>
      <w:r w:rsidR="00194498" w:rsidRPr="00611696">
        <w:rPr>
          <w:rFonts w:asciiTheme="minorHAnsi" w:hAnsiTheme="minorHAnsi"/>
        </w:rPr>
        <w:t>,</w:t>
      </w:r>
      <w:r w:rsidR="007C1B7C" w:rsidRPr="00611696">
        <w:rPr>
          <w:rFonts w:asciiTheme="minorHAnsi" w:hAnsiTheme="minorHAnsi"/>
        </w:rPr>
        <w:t xml:space="preserve"> and invoiced </w:t>
      </w:r>
      <w:r w:rsidR="00045BE8" w:rsidRPr="00611696">
        <w:rPr>
          <w:rFonts w:asciiTheme="minorHAnsi" w:hAnsiTheme="minorHAnsi"/>
        </w:rPr>
        <w:t xml:space="preserve">network </w:t>
      </w:r>
      <w:r w:rsidR="007C1B7C" w:rsidRPr="00611696">
        <w:rPr>
          <w:rFonts w:asciiTheme="minorHAnsi" w:hAnsiTheme="minorHAnsi"/>
        </w:rPr>
        <w:t>outlets.</w:t>
      </w:r>
    </w:p>
    <w:p w14:paraId="57C9726D" w14:textId="5FEC4D22" w:rsidR="00A35098" w:rsidRPr="00611696" w:rsidRDefault="00B65C4F" w:rsidP="00130072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As the Chemist Warehouse </w:t>
      </w:r>
      <w:r w:rsidR="00B07424" w:rsidRPr="00611696">
        <w:rPr>
          <w:rFonts w:asciiTheme="minorHAnsi" w:hAnsiTheme="minorHAnsi"/>
        </w:rPr>
        <w:t>ne</w:t>
      </w:r>
      <w:r w:rsidR="001207C5" w:rsidRPr="00611696">
        <w:rPr>
          <w:rFonts w:asciiTheme="minorHAnsi" w:hAnsiTheme="minorHAnsi"/>
        </w:rPr>
        <w:t>twork was comprised of individually owned and licensed stores</w:t>
      </w:r>
      <w:r w:rsidR="001B6885" w:rsidRPr="00611696">
        <w:rPr>
          <w:rFonts w:asciiTheme="minorHAnsi" w:hAnsiTheme="minorHAnsi"/>
        </w:rPr>
        <w:t>, the</w:t>
      </w:r>
      <w:r w:rsidR="001207C5" w:rsidRPr="00611696">
        <w:rPr>
          <w:rFonts w:asciiTheme="minorHAnsi" w:hAnsiTheme="minorHAnsi"/>
        </w:rPr>
        <w:t xml:space="preserve"> FWO found no evidence of deliberate non-compliance on the part of CW Retail Services Pty Ltd.</w:t>
      </w:r>
      <w:r w:rsidR="001B6885" w:rsidRPr="00611696">
        <w:rPr>
          <w:rStyle w:val="FootnoteReference"/>
          <w:rFonts w:asciiTheme="minorHAnsi" w:hAnsiTheme="minorHAnsi"/>
        </w:rPr>
        <w:footnoteReference w:id="8"/>
      </w:r>
      <w:r w:rsidR="001207C5" w:rsidRPr="00611696">
        <w:rPr>
          <w:rFonts w:asciiTheme="minorHAnsi" w:hAnsiTheme="minorHAnsi"/>
        </w:rPr>
        <w:t xml:space="preserve"> However, </w:t>
      </w:r>
      <w:r w:rsidR="00B07424" w:rsidRPr="00611696">
        <w:rPr>
          <w:rFonts w:asciiTheme="minorHAnsi" w:hAnsiTheme="minorHAnsi"/>
        </w:rPr>
        <w:t>the widespread nature of the non-compliance demonstrated the need</w:t>
      </w:r>
      <w:r w:rsidR="00A35098" w:rsidRPr="00611696">
        <w:rPr>
          <w:rFonts w:asciiTheme="minorHAnsi" w:hAnsiTheme="minorHAnsi"/>
        </w:rPr>
        <w:t xml:space="preserve"> </w:t>
      </w:r>
      <w:r w:rsidR="008F5912" w:rsidRPr="00611696">
        <w:rPr>
          <w:rFonts w:asciiTheme="minorHAnsi" w:hAnsiTheme="minorHAnsi"/>
        </w:rPr>
        <w:t xml:space="preserve">to </w:t>
      </w:r>
      <w:r w:rsidR="00A35098" w:rsidRPr="00611696">
        <w:rPr>
          <w:rFonts w:asciiTheme="minorHAnsi" w:hAnsiTheme="minorHAnsi"/>
        </w:rPr>
        <w:t>improve</w:t>
      </w:r>
      <w:r w:rsidR="008F5912" w:rsidRPr="00611696">
        <w:rPr>
          <w:rFonts w:asciiTheme="minorHAnsi" w:hAnsiTheme="minorHAnsi"/>
        </w:rPr>
        <w:t xml:space="preserve"> compliance monitoring systems and processes. </w:t>
      </w:r>
    </w:p>
    <w:p w14:paraId="1DAE46B4" w14:textId="0561C439" w:rsidR="00BB0700" w:rsidRPr="00611696" w:rsidRDefault="00A35098" w:rsidP="000C0C9C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</w:rPr>
        <w:t xml:space="preserve">The company </w:t>
      </w:r>
      <w:r w:rsidR="00D765C6" w:rsidRPr="00611696">
        <w:rPr>
          <w:rFonts w:asciiTheme="minorHAnsi" w:hAnsiTheme="minorHAnsi"/>
        </w:rPr>
        <w:t xml:space="preserve">was </w:t>
      </w:r>
      <w:r w:rsidR="00BB0700" w:rsidRPr="00611696">
        <w:rPr>
          <w:rFonts w:asciiTheme="minorHAnsi" w:hAnsiTheme="minorHAnsi"/>
        </w:rPr>
        <w:t>willing t</w:t>
      </w:r>
      <w:r w:rsidR="008F5912" w:rsidRPr="00611696">
        <w:rPr>
          <w:rFonts w:asciiTheme="minorHAnsi" w:hAnsiTheme="minorHAnsi"/>
        </w:rPr>
        <w:t xml:space="preserve">o </w:t>
      </w:r>
      <w:r w:rsidR="00BB0700" w:rsidRPr="00611696">
        <w:rPr>
          <w:rFonts w:asciiTheme="minorHAnsi" w:hAnsiTheme="minorHAnsi"/>
        </w:rPr>
        <w:t xml:space="preserve">work with </w:t>
      </w:r>
      <w:r w:rsidR="00053E4A" w:rsidRPr="00611696">
        <w:rPr>
          <w:rFonts w:asciiTheme="minorHAnsi" w:hAnsiTheme="minorHAnsi"/>
        </w:rPr>
        <w:t xml:space="preserve">the </w:t>
      </w:r>
      <w:r w:rsidR="00BB0700" w:rsidRPr="00611696">
        <w:rPr>
          <w:rFonts w:asciiTheme="minorHAnsi" w:hAnsiTheme="minorHAnsi"/>
        </w:rPr>
        <w:t>FWO</w:t>
      </w:r>
      <w:r w:rsidRPr="00611696">
        <w:rPr>
          <w:rFonts w:asciiTheme="minorHAnsi" w:hAnsiTheme="minorHAnsi"/>
        </w:rPr>
        <w:t xml:space="preserve"> </w:t>
      </w:r>
      <w:r w:rsidR="00BB0700" w:rsidRPr="00611696">
        <w:rPr>
          <w:rFonts w:asciiTheme="minorHAnsi" w:hAnsiTheme="minorHAnsi"/>
        </w:rPr>
        <w:t xml:space="preserve">to </w:t>
      </w:r>
      <w:r w:rsidR="00130072" w:rsidRPr="00611696">
        <w:rPr>
          <w:rFonts w:asciiTheme="minorHAnsi" w:hAnsiTheme="minorHAnsi"/>
        </w:rPr>
        <w:t>achieve sustained compliance with Australian workplace laws.</w:t>
      </w:r>
      <w:r w:rsidR="00BB0700" w:rsidRPr="00611696">
        <w:rPr>
          <w:rFonts w:asciiTheme="minorHAnsi" w:hAnsiTheme="minorHAnsi"/>
        </w:rPr>
        <w:t xml:space="preserve"> </w:t>
      </w:r>
      <w:r w:rsidR="00130072" w:rsidRPr="00611696">
        <w:rPr>
          <w:rFonts w:asciiTheme="minorHAnsi" w:hAnsiTheme="minorHAnsi"/>
        </w:rPr>
        <w:t>T</w:t>
      </w:r>
      <w:r w:rsidR="008F5912" w:rsidRPr="00611696">
        <w:rPr>
          <w:rFonts w:asciiTheme="minorHAnsi" w:hAnsiTheme="minorHAnsi"/>
        </w:rPr>
        <w:t>he</w:t>
      </w:r>
      <w:r w:rsidR="00B65C4F" w:rsidRPr="00611696">
        <w:rPr>
          <w:rFonts w:asciiTheme="minorHAnsi" w:hAnsiTheme="minorHAnsi"/>
        </w:rPr>
        <w:t xml:space="preserve"> FWO </w:t>
      </w:r>
      <w:r w:rsidR="00BB0700" w:rsidRPr="00611696">
        <w:rPr>
          <w:rFonts w:asciiTheme="minorHAnsi" w:hAnsiTheme="minorHAnsi"/>
        </w:rPr>
        <w:t xml:space="preserve">offered </w:t>
      </w:r>
      <w:r w:rsidR="008F5912" w:rsidRPr="00611696">
        <w:rPr>
          <w:rFonts w:asciiTheme="minorHAnsi" w:hAnsiTheme="minorHAnsi"/>
        </w:rPr>
        <w:t xml:space="preserve">the </w:t>
      </w:r>
      <w:r w:rsidR="00BB0700" w:rsidRPr="00611696">
        <w:rPr>
          <w:rFonts w:asciiTheme="minorHAnsi" w:hAnsiTheme="minorHAnsi"/>
        </w:rPr>
        <w:t xml:space="preserve">opportunity to </w:t>
      </w:r>
      <w:r w:rsidR="00D765C6" w:rsidRPr="00611696">
        <w:rPr>
          <w:rFonts w:asciiTheme="minorHAnsi" w:hAnsiTheme="minorHAnsi"/>
        </w:rPr>
        <w:t xml:space="preserve">do so </w:t>
      </w:r>
      <w:r w:rsidR="00130072" w:rsidRPr="00611696">
        <w:rPr>
          <w:rFonts w:asciiTheme="minorHAnsi" w:hAnsiTheme="minorHAnsi"/>
        </w:rPr>
        <w:t xml:space="preserve">by entering into </w:t>
      </w:r>
      <w:r w:rsidR="00BB0700" w:rsidRPr="00611696">
        <w:rPr>
          <w:rFonts w:asciiTheme="minorHAnsi" w:hAnsiTheme="minorHAnsi"/>
        </w:rPr>
        <w:t>a compliance partnership</w:t>
      </w:r>
      <w:r w:rsidR="00130072" w:rsidRPr="00611696">
        <w:rPr>
          <w:rFonts w:asciiTheme="minorHAnsi" w:hAnsiTheme="minorHAnsi"/>
        </w:rPr>
        <w:t xml:space="preserve">. The three-year partnership </w:t>
      </w:r>
      <w:r w:rsidR="00BB0700" w:rsidRPr="00611696">
        <w:rPr>
          <w:rFonts w:asciiTheme="minorHAnsi" w:hAnsiTheme="minorHAnsi"/>
        </w:rPr>
        <w:t xml:space="preserve">commenced with the </w:t>
      </w:r>
      <w:r w:rsidR="00CE5A84" w:rsidRPr="00611696">
        <w:rPr>
          <w:rFonts w:asciiTheme="minorHAnsi" w:hAnsiTheme="minorHAnsi"/>
        </w:rPr>
        <w:t>execution</w:t>
      </w:r>
      <w:r w:rsidR="00BB0700" w:rsidRPr="00611696">
        <w:rPr>
          <w:rFonts w:asciiTheme="minorHAnsi" w:hAnsiTheme="minorHAnsi"/>
        </w:rPr>
        <w:t xml:space="preserve"> of a Proactive Compliance Deed on</w:t>
      </w:r>
      <w:r w:rsidR="00BB0700" w:rsidRPr="00611696">
        <w:rPr>
          <w:rFonts w:asciiTheme="minorHAnsi" w:hAnsiTheme="minorHAnsi"/>
          <w:szCs w:val="22"/>
        </w:rPr>
        <w:t xml:space="preserve"> 24 November 2016. </w:t>
      </w:r>
    </w:p>
    <w:p w14:paraId="350ED109" w14:textId="0AD4E8E7" w:rsidR="00D310EC" w:rsidRPr="00611696" w:rsidRDefault="00D310EC" w:rsidP="00611696">
      <w:pPr>
        <w:pStyle w:val="Heading2"/>
        <w:rPr>
          <w:rFonts w:asciiTheme="minorHAnsi" w:hAnsiTheme="minorHAnsi"/>
        </w:rPr>
      </w:pPr>
      <w:bookmarkStart w:id="13" w:name="_Toc525655520"/>
      <w:bookmarkStart w:id="14" w:name="_Toc527984994"/>
      <w:r w:rsidRPr="00611696">
        <w:rPr>
          <w:rFonts w:asciiTheme="minorHAnsi" w:hAnsiTheme="minorHAnsi"/>
        </w:rPr>
        <w:t xml:space="preserve">Workplace </w:t>
      </w:r>
      <w:r w:rsidR="00053E4A" w:rsidRPr="00611696">
        <w:rPr>
          <w:rFonts w:asciiTheme="minorHAnsi" w:hAnsiTheme="minorHAnsi"/>
        </w:rPr>
        <w:t>r</w:t>
      </w:r>
      <w:r w:rsidRPr="00611696">
        <w:rPr>
          <w:rFonts w:asciiTheme="minorHAnsi" w:hAnsiTheme="minorHAnsi"/>
        </w:rPr>
        <w:t xml:space="preserve">elations </w:t>
      </w:r>
      <w:r w:rsidR="00053E4A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>ettings</w:t>
      </w:r>
      <w:bookmarkEnd w:id="13"/>
      <w:bookmarkEnd w:id="14"/>
      <w:r w:rsidRPr="00611696">
        <w:rPr>
          <w:rFonts w:asciiTheme="minorHAnsi" w:hAnsiTheme="minorHAnsi"/>
        </w:rPr>
        <w:t xml:space="preserve"> </w:t>
      </w:r>
    </w:p>
    <w:p w14:paraId="7A4EB5ED" w14:textId="79593CCE" w:rsidR="00BB0700" w:rsidRPr="00611696" w:rsidRDefault="00BB0700" w:rsidP="0018687F">
      <w:pPr>
        <w:widowControl w:val="0"/>
        <w:snapToGrid w:val="0"/>
        <w:spacing w:before="12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  <w:szCs w:val="22"/>
          <w:lang w:val="en-US"/>
        </w:rPr>
        <w:t xml:space="preserve">The </w:t>
      </w:r>
      <w:r w:rsidRPr="00611696">
        <w:rPr>
          <w:rFonts w:asciiTheme="minorHAnsi" w:hAnsiTheme="minorHAnsi"/>
          <w:i/>
        </w:rPr>
        <w:t>Pharmacy Industry Award 2010</w:t>
      </w:r>
      <w:r w:rsidRPr="00611696">
        <w:rPr>
          <w:rFonts w:asciiTheme="minorHAnsi" w:hAnsiTheme="minorHAnsi"/>
        </w:rPr>
        <w:t xml:space="preserve"> (the </w:t>
      </w:r>
      <w:r w:rsidR="00053E4A" w:rsidRPr="00611696">
        <w:rPr>
          <w:rFonts w:asciiTheme="minorHAnsi" w:hAnsiTheme="minorHAnsi"/>
        </w:rPr>
        <w:t>A</w:t>
      </w:r>
      <w:r w:rsidRPr="00611696">
        <w:rPr>
          <w:rFonts w:asciiTheme="minorHAnsi" w:hAnsiTheme="minorHAnsi"/>
        </w:rPr>
        <w:t>ward) applies to employees within the Chemist Warehouse network</w:t>
      </w:r>
      <w:r w:rsidR="00311AD6" w:rsidRPr="00611696">
        <w:rPr>
          <w:rFonts w:asciiTheme="minorHAnsi" w:hAnsiTheme="minorHAnsi"/>
        </w:rPr>
        <w:t xml:space="preserve">. </w:t>
      </w:r>
      <w:r w:rsidRPr="00611696">
        <w:rPr>
          <w:rFonts w:asciiTheme="minorHAnsi" w:hAnsiTheme="minorHAnsi"/>
        </w:rPr>
        <w:t xml:space="preserve"> </w:t>
      </w:r>
    </w:p>
    <w:p w14:paraId="38A63FAE" w14:textId="6AE45FD3" w:rsidR="00BB0700" w:rsidRPr="00611696" w:rsidRDefault="00BB0700" w:rsidP="0018687F">
      <w:pPr>
        <w:widowControl w:val="0"/>
        <w:snapToGrid w:val="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</w:t>
      </w:r>
      <w:r w:rsidR="006C3F0B" w:rsidRPr="00611696">
        <w:rPr>
          <w:rFonts w:asciiTheme="minorHAnsi" w:hAnsiTheme="minorHAnsi"/>
        </w:rPr>
        <w:t xml:space="preserve">Award </w:t>
      </w:r>
      <w:r w:rsidRPr="00611696">
        <w:rPr>
          <w:rFonts w:asciiTheme="minorHAnsi" w:hAnsiTheme="minorHAnsi"/>
        </w:rPr>
        <w:t xml:space="preserve">covers employers in the pharmacy industry. The types of employees covered includes pharmacists, pharmacy students and pharmacy assistants. </w:t>
      </w:r>
    </w:p>
    <w:p w14:paraId="5CE5D658" w14:textId="1FA7A190" w:rsidR="00BB0700" w:rsidRPr="00611696" w:rsidRDefault="00BB0700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</w:t>
      </w:r>
      <w:r w:rsidR="006C3F0B" w:rsidRPr="00611696">
        <w:rPr>
          <w:rFonts w:asciiTheme="minorHAnsi" w:hAnsiTheme="minorHAnsi"/>
        </w:rPr>
        <w:t>A</w:t>
      </w:r>
      <w:r w:rsidRPr="00611696">
        <w:rPr>
          <w:rFonts w:asciiTheme="minorHAnsi" w:hAnsiTheme="minorHAnsi"/>
        </w:rPr>
        <w:t xml:space="preserve">ward provides for the engagement of full-time, part-time and casual employees. As of 1 July 2018, under the </w:t>
      </w:r>
      <w:r w:rsidR="006C3F0B" w:rsidRPr="00611696">
        <w:rPr>
          <w:rFonts w:asciiTheme="minorHAnsi" w:hAnsiTheme="minorHAnsi"/>
        </w:rPr>
        <w:t>A</w:t>
      </w:r>
      <w:r w:rsidRPr="00611696">
        <w:rPr>
          <w:rFonts w:asciiTheme="minorHAnsi" w:hAnsiTheme="minorHAnsi"/>
        </w:rPr>
        <w:t xml:space="preserve">ward, the rates of pay for a permanent part-time or full-time adult employee are $20.79 per hour (Level 1) and $21.28 per hour (Level 2). </w:t>
      </w:r>
    </w:p>
    <w:p w14:paraId="785CC987" w14:textId="6885A5AF" w:rsidR="00BB0700" w:rsidRPr="00611696" w:rsidRDefault="00BB0700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Juniors (20 years of age or under) are able to work as pharmacy assistants under the Award. They receive a percentage of the applicable adult rate, depending on the</w:t>
      </w:r>
      <w:r w:rsidR="006C3F0B" w:rsidRPr="00611696">
        <w:rPr>
          <w:rFonts w:asciiTheme="minorHAnsi" w:hAnsiTheme="minorHAnsi"/>
        </w:rPr>
        <w:t>ir</w:t>
      </w:r>
      <w:r w:rsidRPr="00611696">
        <w:rPr>
          <w:rFonts w:asciiTheme="minorHAnsi" w:hAnsiTheme="minorHAnsi"/>
        </w:rPr>
        <w:t xml:space="preserve"> age</w:t>
      </w:r>
      <w:r w:rsidR="006C3F0B" w:rsidRPr="00611696">
        <w:rPr>
          <w:rFonts w:asciiTheme="minorHAnsi" w:hAnsiTheme="minorHAnsi"/>
        </w:rPr>
        <w:t>, for example</w:t>
      </w:r>
      <w:r w:rsidRPr="00611696">
        <w:rPr>
          <w:rFonts w:asciiTheme="minorHAnsi" w:hAnsiTheme="minorHAnsi"/>
        </w:rPr>
        <w:t>:</w:t>
      </w:r>
    </w:p>
    <w:p w14:paraId="1AAC3EE6" w14:textId="77777777" w:rsidR="00BB0700" w:rsidRPr="00611696" w:rsidRDefault="00BB0700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$10.40 per hour (Level 1) and $10.64 (Level 2) for a 16-year-old (50% of adult rate)</w:t>
      </w:r>
    </w:p>
    <w:p w14:paraId="5CF5C4F6" w14:textId="0BC41DFE" w:rsidR="00BB0700" w:rsidRPr="00611696" w:rsidRDefault="00BB0700" w:rsidP="00F7339F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$16.63 (Level 1) and $17.02 (</w:t>
      </w:r>
      <w:r w:rsidR="006C3F0B" w:rsidRPr="00611696">
        <w:rPr>
          <w:rFonts w:asciiTheme="minorHAnsi" w:hAnsiTheme="minorHAnsi"/>
        </w:rPr>
        <w:t>L</w:t>
      </w:r>
      <w:r w:rsidRPr="00611696">
        <w:rPr>
          <w:rFonts w:asciiTheme="minorHAnsi" w:hAnsiTheme="minorHAnsi"/>
        </w:rPr>
        <w:t>evel 2) for a 19-year-old (80% of adult rate)</w:t>
      </w:r>
      <w:r w:rsidR="000520D2" w:rsidRPr="00611696">
        <w:rPr>
          <w:rFonts w:asciiTheme="minorHAnsi" w:hAnsiTheme="minorHAnsi"/>
        </w:rPr>
        <w:t>.</w:t>
      </w:r>
    </w:p>
    <w:p w14:paraId="45AEC43C" w14:textId="7EDA724E" w:rsidR="006C3F0B" w:rsidRPr="00611696" w:rsidRDefault="006C3F0B" w:rsidP="006771D0">
      <w:pPr>
        <w:widowControl w:val="0"/>
        <w:snapToGrid w:val="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A range of penalties and loadings apply:</w:t>
      </w:r>
    </w:p>
    <w:p w14:paraId="65AA8A58" w14:textId="21BB8A2E" w:rsidR="006C3F0B" w:rsidRPr="00611696" w:rsidRDefault="00AF210E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 </w:t>
      </w:r>
      <w:r w:rsidR="00BB0700" w:rsidRPr="00611696">
        <w:rPr>
          <w:rFonts w:asciiTheme="minorHAnsi" w:hAnsiTheme="minorHAnsi"/>
        </w:rPr>
        <w:t xml:space="preserve">25% loading </w:t>
      </w:r>
      <w:r w:rsidR="006C3F0B" w:rsidRPr="00611696">
        <w:rPr>
          <w:rFonts w:asciiTheme="minorHAnsi" w:hAnsiTheme="minorHAnsi"/>
        </w:rPr>
        <w:t xml:space="preserve">for casual employees </w:t>
      </w:r>
      <w:r w:rsidR="00BB0700" w:rsidRPr="00611696">
        <w:rPr>
          <w:rFonts w:asciiTheme="minorHAnsi" w:hAnsiTheme="minorHAnsi"/>
        </w:rPr>
        <w:t>on top of the</w:t>
      </w:r>
      <w:r w:rsidR="006C3F0B" w:rsidRPr="00611696">
        <w:rPr>
          <w:rFonts w:asciiTheme="minorHAnsi" w:hAnsiTheme="minorHAnsi"/>
        </w:rPr>
        <w:t xml:space="preserve"> full-time</w:t>
      </w:r>
      <w:r w:rsidR="00BB0700" w:rsidRPr="00611696">
        <w:rPr>
          <w:rFonts w:asciiTheme="minorHAnsi" w:hAnsiTheme="minorHAnsi"/>
        </w:rPr>
        <w:t xml:space="preserve"> base rate of pay</w:t>
      </w:r>
    </w:p>
    <w:p w14:paraId="34E0656E" w14:textId="10EF5252" w:rsidR="006C3F0B" w:rsidRPr="00611696" w:rsidRDefault="00AF210E" w:rsidP="00F7339F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 </w:t>
      </w:r>
      <w:r w:rsidR="00BB0700" w:rsidRPr="00611696">
        <w:rPr>
          <w:rFonts w:asciiTheme="minorHAnsi" w:hAnsiTheme="minorHAnsi"/>
        </w:rPr>
        <w:t xml:space="preserve">penalty loading </w:t>
      </w:r>
      <w:r w:rsidR="006C3F0B" w:rsidRPr="00611696">
        <w:rPr>
          <w:rFonts w:asciiTheme="minorHAnsi" w:hAnsiTheme="minorHAnsi"/>
        </w:rPr>
        <w:t>of between 25% and 100% on Saturdays</w:t>
      </w:r>
      <w:r w:rsidRPr="00611696">
        <w:rPr>
          <w:rFonts w:asciiTheme="minorHAnsi" w:hAnsiTheme="minorHAnsi"/>
        </w:rPr>
        <w:t>,</w:t>
      </w:r>
      <w:r w:rsidR="006C3F0B" w:rsidRPr="00611696">
        <w:rPr>
          <w:rFonts w:asciiTheme="minorHAnsi" w:hAnsiTheme="minorHAnsi"/>
        </w:rPr>
        <w:t xml:space="preserve"> </w:t>
      </w:r>
      <w:r w:rsidR="00BB0700" w:rsidRPr="00611696">
        <w:rPr>
          <w:rFonts w:asciiTheme="minorHAnsi" w:hAnsiTheme="minorHAnsi"/>
        </w:rPr>
        <w:t>depending on the hours worked</w:t>
      </w:r>
    </w:p>
    <w:p w14:paraId="616B06BD" w14:textId="0EDCEC32" w:rsidR="006C3F0B" w:rsidRPr="00611696" w:rsidRDefault="00AF210E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lastRenderedPageBreak/>
        <w:t xml:space="preserve">a </w:t>
      </w:r>
      <w:r w:rsidR="006C3F0B" w:rsidRPr="00611696">
        <w:rPr>
          <w:rFonts w:asciiTheme="minorHAnsi" w:hAnsiTheme="minorHAnsi"/>
        </w:rPr>
        <w:t xml:space="preserve">penalty </w:t>
      </w:r>
      <w:r w:rsidR="00BB0700" w:rsidRPr="00611696">
        <w:rPr>
          <w:rFonts w:asciiTheme="minorHAnsi" w:hAnsiTheme="minorHAnsi"/>
        </w:rPr>
        <w:t xml:space="preserve">loading </w:t>
      </w:r>
      <w:r w:rsidR="006C3F0B" w:rsidRPr="00611696">
        <w:rPr>
          <w:rFonts w:asciiTheme="minorHAnsi" w:hAnsiTheme="minorHAnsi"/>
        </w:rPr>
        <w:t>of 95% to 100% on Sundays</w:t>
      </w:r>
      <w:r w:rsidRPr="00611696">
        <w:rPr>
          <w:rFonts w:asciiTheme="minorHAnsi" w:hAnsiTheme="minorHAnsi"/>
        </w:rPr>
        <w:t>,</w:t>
      </w:r>
      <w:r w:rsidR="006C3F0B" w:rsidRPr="00611696">
        <w:rPr>
          <w:rFonts w:asciiTheme="minorHAnsi" w:hAnsiTheme="minorHAnsi"/>
        </w:rPr>
        <w:t xml:space="preserve"> </w:t>
      </w:r>
      <w:r w:rsidR="00BB0700" w:rsidRPr="00611696">
        <w:rPr>
          <w:rFonts w:asciiTheme="minorHAnsi" w:hAnsiTheme="minorHAnsi"/>
        </w:rPr>
        <w:t>depending on the hours worked</w:t>
      </w:r>
      <w:r w:rsidR="006C3F0B" w:rsidRPr="00611696">
        <w:rPr>
          <w:rStyle w:val="FootnoteReference"/>
          <w:rFonts w:asciiTheme="minorHAnsi" w:eastAsia="Times New Roman" w:hAnsiTheme="minorHAnsi"/>
          <w:sz w:val="18"/>
          <w:szCs w:val="24"/>
        </w:rPr>
        <w:footnoteReference w:id="9"/>
      </w:r>
    </w:p>
    <w:p w14:paraId="042C8CE6" w14:textId="17ADA31C" w:rsidR="00D71C7C" w:rsidRPr="00611696" w:rsidRDefault="006771D0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overtime rates of between 150% and 250%</w:t>
      </w:r>
      <w:r w:rsidR="00AF210E" w:rsidRPr="00611696">
        <w:rPr>
          <w:rFonts w:asciiTheme="minorHAnsi" w:hAnsiTheme="minorHAnsi"/>
        </w:rPr>
        <w:t>,</w:t>
      </w:r>
      <w:r w:rsidRPr="00611696">
        <w:rPr>
          <w:rFonts w:asciiTheme="minorHAnsi" w:hAnsiTheme="minorHAnsi"/>
        </w:rPr>
        <w:t xml:space="preserve"> depending on the time and hours worked.</w:t>
      </w:r>
    </w:p>
    <w:p w14:paraId="722AD370" w14:textId="485E4836" w:rsidR="004F45D4" w:rsidRPr="00611696" w:rsidRDefault="004F45D4" w:rsidP="00611696">
      <w:pPr>
        <w:pStyle w:val="Heading3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Payment for </w:t>
      </w:r>
      <w:r w:rsidR="00C82826" w:rsidRPr="00611696">
        <w:rPr>
          <w:rFonts w:asciiTheme="minorHAnsi" w:hAnsiTheme="minorHAnsi"/>
        </w:rPr>
        <w:t xml:space="preserve">compulsory </w:t>
      </w:r>
      <w:r w:rsidRPr="00611696">
        <w:rPr>
          <w:rFonts w:asciiTheme="minorHAnsi" w:hAnsiTheme="minorHAnsi"/>
        </w:rPr>
        <w:t>training</w:t>
      </w:r>
    </w:p>
    <w:p w14:paraId="7B5739DE" w14:textId="7B6C60D1" w:rsidR="00BB5581" w:rsidRPr="00611696" w:rsidRDefault="00F7339F" w:rsidP="0085103B">
      <w:pPr>
        <w:pStyle w:val="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Award does not contain specific provisions in relation to payment for training. </w:t>
      </w:r>
      <w:r w:rsidR="004D0ACA" w:rsidRPr="00611696">
        <w:rPr>
          <w:rFonts w:asciiTheme="minorHAnsi" w:hAnsiTheme="minorHAnsi"/>
        </w:rPr>
        <w:t>There is a requirement under the Fair Work Act 2009 (the Act) to be paid for all time worked. The requirement to attend compulsory training is considered to be time worked</w:t>
      </w:r>
      <w:r w:rsidR="00C82826" w:rsidRPr="00611696">
        <w:rPr>
          <w:rStyle w:val="FootnoteReference"/>
          <w:rFonts w:asciiTheme="minorHAnsi" w:hAnsiTheme="minorHAnsi"/>
        </w:rPr>
        <w:footnoteReference w:id="10"/>
      </w:r>
      <w:r w:rsidR="004D0ACA" w:rsidRPr="00611696">
        <w:rPr>
          <w:rFonts w:asciiTheme="minorHAnsi" w:hAnsiTheme="minorHAnsi"/>
        </w:rPr>
        <w:t xml:space="preserve">. </w:t>
      </w:r>
    </w:p>
    <w:p w14:paraId="1DB8EF09" w14:textId="41CDBDFD" w:rsidR="00155636" w:rsidRPr="00611696" w:rsidRDefault="00155636" w:rsidP="00611696">
      <w:pPr>
        <w:pStyle w:val="Heading1"/>
        <w:rPr>
          <w:rFonts w:asciiTheme="minorHAnsi" w:hAnsiTheme="minorHAnsi"/>
        </w:rPr>
      </w:pPr>
      <w:bookmarkStart w:id="15" w:name="_Toc527984995"/>
      <w:bookmarkStart w:id="16" w:name="_Toc525655521"/>
      <w:r w:rsidRPr="00611696">
        <w:rPr>
          <w:rFonts w:asciiTheme="minorHAnsi" w:hAnsiTheme="minorHAnsi"/>
        </w:rPr>
        <w:t>Progress report</w:t>
      </w:r>
      <w:bookmarkEnd w:id="15"/>
    </w:p>
    <w:p w14:paraId="5C8F7622" w14:textId="2DF7FD30" w:rsidR="00E51624" w:rsidRPr="00611696" w:rsidRDefault="00E51624" w:rsidP="00611696">
      <w:pPr>
        <w:pStyle w:val="Heading2"/>
        <w:rPr>
          <w:rFonts w:asciiTheme="minorHAnsi" w:hAnsiTheme="minorHAnsi"/>
        </w:rPr>
      </w:pPr>
      <w:bookmarkStart w:id="17" w:name="_Toc527984996"/>
      <w:r w:rsidRPr="00611696">
        <w:rPr>
          <w:rFonts w:asciiTheme="minorHAnsi" w:hAnsiTheme="minorHAnsi"/>
        </w:rPr>
        <w:t xml:space="preserve">Communication of the </w:t>
      </w:r>
      <w:r w:rsidR="006C3F0B" w:rsidRPr="00611696">
        <w:rPr>
          <w:rFonts w:asciiTheme="minorHAnsi" w:hAnsiTheme="minorHAnsi"/>
        </w:rPr>
        <w:t>d</w:t>
      </w:r>
      <w:r w:rsidRPr="00611696">
        <w:rPr>
          <w:rFonts w:asciiTheme="minorHAnsi" w:hAnsiTheme="minorHAnsi"/>
        </w:rPr>
        <w:t>eed</w:t>
      </w:r>
      <w:bookmarkEnd w:id="16"/>
      <w:bookmarkEnd w:id="17"/>
    </w:p>
    <w:p w14:paraId="2CE46069" w14:textId="22C38648" w:rsidR="00AE4E80" w:rsidRPr="00611696" w:rsidRDefault="007E196C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Chemist Warehouse </w:t>
      </w:r>
      <w:r w:rsidR="00AE4E80" w:rsidRPr="00611696">
        <w:rPr>
          <w:rFonts w:asciiTheme="minorHAnsi" w:hAnsiTheme="minorHAnsi"/>
        </w:rPr>
        <w:t xml:space="preserve">and the FWO </w:t>
      </w:r>
      <w:r w:rsidRPr="00611696">
        <w:rPr>
          <w:rFonts w:asciiTheme="minorHAnsi" w:hAnsiTheme="minorHAnsi"/>
        </w:rPr>
        <w:t xml:space="preserve">informed </w:t>
      </w:r>
      <w:r w:rsidR="00AE4E80" w:rsidRPr="00611696">
        <w:rPr>
          <w:rFonts w:asciiTheme="minorHAnsi" w:hAnsiTheme="minorHAnsi"/>
        </w:rPr>
        <w:t xml:space="preserve">their </w:t>
      </w:r>
      <w:r w:rsidRPr="00611696">
        <w:rPr>
          <w:rFonts w:asciiTheme="minorHAnsi" w:hAnsiTheme="minorHAnsi"/>
        </w:rPr>
        <w:t xml:space="preserve">staff about the </w:t>
      </w:r>
      <w:r w:rsidR="00AE4E80" w:rsidRPr="00611696">
        <w:rPr>
          <w:rFonts w:asciiTheme="minorHAnsi" w:hAnsiTheme="minorHAnsi"/>
        </w:rPr>
        <w:t xml:space="preserve">compliance </w:t>
      </w:r>
      <w:r w:rsidRPr="00611696">
        <w:rPr>
          <w:rFonts w:asciiTheme="minorHAnsi" w:hAnsiTheme="minorHAnsi"/>
        </w:rPr>
        <w:t>partnership and made a copy of the PCD available</w:t>
      </w:r>
      <w:r w:rsidR="00F7757C" w:rsidRPr="00611696">
        <w:rPr>
          <w:rFonts w:asciiTheme="minorHAnsi" w:hAnsiTheme="minorHAnsi"/>
        </w:rPr>
        <w:t xml:space="preserve"> (as per clause 3 of the PCD)</w:t>
      </w:r>
      <w:r w:rsidR="00AE4E80" w:rsidRPr="00611696">
        <w:rPr>
          <w:rFonts w:asciiTheme="minorHAnsi" w:hAnsiTheme="minorHAnsi"/>
        </w:rPr>
        <w:t xml:space="preserve">. </w:t>
      </w:r>
    </w:p>
    <w:p w14:paraId="23E42DBA" w14:textId="136AC0F3" w:rsidR="00AE4E80" w:rsidRPr="00611696" w:rsidRDefault="00AE4E80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FWO issued a </w:t>
      </w:r>
      <w:r w:rsidR="005B45CD" w:rsidRPr="00611696">
        <w:rPr>
          <w:rFonts w:asciiTheme="minorHAnsi" w:eastAsiaTheme="minorEastAsia" w:hAnsiTheme="minorHAnsi"/>
        </w:rPr>
        <w:t>media release</w:t>
      </w:r>
      <w:r w:rsidRPr="00611696">
        <w:rPr>
          <w:rFonts w:asciiTheme="minorHAnsi" w:hAnsiTheme="minorHAnsi"/>
        </w:rPr>
        <w:t xml:space="preserve"> on 1 December 2016</w:t>
      </w:r>
      <w:r w:rsidR="004740A4" w:rsidRPr="00611696">
        <w:rPr>
          <w:rFonts w:asciiTheme="minorHAnsi" w:hAnsiTheme="minorHAnsi"/>
        </w:rPr>
        <w:t>,</w:t>
      </w:r>
      <w:r w:rsidRPr="00611696">
        <w:rPr>
          <w:rFonts w:asciiTheme="minorHAnsi" w:hAnsiTheme="minorHAnsi"/>
        </w:rPr>
        <w:t xml:space="preserve"> </w:t>
      </w:r>
      <w:r w:rsidR="004740A4" w:rsidRPr="00611696">
        <w:rPr>
          <w:rFonts w:asciiTheme="minorHAnsi" w:hAnsiTheme="minorHAnsi"/>
        </w:rPr>
        <w:t xml:space="preserve">publicly </w:t>
      </w:r>
      <w:r w:rsidRPr="00611696">
        <w:rPr>
          <w:rFonts w:asciiTheme="minorHAnsi" w:hAnsiTheme="minorHAnsi"/>
        </w:rPr>
        <w:t>announc</w:t>
      </w:r>
      <w:r w:rsidR="004740A4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the partnership.</w:t>
      </w:r>
      <w:r w:rsidR="005B45CD" w:rsidRPr="00611696">
        <w:rPr>
          <w:rStyle w:val="FootnoteReference"/>
          <w:rFonts w:asciiTheme="minorHAnsi" w:hAnsiTheme="minorHAnsi"/>
        </w:rPr>
        <w:footnoteReference w:id="11"/>
      </w:r>
    </w:p>
    <w:p w14:paraId="5C436901" w14:textId="50983EA7" w:rsidR="00AE4E80" w:rsidRPr="00611696" w:rsidRDefault="00732EA3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Warehouse</w:t>
      </w:r>
      <w:r w:rsidR="007E196C" w:rsidRPr="00611696">
        <w:rPr>
          <w:rFonts w:asciiTheme="minorHAnsi" w:hAnsiTheme="minorHAnsi"/>
        </w:rPr>
        <w:t xml:space="preserve"> sent a bulletin to all </w:t>
      </w:r>
      <w:r w:rsidR="004740A4" w:rsidRPr="00611696">
        <w:rPr>
          <w:rFonts w:asciiTheme="minorHAnsi" w:hAnsiTheme="minorHAnsi"/>
        </w:rPr>
        <w:t xml:space="preserve">franchise </w:t>
      </w:r>
      <w:r w:rsidR="007E196C" w:rsidRPr="00611696">
        <w:rPr>
          <w:rFonts w:asciiTheme="minorHAnsi" w:hAnsiTheme="minorHAnsi"/>
        </w:rPr>
        <w:t xml:space="preserve">stores announcing the </w:t>
      </w:r>
      <w:r w:rsidR="00F71382" w:rsidRPr="00611696">
        <w:rPr>
          <w:rFonts w:asciiTheme="minorHAnsi" w:hAnsiTheme="minorHAnsi"/>
        </w:rPr>
        <w:t>partnership</w:t>
      </w:r>
      <w:r w:rsidR="004740A4" w:rsidRPr="00611696">
        <w:rPr>
          <w:rFonts w:asciiTheme="minorHAnsi" w:hAnsiTheme="minorHAnsi"/>
        </w:rPr>
        <w:t xml:space="preserve"> and the </w:t>
      </w:r>
      <w:r w:rsidR="007E196C" w:rsidRPr="00611696">
        <w:rPr>
          <w:rFonts w:asciiTheme="minorHAnsi" w:hAnsiTheme="minorHAnsi"/>
        </w:rPr>
        <w:t>new</w:t>
      </w:r>
      <w:r w:rsidR="004740A4" w:rsidRPr="00611696">
        <w:rPr>
          <w:rFonts w:asciiTheme="minorHAnsi" w:hAnsiTheme="minorHAnsi"/>
        </w:rPr>
        <w:t xml:space="preserve">ly established </w:t>
      </w:r>
      <w:r w:rsidR="007E196C" w:rsidRPr="00611696">
        <w:rPr>
          <w:rFonts w:asciiTheme="minorHAnsi" w:hAnsiTheme="minorHAnsi"/>
        </w:rPr>
        <w:t>employee hotline</w:t>
      </w:r>
      <w:r w:rsidR="004740A4" w:rsidRPr="00611696">
        <w:rPr>
          <w:rFonts w:asciiTheme="minorHAnsi" w:hAnsiTheme="minorHAnsi"/>
        </w:rPr>
        <w:t>. It also published details of the PCD on the Chemist Warehouse intranet homepage for all employees to access</w:t>
      </w:r>
      <w:r w:rsidR="00AE4E80" w:rsidRPr="00611696">
        <w:rPr>
          <w:rFonts w:asciiTheme="minorHAnsi" w:hAnsiTheme="minorHAnsi"/>
        </w:rPr>
        <w:t>.</w:t>
      </w:r>
    </w:p>
    <w:p w14:paraId="4AD56DCF" w14:textId="1DE37034" w:rsidR="007E196C" w:rsidRPr="00611696" w:rsidRDefault="00732EA3" w:rsidP="0018687F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company continues to promote the</w:t>
      </w:r>
      <w:r w:rsidR="007E196C" w:rsidRPr="00611696">
        <w:rPr>
          <w:rFonts w:asciiTheme="minorHAnsi" w:hAnsiTheme="minorHAnsi"/>
        </w:rPr>
        <w:t xml:space="preserve"> hotline and </w:t>
      </w:r>
      <w:r w:rsidR="00FB4349" w:rsidRPr="00611696">
        <w:rPr>
          <w:rFonts w:asciiTheme="minorHAnsi" w:hAnsiTheme="minorHAnsi"/>
        </w:rPr>
        <w:t xml:space="preserve">the </w:t>
      </w:r>
      <w:r w:rsidR="007E196C" w:rsidRPr="00611696">
        <w:rPr>
          <w:rFonts w:asciiTheme="minorHAnsi" w:hAnsiTheme="minorHAnsi"/>
        </w:rPr>
        <w:t xml:space="preserve">partnership with the FWO through </w:t>
      </w:r>
      <w:r w:rsidRPr="00611696">
        <w:rPr>
          <w:rFonts w:asciiTheme="minorHAnsi" w:hAnsiTheme="minorHAnsi"/>
        </w:rPr>
        <w:t xml:space="preserve">its </w:t>
      </w:r>
      <w:r w:rsidR="007E196C" w:rsidRPr="00611696">
        <w:rPr>
          <w:rFonts w:asciiTheme="minorHAnsi" w:hAnsiTheme="minorHAnsi"/>
        </w:rPr>
        <w:t>monthly staff and HR news bulletins</w:t>
      </w:r>
      <w:r w:rsidR="000520D2" w:rsidRPr="00611696">
        <w:rPr>
          <w:rFonts w:asciiTheme="minorHAnsi" w:hAnsiTheme="minorHAnsi"/>
        </w:rPr>
        <w:t>.</w:t>
      </w:r>
      <w:r w:rsidR="007E196C" w:rsidRPr="00611696">
        <w:rPr>
          <w:rFonts w:asciiTheme="minorHAnsi" w:hAnsiTheme="minorHAnsi"/>
        </w:rPr>
        <w:t xml:space="preserve"> </w:t>
      </w:r>
    </w:p>
    <w:p w14:paraId="27488FAF" w14:textId="23F470CB" w:rsidR="000225D5" w:rsidRPr="00611696" w:rsidRDefault="000225D5" w:rsidP="00611696">
      <w:pPr>
        <w:pStyle w:val="Heading2"/>
        <w:rPr>
          <w:rFonts w:asciiTheme="minorHAnsi" w:hAnsiTheme="minorHAnsi"/>
        </w:rPr>
      </w:pPr>
      <w:bookmarkStart w:id="18" w:name="_Toc525655522"/>
      <w:bookmarkStart w:id="19" w:name="_Toc527984997"/>
      <w:r w:rsidRPr="00611696">
        <w:rPr>
          <w:rFonts w:asciiTheme="minorHAnsi" w:hAnsiTheme="minorHAnsi"/>
        </w:rPr>
        <w:t xml:space="preserve">Workplace </w:t>
      </w:r>
      <w:r w:rsidR="005B45CD" w:rsidRPr="00611696">
        <w:rPr>
          <w:rFonts w:asciiTheme="minorHAnsi" w:hAnsiTheme="minorHAnsi"/>
        </w:rPr>
        <w:t>r</w:t>
      </w:r>
      <w:r w:rsidRPr="00611696">
        <w:rPr>
          <w:rFonts w:asciiTheme="minorHAnsi" w:hAnsiTheme="minorHAnsi"/>
        </w:rPr>
        <w:t xml:space="preserve">elations </w:t>
      </w:r>
      <w:r w:rsidR="005B45CD" w:rsidRPr="00611696">
        <w:rPr>
          <w:rFonts w:asciiTheme="minorHAnsi" w:hAnsiTheme="minorHAnsi"/>
        </w:rPr>
        <w:t>t</w:t>
      </w:r>
      <w:r w:rsidRPr="00611696">
        <w:rPr>
          <w:rFonts w:asciiTheme="minorHAnsi" w:hAnsiTheme="minorHAnsi"/>
        </w:rPr>
        <w:t>raining</w:t>
      </w:r>
      <w:bookmarkEnd w:id="18"/>
      <w:bookmarkEnd w:id="19"/>
      <w:r w:rsidR="005B45CD" w:rsidRPr="00611696">
        <w:rPr>
          <w:rFonts w:asciiTheme="minorHAnsi" w:hAnsiTheme="minorHAnsi"/>
        </w:rPr>
        <w:t xml:space="preserve"> </w:t>
      </w:r>
    </w:p>
    <w:p w14:paraId="4343B8EF" w14:textId="4DB279FD" w:rsidR="005B45CD" w:rsidRPr="00611696" w:rsidRDefault="007E196C" w:rsidP="00732EA3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Chemist Warehouse </w:t>
      </w:r>
      <w:r w:rsidR="00920394" w:rsidRPr="00611696">
        <w:rPr>
          <w:rFonts w:asciiTheme="minorHAnsi" w:hAnsiTheme="minorHAnsi"/>
        </w:rPr>
        <w:t>a</w:t>
      </w:r>
      <w:r w:rsidRPr="00611696">
        <w:rPr>
          <w:rFonts w:asciiTheme="minorHAnsi" w:hAnsiTheme="minorHAnsi"/>
        </w:rPr>
        <w:t xml:space="preserve">ppointed </w:t>
      </w:r>
      <w:r w:rsidR="00920394" w:rsidRPr="00611696">
        <w:rPr>
          <w:rFonts w:asciiTheme="minorHAnsi" w:hAnsiTheme="minorHAnsi"/>
        </w:rPr>
        <w:t xml:space="preserve">its National </w:t>
      </w:r>
      <w:r w:rsidR="005B45CD" w:rsidRPr="00611696">
        <w:rPr>
          <w:rFonts w:asciiTheme="minorHAnsi" w:hAnsiTheme="minorHAnsi"/>
        </w:rPr>
        <w:t xml:space="preserve">HR </w:t>
      </w:r>
      <w:r w:rsidR="00920394" w:rsidRPr="00611696">
        <w:rPr>
          <w:rFonts w:asciiTheme="minorHAnsi" w:hAnsiTheme="minorHAnsi"/>
        </w:rPr>
        <w:t>Manager</w:t>
      </w:r>
      <w:r w:rsidRPr="00611696">
        <w:rPr>
          <w:rFonts w:asciiTheme="minorHAnsi" w:hAnsiTheme="minorHAnsi"/>
        </w:rPr>
        <w:t xml:space="preserve"> </w:t>
      </w:r>
      <w:r w:rsidR="004740A4" w:rsidRPr="00611696">
        <w:rPr>
          <w:rFonts w:asciiTheme="minorHAnsi" w:hAnsiTheme="minorHAnsi"/>
        </w:rPr>
        <w:t>to the role of ‘HR Specialist’</w:t>
      </w:r>
      <w:r w:rsidR="00F7757C" w:rsidRPr="00611696">
        <w:rPr>
          <w:rFonts w:asciiTheme="minorHAnsi" w:hAnsiTheme="minorHAnsi"/>
        </w:rPr>
        <w:t xml:space="preserve"> (as per Clause 11)</w:t>
      </w:r>
      <w:r w:rsidR="005B45CD" w:rsidRPr="00611696">
        <w:rPr>
          <w:rFonts w:asciiTheme="minorHAnsi" w:hAnsiTheme="minorHAnsi"/>
        </w:rPr>
        <w:t>, and</w:t>
      </w:r>
      <w:r w:rsidR="004740A4" w:rsidRPr="00611696">
        <w:rPr>
          <w:rFonts w:asciiTheme="minorHAnsi" w:hAnsiTheme="minorHAnsi"/>
        </w:rPr>
        <w:t xml:space="preserve"> </w:t>
      </w:r>
      <w:r w:rsidR="00567D31" w:rsidRPr="00611696">
        <w:rPr>
          <w:rFonts w:asciiTheme="minorHAnsi" w:hAnsiTheme="minorHAnsi"/>
        </w:rPr>
        <w:t xml:space="preserve">required </w:t>
      </w:r>
      <w:r w:rsidR="00BA350A" w:rsidRPr="00611696">
        <w:rPr>
          <w:rFonts w:asciiTheme="minorHAnsi" w:hAnsiTheme="minorHAnsi"/>
        </w:rPr>
        <w:t>the officer</w:t>
      </w:r>
      <w:r w:rsidR="005B45CD" w:rsidRPr="00611696">
        <w:rPr>
          <w:rFonts w:asciiTheme="minorHAnsi" w:hAnsiTheme="minorHAnsi"/>
        </w:rPr>
        <w:t xml:space="preserve"> to:</w:t>
      </w:r>
    </w:p>
    <w:p w14:paraId="17A7C14F" w14:textId="4B4CD778" w:rsidR="005B45CD" w:rsidRPr="00611696" w:rsidRDefault="00567D31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review </w:t>
      </w:r>
      <w:r w:rsidR="007E196C" w:rsidRPr="00611696">
        <w:rPr>
          <w:rFonts w:asciiTheme="minorHAnsi" w:hAnsiTheme="minorHAnsi"/>
        </w:rPr>
        <w:t>workplace relations training arrangement</w:t>
      </w:r>
      <w:r w:rsidR="005B45CD" w:rsidRPr="00611696">
        <w:rPr>
          <w:rFonts w:asciiTheme="minorHAnsi" w:hAnsiTheme="minorHAnsi"/>
        </w:rPr>
        <w:t>s</w:t>
      </w:r>
    </w:p>
    <w:p w14:paraId="29255E4A" w14:textId="63F0BB1E" w:rsidR="00294AD9" w:rsidRPr="00611696" w:rsidRDefault="00335492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design</w:t>
      </w:r>
      <w:r w:rsidR="007E196C" w:rsidRPr="00611696">
        <w:rPr>
          <w:rFonts w:asciiTheme="minorHAnsi" w:hAnsiTheme="minorHAnsi"/>
        </w:rPr>
        <w:t xml:space="preserve"> and implement</w:t>
      </w:r>
      <w:r w:rsidR="005B45CD" w:rsidRPr="00611696">
        <w:rPr>
          <w:rFonts w:asciiTheme="minorHAnsi" w:hAnsiTheme="minorHAnsi"/>
        </w:rPr>
        <w:t xml:space="preserve"> a</w:t>
      </w:r>
      <w:r w:rsidR="00294AD9" w:rsidRPr="00611696">
        <w:rPr>
          <w:rFonts w:asciiTheme="minorHAnsi" w:hAnsiTheme="minorHAnsi"/>
        </w:rPr>
        <w:t xml:space="preserve"> new:</w:t>
      </w:r>
    </w:p>
    <w:p w14:paraId="3515E265" w14:textId="2547505B" w:rsidR="007E196C" w:rsidRPr="00611696" w:rsidRDefault="007E196C" w:rsidP="0085103B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workplace relations</w:t>
      </w:r>
      <w:r w:rsidR="00920394" w:rsidRPr="00611696">
        <w:rPr>
          <w:rFonts w:asciiTheme="minorHAnsi" w:hAnsiTheme="minorHAnsi"/>
        </w:rPr>
        <w:t xml:space="preserve"> training program for employees</w:t>
      </w:r>
    </w:p>
    <w:p w14:paraId="239B17CE" w14:textId="45C3AA82" w:rsidR="007E196C" w:rsidRPr="00611696" w:rsidRDefault="007E196C" w:rsidP="0085103B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workplace relations and </w:t>
      </w:r>
      <w:r w:rsidR="005B45CD" w:rsidRPr="00611696">
        <w:rPr>
          <w:rFonts w:asciiTheme="minorHAnsi" w:hAnsiTheme="minorHAnsi"/>
        </w:rPr>
        <w:t xml:space="preserve">HR </w:t>
      </w:r>
      <w:r w:rsidRPr="00611696">
        <w:rPr>
          <w:rFonts w:asciiTheme="minorHAnsi" w:hAnsiTheme="minorHAnsi"/>
        </w:rPr>
        <w:t xml:space="preserve">training program for supervisors </w:t>
      </w:r>
      <w:r w:rsidR="00920394" w:rsidRPr="00611696">
        <w:rPr>
          <w:rFonts w:asciiTheme="minorHAnsi" w:hAnsiTheme="minorHAnsi"/>
        </w:rPr>
        <w:t>and</w:t>
      </w:r>
      <w:r w:rsidRPr="00611696">
        <w:rPr>
          <w:rFonts w:asciiTheme="minorHAnsi" w:hAnsiTheme="minorHAnsi"/>
        </w:rPr>
        <w:t xml:space="preserve"> managers</w:t>
      </w:r>
      <w:r w:rsidR="000870B8" w:rsidRPr="00611696">
        <w:rPr>
          <w:rFonts w:asciiTheme="minorHAnsi" w:hAnsiTheme="minorHAnsi"/>
        </w:rPr>
        <w:t>.</w:t>
      </w:r>
      <w:r w:rsidRPr="00611696">
        <w:rPr>
          <w:rFonts w:asciiTheme="minorHAnsi" w:hAnsiTheme="minorHAnsi"/>
        </w:rPr>
        <w:t xml:space="preserve"> </w:t>
      </w:r>
    </w:p>
    <w:p w14:paraId="75F4E576" w14:textId="22D216C2" w:rsidR="00294AD9" w:rsidRPr="00611696" w:rsidRDefault="00294AD9" w:rsidP="00294AD9">
      <w:pPr>
        <w:spacing w:before="120"/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lastRenderedPageBreak/>
        <w:t>The company has also been developing a training package for franchisee owners and managers to better understand and apply:</w:t>
      </w:r>
    </w:p>
    <w:p w14:paraId="6333106F" w14:textId="637BC879" w:rsidR="00294AD9" w:rsidRPr="00611696" w:rsidRDefault="00294AD9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</w:t>
      </w:r>
      <w:r w:rsidR="004D0ACA" w:rsidRPr="00611696">
        <w:rPr>
          <w:rFonts w:asciiTheme="minorHAnsi" w:hAnsiTheme="minorHAnsi"/>
        </w:rPr>
        <w:t>Act</w:t>
      </w:r>
    </w:p>
    <w:p w14:paraId="274E9198" w14:textId="57FD7269" w:rsidR="00294AD9" w:rsidRPr="00611696" w:rsidRDefault="00294AD9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Award entitlements including leave, hours of work and breaks</w:t>
      </w:r>
    </w:p>
    <w:p w14:paraId="0D311A57" w14:textId="37B93C92" w:rsidR="00294AD9" w:rsidRPr="00611696" w:rsidRDefault="00294AD9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National Employment Standards (NES).</w:t>
      </w:r>
    </w:p>
    <w:p w14:paraId="0FED0EE2" w14:textId="1EC6B242" w:rsidR="007E196C" w:rsidRPr="00611696" w:rsidRDefault="00BA350A" w:rsidP="00732EA3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Warehouse</w:t>
      </w:r>
      <w:r w:rsidR="006771D0" w:rsidRPr="00611696">
        <w:rPr>
          <w:rFonts w:asciiTheme="minorHAnsi" w:hAnsiTheme="minorHAnsi"/>
        </w:rPr>
        <w:t xml:space="preserve"> held </w:t>
      </w:r>
      <w:r w:rsidR="005663BD" w:rsidRPr="00611696">
        <w:rPr>
          <w:rFonts w:asciiTheme="minorHAnsi" w:hAnsiTheme="minorHAnsi"/>
        </w:rPr>
        <w:t>one-day</w:t>
      </w:r>
      <w:r w:rsidR="008D7104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 xml:space="preserve">conferences in </w:t>
      </w:r>
      <w:r w:rsidR="007E196C" w:rsidRPr="00611696">
        <w:rPr>
          <w:rFonts w:asciiTheme="minorHAnsi" w:hAnsiTheme="minorHAnsi"/>
          <w:szCs w:val="22"/>
        </w:rPr>
        <w:t xml:space="preserve">Victoria, Queensland and New South Wales </w:t>
      </w:r>
      <w:r w:rsidR="00011FF4" w:rsidRPr="00611696">
        <w:rPr>
          <w:rFonts w:asciiTheme="minorHAnsi" w:hAnsiTheme="minorHAnsi"/>
          <w:szCs w:val="22"/>
        </w:rPr>
        <w:t xml:space="preserve">that </w:t>
      </w:r>
      <w:r w:rsidR="007E196C" w:rsidRPr="00611696">
        <w:rPr>
          <w:rFonts w:asciiTheme="minorHAnsi" w:hAnsiTheme="minorHAnsi"/>
          <w:szCs w:val="22"/>
        </w:rPr>
        <w:t>include</w:t>
      </w:r>
      <w:r w:rsidR="00294AD9" w:rsidRPr="00611696">
        <w:rPr>
          <w:rFonts w:asciiTheme="minorHAnsi" w:hAnsiTheme="minorHAnsi"/>
          <w:szCs w:val="22"/>
        </w:rPr>
        <w:t>d</w:t>
      </w:r>
      <w:r w:rsidR="007E196C" w:rsidRPr="00611696">
        <w:rPr>
          <w:rFonts w:asciiTheme="minorHAnsi" w:hAnsiTheme="minorHAnsi"/>
          <w:szCs w:val="22"/>
        </w:rPr>
        <w:t xml:space="preserve"> training on the Australian workplace relations system</w:t>
      </w:r>
      <w:r w:rsidR="00294AD9" w:rsidRPr="00611696">
        <w:rPr>
          <w:rFonts w:asciiTheme="minorHAnsi" w:hAnsiTheme="minorHAnsi"/>
          <w:szCs w:val="22"/>
        </w:rPr>
        <w:t xml:space="preserve">, </w:t>
      </w:r>
      <w:r w:rsidR="00920394" w:rsidRPr="00611696">
        <w:rPr>
          <w:rFonts w:asciiTheme="minorHAnsi" w:hAnsiTheme="minorHAnsi"/>
        </w:rPr>
        <w:t xml:space="preserve">managing </w:t>
      </w:r>
      <w:r w:rsidR="000870B8" w:rsidRPr="00611696">
        <w:rPr>
          <w:rFonts w:asciiTheme="minorHAnsi" w:hAnsiTheme="minorHAnsi"/>
        </w:rPr>
        <w:t xml:space="preserve">difficult </w:t>
      </w:r>
      <w:r w:rsidR="007E196C" w:rsidRPr="00611696">
        <w:rPr>
          <w:rFonts w:asciiTheme="minorHAnsi" w:hAnsiTheme="minorHAnsi"/>
        </w:rPr>
        <w:t>conversations</w:t>
      </w:r>
      <w:r w:rsidR="004740A4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>and managing performance.</w:t>
      </w:r>
    </w:p>
    <w:p w14:paraId="1460ADCD" w14:textId="26B5BCCD" w:rsidR="007E196C" w:rsidRPr="00611696" w:rsidRDefault="00D43D73" w:rsidP="00B05CD5">
      <w:pPr>
        <w:rPr>
          <w:rFonts w:asciiTheme="minorHAnsi" w:hAnsiTheme="minorHAnsi"/>
        </w:rPr>
      </w:pPr>
      <w:r w:rsidRPr="00611696">
        <w:rPr>
          <w:rFonts w:asciiTheme="minorHAnsi" w:hAnsiTheme="minorHAnsi"/>
        </w:rPr>
        <w:t>T</w:t>
      </w:r>
      <w:r w:rsidR="004740A4" w:rsidRPr="00611696">
        <w:rPr>
          <w:rFonts w:asciiTheme="minorHAnsi" w:hAnsiTheme="minorHAnsi"/>
        </w:rPr>
        <w:t>he company</w:t>
      </w:r>
      <w:r w:rsidR="007E196C" w:rsidRPr="00611696">
        <w:rPr>
          <w:rFonts w:asciiTheme="minorHAnsi" w:hAnsiTheme="minorHAnsi"/>
        </w:rPr>
        <w:t xml:space="preserve"> has also produced a number of all-staff bulletins</w:t>
      </w:r>
      <w:r w:rsidR="00631C25" w:rsidRPr="00611696">
        <w:rPr>
          <w:rFonts w:asciiTheme="minorHAnsi" w:hAnsiTheme="minorHAnsi"/>
        </w:rPr>
        <w:t xml:space="preserve"> to raise </w:t>
      </w:r>
      <w:r w:rsidR="007E196C" w:rsidRPr="00611696">
        <w:rPr>
          <w:rFonts w:asciiTheme="minorHAnsi" w:hAnsiTheme="minorHAnsi"/>
        </w:rPr>
        <w:t xml:space="preserve">employee awareness </w:t>
      </w:r>
      <w:r w:rsidR="00631C25" w:rsidRPr="00611696">
        <w:rPr>
          <w:rFonts w:asciiTheme="minorHAnsi" w:hAnsiTheme="minorHAnsi"/>
        </w:rPr>
        <w:t xml:space="preserve">about: </w:t>
      </w:r>
    </w:p>
    <w:p w14:paraId="5BF83FB4" w14:textId="46D031E5" w:rsidR="007E196C" w:rsidRPr="00611696" w:rsidRDefault="007E196C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differences between part</w:t>
      </w:r>
      <w:r w:rsidR="00294AD9" w:rsidRPr="00611696">
        <w:rPr>
          <w:rFonts w:asciiTheme="minorHAnsi" w:hAnsiTheme="minorHAnsi"/>
        </w:rPr>
        <w:t>-</w:t>
      </w:r>
      <w:r w:rsidRPr="00611696">
        <w:rPr>
          <w:rFonts w:asciiTheme="minorHAnsi" w:hAnsiTheme="minorHAnsi"/>
        </w:rPr>
        <w:t xml:space="preserve">time and casual employment </w:t>
      </w:r>
    </w:p>
    <w:p w14:paraId="5DB0B900" w14:textId="77777777" w:rsidR="007E196C" w:rsidRPr="00611696" w:rsidRDefault="007E196C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personal and carer’s leave entitlements </w:t>
      </w:r>
    </w:p>
    <w:p w14:paraId="5FB62252" w14:textId="77777777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national minimum wage increases  </w:t>
      </w:r>
    </w:p>
    <w:p w14:paraId="694F7E26" w14:textId="77777777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information on public holidays and rosters. </w:t>
      </w:r>
    </w:p>
    <w:p w14:paraId="13BF4F96" w14:textId="34468525" w:rsidR="00473148" w:rsidRPr="00611696" w:rsidRDefault="000F3FDB" w:rsidP="00611696">
      <w:pPr>
        <w:pStyle w:val="Heading2"/>
        <w:rPr>
          <w:rFonts w:asciiTheme="minorHAnsi" w:hAnsiTheme="minorHAnsi"/>
        </w:rPr>
      </w:pPr>
      <w:bookmarkStart w:id="20" w:name="_Toc525655523"/>
      <w:bookmarkStart w:id="21" w:name="_Toc527984998"/>
      <w:r w:rsidRPr="00611696">
        <w:rPr>
          <w:rFonts w:asciiTheme="minorHAnsi" w:hAnsiTheme="minorHAnsi"/>
        </w:rPr>
        <w:t xml:space="preserve">Systems and </w:t>
      </w:r>
      <w:r w:rsidR="00F7757C" w:rsidRPr="00611696">
        <w:rPr>
          <w:rFonts w:asciiTheme="minorHAnsi" w:hAnsiTheme="minorHAnsi"/>
        </w:rPr>
        <w:t>p</w:t>
      </w:r>
      <w:r w:rsidRPr="00611696">
        <w:rPr>
          <w:rFonts w:asciiTheme="minorHAnsi" w:hAnsiTheme="minorHAnsi"/>
        </w:rPr>
        <w:t>rocesses</w:t>
      </w:r>
      <w:bookmarkEnd w:id="20"/>
      <w:bookmarkEnd w:id="21"/>
      <w:r w:rsidRPr="00611696">
        <w:rPr>
          <w:rFonts w:asciiTheme="minorHAnsi" w:hAnsiTheme="minorHAnsi"/>
        </w:rPr>
        <w:t xml:space="preserve"> </w:t>
      </w:r>
    </w:p>
    <w:p w14:paraId="4AB9977A" w14:textId="3ED1E4C5" w:rsidR="00753D8D" w:rsidRPr="00611696" w:rsidRDefault="007E196C" w:rsidP="00753D8D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Warehouse agreed to implement changes to its systems and processes</w:t>
      </w:r>
      <w:r w:rsidR="00753D8D" w:rsidRPr="00611696">
        <w:rPr>
          <w:rFonts w:asciiTheme="minorHAnsi" w:hAnsiTheme="minorHAnsi"/>
        </w:rPr>
        <w:t>. Through these changes, it aims to:</w:t>
      </w:r>
    </w:p>
    <w:p w14:paraId="7C62FAA9" w14:textId="39FD6FDF" w:rsidR="00F7757C" w:rsidRPr="00611696" w:rsidRDefault="007E196C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address </w:t>
      </w:r>
      <w:r w:rsidR="005D2FFC" w:rsidRPr="00611696">
        <w:rPr>
          <w:rFonts w:asciiTheme="minorHAnsi" w:hAnsiTheme="minorHAnsi"/>
        </w:rPr>
        <w:t xml:space="preserve">systemic </w:t>
      </w:r>
      <w:r w:rsidRPr="00611696">
        <w:rPr>
          <w:rFonts w:asciiTheme="minorHAnsi" w:hAnsiTheme="minorHAnsi"/>
        </w:rPr>
        <w:t>time-recording deficiencies, including in relation to training attendance</w:t>
      </w:r>
    </w:p>
    <w:p w14:paraId="3EE52F97" w14:textId="36B73CF7" w:rsidR="00B05CD5" w:rsidRPr="00611696" w:rsidRDefault="007E196C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improv</w:t>
      </w:r>
      <w:r w:rsidR="00F7757C" w:rsidRPr="00611696">
        <w:rPr>
          <w:rFonts w:asciiTheme="minorHAnsi" w:hAnsiTheme="minorHAnsi"/>
        </w:rPr>
        <w:t>e</w:t>
      </w:r>
      <w:r w:rsidRPr="00611696">
        <w:rPr>
          <w:rFonts w:asciiTheme="minorHAnsi" w:hAnsiTheme="minorHAnsi"/>
        </w:rPr>
        <w:t xml:space="preserve"> governance of employee training requirements</w:t>
      </w:r>
    </w:p>
    <w:p w14:paraId="47115E38" w14:textId="7D8D59E9" w:rsidR="00F7757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resolve issues that led to widespread unpaid training prior to the commencement of the compliance partnership. </w:t>
      </w:r>
    </w:p>
    <w:p w14:paraId="1DF98D5C" w14:textId="78086022" w:rsidR="00E61217" w:rsidRPr="00611696" w:rsidRDefault="007E196C" w:rsidP="002F111A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Clause 4 of the PCD requires </w:t>
      </w:r>
      <w:r w:rsidR="00F7757C" w:rsidRPr="00611696">
        <w:rPr>
          <w:rFonts w:asciiTheme="minorHAnsi" w:hAnsiTheme="minorHAnsi"/>
        </w:rPr>
        <w:t xml:space="preserve">Chemist Warehouse </w:t>
      </w:r>
      <w:r w:rsidRPr="00611696">
        <w:rPr>
          <w:rFonts w:asciiTheme="minorHAnsi" w:hAnsiTheme="minorHAnsi"/>
        </w:rPr>
        <w:t xml:space="preserve">to provide </w:t>
      </w:r>
      <w:r w:rsidR="00F7757C" w:rsidRPr="00611696">
        <w:rPr>
          <w:rFonts w:asciiTheme="minorHAnsi" w:hAnsiTheme="minorHAnsi"/>
        </w:rPr>
        <w:t xml:space="preserve">the </w:t>
      </w:r>
      <w:r w:rsidRPr="00611696">
        <w:rPr>
          <w:rFonts w:asciiTheme="minorHAnsi" w:hAnsiTheme="minorHAnsi"/>
        </w:rPr>
        <w:t>FWO with six-monthly reports detail</w:t>
      </w:r>
      <w:r w:rsidR="00E61217" w:rsidRPr="00611696">
        <w:rPr>
          <w:rFonts w:asciiTheme="minorHAnsi" w:hAnsiTheme="minorHAnsi"/>
        </w:rPr>
        <w:t>ing any c</w:t>
      </w:r>
      <w:r w:rsidR="00F7757C" w:rsidRPr="00611696">
        <w:rPr>
          <w:rFonts w:asciiTheme="minorHAnsi" w:hAnsiTheme="minorHAnsi"/>
        </w:rPr>
        <w:t xml:space="preserve">hanges to systems that record </w:t>
      </w:r>
      <w:r w:rsidRPr="00611696">
        <w:rPr>
          <w:rFonts w:asciiTheme="minorHAnsi" w:hAnsiTheme="minorHAnsi"/>
        </w:rPr>
        <w:t>hours of work</w:t>
      </w:r>
      <w:r w:rsidR="00F7757C" w:rsidRPr="00611696">
        <w:rPr>
          <w:rFonts w:asciiTheme="minorHAnsi" w:hAnsiTheme="minorHAnsi"/>
        </w:rPr>
        <w:t xml:space="preserve"> and </w:t>
      </w:r>
      <w:r w:rsidRPr="00611696">
        <w:rPr>
          <w:rFonts w:asciiTheme="minorHAnsi" w:hAnsiTheme="minorHAnsi"/>
        </w:rPr>
        <w:t>training attendance times</w:t>
      </w:r>
      <w:r w:rsidR="005D2FFC" w:rsidRPr="00611696">
        <w:rPr>
          <w:rFonts w:asciiTheme="minorHAnsi" w:hAnsiTheme="minorHAnsi"/>
        </w:rPr>
        <w:t>.</w:t>
      </w:r>
      <w:r w:rsidR="00F7757C" w:rsidRPr="00611696">
        <w:rPr>
          <w:rFonts w:asciiTheme="minorHAnsi" w:hAnsiTheme="minorHAnsi"/>
        </w:rPr>
        <w:t xml:space="preserve"> </w:t>
      </w:r>
      <w:r w:rsidR="005776AC" w:rsidRPr="00611696">
        <w:rPr>
          <w:rFonts w:asciiTheme="minorHAnsi" w:hAnsiTheme="minorHAnsi"/>
        </w:rPr>
        <w:t xml:space="preserve">The company </w:t>
      </w:r>
      <w:r w:rsidR="00E61217" w:rsidRPr="00611696">
        <w:rPr>
          <w:rFonts w:asciiTheme="minorHAnsi" w:hAnsiTheme="minorHAnsi"/>
        </w:rPr>
        <w:t>reported that</w:t>
      </w:r>
      <w:r w:rsidR="00753D8D" w:rsidRPr="00611696">
        <w:rPr>
          <w:rFonts w:asciiTheme="minorHAnsi" w:hAnsiTheme="minorHAnsi"/>
        </w:rPr>
        <w:t xml:space="preserve"> it</w:t>
      </w:r>
      <w:r w:rsidR="00E61217" w:rsidRPr="00611696">
        <w:rPr>
          <w:rFonts w:asciiTheme="minorHAnsi" w:hAnsiTheme="minorHAnsi"/>
        </w:rPr>
        <w:t>:</w:t>
      </w:r>
    </w:p>
    <w:p w14:paraId="650176BD" w14:textId="745CE36C" w:rsidR="00F7757C" w:rsidRPr="00611696" w:rsidRDefault="00753D8D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records </w:t>
      </w:r>
      <w:r w:rsidR="007E196C" w:rsidRPr="00611696">
        <w:rPr>
          <w:rFonts w:asciiTheme="minorHAnsi" w:hAnsiTheme="minorHAnsi"/>
        </w:rPr>
        <w:t>face-to-face training on hard</w:t>
      </w:r>
      <w:r w:rsidR="00F7757C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>copy log sheets</w:t>
      </w:r>
      <w:r w:rsidR="00E61217" w:rsidRPr="00611696">
        <w:rPr>
          <w:rFonts w:asciiTheme="minorHAnsi" w:hAnsiTheme="minorHAnsi"/>
        </w:rPr>
        <w:t xml:space="preserve"> and </w:t>
      </w:r>
      <w:r w:rsidRPr="00611696">
        <w:rPr>
          <w:rFonts w:asciiTheme="minorHAnsi" w:hAnsiTheme="minorHAnsi"/>
        </w:rPr>
        <w:t xml:space="preserve">retains </w:t>
      </w:r>
      <w:r w:rsidR="00F7757C" w:rsidRPr="00611696">
        <w:rPr>
          <w:rFonts w:asciiTheme="minorHAnsi" w:hAnsiTheme="minorHAnsi"/>
        </w:rPr>
        <w:t xml:space="preserve">a </w:t>
      </w:r>
      <w:r w:rsidR="007E196C" w:rsidRPr="00611696">
        <w:rPr>
          <w:rFonts w:asciiTheme="minorHAnsi" w:hAnsiTheme="minorHAnsi"/>
        </w:rPr>
        <w:t>master copy at head office</w:t>
      </w:r>
    </w:p>
    <w:p w14:paraId="1258EE8B" w14:textId="2A8D95CE" w:rsidR="00E61217" w:rsidRPr="00611696" w:rsidRDefault="00753D8D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emails </w:t>
      </w:r>
      <w:r w:rsidR="00F7757C" w:rsidRPr="00611696">
        <w:rPr>
          <w:rFonts w:asciiTheme="minorHAnsi" w:hAnsiTheme="minorHAnsi"/>
        </w:rPr>
        <w:t xml:space="preserve">training </w:t>
      </w:r>
      <w:r w:rsidR="007E196C" w:rsidRPr="00611696">
        <w:rPr>
          <w:rFonts w:asciiTheme="minorHAnsi" w:hAnsiTheme="minorHAnsi"/>
        </w:rPr>
        <w:t>attendance record</w:t>
      </w:r>
      <w:r w:rsidR="00F7757C" w:rsidRPr="00611696">
        <w:rPr>
          <w:rFonts w:asciiTheme="minorHAnsi" w:hAnsiTheme="minorHAnsi"/>
        </w:rPr>
        <w:t xml:space="preserve">s </w:t>
      </w:r>
      <w:r w:rsidRPr="00611696">
        <w:rPr>
          <w:rFonts w:asciiTheme="minorHAnsi" w:hAnsiTheme="minorHAnsi"/>
        </w:rPr>
        <w:t>t</w:t>
      </w:r>
      <w:r w:rsidR="007E196C" w:rsidRPr="00611696">
        <w:rPr>
          <w:rFonts w:asciiTheme="minorHAnsi" w:hAnsiTheme="minorHAnsi"/>
        </w:rPr>
        <w:t>o store managers</w:t>
      </w:r>
      <w:r w:rsidR="00E61217" w:rsidRPr="00611696">
        <w:rPr>
          <w:rFonts w:asciiTheme="minorHAnsi" w:hAnsiTheme="minorHAnsi"/>
        </w:rPr>
        <w:t xml:space="preserve"> on a fortnightly basis</w:t>
      </w:r>
    </w:p>
    <w:p w14:paraId="5EE889E0" w14:textId="17AC1D74" w:rsidR="00E61217" w:rsidRPr="00611696" w:rsidRDefault="00753D8D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restrict</w:t>
      </w:r>
      <w:r w:rsidR="00D43D73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 xml:space="preserve">access to </w:t>
      </w:r>
      <w:r w:rsidR="009B47BD" w:rsidRPr="00611696">
        <w:rPr>
          <w:rFonts w:asciiTheme="minorHAnsi" w:hAnsiTheme="minorHAnsi"/>
        </w:rPr>
        <w:t>the company’s</w:t>
      </w:r>
      <w:r w:rsidR="00E61217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 xml:space="preserve">online training portal </w:t>
      </w:r>
      <w:r w:rsidR="00D43D73" w:rsidRPr="00611696">
        <w:rPr>
          <w:rFonts w:asciiTheme="minorHAnsi" w:hAnsiTheme="minorHAnsi"/>
        </w:rPr>
        <w:t>t</w:t>
      </w:r>
      <w:r w:rsidR="007E196C" w:rsidRPr="00611696">
        <w:rPr>
          <w:rFonts w:asciiTheme="minorHAnsi" w:hAnsiTheme="minorHAnsi"/>
        </w:rPr>
        <w:t xml:space="preserve">o </w:t>
      </w:r>
      <w:r w:rsidR="005D2FFC" w:rsidRPr="00611696">
        <w:rPr>
          <w:rFonts w:asciiTheme="minorHAnsi" w:hAnsiTheme="minorHAnsi"/>
        </w:rPr>
        <w:t>employees using</w:t>
      </w:r>
      <w:r w:rsidR="009B47BD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the</w:t>
      </w:r>
      <w:r w:rsidR="007E196C" w:rsidRPr="00611696">
        <w:rPr>
          <w:rFonts w:asciiTheme="minorHAnsi" w:hAnsiTheme="minorHAnsi"/>
        </w:rPr>
        <w:t xml:space="preserve"> in-store online network</w:t>
      </w:r>
    </w:p>
    <w:p w14:paraId="62A753D8" w14:textId="0ADBF807" w:rsidR="00E61217" w:rsidRPr="00611696" w:rsidRDefault="00753D8D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is converting </w:t>
      </w:r>
      <w:r w:rsidR="00E61217" w:rsidRPr="00611696">
        <w:rPr>
          <w:rFonts w:asciiTheme="minorHAnsi" w:hAnsiTheme="minorHAnsi"/>
        </w:rPr>
        <w:t>i</w:t>
      </w:r>
      <w:r w:rsidR="007E196C" w:rsidRPr="00611696">
        <w:rPr>
          <w:rFonts w:asciiTheme="minorHAnsi" w:hAnsiTheme="minorHAnsi"/>
        </w:rPr>
        <w:t xml:space="preserve">n-house training </w:t>
      </w:r>
      <w:r w:rsidRPr="00611696">
        <w:rPr>
          <w:rFonts w:asciiTheme="minorHAnsi" w:hAnsiTheme="minorHAnsi"/>
        </w:rPr>
        <w:t>in</w:t>
      </w:r>
      <w:r w:rsidR="007E196C" w:rsidRPr="00611696">
        <w:rPr>
          <w:rFonts w:asciiTheme="minorHAnsi" w:hAnsiTheme="minorHAnsi"/>
        </w:rPr>
        <w:t xml:space="preserve">to online </w:t>
      </w:r>
      <w:r w:rsidR="00E61217" w:rsidRPr="00611696">
        <w:rPr>
          <w:rFonts w:asciiTheme="minorHAnsi" w:hAnsiTheme="minorHAnsi"/>
        </w:rPr>
        <w:t>module</w:t>
      </w:r>
      <w:r w:rsidR="00D43D73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. </w:t>
      </w:r>
    </w:p>
    <w:p w14:paraId="29C40D58" w14:textId="25C1CC6C" w:rsidR="00E61217" w:rsidRPr="00611696" w:rsidRDefault="00753D8D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has reduced </w:t>
      </w:r>
      <w:r w:rsidR="00E61217" w:rsidRPr="00611696">
        <w:rPr>
          <w:rFonts w:asciiTheme="minorHAnsi" w:hAnsiTheme="minorHAnsi"/>
        </w:rPr>
        <w:t xml:space="preserve">the </w:t>
      </w:r>
      <w:r w:rsidR="007E196C" w:rsidRPr="00611696">
        <w:rPr>
          <w:rFonts w:asciiTheme="minorHAnsi" w:hAnsiTheme="minorHAnsi"/>
        </w:rPr>
        <w:t xml:space="preserve">number of </w:t>
      </w:r>
      <w:r w:rsidR="005D2FFC" w:rsidRPr="00611696">
        <w:rPr>
          <w:rFonts w:asciiTheme="minorHAnsi" w:hAnsiTheme="minorHAnsi"/>
        </w:rPr>
        <w:t xml:space="preserve">mandatory </w:t>
      </w:r>
      <w:r w:rsidR="007E196C" w:rsidRPr="00611696">
        <w:rPr>
          <w:rFonts w:asciiTheme="minorHAnsi" w:hAnsiTheme="minorHAnsi"/>
        </w:rPr>
        <w:t>online modules that non-pharmacist staff are required to complete</w:t>
      </w:r>
      <w:r w:rsidRPr="00611696">
        <w:rPr>
          <w:rFonts w:asciiTheme="minorHAnsi" w:hAnsiTheme="minorHAnsi"/>
        </w:rPr>
        <w:t>.</w:t>
      </w:r>
    </w:p>
    <w:p w14:paraId="266A1B91" w14:textId="36CDBF9B" w:rsidR="007E196C" w:rsidRPr="00611696" w:rsidRDefault="007E196C" w:rsidP="002F111A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lastRenderedPageBreak/>
        <w:t xml:space="preserve">Collectively, these measures </w:t>
      </w:r>
      <w:r w:rsidR="007B47DC" w:rsidRPr="00611696">
        <w:rPr>
          <w:rFonts w:asciiTheme="minorHAnsi" w:hAnsiTheme="minorHAnsi"/>
        </w:rPr>
        <w:t xml:space="preserve">provide </w:t>
      </w:r>
      <w:r w:rsidRPr="00611696">
        <w:rPr>
          <w:rFonts w:asciiTheme="minorHAnsi" w:hAnsiTheme="minorHAnsi"/>
        </w:rPr>
        <w:t xml:space="preserve">Chemist Warehouse </w:t>
      </w:r>
      <w:r w:rsidR="007B47DC" w:rsidRPr="00611696">
        <w:rPr>
          <w:rFonts w:asciiTheme="minorHAnsi" w:hAnsiTheme="minorHAnsi"/>
        </w:rPr>
        <w:t>with the ability</w:t>
      </w:r>
      <w:r w:rsidRPr="00611696">
        <w:rPr>
          <w:rFonts w:asciiTheme="minorHAnsi" w:hAnsiTheme="minorHAnsi"/>
        </w:rPr>
        <w:t xml:space="preserve"> to monitor mandatory training </w:t>
      </w:r>
      <w:r w:rsidR="005D2FFC" w:rsidRPr="00611696">
        <w:rPr>
          <w:rFonts w:asciiTheme="minorHAnsi" w:hAnsiTheme="minorHAnsi"/>
        </w:rPr>
        <w:t xml:space="preserve">arrangements </w:t>
      </w:r>
      <w:r w:rsidRPr="00611696">
        <w:rPr>
          <w:rFonts w:asciiTheme="minorHAnsi" w:hAnsiTheme="minorHAnsi"/>
        </w:rPr>
        <w:t>more closely</w:t>
      </w:r>
      <w:r w:rsidR="00E61217" w:rsidRPr="00611696">
        <w:rPr>
          <w:rFonts w:asciiTheme="minorHAnsi" w:hAnsiTheme="minorHAnsi"/>
        </w:rPr>
        <w:t xml:space="preserve"> and ensure </w:t>
      </w:r>
      <w:r w:rsidR="002F111A" w:rsidRPr="00611696">
        <w:rPr>
          <w:rFonts w:asciiTheme="minorHAnsi" w:hAnsiTheme="minorHAnsi"/>
        </w:rPr>
        <w:t>that franchisees</w:t>
      </w:r>
      <w:r w:rsidR="00E61217" w:rsidRPr="00611696">
        <w:rPr>
          <w:rFonts w:asciiTheme="minorHAnsi" w:hAnsiTheme="minorHAnsi"/>
        </w:rPr>
        <w:t xml:space="preserve"> pa</w:t>
      </w:r>
      <w:r w:rsidR="002F111A" w:rsidRPr="00611696">
        <w:rPr>
          <w:rFonts w:asciiTheme="minorHAnsi" w:hAnsiTheme="minorHAnsi"/>
        </w:rPr>
        <w:t>y</w:t>
      </w:r>
      <w:r w:rsidR="00E61217" w:rsidRPr="00611696">
        <w:rPr>
          <w:rFonts w:asciiTheme="minorHAnsi" w:hAnsiTheme="minorHAnsi"/>
        </w:rPr>
        <w:t xml:space="preserve"> </w:t>
      </w:r>
      <w:r w:rsidR="002F111A" w:rsidRPr="00611696">
        <w:rPr>
          <w:rFonts w:asciiTheme="minorHAnsi" w:hAnsiTheme="minorHAnsi"/>
        </w:rPr>
        <w:t xml:space="preserve">their employees </w:t>
      </w:r>
      <w:r w:rsidR="00E61217" w:rsidRPr="00611696">
        <w:rPr>
          <w:rFonts w:asciiTheme="minorHAnsi" w:hAnsiTheme="minorHAnsi"/>
        </w:rPr>
        <w:t>correctly</w:t>
      </w:r>
      <w:r w:rsidRPr="00611696">
        <w:rPr>
          <w:rFonts w:asciiTheme="minorHAnsi" w:hAnsiTheme="minorHAnsi"/>
        </w:rPr>
        <w:t xml:space="preserve">.  </w:t>
      </w:r>
    </w:p>
    <w:p w14:paraId="3B2BE48B" w14:textId="1A446BB3" w:rsidR="007E196C" w:rsidRPr="00611696" w:rsidRDefault="007E196C" w:rsidP="00611696">
      <w:pPr>
        <w:pStyle w:val="Heading3"/>
        <w:rPr>
          <w:rFonts w:asciiTheme="minorHAnsi" w:hAnsiTheme="minorHAnsi"/>
        </w:rPr>
      </w:pPr>
      <w:r w:rsidRPr="00611696">
        <w:rPr>
          <w:rFonts w:asciiTheme="minorHAnsi" w:hAnsiTheme="minorHAnsi"/>
        </w:rPr>
        <w:t>Review and upgrade of administration and payroll systems</w:t>
      </w:r>
    </w:p>
    <w:p w14:paraId="1DEB705B" w14:textId="0584AB42" w:rsidR="007E196C" w:rsidRPr="00611696" w:rsidRDefault="007E196C" w:rsidP="002F111A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All Chemist Warehouse franchisees are required to use online systems:</w:t>
      </w:r>
    </w:p>
    <w:p w14:paraId="6C420DF3" w14:textId="50C34B74" w:rsidR="007E196C" w:rsidRPr="00611696" w:rsidRDefault="007E196C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‘My Team</w:t>
      </w:r>
      <w:r w:rsidRPr="00611696">
        <w:rPr>
          <w:rFonts w:asciiTheme="minorHAnsi" w:hAnsiTheme="minorHAnsi"/>
        </w:rPr>
        <w:softHyphen/>
        <w:t>’ –</w:t>
      </w:r>
      <w:r w:rsidR="00E61217" w:rsidRPr="00611696">
        <w:rPr>
          <w:rFonts w:asciiTheme="minorHAnsi" w:hAnsiTheme="minorHAnsi"/>
        </w:rPr>
        <w:t xml:space="preserve"> </w:t>
      </w:r>
      <w:r w:rsidR="002F111A" w:rsidRPr="00611696">
        <w:rPr>
          <w:rFonts w:asciiTheme="minorHAnsi" w:hAnsiTheme="minorHAnsi"/>
        </w:rPr>
        <w:t xml:space="preserve">for </w:t>
      </w:r>
      <w:r w:rsidRPr="00611696">
        <w:rPr>
          <w:rFonts w:asciiTheme="minorHAnsi" w:hAnsiTheme="minorHAnsi"/>
        </w:rPr>
        <w:t>employee on-boarding and the variation and termination of employment contracts</w:t>
      </w:r>
    </w:p>
    <w:p w14:paraId="3D1E1AA3" w14:textId="649F10FB" w:rsidR="007E196C" w:rsidRPr="00611696" w:rsidRDefault="007E196C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‘PayGlobal’ –</w:t>
      </w:r>
      <w:r w:rsidR="00E61217" w:rsidRPr="00611696">
        <w:rPr>
          <w:rFonts w:asciiTheme="minorHAnsi" w:hAnsiTheme="minorHAnsi"/>
        </w:rPr>
        <w:t xml:space="preserve"> </w:t>
      </w:r>
      <w:r w:rsidR="002F111A" w:rsidRPr="00611696">
        <w:rPr>
          <w:rFonts w:asciiTheme="minorHAnsi" w:hAnsiTheme="minorHAnsi"/>
        </w:rPr>
        <w:t xml:space="preserve">for </w:t>
      </w:r>
      <w:r w:rsidRPr="00611696">
        <w:rPr>
          <w:rFonts w:asciiTheme="minorHAnsi" w:hAnsiTheme="minorHAnsi"/>
        </w:rPr>
        <w:t xml:space="preserve">payroll. </w:t>
      </w:r>
    </w:p>
    <w:p w14:paraId="7C782E07" w14:textId="6E26FEC0" w:rsidR="005D2FFC" w:rsidRPr="00611696" w:rsidRDefault="007E196C" w:rsidP="003E3DE6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In the first year of the </w:t>
      </w:r>
      <w:r w:rsidR="00BA350A" w:rsidRPr="00611696">
        <w:rPr>
          <w:rFonts w:asciiTheme="minorHAnsi" w:hAnsiTheme="minorHAnsi"/>
        </w:rPr>
        <w:t>partnership</w:t>
      </w:r>
      <w:r w:rsidRPr="00611696">
        <w:rPr>
          <w:rFonts w:asciiTheme="minorHAnsi" w:hAnsiTheme="minorHAnsi"/>
        </w:rPr>
        <w:t xml:space="preserve">, </w:t>
      </w:r>
      <w:r w:rsidR="00265809" w:rsidRPr="00611696">
        <w:rPr>
          <w:rFonts w:asciiTheme="minorHAnsi" w:hAnsiTheme="minorHAnsi"/>
        </w:rPr>
        <w:t xml:space="preserve">Chemist Warehouse </w:t>
      </w:r>
      <w:r w:rsidRPr="00611696">
        <w:rPr>
          <w:rFonts w:asciiTheme="minorHAnsi" w:hAnsiTheme="minorHAnsi"/>
        </w:rPr>
        <w:t xml:space="preserve">reviewed these systems to </w:t>
      </w:r>
      <w:r w:rsidR="00480745" w:rsidRPr="00611696">
        <w:rPr>
          <w:rFonts w:asciiTheme="minorHAnsi" w:hAnsiTheme="minorHAnsi"/>
        </w:rPr>
        <w:t xml:space="preserve">identify potential improvements and </w:t>
      </w:r>
      <w:r w:rsidRPr="00611696">
        <w:rPr>
          <w:rFonts w:asciiTheme="minorHAnsi" w:hAnsiTheme="minorHAnsi"/>
        </w:rPr>
        <w:t xml:space="preserve">ensure </w:t>
      </w:r>
      <w:r w:rsidR="00480745" w:rsidRPr="00611696">
        <w:rPr>
          <w:rFonts w:asciiTheme="minorHAnsi" w:hAnsiTheme="minorHAnsi"/>
        </w:rPr>
        <w:t xml:space="preserve">alignment </w:t>
      </w:r>
      <w:r w:rsidRPr="00611696">
        <w:rPr>
          <w:rFonts w:asciiTheme="minorHAnsi" w:hAnsiTheme="minorHAnsi"/>
        </w:rPr>
        <w:t>with a series of Fair Work Commission (FWC) decisions</w:t>
      </w:r>
      <w:r w:rsidR="005D2FFC" w:rsidRPr="00611696">
        <w:rPr>
          <w:rFonts w:asciiTheme="minorHAnsi" w:hAnsiTheme="minorHAnsi"/>
        </w:rPr>
        <w:t>:</w:t>
      </w:r>
    </w:p>
    <w:p w14:paraId="66EF2690" w14:textId="59A3ABCC" w:rsidR="005D2FFC" w:rsidRPr="00611696" w:rsidRDefault="00265809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annual wage review</w:t>
      </w:r>
      <w:r w:rsidR="005D2FFC" w:rsidRPr="00611696">
        <w:rPr>
          <w:rFonts w:asciiTheme="minorHAnsi" w:hAnsiTheme="minorHAnsi"/>
        </w:rPr>
        <w:t xml:space="preserve"> (</w:t>
      </w:r>
      <w:r w:rsidR="00CD1AB0" w:rsidRPr="00611696">
        <w:rPr>
          <w:rFonts w:asciiTheme="minorHAnsi" w:hAnsiTheme="minorHAnsi"/>
        </w:rPr>
        <w:t xml:space="preserve">effective </w:t>
      </w:r>
      <w:r w:rsidR="005D2FFC" w:rsidRPr="00611696">
        <w:rPr>
          <w:rFonts w:asciiTheme="minorHAnsi" w:hAnsiTheme="minorHAnsi"/>
        </w:rPr>
        <w:t>1 July 2017)</w:t>
      </w:r>
      <w:r w:rsidRPr="00611696">
        <w:rPr>
          <w:rStyle w:val="FootnoteReference"/>
          <w:rFonts w:asciiTheme="minorHAnsi" w:hAnsiTheme="minorHAnsi"/>
        </w:rPr>
        <w:footnoteReference w:id="12"/>
      </w:r>
    </w:p>
    <w:p w14:paraId="4A87CC45" w14:textId="4DC34202" w:rsidR="005D2FFC" w:rsidRPr="00611696" w:rsidRDefault="00C6007F" w:rsidP="00C82826">
      <w:pPr>
        <w:pStyle w:val="Bullet"/>
        <w:rPr>
          <w:rFonts w:asciiTheme="minorHAnsi" w:hAnsiTheme="minorHAnsi"/>
        </w:rPr>
      </w:pPr>
      <w:hyperlink r:id="rId9" w:history="1">
        <w:r w:rsidR="007E196C" w:rsidRPr="00611696">
          <w:rPr>
            <w:rFonts w:asciiTheme="minorHAnsi" w:hAnsiTheme="minorHAnsi"/>
          </w:rPr>
          <w:t>penalty rates decision</w:t>
        </w:r>
      </w:hyperlink>
      <w:r w:rsidR="007E196C" w:rsidRPr="00611696">
        <w:rPr>
          <w:rFonts w:asciiTheme="minorHAnsi" w:hAnsiTheme="minorHAnsi"/>
        </w:rPr>
        <w:t xml:space="preserve"> </w:t>
      </w:r>
      <w:r w:rsidR="005D2FFC" w:rsidRPr="00611696">
        <w:rPr>
          <w:rFonts w:asciiTheme="minorHAnsi" w:hAnsiTheme="minorHAnsi"/>
        </w:rPr>
        <w:t>(</w:t>
      </w:r>
      <w:r w:rsidR="00363D1D" w:rsidRPr="00611696">
        <w:rPr>
          <w:rFonts w:asciiTheme="minorHAnsi" w:hAnsiTheme="minorHAnsi"/>
        </w:rPr>
        <w:t xml:space="preserve">effective </w:t>
      </w:r>
      <w:r w:rsidR="005D2FFC" w:rsidRPr="00611696">
        <w:rPr>
          <w:rFonts w:asciiTheme="minorHAnsi" w:hAnsiTheme="minorHAnsi"/>
        </w:rPr>
        <w:t>1 July 2017)</w:t>
      </w:r>
      <w:r w:rsidR="00363D1D" w:rsidRPr="00611696">
        <w:rPr>
          <w:rStyle w:val="FootnoteReference"/>
          <w:rFonts w:asciiTheme="minorHAnsi" w:hAnsiTheme="minorHAnsi"/>
        </w:rPr>
        <w:footnoteReference w:id="13"/>
      </w:r>
    </w:p>
    <w:p w14:paraId="0D94E924" w14:textId="627D959C" w:rsidR="005D2FFC" w:rsidRPr="00611696" w:rsidRDefault="005D2FF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transition </w:t>
      </w:r>
      <w:r w:rsidR="00596DFE" w:rsidRPr="00611696">
        <w:rPr>
          <w:rFonts w:asciiTheme="minorHAnsi" w:hAnsiTheme="minorHAnsi"/>
        </w:rPr>
        <w:t xml:space="preserve">of </w:t>
      </w:r>
      <w:r w:rsidRPr="00611696">
        <w:rPr>
          <w:rFonts w:asciiTheme="minorHAnsi" w:hAnsiTheme="minorHAnsi"/>
        </w:rPr>
        <w:t xml:space="preserve">junior workers </w:t>
      </w:r>
      <w:r w:rsidR="003043D2" w:rsidRPr="00611696">
        <w:rPr>
          <w:rFonts w:asciiTheme="minorHAnsi" w:hAnsiTheme="minorHAnsi"/>
        </w:rPr>
        <w:t xml:space="preserve">classified at level three and four in the Award </w:t>
      </w:r>
      <w:r w:rsidRPr="00611696">
        <w:rPr>
          <w:rFonts w:asciiTheme="minorHAnsi" w:hAnsiTheme="minorHAnsi"/>
        </w:rPr>
        <w:t>to the full adult rate (</w:t>
      </w:r>
      <w:r w:rsidR="00CD1AB0" w:rsidRPr="00611696">
        <w:rPr>
          <w:rFonts w:asciiTheme="minorHAnsi" w:hAnsiTheme="minorHAnsi"/>
        </w:rPr>
        <w:t xml:space="preserve">effective </w:t>
      </w:r>
      <w:r w:rsidR="00781546" w:rsidRPr="00611696">
        <w:rPr>
          <w:rFonts w:asciiTheme="minorHAnsi" w:hAnsiTheme="minorHAnsi"/>
        </w:rPr>
        <w:t xml:space="preserve">11 September </w:t>
      </w:r>
      <w:r w:rsidRPr="00611696">
        <w:rPr>
          <w:rFonts w:asciiTheme="minorHAnsi" w:hAnsiTheme="minorHAnsi"/>
        </w:rPr>
        <w:t>2017)</w:t>
      </w:r>
      <w:r w:rsidR="000D2464" w:rsidRPr="00611696">
        <w:rPr>
          <w:rFonts w:asciiTheme="minorHAnsi" w:hAnsiTheme="minorHAnsi"/>
        </w:rPr>
        <w:t>.</w:t>
      </w:r>
      <w:r w:rsidR="004E3D7C" w:rsidRPr="00611696">
        <w:rPr>
          <w:rStyle w:val="FootnoteReference"/>
          <w:rFonts w:asciiTheme="minorHAnsi" w:hAnsiTheme="minorHAnsi"/>
        </w:rPr>
        <w:footnoteReference w:id="14"/>
      </w:r>
    </w:p>
    <w:p w14:paraId="691E66D8" w14:textId="2FB97561" w:rsidR="007E196C" w:rsidRPr="00611696" w:rsidRDefault="000B5DFA" w:rsidP="003E3DE6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The company has noted that l</w:t>
      </w:r>
      <w:r w:rsidR="007E196C" w:rsidRPr="00611696">
        <w:rPr>
          <w:rFonts w:asciiTheme="minorHAnsi" w:hAnsiTheme="minorHAnsi"/>
          <w:szCs w:val="22"/>
        </w:rPr>
        <w:t>imitations in</w:t>
      </w:r>
      <w:r w:rsidR="00480745" w:rsidRPr="00611696">
        <w:rPr>
          <w:rFonts w:asciiTheme="minorHAnsi" w:hAnsiTheme="minorHAnsi"/>
          <w:szCs w:val="22"/>
        </w:rPr>
        <w:t xml:space="preserve"> the </w:t>
      </w:r>
      <w:r w:rsidR="007E196C" w:rsidRPr="00611696">
        <w:rPr>
          <w:rFonts w:asciiTheme="minorHAnsi" w:hAnsiTheme="minorHAnsi"/>
          <w:szCs w:val="22"/>
        </w:rPr>
        <w:t>time recording functionality of Pay</w:t>
      </w:r>
      <w:r w:rsidR="00480745" w:rsidRPr="00611696">
        <w:rPr>
          <w:rFonts w:asciiTheme="minorHAnsi" w:hAnsiTheme="minorHAnsi"/>
          <w:szCs w:val="22"/>
        </w:rPr>
        <w:t xml:space="preserve"> </w:t>
      </w:r>
      <w:r w:rsidR="007E196C" w:rsidRPr="00611696">
        <w:rPr>
          <w:rFonts w:asciiTheme="minorHAnsi" w:hAnsiTheme="minorHAnsi"/>
          <w:szCs w:val="22"/>
        </w:rPr>
        <w:t xml:space="preserve">Global </w:t>
      </w:r>
      <w:r w:rsidR="00480745" w:rsidRPr="00611696">
        <w:rPr>
          <w:rFonts w:asciiTheme="minorHAnsi" w:hAnsiTheme="minorHAnsi"/>
          <w:szCs w:val="22"/>
        </w:rPr>
        <w:t xml:space="preserve">were </w:t>
      </w:r>
      <w:r w:rsidR="007E196C" w:rsidRPr="00611696">
        <w:rPr>
          <w:rFonts w:asciiTheme="minorHAnsi" w:hAnsiTheme="minorHAnsi"/>
          <w:szCs w:val="22"/>
        </w:rPr>
        <w:t xml:space="preserve">central to widespread underpayments </w:t>
      </w:r>
      <w:r w:rsidR="00B56E07" w:rsidRPr="00611696">
        <w:rPr>
          <w:rFonts w:asciiTheme="minorHAnsi" w:hAnsiTheme="minorHAnsi"/>
          <w:szCs w:val="22"/>
        </w:rPr>
        <w:t xml:space="preserve">found </w:t>
      </w:r>
      <w:r w:rsidR="007E196C" w:rsidRPr="00611696">
        <w:rPr>
          <w:rFonts w:asciiTheme="minorHAnsi" w:hAnsiTheme="minorHAnsi"/>
          <w:szCs w:val="22"/>
        </w:rPr>
        <w:t>during FWO’s initial audit</w:t>
      </w:r>
      <w:r w:rsidR="009B47BD" w:rsidRPr="00611696">
        <w:rPr>
          <w:rFonts w:asciiTheme="minorHAnsi" w:hAnsiTheme="minorHAnsi"/>
          <w:szCs w:val="22"/>
        </w:rPr>
        <w:t>.</w:t>
      </w:r>
      <w:r w:rsidR="00D43D73" w:rsidRPr="00611696">
        <w:rPr>
          <w:rFonts w:asciiTheme="minorHAnsi" w:hAnsiTheme="minorHAnsi"/>
          <w:szCs w:val="22"/>
        </w:rPr>
        <w:t xml:space="preserve"> </w:t>
      </w:r>
      <w:r w:rsidR="007E196C" w:rsidRPr="00611696">
        <w:rPr>
          <w:rFonts w:asciiTheme="minorHAnsi" w:hAnsiTheme="minorHAnsi"/>
          <w:szCs w:val="22"/>
        </w:rPr>
        <w:t xml:space="preserve">To address these issues, </w:t>
      </w:r>
      <w:r w:rsidRPr="00611696">
        <w:rPr>
          <w:rFonts w:asciiTheme="minorHAnsi" w:hAnsiTheme="minorHAnsi"/>
          <w:szCs w:val="22"/>
        </w:rPr>
        <w:t>it</w:t>
      </w:r>
      <w:r w:rsidR="007E196C" w:rsidRPr="00611696">
        <w:rPr>
          <w:rFonts w:asciiTheme="minorHAnsi" w:hAnsiTheme="minorHAnsi"/>
          <w:szCs w:val="22"/>
        </w:rPr>
        <w:t xml:space="preserve"> has </w:t>
      </w:r>
      <w:r w:rsidR="00780697" w:rsidRPr="00611696">
        <w:rPr>
          <w:rFonts w:asciiTheme="minorHAnsi" w:hAnsiTheme="minorHAnsi"/>
          <w:szCs w:val="22"/>
        </w:rPr>
        <w:t xml:space="preserve">been developing </w:t>
      </w:r>
      <w:r w:rsidR="007E196C" w:rsidRPr="00611696">
        <w:rPr>
          <w:rFonts w:asciiTheme="minorHAnsi" w:hAnsiTheme="minorHAnsi"/>
          <w:szCs w:val="22"/>
        </w:rPr>
        <w:t xml:space="preserve">an improved time recording and rostering system to integrate with existing services. </w:t>
      </w:r>
      <w:r w:rsidR="009B47BD" w:rsidRPr="00611696">
        <w:rPr>
          <w:rFonts w:asciiTheme="minorHAnsi" w:hAnsiTheme="minorHAnsi"/>
          <w:szCs w:val="22"/>
        </w:rPr>
        <w:t>The company consulted with th</w:t>
      </w:r>
      <w:r w:rsidR="00B56E07" w:rsidRPr="00611696">
        <w:rPr>
          <w:rFonts w:asciiTheme="minorHAnsi" w:hAnsiTheme="minorHAnsi"/>
          <w:szCs w:val="22"/>
        </w:rPr>
        <w:t xml:space="preserve">e </w:t>
      </w:r>
      <w:r w:rsidR="007E196C" w:rsidRPr="00611696">
        <w:rPr>
          <w:rFonts w:asciiTheme="minorHAnsi" w:hAnsiTheme="minorHAnsi"/>
          <w:szCs w:val="22"/>
        </w:rPr>
        <w:t>FWO and the FCB Group</w:t>
      </w:r>
      <w:r w:rsidR="007E196C" w:rsidRPr="00611696" w:rsidDel="00F76A39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  <w:szCs w:val="22"/>
        </w:rPr>
        <w:t xml:space="preserve">on system specifications to ensure full compliance with the Act, the NES and </w:t>
      </w:r>
      <w:r w:rsidR="00B56E07" w:rsidRPr="00611696">
        <w:rPr>
          <w:rFonts w:asciiTheme="minorHAnsi" w:hAnsiTheme="minorHAnsi"/>
          <w:szCs w:val="22"/>
        </w:rPr>
        <w:t>A</w:t>
      </w:r>
      <w:r w:rsidR="007E196C" w:rsidRPr="00611696">
        <w:rPr>
          <w:rFonts w:asciiTheme="minorHAnsi" w:hAnsiTheme="minorHAnsi"/>
          <w:szCs w:val="22"/>
        </w:rPr>
        <w:t xml:space="preserve">ward </w:t>
      </w:r>
      <w:r w:rsidR="00F054EB" w:rsidRPr="00611696">
        <w:rPr>
          <w:rFonts w:asciiTheme="minorHAnsi" w:hAnsiTheme="minorHAnsi"/>
          <w:szCs w:val="22"/>
        </w:rPr>
        <w:t>requirements.</w:t>
      </w:r>
      <w:r w:rsidR="007E196C" w:rsidRPr="00611696">
        <w:rPr>
          <w:rFonts w:asciiTheme="minorHAnsi" w:hAnsiTheme="minorHAnsi"/>
          <w:szCs w:val="22"/>
        </w:rPr>
        <w:t xml:space="preserve"> </w:t>
      </w:r>
    </w:p>
    <w:p w14:paraId="205ADFAE" w14:textId="526EB627" w:rsidR="007E196C" w:rsidRPr="00611696" w:rsidRDefault="007E196C" w:rsidP="00611696">
      <w:pPr>
        <w:pStyle w:val="Heading3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Warehouse hotline</w:t>
      </w:r>
      <w:r w:rsidR="00761792" w:rsidRPr="00611696">
        <w:rPr>
          <w:rFonts w:asciiTheme="minorHAnsi" w:hAnsiTheme="minorHAnsi"/>
        </w:rPr>
        <w:t xml:space="preserve"> </w:t>
      </w:r>
    </w:p>
    <w:p w14:paraId="6DA84352" w14:textId="0FC477F0" w:rsidR="006C05F9" w:rsidRPr="00611696" w:rsidRDefault="007E196C" w:rsidP="005B5531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Chemist Warehouse established a hotline </w:t>
      </w:r>
      <w:r w:rsidR="00B56E07" w:rsidRPr="00611696">
        <w:rPr>
          <w:rFonts w:asciiTheme="minorHAnsi" w:hAnsiTheme="minorHAnsi"/>
          <w:szCs w:val="22"/>
        </w:rPr>
        <w:t xml:space="preserve">for </w:t>
      </w:r>
      <w:r w:rsidRPr="00611696">
        <w:rPr>
          <w:rFonts w:asciiTheme="minorHAnsi" w:hAnsiTheme="minorHAnsi"/>
          <w:szCs w:val="22"/>
        </w:rPr>
        <w:t xml:space="preserve">employees </w:t>
      </w:r>
      <w:r w:rsidR="00F054EB" w:rsidRPr="00611696">
        <w:rPr>
          <w:rFonts w:asciiTheme="minorHAnsi" w:hAnsiTheme="minorHAnsi"/>
          <w:szCs w:val="22"/>
        </w:rPr>
        <w:t>to</w:t>
      </w:r>
      <w:r w:rsidRPr="00611696">
        <w:rPr>
          <w:rFonts w:asciiTheme="minorHAnsi" w:hAnsiTheme="minorHAnsi"/>
          <w:szCs w:val="22"/>
        </w:rPr>
        <w:t xml:space="preserve"> raise enquiries or lodge complaints </w:t>
      </w:r>
      <w:r w:rsidR="00B56E07" w:rsidRPr="00611696">
        <w:rPr>
          <w:rFonts w:asciiTheme="minorHAnsi" w:hAnsiTheme="minorHAnsi"/>
          <w:szCs w:val="22"/>
        </w:rPr>
        <w:t xml:space="preserve">about </w:t>
      </w:r>
      <w:r w:rsidRPr="00611696">
        <w:rPr>
          <w:rFonts w:asciiTheme="minorHAnsi" w:hAnsiTheme="minorHAnsi"/>
          <w:szCs w:val="22"/>
        </w:rPr>
        <w:t>their employment</w:t>
      </w:r>
      <w:r w:rsidR="00B56E07" w:rsidRPr="00611696">
        <w:rPr>
          <w:rFonts w:asciiTheme="minorHAnsi" w:hAnsiTheme="minorHAnsi"/>
          <w:szCs w:val="22"/>
        </w:rPr>
        <w:t xml:space="preserve"> (as per clause 7 of the PCD)</w:t>
      </w:r>
      <w:r w:rsidRPr="00611696">
        <w:rPr>
          <w:rFonts w:asciiTheme="minorHAnsi" w:hAnsiTheme="minorHAnsi"/>
          <w:szCs w:val="22"/>
        </w:rPr>
        <w:t>.</w:t>
      </w:r>
      <w:r w:rsidR="00E71932" w:rsidRPr="00611696">
        <w:rPr>
          <w:rFonts w:asciiTheme="minorHAnsi" w:hAnsiTheme="minorHAnsi"/>
          <w:szCs w:val="22"/>
        </w:rPr>
        <w:t xml:space="preserve"> </w:t>
      </w:r>
      <w:r w:rsidR="006C05F9" w:rsidRPr="00611696">
        <w:rPr>
          <w:rFonts w:asciiTheme="minorHAnsi" w:hAnsiTheme="minorHAnsi"/>
          <w:szCs w:val="22"/>
        </w:rPr>
        <w:t xml:space="preserve">It designed stickers with the hotline number for franchisees to display in prominent positions, such as </w:t>
      </w:r>
      <w:r w:rsidR="00D43D73" w:rsidRPr="00611696">
        <w:rPr>
          <w:rFonts w:asciiTheme="minorHAnsi" w:hAnsiTheme="minorHAnsi"/>
          <w:szCs w:val="22"/>
        </w:rPr>
        <w:t xml:space="preserve">on </w:t>
      </w:r>
      <w:r w:rsidR="006C05F9" w:rsidRPr="00611696">
        <w:rPr>
          <w:rFonts w:asciiTheme="minorHAnsi" w:hAnsiTheme="minorHAnsi"/>
          <w:szCs w:val="22"/>
        </w:rPr>
        <w:t xml:space="preserve">staff noticeboards </w:t>
      </w:r>
      <w:r w:rsidR="00D43D73" w:rsidRPr="00611696">
        <w:rPr>
          <w:rFonts w:asciiTheme="minorHAnsi" w:hAnsiTheme="minorHAnsi"/>
          <w:szCs w:val="22"/>
        </w:rPr>
        <w:t>and</w:t>
      </w:r>
      <w:r w:rsidR="006C05F9" w:rsidRPr="00611696">
        <w:rPr>
          <w:rFonts w:asciiTheme="minorHAnsi" w:hAnsiTheme="minorHAnsi"/>
          <w:szCs w:val="22"/>
        </w:rPr>
        <w:t xml:space="preserve"> telephone handsets. </w:t>
      </w:r>
    </w:p>
    <w:p w14:paraId="45477A32" w14:textId="380E19CF" w:rsidR="00B56E07" w:rsidRPr="00611696" w:rsidRDefault="00E71932" w:rsidP="005B5531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The</w:t>
      </w:r>
      <w:r w:rsidR="006C05F9" w:rsidRPr="00611696">
        <w:rPr>
          <w:rFonts w:asciiTheme="minorHAnsi" w:hAnsiTheme="minorHAnsi"/>
          <w:szCs w:val="22"/>
        </w:rPr>
        <w:t xml:space="preserve"> hotline </w:t>
      </w:r>
      <w:r w:rsidRPr="00611696">
        <w:rPr>
          <w:rFonts w:asciiTheme="minorHAnsi" w:hAnsiTheme="minorHAnsi"/>
          <w:szCs w:val="22"/>
        </w:rPr>
        <w:t>service converts voice</w:t>
      </w:r>
      <w:r w:rsidR="00D43D73" w:rsidRPr="00611696">
        <w:rPr>
          <w:rFonts w:asciiTheme="minorHAnsi" w:hAnsiTheme="minorHAnsi"/>
          <w:szCs w:val="22"/>
        </w:rPr>
        <w:t>-</w:t>
      </w:r>
      <w:r w:rsidRPr="00611696">
        <w:rPr>
          <w:rFonts w:asciiTheme="minorHAnsi" w:hAnsiTheme="minorHAnsi"/>
          <w:szCs w:val="22"/>
        </w:rPr>
        <w:t xml:space="preserve">mail messages </w:t>
      </w:r>
      <w:r w:rsidR="00D43D73" w:rsidRPr="00611696">
        <w:rPr>
          <w:rFonts w:asciiTheme="minorHAnsi" w:hAnsiTheme="minorHAnsi"/>
          <w:szCs w:val="22"/>
        </w:rPr>
        <w:t>in</w:t>
      </w:r>
      <w:r w:rsidRPr="00611696">
        <w:rPr>
          <w:rFonts w:asciiTheme="minorHAnsi" w:hAnsiTheme="minorHAnsi"/>
          <w:szCs w:val="22"/>
        </w:rPr>
        <w:t xml:space="preserve">to email, ensuring </w:t>
      </w:r>
      <w:r w:rsidR="006C05F9" w:rsidRPr="00611696">
        <w:rPr>
          <w:rFonts w:asciiTheme="minorHAnsi" w:hAnsiTheme="minorHAnsi"/>
          <w:szCs w:val="22"/>
        </w:rPr>
        <w:t xml:space="preserve">Chemist Warehouse </w:t>
      </w:r>
      <w:r w:rsidR="00D43D73" w:rsidRPr="00611696">
        <w:rPr>
          <w:rFonts w:asciiTheme="minorHAnsi" w:hAnsiTheme="minorHAnsi"/>
          <w:szCs w:val="22"/>
        </w:rPr>
        <w:t xml:space="preserve">is able to </w:t>
      </w:r>
      <w:r w:rsidRPr="00611696">
        <w:rPr>
          <w:rFonts w:asciiTheme="minorHAnsi" w:hAnsiTheme="minorHAnsi"/>
          <w:szCs w:val="22"/>
        </w:rPr>
        <w:t>record the detail</w:t>
      </w:r>
      <w:r w:rsidR="00D43D73" w:rsidRPr="00611696">
        <w:rPr>
          <w:rFonts w:asciiTheme="minorHAnsi" w:hAnsiTheme="minorHAnsi"/>
          <w:szCs w:val="22"/>
        </w:rPr>
        <w:t>s</w:t>
      </w:r>
      <w:r w:rsidRPr="00611696">
        <w:rPr>
          <w:rFonts w:asciiTheme="minorHAnsi" w:hAnsiTheme="minorHAnsi"/>
          <w:szCs w:val="22"/>
        </w:rPr>
        <w:t xml:space="preserve"> of all enquires. </w:t>
      </w:r>
      <w:r w:rsidR="006C05F9" w:rsidRPr="00611696">
        <w:rPr>
          <w:rFonts w:asciiTheme="minorHAnsi" w:hAnsiTheme="minorHAnsi"/>
          <w:szCs w:val="22"/>
        </w:rPr>
        <w:t>The company has also established an enquiry register to log all email and hotline enquiries, and track the</w:t>
      </w:r>
      <w:r w:rsidR="00D43D73" w:rsidRPr="00611696">
        <w:rPr>
          <w:rFonts w:asciiTheme="minorHAnsi" w:hAnsiTheme="minorHAnsi"/>
          <w:szCs w:val="22"/>
        </w:rPr>
        <w:t xml:space="preserve"> enquiry</w:t>
      </w:r>
      <w:r w:rsidR="006C05F9" w:rsidRPr="00611696">
        <w:rPr>
          <w:rFonts w:asciiTheme="minorHAnsi" w:hAnsiTheme="minorHAnsi"/>
          <w:szCs w:val="22"/>
        </w:rPr>
        <w:t xml:space="preserve"> resolution process. </w:t>
      </w:r>
    </w:p>
    <w:p w14:paraId="12E81A55" w14:textId="77777777" w:rsidR="000D6E2C" w:rsidRDefault="000D6E2C" w:rsidP="005B5531">
      <w:pPr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2AB2E4DA" w14:textId="1C9172A6" w:rsidR="007E196C" w:rsidRPr="00611696" w:rsidRDefault="00B56E07" w:rsidP="005B5531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lastRenderedPageBreak/>
        <w:t xml:space="preserve">Chemist Warehouse </w:t>
      </w:r>
      <w:r w:rsidR="007E196C" w:rsidRPr="00611696">
        <w:rPr>
          <w:rFonts w:asciiTheme="minorHAnsi" w:hAnsiTheme="minorHAnsi"/>
          <w:szCs w:val="22"/>
        </w:rPr>
        <w:t>report</w:t>
      </w:r>
      <w:r w:rsidRPr="00611696">
        <w:rPr>
          <w:rFonts w:asciiTheme="minorHAnsi" w:hAnsiTheme="minorHAnsi"/>
          <w:szCs w:val="22"/>
        </w:rPr>
        <w:t>ed</w:t>
      </w:r>
      <w:r w:rsidR="007E196C" w:rsidRPr="00611696">
        <w:rPr>
          <w:rFonts w:asciiTheme="minorHAnsi" w:hAnsiTheme="minorHAnsi"/>
          <w:szCs w:val="22"/>
        </w:rPr>
        <w:t xml:space="preserve"> </w:t>
      </w:r>
      <w:r w:rsidR="009B47BD" w:rsidRPr="00611696">
        <w:rPr>
          <w:rFonts w:asciiTheme="minorHAnsi" w:hAnsiTheme="minorHAnsi"/>
          <w:szCs w:val="22"/>
        </w:rPr>
        <w:t xml:space="preserve">it received </w:t>
      </w:r>
      <w:r w:rsidRPr="00611696">
        <w:rPr>
          <w:rFonts w:asciiTheme="minorHAnsi" w:hAnsiTheme="minorHAnsi"/>
          <w:szCs w:val="22"/>
        </w:rPr>
        <w:t xml:space="preserve">347 enquires in </w:t>
      </w:r>
      <w:r w:rsidR="007E196C" w:rsidRPr="00611696">
        <w:rPr>
          <w:rFonts w:asciiTheme="minorHAnsi" w:hAnsiTheme="minorHAnsi"/>
          <w:szCs w:val="22"/>
        </w:rPr>
        <w:t xml:space="preserve">the first year of the PCD. </w:t>
      </w:r>
      <w:r w:rsidRPr="00611696">
        <w:rPr>
          <w:rFonts w:asciiTheme="minorHAnsi" w:hAnsiTheme="minorHAnsi"/>
          <w:szCs w:val="22"/>
        </w:rPr>
        <w:t>T</w:t>
      </w:r>
      <w:r w:rsidR="007E196C" w:rsidRPr="00611696">
        <w:rPr>
          <w:rFonts w:asciiTheme="minorHAnsi" w:hAnsiTheme="minorHAnsi"/>
          <w:szCs w:val="22"/>
        </w:rPr>
        <w:t>he majority (313)</w:t>
      </w:r>
      <w:r w:rsidR="00D43D73" w:rsidRPr="00611696">
        <w:rPr>
          <w:rFonts w:asciiTheme="minorHAnsi" w:hAnsiTheme="minorHAnsi"/>
          <w:szCs w:val="22"/>
        </w:rPr>
        <w:t xml:space="preserve"> related to the issue of </w:t>
      </w:r>
      <w:r w:rsidR="007E196C" w:rsidRPr="00611696">
        <w:rPr>
          <w:rFonts w:asciiTheme="minorHAnsi" w:hAnsiTheme="minorHAnsi"/>
          <w:szCs w:val="22"/>
        </w:rPr>
        <w:t xml:space="preserve">payment for training. The remaining 34 </w:t>
      </w:r>
      <w:r w:rsidRPr="00611696">
        <w:rPr>
          <w:rFonts w:asciiTheme="minorHAnsi" w:hAnsiTheme="minorHAnsi"/>
          <w:szCs w:val="22"/>
        </w:rPr>
        <w:t xml:space="preserve">enquires </w:t>
      </w:r>
      <w:r w:rsidR="007E196C" w:rsidRPr="00611696">
        <w:rPr>
          <w:rFonts w:asciiTheme="minorHAnsi" w:hAnsiTheme="minorHAnsi"/>
          <w:szCs w:val="22"/>
        </w:rPr>
        <w:t>concerned:</w:t>
      </w:r>
    </w:p>
    <w:p w14:paraId="2C024302" w14:textId="1D261D04" w:rsidR="007E196C" w:rsidRPr="00611696" w:rsidRDefault="007E196C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leave entitlements</w:t>
      </w:r>
    </w:p>
    <w:p w14:paraId="6DD165F6" w14:textId="5A33F5EC" w:rsidR="007E196C" w:rsidRPr="00611696" w:rsidRDefault="007E196C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employee classification under the </w:t>
      </w:r>
      <w:r w:rsidR="00B56E07" w:rsidRPr="00611696">
        <w:rPr>
          <w:rFonts w:asciiTheme="minorHAnsi" w:hAnsiTheme="minorHAnsi"/>
        </w:rPr>
        <w:t xml:space="preserve">Award </w:t>
      </w:r>
    </w:p>
    <w:p w14:paraId="15417E17" w14:textId="166E45EA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breaks, hours of work, rosters and termination </w:t>
      </w:r>
    </w:p>
    <w:p w14:paraId="0C8EE53E" w14:textId="0B431735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pay</w:t>
      </w:r>
      <w:r w:rsidR="00F054EB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slips and payment summaries.</w:t>
      </w:r>
    </w:p>
    <w:p w14:paraId="60FD276E" w14:textId="6B16E583" w:rsidR="007E196C" w:rsidRPr="00611696" w:rsidRDefault="00E0756B" w:rsidP="005B5531">
      <w:pPr>
        <w:spacing w:before="120"/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</w:rPr>
        <w:t xml:space="preserve">Chemist Warehouse </w:t>
      </w:r>
      <w:r w:rsidR="007E196C" w:rsidRPr="00611696">
        <w:rPr>
          <w:rFonts w:asciiTheme="minorHAnsi" w:hAnsiTheme="minorHAnsi"/>
          <w:szCs w:val="22"/>
        </w:rPr>
        <w:t>determined that in most cases</w:t>
      </w:r>
      <w:r w:rsidR="009B47BD" w:rsidRPr="00611696">
        <w:rPr>
          <w:rFonts w:asciiTheme="minorHAnsi" w:hAnsiTheme="minorHAnsi"/>
          <w:szCs w:val="22"/>
        </w:rPr>
        <w:t xml:space="preserve"> there</w:t>
      </w:r>
      <w:r w:rsidR="007E196C" w:rsidRPr="00611696">
        <w:rPr>
          <w:rFonts w:asciiTheme="minorHAnsi" w:hAnsiTheme="minorHAnsi"/>
          <w:szCs w:val="22"/>
        </w:rPr>
        <w:t xml:space="preserve"> were no </w:t>
      </w:r>
      <w:r w:rsidR="00F054EB" w:rsidRPr="00611696">
        <w:rPr>
          <w:rFonts w:asciiTheme="minorHAnsi" w:hAnsiTheme="minorHAnsi"/>
          <w:szCs w:val="22"/>
        </w:rPr>
        <w:t>e</w:t>
      </w:r>
      <w:r w:rsidR="007E196C" w:rsidRPr="00611696">
        <w:rPr>
          <w:rFonts w:asciiTheme="minorHAnsi" w:hAnsiTheme="minorHAnsi"/>
          <w:szCs w:val="22"/>
        </w:rPr>
        <w:t>ntitlements</w:t>
      </w:r>
      <w:r w:rsidR="00F054EB" w:rsidRPr="00611696">
        <w:rPr>
          <w:rFonts w:asciiTheme="minorHAnsi" w:hAnsiTheme="minorHAnsi"/>
          <w:szCs w:val="22"/>
        </w:rPr>
        <w:t xml:space="preserve"> owing.</w:t>
      </w:r>
      <w:r w:rsidR="007E196C" w:rsidRPr="00611696">
        <w:rPr>
          <w:rFonts w:asciiTheme="minorHAnsi" w:hAnsiTheme="minorHAnsi"/>
          <w:szCs w:val="22"/>
        </w:rPr>
        <w:t xml:space="preserve"> Where </w:t>
      </w:r>
      <w:r w:rsidR="00A028DF" w:rsidRPr="00611696">
        <w:rPr>
          <w:rFonts w:asciiTheme="minorHAnsi" w:hAnsiTheme="minorHAnsi"/>
          <w:szCs w:val="22"/>
        </w:rPr>
        <w:t xml:space="preserve">it identified </w:t>
      </w:r>
      <w:r w:rsidR="007E196C" w:rsidRPr="00611696">
        <w:rPr>
          <w:rFonts w:asciiTheme="minorHAnsi" w:hAnsiTheme="minorHAnsi"/>
          <w:szCs w:val="22"/>
        </w:rPr>
        <w:t xml:space="preserve">outstanding entitlements, </w:t>
      </w:r>
      <w:r w:rsidR="009B47BD" w:rsidRPr="00611696">
        <w:rPr>
          <w:rFonts w:asciiTheme="minorHAnsi" w:hAnsiTheme="minorHAnsi"/>
          <w:szCs w:val="22"/>
        </w:rPr>
        <w:t>it</w:t>
      </w:r>
      <w:r w:rsidRPr="00611696">
        <w:rPr>
          <w:rFonts w:asciiTheme="minorHAnsi" w:hAnsiTheme="minorHAnsi"/>
          <w:szCs w:val="22"/>
        </w:rPr>
        <w:t xml:space="preserve"> </w:t>
      </w:r>
      <w:r w:rsidR="007E196C" w:rsidRPr="00611696">
        <w:rPr>
          <w:rFonts w:asciiTheme="minorHAnsi" w:hAnsiTheme="minorHAnsi"/>
          <w:szCs w:val="22"/>
        </w:rPr>
        <w:t>worked with the franchisee and employee to rectify the issue.</w:t>
      </w:r>
    </w:p>
    <w:p w14:paraId="6ADE91BB" w14:textId="24C58018" w:rsidR="007E196C" w:rsidRPr="00611696" w:rsidRDefault="00E0756B" w:rsidP="005B5531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The number of </w:t>
      </w:r>
      <w:r w:rsidR="006C05F9" w:rsidRPr="00611696">
        <w:rPr>
          <w:rFonts w:asciiTheme="minorHAnsi" w:hAnsiTheme="minorHAnsi"/>
          <w:szCs w:val="22"/>
        </w:rPr>
        <w:t xml:space="preserve">employee </w:t>
      </w:r>
      <w:r w:rsidRPr="00611696">
        <w:rPr>
          <w:rFonts w:asciiTheme="minorHAnsi" w:hAnsiTheme="minorHAnsi"/>
          <w:szCs w:val="22"/>
        </w:rPr>
        <w:t>enquir</w:t>
      </w:r>
      <w:r w:rsidR="00F8478F" w:rsidRPr="00611696">
        <w:rPr>
          <w:rFonts w:asciiTheme="minorHAnsi" w:hAnsiTheme="minorHAnsi"/>
          <w:szCs w:val="22"/>
        </w:rPr>
        <w:t>i</w:t>
      </w:r>
      <w:r w:rsidRPr="00611696">
        <w:rPr>
          <w:rFonts w:asciiTheme="minorHAnsi" w:hAnsiTheme="minorHAnsi"/>
          <w:szCs w:val="22"/>
        </w:rPr>
        <w:t xml:space="preserve">es </w:t>
      </w:r>
      <w:r w:rsidR="00A028DF" w:rsidRPr="00611696">
        <w:rPr>
          <w:rFonts w:asciiTheme="minorHAnsi" w:hAnsiTheme="minorHAnsi"/>
          <w:szCs w:val="22"/>
        </w:rPr>
        <w:t xml:space="preserve">has been </w:t>
      </w:r>
      <w:r w:rsidRPr="00611696">
        <w:rPr>
          <w:rFonts w:asciiTheme="minorHAnsi" w:hAnsiTheme="minorHAnsi"/>
          <w:szCs w:val="22"/>
        </w:rPr>
        <w:t xml:space="preserve">declining. For example, in the three-month period from </w:t>
      </w:r>
      <w:r w:rsidR="007E196C" w:rsidRPr="00611696">
        <w:rPr>
          <w:rFonts w:asciiTheme="minorHAnsi" w:hAnsiTheme="minorHAnsi"/>
          <w:szCs w:val="22"/>
        </w:rPr>
        <w:t>24th Novemb</w:t>
      </w:r>
      <w:r w:rsidR="00F054EB" w:rsidRPr="00611696">
        <w:rPr>
          <w:rFonts w:asciiTheme="minorHAnsi" w:hAnsiTheme="minorHAnsi"/>
          <w:szCs w:val="22"/>
        </w:rPr>
        <w:t xml:space="preserve">er 2016 </w:t>
      </w:r>
      <w:r w:rsidRPr="00611696">
        <w:rPr>
          <w:rFonts w:asciiTheme="minorHAnsi" w:hAnsiTheme="minorHAnsi"/>
          <w:szCs w:val="22"/>
        </w:rPr>
        <w:t xml:space="preserve">to </w:t>
      </w:r>
      <w:r w:rsidR="00F054EB" w:rsidRPr="00611696">
        <w:rPr>
          <w:rFonts w:asciiTheme="minorHAnsi" w:hAnsiTheme="minorHAnsi"/>
          <w:szCs w:val="22"/>
        </w:rPr>
        <w:t xml:space="preserve">24th February 2017, </w:t>
      </w:r>
      <w:r w:rsidR="00A028DF" w:rsidRPr="00611696">
        <w:rPr>
          <w:rFonts w:asciiTheme="minorHAnsi" w:hAnsiTheme="minorHAnsi"/>
          <w:szCs w:val="22"/>
        </w:rPr>
        <w:t xml:space="preserve">the </w:t>
      </w:r>
      <w:r w:rsidR="00761792" w:rsidRPr="00611696">
        <w:rPr>
          <w:rFonts w:asciiTheme="minorHAnsi" w:hAnsiTheme="minorHAnsi"/>
          <w:szCs w:val="22"/>
        </w:rPr>
        <w:t xml:space="preserve">company reported </w:t>
      </w:r>
      <w:r w:rsidR="009B47BD" w:rsidRPr="00611696">
        <w:rPr>
          <w:rFonts w:asciiTheme="minorHAnsi" w:hAnsiTheme="minorHAnsi"/>
          <w:szCs w:val="22"/>
        </w:rPr>
        <w:t xml:space="preserve">it received </w:t>
      </w:r>
      <w:r w:rsidR="006C05F9" w:rsidRPr="00611696">
        <w:rPr>
          <w:rFonts w:asciiTheme="minorHAnsi" w:hAnsiTheme="minorHAnsi"/>
          <w:szCs w:val="22"/>
        </w:rPr>
        <w:t xml:space="preserve">157 </w:t>
      </w:r>
      <w:r w:rsidR="007E196C" w:rsidRPr="00611696">
        <w:rPr>
          <w:rFonts w:asciiTheme="minorHAnsi" w:hAnsiTheme="minorHAnsi"/>
          <w:szCs w:val="22"/>
        </w:rPr>
        <w:t xml:space="preserve">enquiries </w:t>
      </w:r>
      <w:r w:rsidRPr="00611696">
        <w:rPr>
          <w:rFonts w:asciiTheme="minorHAnsi" w:hAnsiTheme="minorHAnsi"/>
          <w:szCs w:val="22"/>
        </w:rPr>
        <w:t xml:space="preserve">from </w:t>
      </w:r>
      <w:r w:rsidR="007E196C" w:rsidRPr="00611696">
        <w:rPr>
          <w:rFonts w:asciiTheme="minorHAnsi" w:hAnsiTheme="minorHAnsi"/>
          <w:szCs w:val="22"/>
        </w:rPr>
        <w:t xml:space="preserve">former and current employees. </w:t>
      </w:r>
      <w:r w:rsidR="00B24D3F" w:rsidRPr="00611696">
        <w:rPr>
          <w:rFonts w:asciiTheme="minorHAnsi" w:hAnsiTheme="minorHAnsi"/>
          <w:szCs w:val="22"/>
        </w:rPr>
        <w:t>More recently</w:t>
      </w:r>
      <w:r w:rsidRPr="00611696">
        <w:rPr>
          <w:rFonts w:asciiTheme="minorHAnsi" w:hAnsiTheme="minorHAnsi"/>
          <w:szCs w:val="22"/>
        </w:rPr>
        <w:t xml:space="preserve">, </w:t>
      </w:r>
      <w:r w:rsidR="00B24D3F" w:rsidRPr="00611696">
        <w:rPr>
          <w:rFonts w:asciiTheme="minorHAnsi" w:hAnsiTheme="minorHAnsi"/>
          <w:szCs w:val="22"/>
        </w:rPr>
        <w:t xml:space="preserve">the company has reported that </w:t>
      </w:r>
      <w:r w:rsidR="007E196C" w:rsidRPr="00611696">
        <w:rPr>
          <w:rFonts w:asciiTheme="minorHAnsi" w:hAnsiTheme="minorHAnsi"/>
          <w:szCs w:val="22"/>
        </w:rPr>
        <w:t xml:space="preserve">during the three-month period </w:t>
      </w:r>
      <w:r w:rsidR="00FC26DA" w:rsidRPr="00611696">
        <w:rPr>
          <w:rFonts w:asciiTheme="minorHAnsi" w:hAnsiTheme="minorHAnsi"/>
          <w:szCs w:val="22"/>
        </w:rPr>
        <w:t xml:space="preserve">of July </w:t>
      </w:r>
      <w:r w:rsidR="007E196C" w:rsidRPr="00611696">
        <w:rPr>
          <w:rFonts w:asciiTheme="minorHAnsi" w:hAnsiTheme="minorHAnsi"/>
          <w:szCs w:val="22"/>
        </w:rPr>
        <w:t xml:space="preserve">to </w:t>
      </w:r>
      <w:r w:rsidR="00FC26DA" w:rsidRPr="00611696">
        <w:rPr>
          <w:rFonts w:asciiTheme="minorHAnsi" w:hAnsiTheme="minorHAnsi"/>
          <w:szCs w:val="22"/>
        </w:rPr>
        <w:t>September</w:t>
      </w:r>
      <w:r w:rsidR="007E196C" w:rsidRPr="00611696">
        <w:rPr>
          <w:rFonts w:asciiTheme="minorHAnsi" w:hAnsiTheme="minorHAnsi"/>
          <w:szCs w:val="22"/>
        </w:rPr>
        <w:t xml:space="preserve"> 2018</w:t>
      </w:r>
      <w:r w:rsidRPr="00611696">
        <w:rPr>
          <w:rFonts w:asciiTheme="minorHAnsi" w:hAnsiTheme="minorHAnsi"/>
          <w:szCs w:val="22"/>
        </w:rPr>
        <w:t xml:space="preserve"> </w:t>
      </w:r>
      <w:r w:rsidR="006C05F9" w:rsidRPr="00611696">
        <w:rPr>
          <w:rFonts w:asciiTheme="minorHAnsi" w:hAnsiTheme="minorHAnsi"/>
          <w:szCs w:val="22"/>
        </w:rPr>
        <w:t xml:space="preserve">it received </w:t>
      </w:r>
      <w:r w:rsidR="00141F20" w:rsidRPr="00611696">
        <w:rPr>
          <w:rFonts w:asciiTheme="minorHAnsi" w:hAnsiTheme="minorHAnsi"/>
          <w:szCs w:val="22"/>
        </w:rPr>
        <w:t xml:space="preserve">only </w:t>
      </w:r>
      <w:r w:rsidR="00FC26DA" w:rsidRPr="00611696">
        <w:rPr>
          <w:rFonts w:asciiTheme="minorHAnsi" w:hAnsiTheme="minorHAnsi"/>
          <w:szCs w:val="22"/>
        </w:rPr>
        <w:t xml:space="preserve">five </w:t>
      </w:r>
      <w:r w:rsidR="00141F20" w:rsidRPr="00611696">
        <w:rPr>
          <w:rFonts w:asciiTheme="minorHAnsi" w:hAnsiTheme="minorHAnsi"/>
          <w:szCs w:val="22"/>
        </w:rPr>
        <w:t>PCD</w:t>
      </w:r>
      <w:r w:rsidR="009B47BD" w:rsidRPr="00611696">
        <w:rPr>
          <w:rFonts w:asciiTheme="minorHAnsi" w:hAnsiTheme="minorHAnsi"/>
          <w:szCs w:val="22"/>
        </w:rPr>
        <w:t>-</w:t>
      </w:r>
      <w:r w:rsidR="00141F20" w:rsidRPr="00611696">
        <w:rPr>
          <w:rFonts w:asciiTheme="minorHAnsi" w:hAnsiTheme="minorHAnsi"/>
          <w:szCs w:val="22"/>
        </w:rPr>
        <w:t xml:space="preserve">related </w:t>
      </w:r>
      <w:r w:rsidR="009B47BD" w:rsidRPr="00611696">
        <w:rPr>
          <w:rFonts w:asciiTheme="minorHAnsi" w:hAnsiTheme="minorHAnsi"/>
          <w:szCs w:val="22"/>
        </w:rPr>
        <w:t>hotline e</w:t>
      </w:r>
      <w:r w:rsidR="00141F20" w:rsidRPr="00611696">
        <w:rPr>
          <w:rFonts w:asciiTheme="minorHAnsi" w:hAnsiTheme="minorHAnsi"/>
          <w:szCs w:val="22"/>
        </w:rPr>
        <w:t>nquir</w:t>
      </w:r>
      <w:r w:rsidR="00F8478F" w:rsidRPr="00611696">
        <w:rPr>
          <w:rFonts w:asciiTheme="minorHAnsi" w:hAnsiTheme="minorHAnsi"/>
          <w:szCs w:val="22"/>
        </w:rPr>
        <w:t>i</w:t>
      </w:r>
      <w:r w:rsidR="00141F20" w:rsidRPr="00611696">
        <w:rPr>
          <w:rFonts w:asciiTheme="minorHAnsi" w:hAnsiTheme="minorHAnsi"/>
          <w:szCs w:val="22"/>
        </w:rPr>
        <w:t>es</w:t>
      </w:r>
      <w:r w:rsidR="00FC26DA" w:rsidRPr="00611696">
        <w:rPr>
          <w:rFonts w:asciiTheme="minorHAnsi" w:hAnsiTheme="minorHAnsi"/>
          <w:szCs w:val="22"/>
        </w:rPr>
        <w:t>, all of which it resolved within 21 days.</w:t>
      </w:r>
      <w:r w:rsidR="00141F20" w:rsidRPr="00611696">
        <w:rPr>
          <w:rFonts w:asciiTheme="minorHAnsi" w:hAnsiTheme="minorHAnsi"/>
          <w:szCs w:val="22"/>
        </w:rPr>
        <w:t xml:space="preserve"> </w:t>
      </w:r>
    </w:p>
    <w:p w14:paraId="10DEA335" w14:textId="214C578E" w:rsidR="00E9698F" w:rsidRPr="00611696" w:rsidRDefault="00CF2869" w:rsidP="00611696">
      <w:pPr>
        <w:pStyle w:val="Heading2"/>
        <w:rPr>
          <w:rFonts w:asciiTheme="minorHAnsi" w:hAnsiTheme="minorHAnsi"/>
        </w:rPr>
      </w:pPr>
      <w:bookmarkStart w:id="22" w:name="_Toc525655524"/>
      <w:bookmarkStart w:id="23" w:name="_Toc527984999"/>
      <w:r w:rsidRPr="00611696">
        <w:rPr>
          <w:rFonts w:asciiTheme="minorHAnsi" w:hAnsiTheme="minorHAnsi"/>
        </w:rPr>
        <w:t>Self-resolution of workplace disputes</w:t>
      </w:r>
      <w:bookmarkEnd w:id="22"/>
      <w:bookmarkEnd w:id="23"/>
    </w:p>
    <w:p w14:paraId="031E2DD0" w14:textId="7DAD07F4" w:rsidR="007E196C" w:rsidRPr="00611696" w:rsidRDefault="00E0756B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</w:t>
      </w:r>
      <w:r w:rsidR="007E196C" w:rsidRPr="00611696">
        <w:rPr>
          <w:rFonts w:asciiTheme="minorHAnsi" w:hAnsiTheme="minorHAnsi"/>
        </w:rPr>
        <w:t>he FWO refer</w:t>
      </w:r>
      <w:r w:rsidRPr="00611696">
        <w:rPr>
          <w:rFonts w:asciiTheme="minorHAnsi" w:hAnsiTheme="minorHAnsi"/>
        </w:rPr>
        <w:t>s</w:t>
      </w:r>
      <w:r w:rsidR="007E196C" w:rsidRPr="00611696">
        <w:rPr>
          <w:rFonts w:asciiTheme="minorHAnsi" w:hAnsiTheme="minorHAnsi"/>
        </w:rPr>
        <w:t xml:space="preserve"> requests for assistance</w:t>
      </w:r>
      <w:r w:rsidR="00F054EB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 xml:space="preserve">from current or former </w:t>
      </w:r>
      <w:r w:rsidR="00F054EB" w:rsidRPr="00611696">
        <w:rPr>
          <w:rFonts w:asciiTheme="minorHAnsi" w:hAnsiTheme="minorHAnsi"/>
        </w:rPr>
        <w:t xml:space="preserve">employees to </w:t>
      </w:r>
      <w:r w:rsidRPr="00611696">
        <w:rPr>
          <w:rFonts w:asciiTheme="minorHAnsi" w:hAnsiTheme="minorHAnsi"/>
        </w:rPr>
        <w:t xml:space="preserve">Chemist Warehouse </w:t>
      </w:r>
      <w:r w:rsidR="00F054EB" w:rsidRPr="00611696">
        <w:rPr>
          <w:rFonts w:asciiTheme="minorHAnsi" w:hAnsiTheme="minorHAnsi"/>
        </w:rPr>
        <w:t>to resolve</w:t>
      </w:r>
      <w:r w:rsidRPr="00611696">
        <w:rPr>
          <w:rFonts w:asciiTheme="minorHAnsi" w:hAnsiTheme="minorHAnsi"/>
        </w:rPr>
        <w:t xml:space="preserve"> (as per clause 9 of the PCD)</w:t>
      </w:r>
      <w:r w:rsidR="00F054EB" w:rsidRPr="00611696">
        <w:rPr>
          <w:rFonts w:asciiTheme="minorHAnsi" w:hAnsiTheme="minorHAnsi"/>
        </w:rPr>
        <w:t>.</w:t>
      </w:r>
      <w:r w:rsidR="007E196C" w:rsidRPr="00611696">
        <w:rPr>
          <w:rFonts w:asciiTheme="minorHAnsi" w:hAnsiTheme="minorHAnsi"/>
        </w:rPr>
        <w:t xml:space="preserve"> </w:t>
      </w:r>
    </w:p>
    <w:p w14:paraId="37D04680" w14:textId="7DD71E82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</w:t>
      </w:r>
      <w:r w:rsidR="00F054EB" w:rsidRPr="00611696">
        <w:rPr>
          <w:rFonts w:asciiTheme="minorHAnsi" w:hAnsiTheme="minorHAnsi"/>
        </w:rPr>
        <w:t>o date, t</w:t>
      </w:r>
      <w:r w:rsidRPr="00611696">
        <w:rPr>
          <w:rFonts w:asciiTheme="minorHAnsi" w:hAnsiTheme="minorHAnsi"/>
        </w:rPr>
        <w:t>he FWO has referred six requests for assistance</w:t>
      </w:r>
      <w:r w:rsidR="00E0756B" w:rsidRPr="00611696">
        <w:rPr>
          <w:rFonts w:asciiTheme="minorHAnsi" w:hAnsiTheme="minorHAnsi"/>
        </w:rPr>
        <w:t xml:space="preserve"> relating </w:t>
      </w:r>
      <w:r w:rsidRPr="00611696">
        <w:rPr>
          <w:rFonts w:asciiTheme="minorHAnsi" w:hAnsiTheme="minorHAnsi"/>
        </w:rPr>
        <w:t xml:space="preserve">to payment for online training. In three of the six matters, </w:t>
      </w:r>
      <w:r w:rsidR="00E0756B" w:rsidRPr="00611696">
        <w:rPr>
          <w:rFonts w:asciiTheme="minorHAnsi" w:hAnsiTheme="minorHAnsi"/>
        </w:rPr>
        <w:t>Chemist Warehouse</w:t>
      </w:r>
      <w:r w:rsidR="00A028DF" w:rsidRPr="00611696">
        <w:rPr>
          <w:rFonts w:asciiTheme="minorHAnsi" w:hAnsiTheme="minorHAnsi"/>
        </w:rPr>
        <w:t xml:space="preserve"> identified </w:t>
      </w:r>
      <w:r w:rsidRPr="00611696">
        <w:rPr>
          <w:rFonts w:asciiTheme="minorHAnsi" w:hAnsiTheme="minorHAnsi"/>
        </w:rPr>
        <w:t xml:space="preserve">monetary </w:t>
      </w:r>
      <w:r w:rsidR="00BA350A" w:rsidRPr="00611696">
        <w:rPr>
          <w:rFonts w:asciiTheme="minorHAnsi" w:hAnsiTheme="minorHAnsi"/>
        </w:rPr>
        <w:t>breaches.</w:t>
      </w:r>
      <w:r w:rsidR="00E0756B" w:rsidRPr="00611696">
        <w:rPr>
          <w:rFonts w:asciiTheme="minorHAnsi" w:hAnsiTheme="minorHAnsi"/>
        </w:rPr>
        <w:t xml:space="preserve"> </w:t>
      </w:r>
    </w:p>
    <w:p w14:paraId="730AC75F" w14:textId="223729E3" w:rsidR="002470E7" w:rsidRPr="00611696" w:rsidRDefault="007E196C" w:rsidP="00044DE9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Chemist Warehouse investigated and rectified these issues, and reported the outcomes to the FWO. </w:t>
      </w:r>
      <w:r w:rsidR="00BA350A" w:rsidRPr="00611696">
        <w:rPr>
          <w:rFonts w:asciiTheme="minorHAnsi" w:hAnsiTheme="minorHAnsi"/>
        </w:rPr>
        <w:t>The relevant f</w:t>
      </w:r>
      <w:r w:rsidRPr="00611696">
        <w:rPr>
          <w:rFonts w:asciiTheme="minorHAnsi" w:hAnsiTheme="minorHAnsi"/>
        </w:rPr>
        <w:t xml:space="preserve">ranchisees </w:t>
      </w:r>
      <w:r w:rsidR="00BA350A" w:rsidRPr="00611696">
        <w:rPr>
          <w:rFonts w:asciiTheme="minorHAnsi" w:hAnsiTheme="minorHAnsi"/>
        </w:rPr>
        <w:t xml:space="preserve">have </w:t>
      </w:r>
      <w:r w:rsidRPr="00611696">
        <w:rPr>
          <w:rFonts w:asciiTheme="minorHAnsi" w:hAnsiTheme="minorHAnsi"/>
        </w:rPr>
        <w:t>back-paid $1</w:t>
      </w:r>
      <w:r w:rsidR="00BA350A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 xml:space="preserve">500.21 </w:t>
      </w:r>
      <w:r w:rsidR="00E0756B" w:rsidRPr="00611696">
        <w:rPr>
          <w:rFonts w:asciiTheme="minorHAnsi" w:hAnsiTheme="minorHAnsi"/>
        </w:rPr>
        <w:t xml:space="preserve">to </w:t>
      </w:r>
      <w:r w:rsidRPr="00611696">
        <w:rPr>
          <w:rFonts w:asciiTheme="minorHAnsi" w:hAnsiTheme="minorHAnsi"/>
        </w:rPr>
        <w:t>three former employees for non-payment of training time.</w:t>
      </w:r>
    </w:p>
    <w:p w14:paraId="79F2ECCA" w14:textId="7B5A87C7" w:rsidR="000F3FDB" w:rsidRPr="00611696" w:rsidRDefault="000F3FDB" w:rsidP="00611696">
      <w:pPr>
        <w:pStyle w:val="Heading2"/>
        <w:rPr>
          <w:rFonts w:asciiTheme="minorHAnsi" w:hAnsiTheme="minorHAnsi"/>
        </w:rPr>
      </w:pPr>
      <w:bookmarkStart w:id="24" w:name="_Toc525655525"/>
      <w:bookmarkStart w:id="25" w:name="_Toc527985000"/>
      <w:r w:rsidRPr="00611696">
        <w:rPr>
          <w:rFonts w:asciiTheme="minorHAnsi" w:hAnsiTheme="minorHAnsi"/>
        </w:rPr>
        <w:t>Self-</w:t>
      </w:r>
      <w:r w:rsidR="00B02154" w:rsidRPr="00611696">
        <w:rPr>
          <w:rFonts w:asciiTheme="minorHAnsi" w:hAnsiTheme="minorHAnsi"/>
        </w:rPr>
        <w:t>a</w:t>
      </w:r>
      <w:r w:rsidR="00CF2869" w:rsidRPr="00611696">
        <w:rPr>
          <w:rFonts w:asciiTheme="minorHAnsi" w:hAnsiTheme="minorHAnsi"/>
        </w:rPr>
        <w:t>udits</w:t>
      </w:r>
      <w:bookmarkEnd w:id="24"/>
      <w:bookmarkEnd w:id="25"/>
      <w:r w:rsidR="00CF2869" w:rsidRPr="00611696">
        <w:rPr>
          <w:rFonts w:asciiTheme="minorHAnsi" w:hAnsiTheme="minorHAnsi"/>
        </w:rPr>
        <w:t xml:space="preserve"> </w:t>
      </w:r>
    </w:p>
    <w:p w14:paraId="33BD2D22" w14:textId="71EC9ECE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Chemist Warehouse is required to engage an independent accounting professional, audit</w:t>
      </w:r>
      <w:r w:rsidR="00E0756B" w:rsidRPr="00611696">
        <w:rPr>
          <w:rFonts w:asciiTheme="minorHAnsi" w:hAnsiTheme="minorHAnsi"/>
        </w:rPr>
        <w:t>or</w:t>
      </w:r>
      <w:r w:rsidRPr="00611696">
        <w:rPr>
          <w:rFonts w:asciiTheme="minorHAnsi" w:hAnsiTheme="minorHAnsi"/>
        </w:rPr>
        <w:t xml:space="preserve"> or employment law specialist to conduct three external audits of its franchise network</w:t>
      </w:r>
      <w:r w:rsidR="00E0756B" w:rsidRPr="00611696">
        <w:rPr>
          <w:rFonts w:asciiTheme="minorHAnsi" w:hAnsiTheme="minorHAnsi"/>
        </w:rPr>
        <w:t xml:space="preserve"> (As per clause 6 of the PCD).</w:t>
      </w:r>
    </w:p>
    <w:p w14:paraId="7B794CB0" w14:textId="345E1569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PCD requires the external specialist to conduct audits at the </w:t>
      </w:r>
      <w:r w:rsidR="009070E7" w:rsidRPr="00611696">
        <w:rPr>
          <w:rFonts w:asciiTheme="minorHAnsi" w:hAnsiTheme="minorHAnsi"/>
        </w:rPr>
        <w:t>6</w:t>
      </w:r>
      <w:r w:rsidRPr="00611696">
        <w:rPr>
          <w:rFonts w:asciiTheme="minorHAnsi" w:hAnsiTheme="minorHAnsi"/>
        </w:rPr>
        <w:t xml:space="preserve">, 18 and 30-month mark. The audits must include a 10% </w:t>
      </w:r>
      <w:r w:rsidR="00E0756B" w:rsidRPr="00611696">
        <w:rPr>
          <w:rFonts w:asciiTheme="minorHAnsi" w:hAnsiTheme="minorHAnsi"/>
        </w:rPr>
        <w:t xml:space="preserve">sample </w:t>
      </w:r>
      <w:r w:rsidRPr="00611696">
        <w:rPr>
          <w:rFonts w:asciiTheme="minorHAnsi" w:hAnsiTheme="minorHAnsi"/>
        </w:rPr>
        <w:t>of employees from across all retail outlets, and assess a four-week period.</w:t>
      </w:r>
    </w:p>
    <w:p w14:paraId="580A5ED1" w14:textId="428BBA09" w:rsidR="00D522DB" w:rsidRPr="00611696" w:rsidRDefault="007E196C" w:rsidP="00D522DB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Chemist Warehouse engaged </w:t>
      </w:r>
      <w:r w:rsidR="00E0756B" w:rsidRPr="00611696">
        <w:rPr>
          <w:rFonts w:asciiTheme="minorHAnsi" w:eastAsiaTheme="minorEastAsia" w:hAnsiTheme="minorHAnsi"/>
        </w:rPr>
        <w:t>FCB Group</w:t>
      </w:r>
      <w:r w:rsidRPr="00611696">
        <w:rPr>
          <w:rFonts w:asciiTheme="minorHAnsi" w:hAnsiTheme="minorHAnsi"/>
        </w:rPr>
        <w:t>, a workplace</w:t>
      </w:r>
      <w:r w:rsidR="00D522DB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relations</w:t>
      </w:r>
      <w:r w:rsidR="00D522DB" w:rsidRPr="00611696">
        <w:rPr>
          <w:rFonts w:asciiTheme="minorHAnsi" w:hAnsiTheme="minorHAnsi"/>
        </w:rPr>
        <w:t xml:space="preserve"> specialist, t</w:t>
      </w:r>
      <w:r w:rsidRPr="00611696">
        <w:rPr>
          <w:rFonts w:asciiTheme="minorHAnsi" w:hAnsiTheme="minorHAnsi"/>
        </w:rPr>
        <w:t>o conduct the audits</w:t>
      </w:r>
      <w:r w:rsidR="00D522DB" w:rsidRPr="00611696">
        <w:rPr>
          <w:rFonts w:asciiTheme="minorHAnsi" w:hAnsiTheme="minorHAnsi"/>
        </w:rPr>
        <w:t xml:space="preserve">. </w:t>
      </w:r>
      <w:r w:rsidR="009B47BD" w:rsidRPr="00611696">
        <w:rPr>
          <w:rFonts w:asciiTheme="minorHAnsi" w:hAnsiTheme="minorHAnsi"/>
        </w:rPr>
        <w:t xml:space="preserve">The company </w:t>
      </w:r>
      <w:r w:rsidR="00D522DB" w:rsidRPr="00611696">
        <w:rPr>
          <w:rFonts w:asciiTheme="minorHAnsi" w:hAnsiTheme="minorHAnsi"/>
        </w:rPr>
        <w:t>has now provided a report on the results of the first audit to FWO.</w:t>
      </w:r>
    </w:p>
    <w:p w14:paraId="6763B286" w14:textId="6FA523D2" w:rsidR="00D444EA" w:rsidRPr="00611696" w:rsidRDefault="007E196C" w:rsidP="00D522DB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The audit covered the period</w:t>
      </w:r>
      <w:r w:rsidR="00D444EA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 of 17 April to 14 May 2017 </w:t>
      </w:r>
      <w:r w:rsidR="00D444EA" w:rsidRPr="00611696">
        <w:rPr>
          <w:rFonts w:asciiTheme="minorHAnsi" w:hAnsiTheme="minorHAnsi"/>
        </w:rPr>
        <w:t>(</w:t>
      </w:r>
      <w:r w:rsidR="00A028DF" w:rsidRPr="00611696">
        <w:rPr>
          <w:rFonts w:asciiTheme="minorHAnsi" w:hAnsiTheme="minorHAnsi"/>
        </w:rPr>
        <w:t xml:space="preserve">for </w:t>
      </w:r>
      <w:r w:rsidRPr="00611696">
        <w:rPr>
          <w:rFonts w:asciiTheme="minorHAnsi" w:hAnsiTheme="minorHAnsi"/>
        </w:rPr>
        <w:t>employees in Tasmania and Victoria</w:t>
      </w:r>
      <w:r w:rsidR="00D444EA" w:rsidRPr="00611696">
        <w:rPr>
          <w:rFonts w:asciiTheme="minorHAnsi" w:hAnsiTheme="minorHAnsi"/>
        </w:rPr>
        <w:t xml:space="preserve">) and </w:t>
      </w:r>
      <w:r w:rsidRPr="00611696">
        <w:rPr>
          <w:rFonts w:asciiTheme="minorHAnsi" w:hAnsiTheme="minorHAnsi"/>
        </w:rPr>
        <w:t>24 April to 21 May 2017</w:t>
      </w:r>
      <w:r w:rsidR="00D444EA" w:rsidRPr="00611696">
        <w:rPr>
          <w:rFonts w:asciiTheme="minorHAnsi" w:hAnsiTheme="minorHAnsi"/>
        </w:rPr>
        <w:t xml:space="preserve"> (</w:t>
      </w:r>
      <w:r w:rsidR="00A028DF" w:rsidRPr="00611696">
        <w:rPr>
          <w:rFonts w:asciiTheme="minorHAnsi" w:hAnsiTheme="minorHAnsi"/>
        </w:rPr>
        <w:t>all</w:t>
      </w:r>
      <w:r w:rsidR="00D444EA" w:rsidRPr="00611696">
        <w:rPr>
          <w:rFonts w:asciiTheme="minorHAnsi" w:hAnsiTheme="minorHAnsi"/>
        </w:rPr>
        <w:t xml:space="preserve"> other states and territories). </w:t>
      </w:r>
      <w:r w:rsidR="00D522DB" w:rsidRPr="00611696">
        <w:rPr>
          <w:rFonts w:asciiTheme="minorHAnsi" w:hAnsiTheme="minorHAnsi"/>
        </w:rPr>
        <w:t xml:space="preserve">It included an assessment of </w:t>
      </w:r>
      <w:r w:rsidR="009B47BD" w:rsidRPr="00611696">
        <w:rPr>
          <w:rFonts w:asciiTheme="minorHAnsi" w:hAnsiTheme="minorHAnsi"/>
        </w:rPr>
        <w:t>the time</w:t>
      </w:r>
      <w:r w:rsidR="00D43D73" w:rsidRPr="00611696">
        <w:rPr>
          <w:rFonts w:asciiTheme="minorHAnsi" w:hAnsiTheme="minorHAnsi"/>
        </w:rPr>
        <w:t xml:space="preserve"> and</w:t>
      </w:r>
      <w:r w:rsidR="009B47BD" w:rsidRPr="00611696">
        <w:rPr>
          <w:rFonts w:asciiTheme="minorHAnsi" w:hAnsiTheme="minorHAnsi"/>
        </w:rPr>
        <w:t xml:space="preserve"> wages </w:t>
      </w:r>
      <w:r w:rsidR="00D522DB" w:rsidRPr="00611696">
        <w:rPr>
          <w:rFonts w:asciiTheme="minorHAnsi" w:hAnsiTheme="minorHAnsi"/>
        </w:rPr>
        <w:t xml:space="preserve">records </w:t>
      </w:r>
      <w:r w:rsidR="009B47BD" w:rsidRPr="00611696">
        <w:rPr>
          <w:rFonts w:asciiTheme="minorHAnsi" w:hAnsiTheme="minorHAnsi"/>
        </w:rPr>
        <w:t xml:space="preserve">of </w:t>
      </w:r>
      <w:r w:rsidR="00D522DB" w:rsidRPr="00611696">
        <w:rPr>
          <w:rFonts w:asciiTheme="minorHAnsi" w:hAnsiTheme="minorHAnsi"/>
        </w:rPr>
        <w:t>998 staff working in 302 stores across Australia</w:t>
      </w:r>
      <w:r w:rsidR="009B47BD" w:rsidRPr="00611696">
        <w:rPr>
          <w:rFonts w:asciiTheme="minorHAnsi" w:hAnsiTheme="minorHAnsi"/>
        </w:rPr>
        <w:t>.</w:t>
      </w:r>
    </w:p>
    <w:p w14:paraId="09A8FF6F" w14:textId="766D5472" w:rsidR="007E196C" w:rsidRPr="00611696" w:rsidRDefault="00D43D73" w:rsidP="006F7E02">
      <w:pPr>
        <w:jc w:val="left"/>
        <w:rPr>
          <w:rFonts w:asciiTheme="minorHAnsi" w:hAnsiTheme="minorHAnsi"/>
        </w:rPr>
      </w:pPr>
      <w:r w:rsidRPr="00611696">
        <w:rPr>
          <w:rFonts w:asciiTheme="minorHAnsi" w:eastAsiaTheme="minorEastAsia" w:hAnsiTheme="minorHAnsi"/>
        </w:rPr>
        <w:lastRenderedPageBreak/>
        <w:t>FCB Group</w:t>
      </w:r>
      <w:r w:rsidRPr="00611696">
        <w:rPr>
          <w:rFonts w:asciiTheme="minorHAnsi" w:hAnsiTheme="minorHAnsi"/>
        </w:rPr>
        <w:t xml:space="preserve"> </w:t>
      </w:r>
      <w:r w:rsidR="00D522DB" w:rsidRPr="00611696">
        <w:rPr>
          <w:rFonts w:asciiTheme="minorHAnsi" w:hAnsiTheme="minorHAnsi"/>
        </w:rPr>
        <w:t xml:space="preserve">examined the </w:t>
      </w:r>
      <w:r w:rsidR="007E196C" w:rsidRPr="00611696">
        <w:rPr>
          <w:rFonts w:asciiTheme="minorHAnsi" w:hAnsiTheme="minorHAnsi"/>
        </w:rPr>
        <w:t xml:space="preserve">following: </w:t>
      </w:r>
    </w:p>
    <w:p w14:paraId="335BEFBC" w14:textId="77777777" w:rsidR="007E196C" w:rsidRPr="00611696" w:rsidRDefault="007E196C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classification and status of employees</w:t>
      </w:r>
    </w:p>
    <w:p w14:paraId="6908DD4B" w14:textId="77777777" w:rsidR="007E196C" w:rsidRPr="00611696" w:rsidRDefault="007E196C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accuracy and consistency of employee records</w:t>
      </w:r>
    </w:p>
    <w:p w14:paraId="141E6E36" w14:textId="77777777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correct rates of pay for ordinary hours, loadings, allowances, penalty rates, leave and termination payments</w:t>
      </w:r>
    </w:p>
    <w:p w14:paraId="6E76D53F" w14:textId="77777777" w:rsidR="007E196C" w:rsidRPr="00611696" w:rsidRDefault="007E196C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payslip and employment records</w:t>
      </w:r>
    </w:p>
    <w:p w14:paraId="5FDFC49A" w14:textId="727CFB1E" w:rsidR="007E196C" w:rsidRPr="00611696" w:rsidRDefault="009070E7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training l</w:t>
      </w:r>
      <w:r w:rsidR="007E196C" w:rsidRPr="00611696">
        <w:rPr>
          <w:rFonts w:asciiTheme="minorHAnsi" w:hAnsiTheme="minorHAnsi"/>
        </w:rPr>
        <w:t>og</w:t>
      </w:r>
      <w:r w:rsidR="00D43D73" w:rsidRPr="00611696">
        <w:rPr>
          <w:rFonts w:asciiTheme="minorHAnsi" w:hAnsiTheme="minorHAnsi"/>
        </w:rPr>
        <w:t>-</w:t>
      </w:r>
      <w:r w:rsidR="007E196C" w:rsidRPr="00611696">
        <w:rPr>
          <w:rFonts w:asciiTheme="minorHAnsi" w:hAnsiTheme="minorHAnsi"/>
        </w:rPr>
        <w:t xml:space="preserve">in </w:t>
      </w:r>
      <w:r w:rsidRPr="00611696">
        <w:rPr>
          <w:rFonts w:asciiTheme="minorHAnsi" w:hAnsiTheme="minorHAnsi"/>
        </w:rPr>
        <w:t xml:space="preserve">and </w:t>
      </w:r>
      <w:r w:rsidR="007E196C" w:rsidRPr="00611696">
        <w:rPr>
          <w:rFonts w:asciiTheme="minorHAnsi" w:hAnsiTheme="minorHAnsi"/>
        </w:rPr>
        <w:t>log</w:t>
      </w:r>
      <w:r w:rsidRPr="00611696">
        <w:rPr>
          <w:rFonts w:asciiTheme="minorHAnsi" w:hAnsiTheme="minorHAnsi"/>
        </w:rPr>
        <w:t>-</w:t>
      </w:r>
      <w:r w:rsidR="007E196C" w:rsidRPr="00611696">
        <w:rPr>
          <w:rFonts w:asciiTheme="minorHAnsi" w:hAnsiTheme="minorHAnsi"/>
        </w:rPr>
        <w:t>out times</w:t>
      </w:r>
      <w:r w:rsidRPr="00611696">
        <w:rPr>
          <w:rFonts w:asciiTheme="minorHAnsi" w:hAnsiTheme="minorHAnsi"/>
        </w:rPr>
        <w:t>,</w:t>
      </w:r>
      <w:r w:rsidR="007E196C" w:rsidRPr="00611696">
        <w:rPr>
          <w:rFonts w:asciiTheme="minorHAnsi" w:hAnsiTheme="minorHAnsi"/>
        </w:rPr>
        <w:t xml:space="preserve"> and payment</w:t>
      </w:r>
      <w:r w:rsidRPr="00611696">
        <w:rPr>
          <w:rFonts w:asciiTheme="minorHAnsi" w:hAnsiTheme="minorHAnsi"/>
        </w:rPr>
        <w:t>s</w:t>
      </w:r>
      <w:r w:rsidR="007E196C" w:rsidRPr="00611696">
        <w:rPr>
          <w:rFonts w:asciiTheme="minorHAnsi" w:hAnsiTheme="minorHAnsi"/>
        </w:rPr>
        <w:t xml:space="preserve"> for training undertaken.</w:t>
      </w:r>
    </w:p>
    <w:p w14:paraId="26862562" w14:textId="36C307C3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FCB Group did not identify outstanding entitlements in relation to training, although </w:t>
      </w:r>
      <w:r w:rsidR="002C048B" w:rsidRPr="00611696">
        <w:rPr>
          <w:rFonts w:asciiTheme="minorHAnsi" w:hAnsiTheme="minorHAnsi"/>
        </w:rPr>
        <w:t xml:space="preserve">it found that </w:t>
      </w:r>
      <w:r w:rsidRPr="00611696">
        <w:rPr>
          <w:rFonts w:asciiTheme="minorHAnsi" w:hAnsiTheme="minorHAnsi"/>
        </w:rPr>
        <w:t>nine employee</w:t>
      </w:r>
      <w:r w:rsidR="009070E7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 had undertaken online training outside of their rostered hours</w:t>
      </w:r>
      <w:r w:rsidR="00D926B1" w:rsidRPr="00611696">
        <w:rPr>
          <w:rFonts w:asciiTheme="minorHAnsi" w:hAnsiTheme="minorHAnsi"/>
        </w:rPr>
        <w:t xml:space="preserve"> of work</w:t>
      </w:r>
      <w:r w:rsidRPr="00611696">
        <w:rPr>
          <w:rFonts w:asciiTheme="minorHAnsi" w:hAnsiTheme="minorHAnsi"/>
        </w:rPr>
        <w:t xml:space="preserve">. </w:t>
      </w:r>
      <w:r w:rsidR="002470E7" w:rsidRPr="00611696">
        <w:rPr>
          <w:rFonts w:asciiTheme="minorHAnsi" w:hAnsiTheme="minorHAnsi"/>
        </w:rPr>
        <w:t>However, t</w:t>
      </w:r>
      <w:r w:rsidRPr="00611696">
        <w:rPr>
          <w:rFonts w:asciiTheme="minorHAnsi" w:hAnsiTheme="minorHAnsi"/>
        </w:rPr>
        <w:t>he</w:t>
      </w:r>
      <w:r w:rsidR="009B47BD" w:rsidRPr="00611696">
        <w:rPr>
          <w:rFonts w:asciiTheme="minorHAnsi" w:hAnsiTheme="minorHAnsi"/>
        </w:rPr>
        <w:t>se</w:t>
      </w:r>
      <w:r w:rsidRPr="00611696">
        <w:rPr>
          <w:rFonts w:asciiTheme="minorHAnsi" w:hAnsiTheme="minorHAnsi"/>
        </w:rPr>
        <w:t xml:space="preserve"> employees confirmed </w:t>
      </w:r>
      <w:r w:rsidR="00D522DB" w:rsidRPr="00611696">
        <w:rPr>
          <w:rFonts w:asciiTheme="minorHAnsi" w:hAnsiTheme="minorHAnsi"/>
        </w:rPr>
        <w:t>the</w:t>
      </w:r>
      <w:r w:rsidR="002470E7" w:rsidRPr="00611696">
        <w:rPr>
          <w:rFonts w:asciiTheme="minorHAnsi" w:hAnsiTheme="minorHAnsi"/>
        </w:rPr>
        <w:t xml:space="preserve"> company had</w:t>
      </w:r>
      <w:r w:rsidR="00D522DB" w:rsidRPr="00611696">
        <w:rPr>
          <w:rFonts w:asciiTheme="minorHAnsi" w:hAnsiTheme="minorHAnsi"/>
        </w:rPr>
        <w:t xml:space="preserve"> instructed </w:t>
      </w:r>
      <w:r w:rsidR="002470E7" w:rsidRPr="00611696">
        <w:rPr>
          <w:rFonts w:asciiTheme="minorHAnsi" w:hAnsiTheme="minorHAnsi"/>
        </w:rPr>
        <w:t xml:space="preserve">them </w:t>
      </w:r>
      <w:r w:rsidRPr="00611696">
        <w:rPr>
          <w:rFonts w:asciiTheme="minorHAnsi" w:hAnsiTheme="minorHAnsi"/>
        </w:rPr>
        <w:t xml:space="preserve">to </w:t>
      </w:r>
      <w:r w:rsidR="002470E7" w:rsidRPr="00611696">
        <w:rPr>
          <w:rFonts w:asciiTheme="minorHAnsi" w:hAnsiTheme="minorHAnsi"/>
        </w:rPr>
        <w:t>undertake</w:t>
      </w:r>
      <w:r w:rsidR="00D444EA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training during</w:t>
      </w:r>
      <w:r w:rsidR="009070E7" w:rsidRPr="00611696">
        <w:rPr>
          <w:rFonts w:asciiTheme="minorHAnsi" w:hAnsiTheme="minorHAnsi"/>
        </w:rPr>
        <w:t xml:space="preserve"> rostered </w:t>
      </w:r>
      <w:r w:rsidRPr="00611696">
        <w:rPr>
          <w:rFonts w:asciiTheme="minorHAnsi" w:hAnsiTheme="minorHAnsi"/>
        </w:rPr>
        <w:t>work hours</w:t>
      </w:r>
      <w:r w:rsidR="002C048B" w:rsidRPr="00611696">
        <w:rPr>
          <w:rFonts w:asciiTheme="minorHAnsi" w:hAnsiTheme="minorHAnsi"/>
        </w:rPr>
        <w:t>. FCB noted that</w:t>
      </w:r>
      <w:r w:rsidR="002470E7" w:rsidRPr="00611696">
        <w:rPr>
          <w:rFonts w:asciiTheme="minorHAnsi" w:hAnsiTheme="minorHAnsi"/>
        </w:rPr>
        <w:t xml:space="preserve"> </w:t>
      </w:r>
      <w:r w:rsidR="002C048B" w:rsidRPr="00611696">
        <w:rPr>
          <w:rFonts w:asciiTheme="minorHAnsi" w:hAnsiTheme="minorHAnsi"/>
        </w:rPr>
        <w:t>employees were paid for training undertaken outside of rostered hours of work.</w:t>
      </w:r>
    </w:p>
    <w:p w14:paraId="0354E77D" w14:textId="0919D900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FCB Group found that Chemist Warehouse was complying with its </w:t>
      </w:r>
      <w:r w:rsidR="00D444EA" w:rsidRPr="00611696">
        <w:rPr>
          <w:rFonts w:asciiTheme="minorHAnsi" w:hAnsiTheme="minorHAnsi"/>
        </w:rPr>
        <w:t xml:space="preserve">non-monetary </w:t>
      </w:r>
      <w:r w:rsidRPr="00611696">
        <w:rPr>
          <w:rFonts w:asciiTheme="minorHAnsi" w:hAnsiTheme="minorHAnsi"/>
        </w:rPr>
        <w:t xml:space="preserve">obligations </w:t>
      </w:r>
      <w:r w:rsidR="00D444EA" w:rsidRPr="00611696">
        <w:rPr>
          <w:rFonts w:asciiTheme="minorHAnsi" w:hAnsiTheme="minorHAnsi"/>
        </w:rPr>
        <w:t>(</w:t>
      </w:r>
      <w:r w:rsidRPr="00611696">
        <w:rPr>
          <w:rFonts w:asciiTheme="minorHAnsi" w:hAnsiTheme="minorHAnsi"/>
        </w:rPr>
        <w:t>time and wage</w:t>
      </w:r>
      <w:r w:rsidR="009B47BD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 xml:space="preserve"> records and pay</w:t>
      </w:r>
      <w:r w:rsidR="00D444EA" w:rsidRPr="00611696">
        <w:rPr>
          <w:rFonts w:asciiTheme="minorHAnsi" w:hAnsiTheme="minorHAnsi"/>
        </w:rPr>
        <w:t xml:space="preserve"> </w:t>
      </w:r>
      <w:r w:rsidRPr="00611696">
        <w:rPr>
          <w:rFonts w:asciiTheme="minorHAnsi" w:hAnsiTheme="minorHAnsi"/>
        </w:rPr>
        <w:t>slip</w:t>
      </w:r>
      <w:r w:rsidR="00D43D73" w:rsidRPr="00611696">
        <w:rPr>
          <w:rFonts w:asciiTheme="minorHAnsi" w:hAnsiTheme="minorHAnsi"/>
        </w:rPr>
        <w:t xml:space="preserve"> regulations</w:t>
      </w:r>
      <w:r w:rsidR="00D444EA" w:rsidRPr="00611696">
        <w:rPr>
          <w:rFonts w:asciiTheme="minorHAnsi" w:hAnsiTheme="minorHAnsi"/>
        </w:rPr>
        <w:t>)</w:t>
      </w:r>
      <w:r w:rsidRPr="00611696">
        <w:rPr>
          <w:rFonts w:asciiTheme="minorHAnsi" w:hAnsiTheme="minorHAnsi"/>
        </w:rPr>
        <w:t xml:space="preserve">. In relation to monetary </w:t>
      </w:r>
      <w:r w:rsidR="00D444EA" w:rsidRPr="00611696">
        <w:rPr>
          <w:rFonts w:asciiTheme="minorHAnsi" w:hAnsiTheme="minorHAnsi"/>
        </w:rPr>
        <w:t>obligations</w:t>
      </w:r>
      <w:r w:rsidRPr="00611696">
        <w:rPr>
          <w:rFonts w:asciiTheme="minorHAnsi" w:hAnsiTheme="minorHAnsi"/>
        </w:rPr>
        <w:t xml:space="preserve">, </w:t>
      </w:r>
      <w:r w:rsidR="00D444EA" w:rsidRPr="00611696">
        <w:rPr>
          <w:rFonts w:asciiTheme="minorHAnsi" w:hAnsiTheme="minorHAnsi"/>
        </w:rPr>
        <w:t xml:space="preserve">FCB Group </w:t>
      </w:r>
      <w:r w:rsidRPr="00611696">
        <w:rPr>
          <w:rFonts w:asciiTheme="minorHAnsi" w:hAnsiTheme="minorHAnsi"/>
        </w:rPr>
        <w:t>reported that of the 998 employees assessed:</w:t>
      </w:r>
    </w:p>
    <w:p w14:paraId="6B415371" w14:textId="5FF9CEC9" w:rsidR="007E196C" w:rsidRPr="00611696" w:rsidRDefault="007E196C" w:rsidP="005B5531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twelve </w:t>
      </w:r>
      <w:r w:rsidR="00D444EA" w:rsidRPr="00611696">
        <w:rPr>
          <w:rFonts w:asciiTheme="minorHAnsi" w:hAnsiTheme="minorHAnsi"/>
          <w:szCs w:val="22"/>
        </w:rPr>
        <w:t xml:space="preserve">(12) </w:t>
      </w:r>
      <w:r w:rsidRPr="00611696">
        <w:rPr>
          <w:rFonts w:asciiTheme="minorHAnsi" w:hAnsiTheme="minorHAnsi"/>
          <w:szCs w:val="22"/>
        </w:rPr>
        <w:t>were paid the</w:t>
      </w:r>
      <w:r w:rsidR="009070E7" w:rsidRPr="00611696">
        <w:rPr>
          <w:rFonts w:asciiTheme="minorHAnsi" w:hAnsiTheme="minorHAnsi"/>
          <w:szCs w:val="22"/>
        </w:rPr>
        <w:t>ir</w:t>
      </w:r>
      <w:r w:rsidRPr="00611696">
        <w:rPr>
          <w:rFonts w:asciiTheme="minorHAnsi" w:hAnsiTheme="minorHAnsi"/>
          <w:szCs w:val="22"/>
        </w:rPr>
        <w:t xml:space="preserve"> exact </w:t>
      </w:r>
      <w:r w:rsidR="00D444EA" w:rsidRPr="00611696">
        <w:rPr>
          <w:rFonts w:asciiTheme="minorHAnsi" w:hAnsiTheme="minorHAnsi"/>
          <w:szCs w:val="22"/>
        </w:rPr>
        <w:t xml:space="preserve">Award </w:t>
      </w:r>
      <w:r w:rsidR="009070E7" w:rsidRPr="00611696">
        <w:rPr>
          <w:rFonts w:asciiTheme="minorHAnsi" w:hAnsiTheme="minorHAnsi"/>
          <w:szCs w:val="22"/>
        </w:rPr>
        <w:t xml:space="preserve">entitlements </w:t>
      </w:r>
      <w:r w:rsidRPr="00611696">
        <w:rPr>
          <w:rFonts w:asciiTheme="minorHAnsi" w:hAnsiTheme="minorHAnsi"/>
          <w:szCs w:val="22"/>
        </w:rPr>
        <w:t xml:space="preserve"> </w:t>
      </w:r>
    </w:p>
    <w:p w14:paraId="442AF643" w14:textId="0D7ECC9D" w:rsidR="007E196C" w:rsidRPr="00611696" w:rsidRDefault="007E196C" w:rsidP="005B5531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607 were paid above </w:t>
      </w:r>
      <w:r w:rsidR="009070E7" w:rsidRPr="00611696">
        <w:rPr>
          <w:rFonts w:asciiTheme="minorHAnsi" w:hAnsiTheme="minorHAnsi"/>
          <w:szCs w:val="22"/>
        </w:rPr>
        <w:t xml:space="preserve">their </w:t>
      </w:r>
      <w:r w:rsidR="00D444EA" w:rsidRPr="00611696">
        <w:rPr>
          <w:rFonts w:asciiTheme="minorHAnsi" w:hAnsiTheme="minorHAnsi"/>
          <w:szCs w:val="22"/>
        </w:rPr>
        <w:t xml:space="preserve">Award </w:t>
      </w:r>
      <w:r w:rsidR="009070E7" w:rsidRPr="00611696">
        <w:rPr>
          <w:rFonts w:asciiTheme="minorHAnsi" w:hAnsiTheme="minorHAnsi"/>
          <w:szCs w:val="22"/>
        </w:rPr>
        <w:t>entitlements</w:t>
      </w:r>
    </w:p>
    <w:p w14:paraId="3F363B96" w14:textId="547C6379" w:rsidR="007E196C" w:rsidRPr="00611696" w:rsidRDefault="007E196C" w:rsidP="005B5531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378 were paid </w:t>
      </w:r>
      <w:r w:rsidR="009070E7" w:rsidRPr="00611696">
        <w:rPr>
          <w:rFonts w:asciiTheme="minorHAnsi" w:hAnsiTheme="minorHAnsi"/>
          <w:szCs w:val="22"/>
        </w:rPr>
        <w:t xml:space="preserve">less than </w:t>
      </w:r>
      <w:r w:rsidRPr="00611696">
        <w:rPr>
          <w:rFonts w:asciiTheme="minorHAnsi" w:hAnsiTheme="minorHAnsi"/>
          <w:szCs w:val="22"/>
        </w:rPr>
        <w:t>the</w:t>
      </w:r>
      <w:r w:rsidR="009070E7" w:rsidRPr="00611696">
        <w:rPr>
          <w:rFonts w:asciiTheme="minorHAnsi" w:hAnsiTheme="minorHAnsi"/>
          <w:szCs w:val="22"/>
        </w:rPr>
        <w:t>ir</w:t>
      </w:r>
      <w:r w:rsidRPr="00611696">
        <w:rPr>
          <w:rFonts w:asciiTheme="minorHAnsi" w:hAnsiTheme="minorHAnsi"/>
          <w:szCs w:val="22"/>
        </w:rPr>
        <w:t xml:space="preserve"> </w:t>
      </w:r>
      <w:r w:rsidR="00D444EA" w:rsidRPr="00611696">
        <w:rPr>
          <w:rFonts w:asciiTheme="minorHAnsi" w:hAnsiTheme="minorHAnsi"/>
          <w:szCs w:val="22"/>
        </w:rPr>
        <w:t xml:space="preserve">Award </w:t>
      </w:r>
      <w:r w:rsidRPr="00611696">
        <w:rPr>
          <w:rFonts w:asciiTheme="minorHAnsi" w:hAnsiTheme="minorHAnsi"/>
          <w:szCs w:val="22"/>
        </w:rPr>
        <w:t>entitlements.</w:t>
      </w:r>
    </w:p>
    <w:p w14:paraId="1E98BBC4" w14:textId="3BB27AE4" w:rsidR="007E196C" w:rsidRPr="00611696" w:rsidRDefault="007E196C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FCB Group advised that the combined total of above-</w:t>
      </w:r>
      <w:r w:rsidR="00D444EA" w:rsidRPr="00611696">
        <w:rPr>
          <w:rFonts w:asciiTheme="minorHAnsi" w:hAnsiTheme="minorHAnsi"/>
        </w:rPr>
        <w:t>A</w:t>
      </w:r>
      <w:r w:rsidRPr="00611696">
        <w:rPr>
          <w:rFonts w:asciiTheme="minorHAnsi" w:hAnsiTheme="minorHAnsi"/>
        </w:rPr>
        <w:t xml:space="preserve">ward payments was $150 673.93. </w:t>
      </w:r>
    </w:p>
    <w:p w14:paraId="35FFF370" w14:textId="589F1EA9" w:rsidR="00D444EA" w:rsidRPr="00611696" w:rsidRDefault="00D444EA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O</w:t>
      </w:r>
      <w:r w:rsidR="007E196C" w:rsidRPr="00611696">
        <w:rPr>
          <w:rFonts w:asciiTheme="minorHAnsi" w:hAnsiTheme="minorHAnsi"/>
        </w:rPr>
        <w:t xml:space="preserve">f the 378 instances of underpayment identified, 200 were for less </w:t>
      </w:r>
      <w:r w:rsidR="005B5531" w:rsidRPr="00611696">
        <w:rPr>
          <w:rFonts w:asciiTheme="minorHAnsi" w:hAnsiTheme="minorHAnsi"/>
        </w:rPr>
        <w:t xml:space="preserve">than </w:t>
      </w:r>
      <w:r w:rsidRPr="00611696">
        <w:rPr>
          <w:rFonts w:asciiTheme="minorHAnsi" w:hAnsiTheme="minorHAnsi"/>
        </w:rPr>
        <w:t>$1</w:t>
      </w:r>
      <w:r w:rsidR="007E196C" w:rsidRPr="00611696">
        <w:rPr>
          <w:rFonts w:asciiTheme="minorHAnsi" w:hAnsiTheme="minorHAnsi"/>
        </w:rPr>
        <w:t xml:space="preserve">. </w:t>
      </w:r>
      <w:r w:rsidRPr="00611696">
        <w:rPr>
          <w:rFonts w:asciiTheme="minorHAnsi" w:hAnsiTheme="minorHAnsi"/>
        </w:rPr>
        <w:t xml:space="preserve">Outstanding entitlements owed to the </w:t>
      </w:r>
      <w:r w:rsidR="007E196C" w:rsidRPr="00611696">
        <w:rPr>
          <w:rFonts w:asciiTheme="minorHAnsi" w:hAnsiTheme="minorHAnsi"/>
        </w:rPr>
        <w:t>remaining 178 employees ranged from $1.06 to $635.90.</w:t>
      </w:r>
    </w:p>
    <w:p w14:paraId="42EA55EB" w14:textId="392591AB" w:rsidR="00D444EA" w:rsidRPr="00611696" w:rsidRDefault="00D444EA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Chemist Warehouse </w:t>
      </w:r>
      <w:r w:rsidR="009070E7" w:rsidRPr="00611696">
        <w:rPr>
          <w:rFonts w:asciiTheme="minorHAnsi" w:hAnsiTheme="minorHAnsi"/>
        </w:rPr>
        <w:t xml:space="preserve">has rectified all outstanding entitlements, </w:t>
      </w:r>
      <w:r w:rsidR="006E1440" w:rsidRPr="00611696">
        <w:rPr>
          <w:rFonts w:asciiTheme="minorHAnsi" w:hAnsiTheme="minorHAnsi"/>
        </w:rPr>
        <w:t xml:space="preserve">which </w:t>
      </w:r>
      <w:r w:rsidR="009070E7" w:rsidRPr="00611696">
        <w:rPr>
          <w:rFonts w:asciiTheme="minorHAnsi" w:hAnsiTheme="minorHAnsi"/>
        </w:rPr>
        <w:t>totall</w:t>
      </w:r>
      <w:r w:rsidR="006E1440" w:rsidRPr="00611696">
        <w:rPr>
          <w:rFonts w:asciiTheme="minorHAnsi" w:hAnsiTheme="minorHAnsi"/>
        </w:rPr>
        <w:t>ed</w:t>
      </w:r>
      <w:r w:rsidR="009070E7"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>$9</w:t>
      </w:r>
      <w:r w:rsidRPr="00611696">
        <w:rPr>
          <w:rFonts w:asciiTheme="minorHAnsi" w:hAnsiTheme="minorHAnsi"/>
        </w:rPr>
        <w:t xml:space="preserve"> </w:t>
      </w:r>
      <w:r w:rsidR="007E196C" w:rsidRPr="00611696">
        <w:rPr>
          <w:rFonts w:asciiTheme="minorHAnsi" w:hAnsiTheme="minorHAnsi"/>
        </w:rPr>
        <w:t>765.81</w:t>
      </w:r>
      <w:r w:rsidR="009070E7" w:rsidRPr="00611696">
        <w:rPr>
          <w:rFonts w:asciiTheme="minorHAnsi" w:hAnsiTheme="minorHAnsi"/>
        </w:rPr>
        <w:t>.</w:t>
      </w:r>
    </w:p>
    <w:p w14:paraId="079EE4A9" w14:textId="59C1281A" w:rsidR="007E196C" w:rsidRPr="00611696" w:rsidRDefault="007E196C" w:rsidP="004E7A63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FCB Group attributed the underpayments to payroll discrepancies, which Chemist Warehouse </w:t>
      </w:r>
      <w:r w:rsidR="009B47BD" w:rsidRPr="00611696">
        <w:rPr>
          <w:rFonts w:asciiTheme="minorHAnsi" w:hAnsiTheme="minorHAnsi"/>
        </w:rPr>
        <w:t xml:space="preserve">is </w:t>
      </w:r>
      <w:r w:rsidRPr="00611696">
        <w:rPr>
          <w:rFonts w:asciiTheme="minorHAnsi" w:hAnsiTheme="minorHAnsi"/>
        </w:rPr>
        <w:t>addressing through its system upgrades (see Review and upgrade of administration and payroll systems).</w:t>
      </w:r>
    </w:p>
    <w:p w14:paraId="5EBB9B1B" w14:textId="77777777" w:rsidR="00611696" w:rsidRPr="00611696" w:rsidRDefault="00611696" w:rsidP="00611696">
      <w:pPr>
        <w:pStyle w:val="Heading2"/>
        <w:rPr>
          <w:rFonts w:asciiTheme="minorHAnsi" w:hAnsiTheme="minorHAnsi"/>
        </w:rPr>
      </w:pPr>
      <w:bookmarkStart w:id="26" w:name="_Toc525655526"/>
      <w:bookmarkStart w:id="27" w:name="_Toc527985001"/>
      <w:r w:rsidRPr="00611696">
        <w:rPr>
          <w:rFonts w:asciiTheme="minorHAnsi" w:hAnsiTheme="minorHAnsi"/>
        </w:rPr>
        <w:br w:type="page"/>
      </w:r>
    </w:p>
    <w:p w14:paraId="48214D23" w14:textId="1E05C74D" w:rsidR="00DA2867" w:rsidRPr="00611696" w:rsidRDefault="00DA2867" w:rsidP="00611696">
      <w:pPr>
        <w:pStyle w:val="Heading2"/>
        <w:rPr>
          <w:rFonts w:asciiTheme="minorHAnsi" w:hAnsiTheme="minorHAnsi"/>
        </w:rPr>
      </w:pPr>
      <w:r w:rsidRPr="00611696">
        <w:rPr>
          <w:rFonts w:asciiTheme="minorHAnsi" w:hAnsiTheme="minorHAnsi"/>
        </w:rPr>
        <w:lastRenderedPageBreak/>
        <w:t>Report</w:t>
      </w:r>
      <w:r w:rsidR="000870B8" w:rsidRPr="00611696">
        <w:rPr>
          <w:rFonts w:asciiTheme="minorHAnsi" w:hAnsiTheme="minorHAnsi"/>
        </w:rPr>
        <w:t>ing to the FWO</w:t>
      </w:r>
      <w:bookmarkEnd w:id="26"/>
      <w:bookmarkEnd w:id="27"/>
    </w:p>
    <w:p w14:paraId="25C2A8F0" w14:textId="15B59BF5" w:rsidR="000870B8" w:rsidRPr="00611696" w:rsidRDefault="000870B8" w:rsidP="005B5531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In addition to reporting on hotline </w:t>
      </w:r>
      <w:r w:rsidR="00F85CA4" w:rsidRPr="00611696">
        <w:rPr>
          <w:rFonts w:asciiTheme="minorHAnsi" w:hAnsiTheme="minorHAnsi"/>
        </w:rPr>
        <w:t>e</w:t>
      </w:r>
      <w:r w:rsidRPr="00611696">
        <w:rPr>
          <w:rFonts w:asciiTheme="minorHAnsi" w:hAnsiTheme="minorHAnsi"/>
        </w:rPr>
        <w:t xml:space="preserve">nquiries and </w:t>
      </w:r>
      <w:r w:rsidR="009070E7" w:rsidRPr="00611696">
        <w:rPr>
          <w:rFonts w:asciiTheme="minorHAnsi" w:hAnsiTheme="minorHAnsi"/>
        </w:rPr>
        <w:t xml:space="preserve">independently conducted </w:t>
      </w:r>
      <w:r w:rsidRPr="00611696">
        <w:rPr>
          <w:rFonts w:asciiTheme="minorHAnsi" w:hAnsiTheme="minorHAnsi"/>
        </w:rPr>
        <w:t xml:space="preserve">audits, </w:t>
      </w:r>
      <w:r w:rsidR="004E3D7C" w:rsidRPr="00611696">
        <w:rPr>
          <w:rFonts w:asciiTheme="minorHAnsi" w:hAnsiTheme="minorHAnsi"/>
        </w:rPr>
        <w:t xml:space="preserve">Chemist Warehouse has satisfied </w:t>
      </w:r>
      <w:r w:rsidR="00F85CA4" w:rsidRPr="00611696">
        <w:rPr>
          <w:rFonts w:asciiTheme="minorHAnsi" w:hAnsiTheme="minorHAnsi"/>
        </w:rPr>
        <w:t xml:space="preserve">its </w:t>
      </w:r>
      <w:r w:rsidR="004E3D7C" w:rsidRPr="00611696">
        <w:rPr>
          <w:rFonts w:asciiTheme="minorHAnsi" w:hAnsiTheme="minorHAnsi"/>
        </w:rPr>
        <w:t>obligation to provide the first of three</w:t>
      </w:r>
      <w:r w:rsidRPr="00611696">
        <w:rPr>
          <w:rFonts w:asciiTheme="minorHAnsi" w:hAnsiTheme="minorHAnsi"/>
        </w:rPr>
        <w:t xml:space="preserve"> annual progress reports to </w:t>
      </w:r>
      <w:r w:rsidR="009B7DF4" w:rsidRPr="00611696">
        <w:rPr>
          <w:rFonts w:asciiTheme="minorHAnsi" w:hAnsiTheme="minorHAnsi"/>
        </w:rPr>
        <w:t xml:space="preserve">the </w:t>
      </w:r>
      <w:r w:rsidRPr="00611696">
        <w:rPr>
          <w:rFonts w:asciiTheme="minorHAnsi" w:hAnsiTheme="minorHAnsi"/>
        </w:rPr>
        <w:t>FWO</w:t>
      </w:r>
      <w:r w:rsidR="004E3D7C" w:rsidRPr="00611696">
        <w:rPr>
          <w:rFonts w:asciiTheme="minorHAnsi" w:hAnsiTheme="minorHAnsi"/>
        </w:rPr>
        <w:t xml:space="preserve">. As per clause 13 of the PCD, the reports must </w:t>
      </w:r>
      <w:r w:rsidRPr="00611696">
        <w:rPr>
          <w:rFonts w:asciiTheme="minorHAnsi" w:hAnsiTheme="minorHAnsi"/>
        </w:rPr>
        <w:t>describe:</w:t>
      </w:r>
    </w:p>
    <w:p w14:paraId="37D7B669" w14:textId="77777777" w:rsidR="000870B8" w:rsidRPr="00611696" w:rsidRDefault="000870B8" w:rsidP="005B5531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actions it has taken to address the requirements of the deed</w:t>
      </w:r>
    </w:p>
    <w:p w14:paraId="697DAEF6" w14:textId="6DF3A9DA" w:rsidR="000870B8" w:rsidRPr="00611696" w:rsidRDefault="000870B8" w:rsidP="005B5531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the outcomes of any requests for assistance referred by </w:t>
      </w:r>
      <w:r w:rsidR="00F85CA4" w:rsidRPr="00611696">
        <w:rPr>
          <w:rFonts w:asciiTheme="minorHAnsi" w:hAnsiTheme="minorHAnsi"/>
          <w:szCs w:val="22"/>
        </w:rPr>
        <w:t xml:space="preserve">the </w:t>
      </w:r>
      <w:r w:rsidRPr="00611696">
        <w:rPr>
          <w:rFonts w:asciiTheme="minorHAnsi" w:hAnsiTheme="minorHAnsi"/>
          <w:szCs w:val="22"/>
        </w:rPr>
        <w:t xml:space="preserve">FWO </w:t>
      </w:r>
    </w:p>
    <w:p w14:paraId="15AE04E3" w14:textId="77777777" w:rsidR="000870B8" w:rsidRPr="00611696" w:rsidRDefault="000870B8" w:rsidP="004E7A63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the review of systems and processes in place and their effectiveness in promoting compliance</w:t>
      </w:r>
    </w:p>
    <w:p w14:paraId="4FFE330F" w14:textId="77777777" w:rsidR="000870B8" w:rsidRPr="00611696" w:rsidRDefault="000870B8" w:rsidP="004E7A63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workplace relations issues encountered in the first year of the deed and the company’s response to those issues</w:t>
      </w:r>
    </w:p>
    <w:p w14:paraId="65F9A1EF" w14:textId="77777777" w:rsidR="000870B8" w:rsidRPr="00611696" w:rsidRDefault="000870B8" w:rsidP="004E7A63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any workplace relations training undertaken</w:t>
      </w:r>
    </w:p>
    <w:p w14:paraId="4BE5D313" w14:textId="5DA91965" w:rsidR="009070E7" w:rsidRPr="00611696" w:rsidRDefault="000870B8" w:rsidP="004E7A63">
      <w:pPr>
        <w:pStyle w:val="ListParagraph"/>
        <w:numPr>
          <w:ilvl w:val="0"/>
          <w:numId w:val="20"/>
        </w:num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any identified benefits or learnings from the compliance partnership.</w:t>
      </w:r>
    </w:p>
    <w:p w14:paraId="03CD61EB" w14:textId="45D0A535" w:rsidR="00817AD9" w:rsidRPr="00611696" w:rsidRDefault="00CF2869" w:rsidP="00611696">
      <w:pPr>
        <w:pStyle w:val="Heading1"/>
        <w:rPr>
          <w:rFonts w:asciiTheme="minorHAnsi" w:hAnsiTheme="minorHAnsi"/>
        </w:rPr>
      </w:pPr>
      <w:bookmarkStart w:id="28" w:name="_Toc525655527"/>
      <w:bookmarkStart w:id="29" w:name="_Toc527985002"/>
      <w:r w:rsidRPr="00611696">
        <w:rPr>
          <w:rFonts w:asciiTheme="minorHAnsi" w:hAnsiTheme="minorHAnsi"/>
        </w:rPr>
        <w:t>Conclusion</w:t>
      </w:r>
      <w:bookmarkEnd w:id="28"/>
      <w:bookmarkEnd w:id="29"/>
      <w:r w:rsidRPr="00611696">
        <w:rPr>
          <w:rFonts w:asciiTheme="minorHAnsi" w:hAnsiTheme="minorHAnsi"/>
        </w:rPr>
        <w:t xml:space="preserve"> </w:t>
      </w:r>
    </w:p>
    <w:p w14:paraId="1AB92757" w14:textId="2FC7CBA2" w:rsidR="000870B8" w:rsidRPr="00611696" w:rsidDel="00084D4C" w:rsidRDefault="000870B8" w:rsidP="004E7A63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Chemist Warehouse identified widespread underpayments in relation to employee training. After </w:t>
      </w:r>
      <w:r w:rsidR="00130072" w:rsidRPr="00611696">
        <w:rPr>
          <w:rFonts w:asciiTheme="minorHAnsi" w:hAnsiTheme="minorHAnsi"/>
          <w:szCs w:val="22"/>
        </w:rPr>
        <w:t xml:space="preserve">ensuring that that </w:t>
      </w:r>
      <w:r w:rsidRPr="00611696">
        <w:rPr>
          <w:rFonts w:asciiTheme="minorHAnsi" w:hAnsiTheme="minorHAnsi"/>
          <w:szCs w:val="22"/>
        </w:rPr>
        <w:t xml:space="preserve">over $3.5 million </w:t>
      </w:r>
      <w:r w:rsidR="00130072" w:rsidRPr="00611696">
        <w:rPr>
          <w:rFonts w:asciiTheme="minorHAnsi" w:hAnsiTheme="minorHAnsi"/>
          <w:szCs w:val="22"/>
        </w:rPr>
        <w:t xml:space="preserve">was back paid </w:t>
      </w:r>
      <w:r w:rsidRPr="00611696">
        <w:rPr>
          <w:rFonts w:asciiTheme="minorHAnsi" w:hAnsiTheme="minorHAnsi"/>
          <w:szCs w:val="22"/>
        </w:rPr>
        <w:t xml:space="preserve">to nearly six thousand </w:t>
      </w:r>
      <w:r w:rsidR="008D7104" w:rsidRPr="00611696">
        <w:rPr>
          <w:rFonts w:asciiTheme="minorHAnsi" w:hAnsiTheme="minorHAnsi"/>
          <w:szCs w:val="22"/>
        </w:rPr>
        <w:t xml:space="preserve">network </w:t>
      </w:r>
      <w:r w:rsidRPr="00611696">
        <w:rPr>
          <w:rFonts w:asciiTheme="minorHAnsi" w:hAnsiTheme="minorHAnsi"/>
          <w:szCs w:val="22"/>
        </w:rPr>
        <w:t xml:space="preserve">staff, it entered into a PCD with the FWO in November 2016 to improve compliance </w:t>
      </w:r>
      <w:r w:rsidR="006F7E02" w:rsidRPr="00611696">
        <w:rPr>
          <w:rFonts w:asciiTheme="minorHAnsi" w:hAnsiTheme="minorHAnsi"/>
          <w:szCs w:val="22"/>
        </w:rPr>
        <w:t xml:space="preserve">throughout </w:t>
      </w:r>
      <w:r w:rsidRPr="00611696">
        <w:rPr>
          <w:rFonts w:asciiTheme="minorHAnsi" w:hAnsiTheme="minorHAnsi"/>
          <w:szCs w:val="22"/>
        </w:rPr>
        <w:t xml:space="preserve">its franchise network. </w:t>
      </w:r>
    </w:p>
    <w:p w14:paraId="4C26FA70" w14:textId="31471447" w:rsidR="000870B8" w:rsidRPr="00611696" w:rsidRDefault="004F5BC6" w:rsidP="005B5531">
      <w:pPr>
        <w:spacing w:before="240"/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Following the commencement of the </w:t>
      </w:r>
      <w:r w:rsidR="008A729A" w:rsidRPr="00611696">
        <w:rPr>
          <w:rFonts w:asciiTheme="minorHAnsi" w:hAnsiTheme="minorHAnsi"/>
          <w:szCs w:val="22"/>
        </w:rPr>
        <w:t>partnership</w:t>
      </w:r>
      <w:r w:rsidRPr="00611696">
        <w:rPr>
          <w:rFonts w:asciiTheme="minorHAnsi" w:hAnsiTheme="minorHAnsi"/>
          <w:szCs w:val="22"/>
        </w:rPr>
        <w:t>, t</w:t>
      </w:r>
      <w:r w:rsidR="000870B8" w:rsidRPr="00611696">
        <w:rPr>
          <w:rFonts w:asciiTheme="minorHAnsi" w:hAnsiTheme="minorHAnsi"/>
          <w:szCs w:val="22"/>
        </w:rPr>
        <w:t xml:space="preserve">he company </w:t>
      </w:r>
      <w:r w:rsidRPr="00611696">
        <w:rPr>
          <w:rFonts w:asciiTheme="minorHAnsi" w:hAnsiTheme="minorHAnsi"/>
          <w:szCs w:val="22"/>
        </w:rPr>
        <w:t xml:space="preserve">established a hotline service to help process and resolve employee </w:t>
      </w:r>
      <w:r w:rsidR="000870B8" w:rsidRPr="00611696">
        <w:rPr>
          <w:rFonts w:asciiTheme="minorHAnsi" w:hAnsiTheme="minorHAnsi"/>
          <w:szCs w:val="22"/>
        </w:rPr>
        <w:t>enquiries</w:t>
      </w:r>
      <w:r w:rsidRPr="00611696">
        <w:rPr>
          <w:rFonts w:asciiTheme="minorHAnsi" w:hAnsiTheme="minorHAnsi"/>
          <w:szCs w:val="22"/>
        </w:rPr>
        <w:t>. It has reported that t</w:t>
      </w:r>
      <w:r w:rsidR="000870B8" w:rsidRPr="00611696">
        <w:rPr>
          <w:rFonts w:asciiTheme="minorHAnsi" w:hAnsiTheme="minorHAnsi"/>
          <w:szCs w:val="22"/>
        </w:rPr>
        <w:t xml:space="preserve">he volume of </w:t>
      </w:r>
      <w:r w:rsidRPr="00611696">
        <w:rPr>
          <w:rFonts w:asciiTheme="minorHAnsi" w:hAnsiTheme="minorHAnsi"/>
          <w:szCs w:val="22"/>
        </w:rPr>
        <w:t xml:space="preserve">all </w:t>
      </w:r>
      <w:r w:rsidR="00F85CA4" w:rsidRPr="00611696">
        <w:rPr>
          <w:rFonts w:asciiTheme="minorHAnsi" w:hAnsiTheme="minorHAnsi"/>
          <w:szCs w:val="22"/>
        </w:rPr>
        <w:t xml:space="preserve">enquires </w:t>
      </w:r>
      <w:r w:rsidR="000870B8" w:rsidRPr="00611696">
        <w:rPr>
          <w:rFonts w:asciiTheme="minorHAnsi" w:hAnsiTheme="minorHAnsi"/>
          <w:szCs w:val="22"/>
        </w:rPr>
        <w:t xml:space="preserve">has </w:t>
      </w:r>
      <w:r w:rsidRPr="00611696">
        <w:rPr>
          <w:rFonts w:asciiTheme="minorHAnsi" w:hAnsiTheme="minorHAnsi"/>
          <w:szCs w:val="22"/>
        </w:rPr>
        <w:t xml:space="preserve">significantly </w:t>
      </w:r>
      <w:r w:rsidR="000870B8" w:rsidRPr="00611696">
        <w:rPr>
          <w:rFonts w:asciiTheme="minorHAnsi" w:hAnsiTheme="minorHAnsi"/>
          <w:szCs w:val="22"/>
        </w:rPr>
        <w:t>declined over the interim reporting period. This suggests that the hotline and the steps taken by the company to investigate and resolve employee enquiries and complaints have been effective.</w:t>
      </w:r>
    </w:p>
    <w:p w14:paraId="7900AEFF" w14:textId="69A2BDB7" w:rsidR="006F7E02" w:rsidRPr="00611696" w:rsidRDefault="008A729A" w:rsidP="006F7E02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>To date, under the terms of</w:t>
      </w:r>
      <w:r w:rsidR="000870B8" w:rsidRPr="00611696">
        <w:rPr>
          <w:rFonts w:asciiTheme="minorHAnsi" w:hAnsiTheme="minorHAnsi"/>
          <w:szCs w:val="22"/>
        </w:rPr>
        <w:t xml:space="preserve"> the </w:t>
      </w:r>
      <w:r w:rsidRPr="00611696">
        <w:rPr>
          <w:rFonts w:asciiTheme="minorHAnsi" w:hAnsiTheme="minorHAnsi"/>
          <w:szCs w:val="22"/>
        </w:rPr>
        <w:t>partnership</w:t>
      </w:r>
      <w:r w:rsidR="000870B8" w:rsidRPr="00611696">
        <w:rPr>
          <w:rFonts w:asciiTheme="minorHAnsi" w:hAnsiTheme="minorHAnsi"/>
          <w:szCs w:val="22"/>
        </w:rPr>
        <w:t xml:space="preserve">, Chemist Warehouse </w:t>
      </w:r>
      <w:r w:rsidR="00F85CA4" w:rsidRPr="00611696">
        <w:rPr>
          <w:rFonts w:asciiTheme="minorHAnsi" w:hAnsiTheme="minorHAnsi"/>
          <w:szCs w:val="22"/>
        </w:rPr>
        <w:t>has</w:t>
      </w:r>
      <w:r w:rsidR="004F5BC6" w:rsidRPr="00611696">
        <w:rPr>
          <w:rFonts w:asciiTheme="minorHAnsi" w:hAnsiTheme="minorHAnsi"/>
          <w:szCs w:val="22"/>
        </w:rPr>
        <w:t xml:space="preserve"> </w:t>
      </w:r>
      <w:r w:rsidR="00F85CA4" w:rsidRPr="00611696">
        <w:rPr>
          <w:rFonts w:asciiTheme="minorHAnsi" w:hAnsiTheme="minorHAnsi"/>
          <w:szCs w:val="22"/>
        </w:rPr>
        <w:t>investigated and resolved six requests for assistance referred by the FWO</w:t>
      </w:r>
      <w:r w:rsidR="000870B8" w:rsidRPr="00611696">
        <w:rPr>
          <w:rFonts w:asciiTheme="minorHAnsi" w:hAnsiTheme="minorHAnsi"/>
          <w:szCs w:val="22"/>
        </w:rPr>
        <w:t>.</w:t>
      </w:r>
      <w:r w:rsidR="006F7E02" w:rsidRPr="00611696">
        <w:rPr>
          <w:rFonts w:asciiTheme="minorHAnsi" w:hAnsiTheme="minorHAnsi"/>
          <w:szCs w:val="22"/>
        </w:rPr>
        <w:t xml:space="preserve"> </w:t>
      </w:r>
    </w:p>
    <w:p w14:paraId="73C69D92" w14:textId="0E2E27DB" w:rsidR="000870B8" w:rsidRPr="00611696" w:rsidRDefault="006F7E02" w:rsidP="006F7E02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It has reported on the </w:t>
      </w:r>
      <w:r w:rsidR="000870B8" w:rsidRPr="00611696">
        <w:rPr>
          <w:rFonts w:asciiTheme="minorHAnsi" w:hAnsiTheme="minorHAnsi"/>
          <w:szCs w:val="22"/>
        </w:rPr>
        <w:t xml:space="preserve">results of </w:t>
      </w:r>
      <w:r w:rsidRPr="00611696">
        <w:rPr>
          <w:rFonts w:asciiTheme="minorHAnsi" w:hAnsiTheme="minorHAnsi"/>
          <w:szCs w:val="22"/>
        </w:rPr>
        <w:t>its f</w:t>
      </w:r>
      <w:r w:rsidR="000870B8" w:rsidRPr="00611696">
        <w:rPr>
          <w:rFonts w:asciiTheme="minorHAnsi" w:hAnsiTheme="minorHAnsi"/>
          <w:szCs w:val="22"/>
        </w:rPr>
        <w:t>irst external audit</w:t>
      </w:r>
      <w:r w:rsidRPr="00611696">
        <w:rPr>
          <w:rFonts w:asciiTheme="minorHAnsi" w:hAnsiTheme="minorHAnsi"/>
          <w:szCs w:val="22"/>
        </w:rPr>
        <w:t xml:space="preserve">, which </w:t>
      </w:r>
      <w:r w:rsidR="000870B8" w:rsidRPr="00611696">
        <w:rPr>
          <w:rFonts w:asciiTheme="minorHAnsi" w:hAnsiTheme="minorHAnsi"/>
          <w:szCs w:val="22"/>
        </w:rPr>
        <w:t>includ</w:t>
      </w:r>
      <w:r w:rsidRPr="00611696">
        <w:rPr>
          <w:rFonts w:asciiTheme="minorHAnsi" w:hAnsiTheme="minorHAnsi"/>
          <w:szCs w:val="22"/>
        </w:rPr>
        <w:t>e</w:t>
      </w:r>
      <w:r w:rsidR="000870B8" w:rsidRPr="00611696">
        <w:rPr>
          <w:rFonts w:asciiTheme="minorHAnsi" w:hAnsiTheme="minorHAnsi"/>
          <w:szCs w:val="22"/>
        </w:rPr>
        <w:t xml:space="preserve"> underpayments of award entitlements</w:t>
      </w:r>
      <w:r w:rsidRPr="00611696">
        <w:rPr>
          <w:rFonts w:asciiTheme="minorHAnsi" w:hAnsiTheme="minorHAnsi"/>
          <w:szCs w:val="22"/>
        </w:rPr>
        <w:t xml:space="preserve">. The </w:t>
      </w:r>
      <w:r w:rsidR="000870B8" w:rsidRPr="00611696">
        <w:rPr>
          <w:rFonts w:asciiTheme="minorHAnsi" w:hAnsiTheme="minorHAnsi"/>
          <w:szCs w:val="22"/>
        </w:rPr>
        <w:t xml:space="preserve">auditor (FCB Group) </w:t>
      </w:r>
      <w:r w:rsidRPr="00611696">
        <w:rPr>
          <w:rFonts w:asciiTheme="minorHAnsi" w:hAnsiTheme="minorHAnsi"/>
          <w:szCs w:val="22"/>
        </w:rPr>
        <w:t xml:space="preserve">has </w:t>
      </w:r>
      <w:r w:rsidR="000870B8" w:rsidRPr="00611696">
        <w:rPr>
          <w:rFonts w:asciiTheme="minorHAnsi" w:hAnsiTheme="minorHAnsi"/>
          <w:szCs w:val="22"/>
        </w:rPr>
        <w:t>attribute</w:t>
      </w:r>
      <w:r w:rsidRPr="00611696">
        <w:rPr>
          <w:rFonts w:asciiTheme="minorHAnsi" w:hAnsiTheme="minorHAnsi"/>
          <w:szCs w:val="22"/>
        </w:rPr>
        <w:t>d</w:t>
      </w:r>
      <w:r w:rsidR="000870B8" w:rsidRPr="00611696">
        <w:rPr>
          <w:rFonts w:asciiTheme="minorHAnsi" w:hAnsiTheme="minorHAnsi"/>
          <w:szCs w:val="22"/>
        </w:rPr>
        <w:t xml:space="preserve"> </w:t>
      </w:r>
      <w:r w:rsidRPr="00611696">
        <w:rPr>
          <w:rFonts w:asciiTheme="minorHAnsi" w:hAnsiTheme="minorHAnsi"/>
          <w:szCs w:val="22"/>
        </w:rPr>
        <w:t xml:space="preserve">these </w:t>
      </w:r>
      <w:r w:rsidR="00016BA1" w:rsidRPr="00611696">
        <w:rPr>
          <w:rFonts w:asciiTheme="minorHAnsi" w:hAnsiTheme="minorHAnsi"/>
          <w:szCs w:val="22"/>
        </w:rPr>
        <w:t>issues</w:t>
      </w:r>
      <w:r w:rsidRPr="00611696">
        <w:rPr>
          <w:rFonts w:asciiTheme="minorHAnsi" w:hAnsiTheme="minorHAnsi"/>
          <w:szCs w:val="22"/>
        </w:rPr>
        <w:t xml:space="preserve"> </w:t>
      </w:r>
      <w:r w:rsidR="000870B8" w:rsidRPr="00611696">
        <w:rPr>
          <w:rFonts w:asciiTheme="minorHAnsi" w:hAnsiTheme="minorHAnsi"/>
          <w:szCs w:val="22"/>
        </w:rPr>
        <w:t xml:space="preserve">to payroll system deficiencies. </w:t>
      </w:r>
      <w:r w:rsidR="00016BA1" w:rsidRPr="00611696">
        <w:rPr>
          <w:rFonts w:asciiTheme="minorHAnsi" w:hAnsiTheme="minorHAnsi"/>
          <w:szCs w:val="22"/>
        </w:rPr>
        <w:t xml:space="preserve"> </w:t>
      </w:r>
      <w:r w:rsidRPr="00611696">
        <w:rPr>
          <w:rFonts w:asciiTheme="minorHAnsi" w:hAnsiTheme="minorHAnsi"/>
          <w:szCs w:val="22"/>
        </w:rPr>
        <w:t>C</w:t>
      </w:r>
      <w:r w:rsidR="00F85CA4" w:rsidRPr="00611696">
        <w:rPr>
          <w:rFonts w:asciiTheme="minorHAnsi" w:hAnsiTheme="minorHAnsi"/>
          <w:szCs w:val="22"/>
        </w:rPr>
        <w:t xml:space="preserve">hemist Warehouse </w:t>
      </w:r>
      <w:r w:rsidRPr="00611696">
        <w:rPr>
          <w:rFonts w:asciiTheme="minorHAnsi" w:hAnsiTheme="minorHAnsi"/>
          <w:szCs w:val="22"/>
        </w:rPr>
        <w:t xml:space="preserve">has </w:t>
      </w:r>
      <w:r w:rsidR="000870B8" w:rsidRPr="00611696">
        <w:rPr>
          <w:rFonts w:asciiTheme="minorHAnsi" w:hAnsiTheme="minorHAnsi"/>
          <w:szCs w:val="22"/>
        </w:rPr>
        <w:t>rectified</w:t>
      </w:r>
      <w:r w:rsidRPr="00611696">
        <w:rPr>
          <w:rFonts w:asciiTheme="minorHAnsi" w:hAnsiTheme="minorHAnsi"/>
          <w:szCs w:val="22"/>
        </w:rPr>
        <w:t xml:space="preserve"> all </w:t>
      </w:r>
      <w:r w:rsidR="000870B8" w:rsidRPr="00611696">
        <w:rPr>
          <w:rFonts w:asciiTheme="minorHAnsi" w:hAnsiTheme="minorHAnsi"/>
          <w:szCs w:val="22"/>
        </w:rPr>
        <w:t>outstanding entitlements</w:t>
      </w:r>
      <w:r w:rsidRPr="00611696">
        <w:rPr>
          <w:rFonts w:asciiTheme="minorHAnsi" w:hAnsiTheme="minorHAnsi"/>
          <w:szCs w:val="22"/>
        </w:rPr>
        <w:t>,</w:t>
      </w:r>
      <w:r w:rsidR="00F85CA4" w:rsidRPr="00611696">
        <w:rPr>
          <w:rFonts w:asciiTheme="minorHAnsi" w:hAnsiTheme="minorHAnsi"/>
          <w:szCs w:val="22"/>
        </w:rPr>
        <w:t xml:space="preserve"> and </w:t>
      </w:r>
      <w:r w:rsidRPr="00611696">
        <w:rPr>
          <w:rFonts w:asciiTheme="minorHAnsi" w:hAnsiTheme="minorHAnsi"/>
          <w:szCs w:val="22"/>
        </w:rPr>
        <w:t>has been</w:t>
      </w:r>
      <w:r w:rsidR="00F85CA4" w:rsidRPr="00611696">
        <w:rPr>
          <w:rFonts w:asciiTheme="minorHAnsi" w:hAnsiTheme="minorHAnsi"/>
          <w:szCs w:val="22"/>
        </w:rPr>
        <w:t xml:space="preserve"> </w:t>
      </w:r>
      <w:r w:rsidR="000870B8" w:rsidRPr="00611696">
        <w:rPr>
          <w:rFonts w:asciiTheme="minorHAnsi" w:hAnsiTheme="minorHAnsi"/>
          <w:szCs w:val="22"/>
        </w:rPr>
        <w:t xml:space="preserve">upgrading its HR administration and payroll systems to </w:t>
      </w:r>
      <w:r w:rsidR="004F5BC6" w:rsidRPr="00611696">
        <w:rPr>
          <w:rFonts w:asciiTheme="minorHAnsi" w:hAnsiTheme="minorHAnsi"/>
          <w:szCs w:val="22"/>
        </w:rPr>
        <w:t>ensure they support</w:t>
      </w:r>
      <w:r w:rsidRPr="00611696">
        <w:rPr>
          <w:rFonts w:asciiTheme="minorHAnsi" w:hAnsiTheme="minorHAnsi"/>
          <w:szCs w:val="22"/>
        </w:rPr>
        <w:t xml:space="preserve"> c</w:t>
      </w:r>
      <w:r w:rsidR="000870B8" w:rsidRPr="00611696">
        <w:rPr>
          <w:rFonts w:asciiTheme="minorHAnsi" w:hAnsiTheme="minorHAnsi"/>
          <w:szCs w:val="22"/>
        </w:rPr>
        <w:t xml:space="preserve">ompliance </w:t>
      </w:r>
      <w:r w:rsidR="004F5BC6" w:rsidRPr="00611696">
        <w:rPr>
          <w:rFonts w:asciiTheme="minorHAnsi" w:hAnsiTheme="minorHAnsi"/>
          <w:szCs w:val="22"/>
        </w:rPr>
        <w:t xml:space="preserve">with </w:t>
      </w:r>
      <w:r w:rsidR="000870B8" w:rsidRPr="00611696">
        <w:rPr>
          <w:rFonts w:asciiTheme="minorHAnsi" w:hAnsiTheme="minorHAnsi"/>
          <w:szCs w:val="22"/>
        </w:rPr>
        <w:t xml:space="preserve">workplace </w:t>
      </w:r>
      <w:r w:rsidR="004F5BC6" w:rsidRPr="00611696">
        <w:rPr>
          <w:rFonts w:asciiTheme="minorHAnsi" w:hAnsiTheme="minorHAnsi"/>
          <w:szCs w:val="22"/>
        </w:rPr>
        <w:t>laws</w:t>
      </w:r>
      <w:r w:rsidR="000870B8" w:rsidRPr="00611696">
        <w:rPr>
          <w:rFonts w:asciiTheme="minorHAnsi" w:hAnsiTheme="minorHAnsi"/>
          <w:szCs w:val="22"/>
        </w:rPr>
        <w:t xml:space="preserve">. </w:t>
      </w:r>
    </w:p>
    <w:p w14:paraId="2597EDB1" w14:textId="3BF59CA6" w:rsidR="000870B8" w:rsidRPr="00611696" w:rsidRDefault="00F85CA4" w:rsidP="004E7A63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Chemist Warehouse </w:t>
      </w:r>
      <w:r w:rsidR="000870B8" w:rsidRPr="00611696">
        <w:rPr>
          <w:rFonts w:asciiTheme="minorHAnsi" w:hAnsiTheme="minorHAnsi"/>
          <w:szCs w:val="22"/>
        </w:rPr>
        <w:t>notes the PCD has reinforced the need to regularly review and upgrade it</w:t>
      </w:r>
      <w:r w:rsidRPr="00611696">
        <w:rPr>
          <w:rFonts w:asciiTheme="minorHAnsi" w:hAnsiTheme="minorHAnsi"/>
          <w:szCs w:val="22"/>
        </w:rPr>
        <w:t>s</w:t>
      </w:r>
      <w:r w:rsidR="000870B8" w:rsidRPr="00611696">
        <w:rPr>
          <w:rFonts w:asciiTheme="minorHAnsi" w:hAnsiTheme="minorHAnsi"/>
          <w:szCs w:val="22"/>
        </w:rPr>
        <w:t xml:space="preserve"> systems and processes. It recogni</w:t>
      </w:r>
      <w:r w:rsidRPr="00611696">
        <w:rPr>
          <w:rFonts w:asciiTheme="minorHAnsi" w:hAnsiTheme="minorHAnsi"/>
          <w:szCs w:val="22"/>
        </w:rPr>
        <w:t>s</w:t>
      </w:r>
      <w:r w:rsidR="000870B8" w:rsidRPr="00611696">
        <w:rPr>
          <w:rFonts w:asciiTheme="minorHAnsi" w:hAnsiTheme="minorHAnsi"/>
          <w:szCs w:val="22"/>
        </w:rPr>
        <w:t>e</w:t>
      </w:r>
      <w:r w:rsidR="004E3D7C" w:rsidRPr="00611696">
        <w:rPr>
          <w:rFonts w:asciiTheme="minorHAnsi" w:hAnsiTheme="minorHAnsi"/>
          <w:szCs w:val="22"/>
        </w:rPr>
        <w:t>s</w:t>
      </w:r>
      <w:r w:rsidR="000870B8" w:rsidRPr="00611696">
        <w:rPr>
          <w:rFonts w:asciiTheme="minorHAnsi" w:hAnsiTheme="minorHAnsi"/>
          <w:szCs w:val="22"/>
        </w:rPr>
        <w:t xml:space="preserve"> th</w:t>
      </w:r>
      <w:r w:rsidR="006F7E02" w:rsidRPr="00611696">
        <w:rPr>
          <w:rFonts w:asciiTheme="minorHAnsi" w:hAnsiTheme="minorHAnsi"/>
          <w:szCs w:val="22"/>
        </w:rPr>
        <w:t>at in doing so it benefits from the</w:t>
      </w:r>
      <w:r w:rsidR="000870B8" w:rsidRPr="00611696">
        <w:rPr>
          <w:rFonts w:asciiTheme="minorHAnsi" w:hAnsiTheme="minorHAnsi"/>
          <w:szCs w:val="22"/>
        </w:rPr>
        <w:t xml:space="preserve"> “early detection of issues and errors”</w:t>
      </w:r>
      <w:r w:rsidR="006F7E02" w:rsidRPr="00611696">
        <w:rPr>
          <w:rFonts w:asciiTheme="minorHAnsi" w:hAnsiTheme="minorHAnsi"/>
          <w:szCs w:val="22"/>
        </w:rPr>
        <w:t>,</w:t>
      </w:r>
      <w:r w:rsidR="000870B8" w:rsidRPr="00611696">
        <w:rPr>
          <w:rFonts w:asciiTheme="minorHAnsi" w:hAnsiTheme="minorHAnsi"/>
          <w:szCs w:val="22"/>
        </w:rPr>
        <w:t xml:space="preserve"> </w:t>
      </w:r>
      <w:r w:rsidR="006F7E02" w:rsidRPr="00611696">
        <w:rPr>
          <w:rFonts w:asciiTheme="minorHAnsi" w:hAnsiTheme="minorHAnsi"/>
          <w:szCs w:val="22"/>
        </w:rPr>
        <w:t xml:space="preserve">as well as </w:t>
      </w:r>
      <w:r w:rsidR="004E3D7C" w:rsidRPr="00611696">
        <w:rPr>
          <w:rFonts w:asciiTheme="minorHAnsi" w:hAnsiTheme="minorHAnsi"/>
          <w:szCs w:val="22"/>
        </w:rPr>
        <w:t xml:space="preserve">the ability </w:t>
      </w:r>
      <w:r w:rsidR="000870B8" w:rsidRPr="00611696">
        <w:rPr>
          <w:rFonts w:asciiTheme="minorHAnsi" w:hAnsiTheme="minorHAnsi"/>
          <w:szCs w:val="22"/>
        </w:rPr>
        <w:t>to adapt to changing business needs and workplace relations obligations.</w:t>
      </w:r>
    </w:p>
    <w:p w14:paraId="50865852" w14:textId="2C7B59FA" w:rsidR="000870B8" w:rsidRPr="00611696" w:rsidRDefault="00F85CA4" w:rsidP="003E33B4">
      <w:pPr>
        <w:jc w:val="left"/>
        <w:rPr>
          <w:rFonts w:asciiTheme="minorHAnsi" w:hAnsiTheme="minorHAnsi"/>
          <w:szCs w:val="22"/>
        </w:rPr>
      </w:pPr>
      <w:r w:rsidRPr="00611696">
        <w:rPr>
          <w:rFonts w:asciiTheme="minorHAnsi" w:hAnsiTheme="minorHAnsi"/>
          <w:szCs w:val="22"/>
        </w:rPr>
        <w:t xml:space="preserve">The </w:t>
      </w:r>
      <w:r w:rsidR="000870B8" w:rsidRPr="00611696">
        <w:rPr>
          <w:rFonts w:asciiTheme="minorHAnsi" w:hAnsiTheme="minorHAnsi"/>
          <w:szCs w:val="22"/>
        </w:rPr>
        <w:t>FWO will continue to work with Chemist Warehouse to improve compliance</w:t>
      </w:r>
      <w:r w:rsidR="004F5BC6" w:rsidRPr="00611696">
        <w:rPr>
          <w:rFonts w:asciiTheme="minorHAnsi" w:hAnsiTheme="minorHAnsi"/>
          <w:szCs w:val="22"/>
        </w:rPr>
        <w:t xml:space="preserve"> throughout its franchise network</w:t>
      </w:r>
      <w:r w:rsidR="000870B8" w:rsidRPr="00611696">
        <w:rPr>
          <w:rFonts w:asciiTheme="minorHAnsi" w:hAnsiTheme="minorHAnsi"/>
          <w:szCs w:val="22"/>
        </w:rPr>
        <w:t xml:space="preserve">, and will provide a further report on the conclusion of the three-year partnership. </w:t>
      </w:r>
    </w:p>
    <w:p w14:paraId="424E269A" w14:textId="77777777" w:rsidR="00EC1CB1" w:rsidRPr="00611696" w:rsidRDefault="00EC1CB1" w:rsidP="00611696">
      <w:pPr>
        <w:pStyle w:val="Heading1"/>
        <w:rPr>
          <w:rFonts w:asciiTheme="minorHAnsi" w:hAnsiTheme="minorHAnsi"/>
        </w:rPr>
      </w:pPr>
      <w:bookmarkStart w:id="30" w:name="_Toc525655528"/>
      <w:bookmarkStart w:id="31" w:name="_Toc527985003"/>
      <w:r w:rsidRPr="00611696">
        <w:rPr>
          <w:rFonts w:asciiTheme="minorHAnsi" w:hAnsiTheme="minorHAnsi"/>
        </w:rPr>
        <w:lastRenderedPageBreak/>
        <w:t>About the Fair Work Ombudsman</w:t>
      </w:r>
      <w:bookmarkEnd w:id="30"/>
      <w:bookmarkEnd w:id="31"/>
      <w:r w:rsidRPr="00611696">
        <w:rPr>
          <w:rFonts w:asciiTheme="minorHAnsi" w:hAnsiTheme="minorHAnsi"/>
        </w:rPr>
        <w:t xml:space="preserve"> </w:t>
      </w:r>
    </w:p>
    <w:p w14:paraId="6C2398FC" w14:textId="7FE1F4CC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FWO is an independent agency created by the </w:t>
      </w:r>
      <w:r w:rsidRPr="00611696">
        <w:rPr>
          <w:rFonts w:asciiTheme="minorHAnsi" w:hAnsiTheme="minorHAnsi"/>
          <w:i/>
        </w:rPr>
        <w:t>Fair Work Act 2009</w:t>
      </w:r>
      <w:r w:rsidRPr="00611696">
        <w:rPr>
          <w:rFonts w:asciiTheme="minorHAnsi" w:hAnsiTheme="minorHAnsi"/>
        </w:rPr>
        <w:t xml:space="preserve"> on 1 July 2009. </w:t>
      </w:r>
      <w:r w:rsidR="00635F62" w:rsidRPr="00611696">
        <w:rPr>
          <w:rFonts w:asciiTheme="minorHAnsi" w:hAnsiTheme="minorHAnsi"/>
        </w:rPr>
        <w:t xml:space="preserve">Our </w:t>
      </w:r>
      <w:r w:rsidRPr="00611696">
        <w:rPr>
          <w:rFonts w:asciiTheme="minorHAnsi" w:hAnsiTheme="minorHAnsi"/>
        </w:rPr>
        <w:t>main role is to promote harmonious, productive and cooperative workplace relations.</w:t>
      </w:r>
    </w:p>
    <w:p w14:paraId="2CB0EA98" w14:textId="695DC59A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The FWO employs a number of strategies to achieve compliance with national workplace laws.  This includes entering </w:t>
      </w:r>
      <w:r w:rsidR="00635F62" w:rsidRPr="00611696">
        <w:rPr>
          <w:rFonts w:asciiTheme="minorHAnsi" w:hAnsiTheme="minorHAnsi"/>
        </w:rPr>
        <w:t>compliance partnerships with employers in the form of P</w:t>
      </w:r>
      <w:r w:rsidRPr="00611696">
        <w:rPr>
          <w:rFonts w:asciiTheme="minorHAnsi" w:hAnsiTheme="minorHAnsi"/>
        </w:rPr>
        <w:t xml:space="preserve">roactive </w:t>
      </w:r>
      <w:r w:rsidR="00635F62" w:rsidRPr="00611696">
        <w:rPr>
          <w:rFonts w:asciiTheme="minorHAnsi" w:hAnsiTheme="minorHAnsi"/>
        </w:rPr>
        <w:t>Compliance Deeds (PCDs)</w:t>
      </w:r>
      <w:r w:rsidRPr="00611696">
        <w:rPr>
          <w:rFonts w:asciiTheme="minorHAnsi" w:hAnsiTheme="minorHAnsi"/>
        </w:rPr>
        <w:t xml:space="preserve">. A compliance partnership is an opportunity for businesses to work with the FWO in a positive and constructive manner. It sets out to achieve sustainable self-monitoring arrangements in order to demonstrate commitment to fair Australian workplaces.  </w:t>
      </w:r>
    </w:p>
    <w:p w14:paraId="1A248431" w14:textId="51679CE0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Employers seek to enter into a compliance partnership with the FWO for a variety of reasons</w:t>
      </w:r>
      <w:r w:rsidR="00753D8D" w:rsidRPr="00611696">
        <w:rPr>
          <w:rFonts w:asciiTheme="minorHAnsi" w:hAnsiTheme="minorHAnsi"/>
        </w:rPr>
        <w:t>. These can include</w:t>
      </w:r>
      <w:r w:rsidRPr="00611696">
        <w:rPr>
          <w:rFonts w:asciiTheme="minorHAnsi" w:hAnsiTheme="minorHAnsi"/>
        </w:rPr>
        <w:t>:</w:t>
      </w:r>
    </w:p>
    <w:p w14:paraId="05EFFD68" w14:textId="011F4C34" w:rsidR="000870B8" w:rsidRPr="00611696" w:rsidRDefault="000870B8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ensur</w:t>
      </w:r>
      <w:r w:rsidR="00753D8D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</w:t>
      </w:r>
      <w:r w:rsidR="00753D8D" w:rsidRPr="00611696">
        <w:rPr>
          <w:rFonts w:asciiTheme="minorHAnsi" w:hAnsiTheme="minorHAnsi"/>
        </w:rPr>
        <w:t xml:space="preserve">their </w:t>
      </w:r>
      <w:r w:rsidRPr="00611696">
        <w:rPr>
          <w:rFonts w:asciiTheme="minorHAnsi" w:hAnsiTheme="minorHAnsi"/>
        </w:rPr>
        <w:t xml:space="preserve">obligations under the Act are being met </w:t>
      </w:r>
    </w:p>
    <w:p w14:paraId="62D93BB2" w14:textId="6D194AA4" w:rsidR="000870B8" w:rsidRPr="00611696" w:rsidRDefault="000870B8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identify</w:t>
      </w:r>
      <w:r w:rsidR="00753D8D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and minimis</w:t>
      </w:r>
      <w:r w:rsidR="00753D8D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business risks with respect to its employees </w:t>
      </w:r>
    </w:p>
    <w:p w14:paraId="42D40F5A" w14:textId="5322423D" w:rsidR="000870B8" w:rsidRPr="00611696" w:rsidRDefault="000870B8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demonstrat</w:t>
      </w:r>
      <w:r w:rsidR="00753D8D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that it is a fair Australian workplace and an employer of choice</w:t>
      </w:r>
    </w:p>
    <w:p w14:paraId="5C5DDAEB" w14:textId="7E7071B1" w:rsidR="000870B8" w:rsidRPr="00611696" w:rsidRDefault="000870B8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address</w:t>
      </w:r>
      <w:r w:rsidR="00753D8D" w:rsidRPr="00611696">
        <w:rPr>
          <w:rFonts w:asciiTheme="minorHAnsi" w:hAnsiTheme="minorHAnsi"/>
        </w:rPr>
        <w:t>ing</w:t>
      </w:r>
      <w:r w:rsidRPr="00611696">
        <w:rPr>
          <w:rFonts w:asciiTheme="minorHAnsi" w:hAnsiTheme="minorHAnsi"/>
        </w:rPr>
        <w:t xml:space="preserve"> potential areas of non-compliance with the Act. </w:t>
      </w:r>
    </w:p>
    <w:p w14:paraId="17A44071" w14:textId="6BA7096F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 range of activities </w:t>
      </w:r>
      <w:r w:rsidR="003210C5" w:rsidRPr="00611696">
        <w:rPr>
          <w:rFonts w:asciiTheme="minorHAnsi" w:hAnsiTheme="minorHAnsi"/>
        </w:rPr>
        <w:t xml:space="preserve">are </w:t>
      </w:r>
      <w:r w:rsidRPr="00611696">
        <w:rPr>
          <w:rFonts w:asciiTheme="minorHAnsi" w:hAnsiTheme="minorHAnsi"/>
        </w:rPr>
        <w:t>utilised to assist business</w:t>
      </w:r>
      <w:r w:rsidR="003210C5" w:rsidRPr="00611696">
        <w:rPr>
          <w:rFonts w:asciiTheme="minorHAnsi" w:hAnsiTheme="minorHAnsi"/>
        </w:rPr>
        <w:t>es</w:t>
      </w:r>
      <w:r w:rsidRPr="00611696">
        <w:rPr>
          <w:rFonts w:asciiTheme="minorHAnsi" w:hAnsiTheme="minorHAnsi"/>
        </w:rPr>
        <w:t xml:space="preserve"> meet intended outcomes of compliance partnership</w:t>
      </w:r>
      <w:r w:rsidR="003210C5" w:rsidRPr="00611696">
        <w:rPr>
          <w:rFonts w:asciiTheme="minorHAnsi" w:hAnsiTheme="minorHAnsi"/>
        </w:rPr>
        <w:t>s</w:t>
      </w:r>
      <w:r w:rsidRPr="00611696">
        <w:rPr>
          <w:rFonts w:asciiTheme="minorHAnsi" w:hAnsiTheme="minorHAnsi"/>
        </w:rPr>
        <w:t>, for example:</w:t>
      </w:r>
    </w:p>
    <w:p w14:paraId="1348E514" w14:textId="77777777" w:rsidR="000870B8" w:rsidRPr="00611696" w:rsidRDefault="000870B8" w:rsidP="00BB5581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self auditing of wages and record-keeping</w:t>
      </w:r>
    </w:p>
    <w:p w14:paraId="6E88E251" w14:textId="77777777" w:rsidR="000870B8" w:rsidRPr="00611696" w:rsidRDefault="000870B8" w:rsidP="00C82826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initiatives to engage with employees to improve compliance</w:t>
      </w:r>
    </w:p>
    <w:p w14:paraId="145F2428" w14:textId="77777777" w:rsidR="000870B8" w:rsidRPr="00611696" w:rsidRDefault="000870B8">
      <w:pPr>
        <w:pStyle w:val="Bulle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mutually beneficial improvements to employment and business outcomes by focussing on supply chain, brand and franchise relationships.</w:t>
      </w:r>
    </w:p>
    <w:p w14:paraId="20FAC735" w14:textId="4F82DDEF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 xml:space="preserve">A dedicated Fair Work </w:t>
      </w:r>
      <w:r w:rsidR="003210C5" w:rsidRPr="00611696">
        <w:rPr>
          <w:rFonts w:asciiTheme="minorHAnsi" w:hAnsiTheme="minorHAnsi"/>
        </w:rPr>
        <w:t xml:space="preserve">Officer </w:t>
      </w:r>
      <w:r w:rsidRPr="00611696">
        <w:rPr>
          <w:rFonts w:asciiTheme="minorHAnsi" w:hAnsiTheme="minorHAnsi"/>
        </w:rPr>
        <w:t xml:space="preserve">provides support and assistance to a business </w:t>
      </w:r>
      <w:r w:rsidR="003210C5" w:rsidRPr="00611696">
        <w:rPr>
          <w:rFonts w:asciiTheme="minorHAnsi" w:hAnsiTheme="minorHAnsi"/>
        </w:rPr>
        <w:t xml:space="preserve">partners </w:t>
      </w:r>
      <w:r w:rsidRPr="00611696">
        <w:rPr>
          <w:rFonts w:asciiTheme="minorHAnsi" w:hAnsiTheme="minorHAnsi"/>
        </w:rPr>
        <w:t xml:space="preserve">to ensure they are able to meet the terms of the </w:t>
      </w:r>
      <w:r w:rsidR="003210C5" w:rsidRPr="00611696">
        <w:rPr>
          <w:rFonts w:asciiTheme="minorHAnsi" w:hAnsiTheme="minorHAnsi"/>
        </w:rPr>
        <w:t>PCD</w:t>
      </w:r>
      <w:r w:rsidRPr="00611696">
        <w:rPr>
          <w:rFonts w:asciiTheme="minorHAnsi" w:hAnsiTheme="minorHAnsi"/>
        </w:rPr>
        <w:t>. The FWO publishes a publically available report at the conclusion of each compliance partnership.</w:t>
      </w:r>
    </w:p>
    <w:p w14:paraId="4FB90A54" w14:textId="3AC68125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For further information and media enquiries</w:t>
      </w:r>
      <w:r w:rsidR="00753D8D" w:rsidRPr="00611696">
        <w:rPr>
          <w:rFonts w:asciiTheme="minorHAnsi" w:hAnsiTheme="minorHAnsi"/>
        </w:rPr>
        <w:t>,</w:t>
      </w:r>
      <w:r w:rsidRPr="00611696">
        <w:rPr>
          <w:rFonts w:asciiTheme="minorHAnsi" w:hAnsiTheme="minorHAnsi"/>
        </w:rPr>
        <w:t xml:space="preserve"> please contact FWO media (</w:t>
      </w:r>
      <w:hyperlink r:id="rId10" w:history="1">
        <w:r w:rsidRPr="00611696">
          <w:rPr>
            <w:rStyle w:val="Hyperlink"/>
            <w:rFonts w:asciiTheme="minorHAnsi" w:eastAsiaTheme="minorEastAsia" w:hAnsiTheme="minorHAnsi" w:cs="Arial"/>
          </w:rPr>
          <w:t>media@fwo.gov.au</w:t>
        </w:r>
      </w:hyperlink>
      <w:r w:rsidRPr="00611696">
        <w:rPr>
          <w:rFonts w:asciiTheme="minorHAnsi" w:hAnsiTheme="minorHAnsi"/>
        </w:rPr>
        <w:t xml:space="preserve">). </w:t>
      </w:r>
    </w:p>
    <w:p w14:paraId="08CE1CB3" w14:textId="77777777" w:rsidR="000870B8" w:rsidRPr="00611696" w:rsidRDefault="000870B8" w:rsidP="003E33B4">
      <w:pPr>
        <w:jc w:val="left"/>
        <w:rPr>
          <w:rFonts w:asciiTheme="minorHAnsi" w:hAnsiTheme="minorHAnsi"/>
        </w:rPr>
      </w:pPr>
      <w:r w:rsidRPr="00611696">
        <w:rPr>
          <w:rFonts w:asciiTheme="minorHAnsi" w:hAnsiTheme="minorHAnsi"/>
        </w:rPr>
        <w:t>If you would like further information about compliance partnerships please contact Steven Ronson, Executive Director – Communications (</w:t>
      </w:r>
      <w:hyperlink r:id="rId11" w:history="1">
        <w:r w:rsidRPr="00611696">
          <w:rPr>
            <w:rStyle w:val="Hyperlink"/>
            <w:rFonts w:asciiTheme="minorHAnsi" w:eastAsiaTheme="minorEastAsia" w:hAnsiTheme="minorHAnsi" w:cs="Arial"/>
          </w:rPr>
          <w:t>steven.ronson@fwo.gov.au</w:t>
        </w:r>
      </w:hyperlink>
      <w:r w:rsidRPr="00611696">
        <w:rPr>
          <w:rFonts w:asciiTheme="minorHAnsi" w:hAnsiTheme="minorHAnsi"/>
        </w:rPr>
        <w:t>).</w:t>
      </w:r>
    </w:p>
    <w:sectPr w:rsidR="000870B8" w:rsidRPr="00611696" w:rsidSect="00611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992" w:bottom="993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F37C" w14:textId="77777777" w:rsidR="000C0C9C" w:rsidRDefault="000C0C9C" w:rsidP="00AB27F9">
      <w:r>
        <w:separator/>
      </w:r>
    </w:p>
  </w:endnote>
  <w:endnote w:type="continuationSeparator" w:id="0">
    <w:p w14:paraId="5732A89C" w14:textId="77777777" w:rsidR="000C0C9C" w:rsidRDefault="000C0C9C" w:rsidP="00AB27F9">
      <w:r>
        <w:continuationSeparator/>
      </w:r>
    </w:p>
  </w:endnote>
  <w:endnote w:type="continuationNotice" w:id="1">
    <w:p w14:paraId="1084C14B" w14:textId="77777777" w:rsidR="000C0C9C" w:rsidRDefault="000C0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6B6B" w14:textId="77777777" w:rsidR="000C0C9C" w:rsidRPr="00ED2066" w:rsidRDefault="000C0C9C" w:rsidP="00ED2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C40A" w14:textId="77777777" w:rsidR="000C0C9C" w:rsidRPr="00ED2066" w:rsidRDefault="000C0C9C" w:rsidP="00ED2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C36C" w14:textId="77777777" w:rsidR="000C0C9C" w:rsidRPr="00ED2066" w:rsidRDefault="000C0C9C" w:rsidP="00ED2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C1BE" w14:textId="77777777" w:rsidR="000C0C9C" w:rsidRDefault="000C0C9C" w:rsidP="00AB27F9">
      <w:r>
        <w:separator/>
      </w:r>
    </w:p>
  </w:footnote>
  <w:footnote w:type="continuationSeparator" w:id="0">
    <w:p w14:paraId="312AC168" w14:textId="77777777" w:rsidR="000C0C9C" w:rsidRDefault="000C0C9C" w:rsidP="00AB27F9">
      <w:r>
        <w:continuationSeparator/>
      </w:r>
    </w:p>
  </w:footnote>
  <w:footnote w:type="continuationNotice" w:id="1">
    <w:p w14:paraId="5546D559" w14:textId="77777777" w:rsidR="000C0C9C" w:rsidRDefault="000C0C9C">
      <w:pPr>
        <w:spacing w:after="0" w:line="240" w:lineRule="auto"/>
      </w:pPr>
    </w:p>
  </w:footnote>
  <w:footnote w:id="2">
    <w:p w14:paraId="1342E49A" w14:textId="1EDBC3AB" w:rsidR="000C0C9C" w:rsidRPr="008A6E27" w:rsidRDefault="000C0C9C" w:rsidP="00044DE9">
      <w:pPr>
        <w:pStyle w:val="Footnotes"/>
        <w:rPr>
          <w:rFonts w:asciiTheme="minorHAnsi" w:hAnsiTheme="minorHAnsi"/>
        </w:rPr>
      </w:pPr>
      <w:r w:rsidRPr="008A6E27">
        <w:rPr>
          <w:rStyle w:val="FootnoteReference"/>
          <w:rFonts w:asciiTheme="minorHAnsi" w:hAnsiTheme="minorHAnsi"/>
        </w:rPr>
        <w:footnoteRef/>
      </w:r>
      <w:r w:rsidRPr="008A6E27">
        <w:rPr>
          <w:rStyle w:val="FootnoteReference"/>
        </w:rPr>
        <w:t xml:space="preserve"> </w:t>
      </w:r>
      <w:r w:rsidR="00E65366" w:rsidRPr="008A6E27">
        <w:rPr>
          <w:rStyle w:val="Hyperlink"/>
          <w:rFonts w:asciiTheme="minorHAnsi" w:hAnsiTheme="minorHAnsi" w:cs="Arial"/>
          <w:color w:val="auto"/>
          <w:u w:val="none"/>
        </w:rPr>
        <w:t>www.chemistwarehouse.com.au</w:t>
      </w:r>
    </w:p>
  </w:footnote>
  <w:footnote w:id="3">
    <w:p w14:paraId="0A9F39D8" w14:textId="204D3B9A" w:rsidR="000C0C9C" w:rsidRPr="008A6E27" w:rsidRDefault="000C0C9C" w:rsidP="00044DE9">
      <w:pPr>
        <w:pStyle w:val="Footnotes"/>
        <w:rPr>
          <w:rFonts w:asciiTheme="minorHAnsi" w:hAnsiTheme="minorHAnsi"/>
        </w:rPr>
      </w:pPr>
      <w:r w:rsidRPr="008A6E27">
        <w:rPr>
          <w:rStyle w:val="FootnoteReference"/>
          <w:rFonts w:asciiTheme="minorHAnsi" w:hAnsiTheme="minorHAnsi"/>
        </w:rPr>
        <w:footnoteRef/>
      </w:r>
      <w:r w:rsidRPr="008A6E27">
        <w:rPr>
          <w:rStyle w:val="FootnoteReference"/>
        </w:rPr>
        <w:t xml:space="preserve"> </w:t>
      </w:r>
      <w:hyperlink r:id="rId1" w:tooltip="Compliance monitoring campaign page on website" w:history="1">
        <w:r w:rsidRPr="008A6E27">
          <w:rPr>
            <w:rStyle w:val="Hyperlink"/>
            <w:rFonts w:asciiTheme="minorHAnsi" w:hAnsiTheme="minorHAnsi" w:cs="Arial"/>
            <w:color w:val="auto"/>
            <w:u w:val="none"/>
          </w:rPr>
          <w:t>https://www.fairwork.gov.au/how-we-will-help/helping-the-community/campaigns/national-campaigns/compliance-monitoring-campaign</w:t>
        </w:r>
      </w:hyperlink>
    </w:p>
  </w:footnote>
  <w:footnote w:id="4">
    <w:p w14:paraId="0848A012" w14:textId="2D179F4C" w:rsidR="000C0C9C" w:rsidRPr="00C93DBD" w:rsidRDefault="000C0C9C" w:rsidP="00044DE9">
      <w:pPr>
        <w:pStyle w:val="Footnotes"/>
        <w:rPr>
          <w:sz w:val="18"/>
          <w:szCs w:val="18"/>
        </w:rPr>
      </w:pPr>
      <w:r w:rsidRPr="008A6E27">
        <w:rPr>
          <w:rStyle w:val="FootnoteReference"/>
          <w:rFonts w:asciiTheme="minorHAnsi" w:hAnsiTheme="minorHAnsi"/>
        </w:rPr>
        <w:footnoteRef/>
      </w:r>
      <w:r w:rsidRPr="008A6E27">
        <w:rPr>
          <w:rStyle w:val="FootnoteReference"/>
        </w:rPr>
        <w:t xml:space="preserve"> </w:t>
      </w:r>
      <w:r w:rsidR="00E65366" w:rsidRPr="008A6E27">
        <w:rPr>
          <w:rFonts w:asciiTheme="minorHAnsi" w:hAnsiTheme="minorHAnsi"/>
        </w:rPr>
        <w:t xml:space="preserve">FWO media release: </w:t>
      </w:r>
      <w:hyperlink r:id="rId2" w:tooltip="Chemist Warehouse added to the growing big brands list of Fair Work Ombudsman partners media release" w:history="1">
        <w:r w:rsidR="00E65366" w:rsidRPr="008A6E27">
          <w:rPr>
            <w:rStyle w:val="Hyperlink"/>
            <w:rFonts w:asciiTheme="minorHAnsi" w:hAnsiTheme="minorHAnsi" w:cs="Arial"/>
          </w:rPr>
          <w:t>https://www.fairwork.gov.au/about-us/news-and-media-releases/2016-media-releases/december-2016/20161201-chemist-warehouse-mr</w:t>
        </w:r>
      </w:hyperlink>
    </w:p>
  </w:footnote>
  <w:footnote w:id="5">
    <w:p w14:paraId="1C3653CE" w14:textId="47B161D2" w:rsidR="000C0C9C" w:rsidRPr="008A6E27" w:rsidRDefault="000C0C9C" w:rsidP="00044DE9">
      <w:pPr>
        <w:pStyle w:val="Footnotes"/>
        <w:rPr>
          <w:rFonts w:asciiTheme="minorHAnsi" w:hAnsiTheme="minorHAnsi"/>
        </w:rPr>
      </w:pPr>
      <w:r w:rsidRPr="008A6E27">
        <w:rPr>
          <w:rStyle w:val="FootnoteReference"/>
          <w:rFonts w:asciiTheme="minorHAnsi" w:hAnsiTheme="minorHAnsi"/>
        </w:rPr>
        <w:footnoteRef/>
      </w:r>
      <w:r w:rsidRPr="008A6E27">
        <w:rPr>
          <w:rFonts w:asciiTheme="minorHAnsi" w:hAnsiTheme="minorHAnsi"/>
        </w:rPr>
        <w:t xml:space="preserve"> This arrangement, in which individual corporate entities owned and operated their own pharmacies, applied to all outlets in the Chemist Warehouse network. </w:t>
      </w:r>
      <w:r w:rsidRPr="008A6E27">
        <w:rPr>
          <w:rFonts w:asciiTheme="minorHAnsi" w:hAnsiTheme="minorHAnsi"/>
          <w:lang w:val="en-US"/>
        </w:rPr>
        <w:t>From 1 July 2016, the organi</w:t>
      </w:r>
      <w:r w:rsidR="00044DE9" w:rsidRPr="008A6E27">
        <w:rPr>
          <w:rFonts w:asciiTheme="minorHAnsi" w:hAnsiTheme="minorHAnsi"/>
          <w:lang w:val="en-US"/>
        </w:rPr>
        <w:t>z</w:t>
      </w:r>
      <w:r w:rsidRPr="008A6E27">
        <w:rPr>
          <w:rFonts w:asciiTheme="minorHAnsi" w:hAnsiTheme="minorHAnsi"/>
          <w:lang w:val="en-US"/>
        </w:rPr>
        <w:t>ational model changed, with CW Retail Services Pty Ltd entering into franchising agreements with each individual business in its network</w:t>
      </w:r>
      <w:r w:rsidRPr="008A6E27">
        <w:rPr>
          <w:rFonts w:asciiTheme="minorHAnsi" w:hAnsiTheme="minorHAnsi"/>
          <w:szCs w:val="22"/>
          <w:lang w:val="en-US"/>
        </w:rPr>
        <w:t>.</w:t>
      </w:r>
    </w:p>
  </w:footnote>
  <w:footnote w:id="6">
    <w:p w14:paraId="52184D8A" w14:textId="4DD89A9B" w:rsidR="000C0C9C" w:rsidRPr="00044DE9" w:rsidRDefault="000C0C9C" w:rsidP="00044DE9">
      <w:pPr>
        <w:pStyle w:val="Footnotes"/>
        <w:rPr>
          <w:lang w:val="en-US"/>
        </w:rPr>
      </w:pPr>
      <w:r w:rsidRPr="008A6E27">
        <w:rPr>
          <w:rStyle w:val="FootnoteReference"/>
          <w:rFonts w:asciiTheme="minorHAnsi" w:hAnsiTheme="minorHAnsi"/>
        </w:rPr>
        <w:footnoteRef/>
      </w:r>
      <w:r w:rsidRPr="008A6E27">
        <w:rPr>
          <w:rFonts w:asciiTheme="minorHAnsi" w:hAnsiTheme="minorHAnsi"/>
        </w:rPr>
        <w:t xml:space="preserve"> Chemist Warehouse have advised the FWO they have changed the training provided. Healthcare Training Australia Pty Ltd has since </w:t>
      </w:r>
      <w:r w:rsidRPr="008A6E27">
        <w:rPr>
          <w:rFonts w:asciiTheme="minorHAnsi" w:hAnsiTheme="minorHAnsi"/>
          <w:lang w:val="en-US"/>
        </w:rPr>
        <w:t>been deregistered as an RTO.</w:t>
      </w:r>
    </w:p>
  </w:footnote>
  <w:footnote w:id="7">
    <w:p w14:paraId="1F8A9B13" w14:textId="3FFA01A4" w:rsidR="007E2099" w:rsidRPr="002D4D40" w:rsidRDefault="007E2099" w:rsidP="00044DE9">
      <w:pPr>
        <w:pStyle w:val="Footnotes"/>
        <w:rPr>
          <w:rFonts w:asciiTheme="minorHAnsi" w:hAnsiTheme="minorHAnsi"/>
        </w:rPr>
      </w:pPr>
      <w:r w:rsidRPr="002D4D40">
        <w:rPr>
          <w:rStyle w:val="FootnoteReference"/>
          <w:rFonts w:asciiTheme="minorHAnsi" w:hAnsiTheme="minorHAnsi"/>
        </w:rPr>
        <w:footnoteRef/>
      </w:r>
      <w:r w:rsidRPr="002D4D40">
        <w:rPr>
          <w:rFonts w:asciiTheme="minorHAnsi" w:hAnsiTheme="minorHAnsi"/>
        </w:rPr>
        <w:t xml:space="preserve"> The review was undertaken by AM Solutions, a company in the Chemist Warehouse group that provides paid human resources and marketing support to individual stores.</w:t>
      </w:r>
    </w:p>
  </w:footnote>
  <w:footnote w:id="8">
    <w:p w14:paraId="43133336" w14:textId="664B719D" w:rsidR="000C0C9C" w:rsidRPr="002D4D40" w:rsidRDefault="000C0C9C" w:rsidP="00044DE9">
      <w:pPr>
        <w:pStyle w:val="Footnotes"/>
        <w:rPr>
          <w:rFonts w:asciiTheme="minorHAnsi" w:hAnsiTheme="minorHAnsi"/>
        </w:rPr>
      </w:pPr>
    </w:p>
  </w:footnote>
  <w:footnote w:id="9">
    <w:p w14:paraId="0BDD94E9" w14:textId="444B0DE1" w:rsidR="000C0C9C" w:rsidRPr="002D4D40" w:rsidRDefault="000C0C9C" w:rsidP="000D6E2C">
      <w:pPr>
        <w:pStyle w:val="Footnotes"/>
        <w:rPr>
          <w:rFonts w:asciiTheme="minorHAnsi" w:hAnsiTheme="minorHAnsi"/>
        </w:rPr>
      </w:pPr>
      <w:r w:rsidRPr="002D4D40">
        <w:rPr>
          <w:rStyle w:val="FootnoteReference"/>
          <w:rFonts w:asciiTheme="minorHAnsi" w:hAnsiTheme="minorHAnsi"/>
        </w:rPr>
        <w:footnoteRef/>
      </w:r>
      <w:r w:rsidRPr="002D4D40">
        <w:rPr>
          <w:rStyle w:val="FootnoteReference"/>
          <w:rFonts w:asciiTheme="minorHAnsi" w:hAnsiTheme="minorHAnsi"/>
        </w:rPr>
        <w:t xml:space="preserve"> </w:t>
      </w:r>
      <w:r w:rsidRPr="002D4D40">
        <w:rPr>
          <w:rFonts w:asciiTheme="minorHAnsi" w:hAnsiTheme="minorHAnsi"/>
        </w:rPr>
        <w:t xml:space="preserve">Penalty rates for Sunday work under the Award will decrease on 1 July each year, following the Fair Work Commission’s penalty rates decision (effective 1 July 2017): </w:t>
      </w:r>
      <w:hyperlink r:id="rId3" w:tooltip="4 yearly review of modern awards - Penalty Rates – Transitional Arrangements document on Fair Work Commision website" w:history="1">
        <w:r w:rsidRPr="002D4D40">
          <w:rPr>
            <w:rStyle w:val="Hyperlink"/>
            <w:rFonts w:asciiTheme="minorHAnsi" w:hAnsiTheme="minorHAnsi" w:cs="Arial"/>
            <w:color w:val="auto"/>
            <w:u w:val="none"/>
          </w:rPr>
          <w:t>https://www.fwc.gov.au/documents/sites/awardsmodernfouryr/2017fwcfb3001.pdf</w:t>
        </w:r>
      </w:hyperlink>
    </w:p>
  </w:footnote>
  <w:footnote w:id="10">
    <w:p w14:paraId="3FED24B1" w14:textId="188E2886" w:rsidR="00C82826" w:rsidRPr="002D4D40" w:rsidRDefault="00C82826" w:rsidP="000D6E2C">
      <w:pPr>
        <w:pStyle w:val="FootnoteText"/>
        <w:spacing w:after="0" w:line="240" w:lineRule="auto"/>
        <w:rPr>
          <w:rFonts w:asciiTheme="minorHAnsi" w:hAnsiTheme="minorHAnsi"/>
        </w:rPr>
      </w:pPr>
      <w:r w:rsidRPr="002D4D40">
        <w:rPr>
          <w:rStyle w:val="FootnoteReference"/>
          <w:rFonts w:asciiTheme="minorHAnsi" w:hAnsiTheme="minorHAnsi"/>
        </w:rPr>
        <w:footnoteRef/>
      </w:r>
      <w:r w:rsidRPr="002D4D40">
        <w:rPr>
          <w:rFonts w:asciiTheme="minorHAnsi" w:hAnsiTheme="minorHAnsi"/>
        </w:rPr>
        <w:t xml:space="preserve"> </w:t>
      </w:r>
      <w:hyperlink r:id="rId4" w:tooltip="Unpaid work page on website" w:history="1">
        <w:r w:rsidRPr="002D4D40">
          <w:rPr>
            <w:rStyle w:val="Hyperlink"/>
            <w:rFonts w:asciiTheme="minorHAnsi" w:hAnsiTheme="minorHAnsi" w:cs="Arial"/>
            <w:sz w:val="16"/>
            <w:szCs w:val="16"/>
          </w:rPr>
          <w:t>https://www.fairwork.gov.au/pay/unpaid-work</w:t>
        </w:r>
      </w:hyperlink>
      <w:r w:rsidRPr="002D4D40">
        <w:rPr>
          <w:rFonts w:asciiTheme="minorHAnsi" w:hAnsiTheme="minorHAnsi"/>
        </w:rPr>
        <w:t xml:space="preserve"> </w:t>
      </w:r>
    </w:p>
  </w:footnote>
  <w:footnote w:id="11">
    <w:p w14:paraId="2CF1269F" w14:textId="0CD8C3E4" w:rsidR="000C0C9C" w:rsidRPr="00155636" w:rsidRDefault="000C0C9C" w:rsidP="000D6E2C">
      <w:pPr>
        <w:pStyle w:val="Footnotes"/>
      </w:pPr>
      <w:r w:rsidRPr="002D4D40">
        <w:rPr>
          <w:rStyle w:val="FootnoteReference"/>
          <w:rFonts w:asciiTheme="minorHAnsi" w:hAnsiTheme="minorHAnsi"/>
        </w:rPr>
        <w:footnoteRef/>
      </w:r>
      <w:r w:rsidRPr="002D4D40">
        <w:rPr>
          <w:rStyle w:val="FootnoteReference"/>
          <w:rFonts w:asciiTheme="minorHAnsi" w:hAnsiTheme="minorHAnsi"/>
        </w:rPr>
        <w:t xml:space="preserve"> </w:t>
      </w:r>
      <w:r w:rsidR="00155636" w:rsidRPr="002D4D40">
        <w:rPr>
          <w:rFonts w:asciiTheme="minorHAnsi" w:hAnsiTheme="minorHAnsi"/>
        </w:rPr>
        <w:t>FWO media release:</w:t>
      </w:r>
      <w:hyperlink r:id="rId5" w:tooltip="Chemist Warehouse added to the growing big brands list of Fair Work Ombudsman partners media release" w:history="1">
        <w:r w:rsidR="00155636" w:rsidRPr="002D4D40">
          <w:rPr>
            <w:rStyle w:val="Hyperlink"/>
            <w:rFonts w:asciiTheme="minorHAnsi" w:hAnsiTheme="minorHAnsi" w:cs="Arial"/>
          </w:rPr>
          <w:t xml:space="preserve"> </w:t>
        </w:r>
        <w:r w:rsidRPr="002D4D40">
          <w:rPr>
            <w:rStyle w:val="Hyperlink"/>
            <w:rFonts w:asciiTheme="minorHAnsi" w:hAnsiTheme="minorHAnsi" w:cs="Arial"/>
          </w:rPr>
          <w:t>https://www.fairwork.gov.au/about-us/news-and-media-releases/2016-media-releases/december-2016/20161201-chemist-warehouse-mr</w:t>
        </w:r>
      </w:hyperlink>
    </w:p>
  </w:footnote>
  <w:footnote w:id="12">
    <w:p w14:paraId="3361ED2E" w14:textId="05C3E8BD" w:rsidR="000C0C9C" w:rsidRPr="002D4D40" w:rsidRDefault="000C0C9C">
      <w:pPr>
        <w:pStyle w:val="Footnotes"/>
        <w:rPr>
          <w:rFonts w:asciiTheme="minorHAnsi" w:hAnsiTheme="minorHAnsi"/>
        </w:rPr>
      </w:pPr>
      <w:r w:rsidRPr="002D4D40">
        <w:rPr>
          <w:rStyle w:val="FootnoteReference"/>
          <w:rFonts w:asciiTheme="minorHAnsi" w:eastAsiaTheme="minorHAnsi" w:hAnsiTheme="minorHAnsi"/>
          <w:sz w:val="22"/>
          <w:szCs w:val="22"/>
        </w:rPr>
        <w:footnoteRef/>
      </w:r>
      <w:r w:rsidRPr="002D4D40">
        <w:rPr>
          <w:rStyle w:val="FootnoteReference"/>
          <w:rFonts w:asciiTheme="minorHAnsi" w:eastAsiaTheme="minorHAnsi" w:hAnsiTheme="minorHAnsi"/>
          <w:sz w:val="22"/>
          <w:szCs w:val="22"/>
        </w:rPr>
        <w:t xml:space="preserve"> </w:t>
      </w:r>
      <w:hyperlink r:id="rId6" w:tooltip="Annual wage review 2016-17 page on Fair Work Commission website" w:history="1">
        <w:r w:rsidRPr="002D4D40">
          <w:rPr>
            <w:rStyle w:val="Hyperlink"/>
            <w:rFonts w:asciiTheme="minorHAnsi" w:hAnsiTheme="minorHAnsi" w:cs="Arial"/>
            <w:color w:val="auto"/>
            <w:u w:val="none"/>
          </w:rPr>
          <w:t>https://www.fwc.gov.au/awards-agreements/minimum-wages-conditions/annual-wage-reviews/annual-wage-review-2016-17</w:t>
        </w:r>
      </w:hyperlink>
    </w:p>
  </w:footnote>
  <w:footnote w:id="13">
    <w:p w14:paraId="48DCCC11" w14:textId="7D57DBE2" w:rsidR="000C0C9C" w:rsidRPr="002D4D40" w:rsidRDefault="000C0C9C" w:rsidP="00044DE9">
      <w:pPr>
        <w:pStyle w:val="Footnotes"/>
        <w:rPr>
          <w:rFonts w:asciiTheme="minorHAnsi" w:hAnsiTheme="minorHAnsi"/>
        </w:rPr>
      </w:pPr>
      <w:r w:rsidRPr="002D4D40">
        <w:rPr>
          <w:rStyle w:val="FootnoteReference"/>
          <w:rFonts w:asciiTheme="minorHAnsi" w:eastAsiaTheme="minorHAnsi" w:hAnsiTheme="minorHAnsi"/>
          <w:sz w:val="22"/>
          <w:szCs w:val="22"/>
        </w:rPr>
        <w:footnoteRef/>
      </w:r>
      <w:r w:rsidR="00B02154" w:rsidRPr="002D4D40">
        <w:rPr>
          <w:rStyle w:val="FootnoteReference"/>
          <w:rFonts w:asciiTheme="minorHAnsi" w:eastAsiaTheme="minorHAnsi" w:hAnsiTheme="minorHAnsi"/>
          <w:sz w:val="22"/>
          <w:szCs w:val="22"/>
        </w:rPr>
        <w:t xml:space="preserve"> </w:t>
      </w:r>
      <w:hyperlink r:id="rId7" w:tooltip="yearly review of modern awards – Penalty Rates – Transitional Arrangements document on Fair Work Commission website" w:history="1">
        <w:r w:rsidRPr="002D4D40">
          <w:rPr>
            <w:rStyle w:val="Hyperlink"/>
            <w:rFonts w:asciiTheme="minorHAnsi" w:hAnsiTheme="minorHAnsi" w:cs="Arial"/>
            <w:color w:val="auto"/>
            <w:u w:val="none"/>
          </w:rPr>
          <w:t>https://www.fwc.gov.au/documents/sites/awardsmodernfouryr/2017fwcfb3001.pdf</w:t>
        </w:r>
      </w:hyperlink>
      <w:r w:rsidRPr="002D4D40">
        <w:rPr>
          <w:rStyle w:val="Hyperlink"/>
          <w:rFonts w:asciiTheme="minorHAnsi" w:hAnsiTheme="minorHAnsi" w:cs="Arial"/>
          <w:color w:val="auto"/>
          <w:u w:val="none"/>
        </w:rPr>
        <w:t xml:space="preserve"> </w:t>
      </w:r>
      <w:r w:rsidR="00B02154" w:rsidRPr="002D4D40">
        <w:rPr>
          <w:rStyle w:val="Hyperlink"/>
          <w:rFonts w:asciiTheme="minorHAnsi" w:hAnsiTheme="minorHAnsi" w:cs="Arial"/>
          <w:color w:val="auto"/>
          <w:u w:val="none"/>
        </w:rPr>
        <w:t>(</w:t>
      </w:r>
      <w:r w:rsidRPr="002D4D40">
        <w:rPr>
          <w:rFonts w:asciiTheme="minorHAnsi" w:hAnsiTheme="minorHAnsi"/>
        </w:rPr>
        <w:t>Chemist Warehouse and its franchisees decided not to reduce penalty rates for network staff employed as at 30 June 2017</w:t>
      </w:r>
      <w:r w:rsidR="00B02154" w:rsidRPr="002D4D40">
        <w:rPr>
          <w:rFonts w:asciiTheme="minorHAnsi" w:hAnsiTheme="minorHAnsi"/>
        </w:rPr>
        <w:t>)</w:t>
      </w:r>
    </w:p>
  </w:footnote>
  <w:footnote w:id="14">
    <w:p w14:paraId="47232830" w14:textId="0824A8D3" w:rsidR="000C0C9C" w:rsidRDefault="000C0C9C" w:rsidP="00B02154">
      <w:pPr>
        <w:pStyle w:val="Footnotes"/>
      </w:pPr>
      <w:r w:rsidRPr="002D4D40">
        <w:rPr>
          <w:rStyle w:val="FootnoteReference"/>
          <w:rFonts w:asciiTheme="minorHAnsi" w:eastAsiaTheme="minorHAnsi" w:hAnsiTheme="minorHAnsi"/>
          <w:sz w:val="22"/>
          <w:szCs w:val="22"/>
        </w:rPr>
        <w:footnoteRef/>
      </w:r>
      <w:r w:rsidRPr="002D4D40">
        <w:rPr>
          <w:rFonts w:asciiTheme="minorHAnsi" w:hAnsiTheme="minorHAnsi"/>
        </w:rPr>
        <w:t xml:space="preserve"> </w:t>
      </w:r>
      <w:hyperlink r:id="rId8" w:tooltip="Pharmacy industry Award 2010 determination on Fair Work Commission website" w:history="1">
        <w:r w:rsidRPr="002D4D40">
          <w:rPr>
            <w:rStyle w:val="Hyperlink"/>
            <w:rFonts w:asciiTheme="minorHAnsi" w:hAnsiTheme="minorHAnsi" w:cs="Arial"/>
          </w:rPr>
          <w:t>https://www.fwc.gov.au/documents/awardsandorders/html/pr594779.htm</w:t>
        </w:r>
      </w:hyperlink>
      <w:r w:rsidR="0001305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3EE9" w14:textId="77777777" w:rsidR="000C0C9C" w:rsidRPr="00ED2066" w:rsidRDefault="000C0C9C" w:rsidP="00ED2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EF06" w14:textId="3A9692F8" w:rsidR="00DA5B35" w:rsidRDefault="00DA5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7671" w14:textId="77777777" w:rsidR="00ED2066" w:rsidRDefault="00ED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30D34FA"/>
    <w:multiLevelType w:val="hybridMultilevel"/>
    <w:tmpl w:val="2CB6B41A"/>
    <w:lvl w:ilvl="0" w:tplc="C6461F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E0AA9"/>
    <w:multiLevelType w:val="hybridMultilevel"/>
    <w:tmpl w:val="6E5EA786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5CC"/>
    <w:multiLevelType w:val="hybridMultilevel"/>
    <w:tmpl w:val="05D05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B5DA5"/>
    <w:multiLevelType w:val="hybridMultilevel"/>
    <w:tmpl w:val="BD389F7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B1367"/>
    <w:multiLevelType w:val="hybridMultilevel"/>
    <w:tmpl w:val="0DC6D41A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C7CF3"/>
    <w:multiLevelType w:val="hybridMultilevel"/>
    <w:tmpl w:val="765C2798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53304"/>
    <w:multiLevelType w:val="hybridMultilevel"/>
    <w:tmpl w:val="9F52869C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0F3D"/>
    <w:multiLevelType w:val="hybridMultilevel"/>
    <w:tmpl w:val="B4B894F4"/>
    <w:lvl w:ilvl="0" w:tplc="56F09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5D4A"/>
    <w:multiLevelType w:val="hybridMultilevel"/>
    <w:tmpl w:val="6CEAC1C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4F0A"/>
    <w:multiLevelType w:val="hybridMultilevel"/>
    <w:tmpl w:val="15605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F124D"/>
    <w:multiLevelType w:val="hybridMultilevel"/>
    <w:tmpl w:val="96A6E71C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B1162"/>
    <w:multiLevelType w:val="hybridMultilevel"/>
    <w:tmpl w:val="4C1672EE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D1D7485"/>
    <w:multiLevelType w:val="hybridMultilevel"/>
    <w:tmpl w:val="447EE160"/>
    <w:lvl w:ilvl="0" w:tplc="A078A7D6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15F76"/>
    <w:multiLevelType w:val="hybridMultilevel"/>
    <w:tmpl w:val="D9F87784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B495E"/>
    <w:multiLevelType w:val="hybridMultilevel"/>
    <w:tmpl w:val="B6A2F004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DD7DDF"/>
    <w:multiLevelType w:val="hybridMultilevel"/>
    <w:tmpl w:val="6DB059C2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33D"/>
    <w:multiLevelType w:val="multilevel"/>
    <w:tmpl w:val="7CC4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21C689A"/>
    <w:multiLevelType w:val="hybridMultilevel"/>
    <w:tmpl w:val="5B30B21A"/>
    <w:lvl w:ilvl="0" w:tplc="BCF482F8">
      <w:start w:val="6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4CD2973"/>
    <w:multiLevelType w:val="hybridMultilevel"/>
    <w:tmpl w:val="BEE4EC7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26CEB"/>
    <w:multiLevelType w:val="hybridMultilevel"/>
    <w:tmpl w:val="76B2FAE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72359"/>
    <w:multiLevelType w:val="hybridMultilevel"/>
    <w:tmpl w:val="88406F98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12010"/>
    <w:multiLevelType w:val="hybridMultilevel"/>
    <w:tmpl w:val="6A525CB4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817F2"/>
    <w:multiLevelType w:val="hybridMultilevel"/>
    <w:tmpl w:val="7E8E87D2"/>
    <w:lvl w:ilvl="0" w:tplc="11DED53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6B6988"/>
    <w:multiLevelType w:val="hybridMultilevel"/>
    <w:tmpl w:val="99A027A8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5A82"/>
    <w:multiLevelType w:val="hybridMultilevel"/>
    <w:tmpl w:val="E1F28010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4DC"/>
    <w:multiLevelType w:val="hybridMultilevel"/>
    <w:tmpl w:val="1E620CCA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6984"/>
    <w:multiLevelType w:val="hybridMultilevel"/>
    <w:tmpl w:val="745ECA48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902B71"/>
    <w:multiLevelType w:val="hybridMultilevel"/>
    <w:tmpl w:val="B05E8372"/>
    <w:lvl w:ilvl="0" w:tplc="22BE39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706EE"/>
    <w:multiLevelType w:val="hybridMultilevel"/>
    <w:tmpl w:val="0694BC92"/>
    <w:lvl w:ilvl="0" w:tplc="2974B1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52375"/>
    <w:multiLevelType w:val="hybridMultilevel"/>
    <w:tmpl w:val="E730D7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3"/>
  </w:num>
  <w:num w:numId="4">
    <w:abstractNumId w:val="29"/>
  </w:num>
  <w:num w:numId="5">
    <w:abstractNumId w:val="30"/>
  </w:num>
  <w:num w:numId="6">
    <w:abstractNumId w:val="24"/>
  </w:num>
  <w:num w:numId="7">
    <w:abstractNumId w:val="15"/>
  </w:num>
  <w:num w:numId="8">
    <w:abstractNumId w:val="5"/>
  </w:num>
  <w:num w:numId="9">
    <w:abstractNumId w:val="25"/>
  </w:num>
  <w:num w:numId="10">
    <w:abstractNumId w:val="12"/>
  </w:num>
  <w:num w:numId="11">
    <w:abstractNumId w:val="16"/>
  </w:num>
  <w:num w:numId="12">
    <w:abstractNumId w:val="11"/>
  </w:num>
  <w:num w:numId="13">
    <w:abstractNumId w:val="9"/>
  </w:num>
  <w:num w:numId="14">
    <w:abstractNumId w:val="17"/>
  </w:num>
  <w:num w:numId="15">
    <w:abstractNumId w:val="14"/>
  </w:num>
  <w:num w:numId="16">
    <w:abstractNumId w:val="20"/>
  </w:num>
  <w:num w:numId="17">
    <w:abstractNumId w:val="21"/>
  </w:num>
  <w:num w:numId="18">
    <w:abstractNumId w:val="28"/>
  </w:num>
  <w:num w:numId="19">
    <w:abstractNumId w:val="31"/>
  </w:num>
  <w:num w:numId="20">
    <w:abstractNumId w:val="34"/>
  </w:num>
  <w:num w:numId="21">
    <w:abstractNumId w:val="3"/>
  </w:num>
  <w:num w:numId="22">
    <w:abstractNumId w:val="10"/>
  </w:num>
  <w:num w:numId="23">
    <w:abstractNumId w:val="26"/>
  </w:num>
  <w:num w:numId="24">
    <w:abstractNumId w:val="7"/>
  </w:num>
  <w:num w:numId="25">
    <w:abstractNumId w:val="4"/>
  </w:num>
  <w:num w:numId="26">
    <w:abstractNumId w:val="19"/>
  </w:num>
  <w:num w:numId="27">
    <w:abstractNumId w:val="33"/>
  </w:num>
  <w:num w:numId="28">
    <w:abstractNumId w:val="6"/>
  </w:num>
  <w:num w:numId="29">
    <w:abstractNumId w:val="22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</w:num>
  <w:num w:numId="34">
    <w:abstractNumId w:val="27"/>
  </w:num>
  <w:num w:numId="35">
    <w:abstractNumId w:val="8"/>
  </w:num>
  <w:num w:numId="36">
    <w:abstractNumId w:val="14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B"/>
    <w:rsid w:val="000025BB"/>
    <w:rsid w:val="0000366A"/>
    <w:rsid w:val="00003FF8"/>
    <w:rsid w:val="00006D48"/>
    <w:rsid w:val="00011FF4"/>
    <w:rsid w:val="0001305B"/>
    <w:rsid w:val="000131C0"/>
    <w:rsid w:val="00014919"/>
    <w:rsid w:val="00016BA1"/>
    <w:rsid w:val="00020ED9"/>
    <w:rsid w:val="000225D5"/>
    <w:rsid w:val="00023A18"/>
    <w:rsid w:val="000254E5"/>
    <w:rsid w:val="00027E86"/>
    <w:rsid w:val="00031C05"/>
    <w:rsid w:val="00040CB6"/>
    <w:rsid w:val="000418DB"/>
    <w:rsid w:val="00043D63"/>
    <w:rsid w:val="00044A07"/>
    <w:rsid w:val="00044DE9"/>
    <w:rsid w:val="00045BE8"/>
    <w:rsid w:val="000466E9"/>
    <w:rsid w:val="00051793"/>
    <w:rsid w:val="000520D2"/>
    <w:rsid w:val="00053E4A"/>
    <w:rsid w:val="00054BA1"/>
    <w:rsid w:val="00054D7D"/>
    <w:rsid w:val="00057AE4"/>
    <w:rsid w:val="00057F2B"/>
    <w:rsid w:val="000617A7"/>
    <w:rsid w:val="0006190D"/>
    <w:rsid w:val="000625B6"/>
    <w:rsid w:val="00064562"/>
    <w:rsid w:val="000652ED"/>
    <w:rsid w:val="00067031"/>
    <w:rsid w:val="00070178"/>
    <w:rsid w:val="00071470"/>
    <w:rsid w:val="0008451C"/>
    <w:rsid w:val="000870B8"/>
    <w:rsid w:val="000870D8"/>
    <w:rsid w:val="00090047"/>
    <w:rsid w:val="00092C5E"/>
    <w:rsid w:val="00093C5A"/>
    <w:rsid w:val="0009727F"/>
    <w:rsid w:val="000A29F0"/>
    <w:rsid w:val="000A5FE4"/>
    <w:rsid w:val="000B04DA"/>
    <w:rsid w:val="000B0D09"/>
    <w:rsid w:val="000B5DFA"/>
    <w:rsid w:val="000C0C9C"/>
    <w:rsid w:val="000C1DF4"/>
    <w:rsid w:val="000C359C"/>
    <w:rsid w:val="000C3D14"/>
    <w:rsid w:val="000C51C2"/>
    <w:rsid w:val="000C63F1"/>
    <w:rsid w:val="000C6A5F"/>
    <w:rsid w:val="000C7BCD"/>
    <w:rsid w:val="000D2464"/>
    <w:rsid w:val="000D29E1"/>
    <w:rsid w:val="000D50B4"/>
    <w:rsid w:val="000D6E2C"/>
    <w:rsid w:val="000E08E4"/>
    <w:rsid w:val="000E2601"/>
    <w:rsid w:val="000E362E"/>
    <w:rsid w:val="000E37AC"/>
    <w:rsid w:val="000E4AB2"/>
    <w:rsid w:val="000E645D"/>
    <w:rsid w:val="000E7679"/>
    <w:rsid w:val="000F0FBA"/>
    <w:rsid w:val="000F17AC"/>
    <w:rsid w:val="000F2720"/>
    <w:rsid w:val="000F3FDB"/>
    <w:rsid w:val="000F4B5B"/>
    <w:rsid w:val="001005F5"/>
    <w:rsid w:val="001014A0"/>
    <w:rsid w:val="00105CEF"/>
    <w:rsid w:val="00106B77"/>
    <w:rsid w:val="00110D27"/>
    <w:rsid w:val="001113BD"/>
    <w:rsid w:val="0011167C"/>
    <w:rsid w:val="001118BC"/>
    <w:rsid w:val="00111949"/>
    <w:rsid w:val="00113435"/>
    <w:rsid w:val="001142EE"/>
    <w:rsid w:val="00117FDC"/>
    <w:rsid w:val="001207C5"/>
    <w:rsid w:val="00120CE4"/>
    <w:rsid w:val="001221B8"/>
    <w:rsid w:val="001233DE"/>
    <w:rsid w:val="00125A38"/>
    <w:rsid w:val="00127B3A"/>
    <w:rsid w:val="00127C72"/>
    <w:rsid w:val="00130072"/>
    <w:rsid w:val="00133B21"/>
    <w:rsid w:val="0013580F"/>
    <w:rsid w:val="00137262"/>
    <w:rsid w:val="001419B1"/>
    <w:rsid w:val="00141F20"/>
    <w:rsid w:val="00142043"/>
    <w:rsid w:val="001442DF"/>
    <w:rsid w:val="001506E4"/>
    <w:rsid w:val="001525FD"/>
    <w:rsid w:val="00155636"/>
    <w:rsid w:val="001607FB"/>
    <w:rsid w:val="0016101D"/>
    <w:rsid w:val="00163C64"/>
    <w:rsid w:val="0016465A"/>
    <w:rsid w:val="001676B6"/>
    <w:rsid w:val="0017146C"/>
    <w:rsid w:val="00172B29"/>
    <w:rsid w:val="00176859"/>
    <w:rsid w:val="00177CFF"/>
    <w:rsid w:val="00181475"/>
    <w:rsid w:val="001850B4"/>
    <w:rsid w:val="0018609C"/>
    <w:rsid w:val="0018687F"/>
    <w:rsid w:val="00190392"/>
    <w:rsid w:val="00190416"/>
    <w:rsid w:val="0019080C"/>
    <w:rsid w:val="001918A1"/>
    <w:rsid w:val="00192673"/>
    <w:rsid w:val="00193C43"/>
    <w:rsid w:val="00193CB7"/>
    <w:rsid w:val="00194138"/>
    <w:rsid w:val="00194498"/>
    <w:rsid w:val="00194A0D"/>
    <w:rsid w:val="001A4525"/>
    <w:rsid w:val="001A4C6A"/>
    <w:rsid w:val="001B0289"/>
    <w:rsid w:val="001B2781"/>
    <w:rsid w:val="001B2A68"/>
    <w:rsid w:val="001B3257"/>
    <w:rsid w:val="001B4B95"/>
    <w:rsid w:val="001B5CA6"/>
    <w:rsid w:val="001B6885"/>
    <w:rsid w:val="001B69A2"/>
    <w:rsid w:val="001B6E3A"/>
    <w:rsid w:val="001C1CF3"/>
    <w:rsid w:val="001C72B5"/>
    <w:rsid w:val="001D67A4"/>
    <w:rsid w:val="001D6B2A"/>
    <w:rsid w:val="001D6D36"/>
    <w:rsid w:val="001D7362"/>
    <w:rsid w:val="001D75B0"/>
    <w:rsid w:val="001E0284"/>
    <w:rsid w:val="001E47B4"/>
    <w:rsid w:val="001E6394"/>
    <w:rsid w:val="001E6D0E"/>
    <w:rsid w:val="001F1E2E"/>
    <w:rsid w:val="001F20C3"/>
    <w:rsid w:val="001F3149"/>
    <w:rsid w:val="001F3169"/>
    <w:rsid w:val="00201572"/>
    <w:rsid w:val="00202975"/>
    <w:rsid w:val="00202E5C"/>
    <w:rsid w:val="002046D0"/>
    <w:rsid w:val="00205C2A"/>
    <w:rsid w:val="00205DBE"/>
    <w:rsid w:val="002123DE"/>
    <w:rsid w:val="00213A73"/>
    <w:rsid w:val="00214011"/>
    <w:rsid w:val="00220C66"/>
    <w:rsid w:val="0022190E"/>
    <w:rsid w:val="00221E12"/>
    <w:rsid w:val="002340F5"/>
    <w:rsid w:val="0024008E"/>
    <w:rsid w:val="00240C40"/>
    <w:rsid w:val="00244EEE"/>
    <w:rsid w:val="002450DA"/>
    <w:rsid w:val="002470E7"/>
    <w:rsid w:val="002478A6"/>
    <w:rsid w:val="00252709"/>
    <w:rsid w:val="002533F0"/>
    <w:rsid w:val="0025534A"/>
    <w:rsid w:val="00262A35"/>
    <w:rsid w:val="00265809"/>
    <w:rsid w:val="00265AD4"/>
    <w:rsid w:val="00266516"/>
    <w:rsid w:val="00270ED5"/>
    <w:rsid w:val="00273D61"/>
    <w:rsid w:val="00274039"/>
    <w:rsid w:val="00274AEF"/>
    <w:rsid w:val="00276461"/>
    <w:rsid w:val="00277CCC"/>
    <w:rsid w:val="0028208F"/>
    <w:rsid w:val="002864DB"/>
    <w:rsid w:val="00286D1B"/>
    <w:rsid w:val="00287479"/>
    <w:rsid w:val="00291929"/>
    <w:rsid w:val="002925EC"/>
    <w:rsid w:val="00292AAB"/>
    <w:rsid w:val="002937FA"/>
    <w:rsid w:val="00294AD9"/>
    <w:rsid w:val="002957FA"/>
    <w:rsid w:val="002958C4"/>
    <w:rsid w:val="002A410C"/>
    <w:rsid w:val="002A4276"/>
    <w:rsid w:val="002B3CAC"/>
    <w:rsid w:val="002B5FAD"/>
    <w:rsid w:val="002B621B"/>
    <w:rsid w:val="002C048B"/>
    <w:rsid w:val="002C1627"/>
    <w:rsid w:val="002C2930"/>
    <w:rsid w:val="002C4986"/>
    <w:rsid w:val="002C68D3"/>
    <w:rsid w:val="002C769D"/>
    <w:rsid w:val="002C7BF4"/>
    <w:rsid w:val="002C7E45"/>
    <w:rsid w:val="002D2CC7"/>
    <w:rsid w:val="002D4156"/>
    <w:rsid w:val="002D4D40"/>
    <w:rsid w:val="002D7B33"/>
    <w:rsid w:val="002E23E2"/>
    <w:rsid w:val="002E282B"/>
    <w:rsid w:val="002E521B"/>
    <w:rsid w:val="002E6E0C"/>
    <w:rsid w:val="002F0DF6"/>
    <w:rsid w:val="002F111A"/>
    <w:rsid w:val="002F1E7C"/>
    <w:rsid w:val="002F61D0"/>
    <w:rsid w:val="002F7BC3"/>
    <w:rsid w:val="003043D2"/>
    <w:rsid w:val="00307C04"/>
    <w:rsid w:val="0031001E"/>
    <w:rsid w:val="003119AA"/>
    <w:rsid w:val="00311AD6"/>
    <w:rsid w:val="003151FD"/>
    <w:rsid w:val="00315AB8"/>
    <w:rsid w:val="00315DC8"/>
    <w:rsid w:val="0032006D"/>
    <w:rsid w:val="003210C5"/>
    <w:rsid w:val="003215C7"/>
    <w:rsid w:val="00330F14"/>
    <w:rsid w:val="00332317"/>
    <w:rsid w:val="0033245A"/>
    <w:rsid w:val="0033478A"/>
    <w:rsid w:val="00335492"/>
    <w:rsid w:val="0033684C"/>
    <w:rsid w:val="00336948"/>
    <w:rsid w:val="00340A89"/>
    <w:rsid w:val="00340E0D"/>
    <w:rsid w:val="003412BC"/>
    <w:rsid w:val="00341A80"/>
    <w:rsid w:val="00342E93"/>
    <w:rsid w:val="0034403B"/>
    <w:rsid w:val="0034466B"/>
    <w:rsid w:val="00345AD1"/>
    <w:rsid w:val="00351A9D"/>
    <w:rsid w:val="00357D51"/>
    <w:rsid w:val="003601E0"/>
    <w:rsid w:val="00361317"/>
    <w:rsid w:val="00363D1D"/>
    <w:rsid w:val="00363D2B"/>
    <w:rsid w:val="00367F31"/>
    <w:rsid w:val="00371258"/>
    <w:rsid w:val="003749B1"/>
    <w:rsid w:val="00374EF9"/>
    <w:rsid w:val="00377524"/>
    <w:rsid w:val="00383EE4"/>
    <w:rsid w:val="0038439E"/>
    <w:rsid w:val="00385C2D"/>
    <w:rsid w:val="003861B5"/>
    <w:rsid w:val="003952ED"/>
    <w:rsid w:val="003970FF"/>
    <w:rsid w:val="003B121D"/>
    <w:rsid w:val="003B2808"/>
    <w:rsid w:val="003B35B1"/>
    <w:rsid w:val="003B62FE"/>
    <w:rsid w:val="003B77D2"/>
    <w:rsid w:val="003C5415"/>
    <w:rsid w:val="003C5696"/>
    <w:rsid w:val="003C6D5B"/>
    <w:rsid w:val="003D02C1"/>
    <w:rsid w:val="003D18E2"/>
    <w:rsid w:val="003D2933"/>
    <w:rsid w:val="003D7467"/>
    <w:rsid w:val="003E044B"/>
    <w:rsid w:val="003E0FDA"/>
    <w:rsid w:val="003E202B"/>
    <w:rsid w:val="003E2FB5"/>
    <w:rsid w:val="003E33B4"/>
    <w:rsid w:val="003E3B2C"/>
    <w:rsid w:val="003E3DE6"/>
    <w:rsid w:val="003E4E99"/>
    <w:rsid w:val="003E6C0F"/>
    <w:rsid w:val="003F1D36"/>
    <w:rsid w:val="00400743"/>
    <w:rsid w:val="0040294F"/>
    <w:rsid w:val="00403015"/>
    <w:rsid w:val="004033BF"/>
    <w:rsid w:val="004044C1"/>
    <w:rsid w:val="004046AC"/>
    <w:rsid w:val="00404CEC"/>
    <w:rsid w:val="004051A2"/>
    <w:rsid w:val="0040543F"/>
    <w:rsid w:val="00405844"/>
    <w:rsid w:val="004063B6"/>
    <w:rsid w:val="00410018"/>
    <w:rsid w:val="004171B5"/>
    <w:rsid w:val="00421190"/>
    <w:rsid w:val="00433812"/>
    <w:rsid w:val="004342D9"/>
    <w:rsid w:val="00436CD6"/>
    <w:rsid w:val="00451CB0"/>
    <w:rsid w:val="0045285F"/>
    <w:rsid w:val="00455E92"/>
    <w:rsid w:val="0045600E"/>
    <w:rsid w:val="00457DCE"/>
    <w:rsid w:val="00461122"/>
    <w:rsid w:val="00461D55"/>
    <w:rsid w:val="00463F3A"/>
    <w:rsid w:val="004650C3"/>
    <w:rsid w:val="004661D7"/>
    <w:rsid w:val="004679B7"/>
    <w:rsid w:val="00467B47"/>
    <w:rsid w:val="00473148"/>
    <w:rsid w:val="004740A4"/>
    <w:rsid w:val="00474241"/>
    <w:rsid w:val="00475F07"/>
    <w:rsid w:val="00480745"/>
    <w:rsid w:val="0048467B"/>
    <w:rsid w:val="00487612"/>
    <w:rsid w:val="004876F7"/>
    <w:rsid w:val="004879B9"/>
    <w:rsid w:val="004901E0"/>
    <w:rsid w:val="004947D1"/>
    <w:rsid w:val="00494BAC"/>
    <w:rsid w:val="00495269"/>
    <w:rsid w:val="00495DA8"/>
    <w:rsid w:val="00497EB8"/>
    <w:rsid w:val="00497F76"/>
    <w:rsid w:val="004A1D02"/>
    <w:rsid w:val="004A29A2"/>
    <w:rsid w:val="004A3CBF"/>
    <w:rsid w:val="004A5912"/>
    <w:rsid w:val="004A5CB6"/>
    <w:rsid w:val="004B2104"/>
    <w:rsid w:val="004B22F3"/>
    <w:rsid w:val="004C0B58"/>
    <w:rsid w:val="004C1581"/>
    <w:rsid w:val="004C33F0"/>
    <w:rsid w:val="004C6B22"/>
    <w:rsid w:val="004D0ACA"/>
    <w:rsid w:val="004D111F"/>
    <w:rsid w:val="004D44BE"/>
    <w:rsid w:val="004E19C6"/>
    <w:rsid w:val="004E23EE"/>
    <w:rsid w:val="004E2431"/>
    <w:rsid w:val="004E2FD3"/>
    <w:rsid w:val="004E3470"/>
    <w:rsid w:val="004E36F6"/>
    <w:rsid w:val="004E3D7C"/>
    <w:rsid w:val="004E65AA"/>
    <w:rsid w:val="004E7102"/>
    <w:rsid w:val="004E7A63"/>
    <w:rsid w:val="004E7C5C"/>
    <w:rsid w:val="004F15FA"/>
    <w:rsid w:val="004F3284"/>
    <w:rsid w:val="004F4518"/>
    <w:rsid w:val="004F45D4"/>
    <w:rsid w:val="004F5BC6"/>
    <w:rsid w:val="00501D43"/>
    <w:rsid w:val="00502485"/>
    <w:rsid w:val="00503E04"/>
    <w:rsid w:val="005103EE"/>
    <w:rsid w:val="00512B40"/>
    <w:rsid w:val="005160C3"/>
    <w:rsid w:val="0051654E"/>
    <w:rsid w:val="00523F90"/>
    <w:rsid w:val="00524C21"/>
    <w:rsid w:val="00530CE8"/>
    <w:rsid w:val="00532F80"/>
    <w:rsid w:val="00533528"/>
    <w:rsid w:val="00536B0B"/>
    <w:rsid w:val="0054474D"/>
    <w:rsid w:val="00546C2E"/>
    <w:rsid w:val="00550099"/>
    <w:rsid w:val="00551512"/>
    <w:rsid w:val="005526BA"/>
    <w:rsid w:val="005663BD"/>
    <w:rsid w:val="0056725C"/>
    <w:rsid w:val="00567BB9"/>
    <w:rsid w:val="00567D31"/>
    <w:rsid w:val="00570867"/>
    <w:rsid w:val="00574F91"/>
    <w:rsid w:val="005776AC"/>
    <w:rsid w:val="00587007"/>
    <w:rsid w:val="00587A9D"/>
    <w:rsid w:val="00590D6C"/>
    <w:rsid w:val="00592A13"/>
    <w:rsid w:val="00593022"/>
    <w:rsid w:val="00593E35"/>
    <w:rsid w:val="0059463D"/>
    <w:rsid w:val="00595409"/>
    <w:rsid w:val="00595488"/>
    <w:rsid w:val="00596451"/>
    <w:rsid w:val="00596DFE"/>
    <w:rsid w:val="005A5409"/>
    <w:rsid w:val="005A5EA1"/>
    <w:rsid w:val="005A799E"/>
    <w:rsid w:val="005B13F4"/>
    <w:rsid w:val="005B3334"/>
    <w:rsid w:val="005B3A17"/>
    <w:rsid w:val="005B45CD"/>
    <w:rsid w:val="005B513C"/>
    <w:rsid w:val="005B5531"/>
    <w:rsid w:val="005C15BB"/>
    <w:rsid w:val="005C390A"/>
    <w:rsid w:val="005C60C4"/>
    <w:rsid w:val="005D107E"/>
    <w:rsid w:val="005D2FFC"/>
    <w:rsid w:val="005D33C4"/>
    <w:rsid w:val="005D5E9F"/>
    <w:rsid w:val="005D7114"/>
    <w:rsid w:val="005E36C3"/>
    <w:rsid w:val="005E3ED5"/>
    <w:rsid w:val="005F0FBC"/>
    <w:rsid w:val="00600AAD"/>
    <w:rsid w:val="00602CBE"/>
    <w:rsid w:val="00604D39"/>
    <w:rsid w:val="0060533F"/>
    <w:rsid w:val="0060649A"/>
    <w:rsid w:val="00607993"/>
    <w:rsid w:val="00611696"/>
    <w:rsid w:val="00611E91"/>
    <w:rsid w:val="00612257"/>
    <w:rsid w:val="00616148"/>
    <w:rsid w:val="006173B2"/>
    <w:rsid w:val="00624A88"/>
    <w:rsid w:val="006255FB"/>
    <w:rsid w:val="0062705E"/>
    <w:rsid w:val="00630175"/>
    <w:rsid w:val="006315AB"/>
    <w:rsid w:val="00631685"/>
    <w:rsid w:val="00631C25"/>
    <w:rsid w:val="006346C0"/>
    <w:rsid w:val="0063483A"/>
    <w:rsid w:val="00635BD6"/>
    <w:rsid w:val="00635F62"/>
    <w:rsid w:val="006367C1"/>
    <w:rsid w:val="00637055"/>
    <w:rsid w:val="00637381"/>
    <w:rsid w:val="00637D93"/>
    <w:rsid w:val="00641762"/>
    <w:rsid w:val="0064727F"/>
    <w:rsid w:val="00647CC3"/>
    <w:rsid w:val="00651BB4"/>
    <w:rsid w:val="006615E0"/>
    <w:rsid w:val="00663F9B"/>
    <w:rsid w:val="00664B8F"/>
    <w:rsid w:val="006656F0"/>
    <w:rsid w:val="00666A7E"/>
    <w:rsid w:val="00666FD1"/>
    <w:rsid w:val="00676948"/>
    <w:rsid w:val="00676BD1"/>
    <w:rsid w:val="006771D0"/>
    <w:rsid w:val="00680E3D"/>
    <w:rsid w:val="00681844"/>
    <w:rsid w:val="006824E7"/>
    <w:rsid w:val="006836FC"/>
    <w:rsid w:val="00686BFF"/>
    <w:rsid w:val="006878B3"/>
    <w:rsid w:val="0069093B"/>
    <w:rsid w:val="0069212F"/>
    <w:rsid w:val="006921EA"/>
    <w:rsid w:val="0069564F"/>
    <w:rsid w:val="00695D53"/>
    <w:rsid w:val="006A3313"/>
    <w:rsid w:val="006A412C"/>
    <w:rsid w:val="006A59D9"/>
    <w:rsid w:val="006B35DF"/>
    <w:rsid w:val="006B4126"/>
    <w:rsid w:val="006B43F8"/>
    <w:rsid w:val="006B7D36"/>
    <w:rsid w:val="006C0410"/>
    <w:rsid w:val="006C05F9"/>
    <w:rsid w:val="006C2BEE"/>
    <w:rsid w:val="006C2DB4"/>
    <w:rsid w:val="006C3688"/>
    <w:rsid w:val="006C3F0B"/>
    <w:rsid w:val="006C6291"/>
    <w:rsid w:val="006D2E1C"/>
    <w:rsid w:val="006D3C2A"/>
    <w:rsid w:val="006D6A65"/>
    <w:rsid w:val="006E0516"/>
    <w:rsid w:val="006E1440"/>
    <w:rsid w:val="006E34AE"/>
    <w:rsid w:val="006E39A2"/>
    <w:rsid w:val="006E4388"/>
    <w:rsid w:val="006E4D7E"/>
    <w:rsid w:val="006E7D24"/>
    <w:rsid w:val="006F00CD"/>
    <w:rsid w:val="006F14A7"/>
    <w:rsid w:val="006F7E02"/>
    <w:rsid w:val="007013DD"/>
    <w:rsid w:val="00711EED"/>
    <w:rsid w:val="0071639F"/>
    <w:rsid w:val="00717C75"/>
    <w:rsid w:val="007209A5"/>
    <w:rsid w:val="00721B86"/>
    <w:rsid w:val="0072711C"/>
    <w:rsid w:val="007320C2"/>
    <w:rsid w:val="00732EA3"/>
    <w:rsid w:val="0073603C"/>
    <w:rsid w:val="00736C10"/>
    <w:rsid w:val="00743B2F"/>
    <w:rsid w:val="00747D93"/>
    <w:rsid w:val="00753D8D"/>
    <w:rsid w:val="007552EA"/>
    <w:rsid w:val="00761792"/>
    <w:rsid w:val="00766568"/>
    <w:rsid w:val="00767838"/>
    <w:rsid w:val="007719C6"/>
    <w:rsid w:val="00771EAF"/>
    <w:rsid w:val="007727EB"/>
    <w:rsid w:val="00772E80"/>
    <w:rsid w:val="00774166"/>
    <w:rsid w:val="00774319"/>
    <w:rsid w:val="00780697"/>
    <w:rsid w:val="00781460"/>
    <w:rsid w:val="00781546"/>
    <w:rsid w:val="00782C0D"/>
    <w:rsid w:val="00783301"/>
    <w:rsid w:val="00791818"/>
    <w:rsid w:val="00791A4A"/>
    <w:rsid w:val="00792335"/>
    <w:rsid w:val="007954A3"/>
    <w:rsid w:val="007961D8"/>
    <w:rsid w:val="00796FFC"/>
    <w:rsid w:val="007A1364"/>
    <w:rsid w:val="007A2082"/>
    <w:rsid w:val="007A2D49"/>
    <w:rsid w:val="007A6309"/>
    <w:rsid w:val="007A7E02"/>
    <w:rsid w:val="007B16EE"/>
    <w:rsid w:val="007B47DC"/>
    <w:rsid w:val="007B59B2"/>
    <w:rsid w:val="007C0903"/>
    <w:rsid w:val="007C1B7C"/>
    <w:rsid w:val="007C44C4"/>
    <w:rsid w:val="007D2E6E"/>
    <w:rsid w:val="007D33BA"/>
    <w:rsid w:val="007D47D1"/>
    <w:rsid w:val="007D66FA"/>
    <w:rsid w:val="007D6D98"/>
    <w:rsid w:val="007E065C"/>
    <w:rsid w:val="007E196C"/>
    <w:rsid w:val="007E1B5B"/>
    <w:rsid w:val="007E2099"/>
    <w:rsid w:val="007E3190"/>
    <w:rsid w:val="007E4BA0"/>
    <w:rsid w:val="007E4C63"/>
    <w:rsid w:val="007E6493"/>
    <w:rsid w:val="007E6A2A"/>
    <w:rsid w:val="007F39CD"/>
    <w:rsid w:val="008032BA"/>
    <w:rsid w:val="00804A57"/>
    <w:rsid w:val="00813552"/>
    <w:rsid w:val="00816C5E"/>
    <w:rsid w:val="00817AD9"/>
    <w:rsid w:val="00820384"/>
    <w:rsid w:val="008205AC"/>
    <w:rsid w:val="008217E4"/>
    <w:rsid w:val="008227DB"/>
    <w:rsid w:val="00822FB2"/>
    <w:rsid w:val="00830287"/>
    <w:rsid w:val="008324C6"/>
    <w:rsid w:val="008340F6"/>
    <w:rsid w:val="00840399"/>
    <w:rsid w:val="00841B8D"/>
    <w:rsid w:val="00846E43"/>
    <w:rsid w:val="0085103B"/>
    <w:rsid w:val="008519BD"/>
    <w:rsid w:val="008522E7"/>
    <w:rsid w:val="00853E1D"/>
    <w:rsid w:val="008560DF"/>
    <w:rsid w:val="008566C5"/>
    <w:rsid w:val="00856E98"/>
    <w:rsid w:val="00856EEC"/>
    <w:rsid w:val="00860091"/>
    <w:rsid w:val="0086183F"/>
    <w:rsid w:val="008634B0"/>
    <w:rsid w:val="00864086"/>
    <w:rsid w:val="008659BC"/>
    <w:rsid w:val="008661FD"/>
    <w:rsid w:val="00872779"/>
    <w:rsid w:val="008770CF"/>
    <w:rsid w:val="00877300"/>
    <w:rsid w:val="0088232B"/>
    <w:rsid w:val="008850A2"/>
    <w:rsid w:val="00886DAF"/>
    <w:rsid w:val="0088737E"/>
    <w:rsid w:val="00892902"/>
    <w:rsid w:val="008967E4"/>
    <w:rsid w:val="00896AFC"/>
    <w:rsid w:val="008979FD"/>
    <w:rsid w:val="008A0044"/>
    <w:rsid w:val="008A4853"/>
    <w:rsid w:val="008A5914"/>
    <w:rsid w:val="008A5D18"/>
    <w:rsid w:val="008A6906"/>
    <w:rsid w:val="008A6E27"/>
    <w:rsid w:val="008A729A"/>
    <w:rsid w:val="008B4A85"/>
    <w:rsid w:val="008B4B17"/>
    <w:rsid w:val="008B58B1"/>
    <w:rsid w:val="008B64FB"/>
    <w:rsid w:val="008B7934"/>
    <w:rsid w:val="008C494F"/>
    <w:rsid w:val="008C5658"/>
    <w:rsid w:val="008C68B5"/>
    <w:rsid w:val="008C7810"/>
    <w:rsid w:val="008D3A67"/>
    <w:rsid w:val="008D3C2D"/>
    <w:rsid w:val="008D7104"/>
    <w:rsid w:val="008D7319"/>
    <w:rsid w:val="008E0A07"/>
    <w:rsid w:val="008E46F0"/>
    <w:rsid w:val="008E5312"/>
    <w:rsid w:val="008E5CCA"/>
    <w:rsid w:val="008E5E75"/>
    <w:rsid w:val="008E7F3E"/>
    <w:rsid w:val="008F0B4D"/>
    <w:rsid w:val="008F1A8A"/>
    <w:rsid w:val="008F22E5"/>
    <w:rsid w:val="008F2CC1"/>
    <w:rsid w:val="008F5354"/>
    <w:rsid w:val="008F551B"/>
    <w:rsid w:val="008F5912"/>
    <w:rsid w:val="008F5E6D"/>
    <w:rsid w:val="008F7998"/>
    <w:rsid w:val="008F7AFC"/>
    <w:rsid w:val="00901056"/>
    <w:rsid w:val="00906B8D"/>
    <w:rsid w:val="009070E7"/>
    <w:rsid w:val="00910AFB"/>
    <w:rsid w:val="00911CB2"/>
    <w:rsid w:val="00911D94"/>
    <w:rsid w:val="00911DBF"/>
    <w:rsid w:val="0091246E"/>
    <w:rsid w:val="009137A7"/>
    <w:rsid w:val="00917254"/>
    <w:rsid w:val="00920394"/>
    <w:rsid w:val="0092166A"/>
    <w:rsid w:val="009233A5"/>
    <w:rsid w:val="00925B42"/>
    <w:rsid w:val="00932860"/>
    <w:rsid w:val="00933C35"/>
    <w:rsid w:val="009344C6"/>
    <w:rsid w:val="0093542C"/>
    <w:rsid w:val="00936511"/>
    <w:rsid w:val="009401AC"/>
    <w:rsid w:val="00953B4A"/>
    <w:rsid w:val="00960B57"/>
    <w:rsid w:val="00961444"/>
    <w:rsid w:val="009629F3"/>
    <w:rsid w:val="00972C87"/>
    <w:rsid w:val="00973C4D"/>
    <w:rsid w:val="009742D2"/>
    <w:rsid w:val="00980849"/>
    <w:rsid w:val="00982B23"/>
    <w:rsid w:val="0098453E"/>
    <w:rsid w:val="00993D71"/>
    <w:rsid w:val="009943AB"/>
    <w:rsid w:val="00995F07"/>
    <w:rsid w:val="009976BC"/>
    <w:rsid w:val="009A0AF1"/>
    <w:rsid w:val="009A51F5"/>
    <w:rsid w:val="009A681F"/>
    <w:rsid w:val="009B053A"/>
    <w:rsid w:val="009B0B6A"/>
    <w:rsid w:val="009B21AC"/>
    <w:rsid w:val="009B47BD"/>
    <w:rsid w:val="009B5F7E"/>
    <w:rsid w:val="009B7DF4"/>
    <w:rsid w:val="009C10C3"/>
    <w:rsid w:val="009C14E2"/>
    <w:rsid w:val="009C5571"/>
    <w:rsid w:val="009C5AF8"/>
    <w:rsid w:val="009D122A"/>
    <w:rsid w:val="009D1741"/>
    <w:rsid w:val="009D2725"/>
    <w:rsid w:val="009D7631"/>
    <w:rsid w:val="009D77B4"/>
    <w:rsid w:val="009E226F"/>
    <w:rsid w:val="009E3862"/>
    <w:rsid w:val="009E6749"/>
    <w:rsid w:val="009F0C25"/>
    <w:rsid w:val="009F1136"/>
    <w:rsid w:val="00A028DF"/>
    <w:rsid w:val="00A035E0"/>
    <w:rsid w:val="00A05A24"/>
    <w:rsid w:val="00A07A1B"/>
    <w:rsid w:val="00A12742"/>
    <w:rsid w:val="00A15574"/>
    <w:rsid w:val="00A16AC9"/>
    <w:rsid w:val="00A16DD6"/>
    <w:rsid w:val="00A17BD1"/>
    <w:rsid w:val="00A22368"/>
    <w:rsid w:val="00A27EE5"/>
    <w:rsid w:val="00A30176"/>
    <w:rsid w:val="00A31111"/>
    <w:rsid w:val="00A31EED"/>
    <w:rsid w:val="00A32E18"/>
    <w:rsid w:val="00A35098"/>
    <w:rsid w:val="00A40015"/>
    <w:rsid w:val="00A415F5"/>
    <w:rsid w:val="00A46138"/>
    <w:rsid w:val="00A464E5"/>
    <w:rsid w:val="00A46F23"/>
    <w:rsid w:val="00A50448"/>
    <w:rsid w:val="00A507B5"/>
    <w:rsid w:val="00A658F3"/>
    <w:rsid w:val="00A661A7"/>
    <w:rsid w:val="00A70968"/>
    <w:rsid w:val="00A71060"/>
    <w:rsid w:val="00A7186B"/>
    <w:rsid w:val="00A71FA8"/>
    <w:rsid w:val="00A73C8E"/>
    <w:rsid w:val="00A8257A"/>
    <w:rsid w:val="00A82E86"/>
    <w:rsid w:val="00A9000B"/>
    <w:rsid w:val="00A91565"/>
    <w:rsid w:val="00A946A9"/>
    <w:rsid w:val="00A95312"/>
    <w:rsid w:val="00A96940"/>
    <w:rsid w:val="00AA03AA"/>
    <w:rsid w:val="00AA0A3E"/>
    <w:rsid w:val="00AA69AC"/>
    <w:rsid w:val="00AB098D"/>
    <w:rsid w:val="00AB09C1"/>
    <w:rsid w:val="00AB1645"/>
    <w:rsid w:val="00AB27F9"/>
    <w:rsid w:val="00AB4446"/>
    <w:rsid w:val="00AB61DE"/>
    <w:rsid w:val="00AC17ED"/>
    <w:rsid w:val="00AC1D14"/>
    <w:rsid w:val="00AC229B"/>
    <w:rsid w:val="00AC79DB"/>
    <w:rsid w:val="00AC7EC8"/>
    <w:rsid w:val="00AD0B0A"/>
    <w:rsid w:val="00AD1AC8"/>
    <w:rsid w:val="00AD3C32"/>
    <w:rsid w:val="00AD3FD7"/>
    <w:rsid w:val="00AD44FC"/>
    <w:rsid w:val="00AD5F7F"/>
    <w:rsid w:val="00AD64F2"/>
    <w:rsid w:val="00AD75D3"/>
    <w:rsid w:val="00AD7ACB"/>
    <w:rsid w:val="00AE0C8C"/>
    <w:rsid w:val="00AE2D15"/>
    <w:rsid w:val="00AE4E80"/>
    <w:rsid w:val="00AE6A62"/>
    <w:rsid w:val="00AF0936"/>
    <w:rsid w:val="00AF210E"/>
    <w:rsid w:val="00AF273F"/>
    <w:rsid w:val="00AF636E"/>
    <w:rsid w:val="00B0049B"/>
    <w:rsid w:val="00B00BC8"/>
    <w:rsid w:val="00B02154"/>
    <w:rsid w:val="00B05110"/>
    <w:rsid w:val="00B05CD5"/>
    <w:rsid w:val="00B0716A"/>
    <w:rsid w:val="00B07424"/>
    <w:rsid w:val="00B0742B"/>
    <w:rsid w:val="00B112AD"/>
    <w:rsid w:val="00B11DDC"/>
    <w:rsid w:val="00B122E9"/>
    <w:rsid w:val="00B13C89"/>
    <w:rsid w:val="00B13DD3"/>
    <w:rsid w:val="00B148E4"/>
    <w:rsid w:val="00B14AD9"/>
    <w:rsid w:val="00B170F9"/>
    <w:rsid w:val="00B206C4"/>
    <w:rsid w:val="00B20FEC"/>
    <w:rsid w:val="00B24D3F"/>
    <w:rsid w:val="00B26E4B"/>
    <w:rsid w:val="00B27BA6"/>
    <w:rsid w:val="00B33C57"/>
    <w:rsid w:val="00B35F79"/>
    <w:rsid w:val="00B41BA5"/>
    <w:rsid w:val="00B42BFD"/>
    <w:rsid w:val="00B42FC6"/>
    <w:rsid w:val="00B469A3"/>
    <w:rsid w:val="00B55198"/>
    <w:rsid w:val="00B56E07"/>
    <w:rsid w:val="00B617DF"/>
    <w:rsid w:val="00B64727"/>
    <w:rsid w:val="00B64CB9"/>
    <w:rsid w:val="00B65C4F"/>
    <w:rsid w:val="00B67D04"/>
    <w:rsid w:val="00B7414A"/>
    <w:rsid w:val="00B75A8B"/>
    <w:rsid w:val="00B806AB"/>
    <w:rsid w:val="00B82DEB"/>
    <w:rsid w:val="00B83513"/>
    <w:rsid w:val="00B842F5"/>
    <w:rsid w:val="00B84F05"/>
    <w:rsid w:val="00B8655E"/>
    <w:rsid w:val="00B87506"/>
    <w:rsid w:val="00B90991"/>
    <w:rsid w:val="00B92967"/>
    <w:rsid w:val="00B9339B"/>
    <w:rsid w:val="00B94A6B"/>
    <w:rsid w:val="00B94C2B"/>
    <w:rsid w:val="00B97961"/>
    <w:rsid w:val="00BA1ACC"/>
    <w:rsid w:val="00BA350A"/>
    <w:rsid w:val="00BA3A6B"/>
    <w:rsid w:val="00BA3A70"/>
    <w:rsid w:val="00BA4FF9"/>
    <w:rsid w:val="00BA602C"/>
    <w:rsid w:val="00BB0700"/>
    <w:rsid w:val="00BB25C4"/>
    <w:rsid w:val="00BB26EF"/>
    <w:rsid w:val="00BB3020"/>
    <w:rsid w:val="00BB5581"/>
    <w:rsid w:val="00BB59AA"/>
    <w:rsid w:val="00BC0280"/>
    <w:rsid w:val="00BD0563"/>
    <w:rsid w:val="00BD063B"/>
    <w:rsid w:val="00BD79E5"/>
    <w:rsid w:val="00BE15EC"/>
    <w:rsid w:val="00BE42BA"/>
    <w:rsid w:val="00BF0029"/>
    <w:rsid w:val="00BF3727"/>
    <w:rsid w:val="00C00C46"/>
    <w:rsid w:val="00C02BFF"/>
    <w:rsid w:val="00C04307"/>
    <w:rsid w:val="00C11D0C"/>
    <w:rsid w:val="00C14135"/>
    <w:rsid w:val="00C1512A"/>
    <w:rsid w:val="00C15AC0"/>
    <w:rsid w:val="00C16927"/>
    <w:rsid w:val="00C2079A"/>
    <w:rsid w:val="00C20EBB"/>
    <w:rsid w:val="00C22093"/>
    <w:rsid w:val="00C2298B"/>
    <w:rsid w:val="00C23A51"/>
    <w:rsid w:val="00C24A7A"/>
    <w:rsid w:val="00C24BD2"/>
    <w:rsid w:val="00C30739"/>
    <w:rsid w:val="00C31608"/>
    <w:rsid w:val="00C34AC1"/>
    <w:rsid w:val="00C353CB"/>
    <w:rsid w:val="00C35838"/>
    <w:rsid w:val="00C36E87"/>
    <w:rsid w:val="00C423F4"/>
    <w:rsid w:val="00C42AB2"/>
    <w:rsid w:val="00C449C6"/>
    <w:rsid w:val="00C46495"/>
    <w:rsid w:val="00C46A9A"/>
    <w:rsid w:val="00C51199"/>
    <w:rsid w:val="00C51CE5"/>
    <w:rsid w:val="00C51E18"/>
    <w:rsid w:val="00C538CC"/>
    <w:rsid w:val="00C56962"/>
    <w:rsid w:val="00C6007F"/>
    <w:rsid w:val="00C60972"/>
    <w:rsid w:val="00C61697"/>
    <w:rsid w:val="00C62ACD"/>
    <w:rsid w:val="00C63017"/>
    <w:rsid w:val="00C6446B"/>
    <w:rsid w:val="00C6544B"/>
    <w:rsid w:val="00C71661"/>
    <w:rsid w:val="00C72D97"/>
    <w:rsid w:val="00C7528B"/>
    <w:rsid w:val="00C7688A"/>
    <w:rsid w:val="00C80F8D"/>
    <w:rsid w:val="00C81AF7"/>
    <w:rsid w:val="00C82826"/>
    <w:rsid w:val="00C828CF"/>
    <w:rsid w:val="00C9231F"/>
    <w:rsid w:val="00C9292B"/>
    <w:rsid w:val="00C9311D"/>
    <w:rsid w:val="00CA20DF"/>
    <w:rsid w:val="00CA5DBB"/>
    <w:rsid w:val="00CA5E9C"/>
    <w:rsid w:val="00CA7BA6"/>
    <w:rsid w:val="00CB0976"/>
    <w:rsid w:val="00CB6F7F"/>
    <w:rsid w:val="00CB7DD2"/>
    <w:rsid w:val="00CC333A"/>
    <w:rsid w:val="00CC3FFC"/>
    <w:rsid w:val="00CC6726"/>
    <w:rsid w:val="00CC6BBC"/>
    <w:rsid w:val="00CC7FFE"/>
    <w:rsid w:val="00CD1AB0"/>
    <w:rsid w:val="00CD1FC0"/>
    <w:rsid w:val="00CD2CC7"/>
    <w:rsid w:val="00CD3E20"/>
    <w:rsid w:val="00CD404B"/>
    <w:rsid w:val="00CD6F15"/>
    <w:rsid w:val="00CE3D01"/>
    <w:rsid w:val="00CE49FF"/>
    <w:rsid w:val="00CE5A84"/>
    <w:rsid w:val="00CE60A1"/>
    <w:rsid w:val="00CE63BE"/>
    <w:rsid w:val="00CF0B8C"/>
    <w:rsid w:val="00CF2869"/>
    <w:rsid w:val="00CF3B06"/>
    <w:rsid w:val="00CF3DF1"/>
    <w:rsid w:val="00CF3DFF"/>
    <w:rsid w:val="00D048A5"/>
    <w:rsid w:val="00D04EDC"/>
    <w:rsid w:val="00D1060A"/>
    <w:rsid w:val="00D1233C"/>
    <w:rsid w:val="00D13A87"/>
    <w:rsid w:val="00D1437B"/>
    <w:rsid w:val="00D157EC"/>
    <w:rsid w:val="00D162A4"/>
    <w:rsid w:val="00D20D23"/>
    <w:rsid w:val="00D21A3D"/>
    <w:rsid w:val="00D22BA0"/>
    <w:rsid w:val="00D2660B"/>
    <w:rsid w:val="00D27F43"/>
    <w:rsid w:val="00D310EC"/>
    <w:rsid w:val="00D31283"/>
    <w:rsid w:val="00D31D82"/>
    <w:rsid w:val="00D32399"/>
    <w:rsid w:val="00D3277B"/>
    <w:rsid w:val="00D33D87"/>
    <w:rsid w:val="00D363DC"/>
    <w:rsid w:val="00D43D73"/>
    <w:rsid w:val="00D444EA"/>
    <w:rsid w:val="00D44EE5"/>
    <w:rsid w:val="00D478B5"/>
    <w:rsid w:val="00D522DB"/>
    <w:rsid w:val="00D53F4F"/>
    <w:rsid w:val="00D6467A"/>
    <w:rsid w:val="00D6528F"/>
    <w:rsid w:val="00D6553D"/>
    <w:rsid w:val="00D70F5E"/>
    <w:rsid w:val="00D71C7C"/>
    <w:rsid w:val="00D7342F"/>
    <w:rsid w:val="00D7578E"/>
    <w:rsid w:val="00D765C6"/>
    <w:rsid w:val="00D8198B"/>
    <w:rsid w:val="00D926B1"/>
    <w:rsid w:val="00D92F05"/>
    <w:rsid w:val="00D93310"/>
    <w:rsid w:val="00D964E9"/>
    <w:rsid w:val="00DA0189"/>
    <w:rsid w:val="00DA096D"/>
    <w:rsid w:val="00DA0BBE"/>
    <w:rsid w:val="00DA25EF"/>
    <w:rsid w:val="00DA2867"/>
    <w:rsid w:val="00DA37DB"/>
    <w:rsid w:val="00DA57D3"/>
    <w:rsid w:val="00DA5B35"/>
    <w:rsid w:val="00DA7E1A"/>
    <w:rsid w:val="00DB2A3D"/>
    <w:rsid w:val="00DB5915"/>
    <w:rsid w:val="00DC0961"/>
    <w:rsid w:val="00DC1DFA"/>
    <w:rsid w:val="00DC1F8D"/>
    <w:rsid w:val="00DC3FAE"/>
    <w:rsid w:val="00DC50A5"/>
    <w:rsid w:val="00DC5A09"/>
    <w:rsid w:val="00DC6E83"/>
    <w:rsid w:val="00DC7AC2"/>
    <w:rsid w:val="00DD0694"/>
    <w:rsid w:val="00DD24B4"/>
    <w:rsid w:val="00DD7934"/>
    <w:rsid w:val="00DE4AC6"/>
    <w:rsid w:val="00DE548C"/>
    <w:rsid w:val="00DE7C28"/>
    <w:rsid w:val="00DE7E2F"/>
    <w:rsid w:val="00DF1417"/>
    <w:rsid w:val="00DF1695"/>
    <w:rsid w:val="00DF1E9C"/>
    <w:rsid w:val="00DF2C59"/>
    <w:rsid w:val="00DF4831"/>
    <w:rsid w:val="00DF613D"/>
    <w:rsid w:val="00DF6A72"/>
    <w:rsid w:val="00DF6D17"/>
    <w:rsid w:val="00E06474"/>
    <w:rsid w:val="00E07224"/>
    <w:rsid w:val="00E0756B"/>
    <w:rsid w:val="00E10583"/>
    <w:rsid w:val="00E151A0"/>
    <w:rsid w:val="00E169B2"/>
    <w:rsid w:val="00E17A51"/>
    <w:rsid w:val="00E22203"/>
    <w:rsid w:val="00E234D0"/>
    <w:rsid w:val="00E2399E"/>
    <w:rsid w:val="00E244FA"/>
    <w:rsid w:val="00E24EF9"/>
    <w:rsid w:val="00E25C06"/>
    <w:rsid w:val="00E3075C"/>
    <w:rsid w:val="00E32352"/>
    <w:rsid w:val="00E35A63"/>
    <w:rsid w:val="00E402C2"/>
    <w:rsid w:val="00E403BA"/>
    <w:rsid w:val="00E45C2B"/>
    <w:rsid w:val="00E46CCA"/>
    <w:rsid w:val="00E47350"/>
    <w:rsid w:val="00E51624"/>
    <w:rsid w:val="00E55797"/>
    <w:rsid w:val="00E572DA"/>
    <w:rsid w:val="00E601F8"/>
    <w:rsid w:val="00E61217"/>
    <w:rsid w:val="00E64EE0"/>
    <w:rsid w:val="00E65366"/>
    <w:rsid w:val="00E65E59"/>
    <w:rsid w:val="00E66044"/>
    <w:rsid w:val="00E70CC8"/>
    <w:rsid w:val="00E71932"/>
    <w:rsid w:val="00E73829"/>
    <w:rsid w:val="00E75438"/>
    <w:rsid w:val="00E8678A"/>
    <w:rsid w:val="00E93623"/>
    <w:rsid w:val="00E944DC"/>
    <w:rsid w:val="00E9698F"/>
    <w:rsid w:val="00E974A6"/>
    <w:rsid w:val="00EA3533"/>
    <w:rsid w:val="00EA46D6"/>
    <w:rsid w:val="00EA473D"/>
    <w:rsid w:val="00EA5329"/>
    <w:rsid w:val="00EA6181"/>
    <w:rsid w:val="00EA6527"/>
    <w:rsid w:val="00EA7557"/>
    <w:rsid w:val="00EB1522"/>
    <w:rsid w:val="00EB2C3E"/>
    <w:rsid w:val="00EB53AE"/>
    <w:rsid w:val="00EC1CB1"/>
    <w:rsid w:val="00EC3281"/>
    <w:rsid w:val="00EC55E6"/>
    <w:rsid w:val="00EC7925"/>
    <w:rsid w:val="00EC7B2E"/>
    <w:rsid w:val="00ED0D64"/>
    <w:rsid w:val="00ED2066"/>
    <w:rsid w:val="00ED295F"/>
    <w:rsid w:val="00ED4AEB"/>
    <w:rsid w:val="00ED4C57"/>
    <w:rsid w:val="00ED60EC"/>
    <w:rsid w:val="00EE2EF8"/>
    <w:rsid w:val="00EE3963"/>
    <w:rsid w:val="00EE3A0A"/>
    <w:rsid w:val="00EE3A19"/>
    <w:rsid w:val="00EE4AFF"/>
    <w:rsid w:val="00EE573C"/>
    <w:rsid w:val="00EF05EF"/>
    <w:rsid w:val="00EF394B"/>
    <w:rsid w:val="00EF3A23"/>
    <w:rsid w:val="00EF6D72"/>
    <w:rsid w:val="00EF7B8C"/>
    <w:rsid w:val="00F054EB"/>
    <w:rsid w:val="00F07B04"/>
    <w:rsid w:val="00F07B0C"/>
    <w:rsid w:val="00F105AC"/>
    <w:rsid w:val="00F114BF"/>
    <w:rsid w:val="00F12863"/>
    <w:rsid w:val="00F14EEE"/>
    <w:rsid w:val="00F233FB"/>
    <w:rsid w:val="00F23488"/>
    <w:rsid w:val="00F24DB8"/>
    <w:rsid w:val="00F2588C"/>
    <w:rsid w:val="00F26590"/>
    <w:rsid w:val="00F27D7B"/>
    <w:rsid w:val="00F31176"/>
    <w:rsid w:val="00F319F9"/>
    <w:rsid w:val="00F31E30"/>
    <w:rsid w:val="00F334A8"/>
    <w:rsid w:val="00F37E73"/>
    <w:rsid w:val="00F40583"/>
    <w:rsid w:val="00F42876"/>
    <w:rsid w:val="00F51A80"/>
    <w:rsid w:val="00F53DE0"/>
    <w:rsid w:val="00F55343"/>
    <w:rsid w:val="00F55653"/>
    <w:rsid w:val="00F557CB"/>
    <w:rsid w:val="00F573B5"/>
    <w:rsid w:val="00F656B9"/>
    <w:rsid w:val="00F65732"/>
    <w:rsid w:val="00F65F83"/>
    <w:rsid w:val="00F66106"/>
    <w:rsid w:val="00F71382"/>
    <w:rsid w:val="00F7339F"/>
    <w:rsid w:val="00F77208"/>
    <w:rsid w:val="00F7757C"/>
    <w:rsid w:val="00F77D9C"/>
    <w:rsid w:val="00F808B6"/>
    <w:rsid w:val="00F8218D"/>
    <w:rsid w:val="00F826D3"/>
    <w:rsid w:val="00F8478F"/>
    <w:rsid w:val="00F85022"/>
    <w:rsid w:val="00F85CA4"/>
    <w:rsid w:val="00F935F7"/>
    <w:rsid w:val="00F94F7D"/>
    <w:rsid w:val="00F97323"/>
    <w:rsid w:val="00FA1039"/>
    <w:rsid w:val="00FA137B"/>
    <w:rsid w:val="00FA37A8"/>
    <w:rsid w:val="00FA4024"/>
    <w:rsid w:val="00FA4C3C"/>
    <w:rsid w:val="00FA5499"/>
    <w:rsid w:val="00FA64BA"/>
    <w:rsid w:val="00FB1516"/>
    <w:rsid w:val="00FB1A84"/>
    <w:rsid w:val="00FB2370"/>
    <w:rsid w:val="00FB4349"/>
    <w:rsid w:val="00FB48B9"/>
    <w:rsid w:val="00FC049C"/>
    <w:rsid w:val="00FC11E0"/>
    <w:rsid w:val="00FC26DA"/>
    <w:rsid w:val="00FC2EAE"/>
    <w:rsid w:val="00FC55A8"/>
    <w:rsid w:val="00FD21CA"/>
    <w:rsid w:val="00FD3969"/>
    <w:rsid w:val="00FE0D0F"/>
    <w:rsid w:val="00FE2A0E"/>
    <w:rsid w:val="00FE2F68"/>
    <w:rsid w:val="00FE638A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6DEE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6C3F0B"/>
    <w:pPr>
      <w:spacing w:after="120" w:line="360" w:lineRule="auto"/>
      <w:jc w:val="both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1696"/>
    <w:pPr>
      <w:keepNext/>
      <w:keepLines/>
      <w:spacing w:before="240"/>
      <w:jc w:val="left"/>
      <w:outlineLvl w:val="0"/>
    </w:pPr>
    <w:rPr>
      <w:b/>
      <w:color w:val="41273B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A46F23"/>
    <w:pPr>
      <w:numPr>
        <w:ilvl w:val="1"/>
      </w:numPr>
      <w:spacing w:before="180"/>
      <w:outlineLvl w:val="1"/>
    </w:pPr>
    <w:rPr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0B5DFA"/>
    <w:pPr>
      <w:numPr>
        <w:ilvl w:val="2"/>
      </w:numPr>
      <w:spacing w:before="240"/>
      <w:outlineLvl w:val="2"/>
    </w:pPr>
    <w:rPr>
      <w:b w:val="0"/>
      <w:sz w:val="24"/>
      <w:szCs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1696"/>
    <w:rPr>
      <w:rFonts w:ascii="Arial" w:hAnsi="Arial" w:cs="Arial"/>
      <w:b/>
      <w:color w:val="41273B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46F23"/>
    <w:rPr>
      <w:rFonts w:asciiTheme="minorHAnsi" w:hAnsiTheme="minorHAnsi" w:cs="Arial"/>
      <w:b/>
      <w:color w:val="0F243E" w:themeColor="text2" w:themeShade="80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B5DFA"/>
    <w:rPr>
      <w:rFonts w:ascii="Arial" w:hAnsi="Arial" w:cs="Arial"/>
      <w:color w:val="41273B"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Theme="minorHAnsi" w:hAnsiTheme="minorHAnsi" w:cs="Arial"/>
      <w:color w:val="365F91" w:themeColor="accent1" w:themeShade="BF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D71C7C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611696"/>
    <w:pPr>
      <w:tabs>
        <w:tab w:val="left" w:pos="1701"/>
        <w:tab w:val="right" w:leader="dot" w:pos="8789"/>
      </w:tabs>
      <w:ind w:firstLine="851"/>
    </w:pPr>
    <w:rPr>
      <w:noProof/>
    </w:r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244061" w:themeColor="accent1" w:themeShade="80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Theme="minorHAnsi" w:hAnsiTheme="minorHAnsi" w:cs="Arial"/>
      <w:b/>
      <w:color w:val="0F243E" w:themeColor="text2" w:themeShade="80"/>
      <w:sz w:val="44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Theme="minorHAnsi" w:hAnsiTheme="minorHAnsi" w:cs="Arial"/>
      <w:b/>
      <w:color w:val="0F243E" w:themeColor="text2" w:themeShade="80"/>
      <w:sz w:val="56"/>
      <w:szCs w:val="44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Theme="minorHAnsi" w:hAnsiTheme="minorHAnsi" w:cs="Arial"/>
      <w:b/>
      <w:color w:val="0F243E" w:themeColor="text2" w:themeShade="80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4051A2"/>
    <w:pPr>
      <w:tabs>
        <w:tab w:val="left" w:pos="1188"/>
      </w:tabs>
      <w:spacing w:before="2760" w:after="6480" w:line="240" w:lineRule="auto"/>
      <w:jc w:val="left"/>
    </w:pPr>
    <w:rPr>
      <w:rFonts w:eastAsiaTheme="minorHAnsi"/>
      <w:color w:val="41273B"/>
      <w:sz w:val="56"/>
      <w:szCs w:val="56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6771D0"/>
    <w:pPr>
      <w:spacing w:before="113" w:after="57" w:line="360" w:lineRule="auto"/>
    </w:pPr>
    <w:rPr>
      <w:color w:val="auto"/>
      <w:sz w:val="36"/>
    </w:rPr>
  </w:style>
  <w:style w:type="paragraph" w:customStyle="1" w:styleId="Bullet">
    <w:name w:val="Bullet"/>
    <w:basedOn w:val="Normal"/>
    <w:autoRedefine/>
    <w:qFormat/>
    <w:rsid w:val="00BB5581"/>
    <w:pPr>
      <w:numPr>
        <w:numId w:val="15"/>
      </w:numPr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4A3CBF"/>
    <w:pPr>
      <w:pBdr>
        <w:top w:val="single" w:sz="48" w:space="3" w:color="41273B"/>
        <w:left w:val="single" w:sz="48" w:space="8" w:color="41273B"/>
        <w:bottom w:val="single" w:sz="48" w:space="6" w:color="41273B"/>
        <w:right w:val="single" w:sz="48" w:space="8" w:color="41273B"/>
      </w:pBdr>
      <w:spacing w:before="120" w:after="0"/>
      <w:ind w:left="284" w:right="284"/>
      <w:contextualSpacing/>
      <w:jc w:val="center"/>
    </w:pPr>
    <w:rPr>
      <w:rFonts w:eastAsiaTheme="minorHAnsi" w:cs="Times New Roman"/>
      <w:i/>
      <w:sz w:val="20"/>
      <w:szCs w:val="20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982B23"/>
    <w:rPr>
      <w:rFonts w:asciiTheme="minorHAnsi" w:hAnsiTheme="minorHAnsi" w:cs="Arial"/>
      <w:sz w:val="22"/>
      <w:szCs w:val="24"/>
      <w:lang w:eastAsia="en-US"/>
    </w:rPr>
  </w:style>
  <w:style w:type="character" w:customStyle="1" w:styleId="use-awards-tooltitletext">
    <w:name w:val="use-awards-tool__title__text"/>
    <w:basedOn w:val="DefaultParagraphFont"/>
    <w:rsid w:val="00982B23"/>
  </w:style>
  <w:style w:type="paragraph" w:customStyle="1" w:styleId="Style1KIN">
    <w:name w:val="Style1KIN"/>
    <w:link w:val="Style1KINChar"/>
    <w:qFormat/>
    <w:rsid w:val="00982B23"/>
    <w:pPr>
      <w:spacing w:before="120" w:line="360" w:lineRule="auto"/>
    </w:pPr>
    <w:rPr>
      <w:rFonts w:asciiTheme="minorHAnsi" w:eastAsiaTheme="minorEastAsia" w:hAnsiTheme="minorHAnsi"/>
      <w:bCs/>
      <w:color w:val="31849B" w:themeColor="accent5" w:themeShade="BF"/>
      <w:sz w:val="24"/>
      <w:szCs w:val="28"/>
      <w:lang w:val="x-none" w:eastAsia="en-US"/>
    </w:rPr>
  </w:style>
  <w:style w:type="character" w:customStyle="1" w:styleId="Style1KINChar">
    <w:name w:val="Style1KIN Char"/>
    <w:basedOn w:val="Heading4Char"/>
    <w:link w:val="Style1KIN"/>
    <w:rsid w:val="00982B23"/>
    <w:rPr>
      <w:rFonts w:asciiTheme="minorHAnsi" w:eastAsiaTheme="minorEastAsia" w:hAnsiTheme="minorHAnsi" w:cs="Times New Roman"/>
      <w:b/>
      <w:bCs w:val="0"/>
      <w:color w:val="31849B" w:themeColor="accent5" w:themeShade="BF"/>
      <w:sz w:val="24"/>
      <w:szCs w:val="28"/>
      <w:lang w:val="x-none" w:eastAsia="en-US"/>
    </w:rPr>
  </w:style>
  <w:style w:type="paragraph" w:styleId="Revision">
    <w:name w:val="Revision"/>
    <w:hidden/>
    <w:uiPriority w:val="99"/>
    <w:semiHidden/>
    <w:rsid w:val="00F07B0C"/>
    <w:rPr>
      <w:rFonts w:asciiTheme="minorHAnsi" w:hAnsiTheme="minorHAnsi" w:cs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D67A4"/>
    <w:rPr>
      <w:color w:val="800080" w:themeColor="followedHyperlink"/>
      <w:u w:val="single"/>
    </w:rPr>
  </w:style>
  <w:style w:type="paragraph" w:customStyle="1" w:styleId="Default">
    <w:name w:val="Default"/>
    <w:rsid w:val="003F1D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ootnotes">
    <w:name w:val="Footnotes"/>
    <w:basedOn w:val="FootnoteText"/>
    <w:qFormat/>
    <w:rsid w:val="007B47DC"/>
    <w:pPr>
      <w:spacing w:after="0" w:line="240" w:lineRule="auto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ven.ronson@fwo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/Users/SW0748/AppData/Local/Microsoft/Windows/Temporary%20Internet%20Files/Content.Outlook/RSB4E09Q/media@fwo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ps://www.fairwork.gov.au/pay/penalty-rates-and-allowances/penalty-rates-changes-2017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c.gov.au/documents/awardsandorders/html/pr594779.htm" TargetMode="External"/><Relationship Id="rId3" Type="http://schemas.openxmlformats.org/officeDocument/2006/relationships/hyperlink" Target="https://www.fwc.gov.au/documents/sites/awardsmodernfouryr/2017fwcfb3001.pdf" TargetMode="External"/><Relationship Id="rId7" Type="http://schemas.openxmlformats.org/officeDocument/2006/relationships/hyperlink" Target="https://www.fwc.gov.au/documents/sites/awardsmodernfouryr/2017fwcfb3001.pdf" TargetMode="External"/><Relationship Id="rId2" Type="http://schemas.openxmlformats.org/officeDocument/2006/relationships/hyperlink" Target="https://www.fairwork.gov.au/about-us/news-and-media-releases/2016-media-releases/december-2016/20161201-chemist-warehouse-mr" TargetMode="External"/><Relationship Id="rId1" Type="http://schemas.openxmlformats.org/officeDocument/2006/relationships/hyperlink" Target="https://www.fairwork.gov.au/how-we-will-help/helping-the-community/campaigns/national-campaigns/compliance-monitoring-campaign" TargetMode="External"/><Relationship Id="rId6" Type="http://schemas.openxmlformats.org/officeDocument/2006/relationships/hyperlink" Target="https://www.fwc.gov.au/awards-agreements/minimum-wages-conditions/annual-wage-reviews/annual-wage-review-2016-17" TargetMode="External"/><Relationship Id="rId5" Type="http://schemas.openxmlformats.org/officeDocument/2006/relationships/hyperlink" Target="https://www.fairwork.gov.au/about-us/news-and-media-releases/2016-media-releases/december-2016/20161201-chemist-warehouse-mr" TargetMode="External"/><Relationship Id="rId4" Type="http://schemas.openxmlformats.org/officeDocument/2006/relationships/hyperlink" Target="https://www.fairwork.gov.au/pay/unpaid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29F-5205-45A8-A136-0614D9C9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18A1EDD.dotm</Template>
  <TotalTime>0</TotalTime>
  <Pages>12</Pages>
  <Words>3133</Words>
  <Characters>18432</Characters>
  <Application>Microsoft Office Word</Application>
  <DocSecurity>0</DocSecurity>
  <Lines>312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 Warehouse (CW Retail Services Pty Ltd) Compliance Partnership: Interim Report</vt:lpstr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 Warehouse (CW Retail Services Pty Ltd) Compliance Partnership: Interim Report</dc:title>
  <dc:subject>Chemist Warehouse (CW Retail Services Pty Ltd) Compliance Partnership: Interim Report</dc:subject>
  <dc:creator/>
  <cp:keywords>Chemist Warehouse (CW Retail Services Pty Ltd) Compliance Partnership: Interim Report</cp:keywords>
  <cp:lastModifiedBy/>
  <cp:revision>1</cp:revision>
  <dcterms:created xsi:type="dcterms:W3CDTF">2018-11-07T03:27:00Z</dcterms:created>
  <dcterms:modified xsi:type="dcterms:W3CDTF">2018-11-07T04:57:00Z</dcterms:modified>
</cp:coreProperties>
</file>