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D7B" w:rsidRDefault="005A0D7B" w:rsidP="00732BCD">
      <w:pPr>
        <w:pStyle w:val="CoverReportTitle"/>
      </w:pPr>
    </w:p>
    <w:p w:rsidR="005A0D7B" w:rsidRDefault="005A0D7B" w:rsidP="00732BCD">
      <w:pPr>
        <w:pStyle w:val="CoverReportTitle"/>
      </w:pPr>
    </w:p>
    <w:p w:rsidR="00DB578B" w:rsidRDefault="005A0D7B" w:rsidP="00732BCD">
      <w:pPr>
        <w:pStyle w:val="CoverReportTitle"/>
      </w:pPr>
      <w:r>
        <w:t xml:space="preserve">National Hospitality Industry Campaign </w:t>
      </w:r>
    </w:p>
    <w:p w:rsidR="00205DBE" w:rsidRDefault="00BA24D7" w:rsidP="00732BCD">
      <w:pPr>
        <w:pStyle w:val="CoverReportTitle"/>
      </w:pPr>
      <w:r>
        <w:t>Restaurants</w:t>
      </w:r>
      <w:r w:rsidR="005A0D7B">
        <w:t>, Café’s and Catering (Wave 2)</w:t>
      </w:r>
    </w:p>
    <w:p w:rsidR="003952ED" w:rsidRDefault="00205DBE" w:rsidP="00732BCD">
      <w:pPr>
        <w:pStyle w:val="CoverReportSubTitle"/>
        <w:framePr w:wrap="around"/>
      </w:pPr>
      <w:r>
        <w:t>Report –</w:t>
      </w:r>
      <w:r w:rsidR="00DB578B">
        <w:t xml:space="preserve"> June </w:t>
      </w:r>
      <w:r w:rsidR="005A0D7B">
        <w:t>2015</w:t>
      </w:r>
    </w:p>
    <w:p w:rsidR="003952ED" w:rsidRDefault="003952ED" w:rsidP="00732BCD">
      <w:pPr>
        <w:pStyle w:val="CoverReportSubTitle"/>
        <w:framePr w:wrap="around"/>
      </w:pPr>
    </w:p>
    <w:p w:rsidR="003952ED" w:rsidRDefault="003952ED" w:rsidP="00732BCD">
      <w:pPr>
        <w:pStyle w:val="CoverReportSubTitle"/>
        <w:framePr w:wrap="around"/>
      </w:pPr>
    </w:p>
    <w:p w:rsidR="009629F3" w:rsidRPr="0045600E" w:rsidRDefault="009629F3" w:rsidP="00D64958">
      <w:pPr>
        <w:spacing w:before="480"/>
        <w:rPr>
          <w:sz w:val="36"/>
        </w:rPr>
      </w:pPr>
      <w:r w:rsidRPr="0045600E">
        <w:t>A report by the Fair Work Ombudsman under the Fair Work Act 2009</w:t>
      </w:r>
    </w:p>
    <w:p w:rsidR="009629F3" w:rsidRPr="0045600E" w:rsidRDefault="003B121D" w:rsidP="00D32399">
      <w:r w:rsidRPr="0045600E">
        <w:t xml:space="preserve">Date of Publication </w:t>
      </w:r>
      <w:r w:rsidR="005A0D7B">
        <w:t>–</w:t>
      </w:r>
      <w:r w:rsidRPr="0045600E">
        <w:t xml:space="preserve"> </w:t>
      </w:r>
      <w:r w:rsidR="00DB578B">
        <w:t>June</w:t>
      </w:r>
      <w:r w:rsidR="005A0D7B">
        <w:t xml:space="preserve"> 2015</w:t>
      </w:r>
    </w:p>
    <w:p w:rsidR="00AB27F9" w:rsidRPr="0045600E" w:rsidRDefault="009629F3" w:rsidP="00D32399">
      <w:r w:rsidRPr="0045600E">
        <w:t>©</w:t>
      </w:r>
      <w:r w:rsidR="00CC7FFE" w:rsidRPr="0045600E">
        <w:t xml:space="preserve"> </w:t>
      </w:r>
      <w:r w:rsidRPr="0045600E">
        <w:t>Commonwealth of Australia, 201</w:t>
      </w:r>
      <w:r w:rsidR="005A0D7B">
        <w:t>5</w:t>
      </w:r>
    </w:p>
    <w:p w:rsidR="00AB27F9" w:rsidRDefault="00AB27F9" w:rsidP="003952ED">
      <w:r>
        <w:br w:type="page"/>
      </w:r>
    </w:p>
    <w:p w:rsidR="004B2104" w:rsidRPr="00CF3B06" w:rsidRDefault="006878B3" w:rsidP="00F73B24">
      <w:pPr>
        <w:pStyle w:val="Heading1"/>
      </w:pPr>
      <w:bookmarkStart w:id="0" w:name="_Toc410822199"/>
      <w:bookmarkStart w:id="1" w:name="_Toc422387884"/>
      <w:r w:rsidRPr="00CF3B06">
        <w:lastRenderedPageBreak/>
        <w:t>Contents</w:t>
      </w:r>
      <w:bookmarkEnd w:id="0"/>
      <w:bookmarkEnd w:id="1"/>
    </w:p>
    <w:p w:rsidR="00B2161C" w:rsidRDefault="000D29E1">
      <w:pPr>
        <w:pStyle w:val="TOC1"/>
        <w:rPr>
          <w:rFonts w:asciiTheme="minorHAnsi" w:eastAsiaTheme="minorEastAsia" w:hAnsiTheme="minorHAnsi" w:cstheme="minorBidi"/>
          <w:noProof/>
          <w:spacing w:val="0"/>
          <w:szCs w:val="22"/>
          <w:lang w:eastAsia="en-AU"/>
        </w:rPr>
      </w:pPr>
      <w:r w:rsidRPr="000D29E1">
        <w:fldChar w:fldCharType="begin"/>
      </w:r>
      <w:r w:rsidRPr="000D29E1">
        <w:instrText xml:space="preserve"> TOC \o "1-2" \h \z \u </w:instrText>
      </w:r>
      <w:r w:rsidRPr="000D29E1">
        <w:fldChar w:fldCharType="separate"/>
      </w:r>
      <w:hyperlink w:anchor="_Toc422387884" w:history="1">
        <w:r w:rsidR="00B2161C" w:rsidRPr="0096076D">
          <w:rPr>
            <w:rStyle w:val="Hyperlink"/>
            <w:noProof/>
          </w:rPr>
          <w:t>Contents</w:t>
        </w:r>
        <w:r w:rsidR="00B2161C">
          <w:rPr>
            <w:noProof/>
            <w:webHidden/>
          </w:rPr>
          <w:tab/>
        </w:r>
        <w:r w:rsidR="00B2161C">
          <w:rPr>
            <w:noProof/>
            <w:webHidden/>
          </w:rPr>
          <w:fldChar w:fldCharType="begin"/>
        </w:r>
        <w:r w:rsidR="00B2161C">
          <w:rPr>
            <w:noProof/>
            <w:webHidden/>
          </w:rPr>
          <w:instrText xml:space="preserve"> PAGEREF _Toc422387884 \h </w:instrText>
        </w:r>
        <w:r w:rsidR="00B2161C">
          <w:rPr>
            <w:noProof/>
            <w:webHidden/>
          </w:rPr>
        </w:r>
        <w:r w:rsidR="00B2161C">
          <w:rPr>
            <w:noProof/>
            <w:webHidden/>
          </w:rPr>
          <w:fldChar w:fldCharType="separate"/>
        </w:r>
        <w:r w:rsidR="00B2161C">
          <w:rPr>
            <w:noProof/>
            <w:webHidden/>
          </w:rPr>
          <w:t>2</w:t>
        </w:r>
        <w:r w:rsidR="00B2161C">
          <w:rPr>
            <w:noProof/>
            <w:webHidden/>
          </w:rPr>
          <w:fldChar w:fldCharType="end"/>
        </w:r>
      </w:hyperlink>
    </w:p>
    <w:p w:rsidR="00B2161C" w:rsidRDefault="00F158FD">
      <w:pPr>
        <w:pStyle w:val="TOC1"/>
        <w:rPr>
          <w:rFonts w:asciiTheme="minorHAnsi" w:eastAsiaTheme="minorEastAsia" w:hAnsiTheme="minorHAnsi" w:cstheme="minorBidi"/>
          <w:noProof/>
          <w:spacing w:val="0"/>
          <w:szCs w:val="22"/>
          <w:lang w:eastAsia="en-AU"/>
        </w:rPr>
      </w:pPr>
      <w:hyperlink w:anchor="_Toc422387885" w:history="1">
        <w:r w:rsidR="00B2161C" w:rsidRPr="0096076D">
          <w:rPr>
            <w:rStyle w:val="Hyperlink"/>
            <w:noProof/>
          </w:rPr>
          <w:t>Campaign Snapshot</w:t>
        </w:r>
        <w:r w:rsidR="00B2161C">
          <w:rPr>
            <w:noProof/>
            <w:webHidden/>
          </w:rPr>
          <w:tab/>
        </w:r>
        <w:r w:rsidR="00B2161C">
          <w:rPr>
            <w:noProof/>
            <w:webHidden/>
          </w:rPr>
          <w:fldChar w:fldCharType="begin"/>
        </w:r>
        <w:r w:rsidR="00B2161C">
          <w:rPr>
            <w:noProof/>
            <w:webHidden/>
          </w:rPr>
          <w:instrText xml:space="preserve"> PAGEREF _Toc422387885 \h </w:instrText>
        </w:r>
        <w:r w:rsidR="00B2161C">
          <w:rPr>
            <w:noProof/>
            <w:webHidden/>
          </w:rPr>
        </w:r>
        <w:r w:rsidR="00B2161C">
          <w:rPr>
            <w:noProof/>
            <w:webHidden/>
          </w:rPr>
          <w:fldChar w:fldCharType="separate"/>
        </w:r>
        <w:r w:rsidR="00B2161C">
          <w:rPr>
            <w:noProof/>
            <w:webHidden/>
          </w:rPr>
          <w:t>3</w:t>
        </w:r>
        <w:r w:rsidR="00B2161C">
          <w:rPr>
            <w:noProof/>
            <w:webHidden/>
          </w:rPr>
          <w:fldChar w:fldCharType="end"/>
        </w:r>
      </w:hyperlink>
    </w:p>
    <w:p w:rsidR="00B2161C" w:rsidRDefault="00F158FD">
      <w:pPr>
        <w:pStyle w:val="TOC1"/>
        <w:rPr>
          <w:rFonts w:asciiTheme="minorHAnsi" w:eastAsiaTheme="minorEastAsia" w:hAnsiTheme="minorHAnsi" w:cstheme="minorBidi"/>
          <w:noProof/>
          <w:spacing w:val="0"/>
          <w:szCs w:val="22"/>
          <w:lang w:eastAsia="en-AU"/>
        </w:rPr>
      </w:pPr>
      <w:hyperlink w:anchor="_Toc422387886" w:history="1">
        <w:r w:rsidR="00B2161C" w:rsidRPr="0096076D">
          <w:rPr>
            <w:rStyle w:val="Hyperlink"/>
            <w:noProof/>
          </w:rPr>
          <w:t>About the Campaign</w:t>
        </w:r>
        <w:r w:rsidR="00B2161C">
          <w:rPr>
            <w:noProof/>
            <w:webHidden/>
          </w:rPr>
          <w:tab/>
        </w:r>
        <w:r w:rsidR="00B2161C">
          <w:rPr>
            <w:noProof/>
            <w:webHidden/>
          </w:rPr>
          <w:fldChar w:fldCharType="begin"/>
        </w:r>
        <w:r w:rsidR="00B2161C">
          <w:rPr>
            <w:noProof/>
            <w:webHidden/>
          </w:rPr>
          <w:instrText xml:space="preserve"> PAGEREF _Toc422387886 \h </w:instrText>
        </w:r>
        <w:r w:rsidR="00B2161C">
          <w:rPr>
            <w:noProof/>
            <w:webHidden/>
          </w:rPr>
        </w:r>
        <w:r w:rsidR="00B2161C">
          <w:rPr>
            <w:noProof/>
            <w:webHidden/>
          </w:rPr>
          <w:fldChar w:fldCharType="separate"/>
        </w:r>
        <w:r w:rsidR="00B2161C">
          <w:rPr>
            <w:noProof/>
            <w:webHidden/>
          </w:rPr>
          <w:t>4</w:t>
        </w:r>
        <w:r w:rsidR="00B2161C">
          <w:rPr>
            <w:noProof/>
            <w:webHidden/>
          </w:rPr>
          <w:fldChar w:fldCharType="end"/>
        </w:r>
      </w:hyperlink>
    </w:p>
    <w:p w:rsidR="00B2161C" w:rsidRDefault="00F158FD">
      <w:pPr>
        <w:pStyle w:val="TOC1"/>
        <w:rPr>
          <w:rFonts w:asciiTheme="minorHAnsi" w:eastAsiaTheme="minorEastAsia" w:hAnsiTheme="minorHAnsi" w:cstheme="minorBidi"/>
          <w:noProof/>
          <w:spacing w:val="0"/>
          <w:szCs w:val="22"/>
          <w:lang w:eastAsia="en-AU"/>
        </w:rPr>
      </w:pPr>
      <w:hyperlink w:anchor="_Toc422387887" w:history="1">
        <w:r w:rsidR="00B2161C" w:rsidRPr="0096076D">
          <w:rPr>
            <w:rStyle w:val="Hyperlink"/>
            <w:noProof/>
          </w:rPr>
          <w:t>Outcomes at a Glance</w:t>
        </w:r>
        <w:r w:rsidR="00B2161C">
          <w:rPr>
            <w:noProof/>
            <w:webHidden/>
          </w:rPr>
          <w:tab/>
        </w:r>
        <w:r w:rsidR="00B2161C">
          <w:rPr>
            <w:noProof/>
            <w:webHidden/>
          </w:rPr>
          <w:fldChar w:fldCharType="begin"/>
        </w:r>
        <w:r w:rsidR="00B2161C">
          <w:rPr>
            <w:noProof/>
            <w:webHidden/>
          </w:rPr>
          <w:instrText xml:space="preserve"> PAGEREF _Toc422387887 \h </w:instrText>
        </w:r>
        <w:r w:rsidR="00B2161C">
          <w:rPr>
            <w:noProof/>
            <w:webHidden/>
          </w:rPr>
        </w:r>
        <w:r w:rsidR="00B2161C">
          <w:rPr>
            <w:noProof/>
            <w:webHidden/>
          </w:rPr>
          <w:fldChar w:fldCharType="separate"/>
        </w:r>
        <w:r w:rsidR="00B2161C">
          <w:rPr>
            <w:noProof/>
            <w:webHidden/>
          </w:rPr>
          <w:t>4</w:t>
        </w:r>
        <w:r w:rsidR="00B2161C">
          <w:rPr>
            <w:noProof/>
            <w:webHidden/>
          </w:rPr>
          <w:fldChar w:fldCharType="end"/>
        </w:r>
      </w:hyperlink>
    </w:p>
    <w:p w:rsidR="00B2161C" w:rsidRDefault="00F158FD">
      <w:pPr>
        <w:pStyle w:val="TOC1"/>
        <w:rPr>
          <w:rFonts w:asciiTheme="minorHAnsi" w:eastAsiaTheme="minorEastAsia" w:hAnsiTheme="minorHAnsi" w:cstheme="minorBidi"/>
          <w:noProof/>
          <w:spacing w:val="0"/>
          <w:szCs w:val="22"/>
          <w:lang w:eastAsia="en-AU"/>
        </w:rPr>
      </w:pPr>
      <w:hyperlink w:anchor="_Toc422387888" w:history="1">
        <w:r w:rsidR="00B2161C" w:rsidRPr="0096076D">
          <w:rPr>
            <w:rStyle w:val="Hyperlink"/>
            <w:noProof/>
          </w:rPr>
          <w:t>Industry Profile</w:t>
        </w:r>
        <w:r w:rsidR="00B2161C">
          <w:rPr>
            <w:noProof/>
            <w:webHidden/>
          </w:rPr>
          <w:tab/>
        </w:r>
        <w:r w:rsidR="00B2161C">
          <w:rPr>
            <w:noProof/>
            <w:webHidden/>
          </w:rPr>
          <w:fldChar w:fldCharType="begin"/>
        </w:r>
        <w:r w:rsidR="00B2161C">
          <w:rPr>
            <w:noProof/>
            <w:webHidden/>
          </w:rPr>
          <w:instrText xml:space="preserve"> PAGEREF _Toc422387888 \h </w:instrText>
        </w:r>
        <w:r w:rsidR="00B2161C">
          <w:rPr>
            <w:noProof/>
            <w:webHidden/>
          </w:rPr>
        </w:r>
        <w:r w:rsidR="00B2161C">
          <w:rPr>
            <w:noProof/>
            <w:webHidden/>
          </w:rPr>
          <w:fldChar w:fldCharType="separate"/>
        </w:r>
        <w:r w:rsidR="00B2161C">
          <w:rPr>
            <w:noProof/>
            <w:webHidden/>
          </w:rPr>
          <w:t>5</w:t>
        </w:r>
        <w:r w:rsidR="00B2161C">
          <w:rPr>
            <w:noProof/>
            <w:webHidden/>
          </w:rPr>
          <w:fldChar w:fldCharType="end"/>
        </w:r>
      </w:hyperlink>
    </w:p>
    <w:p w:rsidR="00B2161C" w:rsidRDefault="00F158FD">
      <w:pPr>
        <w:pStyle w:val="TOC1"/>
        <w:rPr>
          <w:rFonts w:asciiTheme="minorHAnsi" w:eastAsiaTheme="minorEastAsia" w:hAnsiTheme="minorHAnsi" w:cstheme="minorBidi"/>
          <w:noProof/>
          <w:spacing w:val="0"/>
          <w:szCs w:val="22"/>
          <w:lang w:eastAsia="en-AU"/>
        </w:rPr>
      </w:pPr>
      <w:hyperlink w:anchor="_Toc422387889" w:history="1">
        <w:r w:rsidR="00B2161C" w:rsidRPr="0096076D">
          <w:rPr>
            <w:rStyle w:val="Hyperlink"/>
            <w:noProof/>
          </w:rPr>
          <w:t>Communication and Public Awareness</w:t>
        </w:r>
        <w:r w:rsidR="00B2161C">
          <w:rPr>
            <w:noProof/>
            <w:webHidden/>
          </w:rPr>
          <w:tab/>
        </w:r>
        <w:r w:rsidR="00B2161C">
          <w:rPr>
            <w:noProof/>
            <w:webHidden/>
          </w:rPr>
          <w:fldChar w:fldCharType="begin"/>
        </w:r>
        <w:r w:rsidR="00B2161C">
          <w:rPr>
            <w:noProof/>
            <w:webHidden/>
          </w:rPr>
          <w:instrText xml:space="preserve"> PAGEREF _Toc422387889 \h </w:instrText>
        </w:r>
        <w:r w:rsidR="00B2161C">
          <w:rPr>
            <w:noProof/>
            <w:webHidden/>
          </w:rPr>
        </w:r>
        <w:r w:rsidR="00B2161C">
          <w:rPr>
            <w:noProof/>
            <w:webHidden/>
          </w:rPr>
          <w:fldChar w:fldCharType="separate"/>
        </w:r>
        <w:r w:rsidR="00B2161C">
          <w:rPr>
            <w:noProof/>
            <w:webHidden/>
          </w:rPr>
          <w:t>5</w:t>
        </w:r>
        <w:r w:rsidR="00B2161C">
          <w:rPr>
            <w:noProof/>
            <w:webHidden/>
          </w:rPr>
          <w:fldChar w:fldCharType="end"/>
        </w:r>
      </w:hyperlink>
    </w:p>
    <w:p w:rsidR="00B2161C" w:rsidRDefault="00F158FD">
      <w:pPr>
        <w:pStyle w:val="TOC1"/>
        <w:rPr>
          <w:rFonts w:asciiTheme="minorHAnsi" w:eastAsiaTheme="minorEastAsia" w:hAnsiTheme="minorHAnsi" w:cstheme="minorBidi"/>
          <w:noProof/>
          <w:spacing w:val="0"/>
          <w:szCs w:val="22"/>
          <w:lang w:eastAsia="en-AU"/>
        </w:rPr>
      </w:pPr>
      <w:hyperlink w:anchor="_Toc422387890" w:history="1">
        <w:r w:rsidR="00B2161C" w:rsidRPr="0096076D">
          <w:rPr>
            <w:rStyle w:val="Hyperlink"/>
            <w:noProof/>
          </w:rPr>
          <w:t>Wages Audit</w:t>
        </w:r>
        <w:r w:rsidR="00B2161C">
          <w:rPr>
            <w:noProof/>
            <w:webHidden/>
          </w:rPr>
          <w:tab/>
        </w:r>
        <w:r w:rsidR="00B2161C">
          <w:rPr>
            <w:noProof/>
            <w:webHidden/>
          </w:rPr>
          <w:fldChar w:fldCharType="begin"/>
        </w:r>
        <w:r w:rsidR="00B2161C">
          <w:rPr>
            <w:noProof/>
            <w:webHidden/>
          </w:rPr>
          <w:instrText xml:space="preserve"> PAGEREF _Toc422387890 \h </w:instrText>
        </w:r>
        <w:r w:rsidR="00B2161C">
          <w:rPr>
            <w:noProof/>
            <w:webHidden/>
          </w:rPr>
        </w:r>
        <w:r w:rsidR="00B2161C">
          <w:rPr>
            <w:noProof/>
            <w:webHidden/>
          </w:rPr>
          <w:fldChar w:fldCharType="separate"/>
        </w:r>
        <w:r w:rsidR="00B2161C">
          <w:rPr>
            <w:noProof/>
            <w:webHidden/>
          </w:rPr>
          <w:t>6</w:t>
        </w:r>
        <w:r w:rsidR="00B2161C">
          <w:rPr>
            <w:noProof/>
            <w:webHidden/>
          </w:rPr>
          <w:fldChar w:fldCharType="end"/>
        </w:r>
      </w:hyperlink>
    </w:p>
    <w:p w:rsidR="00B2161C" w:rsidRDefault="00F158FD">
      <w:pPr>
        <w:pStyle w:val="TOC1"/>
        <w:rPr>
          <w:rFonts w:asciiTheme="minorHAnsi" w:eastAsiaTheme="minorEastAsia" w:hAnsiTheme="minorHAnsi" w:cstheme="minorBidi"/>
          <w:noProof/>
          <w:spacing w:val="0"/>
          <w:szCs w:val="22"/>
          <w:lang w:eastAsia="en-AU"/>
        </w:rPr>
      </w:pPr>
      <w:hyperlink w:anchor="_Toc422387891" w:history="1">
        <w:r w:rsidR="00B2161C" w:rsidRPr="0096076D">
          <w:rPr>
            <w:rStyle w:val="Hyperlink"/>
            <w:noProof/>
          </w:rPr>
          <w:t>Regional Findings</w:t>
        </w:r>
        <w:r w:rsidR="00B2161C">
          <w:rPr>
            <w:noProof/>
            <w:webHidden/>
          </w:rPr>
          <w:tab/>
        </w:r>
        <w:r w:rsidR="00B2161C">
          <w:rPr>
            <w:noProof/>
            <w:webHidden/>
          </w:rPr>
          <w:fldChar w:fldCharType="begin"/>
        </w:r>
        <w:r w:rsidR="00B2161C">
          <w:rPr>
            <w:noProof/>
            <w:webHidden/>
          </w:rPr>
          <w:instrText xml:space="preserve"> PAGEREF _Toc422387891 \h </w:instrText>
        </w:r>
        <w:r w:rsidR="00B2161C">
          <w:rPr>
            <w:noProof/>
            <w:webHidden/>
          </w:rPr>
        </w:r>
        <w:r w:rsidR="00B2161C">
          <w:rPr>
            <w:noProof/>
            <w:webHidden/>
          </w:rPr>
          <w:fldChar w:fldCharType="separate"/>
        </w:r>
        <w:r w:rsidR="00B2161C">
          <w:rPr>
            <w:noProof/>
            <w:webHidden/>
          </w:rPr>
          <w:t>7</w:t>
        </w:r>
        <w:r w:rsidR="00B2161C">
          <w:rPr>
            <w:noProof/>
            <w:webHidden/>
          </w:rPr>
          <w:fldChar w:fldCharType="end"/>
        </w:r>
      </w:hyperlink>
    </w:p>
    <w:p w:rsidR="00B2161C" w:rsidRDefault="00F158FD">
      <w:pPr>
        <w:pStyle w:val="TOC2"/>
        <w:rPr>
          <w:rFonts w:asciiTheme="minorHAnsi" w:eastAsiaTheme="minorEastAsia" w:hAnsiTheme="minorHAnsi" w:cstheme="minorBidi"/>
          <w:noProof/>
          <w:szCs w:val="22"/>
          <w:lang w:eastAsia="en-AU"/>
        </w:rPr>
      </w:pPr>
      <w:hyperlink w:anchor="_Toc422387892" w:history="1">
        <w:r w:rsidR="00B2161C" w:rsidRPr="0096076D">
          <w:rPr>
            <w:rStyle w:val="Hyperlink"/>
            <w:noProof/>
          </w:rPr>
          <w:t>NSW/ACT</w:t>
        </w:r>
        <w:r w:rsidR="00B2161C">
          <w:rPr>
            <w:noProof/>
            <w:webHidden/>
          </w:rPr>
          <w:tab/>
        </w:r>
        <w:r w:rsidR="00B2161C">
          <w:rPr>
            <w:noProof/>
            <w:webHidden/>
          </w:rPr>
          <w:fldChar w:fldCharType="begin"/>
        </w:r>
        <w:r w:rsidR="00B2161C">
          <w:rPr>
            <w:noProof/>
            <w:webHidden/>
          </w:rPr>
          <w:instrText xml:space="preserve"> PAGEREF _Toc422387892 \h </w:instrText>
        </w:r>
        <w:r w:rsidR="00B2161C">
          <w:rPr>
            <w:noProof/>
            <w:webHidden/>
          </w:rPr>
        </w:r>
        <w:r w:rsidR="00B2161C">
          <w:rPr>
            <w:noProof/>
            <w:webHidden/>
          </w:rPr>
          <w:fldChar w:fldCharType="separate"/>
        </w:r>
        <w:r w:rsidR="00B2161C">
          <w:rPr>
            <w:noProof/>
            <w:webHidden/>
          </w:rPr>
          <w:t>7</w:t>
        </w:r>
        <w:r w:rsidR="00B2161C">
          <w:rPr>
            <w:noProof/>
            <w:webHidden/>
          </w:rPr>
          <w:fldChar w:fldCharType="end"/>
        </w:r>
      </w:hyperlink>
    </w:p>
    <w:p w:rsidR="00B2161C" w:rsidRDefault="00F158FD">
      <w:pPr>
        <w:pStyle w:val="TOC2"/>
        <w:rPr>
          <w:rFonts w:asciiTheme="minorHAnsi" w:eastAsiaTheme="minorEastAsia" w:hAnsiTheme="minorHAnsi" w:cstheme="minorBidi"/>
          <w:noProof/>
          <w:szCs w:val="22"/>
          <w:lang w:eastAsia="en-AU"/>
        </w:rPr>
      </w:pPr>
      <w:hyperlink w:anchor="_Toc422387893" w:history="1">
        <w:r w:rsidR="00B2161C" w:rsidRPr="0096076D">
          <w:rPr>
            <w:rStyle w:val="Hyperlink"/>
            <w:noProof/>
          </w:rPr>
          <w:t>Victoria/Tasmania</w:t>
        </w:r>
        <w:r w:rsidR="00B2161C">
          <w:rPr>
            <w:noProof/>
            <w:webHidden/>
          </w:rPr>
          <w:tab/>
        </w:r>
        <w:r w:rsidR="00B2161C">
          <w:rPr>
            <w:noProof/>
            <w:webHidden/>
          </w:rPr>
          <w:fldChar w:fldCharType="begin"/>
        </w:r>
        <w:r w:rsidR="00B2161C">
          <w:rPr>
            <w:noProof/>
            <w:webHidden/>
          </w:rPr>
          <w:instrText xml:space="preserve"> PAGEREF _Toc422387893 \h </w:instrText>
        </w:r>
        <w:r w:rsidR="00B2161C">
          <w:rPr>
            <w:noProof/>
            <w:webHidden/>
          </w:rPr>
        </w:r>
        <w:r w:rsidR="00B2161C">
          <w:rPr>
            <w:noProof/>
            <w:webHidden/>
          </w:rPr>
          <w:fldChar w:fldCharType="separate"/>
        </w:r>
        <w:r w:rsidR="00B2161C">
          <w:rPr>
            <w:noProof/>
            <w:webHidden/>
          </w:rPr>
          <w:t>8</w:t>
        </w:r>
        <w:r w:rsidR="00B2161C">
          <w:rPr>
            <w:noProof/>
            <w:webHidden/>
          </w:rPr>
          <w:fldChar w:fldCharType="end"/>
        </w:r>
      </w:hyperlink>
    </w:p>
    <w:p w:rsidR="00B2161C" w:rsidRDefault="00F158FD">
      <w:pPr>
        <w:pStyle w:val="TOC2"/>
        <w:rPr>
          <w:rFonts w:asciiTheme="minorHAnsi" w:eastAsiaTheme="minorEastAsia" w:hAnsiTheme="minorHAnsi" w:cstheme="minorBidi"/>
          <w:noProof/>
          <w:szCs w:val="22"/>
          <w:lang w:eastAsia="en-AU"/>
        </w:rPr>
      </w:pPr>
      <w:hyperlink w:anchor="_Toc422387894" w:history="1">
        <w:r w:rsidR="00B2161C" w:rsidRPr="0096076D">
          <w:rPr>
            <w:rStyle w:val="Hyperlink"/>
            <w:noProof/>
          </w:rPr>
          <w:t>Northern Territory</w:t>
        </w:r>
        <w:r w:rsidR="00B2161C">
          <w:rPr>
            <w:noProof/>
            <w:webHidden/>
          </w:rPr>
          <w:tab/>
        </w:r>
        <w:r w:rsidR="00B2161C">
          <w:rPr>
            <w:noProof/>
            <w:webHidden/>
          </w:rPr>
          <w:fldChar w:fldCharType="begin"/>
        </w:r>
        <w:r w:rsidR="00B2161C">
          <w:rPr>
            <w:noProof/>
            <w:webHidden/>
          </w:rPr>
          <w:instrText xml:space="preserve"> PAGEREF _Toc422387894 \h </w:instrText>
        </w:r>
        <w:r w:rsidR="00B2161C">
          <w:rPr>
            <w:noProof/>
            <w:webHidden/>
          </w:rPr>
        </w:r>
        <w:r w:rsidR="00B2161C">
          <w:rPr>
            <w:noProof/>
            <w:webHidden/>
          </w:rPr>
          <w:fldChar w:fldCharType="separate"/>
        </w:r>
        <w:r w:rsidR="00B2161C">
          <w:rPr>
            <w:noProof/>
            <w:webHidden/>
          </w:rPr>
          <w:t>9</w:t>
        </w:r>
        <w:r w:rsidR="00B2161C">
          <w:rPr>
            <w:noProof/>
            <w:webHidden/>
          </w:rPr>
          <w:fldChar w:fldCharType="end"/>
        </w:r>
      </w:hyperlink>
    </w:p>
    <w:p w:rsidR="00B2161C" w:rsidRDefault="00F158FD">
      <w:pPr>
        <w:pStyle w:val="TOC2"/>
        <w:rPr>
          <w:rFonts w:asciiTheme="minorHAnsi" w:eastAsiaTheme="minorEastAsia" w:hAnsiTheme="minorHAnsi" w:cstheme="minorBidi"/>
          <w:noProof/>
          <w:szCs w:val="22"/>
          <w:lang w:eastAsia="en-AU"/>
        </w:rPr>
      </w:pPr>
      <w:hyperlink w:anchor="_Toc422387895" w:history="1">
        <w:r w:rsidR="00B2161C" w:rsidRPr="0096076D">
          <w:rPr>
            <w:rStyle w:val="Hyperlink"/>
            <w:noProof/>
          </w:rPr>
          <w:t>Queensland</w:t>
        </w:r>
        <w:r w:rsidR="00B2161C">
          <w:rPr>
            <w:noProof/>
            <w:webHidden/>
          </w:rPr>
          <w:tab/>
        </w:r>
        <w:r w:rsidR="00B2161C">
          <w:rPr>
            <w:noProof/>
            <w:webHidden/>
          </w:rPr>
          <w:fldChar w:fldCharType="begin"/>
        </w:r>
        <w:r w:rsidR="00B2161C">
          <w:rPr>
            <w:noProof/>
            <w:webHidden/>
          </w:rPr>
          <w:instrText xml:space="preserve"> PAGEREF _Toc422387895 \h </w:instrText>
        </w:r>
        <w:r w:rsidR="00B2161C">
          <w:rPr>
            <w:noProof/>
            <w:webHidden/>
          </w:rPr>
        </w:r>
        <w:r w:rsidR="00B2161C">
          <w:rPr>
            <w:noProof/>
            <w:webHidden/>
          </w:rPr>
          <w:fldChar w:fldCharType="separate"/>
        </w:r>
        <w:r w:rsidR="00B2161C">
          <w:rPr>
            <w:noProof/>
            <w:webHidden/>
          </w:rPr>
          <w:t>9</w:t>
        </w:r>
        <w:r w:rsidR="00B2161C">
          <w:rPr>
            <w:noProof/>
            <w:webHidden/>
          </w:rPr>
          <w:fldChar w:fldCharType="end"/>
        </w:r>
      </w:hyperlink>
    </w:p>
    <w:p w:rsidR="00B2161C" w:rsidRDefault="00F158FD">
      <w:pPr>
        <w:pStyle w:val="TOC2"/>
        <w:rPr>
          <w:rFonts w:asciiTheme="minorHAnsi" w:eastAsiaTheme="minorEastAsia" w:hAnsiTheme="minorHAnsi" w:cstheme="minorBidi"/>
          <w:noProof/>
          <w:szCs w:val="22"/>
          <w:lang w:eastAsia="en-AU"/>
        </w:rPr>
      </w:pPr>
      <w:hyperlink w:anchor="_Toc422387896" w:history="1">
        <w:r w:rsidR="00B2161C" w:rsidRPr="0096076D">
          <w:rPr>
            <w:rStyle w:val="Hyperlink"/>
            <w:noProof/>
          </w:rPr>
          <w:t>Western Australia</w:t>
        </w:r>
        <w:r w:rsidR="00B2161C">
          <w:rPr>
            <w:noProof/>
            <w:webHidden/>
          </w:rPr>
          <w:tab/>
        </w:r>
        <w:r w:rsidR="00B2161C">
          <w:rPr>
            <w:noProof/>
            <w:webHidden/>
          </w:rPr>
          <w:fldChar w:fldCharType="begin"/>
        </w:r>
        <w:r w:rsidR="00B2161C">
          <w:rPr>
            <w:noProof/>
            <w:webHidden/>
          </w:rPr>
          <w:instrText xml:space="preserve"> PAGEREF _Toc422387896 \h </w:instrText>
        </w:r>
        <w:r w:rsidR="00B2161C">
          <w:rPr>
            <w:noProof/>
            <w:webHidden/>
          </w:rPr>
        </w:r>
        <w:r w:rsidR="00B2161C">
          <w:rPr>
            <w:noProof/>
            <w:webHidden/>
          </w:rPr>
          <w:fldChar w:fldCharType="separate"/>
        </w:r>
        <w:r w:rsidR="00B2161C">
          <w:rPr>
            <w:noProof/>
            <w:webHidden/>
          </w:rPr>
          <w:t>10</w:t>
        </w:r>
        <w:r w:rsidR="00B2161C">
          <w:rPr>
            <w:noProof/>
            <w:webHidden/>
          </w:rPr>
          <w:fldChar w:fldCharType="end"/>
        </w:r>
      </w:hyperlink>
    </w:p>
    <w:p w:rsidR="00B2161C" w:rsidRDefault="00F158FD">
      <w:pPr>
        <w:pStyle w:val="TOC2"/>
        <w:rPr>
          <w:rFonts w:asciiTheme="minorHAnsi" w:eastAsiaTheme="minorEastAsia" w:hAnsiTheme="minorHAnsi" w:cstheme="minorBidi"/>
          <w:noProof/>
          <w:szCs w:val="22"/>
          <w:lang w:eastAsia="en-AU"/>
        </w:rPr>
      </w:pPr>
      <w:hyperlink w:anchor="_Toc422387897" w:history="1">
        <w:r w:rsidR="00B2161C" w:rsidRPr="0096076D">
          <w:rPr>
            <w:rStyle w:val="Hyperlink"/>
            <w:noProof/>
          </w:rPr>
          <w:t>South Australia</w:t>
        </w:r>
        <w:r w:rsidR="00B2161C">
          <w:rPr>
            <w:noProof/>
            <w:webHidden/>
          </w:rPr>
          <w:tab/>
        </w:r>
        <w:r w:rsidR="00B2161C">
          <w:rPr>
            <w:noProof/>
            <w:webHidden/>
          </w:rPr>
          <w:fldChar w:fldCharType="begin"/>
        </w:r>
        <w:r w:rsidR="00B2161C">
          <w:rPr>
            <w:noProof/>
            <w:webHidden/>
          </w:rPr>
          <w:instrText xml:space="preserve"> PAGEREF _Toc422387897 \h </w:instrText>
        </w:r>
        <w:r w:rsidR="00B2161C">
          <w:rPr>
            <w:noProof/>
            <w:webHidden/>
          </w:rPr>
        </w:r>
        <w:r w:rsidR="00B2161C">
          <w:rPr>
            <w:noProof/>
            <w:webHidden/>
          </w:rPr>
          <w:fldChar w:fldCharType="separate"/>
        </w:r>
        <w:r w:rsidR="00B2161C">
          <w:rPr>
            <w:noProof/>
            <w:webHidden/>
          </w:rPr>
          <w:t>10</w:t>
        </w:r>
        <w:r w:rsidR="00B2161C">
          <w:rPr>
            <w:noProof/>
            <w:webHidden/>
          </w:rPr>
          <w:fldChar w:fldCharType="end"/>
        </w:r>
      </w:hyperlink>
    </w:p>
    <w:p w:rsidR="00B2161C" w:rsidRDefault="00F158FD">
      <w:pPr>
        <w:pStyle w:val="TOC2"/>
        <w:rPr>
          <w:rFonts w:asciiTheme="minorHAnsi" w:eastAsiaTheme="minorEastAsia" w:hAnsiTheme="minorHAnsi" w:cstheme="minorBidi"/>
          <w:noProof/>
          <w:szCs w:val="22"/>
          <w:lang w:eastAsia="en-AU"/>
        </w:rPr>
      </w:pPr>
      <w:hyperlink w:anchor="_Toc422387898" w:history="1">
        <w:r w:rsidR="00B2161C" w:rsidRPr="0096076D">
          <w:rPr>
            <w:rStyle w:val="Hyperlink"/>
            <w:noProof/>
          </w:rPr>
          <w:t>Conclusion</w:t>
        </w:r>
        <w:r w:rsidR="00B2161C">
          <w:rPr>
            <w:noProof/>
            <w:webHidden/>
          </w:rPr>
          <w:tab/>
        </w:r>
        <w:r w:rsidR="00B2161C">
          <w:rPr>
            <w:noProof/>
            <w:webHidden/>
          </w:rPr>
          <w:fldChar w:fldCharType="begin"/>
        </w:r>
        <w:r w:rsidR="00B2161C">
          <w:rPr>
            <w:noProof/>
            <w:webHidden/>
          </w:rPr>
          <w:instrText xml:space="preserve"> PAGEREF _Toc422387898 \h </w:instrText>
        </w:r>
        <w:r w:rsidR="00B2161C">
          <w:rPr>
            <w:noProof/>
            <w:webHidden/>
          </w:rPr>
        </w:r>
        <w:r w:rsidR="00B2161C">
          <w:rPr>
            <w:noProof/>
            <w:webHidden/>
          </w:rPr>
          <w:fldChar w:fldCharType="separate"/>
        </w:r>
        <w:r w:rsidR="00B2161C">
          <w:rPr>
            <w:noProof/>
            <w:webHidden/>
          </w:rPr>
          <w:t>11</w:t>
        </w:r>
        <w:r w:rsidR="00B2161C">
          <w:rPr>
            <w:noProof/>
            <w:webHidden/>
          </w:rPr>
          <w:fldChar w:fldCharType="end"/>
        </w:r>
      </w:hyperlink>
    </w:p>
    <w:p w:rsidR="00B2161C" w:rsidRDefault="00F158FD">
      <w:pPr>
        <w:pStyle w:val="TOC2"/>
        <w:rPr>
          <w:rFonts w:asciiTheme="minorHAnsi" w:eastAsiaTheme="minorEastAsia" w:hAnsiTheme="minorHAnsi" w:cstheme="minorBidi"/>
          <w:noProof/>
          <w:szCs w:val="22"/>
          <w:lang w:eastAsia="en-AU"/>
        </w:rPr>
      </w:pPr>
      <w:hyperlink w:anchor="_Toc422387899" w:history="1">
        <w:r w:rsidR="00B2161C" w:rsidRPr="0096076D">
          <w:rPr>
            <w:rStyle w:val="Hyperlink"/>
            <w:noProof/>
          </w:rPr>
          <w:t>About the Fair Work Ombudsman</w:t>
        </w:r>
        <w:r w:rsidR="00B2161C">
          <w:rPr>
            <w:noProof/>
            <w:webHidden/>
          </w:rPr>
          <w:tab/>
        </w:r>
        <w:r w:rsidR="00B2161C">
          <w:rPr>
            <w:noProof/>
            <w:webHidden/>
          </w:rPr>
          <w:fldChar w:fldCharType="begin"/>
        </w:r>
        <w:r w:rsidR="00B2161C">
          <w:rPr>
            <w:noProof/>
            <w:webHidden/>
          </w:rPr>
          <w:instrText xml:space="preserve"> PAGEREF _Toc422387899 \h </w:instrText>
        </w:r>
        <w:r w:rsidR="00B2161C">
          <w:rPr>
            <w:noProof/>
            <w:webHidden/>
          </w:rPr>
        </w:r>
        <w:r w:rsidR="00B2161C">
          <w:rPr>
            <w:noProof/>
            <w:webHidden/>
          </w:rPr>
          <w:fldChar w:fldCharType="separate"/>
        </w:r>
        <w:r w:rsidR="00B2161C">
          <w:rPr>
            <w:noProof/>
            <w:webHidden/>
          </w:rPr>
          <w:t>11</w:t>
        </w:r>
        <w:r w:rsidR="00B2161C">
          <w:rPr>
            <w:noProof/>
            <w:webHidden/>
          </w:rPr>
          <w:fldChar w:fldCharType="end"/>
        </w:r>
      </w:hyperlink>
    </w:p>
    <w:p w:rsidR="001F20C3" w:rsidRDefault="000D29E1" w:rsidP="00CF3B06">
      <w:pPr>
        <w:pStyle w:val="TOC1"/>
        <w:jc w:val="left"/>
        <w:rPr>
          <w:color w:val="548DD4" w:themeColor="text2" w:themeTint="99"/>
          <w:sz w:val="28"/>
          <w:szCs w:val="26"/>
        </w:rPr>
      </w:pPr>
      <w:r w:rsidRPr="000D29E1">
        <w:fldChar w:fldCharType="end"/>
      </w:r>
      <w:r w:rsidR="001F20C3">
        <w:br w:type="page"/>
      </w:r>
    </w:p>
    <w:p w:rsidR="009629F3" w:rsidRDefault="00205DBE" w:rsidP="00F73B24">
      <w:pPr>
        <w:pStyle w:val="Heading1"/>
      </w:pPr>
      <w:bookmarkStart w:id="2" w:name="_Toc410822200"/>
      <w:bookmarkStart w:id="3" w:name="_Toc422387885"/>
      <w:r>
        <w:lastRenderedPageBreak/>
        <w:t>Campaign Snapshot</w:t>
      </w:r>
      <w:bookmarkEnd w:id="2"/>
      <w:bookmarkEnd w:id="3"/>
      <w:r w:rsidR="009629F3" w:rsidRPr="009629F3">
        <w:t xml:space="preserve"> </w:t>
      </w:r>
    </w:p>
    <w:p w:rsidR="004B2104" w:rsidRPr="004B2104" w:rsidRDefault="004B2104" w:rsidP="00321118"/>
    <w:p w:rsidR="004B2104" w:rsidRDefault="004B2104" w:rsidP="00321118">
      <w:pPr>
        <w:pStyle w:val="GlanceYellowHeading"/>
        <w:shd w:val="clear" w:color="auto" w:fill="auto"/>
        <w:sectPr w:rsidR="004B2104" w:rsidSect="00CF3B06">
          <w:headerReference w:type="default" r:id="rId14"/>
          <w:footerReference w:type="even" r:id="rId15"/>
          <w:footerReference w:type="default" r:id="rId16"/>
          <w:headerReference w:type="first" r:id="rId17"/>
          <w:type w:val="continuous"/>
          <w:pgSz w:w="11907" w:h="16840" w:code="9"/>
          <w:pgMar w:top="1276" w:right="992" w:bottom="1440" w:left="1276" w:header="0" w:footer="113" w:gutter="0"/>
          <w:cols w:space="720"/>
          <w:titlePg/>
          <w:docGrid w:linePitch="326"/>
        </w:sectPr>
      </w:pPr>
    </w:p>
    <w:p w:rsidR="004B2104" w:rsidRPr="004B2104" w:rsidRDefault="00737568" w:rsidP="00321118">
      <w:pPr>
        <w:pStyle w:val="GlanceYellowHeading"/>
        <w:shd w:val="clear" w:color="auto" w:fill="auto"/>
      </w:pPr>
      <w:r>
        <w:lastRenderedPageBreak/>
        <w:t>More than</w:t>
      </w:r>
    </w:p>
    <w:p w:rsidR="004B2104" w:rsidRPr="004B2104" w:rsidRDefault="00737568" w:rsidP="00321118">
      <w:pPr>
        <w:pStyle w:val="GlanceHeading"/>
      </w:pPr>
      <w:proofErr w:type="spellStart"/>
      <w:r>
        <w:t>80k</w:t>
      </w:r>
      <w:proofErr w:type="spellEnd"/>
    </w:p>
    <w:p w:rsidR="004B2104" w:rsidRDefault="004B2104" w:rsidP="00321118">
      <w:pPr>
        <w:pStyle w:val="GlanceBody"/>
      </w:pPr>
      <w:proofErr w:type="gramStart"/>
      <w:r>
        <w:t xml:space="preserve">Businesses </w:t>
      </w:r>
      <w:r w:rsidR="00737568">
        <w:t>operating in the Australian Hospitality Industry.</w:t>
      </w:r>
      <w:proofErr w:type="gramEnd"/>
    </w:p>
    <w:p w:rsidR="00DE3F5C" w:rsidRDefault="00DE3F5C" w:rsidP="00321118">
      <w:pPr>
        <w:pStyle w:val="GlanceBody"/>
      </w:pPr>
    </w:p>
    <w:p w:rsidR="00DE3F5C" w:rsidRPr="004B2104" w:rsidRDefault="00DE3F5C" w:rsidP="00BA24D7">
      <w:pPr>
        <w:pStyle w:val="GlanceYellowHeading"/>
        <w:shd w:val="clear" w:color="auto" w:fill="auto"/>
      </w:pPr>
      <w:r>
        <w:t>A total of</w:t>
      </w:r>
    </w:p>
    <w:p w:rsidR="00DE3F5C" w:rsidRPr="004B2104" w:rsidRDefault="00BA24D7" w:rsidP="00BA24D7">
      <w:pPr>
        <w:pStyle w:val="GlanceHeading"/>
      </w:pPr>
      <w:r>
        <w:t>42%</w:t>
      </w:r>
    </w:p>
    <w:p w:rsidR="00DE3F5C" w:rsidRDefault="00321118" w:rsidP="00BA24D7">
      <w:pPr>
        <w:pStyle w:val="GlanceBody"/>
        <w:pBdr>
          <w:bottom w:val="single" w:sz="2" w:space="12" w:color="BFBFBF" w:themeColor="background1" w:themeShade="BF"/>
        </w:pBdr>
      </w:pPr>
      <w:r>
        <w:t>Of b</w:t>
      </w:r>
      <w:r w:rsidR="00DE3F5C">
        <w:t xml:space="preserve">usinesses found to be </w:t>
      </w:r>
      <w:r w:rsidR="00BA24D7">
        <w:t>compliant with all requirements</w:t>
      </w:r>
    </w:p>
    <w:p w:rsidR="008F7C60" w:rsidRDefault="008F7C60" w:rsidP="00BA24D7">
      <w:pPr>
        <w:pStyle w:val="GlanceBody"/>
        <w:pBdr>
          <w:bottom w:val="single" w:sz="2" w:space="12" w:color="BFBFBF" w:themeColor="background1" w:themeShade="BF"/>
        </w:pBdr>
      </w:pPr>
    </w:p>
    <w:p w:rsidR="008F7C60" w:rsidRPr="008F7C60" w:rsidRDefault="008F7C60" w:rsidP="00BA24D7">
      <w:pPr>
        <w:pStyle w:val="GlanceBody"/>
        <w:pBdr>
          <w:bottom w:val="single" w:sz="2" w:space="12" w:color="BFBFBF" w:themeColor="background1" w:themeShade="BF"/>
        </w:pBdr>
        <w:rPr>
          <w:sz w:val="14"/>
          <w:szCs w:val="14"/>
        </w:rPr>
      </w:pPr>
    </w:p>
    <w:p w:rsidR="00BA24D7" w:rsidRPr="00737568" w:rsidRDefault="004B2104" w:rsidP="00BA24D7">
      <w:pPr>
        <w:pStyle w:val="GlanceYellowHeading"/>
        <w:widowControl w:val="0"/>
        <w:shd w:val="clear" w:color="auto" w:fill="auto"/>
      </w:pPr>
      <w:r w:rsidRPr="00CF3B06">
        <w:br w:type="column"/>
      </w:r>
      <w:r w:rsidR="00BA24D7">
        <w:lastRenderedPageBreak/>
        <w:t>Over</w:t>
      </w:r>
    </w:p>
    <w:p w:rsidR="00BA24D7" w:rsidRPr="004B2104" w:rsidRDefault="00BA24D7" w:rsidP="00BA24D7">
      <w:pPr>
        <w:pStyle w:val="GlanceHeading"/>
      </w:pPr>
      <w:proofErr w:type="spellStart"/>
      <w:r>
        <w:t>760K</w:t>
      </w:r>
      <w:proofErr w:type="spellEnd"/>
    </w:p>
    <w:p w:rsidR="003861B5" w:rsidRDefault="00BA24D7" w:rsidP="00BA24D7">
      <w:pPr>
        <w:pStyle w:val="GlanceBody"/>
      </w:pPr>
      <w:proofErr w:type="gramStart"/>
      <w:r>
        <w:t>Employees working in the Australian Hospitality Industry.</w:t>
      </w:r>
      <w:proofErr w:type="gramEnd"/>
    </w:p>
    <w:p w:rsidR="00321118" w:rsidRDefault="00321118" w:rsidP="00BA24D7">
      <w:pPr>
        <w:pStyle w:val="GlanceBody"/>
      </w:pPr>
    </w:p>
    <w:p w:rsidR="00B2161C" w:rsidRPr="004B2104" w:rsidRDefault="00B2161C" w:rsidP="00B2161C">
      <w:pPr>
        <w:pStyle w:val="GlanceYellowHeading"/>
        <w:shd w:val="clear" w:color="auto" w:fill="auto"/>
      </w:pPr>
      <w:r>
        <w:t>More than</w:t>
      </w:r>
    </w:p>
    <w:p w:rsidR="00B2161C" w:rsidRPr="004B2104" w:rsidRDefault="00B2161C" w:rsidP="00B2161C">
      <w:pPr>
        <w:pStyle w:val="GlanceHeading"/>
      </w:pPr>
      <w:r>
        <w:t>$</w:t>
      </w:r>
      <w:proofErr w:type="spellStart"/>
      <w:r>
        <w:t>1.2m</w:t>
      </w:r>
      <w:proofErr w:type="spellEnd"/>
      <w:r>
        <w:t xml:space="preserve"> </w:t>
      </w:r>
    </w:p>
    <w:p w:rsidR="00B2161C" w:rsidRDefault="00B2161C" w:rsidP="00B2161C">
      <w:pPr>
        <w:pStyle w:val="GlanceBody"/>
      </w:pPr>
      <w:r>
        <w:t>Recovered for 2,752 employees from 456 employers</w:t>
      </w:r>
    </w:p>
    <w:p w:rsidR="00B2161C" w:rsidRPr="008F7C60" w:rsidRDefault="00B2161C" w:rsidP="00B2161C">
      <w:pPr>
        <w:pStyle w:val="GlanceBody"/>
      </w:pPr>
    </w:p>
    <w:p w:rsidR="00B2161C" w:rsidRPr="008F7C60" w:rsidRDefault="00B2161C" w:rsidP="00BA24D7">
      <w:pPr>
        <w:pStyle w:val="GlanceBody"/>
        <w:rPr>
          <w:sz w:val="20"/>
          <w:szCs w:val="20"/>
        </w:rPr>
      </w:pPr>
    </w:p>
    <w:p w:rsidR="00B2161C" w:rsidRPr="004B2104" w:rsidRDefault="00B2161C" w:rsidP="00B2161C">
      <w:pPr>
        <w:pStyle w:val="GlanceYellowHeading"/>
        <w:shd w:val="clear" w:color="auto" w:fill="auto"/>
        <w:rPr>
          <w:sz w:val="52"/>
          <w:szCs w:val="52"/>
        </w:rPr>
      </w:pPr>
      <w:r>
        <w:rPr>
          <w:sz w:val="52"/>
          <w:szCs w:val="52"/>
        </w:rPr>
        <w:t xml:space="preserve">A total of </w:t>
      </w:r>
    </w:p>
    <w:p w:rsidR="00B2161C" w:rsidRPr="004B2104" w:rsidRDefault="00B2161C" w:rsidP="00B2161C">
      <w:pPr>
        <w:pStyle w:val="GlanceHeading"/>
      </w:pPr>
      <w:r>
        <w:t>36%</w:t>
      </w:r>
    </w:p>
    <w:p w:rsidR="00B2161C" w:rsidRDefault="00B2161C" w:rsidP="00B2161C">
      <w:pPr>
        <w:pStyle w:val="GlanceBody"/>
      </w:pPr>
      <w:r>
        <w:t>Of businesses had errors only relating to pay rates</w:t>
      </w:r>
    </w:p>
    <w:p w:rsidR="00BA24D7" w:rsidRPr="00BB59AA" w:rsidRDefault="004B2104" w:rsidP="00BA24D7">
      <w:pPr>
        <w:pStyle w:val="GlanceYellowHeading"/>
        <w:shd w:val="clear" w:color="auto" w:fill="auto"/>
      </w:pPr>
      <w:r w:rsidRPr="00A74DB5">
        <w:br w:type="column"/>
      </w:r>
      <w:r w:rsidR="00BA24D7" w:rsidRPr="004B2104">
        <w:lastRenderedPageBreak/>
        <w:t>Total of</w:t>
      </w:r>
    </w:p>
    <w:p w:rsidR="00BA24D7" w:rsidRPr="004B2104" w:rsidRDefault="00BA24D7" w:rsidP="00BA24D7">
      <w:pPr>
        <w:pStyle w:val="GlanceHeading"/>
      </w:pPr>
      <w:r>
        <w:t>4,561</w:t>
      </w:r>
    </w:p>
    <w:p w:rsidR="00BB59AA" w:rsidRDefault="00BA24D7" w:rsidP="00BA24D7">
      <w:pPr>
        <w:pStyle w:val="GlanceBody"/>
      </w:pPr>
      <w:r>
        <w:t>Complaints received from the Hospitality Industry in the 2010/11 Financial Year.</w:t>
      </w:r>
    </w:p>
    <w:p w:rsidR="00DE3F5C" w:rsidRPr="00925B42" w:rsidRDefault="00DE3F5C" w:rsidP="00321118">
      <w:pPr>
        <w:pStyle w:val="GlanceBody"/>
      </w:pPr>
    </w:p>
    <w:p w:rsidR="00BA24D7" w:rsidRPr="004B2104" w:rsidRDefault="00BA24D7" w:rsidP="00BA24D7">
      <w:pPr>
        <w:pStyle w:val="GlanceYellowHeading"/>
        <w:shd w:val="clear" w:color="auto" w:fill="auto"/>
        <w:rPr>
          <w:sz w:val="52"/>
          <w:szCs w:val="52"/>
        </w:rPr>
      </w:pPr>
      <w:r>
        <w:rPr>
          <w:sz w:val="52"/>
          <w:szCs w:val="52"/>
        </w:rPr>
        <w:t>A total of</w:t>
      </w:r>
    </w:p>
    <w:p w:rsidR="00BA24D7" w:rsidRPr="004B2104" w:rsidRDefault="00BA24D7" w:rsidP="00BA24D7">
      <w:pPr>
        <w:pStyle w:val="GlanceHeading"/>
      </w:pPr>
      <w:r>
        <w:t>12%</w:t>
      </w:r>
    </w:p>
    <w:p w:rsidR="00BA24D7" w:rsidRDefault="00BA24D7" w:rsidP="00BA24D7">
      <w:pPr>
        <w:pStyle w:val="GlanceBody"/>
        <w:pBdr>
          <w:bottom w:val="single" w:sz="2" w:space="31" w:color="BFBFBF" w:themeColor="background1" w:themeShade="BF"/>
        </w:pBdr>
      </w:pPr>
      <w:r>
        <w:t>Of businesses had errors only relating to record keeping and payslips</w:t>
      </w:r>
    </w:p>
    <w:p w:rsidR="00DE3F5C" w:rsidRPr="00DE3F5C" w:rsidRDefault="00DE3F5C" w:rsidP="00BA24D7">
      <w:pPr>
        <w:pStyle w:val="GlanceBody"/>
        <w:pBdr>
          <w:bottom w:val="single" w:sz="2" w:space="31" w:color="BFBFBF" w:themeColor="background1" w:themeShade="BF"/>
        </w:pBdr>
        <w:rPr>
          <w:sz w:val="16"/>
          <w:szCs w:val="16"/>
        </w:rPr>
      </w:pPr>
    </w:p>
    <w:p w:rsidR="00DE3F5C" w:rsidRDefault="00DE3F5C" w:rsidP="00321118">
      <w:pPr>
        <w:pStyle w:val="GlanceBody"/>
        <w:sectPr w:rsidR="00DE3F5C" w:rsidSect="00CF3B06">
          <w:type w:val="continuous"/>
          <w:pgSz w:w="11907" w:h="16840" w:code="9"/>
          <w:pgMar w:top="1276" w:right="992" w:bottom="1440" w:left="1276" w:header="0" w:footer="850" w:gutter="0"/>
          <w:pgNumType w:start="1"/>
          <w:cols w:num="3" w:space="720"/>
          <w:titlePg/>
          <w:docGrid w:linePitch="326"/>
        </w:sectPr>
      </w:pPr>
    </w:p>
    <w:p w:rsidR="004B2104" w:rsidRPr="00205DBE" w:rsidRDefault="004B2104" w:rsidP="00321118">
      <w:r>
        <w:lastRenderedPageBreak/>
        <w:br w:type="page"/>
      </w:r>
    </w:p>
    <w:p w:rsidR="004B2104" w:rsidRPr="004B2104" w:rsidRDefault="00205DBE" w:rsidP="00F73B24">
      <w:pPr>
        <w:pStyle w:val="Heading1"/>
      </w:pPr>
      <w:bookmarkStart w:id="5" w:name="_Toc410822201"/>
      <w:bookmarkStart w:id="6" w:name="_Toc422387886"/>
      <w:r>
        <w:lastRenderedPageBreak/>
        <w:t xml:space="preserve">About </w:t>
      </w:r>
      <w:r w:rsidR="00D41C48">
        <w:t xml:space="preserve">the </w:t>
      </w:r>
      <w:r>
        <w:t>Campaign</w:t>
      </w:r>
      <w:bookmarkEnd w:id="5"/>
      <w:bookmarkEnd w:id="6"/>
    </w:p>
    <w:p w:rsidR="00737568" w:rsidRPr="00737568" w:rsidRDefault="00737568" w:rsidP="00F73B24">
      <w:pPr>
        <w:pStyle w:val="Bullet"/>
      </w:pPr>
      <w:r w:rsidRPr="00737568">
        <w:t>The National Hospitality Industry Campaign 2012 - 201</w:t>
      </w:r>
      <w:r w:rsidR="009250C6">
        <w:t>4</w:t>
      </w:r>
      <w:r w:rsidRPr="00737568">
        <w:t xml:space="preserve"> was developed in response to a number of factors in the hospitality </w:t>
      </w:r>
      <w:r w:rsidR="00230A84">
        <w:t>i</w:t>
      </w:r>
      <w:r w:rsidRPr="00737568">
        <w:t>ndustry, namely the</w:t>
      </w:r>
      <w:r w:rsidR="00B00DFD">
        <w:t>:</w:t>
      </w:r>
    </w:p>
    <w:p w:rsidR="00737568" w:rsidRPr="00D41C48" w:rsidRDefault="00F73B24" w:rsidP="00F73B24">
      <w:pPr>
        <w:pStyle w:val="Bullet"/>
        <w:numPr>
          <w:ilvl w:val="0"/>
          <w:numId w:val="37"/>
        </w:numPr>
      </w:pPr>
      <w:r>
        <w:t>l</w:t>
      </w:r>
      <w:r w:rsidR="00737568" w:rsidRPr="00D41C48">
        <w:t xml:space="preserve">arge </w:t>
      </w:r>
      <w:r w:rsidR="00DE3F5C">
        <w:t>s</w:t>
      </w:r>
      <w:r w:rsidR="00737568" w:rsidRPr="00D41C48">
        <w:t>ize</w:t>
      </w:r>
      <w:r>
        <w:t xml:space="preserve"> of the </w:t>
      </w:r>
      <w:r w:rsidR="00BA24D7">
        <w:t>industry</w:t>
      </w:r>
      <w:r w:rsidR="00737568" w:rsidRPr="00D41C48">
        <w:t>;</w:t>
      </w:r>
    </w:p>
    <w:p w:rsidR="00737568" w:rsidRPr="00D41C48" w:rsidRDefault="00F73B24" w:rsidP="00F73B24">
      <w:pPr>
        <w:pStyle w:val="Bullet"/>
        <w:numPr>
          <w:ilvl w:val="0"/>
          <w:numId w:val="37"/>
        </w:numPr>
      </w:pPr>
      <w:r>
        <w:t>h</w:t>
      </w:r>
      <w:r w:rsidR="00737568" w:rsidRPr="00D41C48">
        <w:t xml:space="preserve">igh </w:t>
      </w:r>
      <w:r w:rsidR="00DE3F5C">
        <w:t>c</w:t>
      </w:r>
      <w:r w:rsidR="00737568" w:rsidRPr="00D41C48">
        <w:t xml:space="preserve">ontravention </w:t>
      </w:r>
      <w:r w:rsidR="00DE3F5C">
        <w:t>r</w:t>
      </w:r>
      <w:r w:rsidR="00737568" w:rsidRPr="00D41C48">
        <w:t>ates (both through complaints and previous campaigns);</w:t>
      </w:r>
    </w:p>
    <w:p w:rsidR="00737568" w:rsidRPr="00D41C48" w:rsidRDefault="00F73B24" w:rsidP="00F73B24">
      <w:pPr>
        <w:pStyle w:val="Bullet"/>
        <w:numPr>
          <w:ilvl w:val="0"/>
          <w:numId w:val="37"/>
        </w:numPr>
      </w:pPr>
      <w:r>
        <w:t>h</w:t>
      </w:r>
      <w:r w:rsidR="00737568" w:rsidRPr="00D41C48">
        <w:t xml:space="preserve">igh levels of </w:t>
      </w:r>
      <w:r w:rsidR="00473E99">
        <w:t xml:space="preserve">young workers and workers from </w:t>
      </w:r>
      <w:r w:rsidR="00BA24D7">
        <w:t>Culturally and Linguistically Diverse (</w:t>
      </w:r>
      <w:proofErr w:type="spellStart"/>
      <w:r w:rsidR="00473E99">
        <w:t>CALD</w:t>
      </w:r>
      <w:proofErr w:type="spellEnd"/>
      <w:r w:rsidR="00BA24D7">
        <w:t>)</w:t>
      </w:r>
      <w:r w:rsidR="00473E99">
        <w:t xml:space="preserve"> backgrounds</w:t>
      </w:r>
    </w:p>
    <w:p w:rsidR="00737568" w:rsidRPr="00D41C48" w:rsidRDefault="00F73B24" w:rsidP="00F73B24">
      <w:pPr>
        <w:pStyle w:val="Bullet"/>
        <w:numPr>
          <w:ilvl w:val="0"/>
          <w:numId w:val="37"/>
        </w:numPr>
      </w:pPr>
      <w:r>
        <w:t>h</w:t>
      </w:r>
      <w:r w:rsidR="00737568" w:rsidRPr="00D41C48">
        <w:t>igh volume of calls through the Fair Work Infoline; and</w:t>
      </w:r>
    </w:p>
    <w:p w:rsidR="00737568" w:rsidRPr="00D41C48" w:rsidRDefault="00737568" w:rsidP="00F73B24">
      <w:pPr>
        <w:pStyle w:val="Bullet"/>
        <w:numPr>
          <w:ilvl w:val="0"/>
          <w:numId w:val="37"/>
        </w:numPr>
      </w:pPr>
      <w:proofErr w:type="gramStart"/>
      <w:r w:rsidRPr="00D41C48">
        <w:t>history</w:t>
      </w:r>
      <w:proofErr w:type="gramEnd"/>
      <w:r w:rsidRPr="00D41C48">
        <w:t xml:space="preserve"> of legal proceedings against businesses in the </w:t>
      </w:r>
      <w:r w:rsidR="00B00DFD">
        <w:t>h</w:t>
      </w:r>
      <w:r w:rsidRPr="00D41C48">
        <w:t xml:space="preserve">ospitality </w:t>
      </w:r>
      <w:r w:rsidR="00DE3F5C">
        <w:t>i</w:t>
      </w:r>
      <w:r w:rsidRPr="00D41C48">
        <w:t>ndustry for breaching workplace laws.</w:t>
      </w:r>
    </w:p>
    <w:p w:rsidR="00737568" w:rsidRPr="00737568" w:rsidRDefault="00737568" w:rsidP="00F73B24">
      <w:pPr>
        <w:pStyle w:val="Bullet"/>
      </w:pPr>
      <w:r w:rsidRPr="00737568">
        <w:t xml:space="preserve">Given the size of the </w:t>
      </w:r>
      <w:r w:rsidR="00DE3F5C">
        <w:t>h</w:t>
      </w:r>
      <w:r w:rsidRPr="00737568">
        <w:t xml:space="preserve">ospitality industry, the National </w:t>
      </w:r>
      <w:r w:rsidR="00DE3F5C">
        <w:t>H</w:t>
      </w:r>
      <w:r w:rsidRPr="00737568">
        <w:t>ospitality Industry campaign was split into three specific industry sub-categories, namely</w:t>
      </w:r>
      <w:r w:rsidR="00B00DFD">
        <w:t>:</w:t>
      </w:r>
    </w:p>
    <w:p w:rsidR="00737568" w:rsidRPr="00D41C48" w:rsidRDefault="00737568" w:rsidP="00F73B24">
      <w:pPr>
        <w:pStyle w:val="Bullet"/>
        <w:numPr>
          <w:ilvl w:val="0"/>
          <w:numId w:val="36"/>
        </w:numPr>
      </w:pPr>
      <w:r w:rsidRPr="00D41C48">
        <w:t>Wave 1: Accommodation/Taverns &amp; Bars;</w:t>
      </w:r>
    </w:p>
    <w:p w:rsidR="00414F91" w:rsidRPr="00D41C48" w:rsidRDefault="00737568" w:rsidP="00F73B24">
      <w:pPr>
        <w:pStyle w:val="Bullet"/>
        <w:numPr>
          <w:ilvl w:val="0"/>
          <w:numId w:val="36"/>
        </w:numPr>
      </w:pPr>
      <w:r w:rsidRPr="00D41C48">
        <w:t>Wave 2: Restaurants, Café’s and Catering; and</w:t>
      </w:r>
    </w:p>
    <w:p w:rsidR="00737568" w:rsidRPr="00D41C48" w:rsidRDefault="00737568" w:rsidP="00F73B24">
      <w:pPr>
        <w:pStyle w:val="Bullet"/>
        <w:numPr>
          <w:ilvl w:val="0"/>
          <w:numId w:val="36"/>
        </w:numPr>
      </w:pPr>
      <w:r w:rsidRPr="00D41C48">
        <w:t>Wave 3: Takeaway Foods.</w:t>
      </w:r>
    </w:p>
    <w:p w:rsidR="00737568" w:rsidRPr="00737568" w:rsidRDefault="00737568" w:rsidP="00F73B24">
      <w:pPr>
        <w:pStyle w:val="Bullet"/>
      </w:pPr>
      <w:r w:rsidRPr="00737568">
        <w:t>Wave 1 of the National Hospitality Industry Campaign (Accommodation/Taverns &amp; Bars) was conducted during 2012</w:t>
      </w:r>
      <w:r w:rsidR="00732BCD">
        <w:t>/13</w:t>
      </w:r>
      <w:r w:rsidRPr="00737568">
        <w:t xml:space="preserve"> and involved an audit of time and wages records of 750 businesses, finding 515 (69%) employers compliant; and 235 (31%) employers </w:t>
      </w:r>
      <w:r>
        <w:t>with</w:t>
      </w:r>
      <w:r w:rsidRPr="00737568">
        <w:t xml:space="preserve"> </w:t>
      </w:r>
      <w:r w:rsidR="00473E99">
        <w:t>errors</w:t>
      </w:r>
      <w:r w:rsidRPr="00737568">
        <w:t xml:space="preserve">. </w:t>
      </w:r>
      <w:r w:rsidR="00DE3F5C">
        <w:t>A</w:t>
      </w:r>
      <w:r w:rsidRPr="00737568">
        <w:t xml:space="preserve"> total of $367,115</w:t>
      </w:r>
      <w:r w:rsidR="00DE3F5C">
        <w:t xml:space="preserve"> was recovered</w:t>
      </w:r>
      <w:r w:rsidRPr="00737568">
        <w:t xml:space="preserve"> on behalf of 629 employees. Further information </w:t>
      </w:r>
      <w:r>
        <w:t xml:space="preserve">on this campaign </w:t>
      </w:r>
      <w:r w:rsidRPr="00737568">
        <w:t xml:space="preserve">is available at </w:t>
      </w:r>
      <w:r w:rsidRPr="002C7F7C">
        <w:rPr>
          <w:rFonts w:eastAsia="Times New Roman" w:cstheme="minorHAnsi"/>
        </w:rPr>
        <w:t>www.fairwork.gov.au/hospitality</w:t>
      </w:r>
      <w:r w:rsidR="002C7F7C">
        <w:t>.</w:t>
      </w:r>
    </w:p>
    <w:p w:rsidR="00737568" w:rsidRPr="00737568" w:rsidRDefault="00737568" w:rsidP="00F73B24">
      <w:pPr>
        <w:pStyle w:val="Bullet"/>
      </w:pPr>
      <w:r w:rsidRPr="00737568">
        <w:t>The results and findings of Wave 2 of the National Hospitality I</w:t>
      </w:r>
      <w:r>
        <w:t>ndustry Campaign</w:t>
      </w:r>
      <w:r w:rsidR="00DE3F5C">
        <w:t xml:space="preserve"> - </w:t>
      </w:r>
      <w:r>
        <w:t>Restaurant’s</w:t>
      </w:r>
      <w:r w:rsidR="00DE3F5C">
        <w:t xml:space="preserve"> Café’s and Catering</w:t>
      </w:r>
      <w:r w:rsidRPr="00737568">
        <w:t xml:space="preserve"> </w:t>
      </w:r>
      <w:r w:rsidR="00DE3F5C">
        <w:t xml:space="preserve">(the Campaign) </w:t>
      </w:r>
      <w:r w:rsidRPr="00737568">
        <w:t>are detailed in this report</w:t>
      </w:r>
      <w:r w:rsidR="00DE3F5C">
        <w:t xml:space="preserve">. </w:t>
      </w:r>
    </w:p>
    <w:p w:rsidR="009629F3" w:rsidRDefault="00205DBE" w:rsidP="00F73B24">
      <w:pPr>
        <w:pStyle w:val="Heading1"/>
      </w:pPr>
      <w:bookmarkStart w:id="7" w:name="_Toc410822202"/>
      <w:bookmarkStart w:id="8" w:name="_Toc422387887"/>
      <w:r>
        <w:t>Outcomes at a Glance</w:t>
      </w:r>
      <w:bookmarkEnd w:id="7"/>
      <w:bookmarkEnd w:id="8"/>
    </w:p>
    <w:p w:rsidR="00737568" w:rsidRPr="00737568" w:rsidRDefault="00737568" w:rsidP="00F73B24">
      <w:pPr>
        <w:pStyle w:val="Bullet"/>
      </w:pPr>
      <w:r w:rsidRPr="00737568">
        <w:t>To maximise awareness of the campaign and encourage greater compliance within the industry the Campaign was undertaken in two stages</w:t>
      </w:r>
      <w:r w:rsidR="00B00DFD">
        <w:t>:</w:t>
      </w:r>
      <w:r w:rsidR="00D65CA9">
        <w:t xml:space="preserve"> </w:t>
      </w:r>
    </w:p>
    <w:p w:rsidR="00737568" w:rsidRPr="00D41C48" w:rsidRDefault="00F73B24" w:rsidP="00F73B24">
      <w:pPr>
        <w:pStyle w:val="Bullet"/>
        <w:numPr>
          <w:ilvl w:val="0"/>
          <w:numId w:val="38"/>
        </w:numPr>
      </w:pPr>
      <w:r>
        <w:t>c</w:t>
      </w:r>
      <w:r w:rsidR="00DE3F5C">
        <w:t>ommunication and public a</w:t>
      </w:r>
      <w:r w:rsidR="00737568" w:rsidRPr="00D41C48">
        <w:t>wareness; and</w:t>
      </w:r>
    </w:p>
    <w:p w:rsidR="00737568" w:rsidRPr="00D41C48" w:rsidRDefault="00B00DFD" w:rsidP="00F73B24">
      <w:pPr>
        <w:pStyle w:val="Bullet"/>
        <w:numPr>
          <w:ilvl w:val="0"/>
          <w:numId w:val="38"/>
        </w:numPr>
      </w:pPr>
      <w:proofErr w:type="gramStart"/>
      <w:r>
        <w:t>an</w:t>
      </w:r>
      <w:proofErr w:type="gramEnd"/>
      <w:r w:rsidR="00473E99">
        <w:t xml:space="preserve"> </w:t>
      </w:r>
      <w:r w:rsidR="00DE3F5C">
        <w:t>a</w:t>
      </w:r>
      <w:r w:rsidR="00737568" w:rsidRPr="00D41C48">
        <w:t>udit</w:t>
      </w:r>
      <w:r>
        <w:t xml:space="preserve"> of pay and conditions</w:t>
      </w:r>
      <w:r w:rsidR="00737568" w:rsidRPr="00D41C48">
        <w:t xml:space="preserve">. </w:t>
      </w:r>
    </w:p>
    <w:p w:rsidR="00DE3F5C" w:rsidRDefault="00177C09" w:rsidP="00F73B24">
      <w:pPr>
        <w:pStyle w:val="Bullet"/>
      </w:pPr>
      <w:r>
        <w:t xml:space="preserve">During </w:t>
      </w:r>
      <w:r w:rsidR="00DE3F5C">
        <w:t>the Campaign</w:t>
      </w:r>
      <w:r w:rsidR="00737568" w:rsidRPr="00737568">
        <w:t xml:space="preserve"> </w:t>
      </w:r>
      <w:r w:rsidR="00953E6C">
        <w:t>1,066 businesses</w:t>
      </w:r>
      <w:r>
        <w:t xml:space="preserve"> were audited for compliance with wages and record keeping obligations</w:t>
      </w:r>
      <w:r w:rsidR="00DE3F5C">
        <w:t xml:space="preserve">. Of these </w:t>
      </w:r>
      <w:r w:rsidR="00737568" w:rsidRPr="00D41C48">
        <w:t xml:space="preserve">451 (42%) </w:t>
      </w:r>
      <w:r w:rsidR="00DE3F5C">
        <w:t xml:space="preserve">were </w:t>
      </w:r>
      <w:r w:rsidR="00737568" w:rsidRPr="00D41C48">
        <w:t>c</w:t>
      </w:r>
      <w:r w:rsidR="005944D8">
        <w:t xml:space="preserve">ompliant </w:t>
      </w:r>
      <w:r w:rsidR="00DE3F5C">
        <w:t xml:space="preserve">and </w:t>
      </w:r>
      <w:r w:rsidR="00737568" w:rsidRPr="00D41C48">
        <w:t xml:space="preserve">615 (58%) of businesses </w:t>
      </w:r>
      <w:r w:rsidR="00953E6C">
        <w:t>had</w:t>
      </w:r>
      <w:r w:rsidR="00737568" w:rsidRPr="00D41C48">
        <w:t xml:space="preserve"> </w:t>
      </w:r>
      <w:r>
        <w:t xml:space="preserve">not met all of their workplace relations </w:t>
      </w:r>
      <w:r w:rsidR="00BA24D7">
        <w:t>obligations</w:t>
      </w:r>
      <w:r w:rsidR="00DE3F5C">
        <w:t xml:space="preserve">. </w:t>
      </w:r>
      <w:r w:rsidR="00DE3F5C" w:rsidRPr="004B2104">
        <w:t xml:space="preserve">The majority of </w:t>
      </w:r>
      <w:r w:rsidR="00473E99">
        <w:t xml:space="preserve">errors </w:t>
      </w:r>
      <w:r w:rsidR="00DE3F5C">
        <w:t>identified related to wage</w:t>
      </w:r>
      <w:r w:rsidR="00DE3F5C" w:rsidRPr="004B2104">
        <w:t xml:space="preserve"> entitlements</w:t>
      </w:r>
      <w:r w:rsidR="00DE3F5C">
        <w:t>.</w:t>
      </w:r>
    </w:p>
    <w:p w:rsidR="00F73B24" w:rsidRDefault="00F73B24">
      <w:pPr>
        <w:spacing w:after="0" w:line="240" w:lineRule="auto"/>
        <w:jc w:val="left"/>
      </w:pPr>
      <w:r>
        <w:br w:type="page"/>
      </w:r>
    </w:p>
    <w:p w:rsidR="00737568" w:rsidRPr="00D41C48" w:rsidRDefault="00DE3F5C" w:rsidP="00177C09">
      <w:pPr>
        <w:jc w:val="left"/>
      </w:pPr>
      <w:r>
        <w:lastRenderedPageBreak/>
        <w:t>The outcomes of the C</w:t>
      </w:r>
      <w:r w:rsidRPr="004B2104">
        <w:t>ampaign were:</w:t>
      </w:r>
    </w:p>
    <w:p w:rsidR="00737568" w:rsidRPr="00D41C48" w:rsidRDefault="00737568" w:rsidP="00F73B24">
      <w:pPr>
        <w:pStyle w:val="Bullet"/>
        <w:numPr>
          <w:ilvl w:val="0"/>
          <w:numId w:val="39"/>
        </w:numPr>
      </w:pPr>
      <w:r w:rsidRPr="00D41C48">
        <w:t xml:space="preserve">$1,215,212 </w:t>
      </w:r>
      <w:r w:rsidR="00DE3F5C">
        <w:t xml:space="preserve">in underpayments recovered </w:t>
      </w:r>
      <w:r w:rsidRPr="00D41C48">
        <w:t xml:space="preserve">from 456 businesses on behalf of 2,752 employees </w:t>
      </w:r>
    </w:p>
    <w:p w:rsidR="00737568" w:rsidRPr="00D41C48" w:rsidRDefault="00177C09" w:rsidP="00F73B24">
      <w:pPr>
        <w:pStyle w:val="Bullet"/>
        <w:numPr>
          <w:ilvl w:val="0"/>
          <w:numId w:val="39"/>
        </w:numPr>
      </w:pPr>
      <w:r>
        <w:t xml:space="preserve">2 </w:t>
      </w:r>
      <w:r w:rsidR="00737568" w:rsidRPr="00D41C48">
        <w:t>letters of caution issued; and</w:t>
      </w:r>
    </w:p>
    <w:p w:rsidR="00737568" w:rsidRPr="00D41C48" w:rsidRDefault="00177C09" w:rsidP="00F73B24">
      <w:pPr>
        <w:pStyle w:val="Bullet"/>
        <w:numPr>
          <w:ilvl w:val="0"/>
          <w:numId w:val="39"/>
        </w:numPr>
      </w:pPr>
      <w:r>
        <w:t>2</w:t>
      </w:r>
      <w:r w:rsidR="00737568" w:rsidRPr="00D41C48">
        <w:t xml:space="preserve"> </w:t>
      </w:r>
      <w:r w:rsidR="00DE3F5C">
        <w:t>i</w:t>
      </w:r>
      <w:r w:rsidR="00737568" w:rsidRPr="00D41C48">
        <w:t>nfringement notices issued.</w:t>
      </w:r>
    </w:p>
    <w:p w:rsidR="004B2104" w:rsidRPr="004B2104" w:rsidRDefault="00CF3B06" w:rsidP="00F73B24">
      <w:pPr>
        <w:pStyle w:val="Heading1"/>
      </w:pPr>
      <w:bookmarkStart w:id="9" w:name="_Toc410822203"/>
      <w:bookmarkStart w:id="10" w:name="_Toc422387888"/>
      <w:r>
        <w:t>I</w:t>
      </w:r>
      <w:r w:rsidR="00205DBE">
        <w:t>ndustry Profile</w:t>
      </w:r>
      <w:bookmarkEnd w:id="9"/>
      <w:bookmarkEnd w:id="10"/>
      <w:r w:rsidR="00205DBE">
        <w:t xml:space="preserve"> </w:t>
      </w:r>
    </w:p>
    <w:p w:rsidR="00737568" w:rsidRPr="00737568" w:rsidRDefault="00321118" w:rsidP="00F73B24">
      <w:pPr>
        <w:pStyle w:val="Bullet"/>
      </w:pPr>
      <w:r>
        <w:t xml:space="preserve">In preparation for this campaign, we analysed several sources of data relevant at the time. </w:t>
      </w:r>
      <w:r w:rsidR="00737568" w:rsidRPr="00737568">
        <w:t>According to the Australian Business Register (ABR)</w:t>
      </w:r>
      <w:r w:rsidR="00B00DFD">
        <w:t>,</w:t>
      </w:r>
      <w:r w:rsidR="00177C09">
        <w:t xml:space="preserve"> in</w:t>
      </w:r>
      <w:r w:rsidR="00737568" w:rsidRPr="00737568">
        <w:t xml:space="preserve"> May 2011 there </w:t>
      </w:r>
      <w:r w:rsidR="00177C09">
        <w:t>were</w:t>
      </w:r>
      <w:r w:rsidR="00737568" w:rsidRPr="00737568">
        <w:t xml:space="preserve"> approximately 41,000 employing entities in the Café’s, Restaurants and Catering </w:t>
      </w:r>
      <w:r w:rsidR="00177C09">
        <w:t>industry</w:t>
      </w:r>
      <w:r w:rsidR="00732BCD">
        <w:t xml:space="preserve">, with the majority </w:t>
      </w:r>
      <w:r w:rsidR="00F42FF2">
        <w:t xml:space="preserve">of businesses </w:t>
      </w:r>
      <w:r w:rsidR="00732BCD">
        <w:t>located in NSW, Victoria and Queensland</w:t>
      </w:r>
      <w:r w:rsidR="00737568" w:rsidRPr="00737568">
        <w:t xml:space="preserve">. </w:t>
      </w:r>
    </w:p>
    <w:p w:rsidR="004316A0" w:rsidRDefault="004316A0" w:rsidP="00F73B24">
      <w:pPr>
        <w:pStyle w:val="Bullet"/>
      </w:pPr>
      <w:r>
        <w:t xml:space="preserve">Overall, </w:t>
      </w:r>
      <w:r w:rsidR="00177C09">
        <w:t>d</w:t>
      </w:r>
      <w:r w:rsidRPr="00737568">
        <w:t xml:space="preserve">uring </w:t>
      </w:r>
      <w:r>
        <w:t xml:space="preserve">the </w:t>
      </w:r>
      <w:r w:rsidRPr="00737568">
        <w:t>2010-11 calendar years</w:t>
      </w:r>
      <w:r>
        <w:t xml:space="preserve">, 4,561 complaints </w:t>
      </w:r>
      <w:r w:rsidR="00F36E15">
        <w:t xml:space="preserve">were </w:t>
      </w:r>
      <w:r>
        <w:t xml:space="preserve">received from the </w:t>
      </w:r>
      <w:r w:rsidRPr="00737568">
        <w:t xml:space="preserve">Accommodation and Food Services </w:t>
      </w:r>
      <w:r w:rsidR="00177C09">
        <w:t>i</w:t>
      </w:r>
      <w:r w:rsidRPr="00737568">
        <w:t>ndustry</w:t>
      </w:r>
      <w:r w:rsidR="00737568" w:rsidRPr="00737568">
        <w:t>,</w:t>
      </w:r>
      <w:r>
        <w:t xml:space="preserve"> </w:t>
      </w:r>
      <w:r w:rsidR="00F36E15">
        <w:t xml:space="preserve">with </w:t>
      </w:r>
      <w:r w:rsidR="006B5245">
        <w:t xml:space="preserve">47% (2,141) </w:t>
      </w:r>
      <w:r>
        <w:t>from Cafés</w:t>
      </w:r>
      <w:r w:rsidR="00F36E15">
        <w:t xml:space="preserve"> and</w:t>
      </w:r>
      <w:r>
        <w:t xml:space="preserve"> </w:t>
      </w:r>
      <w:r w:rsidR="006B5245" w:rsidRPr="00737568">
        <w:t xml:space="preserve">Restaurants </w:t>
      </w:r>
      <w:r w:rsidR="006B5245">
        <w:t xml:space="preserve">(1,938) </w:t>
      </w:r>
      <w:r w:rsidR="006B5245" w:rsidRPr="00737568">
        <w:t xml:space="preserve">and </w:t>
      </w:r>
      <w:r w:rsidR="006B5245">
        <w:t>Catering Services (203).</w:t>
      </w:r>
      <w:r>
        <w:t xml:space="preserve"> </w:t>
      </w:r>
    </w:p>
    <w:p w:rsidR="006B5245" w:rsidRDefault="00EB6CAE" w:rsidP="00F73B24">
      <w:pPr>
        <w:pStyle w:val="Bullet"/>
      </w:pPr>
      <w:r>
        <w:t xml:space="preserve">Of </w:t>
      </w:r>
      <w:r w:rsidR="00F36E15">
        <w:t xml:space="preserve">the </w:t>
      </w:r>
      <w:r w:rsidR="004316A0">
        <w:t>complaints received from the Cafe’s &amp;</w:t>
      </w:r>
      <w:r w:rsidR="004316A0" w:rsidRPr="00737568">
        <w:t xml:space="preserve"> Restaurants</w:t>
      </w:r>
      <w:r w:rsidR="004316A0">
        <w:t xml:space="preserve"> sector, 59% (1,143) had monetary </w:t>
      </w:r>
      <w:r w:rsidR="00473E99">
        <w:t xml:space="preserve">errors </w:t>
      </w:r>
      <w:r w:rsidR="004316A0">
        <w:t xml:space="preserve">and </w:t>
      </w:r>
      <w:r w:rsidR="006B5245">
        <w:t xml:space="preserve">42% (814) were from vulnerable employees. </w:t>
      </w:r>
      <w:r w:rsidR="00F36E15">
        <w:t>In the</w:t>
      </w:r>
      <w:r w:rsidR="004316A0">
        <w:t xml:space="preserve"> Catering Services </w:t>
      </w:r>
      <w:r>
        <w:t>sector</w:t>
      </w:r>
      <w:r w:rsidR="004316A0">
        <w:t xml:space="preserve">, </w:t>
      </w:r>
      <w:r w:rsidR="006B5245">
        <w:t xml:space="preserve">64% (130) </w:t>
      </w:r>
      <w:r w:rsidR="004316A0">
        <w:t xml:space="preserve">had </w:t>
      </w:r>
      <w:r w:rsidR="006B5245">
        <w:t xml:space="preserve">monetary </w:t>
      </w:r>
      <w:r w:rsidR="00473E99">
        <w:t xml:space="preserve">errors </w:t>
      </w:r>
      <w:r w:rsidR="006B5245">
        <w:t xml:space="preserve">and 26% (53) </w:t>
      </w:r>
      <w:r w:rsidR="004316A0">
        <w:t xml:space="preserve">were from vulnerable employees. Overall these sectors recorded a 59% (1,273/2,141) monetary </w:t>
      </w:r>
      <w:r w:rsidR="00473E99">
        <w:t xml:space="preserve">error </w:t>
      </w:r>
      <w:r w:rsidR="004316A0">
        <w:t>rate and a 40% (867) vulnerability rate.</w:t>
      </w:r>
    </w:p>
    <w:p w:rsidR="00473E99" w:rsidRDefault="00B00DFD" w:rsidP="00F73B24">
      <w:pPr>
        <w:pStyle w:val="Bullet"/>
      </w:pPr>
      <w:r>
        <w:t xml:space="preserve">FWO </w:t>
      </w:r>
      <w:r w:rsidR="00F36E15">
        <w:t>complaint data also shows, t</w:t>
      </w:r>
      <w:r w:rsidR="00737568" w:rsidRPr="00737568">
        <w:t xml:space="preserve">he </w:t>
      </w:r>
      <w:r w:rsidR="00EB6CAE">
        <w:t>m</w:t>
      </w:r>
      <w:r w:rsidR="00737568" w:rsidRPr="00737568">
        <w:t xml:space="preserve">edian age of employees within the Cafes, Restaurants and </w:t>
      </w:r>
      <w:r w:rsidR="00177C09">
        <w:t>Catering</w:t>
      </w:r>
      <w:r w:rsidR="00177C09" w:rsidRPr="00737568">
        <w:t xml:space="preserve"> </w:t>
      </w:r>
      <w:r w:rsidR="00737568" w:rsidRPr="00737568">
        <w:t xml:space="preserve">industries is 23, with the highest proportion </w:t>
      </w:r>
      <w:r w:rsidR="00732BCD">
        <w:t>being the</w:t>
      </w:r>
      <w:r w:rsidR="00737568" w:rsidRPr="00737568">
        <w:t xml:space="preserve"> 15-19 </w:t>
      </w:r>
      <w:r w:rsidR="00732BCD">
        <w:t xml:space="preserve">age </w:t>
      </w:r>
      <w:proofErr w:type="gramStart"/>
      <w:r w:rsidR="00732BCD">
        <w:t>group</w:t>
      </w:r>
      <w:proofErr w:type="gramEnd"/>
      <w:r w:rsidR="00732BCD">
        <w:t xml:space="preserve"> </w:t>
      </w:r>
      <w:r w:rsidR="00737568" w:rsidRPr="00737568">
        <w:t>(32% of employees)</w:t>
      </w:r>
      <w:r w:rsidR="00EB6CAE">
        <w:t>.</w:t>
      </w:r>
      <w:r w:rsidR="00737568" w:rsidRPr="00737568">
        <w:t xml:space="preserve"> </w:t>
      </w:r>
      <w:r w:rsidR="00EB6CAE">
        <w:t>H</w:t>
      </w:r>
      <w:r w:rsidR="00737568" w:rsidRPr="00737568">
        <w:t xml:space="preserve">owever, this age group had the lowest complaint rate (16%) indicating they may be hesitant </w:t>
      </w:r>
      <w:r w:rsidR="00177C09">
        <w:t>to</w:t>
      </w:r>
      <w:r w:rsidR="00BA24D7">
        <w:t xml:space="preserve"> seek help</w:t>
      </w:r>
      <w:r w:rsidR="00737568" w:rsidRPr="00737568">
        <w:t xml:space="preserve"> or unaware of their entitlements. </w:t>
      </w:r>
    </w:p>
    <w:p w:rsidR="00737568" w:rsidRPr="00737568" w:rsidRDefault="00737568" w:rsidP="00F73B24">
      <w:pPr>
        <w:pStyle w:val="Bullet"/>
      </w:pPr>
      <w:r w:rsidRPr="00737568">
        <w:t xml:space="preserve">The highest </w:t>
      </w:r>
      <w:proofErr w:type="gramStart"/>
      <w:r w:rsidRPr="00737568">
        <w:t>proportion of complaints (56%) were</w:t>
      </w:r>
      <w:proofErr w:type="gramEnd"/>
      <w:r w:rsidRPr="00737568">
        <w:t xml:space="preserve"> received from the 20-24 and 2</w:t>
      </w:r>
      <w:r w:rsidR="00732BCD">
        <w:t xml:space="preserve">5–34 age groups, who </w:t>
      </w:r>
      <w:r w:rsidRPr="00737568">
        <w:t xml:space="preserve">represent 39% of the total industry workforce. </w:t>
      </w:r>
      <w:r w:rsidR="00177C09">
        <w:t xml:space="preserve">In addition the </w:t>
      </w:r>
      <w:r w:rsidRPr="00737568">
        <w:t xml:space="preserve">ABS (May 2011) identified that the Accommodation and Food Services </w:t>
      </w:r>
      <w:r w:rsidR="00177C09">
        <w:t>i</w:t>
      </w:r>
      <w:r w:rsidRPr="00737568">
        <w:t xml:space="preserve">ndustry (as a whole) is dominated by low skilled workers with 60.7% having no </w:t>
      </w:r>
      <w:r w:rsidR="00BA24D7" w:rsidRPr="00737568">
        <w:t>post-</w:t>
      </w:r>
      <w:r w:rsidR="00BA24D7">
        <w:t>secondary</w:t>
      </w:r>
      <w:r w:rsidR="00177C09" w:rsidRPr="00737568">
        <w:t xml:space="preserve"> </w:t>
      </w:r>
      <w:r w:rsidRPr="00737568">
        <w:t>qualification, which in part, reflects the younger age profile across these sectors.</w:t>
      </w:r>
    </w:p>
    <w:p w:rsidR="00737568" w:rsidRDefault="00737568" w:rsidP="00F73B24">
      <w:pPr>
        <w:pStyle w:val="Heading1"/>
      </w:pPr>
      <w:bookmarkStart w:id="11" w:name="_Toc422387889"/>
      <w:bookmarkStart w:id="12" w:name="_Toc410822207"/>
      <w:r>
        <w:t>Communication and Public Awareness</w:t>
      </w:r>
      <w:bookmarkEnd w:id="11"/>
    </w:p>
    <w:p w:rsidR="005944D8" w:rsidRDefault="00B00DFD" w:rsidP="00F73B24">
      <w:pPr>
        <w:pStyle w:val="Bullet"/>
      </w:pPr>
      <w:r>
        <w:t xml:space="preserve">Several </w:t>
      </w:r>
      <w:r w:rsidR="00BA24D7">
        <w:t>activities</w:t>
      </w:r>
      <w:r>
        <w:t xml:space="preserve"> were undertaken to</w:t>
      </w:r>
      <w:r w:rsidR="00D65CA9" w:rsidRPr="005B53FA">
        <w:t xml:space="preserve"> promote </w:t>
      </w:r>
      <w:r w:rsidR="005944D8">
        <w:t>the campaign and</w:t>
      </w:r>
      <w:r>
        <w:t xml:space="preserve"> assist</w:t>
      </w:r>
      <w:r w:rsidR="00EB6CAE">
        <w:t xml:space="preserve"> employers</w:t>
      </w:r>
      <w:r w:rsidR="005944D8">
        <w:t xml:space="preserve"> </w:t>
      </w:r>
      <w:r>
        <w:t xml:space="preserve">to understand </w:t>
      </w:r>
      <w:r w:rsidR="00D65CA9" w:rsidRPr="005B53FA">
        <w:t xml:space="preserve">their </w:t>
      </w:r>
      <w:r w:rsidR="00EB6CAE">
        <w:t xml:space="preserve">workplace relations </w:t>
      </w:r>
      <w:r w:rsidR="00D65CA9" w:rsidRPr="005B53FA">
        <w:t>obligations prior to the</w:t>
      </w:r>
      <w:r w:rsidR="00473E99">
        <w:t>m</w:t>
      </w:r>
      <w:r w:rsidR="00D65CA9" w:rsidRPr="005B53FA">
        <w:t xml:space="preserve"> </w:t>
      </w:r>
      <w:r w:rsidR="00473E99">
        <w:t xml:space="preserve">being audited. </w:t>
      </w:r>
    </w:p>
    <w:p w:rsidR="004316A0" w:rsidRDefault="00D65CA9" w:rsidP="00F73B24">
      <w:pPr>
        <w:pStyle w:val="Bullet"/>
      </w:pPr>
      <w:r>
        <w:t>As part of the communication strategy for the wide</w:t>
      </w:r>
      <w:r w:rsidR="004C0C61">
        <w:t xml:space="preserve">r Hospitality Industry Campaign </w:t>
      </w:r>
      <w:r w:rsidRPr="00D65CA9">
        <w:t>we notified industry stakeholders of our intention to assess compliance within t</w:t>
      </w:r>
      <w:r w:rsidR="004316A0">
        <w:t>he cafes and restaurants sector</w:t>
      </w:r>
      <w:r w:rsidR="00EB6CAE">
        <w:t>.</w:t>
      </w:r>
      <w:r w:rsidRPr="00D65CA9">
        <w:t xml:space="preserve"> Stakeholders included:</w:t>
      </w:r>
    </w:p>
    <w:p w:rsidR="00D65CA9" w:rsidRPr="00D65CA9" w:rsidRDefault="00D65CA9" w:rsidP="00F73B24">
      <w:pPr>
        <w:pStyle w:val="Bullet"/>
        <w:numPr>
          <w:ilvl w:val="0"/>
          <w:numId w:val="41"/>
        </w:numPr>
      </w:pPr>
      <w:r w:rsidRPr="00D65CA9">
        <w:t>Restaurant and Catering Australia (RCA);</w:t>
      </w:r>
    </w:p>
    <w:p w:rsidR="00D65CA9" w:rsidRPr="00D65CA9" w:rsidRDefault="00D65CA9" w:rsidP="00F73B24">
      <w:pPr>
        <w:pStyle w:val="Bullet"/>
        <w:numPr>
          <w:ilvl w:val="0"/>
          <w:numId w:val="41"/>
        </w:numPr>
      </w:pPr>
      <w:r w:rsidRPr="00D65CA9">
        <w:t>United Voice;</w:t>
      </w:r>
    </w:p>
    <w:p w:rsidR="00D65CA9" w:rsidRPr="00D65CA9" w:rsidRDefault="00D65CA9" w:rsidP="00F73B24">
      <w:pPr>
        <w:pStyle w:val="Bullet"/>
        <w:numPr>
          <w:ilvl w:val="0"/>
          <w:numId w:val="41"/>
        </w:numPr>
      </w:pPr>
      <w:r w:rsidRPr="00D65CA9">
        <w:t>Franchise Council of Australia (</w:t>
      </w:r>
      <w:proofErr w:type="spellStart"/>
      <w:r w:rsidRPr="00D65CA9">
        <w:t>FCA</w:t>
      </w:r>
      <w:proofErr w:type="spellEnd"/>
      <w:r w:rsidRPr="00D65CA9">
        <w:t>);</w:t>
      </w:r>
    </w:p>
    <w:p w:rsidR="00D65CA9" w:rsidRPr="00D65CA9" w:rsidRDefault="00D65CA9" w:rsidP="00F73B24">
      <w:pPr>
        <w:pStyle w:val="Bullet"/>
        <w:numPr>
          <w:ilvl w:val="0"/>
          <w:numId w:val="41"/>
        </w:numPr>
      </w:pPr>
      <w:r w:rsidRPr="00D65CA9">
        <w:lastRenderedPageBreak/>
        <w:t>Shop Distributive and Allied Employees Association;</w:t>
      </w:r>
    </w:p>
    <w:p w:rsidR="00D65CA9" w:rsidRPr="00D65CA9" w:rsidRDefault="00D65CA9" w:rsidP="00F73B24">
      <w:pPr>
        <w:pStyle w:val="Bullet"/>
        <w:numPr>
          <w:ilvl w:val="0"/>
          <w:numId w:val="41"/>
        </w:numPr>
      </w:pPr>
      <w:r w:rsidRPr="00D65CA9">
        <w:t>Service Industry Legal Service (</w:t>
      </w:r>
      <w:proofErr w:type="spellStart"/>
      <w:r w:rsidRPr="00D65CA9">
        <w:t>SILS</w:t>
      </w:r>
      <w:proofErr w:type="spellEnd"/>
      <w:r w:rsidRPr="00D65CA9">
        <w:t>);</w:t>
      </w:r>
    </w:p>
    <w:p w:rsidR="00D65CA9" w:rsidRPr="00D65CA9" w:rsidRDefault="00D65CA9" w:rsidP="00F73B24">
      <w:pPr>
        <w:pStyle w:val="Bullet"/>
        <w:numPr>
          <w:ilvl w:val="0"/>
          <w:numId w:val="41"/>
        </w:numPr>
      </w:pPr>
      <w:r w:rsidRPr="00D65CA9">
        <w:t>Australian Culinary Association; and</w:t>
      </w:r>
    </w:p>
    <w:p w:rsidR="00D65CA9" w:rsidRPr="00D65CA9" w:rsidRDefault="00D65CA9" w:rsidP="00F73B24">
      <w:pPr>
        <w:pStyle w:val="Bullet"/>
        <w:numPr>
          <w:ilvl w:val="0"/>
          <w:numId w:val="41"/>
        </w:numPr>
      </w:pPr>
      <w:r w:rsidRPr="00D65CA9">
        <w:t>Japanese/Australian Catering and Restaurant Information Service (</w:t>
      </w:r>
      <w:proofErr w:type="spellStart"/>
      <w:r w:rsidRPr="00D65CA9">
        <w:t>JACRIS</w:t>
      </w:r>
      <w:proofErr w:type="spellEnd"/>
      <w:r w:rsidRPr="00D65CA9">
        <w:t>)</w:t>
      </w:r>
      <w:r w:rsidR="004C0C61">
        <w:t>.</w:t>
      </w:r>
    </w:p>
    <w:p w:rsidR="00177C09" w:rsidRPr="00D65CA9" w:rsidRDefault="00B00DFD" w:rsidP="00F73B24">
      <w:pPr>
        <w:pStyle w:val="Bullet"/>
      </w:pPr>
      <w:r>
        <w:t>Key issues were discussed with</w:t>
      </w:r>
      <w:r w:rsidR="00D65CA9" w:rsidRPr="00D65CA9">
        <w:t xml:space="preserve"> Restaurant and Catering Australia and</w:t>
      </w:r>
      <w:r w:rsidR="00D65CA9">
        <w:t xml:space="preserve"> </w:t>
      </w:r>
      <w:r>
        <w:t xml:space="preserve">the campaign was </w:t>
      </w:r>
      <w:r w:rsidR="00D65CA9" w:rsidRPr="00D65CA9">
        <w:t>co-</w:t>
      </w:r>
      <w:r w:rsidR="00BA24D7">
        <w:t>designed</w:t>
      </w:r>
      <w:r w:rsidR="00D65CA9" w:rsidRPr="00D65CA9">
        <w:t xml:space="preserve"> with them.</w:t>
      </w:r>
    </w:p>
    <w:p w:rsidR="005944D8" w:rsidRDefault="005B53FA" w:rsidP="00F73B24">
      <w:pPr>
        <w:pStyle w:val="Bullet"/>
      </w:pPr>
      <w:r w:rsidRPr="005B53FA">
        <w:t xml:space="preserve">52,789 employers </w:t>
      </w:r>
      <w:r w:rsidR="00B00DFD">
        <w:t xml:space="preserve">were contacted and </w:t>
      </w:r>
      <w:r w:rsidRPr="005B53FA">
        <w:t>advis</w:t>
      </w:r>
      <w:r w:rsidR="00B00DFD">
        <w:t>ed</w:t>
      </w:r>
      <w:r w:rsidRPr="005B53FA">
        <w:t xml:space="preserve"> </w:t>
      </w:r>
      <w:r w:rsidR="00B00DFD">
        <w:t>of</w:t>
      </w:r>
      <w:r w:rsidR="00BA24D7">
        <w:t xml:space="preserve"> </w:t>
      </w:r>
      <w:r w:rsidR="005944D8">
        <w:t>the</w:t>
      </w:r>
      <w:r w:rsidRPr="005B53FA">
        <w:t xml:space="preserve"> campaign</w:t>
      </w:r>
      <w:r w:rsidR="00B00DFD">
        <w:t>.</w:t>
      </w:r>
      <w:r w:rsidR="00BA24D7">
        <w:t xml:space="preserve"> </w:t>
      </w:r>
      <w:r w:rsidR="00B00DFD">
        <w:t>These employers were</w:t>
      </w:r>
      <w:r w:rsidRPr="005B53FA">
        <w:t xml:space="preserve"> direct</w:t>
      </w:r>
      <w:r w:rsidR="00B00DFD">
        <w:t>ed</w:t>
      </w:r>
      <w:r w:rsidRPr="005B53FA">
        <w:t xml:space="preserve"> to our </w:t>
      </w:r>
      <w:r w:rsidR="00BA24D7">
        <w:t>dedicated</w:t>
      </w:r>
      <w:r w:rsidR="00177C09" w:rsidRPr="005B53FA">
        <w:t xml:space="preserve"> </w:t>
      </w:r>
      <w:r w:rsidRPr="005B53FA">
        <w:t xml:space="preserve">web page </w:t>
      </w:r>
      <w:r w:rsidR="00B00DFD" w:rsidRPr="002C7F7C">
        <w:rPr>
          <w:rFonts w:eastAsia="Times New Roman" w:cstheme="minorHAnsi"/>
        </w:rPr>
        <w:t>www.fairwork.gov.au/hospitality</w:t>
      </w:r>
      <w:r w:rsidR="00EB6CAE">
        <w:rPr>
          <w:rStyle w:val="Hyperlink"/>
          <w:rFonts w:ascii="Helvetica" w:eastAsia="Times New Roman" w:hAnsi="Helvetica" w:cstheme="minorHAnsi"/>
          <w:color w:val="auto"/>
          <w:u w:val="none"/>
        </w:rPr>
        <w:t xml:space="preserve"> </w:t>
      </w:r>
      <w:r w:rsidR="00B00DFD">
        <w:rPr>
          <w:rStyle w:val="Hyperlink"/>
          <w:rFonts w:ascii="Helvetica" w:eastAsia="Times New Roman" w:hAnsi="Helvetica" w:cstheme="minorHAnsi"/>
          <w:color w:val="auto"/>
          <w:u w:val="none"/>
        </w:rPr>
        <w:t>and invited to attend</w:t>
      </w:r>
      <w:r w:rsidR="00473E99">
        <w:rPr>
          <w:rStyle w:val="Hyperlink"/>
          <w:rFonts w:ascii="Helvetica" w:eastAsia="Times New Roman" w:hAnsi="Helvetica" w:cstheme="minorHAnsi"/>
          <w:color w:val="auto"/>
          <w:u w:val="none"/>
        </w:rPr>
        <w:t xml:space="preserve"> an </w:t>
      </w:r>
      <w:r w:rsidRPr="005B53FA">
        <w:t xml:space="preserve">industry specific webinar </w:t>
      </w:r>
      <w:r w:rsidR="00F36E15">
        <w:t xml:space="preserve">held </w:t>
      </w:r>
      <w:r w:rsidRPr="005B53FA">
        <w:t>on 27 May 2014</w:t>
      </w:r>
      <w:r w:rsidR="00B00DFD">
        <w:t>.</w:t>
      </w:r>
    </w:p>
    <w:p w:rsidR="004C0C61" w:rsidRDefault="005B53FA" w:rsidP="00F73B24">
      <w:pPr>
        <w:pStyle w:val="Bullet"/>
      </w:pPr>
      <w:r w:rsidRPr="005B53FA">
        <w:t xml:space="preserve">The </w:t>
      </w:r>
      <w:r w:rsidR="00BA24D7">
        <w:t>campaign was also advertised through</w:t>
      </w:r>
      <w:r w:rsidRPr="005B53FA">
        <w:t xml:space="preserve"> a number of digital platforms</w:t>
      </w:r>
      <w:r w:rsidR="00EB6CAE">
        <w:t xml:space="preserve">, the full description and result can be viewed in Appendix A. </w:t>
      </w:r>
    </w:p>
    <w:p w:rsidR="00737568" w:rsidRDefault="00737568" w:rsidP="00F73B24">
      <w:pPr>
        <w:pStyle w:val="Heading1"/>
      </w:pPr>
      <w:bookmarkStart w:id="13" w:name="_Toc422387890"/>
      <w:r>
        <w:t>Wages Audit</w:t>
      </w:r>
      <w:bookmarkEnd w:id="13"/>
    </w:p>
    <w:p w:rsidR="003C0D10" w:rsidRDefault="005B53FA" w:rsidP="00F73B24">
      <w:pPr>
        <w:pStyle w:val="Bullet"/>
      </w:pPr>
      <w:r w:rsidRPr="005B53FA">
        <w:t xml:space="preserve">The wages audit component of </w:t>
      </w:r>
      <w:r w:rsidR="00732BCD">
        <w:t xml:space="preserve">the Campaign </w:t>
      </w:r>
      <w:r w:rsidRPr="005B53FA">
        <w:t xml:space="preserve">included audits for 1,066 businesses, assessing compliance with the </w:t>
      </w:r>
      <w:r w:rsidRPr="005B53FA">
        <w:rPr>
          <w:i/>
        </w:rPr>
        <w:t xml:space="preserve">Restaurant Industry Award 2010 </w:t>
      </w:r>
      <w:r w:rsidRPr="005B53FA">
        <w:t xml:space="preserve">(the award), the </w:t>
      </w:r>
      <w:r w:rsidRPr="005B53FA">
        <w:rPr>
          <w:i/>
        </w:rPr>
        <w:t>Fair Work Act 2009</w:t>
      </w:r>
      <w:r w:rsidRPr="005B53FA">
        <w:t xml:space="preserve"> (the Act) and the </w:t>
      </w:r>
      <w:r w:rsidRPr="005B53FA">
        <w:rPr>
          <w:i/>
        </w:rPr>
        <w:t>Fair Work Regulations</w:t>
      </w:r>
      <w:r w:rsidRPr="005B53FA">
        <w:t xml:space="preserve"> </w:t>
      </w:r>
      <w:r w:rsidRPr="005B53FA">
        <w:rPr>
          <w:i/>
        </w:rPr>
        <w:t>2009</w:t>
      </w:r>
      <w:r w:rsidRPr="005B53FA">
        <w:t xml:space="preserve"> (the Re</w:t>
      </w:r>
      <w:r w:rsidR="00732BCD">
        <w:t xml:space="preserve">gulations). </w:t>
      </w:r>
    </w:p>
    <w:p w:rsidR="004316A0" w:rsidRDefault="00732BCD" w:rsidP="00F73B24">
      <w:pPr>
        <w:pStyle w:val="Bullet"/>
      </w:pPr>
      <w:r>
        <w:t>From the 1</w:t>
      </w:r>
      <w:r w:rsidR="003B07DF">
        <w:t>,</w:t>
      </w:r>
      <w:r>
        <w:t>066 audit</w:t>
      </w:r>
      <w:r w:rsidR="00DB578B">
        <w:t>s completed, we found:</w:t>
      </w:r>
    </w:p>
    <w:p w:rsidR="005B53FA" w:rsidRPr="00D41C48" w:rsidRDefault="005B53FA" w:rsidP="00F73B24">
      <w:pPr>
        <w:pStyle w:val="Bullet"/>
        <w:numPr>
          <w:ilvl w:val="0"/>
          <w:numId w:val="12"/>
        </w:numPr>
      </w:pPr>
      <w:r w:rsidRPr="00D41C48">
        <w:t xml:space="preserve">451 (42%) of businesses </w:t>
      </w:r>
      <w:r w:rsidR="00DB578B">
        <w:t>compliant with all requirements</w:t>
      </w:r>
    </w:p>
    <w:p w:rsidR="005B53FA" w:rsidRPr="00D41C48" w:rsidRDefault="005B53FA" w:rsidP="00F73B24">
      <w:pPr>
        <w:pStyle w:val="Bullet"/>
        <w:numPr>
          <w:ilvl w:val="0"/>
          <w:numId w:val="12"/>
        </w:numPr>
      </w:pPr>
      <w:r w:rsidRPr="00D41C48">
        <w:t xml:space="preserve">615 (58%) of businesses with at least one </w:t>
      </w:r>
      <w:r w:rsidR="00473E99">
        <w:t>error</w:t>
      </w:r>
      <w:r w:rsidRPr="00D41C48">
        <w:t xml:space="preserve">, </w:t>
      </w:r>
      <w:r w:rsidR="00DB578B">
        <w:t>of which</w:t>
      </w:r>
    </w:p>
    <w:p w:rsidR="005B53FA" w:rsidRPr="00D41C48" w:rsidRDefault="005B53FA" w:rsidP="00F73B24">
      <w:pPr>
        <w:pStyle w:val="Bullet"/>
        <w:numPr>
          <w:ilvl w:val="1"/>
          <w:numId w:val="12"/>
        </w:numPr>
      </w:pPr>
      <w:r w:rsidRPr="00D41C48">
        <w:t xml:space="preserve">384 (36%) had </w:t>
      </w:r>
      <w:r w:rsidR="00473E99">
        <w:t>errors</w:t>
      </w:r>
      <w:r w:rsidR="00473E99" w:rsidRPr="00D41C48">
        <w:t xml:space="preserve"> </w:t>
      </w:r>
      <w:r w:rsidR="00DB578B">
        <w:t>relating to pay rates</w:t>
      </w:r>
    </w:p>
    <w:p w:rsidR="005B53FA" w:rsidRPr="00D41C48" w:rsidRDefault="005B53FA" w:rsidP="00F73B24">
      <w:pPr>
        <w:pStyle w:val="Bullet"/>
        <w:numPr>
          <w:ilvl w:val="1"/>
          <w:numId w:val="12"/>
        </w:numPr>
      </w:pPr>
      <w:r w:rsidRPr="00D41C48">
        <w:t xml:space="preserve">121 (12%) had </w:t>
      </w:r>
      <w:r w:rsidR="00473E99">
        <w:t>errors</w:t>
      </w:r>
      <w:r w:rsidR="00473E99" w:rsidRPr="00D41C48">
        <w:t xml:space="preserve"> </w:t>
      </w:r>
      <w:r w:rsidRPr="00D41C48">
        <w:t>relating to payslips</w:t>
      </w:r>
      <w:r w:rsidR="00EB6CAE">
        <w:t xml:space="preserve"> or </w:t>
      </w:r>
      <w:r w:rsidR="00953E6C" w:rsidRPr="00D41C48">
        <w:t>record</w:t>
      </w:r>
      <w:r w:rsidRPr="00D41C48">
        <w:t>-keeping; and</w:t>
      </w:r>
    </w:p>
    <w:p w:rsidR="00F73B24" w:rsidRDefault="005B53FA" w:rsidP="00F73B24">
      <w:pPr>
        <w:pStyle w:val="Bullet"/>
        <w:numPr>
          <w:ilvl w:val="1"/>
          <w:numId w:val="12"/>
        </w:numPr>
      </w:pPr>
      <w:r w:rsidRPr="00D41C48">
        <w:t xml:space="preserve">110 (10%) had </w:t>
      </w:r>
      <w:r w:rsidR="00EB6CAE">
        <w:t xml:space="preserve">both monetary and non-monetary </w:t>
      </w:r>
      <w:r w:rsidR="00473E99">
        <w:t>errors</w:t>
      </w:r>
    </w:p>
    <w:p w:rsidR="00D64958" w:rsidRPr="00D64958" w:rsidRDefault="005B53FA" w:rsidP="00D64958">
      <w:pPr>
        <w:pStyle w:val="Heading2"/>
      </w:pPr>
      <w:r w:rsidRPr="00953E6C">
        <w:t xml:space="preserve">Figure </w:t>
      </w:r>
      <w:r w:rsidR="00953E6C" w:rsidRPr="00953E6C">
        <w:t>2</w:t>
      </w:r>
      <w:r w:rsidR="00D64958">
        <w:t xml:space="preserve"> – Campaign compliance rates</w:t>
      </w:r>
    </w:p>
    <w:p w:rsidR="00D64958" w:rsidRDefault="00D64958" w:rsidP="00D64958">
      <w:pPr>
        <w:spacing w:before="120"/>
      </w:pPr>
      <w:r>
        <w:rPr>
          <w:noProof/>
          <w:lang w:eastAsia="en-AU"/>
        </w:rPr>
        <w:drawing>
          <wp:inline distT="0" distB="0" distL="0" distR="0" wp14:anchorId="770A4DC4" wp14:editId="61565242">
            <wp:extent cx="4938395" cy="2664460"/>
            <wp:effectExtent l="0" t="0" r="0" b="2540"/>
            <wp:docPr id="3" name="Picture 3" descr="This pie chart outlines the compliance rate and the contravention rates as explained in the text above i.e. 615 businesses were found to have at least one error and 451 businesses were found to be compliant. " title="Campaign Compliance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38395" cy="2664460"/>
                    </a:xfrm>
                    <a:prstGeom prst="rect">
                      <a:avLst/>
                    </a:prstGeom>
                    <a:noFill/>
                  </pic:spPr>
                </pic:pic>
              </a:graphicData>
            </a:graphic>
          </wp:inline>
        </w:drawing>
      </w:r>
    </w:p>
    <w:p w:rsidR="005B53FA" w:rsidRPr="005B53FA" w:rsidRDefault="00E363B9" w:rsidP="00D64958">
      <w:pPr>
        <w:spacing w:before="120"/>
      </w:pPr>
      <w:r>
        <w:lastRenderedPageBreak/>
        <w:t>Therefore overall</w:t>
      </w:r>
      <w:r w:rsidR="005B53FA" w:rsidRPr="005B53FA">
        <w:t>:</w:t>
      </w:r>
    </w:p>
    <w:p w:rsidR="005B53FA" w:rsidRPr="00D41C48" w:rsidRDefault="005B53FA" w:rsidP="00F73B24">
      <w:pPr>
        <w:pStyle w:val="Bullet"/>
        <w:numPr>
          <w:ilvl w:val="0"/>
          <w:numId w:val="13"/>
        </w:numPr>
      </w:pPr>
      <w:r w:rsidRPr="00D41C48">
        <w:t xml:space="preserve">572 (54%) employers were paying </w:t>
      </w:r>
      <w:r w:rsidR="00DB578B">
        <w:t>their employees correctly</w:t>
      </w:r>
    </w:p>
    <w:p w:rsidR="005B53FA" w:rsidRDefault="005B53FA" w:rsidP="00F73B24">
      <w:pPr>
        <w:pStyle w:val="Bullet"/>
        <w:numPr>
          <w:ilvl w:val="0"/>
          <w:numId w:val="13"/>
        </w:numPr>
      </w:pPr>
      <w:r w:rsidRPr="00D41C48">
        <w:t>835 (78%) employers were compliant with record-keeping and pay slip requiremen</w:t>
      </w:r>
      <w:r w:rsidR="00DB578B">
        <w:t>ts</w:t>
      </w:r>
    </w:p>
    <w:p w:rsidR="00E363B9" w:rsidRDefault="00E363B9" w:rsidP="00F73B24">
      <w:pPr>
        <w:pStyle w:val="Bullet"/>
        <w:numPr>
          <w:ilvl w:val="0"/>
          <w:numId w:val="13"/>
        </w:numPr>
      </w:pPr>
      <w:r>
        <w:t xml:space="preserve">879 individual </w:t>
      </w:r>
      <w:r w:rsidR="00473E99">
        <w:t xml:space="preserve">errors </w:t>
      </w:r>
      <w:r>
        <w:t>were recorded from 615 businesses</w:t>
      </w:r>
    </w:p>
    <w:p w:rsidR="00E363B9" w:rsidRPr="00D41C48" w:rsidRDefault="00E363B9" w:rsidP="00F73B24">
      <w:pPr>
        <w:pStyle w:val="Bullet"/>
        <w:numPr>
          <w:ilvl w:val="0"/>
          <w:numId w:val="13"/>
        </w:numPr>
      </w:pPr>
      <w:r>
        <w:t xml:space="preserve">17% of the </w:t>
      </w:r>
      <w:r w:rsidR="00473E99">
        <w:t xml:space="preserve">errors </w:t>
      </w:r>
      <w:r>
        <w:t>were related to weekend penalty rates</w:t>
      </w:r>
    </w:p>
    <w:p w:rsidR="00F73B24" w:rsidRDefault="00F73B24" w:rsidP="00F73B24">
      <w:pPr>
        <w:pStyle w:val="Bullet"/>
        <w:numPr>
          <w:ilvl w:val="0"/>
          <w:numId w:val="13"/>
        </w:numPr>
      </w:pPr>
      <w:r w:rsidRPr="00F73B24">
        <w:t>$1,215,212 was recovered from 456 businesses on behalf of 2,752 employees (with the recovery amounts ranging from under $20 to over $40,000</w:t>
      </w:r>
      <w:r>
        <w:t>)</w:t>
      </w:r>
    </w:p>
    <w:p w:rsidR="005B53FA" w:rsidRPr="00D41C48" w:rsidRDefault="005B53FA" w:rsidP="00F73B24">
      <w:pPr>
        <w:pStyle w:val="Bullet"/>
        <w:numPr>
          <w:ilvl w:val="0"/>
          <w:numId w:val="14"/>
        </w:numPr>
      </w:pPr>
      <w:r w:rsidRPr="00D41C48">
        <w:t xml:space="preserve">Two </w:t>
      </w:r>
      <w:r w:rsidR="00473E99">
        <w:t xml:space="preserve">formal </w:t>
      </w:r>
      <w:r w:rsidRPr="00D41C48">
        <w:t>letters of caution were issued; and</w:t>
      </w:r>
    </w:p>
    <w:p w:rsidR="004316A0" w:rsidRPr="00D41C48" w:rsidRDefault="005B53FA" w:rsidP="00F73B24">
      <w:pPr>
        <w:pStyle w:val="Bullet"/>
        <w:numPr>
          <w:ilvl w:val="0"/>
          <w:numId w:val="14"/>
        </w:numPr>
      </w:pPr>
      <w:r w:rsidRPr="00D41C48">
        <w:t xml:space="preserve">Two Infringement </w:t>
      </w:r>
      <w:r w:rsidR="003C0D10">
        <w:t>Notices were issued</w:t>
      </w:r>
    </w:p>
    <w:p w:rsidR="003C0D10" w:rsidRDefault="003C0D10" w:rsidP="00F73B24">
      <w:pPr>
        <w:pStyle w:val="Bullet"/>
      </w:pPr>
      <w:r>
        <w:t>T</w:t>
      </w:r>
      <w:r w:rsidR="005944D8">
        <w:t>he most commonly</w:t>
      </w:r>
      <w:r w:rsidR="005B53FA" w:rsidRPr="005B53FA">
        <w:t xml:space="preserve"> identified </w:t>
      </w:r>
      <w:r w:rsidR="00473E99">
        <w:t>errors</w:t>
      </w:r>
      <w:r w:rsidR="00473E99" w:rsidRPr="005B53FA">
        <w:t xml:space="preserve"> </w:t>
      </w:r>
      <w:r w:rsidR="005B53FA" w:rsidRPr="005B53FA">
        <w:t xml:space="preserve">were </w:t>
      </w:r>
      <w:r w:rsidR="00473E99">
        <w:t>empl</w:t>
      </w:r>
      <w:r w:rsidR="00BA24D7">
        <w:t>o</w:t>
      </w:r>
      <w:r w:rsidR="00473E99">
        <w:t xml:space="preserve">yers providing </w:t>
      </w:r>
      <w:r w:rsidR="005B53FA" w:rsidRPr="005B53FA">
        <w:t xml:space="preserve">flat rates of pay for all hours worked with many employers </w:t>
      </w:r>
      <w:r w:rsidR="00B00DFD">
        <w:t xml:space="preserve">advising they had </w:t>
      </w:r>
      <w:r w:rsidR="005B53FA" w:rsidRPr="005B53FA">
        <w:t>adopt</w:t>
      </w:r>
      <w:r w:rsidR="00B00DFD">
        <w:t>ed</w:t>
      </w:r>
      <w:r w:rsidR="005B53FA" w:rsidRPr="005B53FA">
        <w:t xml:space="preserve"> this practice to simplify the</w:t>
      </w:r>
      <w:r w:rsidR="005944D8">
        <w:t>ir</w:t>
      </w:r>
      <w:r w:rsidR="005B53FA" w:rsidRPr="005B53FA">
        <w:t xml:space="preserve"> payroll process. </w:t>
      </w:r>
      <w:r w:rsidR="00E363B9">
        <w:t>I</w:t>
      </w:r>
      <w:r w:rsidR="005B53FA" w:rsidRPr="005B53FA">
        <w:t xml:space="preserve">n many cases the hourly rate paid </w:t>
      </w:r>
      <w:r w:rsidR="005944D8">
        <w:t xml:space="preserve">was not enough to cover hours </w:t>
      </w:r>
      <w:r w:rsidR="005B53FA" w:rsidRPr="005B53FA">
        <w:t>attract</w:t>
      </w:r>
      <w:r w:rsidR="005944D8">
        <w:t>ing</w:t>
      </w:r>
      <w:r w:rsidR="005B53FA" w:rsidRPr="005B53FA">
        <w:t xml:space="preserve"> penalties, loadings or ov</w:t>
      </w:r>
      <w:r w:rsidR="005944D8">
        <w:t xml:space="preserve">ertime. In respect of </w:t>
      </w:r>
      <w:r>
        <w:t>p</w:t>
      </w:r>
      <w:r w:rsidR="005944D8">
        <w:t xml:space="preserve">ay </w:t>
      </w:r>
      <w:r>
        <w:t>s</w:t>
      </w:r>
      <w:r w:rsidR="005944D8">
        <w:t>lips</w:t>
      </w:r>
      <w:r>
        <w:t xml:space="preserve"> and r</w:t>
      </w:r>
      <w:r w:rsidR="005B53FA" w:rsidRPr="005B53FA">
        <w:t xml:space="preserve">ecord-keeping, the most common </w:t>
      </w:r>
      <w:r w:rsidR="00473E99">
        <w:t>errors</w:t>
      </w:r>
      <w:r w:rsidR="00473E99" w:rsidRPr="005B53FA">
        <w:t xml:space="preserve"> </w:t>
      </w:r>
      <w:r w:rsidR="00473E99">
        <w:t xml:space="preserve">related to insufficient information </w:t>
      </w:r>
      <w:r w:rsidR="005B53FA" w:rsidRPr="005B53FA">
        <w:t>being recorded on payslips</w:t>
      </w:r>
      <w:r w:rsidR="005944D8">
        <w:t>, with employers c</w:t>
      </w:r>
      <w:r w:rsidR="003B07DF">
        <w:t>ommonly</w:t>
      </w:r>
      <w:r w:rsidR="005944D8">
        <w:t xml:space="preserve"> advising</w:t>
      </w:r>
      <w:r w:rsidR="005B53FA" w:rsidRPr="005B53FA">
        <w:t xml:space="preserve"> they </w:t>
      </w:r>
      <w:r w:rsidR="003B07DF">
        <w:t xml:space="preserve">weren’t aware </w:t>
      </w:r>
      <w:r>
        <w:t>which</w:t>
      </w:r>
      <w:r w:rsidR="005944D8">
        <w:t xml:space="preserve"> </w:t>
      </w:r>
      <w:r w:rsidR="005B53FA" w:rsidRPr="005B53FA">
        <w:t xml:space="preserve">information </w:t>
      </w:r>
      <w:r>
        <w:t xml:space="preserve">was </w:t>
      </w:r>
      <w:r w:rsidR="005944D8">
        <w:t xml:space="preserve">required to be </w:t>
      </w:r>
      <w:r w:rsidR="005B53FA" w:rsidRPr="005B53FA">
        <w:t>include</w:t>
      </w:r>
      <w:r w:rsidR="005944D8">
        <w:t>d</w:t>
      </w:r>
      <w:r w:rsidR="005B53FA" w:rsidRPr="005B53FA">
        <w:t xml:space="preserve">. </w:t>
      </w:r>
    </w:p>
    <w:p w:rsidR="009250C6" w:rsidRDefault="009250C6" w:rsidP="00F73B24">
      <w:pPr>
        <w:pStyle w:val="Bullet"/>
      </w:pPr>
      <w:r>
        <w:t xml:space="preserve">In some States additional reasons for non-compliance were reported. These are listed below in the regional findings. </w:t>
      </w:r>
    </w:p>
    <w:p w:rsidR="00F73B24" w:rsidRPr="00F73B24" w:rsidRDefault="00205DBE" w:rsidP="00F73B24">
      <w:pPr>
        <w:pStyle w:val="Heading1"/>
      </w:pPr>
      <w:bookmarkStart w:id="14" w:name="_Toc422387891"/>
      <w:r w:rsidRPr="00205DBE">
        <w:t>Regional Findings</w:t>
      </w:r>
      <w:bookmarkEnd w:id="12"/>
      <w:bookmarkEnd w:id="14"/>
    </w:p>
    <w:p w:rsidR="005B53FA" w:rsidRDefault="005B53FA" w:rsidP="00F73B24">
      <w:pPr>
        <w:pStyle w:val="Heading2"/>
      </w:pPr>
      <w:bookmarkStart w:id="15" w:name="_Toc422387892"/>
      <w:r>
        <w:t>NSW/ACT</w:t>
      </w:r>
      <w:bookmarkEnd w:id="15"/>
    </w:p>
    <w:p w:rsidR="005B53FA" w:rsidRPr="005B53FA" w:rsidRDefault="005B53FA" w:rsidP="00F73B24">
      <w:pPr>
        <w:pStyle w:val="Bullet"/>
      </w:pPr>
      <w:r w:rsidRPr="005B53FA">
        <w:t xml:space="preserve">Of the 286 businesses we assessed in </w:t>
      </w:r>
      <w:r w:rsidRPr="00177C09">
        <w:t xml:space="preserve">New South Wales </w:t>
      </w:r>
      <w:r w:rsidRPr="005B53FA">
        <w:rPr>
          <w:b/>
        </w:rPr>
        <w:t>(NSW)</w:t>
      </w:r>
      <w:r w:rsidRPr="005B53FA">
        <w:t>:</w:t>
      </w:r>
    </w:p>
    <w:p w:rsidR="005B53FA" w:rsidRPr="005B53FA" w:rsidRDefault="005B53FA" w:rsidP="00F73B24">
      <w:pPr>
        <w:pStyle w:val="Bullet"/>
        <w:numPr>
          <w:ilvl w:val="0"/>
          <w:numId w:val="15"/>
        </w:numPr>
      </w:pPr>
      <w:r w:rsidRPr="005B53FA">
        <w:t>140 (49%) employers compliant with all requirements</w:t>
      </w:r>
    </w:p>
    <w:p w:rsidR="005B53FA" w:rsidRPr="005B53FA" w:rsidRDefault="005B53FA" w:rsidP="00F73B24">
      <w:pPr>
        <w:pStyle w:val="Bullet"/>
        <w:numPr>
          <w:ilvl w:val="0"/>
          <w:numId w:val="15"/>
        </w:numPr>
      </w:pPr>
      <w:r w:rsidRPr="005B53FA">
        <w:t xml:space="preserve">146 (51%) employers had at least one </w:t>
      </w:r>
      <w:r w:rsidR="00473E99">
        <w:t>error</w:t>
      </w:r>
      <w:r w:rsidRPr="005B53FA">
        <w:t>, of which:</w:t>
      </w:r>
    </w:p>
    <w:p w:rsidR="005B53FA" w:rsidRPr="005B53FA" w:rsidRDefault="005B53FA" w:rsidP="00F73B24">
      <w:pPr>
        <w:pStyle w:val="Bullet"/>
        <w:numPr>
          <w:ilvl w:val="1"/>
          <w:numId w:val="15"/>
        </w:numPr>
      </w:pPr>
      <w:r w:rsidRPr="005B53FA">
        <w:t xml:space="preserve">104 (36%) had </w:t>
      </w:r>
      <w:r w:rsidR="00473E99">
        <w:t>errors</w:t>
      </w:r>
      <w:r w:rsidR="00473E99" w:rsidRPr="005B53FA">
        <w:t xml:space="preserve"> </w:t>
      </w:r>
      <w:r w:rsidRPr="005B53FA">
        <w:t>relating to pay rates</w:t>
      </w:r>
    </w:p>
    <w:p w:rsidR="005B53FA" w:rsidRPr="005B53FA" w:rsidRDefault="005B53FA" w:rsidP="00F73B24">
      <w:pPr>
        <w:pStyle w:val="Bullet"/>
        <w:numPr>
          <w:ilvl w:val="1"/>
          <w:numId w:val="15"/>
        </w:numPr>
      </w:pPr>
      <w:r w:rsidRPr="005B53FA">
        <w:t xml:space="preserve">28 (10%) had </w:t>
      </w:r>
      <w:r w:rsidR="00473E99">
        <w:t>errors</w:t>
      </w:r>
      <w:r w:rsidR="00473E99" w:rsidRPr="005B53FA">
        <w:t xml:space="preserve"> </w:t>
      </w:r>
      <w:r w:rsidRPr="005B53FA">
        <w:t>relating to record-keeping and payslips</w:t>
      </w:r>
    </w:p>
    <w:p w:rsidR="005B53FA" w:rsidRPr="005B53FA" w:rsidRDefault="005B53FA" w:rsidP="00F73B24">
      <w:pPr>
        <w:pStyle w:val="Bullet"/>
        <w:numPr>
          <w:ilvl w:val="1"/>
          <w:numId w:val="15"/>
        </w:numPr>
      </w:pPr>
      <w:r w:rsidRPr="005B53FA">
        <w:t xml:space="preserve">14 (5%) concerned both pay slips/record-keeping and pay rates. </w:t>
      </w:r>
    </w:p>
    <w:p w:rsidR="005B53FA" w:rsidRPr="005B53FA" w:rsidRDefault="005B53FA" w:rsidP="00F73B24">
      <w:pPr>
        <w:pStyle w:val="Bullet"/>
      </w:pPr>
      <w:r w:rsidRPr="005B53FA">
        <w:t>This means that:</w:t>
      </w:r>
    </w:p>
    <w:p w:rsidR="005B53FA" w:rsidRDefault="005B53FA" w:rsidP="00F73B24">
      <w:pPr>
        <w:pStyle w:val="Bullet"/>
        <w:numPr>
          <w:ilvl w:val="0"/>
          <w:numId w:val="16"/>
        </w:numPr>
      </w:pPr>
      <w:r w:rsidRPr="005B53FA">
        <w:t>168 (59%) employers were paying their employees correctly</w:t>
      </w:r>
    </w:p>
    <w:p w:rsidR="005B53FA" w:rsidRPr="005B53FA" w:rsidRDefault="005B53FA" w:rsidP="00F73B24">
      <w:pPr>
        <w:pStyle w:val="Bullet"/>
        <w:numPr>
          <w:ilvl w:val="0"/>
          <w:numId w:val="16"/>
        </w:numPr>
      </w:pPr>
      <w:r w:rsidRPr="005B53FA">
        <w:t>244 (85%) employers were compliant with record-keeping and pay slip requirements.</w:t>
      </w:r>
    </w:p>
    <w:p w:rsidR="003C0D10" w:rsidRDefault="003C0D10" w:rsidP="00F73B24">
      <w:pPr>
        <w:pStyle w:val="Bullet"/>
      </w:pPr>
      <w:r>
        <w:t>T</w:t>
      </w:r>
      <w:r w:rsidR="005B53FA" w:rsidRPr="005B53FA">
        <w:t>here w</w:t>
      </w:r>
      <w:r>
        <w:t>ere</w:t>
      </w:r>
      <w:r w:rsidR="005B53FA" w:rsidRPr="005B53FA">
        <w:t xml:space="preserve"> a total of 195 individual </w:t>
      </w:r>
      <w:r w:rsidR="00473E99">
        <w:t xml:space="preserve">errors identified </w:t>
      </w:r>
      <w:r>
        <w:t>from the 1</w:t>
      </w:r>
      <w:r w:rsidR="00321118">
        <w:t>04</w:t>
      </w:r>
      <w:r>
        <w:t xml:space="preserve"> businesses</w:t>
      </w:r>
      <w:r w:rsidR="00321118">
        <w:t xml:space="preserve"> that had monetary errors</w:t>
      </w:r>
      <w:r w:rsidR="005B53FA" w:rsidRPr="005B53FA">
        <w:t xml:space="preserve">. Underpayment of </w:t>
      </w:r>
      <w:r w:rsidR="00F73B24">
        <w:t xml:space="preserve">the minimum base </w:t>
      </w:r>
      <w:r w:rsidR="005B53FA" w:rsidRPr="005B53FA">
        <w:t xml:space="preserve">hourly rate accounted for 50% of </w:t>
      </w:r>
      <w:r w:rsidR="00F73B24">
        <w:t xml:space="preserve">these </w:t>
      </w:r>
      <w:r w:rsidR="00473E99">
        <w:t xml:space="preserve">errors </w:t>
      </w:r>
      <w:r w:rsidR="00F73B24">
        <w:t xml:space="preserve">and </w:t>
      </w:r>
      <w:r w:rsidR="003B07DF">
        <w:t>18% related</w:t>
      </w:r>
      <w:r w:rsidR="005B53FA" w:rsidRPr="005B53FA">
        <w:t xml:space="preserve"> to weekend penalties. </w:t>
      </w:r>
    </w:p>
    <w:p w:rsidR="00F73B24" w:rsidRDefault="003C0D10" w:rsidP="00F73B24">
      <w:pPr>
        <w:pStyle w:val="Bullet"/>
      </w:pPr>
      <w:r>
        <w:t>A</w:t>
      </w:r>
      <w:r w:rsidR="005B53FA" w:rsidRPr="005B53FA">
        <w:t xml:space="preserve"> total of $282,996 </w:t>
      </w:r>
      <w:r>
        <w:t>was recovered for</w:t>
      </w:r>
      <w:r w:rsidR="005B53FA" w:rsidRPr="005B53FA">
        <w:t xml:space="preserve"> 788 employees</w:t>
      </w:r>
      <w:r>
        <w:t xml:space="preserve"> from 107 businesses</w:t>
      </w:r>
      <w:r w:rsidR="005B53FA" w:rsidRPr="005B53FA">
        <w:t>.</w:t>
      </w:r>
    </w:p>
    <w:p w:rsidR="005B53FA" w:rsidRPr="005B53FA" w:rsidRDefault="005B53FA" w:rsidP="00F73B24">
      <w:pPr>
        <w:pStyle w:val="Bullet"/>
      </w:pPr>
      <w:r w:rsidRPr="005B53FA">
        <w:lastRenderedPageBreak/>
        <w:t xml:space="preserve">Of the 29 businesses we assessed in the Australian Capital Territory </w:t>
      </w:r>
      <w:r w:rsidRPr="005B53FA">
        <w:rPr>
          <w:b/>
        </w:rPr>
        <w:t>(ACT)</w:t>
      </w:r>
      <w:r w:rsidR="003C0D10">
        <w:t>:</w:t>
      </w:r>
      <w:r w:rsidRPr="005B53FA">
        <w:t xml:space="preserve"> </w:t>
      </w:r>
    </w:p>
    <w:p w:rsidR="005B53FA" w:rsidRPr="005B53FA" w:rsidRDefault="005B53FA" w:rsidP="00F73B24">
      <w:pPr>
        <w:pStyle w:val="Bullet"/>
        <w:numPr>
          <w:ilvl w:val="0"/>
          <w:numId w:val="17"/>
        </w:numPr>
      </w:pPr>
      <w:r w:rsidRPr="005B53FA">
        <w:t>12 (41%) employers compliant with all requirements</w:t>
      </w:r>
    </w:p>
    <w:p w:rsidR="005B53FA" w:rsidRPr="005B53FA" w:rsidRDefault="005B53FA" w:rsidP="00F73B24">
      <w:pPr>
        <w:pStyle w:val="Bullet"/>
        <w:numPr>
          <w:ilvl w:val="0"/>
          <w:numId w:val="17"/>
        </w:numPr>
      </w:pPr>
      <w:r w:rsidRPr="005B53FA">
        <w:t xml:space="preserve">17 (59%) employers had at least one </w:t>
      </w:r>
      <w:r w:rsidR="00473E99">
        <w:t>error</w:t>
      </w:r>
      <w:r w:rsidRPr="005B53FA">
        <w:t>, of which:</w:t>
      </w:r>
    </w:p>
    <w:p w:rsidR="005B53FA" w:rsidRPr="005B53FA" w:rsidRDefault="005B53FA" w:rsidP="00F73B24">
      <w:pPr>
        <w:pStyle w:val="Bullet"/>
        <w:numPr>
          <w:ilvl w:val="0"/>
          <w:numId w:val="18"/>
        </w:numPr>
      </w:pPr>
      <w:r w:rsidRPr="005B53FA">
        <w:t xml:space="preserve">16 (55%) had </w:t>
      </w:r>
      <w:r w:rsidR="00473E99">
        <w:t>errors</w:t>
      </w:r>
      <w:r w:rsidR="00473E99" w:rsidRPr="005B53FA">
        <w:t xml:space="preserve"> </w:t>
      </w:r>
      <w:r w:rsidRPr="005B53FA">
        <w:t>relating to pay rates</w:t>
      </w:r>
    </w:p>
    <w:p w:rsidR="003C0D10" w:rsidRDefault="005B53FA" w:rsidP="00F73B24">
      <w:pPr>
        <w:pStyle w:val="Bullet"/>
        <w:numPr>
          <w:ilvl w:val="0"/>
          <w:numId w:val="18"/>
        </w:numPr>
      </w:pPr>
      <w:r w:rsidRPr="005B53FA">
        <w:t>1 (4%) had</w:t>
      </w:r>
      <w:r w:rsidR="003C0D10">
        <w:t xml:space="preserve"> </w:t>
      </w:r>
      <w:r w:rsidR="00473E99">
        <w:t xml:space="preserve">errors </w:t>
      </w:r>
      <w:r w:rsidRPr="005B53FA">
        <w:t xml:space="preserve">relating to records and payslips </w:t>
      </w:r>
    </w:p>
    <w:p w:rsidR="005B53FA" w:rsidRPr="005B53FA" w:rsidRDefault="005B53FA" w:rsidP="00F73B24">
      <w:pPr>
        <w:pStyle w:val="Bullet"/>
      </w:pPr>
      <w:r w:rsidRPr="005B53FA">
        <w:t>This means that:</w:t>
      </w:r>
    </w:p>
    <w:p w:rsidR="005B53FA" w:rsidRPr="005B53FA" w:rsidRDefault="005B53FA" w:rsidP="00F73B24">
      <w:pPr>
        <w:pStyle w:val="Bullet"/>
        <w:numPr>
          <w:ilvl w:val="0"/>
          <w:numId w:val="19"/>
        </w:numPr>
      </w:pPr>
      <w:r w:rsidRPr="005B53FA">
        <w:t>13 (45%) employers were paying their employees correctly</w:t>
      </w:r>
    </w:p>
    <w:p w:rsidR="005B53FA" w:rsidRPr="005B53FA" w:rsidRDefault="005B53FA" w:rsidP="00F73B24">
      <w:pPr>
        <w:pStyle w:val="Bullet"/>
        <w:numPr>
          <w:ilvl w:val="0"/>
          <w:numId w:val="19"/>
        </w:numPr>
      </w:pPr>
      <w:r w:rsidRPr="005B53FA">
        <w:t>28 (96%) employers were compliant with record-keeping and pay slip requirements.</w:t>
      </w:r>
    </w:p>
    <w:p w:rsidR="005B53FA" w:rsidRDefault="003C0D10" w:rsidP="00F73B24">
      <w:pPr>
        <w:pStyle w:val="Bullet"/>
      </w:pPr>
      <w:r>
        <w:t>A</w:t>
      </w:r>
      <w:r w:rsidR="005B53FA" w:rsidRPr="005B53FA">
        <w:t xml:space="preserve"> total of $18,759 </w:t>
      </w:r>
      <w:r>
        <w:t xml:space="preserve">was recovered for </w:t>
      </w:r>
      <w:r w:rsidR="005B53FA" w:rsidRPr="005B53FA">
        <w:t>43 employees</w:t>
      </w:r>
      <w:r>
        <w:t xml:space="preserve"> from 15 businesses</w:t>
      </w:r>
      <w:r w:rsidR="005B53FA" w:rsidRPr="005B53FA">
        <w:t>.</w:t>
      </w:r>
    </w:p>
    <w:p w:rsidR="00F73B24" w:rsidRPr="005B53FA" w:rsidRDefault="00F73B24" w:rsidP="00F73B24">
      <w:pPr>
        <w:pStyle w:val="Bullet"/>
      </w:pPr>
    </w:p>
    <w:p w:rsidR="00953E6C" w:rsidRDefault="00953E6C" w:rsidP="00F73B24">
      <w:pPr>
        <w:pStyle w:val="Heading2"/>
      </w:pPr>
      <w:bookmarkStart w:id="16" w:name="_Toc410822208"/>
      <w:bookmarkStart w:id="17" w:name="_Toc422387893"/>
      <w:r w:rsidRPr="00205DBE">
        <w:t>Victoria</w:t>
      </w:r>
      <w:bookmarkEnd w:id="16"/>
      <w:r>
        <w:t>/Tasmania</w:t>
      </w:r>
      <w:bookmarkEnd w:id="17"/>
    </w:p>
    <w:p w:rsidR="00953E6C" w:rsidRPr="005B53FA" w:rsidRDefault="00953E6C" w:rsidP="00F73B24">
      <w:pPr>
        <w:pStyle w:val="Bullet"/>
      </w:pPr>
      <w:r w:rsidRPr="005B53FA">
        <w:t xml:space="preserve">Of the 279 businesses we assessed in </w:t>
      </w:r>
      <w:r w:rsidRPr="005B53FA">
        <w:rPr>
          <w:b/>
        </w:rPr>
        <w:t>Victoria</w:t>
      </w:r>
      <w:r w:rsidRPr="005B53FA">
        <w:t>:</w:t>
      </w:r>
    </w:p>
    <w:p w:rsidR="00953E6C" w:rsidRPr="00D41C48" w:rsidRDefault="00953E6C" w:rsidP="00F73B24">
      <w:pPr>
        <w:pStyle w:val="Bullet"/>
        <w:numPr>
          <w:ilvl w:val="0"/>
          <w:numId w:val="20"/>
        </w:numPr>
      </w:pPr>
      <w:r w:rsidRPr="00D41C48">
        <w:t>80 (29%) employers were compliant with all requirements</w:t>
      </w:r>
    </w:p>
    <w:p w:rsidR="00953E6C" w:rsidRPr="00D41C48" w:rsidRDefault="00953E6C" w:rsidP="00F73B24">
      <w:pPr>
        <w:pStyle w:val="Bullet"/>
        <w:numPr>
          <w:ilvl w:val="0"/>
          <w:numId w:val="20"/>
        </w:numPr>
      </w:pPr>
      <w:r w:rsidRPr="00D41C48">
        <w:t xml:space="preserve">199 (71%) employers had at least one </w:t>
      </w:r>
      <w:r w:rsidR="00473E99">
        <w:t>error</w:t>
      </w:r>
      <w:r w:rsidRPr="00D41C48">
        <w:t>, of which:</w:t>
      </w:r>
    </w:p>
    <w:p w:rsidR="00953E6C" w:rsidRPr="005B53FA" w:rsidRDefault="00953E6C" w:rsidP="00F73B24">
      <w:pPr>
        <w:pStyle w:val="Bullet"/>
        <w:numPr>
          <w:ilvl w:val="1"/>
          <w:numId w:val="20"/>
        </w:numPr>
      </w:pPr>
      <w:r w:rsidRPr="005B53FA">
        <w:t xml:space="preserve">99 (35%) had </w:t>
      </w:r>
      <w:r w:rsidR="00473E99">
        <w:t>errors</w:t>
      </w:r>
      <w:r w:rsidR="00473E99" w:rsidRPr="005B53FA">
        <w:t xml:space="preserve"> </w:t>
      </w:r>
      <w:r w:rsidRPr="005B53FA">
        <w:t xml:space="preserve">relating to pay rates </w:t>
      </w:r>
    </w:p>
    <w:p w:rsidR="00953E6C" w:rsidRPr="005B53FA" w:rsidRDefault="00953E6C" w:rsidP="00F73B24">
      <w:pPr>
        <w:pStyle w:val="Bullet"/>
        <w:numPr>
          <w:ilvl w:val="1"/>
          <w:numId w:val="20"/>
        </w:numPr>
      </w:pPr>
      <w:r w:rsidRPr="005B53FA">
        <w:t xml:space="preserve">55 (20%) had </w:t>
      </w:r>
      <w:r w:rsidR="00473E99">
        <w:t>errors</w:t>
      </w:r>
      <w:r w:rsidR="00473E99" w:rsidRPr="005B53FA">
        <w:t xml:space="preserve"> </w:t>
      </w:r>
      <w:r w:rsidRPr="005B53FA">
        <w:t>relating to record-keeping and payslips</w:t>
      </w:r>
    </w:p>
    <w:p w:rsidR="00953E6C" w:rsidRPr="005B53FA" w:rsidRDefault="00953E6C" w:rsidP="00F73B24">
      <w:pPr>
        <w:pStyle w:val="Bullet"/>
        <w:numPr>
          <w:ilvl w:val="1"/>
          <w:numId w:val="20"/>
        </w:numPr>
      </w:pPr>
      <w:r w:rsidRPr="005B53FA">
        <w:t>45 (16%) concerned both pay slip</w:t>
      </w:r>
      <w:r w:rsidR="00A239D3">
        <w:t xml:space="preserve">s/record - keeping and pay rate </w:t>
      </w:r>
      <w:r w:rsidR="00473E99">
        <w:t>errors</w:t>
      </w:r>
      <w:r>
        <w:t>.</w:t>
      </w:r>
      <w:r w:rsidRPr="005B53FA">
        <w:t xml:space="preserve"> </w:t>
      </w:r>
    </w:p>
    <w:p w:rsidR="00953E6C" w:rsidRPr="005B53FA" w:rsidRDefault="00953E6C" w:rsidP="00F73B24">
      <w:pPr>
        <w:pStyle w:val="Bullet"/>
      </w:pPr>
      <w:r w:rsidRPr="005B53FA">
        <w:t>This means that:</w:t>
      </w:r>
    </w:p>
    <w:p w:rsidR="00953E6C" w:rsidRPr="00D41C48" w:rsidRDefault="00953E6C" w:rsidP="00F73B24">
      <w:pPr>
        <w:pStyle w:val="Bullet"/>
        <w:numPr>
          <w:ilvl w:val="0"/>
          <w:numId w:val="21"/>
        </w:numPr>
      </w:pPr>
      <w:r w:rsidRPr="00D41C48">
        <w:t>135 (48%) employers were paying their employees correctly</w:t>
      </w:r>
    </w:p>
    <w:p w:rsidR="00953E6C" w:rsidRPr="00D41C48" w:rsidRDefault="00953E6C" w:rsidP="00F73B24">
      <w:pPr>
        <w:pStyle w:val="Bullet"/>
        <w:numPr>
          <w:ilvl w:val="0"/>
          <w:numId w:val="21"/>
        </w:numPr>
      </w:pPr>
      <w:r w:rsidRPr="00D41C48">
        <w:t>179 (64%) employers were compliant with record-keeping and pay slip requirements.</w:t>
      </w:r>
    </w:p>
    <w:p w:rsidR="003C0D10" w:rsidRDefault="003C0D10" w:rsidP="00F73B24">
      <w:pPr>
        <w:pStyle w:val="Bullet"/>
      </w:pPr>
      <w:r>
        <w:t>T</w:t>
      </w:r>
      <w:r w:rsidR="00953E6C" w:rsidRPr="005B53FA">
        <w:t xml:space="preserve">here were a total of 294 individual </w:t>
      </w:r>
      <w:r w:rsidR="00473E99">
        <w:t xml:space="preserve">errors </w:t>
      </w:r>
      <w:r>
        <w:t>from 199 businesses</w:t>
      </w:r>
      <w:r w:rsidR="00953E6C" w:rsidRPr="005B53FA">
        <w:t xml:space="preserve">. Underpayment of </w:t>
      </w:r>
      <w:r w:rsidR="00F73B24">
        <w:t xml:space="preserve">the minimum base </w:t>
      </w:r>
      <w:r w:rsidR="00953E6C" w:rsidRPr="005B53FA">
        <w:t>hourly rate accounted for 33%,</w:t>
      </w:r>
      <w:r w:rsidR="00F73B24">
        <w:t xml:space="preserve"> 14% related to incorrect weekend penalties </w:t>
      </w:r>
      <w:proofErr w:type="gramStart"/>
      <w:r w:rsidR="00F73B24">
        <w:t xml:space="preserve">and </w:t>
      </w:r>
      <w:r>
        <w:t xml:space="preserve"> </w:t>
      </w:r>
      <w:r w:rsidR="00953E6C" w:rsidRPr="005B53FA">
        <w:t>a</w:t>
      </w:r>
      <w:proofErr w:type="gramEnd"/>
      <w:r w:rsidR="00953E6C" w:rsidRPr="005B53FA">
        <w:t xml:space="preserve"> further 30% relating to payslips having </w:t>
      </w:r>
      <w:r w:rsidR="00A239D3">
        <w:t>in</w:t>
      </w:r>
      <w:r w:rsidR="00F73B24">
        <w:t>correct information</w:t>
      </w:r>
      <w:r w:rsidR="00953E6C" w:rsidRPr="005B53FA">
        <w:t xml:space="preserve">. </w:t>
      </w:r>
    </w:p>
    <w:p w:rsidR="00D65CA9" w:rsidRDefault="003C0D10" w:rsidP="00F73B24">
      <w:pPr>
        <w:pStyle w:val="Bullet"/>
      </w:pPr>
      <w:r>
        <w:t>A</w:t>
      </w:r>
      <w:r w:rsidR="00953E6C" w:rsidRPr="005B53FA">
        <w:t xml:space="preserve"> total of $386,389</w:t>
      </w:r>
      <w:r>
        <w:t xml:space="preserve"> was recovered for 698 employees</w:t>
      </w:r>
      <w:r w:rsidR="00953E6C" w:rsidRPr="005B53FA">
        <w:t xml:space="preserve"> from 138 businesses</w:t>
      </w:r>
      <w:r w:rsidR="00473E99">
        <w:t>.</w:t>
      </w:r>
    </w:p>
    <w:p w:rsidR="00953E6C" w:rsidRPr="005B53FA" w:rsidRDefault="00953E6C" w:rsidP="00F73B24">
      <w:pPr>
        <w:pStyle w:val="Bullet"/>
      </w:pPr>
      <w:r w:rsidRPr="005B53FA">
        <w:t xml:space="preserve">Of the 33 businesses we assessed in </w:t>
      </w:r>
      <w:r w:rsidRPr="005B53FA">
        <w:rPr>
          <w:b/>
        </w:rPr>
        <w:t>Tasmania</w:t>
      </w:r>
      <w:r w:rsidRPr="005B53FA">
        <w:t>:</w:t>
      </w:r>
    </w:p>
    <w:p w:rsidR="00953E6C" w:rsidRPr="00D41C48" w:rsidRDefault="00953E6C" w:rsidP="00F73B24">
      <w:pPr>
        <w:pStyle w:val="Bullet"/>
        <w:numPr>
          <w:ilvl w:val="0"/>
          <w:numId w:val="22"/>
        </w:numPr>
      </w:pPr>
      <w:r w:rsidRPr="00D41C48">
        <w:t>11 (33%) employers compliant with all requirements</w:t>
      </w:r>
    </w:p>
    <w:p w:rsidR="00953E6C" w:rsidRPr="00D41C48" w:rsidRDefault="00953E6C" w:rsidP="00F73B24">
      <w:pPr>
        <w:pStyle w:val="Bullet"/>
        <w:numPr>
          <w:ilvl w:val="0"/>
          <w:numId w:val="22"/>
        </w:numPr>
      </w:pPr>
      <w:r w:rsidRPr="00D41C48">
        <w:t xml:space="preserve">22 (67%) employers had at least one </w:t>
      </w:r>
      <w:r w:rsidR="00473E99">
        <w:t>error</w:t>
      </w:r>
      <w:r w:rsidRPr="00D41C48">
        <w:t>, of which:</w:t>
      </w:r>
    </w:p>
    <w:p w:rsidR="00953E6C" w:rsidRPr="005B53FA" w:rsidRDefault="00953E6C" w:rsidP="00F73B24">
      <w:pPr>
        <w:pStyle w:val="Bullet"/>
        <w:numPr>
          <w:ilvl w:val="0"/>
          <w:numId w:val="23"/>
        </w:numPr>
      </w:pPr>
      <w:r w:rsidRPr="005B53FA">
        <w:t xml:space="preserve">16 (49%) had </w:t>
      </w:r>
      <w:r w:rsidR="00473E99">
        <w:t>errors</w:t>
      </w:r>
      <w:r w:rsidR="00473E99" w:rsidRPr="005B53FA">
        <w:t xml:space="preserve"> </w:t>
      </w:r>
      <w:r w:rsidRPr="005B53FA">
        <w:t xml:space="preserve">relating to pay rates </w:t>
      </w:r>
    </w:p>
    <w:p w:rsidR="00953E6C" w:rsidRPr="005B53FA" w:rsidRDefault="00953E6C" w:rsidP="00F73B24">
      <w:pPr>
        <w:pStyle w:val="Bullet"/>
        <w:numPr>
          <w:ilvl w:val="0"/>
          <w:numId w:val="23"/>
        </w:numPr>
      </w:pPr>
      <w:r w:rsidRPr="005B53FA">
        <w:t xml:space="preserve">1 (3%) had </w:t>
      </w:r>
      <w:r w:rsidR="00473E99">
        <w:t>errors</w:t>
      </w:r>
      <w:r w:rsidR="00473E99" w:rsidRPr="005B53FA">
        <w:t xml:space="preserve"> </w:t>
      </w:r>
      <w:r w:rsidRPr="005B53FA">
        <w:t xml:space="preserve">relating to records and payslips </w:t>
      </w:r>
    </w:p>
    <w:p w:rsidR="00953E6C" w:rsidRDefault="00953E6C" w:rsidP="00F73B24">
      <w:pPr>
        <w:pStyle w:val="Bullet"/>
        <w:numPr>
          <w:ilvl w:val="0"/>
          <w:numId w:val="23"/>
        </w:numPr>
      </w:pPr>
      <w:r w:rsidRPr="005B53FA">
        <w:t>5 (15%) concerned both pay slip and records and pay rates</w:t>
      </w:r>
      <w:r>
        <w:t>.</w:t>
      </w:r>
      <w:r w:rsidRPr="005B53FA">
        <w:t xml:space="preserve"> </w:t>
      </w:r>
    </w:p>
    <w:p w:rsidR="00F73B24" w:rsidRDefault="00F73B24" w:rsidP="00F73B24">
      <w:pPr>
        <w:pStyle w:val="Bullet"/>
      </w:pPr>
    </w:p>
    <w:p w:rsidR="00953E6C" w:rsidRPr="005B53FA" w:rsidRDefault="00953E6C" w:rsidP="00F73B24">
      <w:pPr>
        <w:pStyle w:val="Bullet"/>
      </w:pPr>
      <w:r w:rsidRPr="005B53FA">
        <w:lastRenderedPageBreak/>
        <w:t>This means that:</w:t>
      </w:r>
    </w:p>
    <w:p w:rsidR="00953E6C" w:rsidRPr="00D41C48" w:rsidRDefault="00953E6C" w:rsidP="00F73B24">
      <w:pPr>
        <w:pStyle w:val="Bullet"/>
        <w:numPr>
          <w:ilvl w:val="0"/>
          <w:numId w:val="24"/>
        </w:numPr>
      </w:pPr>
      <w:r w:rsidRPr="00D41C48">
        <w:t>12 (36%) employers were paying their employees correctly; and</w:t>
      </w:r>
    </w:p>
    <w:p w:rsidR="00953E6C" w:rsidRPr="00D41C48" w:rsidRDefault="00953E6C" w:rsidP="00F73B24">
      <w:pPr>
        <w:pStyle w:val="Bullet"/>
        <w:numPr>
          <w:ilvl w:val="0"/>
          <w:numId w:val="24"/>
        </w:numPr>
      </w:pPr>
      <w:r w:rsidRPr="00D41C48">
        <w:t>26 (79%) employers were compliant with record-keeping and pay slip requirements.</w:t>
      </w:r>
    </w:p>
    <w:p w:rsidR="00953E6C" w:rsidRPr="005B53FA" w:rsidRDefault="003C0D10" w:rsidP="00F73B24">
      <w:pPr>
        <w:pStyle w:val="Bullet"/>
      </w:pPr>
      <w:r>
        <w:t>T</w:t>
      </w:r>
      <w:r w:rsidR="005944D8">
        <w:t xml:space="preserve">here </w:t>
      </w:r>
      <w:proofErr w:type="gramStart"/>
      <w:r w:rsidR="005944D8">
        <w:t>was</w:t>
      </w:r>
      <w:proofErr w:type="gramEnd"/>
      <w:r w:rsidR="005944D8">
        <w:t xml:space="preserve"> a </w:t>
      </w:r>
      <w:r w:rsidR="00953E6C" w:rsidRPr="005B53FA">
        <w:t xml:space="preserve">total of 28 individual </w:t>
      </w:r>
      <w:r w:rsidR="00473E99">
        <w:t xml:space="preserve">errors </w:t>
      </w:r>
      <w:r>
        <w:t>from 22 businesses.</w:t>
      </w:r>
      <w:r w:rsidR="00F73B24">
        <w:t xml:space="preserve"> U</w:t>
      </w:r>
      <w:r w:rsidR="00953E6C" w:rsidRPr="005B53FA">
        <w:t xml:space="preserve">nderpayment of </w:t>
      </w:r>
      <w:r>
        <w:t xml:space="preserve">minimum base </w:t>
      </w:r>
      <w:r w:rsidR="00F73B24">
        <w:t>rate accounted</w:t>
      </w:r>
      <w:r w:rsidR="00953E6C" w:rsidRPr="005B53FA">
        <w:t xml:space="preserve"> for 50% of</w:t>
      </w:r>
      <w:r>
        <w:t xml:space="preserve"> these </w:t>
      </w:r>
      <w:r w:rsidR="00473E99">
        <w:t>errors</w:t>
      </w:r>
      <w:r w:rsidR="00953E6C" w:rsidRPr="005B53FA">
        <w:t xml:space="preserve">. In total, we recovered $29,795 </w:t>
      </w:r>
      <w:r>
        <w:t xml:space="preserve">for 77 employees </w:t>
      </w:r>
      <w:r w:rsidR="00953E6C" w:rsidRPr="005B53FA">
        <w:t>from 16 businesses.</w:t>
      </w:r>
    </w:p>
    <w:p w:rsidR="00732BCD" w:rsidRDefault="003C0D10" w:rsidP="00F73B24">
      <w:pPr>
        <w:pStyle w:val="Bullet"/>
      </w:pPr>
      <w:r>
        <w:t>W</w:t>
      </w:r>
      <w:r w:rsidR="00953E6C" w:rsidRPr="005B53FA">
        <w:t>e also identified a general lack of awareness/understanding</w:t>
      </w:r>
      <w:r w:rsidR="00473E99">
        <w:t xml:space="preserve"> </w:t>
      </w:r>
      <w:r w:rsidR="00953E6C" w:rsidRPr="005B53FA">
        <w:t xml:space="preserve">of award provisions, </w:t>
      </w:r>
      <w:r>
        <w:t>for example</w:t>
      </w:r>
      <w:r w:rsidR="00953E6C" w:rsidRPr="005B53FA">
        <w:t xml:space="preserve"> employers </w:t>
      </w:r>
      <w:r>
        <w:t>continuing</w:t>
      </w:r>
      <w:r w:rsidR="00953E6C" w:rsidRPr="005B53FA">
        <w:t xml:space="preserve"> to pay introductory classification rates (beyond the initial three month period) or annualised salary arrangements </w:t>
      </w:r>
      <w:r w:rsidR="00473E99">
        <w:t xml:space="preserve">that had been made incorrectly </w:t>
      </w:r>
      <w:r w:rsidR="00953E6C" w:rsidRPr="005B53FA">
        <w:t>(</w:t>
      </w:r>
      <w:r w:rsidR="00A239D3">
        <w:t xml:space="preserve">i.e. </w:t>
      </w:r>
      <w:r w:rsidR="00953E6C" w:rsidRPr="005B53FA">
        <w:t>paying less than the 25% above the applicable classification as required).</w:t>
      </w:r>
    </w:p>
    <w:p w:rsidR="00953E6C" w:rsidRDefault="00953E6C" w:rsidP="00F73B24">
      <w:pPr>
        <w:pStyle w:val="Heading2"/>
      </w:pPr>
      <w:bookmarkStart w:id="18" w:name="_Toc422387894"/>
      <w:r>
        <w:t>Northern Territory</w:t>
      </w:r>
      <w:bookmarkEnd w:id="18"/>
    </w:p>
    <w:p w:rsidR="00953E6C" w:rsidRPr="00414F91" w:rsidRDefault="00953E6C" w:rsidP="00953E6C">
      <w:pPr>
        <w:spacing w:after="0" w:line="240" w:lineRule="auto"/>
        <w:rPr>
          <w:rFonts w:cstheme="minorHAnsi"/>
          <w:szCs w:val="22"/>
        </w:rPr>
      </w:pPr>
      <w:r w:rsidRPr="00414F91">
        <w:rPr>
          <w:rFonts w:cstheme="minorHAnsi"/>
          <w:szCs w:val="22"/>
        </w:rPr>
        <w:t xml:space="preserve">Of the 15 businesses we assessed in the </w:t>
      </w:r>
      <w:r w:rsidRPr="00414F91">
        <w:rPr>
          <w:rFonts w:cstheme="minorHAnsi"/>
          <w:b/>
          <w:szCs w:val="22"/>
        </w:rPr>
        <w:t>Northern Territory</w:t>
      </w:r>
      <w:r w:rsidRPr="00414F91">
        <w:rPr>
          <w:rFonts w:cstheme="minorHAnsi"/>
          <w:szCs w:val="22"/>
        </w:rPr>
        <w:t>:</w:t>
      </w:r>
    </w:p>
    <w:p w:rsidR="00953E6C" w:rsidRPr="00414F91" w:rsidRDefault="00953E6C" w:rsidP="00F73B24">
      <w:pPr>
        <w:pStyle w:val="Bullet"/>
        <w:numPr>
          <w:ilvl w:val="0"/>
          <w:numId w:val="25"/>
        </w:numPr>
      </w:pPr>
      <w:r w:rsidRPr="00414F91">
        <w:t>5 (33%) employers compliant with all requirements</w:t>
      </w:r>
    </w:p>
    <w:p w:rsidR="00953E6C" w:rsidRPr="00414F91" w:rsidRDefault="00953E6C" w:rsidP="00F73B24">
      <w:pPr>
        <w:pStyle w:val="Bullet"/>
        <w:numPr>
          <w:ilvl w:val="0"/>
          <w:numId w:val="25"/>
        </w:numPr>
      </w:pPr>
      <w:r w:rsidRPr="00414F91">
        <w:t xml:space="preserve">10 (67%) employers had at least one </w:t>
      </w:r>
      <w:r w:rsidR="00473E99">
        <w:t>error</w:t>
      </w:r>
      <w:r w:rsidRPr="00414F91">
        <w:t>, of which:</w:t>
      </w:r>
    </w:p>
    <w:p w:rsidR="00953E6C" w:rsidRPr="00414F91" w:rsidRDefault="00953E6C" w:rsidP="00F73B24">
      <w:pPr>
        <w:pStyle w:val="Bullet"/>
        <w:numPr>
          <w:ilvl w:val="0"/>
          <w:numId w:val="26"/>
        </w:numPr>
      </w:pPr>
      <w:r w:rsidRPr="00414F91">
        <w:t xml:space="preserve">5 (33%) had </w:t>
      </w:r>
      <w:r w:rsidR="00473E99">
        <w:t>errors</w:t>
      </w:r>
      <w:r w:rsidR="00473E99" w:rsidRPr="00414F91">
        <w:t xml:space="preserve"> </w:t>
      </w:r>
      <w:r w:rsidRPr="00414F91">
        <w:t xml:space="preserve">relating to pay rates </w:t>
      </w:r>
    </w:p>
    <w:p w:rsidR="00953E6C" w:rsidRPr="00414F91" w:rsidRDefault="00953E6C" w:rsidP="00F73B24">
      <w:pPr>
        <w:pStyle w:val="Bullet"/>
        <w:numPr>
          <w:ilvl w:val="0"/>
          <w:numId w:val="26"/>
        </w:numPr>
      </w:pPr>
      <w:r w:rsidRPr="00414F91">
        <w:t xml:space="preserve">3 (21%) had </w:t>
      </w:r>
      <w:r w:rsidR="00473E99">
        <w:t>errors</w:t>
      </w:r>
      <w:r w:rsidR="00473E99" w:rsidRPr="00414F91">
        <w:t xml:space="preserve"> </w:t>
      </w:r>
      <w:r w:rsidRPr="00414F91">
        <w:t>relating to records and pay</w:t>
      </w:r>
      <w:r w:rsidR="003C0D10">
        <w:t xml:space="preserve"> </w:t>
      </w:r>
      <w:r w:rsidRPr="00414F91">
        <w:t xml:space="preserve">slips </w:t>
      </w:r>
    </w:p>
    <w:p w:rsidR="00953E6C" w:rsidRPr="00414F91" w:rsidRDefault="00953E6C" w:rsidP="00F73B24">
      <w:pPr>
        <w:pStyle w:val="Bullet"/>
        <w:numPr>
          <w:ilvl w:val="0"/>
          <w:numId w:val="26"/>
        </w:numPr>
      </w:pPr>
      <w:r w:rsidRPr="00414F91">
        <w:t xml:space="preserve">2 (13%) concerned both pay slips/records and pay rates </w:t>
      </w:r>
    </w:p>
    <w:p w:rsidR="00953E6C" w:rsidRPr="00414F91" w:rsidRDefault="00953E6C" w:rsidP="00953E6C">
      <w:pPr>
        <w:spacing w:after="0" w:line="240" w:lineRule="auto"/>
        <w:rPr>
          <w:rFonts w:cstheme="minorHAnsi"/>
          <w:szCs w:val="22"/>
        </w:rPr>
      </w:pPr>
      <w:r w:rsidRPr="00414F91">
        <w:rPr>
          <w:rFonts w:cstheme="minorHAnsi"/>
          <w:szCs w:val="22"/>
        </w:rPr>
        <w:t>This means that:</w:t>
      </w:r>
    </w:p>
    <w:p w:rsidR="00953E6C" w:rsidRPr="00414F91" w:rsidRDefault="00953E6C" w:rsidP="00F73B24">
      <w:pPr>
        <w:pStyle w:val="Bullet"/>
        <w:numPr>
          <w:ilvl w:val="0"/>
          <w:numId w:val="27"/>
        </w:numPr>
      </w:pPr>
      <w:r w:rsidRPr="00414F91">
        <w:t>8 (53%) employers were paying their employees correctly</w:t>
      </w:r>
    </w:p>
    <w:p w:rsidR="00953E6C" w:rsidRDefault="00953E6C" w:rsidP="00F73B24">
      <w:pPr>
        <w:pStyle w:val="Bullet"/>
        <w:numPr>
          <w:ilvl w:val="0"/>
          <w:numId w:val="27"/>
        </w:numPr>
      </w:pPr>
      <w:r w:rsidRPr="00414F91">
        <w:t>10 (67%) employers were compliant with record-keeping and pay slip requirements.</w:t>
      </w:r>
    </w:p>
    <w:p w:rsidR="00A239D3" w:rsidRDefault="00A239D3" w:rsidP="00F73B24">
      <w:pPr>
        <w:pStyle w:val="Bullet"/>
      </w:pPr>
      <w:r>
        <w:t>In total, w</w:t>
      </w:r>
      <w:r w:rsidR="00953E6C" w:rsidRPr="00414F91">
        <w:t xml:space="preserve">e recovered $25,676 from </w:t>
      </w:r>
      <w:r w:rsidR="003C0D10">
        <w:t>7</w:t>
      </w:r>
      <w:r w:rsidR="00953E6C" w:rsidRPr="00414F91">
        <w:t xml:space="preserve"> businesses on behalf of 45 employees</w:t>
      </w:r>
      <w:r>
        <w:t xml:space="preserve">. </w:t>
      </w:r>
    </w:p>
    <w:p w:rsidR="00F73B24" w:rsidRDefault="00A239D3" w:rsidP="00F73B24">
      <w:pPr>
        <w:pStyle w:val="Bullet"/>
      </w:pPr>
      <w:r>
        <w:t>T</w:t>
      </w:r>
      <w:r w:rsidR="00953E6C" w:rsidRPr="00414F91">
        <w:t>he Northern Territory, when compared t</w:t>
      </w:r>
      <w:r>
        <w:t xml:space="preserve">o the </w:t>
      </w:r>
      <w:r w:rsidR="00F73B24">
        <w:t>national r</w:t>
      </w:r>
      <w:r>
        <w:t>esults</w:t>
      </w:r>
      <w:r w:rsidR="00473E99">
        <w:t>,</w:t>
      </w:r>
      <w:r>
        <w:t xml:space="preserve"> recorded</w:t>
      </w:r>
      <w:r w:rsidR="00953E6C" w:rsidRPr="00414F91">
        <w:t xml:space="preserve"> a considerably</w:t>
      </w:r>
      <w:r>
        <w:t xml:space="preserve"> higher </w:t>
      </w:r>
      <w:r w:rsidR="00473E99">
        <w:t xml:space="preserve">error </w:t>
      </w:r>
      <w:r>
        <w:t>rate (67% to 58%)</w:t>
      </w:r>
      <w:r w:rsidR="00321118">
        <w:t>.</w:t>
      </w:r>
      <w:r>
        <w:t xml:space="preserve"> </w:t>
      </w:r>
    </w:p>
    <w:p w:rsidR="00D41C48" w:rsidRDefault="00D41C48" w:rsidP="00F73B24">
      <w:pPr>
        <w:pStyle w:val="Heading2"/>
      </w:pPr>
      <w:bookmarkStart w:id="19" w:name="_Toc422387895"/>
      <w:r>
        <w:t>Queensland</w:t>
      </w:r>
      <w:bookmarkEnd w:id="19"/>
      <w:r>
        <w:t xml:space="preserve"> </w:t>
      </w:r>
    </w:p>
    <w:p w:rsidR="00D41C48" w:rsidRPr="00E075A8" w:rsidRDefault="00D41C48" w:rsidP="00E075A8">
      <w:pPr>
        <w:spacing w:after="0" w:line="240" w:lineRule="auto"/>
        <w:rPr>
          <w:rFonts w:cstheme="minorHAnsi"/>
          <w:szCs w:val="22"/>
        </w:rPr>
      </w:pPr>
      <w:r w:rsidRPr="00E075A8">
        <w:rPr>
          <w:rFonts w:cstheme="minorHAnsi"/>
          <w:szCs w:val="22"/>
        </w:rPr>
        <w:t xml:space="preserve">Of the 299 businesses we assessed in </w:t>
      </w:r>
      <w:r w:rsidRPr="00E075A8">
        <w:rPr>
          <w:rFonts w:cstheme="minorHAnsi"/>
          <w:b/>
          <w:szCs w:val="22"/>
        </w:rPr>
        <w:t>Queensland</w:t>
      </w:r>
      <w:r w:rsidRPr="00E075A8">
        <w:rPr>
          <w:rFonts w:cstheme="minorHAnsi"/>
          <w:szCs w:val="22"/>
        </w:rPr>
        <w:t>:</w:t>
      </w:r>
    </w:p>
    <w:p w:rsidR="00D41C48" w:rsidRPr="00E075A8" w:rsidRDefault="00D41C48" w:rsidP="00F73B24">
      <w:pPr>
        <w:pStyle w:val="Bullet"/>
        <w:numPr>
          <w:ilvl w:val="0"/>
          <w:numId w:val="28"/>
        </w:numPr>
      </w:pPr>
      <w:r w:rsidRPr="00E075A8">
        <w:t>151 (51%) employers compliant with all requirements</w:t>
      </w:r>
    </w:p>
    <w:p w:rsidR="00D41C48" w:rsidRPr="00E075A8" w:rsidRDefault="00D41C48" w:rsidP="00F73B24">
      <w:pPr>
        <w:pStyle w:val="Bullet"/>
        <w:numPr>
          <w:ilvl w:val="0"/>
          <w:numId w:val="28"/>
        </w:numPr>
      </w:pPr>
      <w:r w:rsidRPr="00E075A8">
        <w:t xml:space="preserve">148 (49%) employers had at least one </w:t>
      </w:r>
      <w:r w:rsidR="00473E99">
        <w:t>error</w:t>
      </w:r>
      <w:r w:rsidRPr="00E075A8">
        <w:t>, of which:</w:t>
      </w:r>
    </w:p>
    <w:p w:rsidR="00D41C48" w:rsidRPr="00E075A8" w:rsidRDefault="00D41C48" w:rsidP="00F73B24">
      <w:pPr>
        <w:pStyle w:val="Bullet"/>
        <w:numPr>
          <w:ilvl w:val="0"/>
          <w:numId w:val="29"/>
        </w:numPr>
      </w:pPr>
      <w:r w:rsidRPr="00E075A8">
        <w:t xml:space="preserve">103 (34%) had </w:t>
      </w:r>
      <w:r w:rsidR="00473E99">
        <w:t>errors</w:t>
      </w:r>
      <w:r w:rsidR="00473E99" w:rsidRPr="00E075A8">
        <w:t xml:space="preserve"> </w:t>
      </w:r>
      <w:r w:rsidRPr="00E075A8">
        <w:t>relating to pay rates</w:t>
      </w:r>
    </w:p>
    <w:p w:rsidR="00D41C48" w:rsidRPr="00E075A8" w:rsidRDefault="00D41C48" w:rsidP="00F73B24">
      <w:pPr>
        <w:pStyle w:val="Bullet"/>
        <w:numPr>
          <w:ilvl w:val="0"/>
          <w:numId w:val="29"/>
        </w:numPr>
      </w:pPr>
      <w:r w:rsidRPr="00E075A8">
        <w:t xml:space="preserve">20 (7%) had </w:t>
      </w:r>
      <w:r w:rsidR="00473E99">
        <w:t>errors</w:t>
      </w:r>
      <w:r w:rsidR="00473E99" w:rsidRPr="00E075A8">
        <w:t xml:space="preserve"> </w:t>
      </w:r>
      <w:r w:rsidRPr="00E075A8">
        <w:t>relating to record-keeping and payslips; and</w:t>
      </w:r>
    </w:p>
    <w:p w:rsidR="00F73B24" w:rsidRDefault="00D41C48" w:rsidP="00F73B24">
      <w:pPr>
        <w:pStyle w:val="Bullet"/>
        <w:numPr>
          <w:ilvl w:val="0"/>
          <w:numId w:val="29"/>
        </w:numPr>
      </w:pPr>
      <w:r w:rsidRPr="00E075A8">
        <w:t>25 (8%) concerned both pay slips/record-keeping and pay rates</w:t>
      </w:r>
      <w:r>
        <w:t>.</w:t>
      </w:r>
      <w:r w:rsidRPr="00E075A8">
        <w:t xml:space="preserve"> </w:t>
      </w:r>
    </w:p>
    <w:p w:rsidR="00D41C48" w:rsidRPr="004C0C61" w:rsidRDefault="00D41C48" w:rsidP="00F73B24">
      <w:pPr>
        <w:pStyle w:val="Bullet"/>
      </w:pPr>
      <w:r w:rsidRPr="004C0C61">
        <w:t>This means that:</w:t>
      </w:r>
    </w:p>
    <w:p w:rsidR="00D41C48" w:rsidRPr="00E075A8" w:rsidRDefault="00D41C48" w:rsidP="00F73B24">
      <w:pPr>
        <w:pStyle w:val="Bullet"/>
        <w:numPr>
          <w:ilvl w:val="0"/>
          <w:numId w:val="30"/>
        </w:numPr>
      </w:pPr>
      <w:r w:rsidRPr="00E075A8">
        <w:t>171 (57%) employers were paying their employees correctly; and</w:t>
      </w:r>
    </w:p>
    <w:p w:rsidR="00D41C48" w:rsidRPr="00E075A8" w:rsidRDefault="00D41C48" w:rsidP="00F73B24">
      <w:pPr>
        <w:pStyle w:val="Bullet"/>
        <w:numPr>
          <w:ilvl w:val="0"/>
          <w:numId w:val="30"/>
        </w:numPr>
      </w:pPr>
      <w:r w:rsidRPr="00E075A8">
        <w:t>254 (85%) employers were compliant with record-keeping and pay slip requirements.</w:t>
      </w:r>
    </w:p>
    <w:p w:rsidR="00953E6C" w:rsidRDefault="003C0D10" w:rsidP="00F73B24">
      <w:pPr>
        <w:pStyle w:val="Bullet"/>
      </w:pPr>
      <w:r>
        <w:lastRenderedPageBreak/>
        <w:t>T</w:t>
      </w:r>
      <w:r w:rsidR="00A239D3">
        <w:t xml:space="preserve">here </w:t>
      </w:r>
      <w:proofErr w:type="gramStart"/>
      <w:r w:rsidR="00A239D3">
        <w:t>was</w:t>
      </w:r>
      <w:proofErr w:type="gramEnd"/>
      <w:r w:rsidR="00A239D3">
        <w:t xml:space="preserve"> </w:t>
      </w:r>
      <w:r w:rsidR="00D41C48" w:rsidRPr="00E075A8">
        <w:t xml:space="preserve">a total of 225 individual </w:t>
      </w:r>
      <w:r w:rsidR="00473E99">
        <w:t xml:space="preserve">errors </w:t>
      </w:r>
      <w:r>
        <w:t>from 148 businesses</w:t>
      </w:r>
      <w:r w:rsidR="00D41C48" w:rsidRPr="00E075A8">
        <w:t>. Underpayment of</w:t>
      </w:r>
      <w:r>
        <w:t xml:space="preserve"> the minimum base</w:t>
      </w:r>
      <w:r w:rsidR="00F73B24">
        <w:t xml:space="preserve"> hourly </w:t>
      </w:r>
      <w:r w:rsidR="00D41C48" w:rsidRPr="00E075A8">
        <w:t xml:space="preserve">rate accounted for 44% of </w:t>
      </w:r>
      <w:r>
        <w:t xml:space="preserve">the </w:t>
      </w:r>
      <w:r w:rsidR="00473E99">
        <w:t>errors</w:t>
      </w:r>
      <w:r w:rsidR="00D41C48" w:rsidRPr="00E075A8">
        <w:t xml:space="preserve">, 25% related to weekend penalties and 15% for </w:t>
      </w:r>
      <w:r w:rsidR="00A239D3">
        <w:t xml:space="preserve">incorrect </w:t>
      </w:r>
      <w:r w:rsidR="005944D8">
        <w:t xml:space="preserve">payslip </w:t>
      </w:r>
      <w:r w:rsidR="00A239D3">
        <w:t>information</w:t>
      </w:r>
      <w:r w:rsidR="00D41C48" w:rsidRPr="00E075A8">
        <w:t>. In total, we recovered $355,980 from 121 businesses on behalf of 846 employees.</w:t>
      </w:r>
    </w:p>
    <w:p w:rsidR="00D65CA9" w:rsidRDefault="00D41C48" w:rsidP="00F73B24">
      <w:pPr>
        <w:pStyle w:val="Bullet"/>
      </w:pPr>
      <w:r w:rsidRPr="00E075A8">
        <w:t xml:space="preserve">We identified a number of businesses incorrectly paying juniors, </w:t>
      </w:r>
      <w:r w:rsidR="00A239D3">
        <w:t xml:space="preserve">which </w:t>
      </w:r>
      <w:r w:rsidR="003C0D10">
        <w:t xml:space="preserve">was </w:t>
      </w:r>
      <w:r w:rsidR="00A239D3">
        <w:t>mostly</w:t>
      </w:r>
      <w:r w:rsidRPr="00E075A8">
        <w:t xml:space="preserve"> due to </w:t>
      </w:r>
      <w:r w:rsidR="00473E99">
        <w:t>a failure to</w:t>
      </w:r>
      <w:r w:rsidR="00473E99" w:rsidRPr="00E075A8">
        <w:t xml:space="preserve"> </w:t>
      </w:r>
      <w:r w:rsidR="00A239D3">
        <w:t>increas</w:t>
      </w:r>
      <w:r w:rsidR="00473E99">
        <w:t>e</w:t>
      </w:r>
      <w:r w:rsidR="00A239D3">
        <w:t xml:space="preserve"> </w:t>
      </w:r>
      <w:r w:rsidR="003C0D10">
        <w:t xml:space="preserve">their </w:t>
      </w:r>
      <w:r w:rsidR="00A239D3">
        <w:t>pay rates</w:t>
      </w:r>
      <w:r w:rsidRPr="00E075A8">
        <w:t xml:space="preserve"> after an employee’s birthday. We further identified many businesses</w:t>
      </w:r>
      <w:r w:rsidR="003C0D10">
        <w:t xml:space="preserve"> were</w:t>
      </w:r>
      <w:r w:rsidR="005944D8">
        <w:t xml:space="preserve"> unaware</w:t>
      </w:r>
      <w:r w:rsidRPr="00E075A8">
        <w:t xml:space="preserve"> of the difference between part time and casual employment</w:t>
      </w:r>
      <w:r w:rsidR="003C0D10">
        <w:t>. Specifically</w:t>
      </w:r>
      <w:r w:rsidR="00473E99">
        <w:t>, we found that</w:t>
      </w:r>
      <w:r w:rsidRPr="00E075A8">
        <w:t xml:space="preserve"> part time hourly rates were paid but oth</w:t>
      </w:r>
      <w:r w:rsidR="005944D8">
        <w:t>er entitlements (i.e. personal</w:t>
      </w:r>
      <w:r w:rsidRPr="00E075A8">
        <w:t xml:space="preserve">/annual leave) were </w:t>
      </w:r>
      <w:r w:rsidR="00473E99">
        <w:t xml:space="preserve">often </w:t>
      </w:r>
      <w:r w:rsidRPr="00E075A8">
        <w:t>not</w:t>
      </w:r>
      <w:r w:rsidR="003C0D10">
        <w:t xml:space="preserve"> provided</w:t>
      </w:r>
      <w:r w:rsidRPr="00E075A8">
        <w:t>.</w:t>
      </w:r>
    </w:p>
    <w:p w:rsidR="00D41C48" w:rsidRDefault="00D41C48" w:rsidP="00F73B24">
      <w:pPr>
        <w:pStyle w:val="Heading2"/>
      </w:pPr>
      <w:bookmarkStart w:id="20" w:name="_Toc422387896"/>
      <w:r>
        <w:t>Western Australia</w:t>
      </w:r>
      <w:bookmarkEnd w:id="20"/>
    </w:p>
    <w:p w:rsidR="00D41C48" w:rsidRPr="0088242E" w:rsidRDefault="00D41C48" w:rsidP="0088242E">
      <w:pPr>
        <w:spacing w:after="0" w:line="240" w:lineRule="auto"/>
        <w:rPr>
          <w:rFonts w:cstheme="minorHAnsi"/>
          <w:szCs w:val="22"/>
        </w:rPr>
      </w:pPr>
      <w:r w:rsidRPr="0088242E">
        <w:rPr>
          <w:rFonts w:cstheme="minorHAnsi"/>
          <w:szCs w:val="22"/>
        </w:rPr>
        <w:t xml:space="preserve">Of the 38 businesses we assessed in </w:t>
      </w:r>
      <w:r w:rsidRPr="0088242E">
        <w:rPr>
          <w:rFonts w:cstheme="minorHAnsi"/>
          <w:b/>
          <w:szCs w:val="22"/>
        </w:rPr>
        <w:t>Western Australia</w:t>
      </w:r>
      <w:r w:rsidRPr="0088242E">
        <w:rPr>
          <w:rFonts w:cstheme="minorHAnsi"/>
          <w:szCs w:val="22"/>
        </w:rPr>
        <w:t>:</w:t>
      </w:r>
    </w:p>
    <w:p w:rsidR="00D41C48" w:rsidRPr="0088242E" w:rsidRDefault="00D41C48" w:rsidP="00F73B24">
      <w:pPr>
        <w:pStyle w:val="Bullet"/>
        <w:numPr>
          <w:ilvl w:val="0"/>
          <w:numId w:val="31"/>
        </w:numPr>
      </w:pPr>
      <w:r w:rsidRPr="0088242E">
        <w:t>18 (47%) employers to be compliant with all requirements</w:t>
      </w:r>
    </w:p>
    <w:p w:rsidR="00D41C48" w:rsidRPr="0088242E" w:rsidRDefault="00D41C48" w:rsidP="00F73B24">
      <w:pPr>
        <w:pStyle w:val="Bullet"/>
        <w:numPr>
          <w:ilvl w:val="0"/>
          <w:numId w:val="31"/>
        </w:numPr>
      </w:pPr>
      <w:r w:rsidRPr="0088242E">
        <w:t xml:space="preserve">20 (53%) employers had at least one </w:t>
      </w:r>
      <w:r w:rsidR="00473E99">
        <w:t>error</w:t>
      </w:r>
      <w:r w:rsidRPr="0088242E">
        <w:t>, of which:</w:t>
      </w:r>
    </w:p>
    <w:p w:rsidR="00D41C48" w:rsidRPr="0088242E" w:rsidRDefault="00D41C48" w:rsidP="00F73B24">
      <w:pPr>
        <w:pStyle w:val="Bullet"/>
        <w:numPr>
          <w:ilvl w:val="0"/>
          <w:numId w:val="32"/>
        </w:numPr>
      </w:pPr>
      <w:r w:rsidRPr="0088242E">
        <w:t xml:space="preserve">12 (31%) had </w:t>
      </w:r>
      <w:r w:rsidR="00473E99">
        <w:t>errors</w:t>
      </w:r>
      <w:r w:rsidR="00473E99" w:rsidRPr="0088242E">
        <w:t xml:space="preserve"> </w:t>
      </w:r>
      <w:r w:rsidRPr="0088242E">
        <w:t xml:space="preserve">relating to pay rates </w:t>
      </w:r>
    </w:p>
    <w:p w:rsidR="00D41C48" w:rsidRPr="0088242E" w:rsidRDefault="00D41C48" w:rsidP="00F73B24">
      <w:pPr>
        <w:pStyle w:val="Bullet"/>
        <w:numPr>
          <w:ilvl w:val="0"/>
          <w:numId w:val="32"/>
        </w:numPr>
      </w:pPr>
      <w:r w:rsidRPr="0088242E">
        <w:t xml:space="preserve">4 (11%) had </w:t>
      </w:r>
      <w:r w:rsidR="00473E99">
        <w:t>errors</w:t>
      </w:r>
      <w:r w:rsidR="00473E99" w:rsidRPr="0088242E">
        <w:t xml:space="preserve"> </w:t>
      </w:r>
      <w:r w:rsidRPr="0088242E">
        <w:t xml:space="preserve">relating to records and payslips </w:t>
      </w:r>
    </w:p>
    <w:p w:rsidR="00953E6C" w:rsidRDefault="00D41C48" w:rsidP="00F73B24">
      <w:pPr>
        <w:pStyle w:val="Bullet"/>
        <w:numPr>
          <w:ilvl w:val="0"/>
          <w:numId w:val="32"/>
        </w:numPr>
      </w:pPr>
      <w:r w:rsidRPr="0088242E">
        <w:t>4 (11%) concerned both pay slips/records and pay rates</w:t>
      </w:r>
      <w:r w:rsidR="00953E6C">
        <w:t>.</w:t>
      </w:r>
    </w:p>
    <w:p w:rsidR="00D41C48" w:rsidRPr="0088242E" w:rsidRDefault="00D41C48" w:rsidP="00F73B24">
      <w:pPr>
        <w:pStyle w:val="Bullet"/>
      </w:pPr>
      <w:r w:rsidRPr="0088242E">
        <w:t>This means that:</w:t>
      </w:r>
    </w:p>
    <w:p w:rsidR="00D41C48" w:rsidRPr="0088242E" w:rsidRDefault="00D41C48" w:rsidP="00F73B24">
      <w:pPr>
        <w:pStyle w:val="Bullet"/>
        <w:numPr>
          <w:ilvl w:val="0"/>
          <w:numId w:val="33"/>
        </w:numPr>
      </w:pPr>
      <w:r w:rsidRPr="0088242E">
        <w:t xml:space="preserve">22 (58%) employers were paying their employees correctly </w:t>
      </w:r>
    </w:p>
    <w:p w:rsidR="00732BCD" w:rsidRDefault="00D41C48" w:rsidP="00F73B24">
      <w:pPr>
        <w:pStyle w:val="Bullet"/>
        <w:numPr>
          <w:ilvl w:val="0"/>
          <w:numId w:val="33"/>
        </w:numPr>
      </w:pPr>
      <w:r w:rsidRPr="0088242E">
        <w:t>30 (79%) employers were compliant with record-keeping and pay slip requirements.</w:t>
      </w:r>
    </w:p>
    <w:p w:rsidR="005C49B2" w:rsidRDefault="00D41C48" w:rsidP="00F73B24">
      <w:pPr>
        <w:pStyle w:val="Bullet"/>
      </w:pPr>
      <w:r w:rsidRPr="00D41C48">
        <w:t>In total, we recovered $51,650 from 16 businesses</w:t>
      </w:r>
      <w:r w:rsidR="00473E99">
        <w:t xml:space="preserve"> </w:t>
      </w:r>
      <w:r w:rsidRPr="00D41C48">
        <w:t xml:space="preserve">on behalf of 62 employees. </w:t>
      </w:r>
    </w:p>
    <w:p w:rsidR="004C0C61" w:rsidRDefault="00953E6C" w:rsidP="00F73B24">
      <w:pPr>
        <w:pStyle w:val="Heading2"/>
      </w:pPr>
      <w:bookmarkStart w:id="21" w:name="_Toc422387897"/>
      <w:bookmarkStart w:id="22" w:name="_Toc410822210"/>
      <w:r>
        <w:t>South Australia</w:t>
      </w:r>
      <w:bookmarkEnd w:id="21"/>
    </w:p>
    <w:p w:rsidR="004C0C61" w:rsidRPr="00414F91" w:rsidRDefault="004C0C61" w:rsidP="004C0C61">
      <w:pPr>
        <w:spacing w:after="0" w:line="240" w:lineRule="auto"/>
        <w:rPr>
          <w:rFonts w:cstheme="minorHAnsi"/>
          <w:szCs w:val="22"/>
        </w:rPr>
      </w:pPr>
      <w:r w:rsidRPr="00414F91">
        <w:rPr>
          <w:rFonts w:cstheme="minorHAnsi"/>
          <w:szCs w:val="22"/>
        </w:rPr>
        <w:t xml:space="preserve">Of the 87 businesses we assessed in </w:t>
      </w:r>
      <w:r w:rsidRPr="00414F91">
        <w:rPr>
          <w:rFonts w:cstheme="minorHAnsi"/>
          <w:b/>
          <w:szCs w:val="22"/>
        </w:rPr>
        <w:t>South Australia</w:t>
      </w:r>
      <w:r w:rsidRPr="00414F91">
        <w:rPr>
          <w:rFonts w:cstheme="minorHAnsi"/>
          <w:szCs w:val="22"/>
        </w:rPr>
        <w:t>:</w:t>
      </w:r>
    </w:p>
    <w:p w:rsidR="004C0C61" w:rsidRPr="00414F91" w:rsidRDefault="004C0C61" w:rsidP="00F73B24">
      <w:pPr>
        <w:pStyle w:val="Bullet"/>
        <w:numPr>
          <w:ilvl w:val="0"/>
          <w:numId w:val="34"/>
        </w:numPr>
      </w:pPr>
      <w:r w:rsidRPr="00414F91">
        <w:t>34 (39%) employers compliant with all requirements</w:t>
      </w:r>
    </w:p>
    <w:p w:rsidR="004C0C61" w:rsidRPr="00414F91" w:rsidRDefault="004C0C61" w:rsidP="00F73B24">
      <w:pPr>
        <w:pStyle w:val="Bullet"/>
        <w:numPr>
          <w:ilvl w:val="0"/>
          <w:numId w:val="34"/>
        </w:numPr>
      </w:pPr>
      <w:r w:rsidRPr="00414F91">
        <w:t xml:space="preserve">53 (61%) employers had at least one </w:t>
      </w:r>
      <w:r w:rsidR="00473E99">
        <w:t>error</w:t>
      </w:r>
      <w:r w:rsidRPr="00414F91">
        <w:t>, of which:</w:t>
      </w:r>
    </w:p>
    <w:p w:rsidR="004C0C61" w:rsidRPr="00414F91" w:rsidRDefault="004C0C61" w:rsidP="00F73B24">
      <w:pPr>
        <w:pStyle w:val="Bullet"/>
        <w:numPr>
          <w:ilvl w:val="1"/>
          <w:numId w:val="34"/>
        </w:numPr>
      </w:pPr>
      <w:r w:rsidRPr="00414F91">
        <w:t xml:space="preserve">29 (33%) had </w:t>
      </w:r>
      <w:r w:rsidR="00473E99">
        <w:t>errors</w:t>
      </w:r>
      <w:r w:rsidR="00473E99" w:rsidRPr="00414F91">
        <w:t xml:space="preserve"> </w:t>
      </w:r>
      <w:r w:rsidRPr="00414F91">
        <w:t>relating to pay rates</w:t>
      </w:r>
    </w:p>
    <w:p w:rsidR="004C0C61" w:rsidRPr="00414F91" w:rsidRDefault="004C0C61" w:rsidP="00F73B24">
      <w:pPr>
        <w:pStyle w:val="Bullet"/>
        <w:numPr>
          <w:ilvl w:val="1"/>
          <w:numId w:val="34"/>
        </w:numPr>
      </w:pPr>
      <w:r w:rsidRPr="00414F91">
        <w:t xml:space="preserve">9 (11%) had </w:t>
      </w:r>
      <w:r w:rsidR="00473E99">
        <w:t xml:space="preserve">errors </w:t>
      </w:r>
      <w:r w:rsidRPr="00414F91">
        <w:t>relating to records and payslips</w:t>
      </w:r>
    </w:p>
    <w:p w:rsidR="004C0C61" w:rsidRDefault="004C0C61" w:rsidP="00F73B24">
      <w:pPr>
        <w:pStyle w:val="Bullet"/>
        <w:numPr>
          <w:ilvl w:val="1"/>
          <w:numId w:val="34"/>
        </w:numPr>
      </w:pPr>
      <w:r w:rsidRPr="00414F91">
        <w:t xml:space="preserve">15 (17%) concerned both pay slips/ records and pay rates </w:t>
      </w:r>
    </w:p>
    <w:p w:rsidR="004C0C61" w:rsidRPr="00414F91" w:rsidRDefault="004C0C61" w:rsidP="00F73B24">
      <w:pPr>
        <w:pStyle w:val="Bullet"/>
      </w:pPr>
      <w:r w:rsidRPr="00414F91">
        <w:t>This means that:</w:t>
      </w:r>
    </w:p>
    <w:p w:rsidR="004C0C61" w:rsidRPr="004C0C61" w:rsidRDefault="004C0C61" w:rsidP="00F73B24">
      <w:pPr>
        <w:pStyle w:val="Bullet"/>
        <w:numPr>
          <w:ilvl w:val="0"/>
          <w:numId w:val="35"/>
        </w:numPr>
      </w:pPr>
      <w:r w:rsidRPr="004C0C61">
        <w:t>43 (49%) employers were paying their employees correctly; and</w:t>
      </w:r>
    </w:p>
    <w:p w:rsidR="004C0C61" w:rsidRPr="004C0C61" w:rsidRDefault="004C0C61" w:rsidP="00F73B24">
      <w:pPr>
        <w:pStyle w:val="Bullet"/>
        <w:numPr>
          <w:ilvl w:val="0"/>
          <w:numId w:val="35"/>
        </w:numPr>
      </w:pPr>
      <w:r w:rsidRPr="004C0C61">
        <w:t>63 (72%) employers were compliant with record-keeping and pay slip requirements.</w:t>
      </w:r>
    </w:p>
    <w:p w:rsidR="004C0C61" w:rsidRDefault="00230A84" w:rsidP="00F73B24">
      <w:pPr>
        <w:pStyle w:val="Bullet"/>
      </w:pPr>
      <w:r>
        <w:t>T</w:t>
      </w:r>
      <w:r w:rsidR="004C0C61" w:rsidRPr="00414F91">
        <w:t xml:space="preserve">here </w:t>
      </w:r>
      <w:r w:rsidR="005944D8">
        <w:t>were</w:t>
      </w:r>
      <w:r w:rsidR="004C0C61" w:rsidRPr="00414F91">
        <w:t xml:space="preserve"> 76 individual </w:t>
      </w:r>
      <w:r w:rsidR="00473E99">
        <w:t xml:space="preserve">errors </w:t>
      </w:r>
      <w:r>
        <w:t>from 53 businesses</w:t>
      </w:r>
      <w:r w:rsidR="004C0C61" w:rsidRPr="00414F91">
        <w:t>. Underpayment of</w:t>
      </w:r>
      <w:r>
        <w:t xml:space="preserve"> the</w:t>
      </w:r>
      <w:r w:rsidR="00F73B24">
        <w:t xml:space="preserve"> minimum</w:t>
      </w:r>
      <w:r>
        <w:t xml:space="preserve"> base</w:t>
      </w:r>
      <w:r w:rsidR="004C0C61" w:rsidRPr="00414F91">
        <w:t xml:space="preserve"> hourly rate accounted for 51%</w:t>
      </w:r>
      <w:r>
        <w:t xml:space="preserve"> of those </w:t>
      </w:r>
      <w:r w:rsidR="00473E99">
        <w:t>errors</w:t>
      </w:r>
      <w:r w:rsidR="00473E99" w:rsidRPr="00414F91">
        <w:t xml:space="preserve"> </w:t>
      </w:r>
      <w:r w:rsidR="004C0C61" w:rsidRPr="00414F91">
        <w:t>with a further 16% relating to</w:t>
      </w:r>
      <w:r w:rsidR="004C0C61">
        <w:t xml:space="preserve"> payslip content</w:t>
      </w:r>
      <w:r w:rsidR="004C0C61" w:rsidRPr="00414F91">
        <w:t>. In total, we recovered $63,967 from 36 businesses on behalf of 193 employees.</w:t>
      </w:r>
    </w:p>
    <w:p w:rsidR="004C0C61" w:rsidRDefault="004C0C61" w:rsidP="00F73B24">
      <w:pPr>
        <w:pStyle w:val="Bullet"/>
      </w:pPr>
      <w:r w:rsidRPr="00414F91">
        <w:lastRenderedPageBreak/>
        <w:t xml:space="preserve">In South Australia, </w:t>
      </w:r>
      <w:r w:rsidR="00473E99">
        <w:t>we</w:t>
      </w:r>
      <w:r w:rsidRPr="00414F91">
        <w:t xml:space="preserve"> most common</w:t>
      </w:r>
      <w:r>
        <w:t>ly identified</w:t>
      </w:r>
      <w:r w:rsidRPr="00414F91">
        <w:t xml:space="preserve"> </w:t>
      </w:r>
      <w:r w:rsidR="00230A84">
        <w:t xml:space="preserve">that </w:t>
      </w:r>
      <w:r w:rsidR="005944D8" w:rsidRPr="00414F91">
        <w:t xml:space="preserve">underpayment </w:t>
      </w:r>
      <w:r w:rsidRPr="00414F91">
        <w:t xml:space="preserve">of hourly rates occurred due to incorrect classification </w:t>
      </w:r>
      <w:r w:rsidR="005944D8">
        <w:t xml:space="preserve">of </w:t>
      </w:r>
      <w:r w:rsidRPr="00414F91">
        <w:t>Food and Beverage attendants</w:t>
      </w:r>
      <w:r>
        <w:t xml:space="preserve"> (</w:t>
      </w:r>
      <w:r w:rsidR="00473E99">
        <w:t>L</w:t>
      </w:r>
      <w:r>
        <w:t>evel 1</w:t>
      </w:r>
      <w:r w:rsidR="005944D8">
        <w:t xml:space="preserve"> instead of Level </w:t>
      </w:r>
      <w:r w:rsidRPr="00414F91">
        <w:t>2</w:t>
      </w:r>
      <w:r>
        <w:t>)</w:t>
      </w:r>
      <w:proofErr w:type="gramStart"/>
      <w:r w:rsidRPr="00414F91">
        <w:t>,</w:t>
      </w:r>
      <w:proofErr w:type="gramEnd"/>
      <w:r w:rsidRPr="00414F91">
        <w:t xml:space="preserve"> with </w:t>
      </w:r>
      <w:r>
        <w:t xml:space="preserve">most </w:t>
      </w:r>
      <w:r w:rsidRPr="00414F91">
        <w:t xml:space="preserve">employers </w:t>
      </w:r>
      <w:r w:rsidR="005944D8">
        <w:t>advising</w:t>
      </w:r>
      <w:r w:rsidRPr="00414F91">
        <w:t xml:space="preserve"> they </w:t>
      </w:r>
      <w:r w:rsidR="005944D8">
        <w:t>weren’t aware of</w:t>
      </w:r>
      <w:r w:rsidRPr="00414F91">
        <w:t xml:space="preserve"> the difference between these classifications</w:t>
      </w:r>
      <w:r w:rsidRPr="00D65CA9">
        <w:rPr>
          <w:vertAlign w:val="superscript"/>
        </w:rPr>
        <w:endnoteReference w:id="1"/>
      </w:r>
      <w:r w:rsidRPr="00414F91">
        <w:t>.</w:t>
      </w:r>
      <w:r>
        <w:t xml:space="preserve"> </w:t>
      </w:r>
    </w:p>
    <w:p w:rsidR="00953E6C" w:rsidRDefault="004C0C61" w:rsidP="00F73B24">
      <w:pPr>
        <w:pStyle w:val="Heading2"/>
      </w:pPr>
      <w:bookmarkStart w:id="23" w:name="_Toc422387898"/>
      <w:r>
        <w:t>Conclusion</w:t>
      </w:r>
      <w:bookmarkEnd w:id="23"/>
      <w:r w:rsidR="00953E6C">
        <w:t xml:space="preserve"> </w:t>
      </w:r>
    </w:p>
    <w:bookmarkEnd w:id="22"/>
    <w:p w:rsidR="00D41C48" w:rsidRPr="00414F91" w:rsidRDefault="00F36E15" w:rsidP="00F73B24">
      <w:pPr>
        <w:pStyle w:val="Bullet"/>
      </w:pPr>
      <w:r>
        <w:t xml:space="preserve">The </w:t>
      </w:r>
      <w:r w:rsidRPr="00414F91">
        <w:t xml:space="preserve">National </w:t>
      </w:r>
      <w:r w:rsidR="00230A84">
        <w:t>H</w:t>
      </w:r>
      <w:r w:rsidRPr="00414F91">
        <w:t>ospitality Industry Campaign (wave 2) – Restaurant’s, Café’s and Catering</w:t>
      </w:r>
      <w:r>
        <w:t xml:space="preserve"> </w:t>
      </w:r>
      <w:r w:rsidR="00D41C48" w:rsidRPr="00414F91">
        <w:t>identified</w:t>
      </w:r>
      <w:r w:rsidR="004316A0">
        <w:t xml:space="preserve"> </w:t>
      </w:r>
      <w:r>
        <w:t xml:space="preserve">a </w:t>
      </w:r>
      <w:r w:rsidR="00D41C48" w:rsidRPr="00414F91">
        <w:t>58%</w:t>
      </w:r>
      <w:r w:rsidR="004316A0">
        <w:t xml:space="preserve"> (</w:t>
      </w:r>
      <w:r w:rsidR="004316A0" w:rsidRPr="00414F91">
        <w:t>615</w:t>
      </w:r>
      <w:r w:rsidR="00230A84">
        <w:t xml:space="preserve"> businesses</w:t>
      </w:r>
      <w:r w:rsidR="004316A0">
        <w:t xml:space="preserve">) </w:t>
      </w:r>
      <w:r w:rsidR="00230A84">
        <w:t xml:space="preserve">contravention </w:t>
      </w:r>
      <w:r>
        <w:t>rate, which</w:t>
      </w:r>
      <w:r w:rsidR="004316A0">
        <w:t xml:space="preserve"> most commonly</w:t>
      </w:r>
      <w:r>
        <w:t xml:space="preserve"> related to</w:t>
      </w:r>
      <w:r w:rsidR="004316A0">
        <w:t xml:space="preserve"> pay</w:t>
      </w:r>
      <w:r w:rsidR="00230A84">
        <w:t xml:space="preserve"> </w:t>
      </w:r>
      <w:r w:rsidR="004316A0">
        <w:t>rate</w:t>
      </w:r>
      <w:r>
        <w:t xml:space="preserve">s. </w:t>
      </w:r>
      <w:r w:rsidR="00230A84">
        <w:t>It is important to note that this contravention rate is higher than the 38% contravention rate identified during</w:t>
      </w:r>
      <w:r w:rsidR="00230A84" w:rsidRPr="00414F91">
        <w:t xml:space="preserve"> </w:t>
      </w:r>
      <w:r w:rsidR="00230A84">
        <w:t>wave</w:t>
      </w:r>
      <w:r w:rsidR="00230A84" w:rsidRPr="00414F91">
        <w:t xml:space="preserve"> 1 of the National Hospitality Ind</w:t>
      </w:r>
      <w:r w:rsidR="00F73B24">
        <w:t xml:space="preserve">ustry Campaign – (Accommodation, </w:t>
      </w:r>
      <w:r w:rsidR="00230A84" w:rsidRPr="00414F91">
        <w:t>Taverns &amp; Bar</w:t>
      </w:r>
      <w:r w:rsidR="00230A84">
        <w:t>s). Therefore w</w:t>
      </w:r>
      <w:r>
        <w:t xml:space="preserve">hilst these results are consistent with the 59% </w:t>
      </w:r>
      <w:r w:rsidR="00230A84">
        <w:t xml:space="preserve">contravention </w:t>
      </w:r>
      <w:r>
        <w:t>rate identified in our pre-complaint data (from 2010 and 2011 calendar years), the results demonstrate this sub-industry</w:t>
      </w:r>
      <w:r w:rsidRPr="00414F91">
        <w:t xml:space="preserve"> requi</w:t>
      </w:r>
      <w:r>
        <w:t xml:space="preserve">res </w:t>
      </w:r>
      <w:r w:rsidR="00230A84">
        <w:t>continued intervention from the Fair Work Ombudsman</w:t>
      </w:r>
      <w:r>
        <w:t>.</w:t>
      </w:r>
      <w:r w:rsidR="00321118">
        <w:t xml:space="preserve"> We found employer association membership to be low among the employers audited in this campaign. We expect that increased membership of an employer association is likely to reduce non-compliance in this sector. </w:t>
      </w:r>
    </w:p>
    <w:p w:rsidR="009629F3" w:rsidRPr="009629F3" w:rsidRDefault="009629F3" w:rsidP="00F73B24">
      <w:pPr>
        <w:pStyle w:val="Heading2"/>
        <w:rPr>
          <w:lang w:eastAsia="en-AU"/>
        </w:rPr>
      </w:pPr>
      <w:bookmarkStart w:id="24" w:name="_Toc354148740"/>
      <w:bookmarkStart w:id="25" w:name="_Toc410822211"/>
      <w:bookmarkStart w:id="26" w:name="_Toc422387899"/>
      <w:r w:rsidRPr="009629F3">
        <w:t>About the Fair Work Ombudsman</w:t>
      </w:r>
      <w:bookmarkEnd w:id="24"/>
      <w:bookmarkEnd w:id="25"/>
      <w:bookmarkEnd w:id="26"/>
    </w:p>
    <w:p w:rsidR="00414F91" w:rsidRPr="00414F91" w:rsidRDefault="00414F91" w:rsidP="00F73B24">
      <w:pPr>
        <w:pStyle w:val="Bullet"/>
      </w:pPr>
      <w:r w:rsidRPr="00414F91">
        <w:t xml:space="preserve">The Fair Work Ombudsman is an independent agency created by the </w:t>
      </w:r>
      <w:r w:rsidRPr="00414F91">
        <w:rPr>
          <w:i/>
        </w:rPr>
        <w:t>Fair Work Act 2009</w:t>
      </w:r>
      <w:r>
        <w:t xml:space="preserve"> on 1 July </w:t>
      </w:r>
      <w:r w:rsidRPr="00414F91">
        <w:t>2009. Our vision is fair Australian workplaces, and our mission is to work with Australians to educate, promote fairness and ensure justice in the workplace.</w:t>
      </w:r>
    </w:p>
    <w:p w:rsidR="00B00DFD" w:rsidRPr="00B00DFD" w:rsidRDefault="00B00DFD" w:rsidP="00B00DFD">
      <w:pPr>
        <w:pStyle w:val="Bullet"/>
      </w:pPr>
      <w:r w:rsidRPr="00B00DFD">
        <w:t xml:space="preserve">Each year the Fair Work Ombudsman (FWO) runs proactive campaigns to assist employers and employees understand their rights and obligations under Commonwealth workplace relations laws. </w:t>
      </w:r>
    </w:p>
    <w:p w:rsidR="00B00DFD" w:rsidRPr="00B00DFD" w:rsidRDefault="00B00DFD" w:rsidP="00B00DFD">
      <w:pPr>
        <w:pStyle w:val="Bullet"/>
      </w:pPr>
      <w:r w:rsidRPr="00B00DFD">
        <w:t>These campaigns can focus on particular industries, regions and/or labour market issues and are conducted on a national and state level.</w:t>
      </w:r>
    </w:p>
    <w:p w:rsidR="005C49B2" w:rsidRDefault="00414F91" w:rsidP="00F73B24">
      <w:pPr>
        <w:pStyle w:val="Bullet"/>
      </w:pPr>
      <w:r w:rsidRPr="00414F91">
        <w:t>This report covers the background, metho</w:t>
      </w:r>
      <w:r w:rsidR="00DB578B">
        <w:t>d and findings of the National H</w:t>
      </w:r>
      <w:r w:rsidRPr="00414F91">
        <w:t xml:space="preserve">ospitality Industry Campaign (wave 2) – Restaurant’s, Café’s and Catering. For further information and media enquiries please contact the media team at </w:t>
      </w:r>
      <w:hyperlink r:id="rId19" w:history="1">
        <w:r w:rsidRPr="00414F91">
          <w:rPr>
            <w:rStyle w:val="Hyperlink"/>
            <w:rFonts w:ascii="Helvetica" w:hAnsi="Helvetica" w:cstheme="minorHAnsi"/>
          </w:rPr>
          <w:t>media@fwo.gov.au</w:t>
        </w:r>
      </w:hyperlink>
      <w:r w:rsidRPr="00414F91">
        <w:t xml:space="preserve"> </w:t>
      </w:r>
    </w:p>
    <w:p w:rsidR="00CF3B06" w:rsidRPr="00CF3B06" w:rsidRDefault="00414F91" w:rsidP="00F73B24">
      <w:pPr>
        <w:pStyle w:val="Bullet"/>
      </w:pPr>
      <w:r w:rsidRPr="00414F91">
        <w:t xml:space="preserve">If you would like further information about the Fair Work Ombudsman’s campaigns please contact Lynda </w:t>
      </w:r>
      <w:proofErr w:type="spellStart"/>
      <w:r w:rsidRPr="00414F91">
        <w:t>McAlary</w:t>
      </w:r>
      <w:proofErr w:type="spellEnd"/>
      <w:r w:rsidRPr="00414F91">
        <w:t xml:space="preserve">-Smith, Executive Director - Proactive Compliance and Education at </w:t>
      </w:r>
      <w:hyperlink r:id="rId20" w:history="1">
        <w:r w:rsidRPr="00414F91">
          <w:rPr>
            <w:rStyle w:val="Hyperlink"/>
            <w:rFonts w:ascii="Helvetica" w:hAnsi="Helvetica" w:cstheme="minorHAnsi"/>
          </w:rPr>
          <w:t>Lynda.McAlary-Smith@fwo.gov.au</w:t>
        </w:r>
      </w:hyperlink>
      <w:r w:rsidRPr="00414F91">
        <w:t xml:space="preserve"> </w:t>
      </w:r>
    </w:p>
    <w:sectPr w:rsidR="00CF3B06" w:rsidRPr="00CF3B06" w:rsidSect="00B2161C">
      <w:type w:val="continuous"/>
      <w:pgSz w:w="11907" w:h="16840" w:code="9"/>
      <w:pgMar w:top="1276" w:right="992" w:bottom="1440" w:left="1276" w:header="0" w:footer="0" w:gutter="0"/>
      <w:pgNumType w:start="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81E" w:rsidRDefault="0027081E" w:rsidP="00AB27F9">
      <w:r>
        <w:separator/>
      </w:r>
    </w:p>
  </w:endnote>
  <w:endnote w:type="continuationSeparator" w:id="0">
    <w:p w:rsidR="0027081E" w:rsidRDefault="0027081E" w:rsidP="00AB27F9">
      <w:r>
        <w:continuationSeparator/>
      </w:r>
    </w:p>
  </w:endnote>
  <w:endnote w:id="1">
    <w:p w:rsidR="00F73B24" w:rsidRPr="00F73B24" w:rsidRDefault="004C0C61" w:rsidP="00F73B24">
      <w:pPr>
        <w:pStyle w:val="EndnoteText"/>
        <w:rPr>
          <w:rFonts w:asciiTheme="minorHAnsi" w:hAnsiTheme="minorHAnsi" w:cstheme="minorHAnsi"/>
          <w:i/>
          <w:sz w:val="18"/>
          <w:szCs w:val="22"/>
        </w:rPr>
      </w:pPr>
      <w:r>
        <w:rPr>
          <w:rStyle w:val="EndnoteReference"/>
        </w:rPr>
        <w:endnoteRef/>
      </w:r>
      <w:r>
        <w:t xml:space="preserve"> </w:t>
      </w:r>
      <w:proofErr w:type="gramStart"/>
      <w:r w:rsidRPr="006B57FF">
        <w:rPr>
          <w:rFonts w:asciiTheme="minorHAnsi" w:hAnsiTheme="minorHAnsi" w:cstheme="minorHAnsi"/>
          <w:sz w:val="18"/>
          <w:szCs w:val="22"/>
        </w:rPr>
        <w:t>For classification definitions</w:t>
      </w:r>
      <w:r>
        <w:t xml:space="preserve"> </w:t>
      </w:r>
      <w:r w:rsidRPr="006B57FF">
        <w:rPr>
          <w:rFonts w:asciiTheme="minorHAnsi" w:hAnsiTheme="minorHAnsi" w:cstheme="minorHAnsi"/>
          <w:sz w:val="18"/>
          <w:szCs w:val="22"/>
        </w:rPr>
        <w:t>See Schedule B of the</w:t>
      </w:r>
      <w:r>
        <w:rPr>
          <w:rFonts w:asciiTheme="minorHAnsi" w:hAnsiTheme="minorHAnsi" w:cstheme="minorHAnsi"/>
          <w:sz w:val="18"/>
          <w:szCs w:val="22"/>
        </w:rPr>
        <w:t xml:space="preserve"> </w:t>
      </w:r>
      <w:hyperlink r:id="rId1" w:history="1">
        <w:r w:rsidRPr="006B57FF">
          <w:rPr>
            <w:rStyle w:val="Hyperlink"/>
            <w:rFonts w:asciiTheme="minorHAnsi" w:hAnsiTheme="minorHAnsi" w:cstheme="minorHAnsi"/>
            <w:sz w:val="18"/>
            <w:szCs w:val="22"/>
          </w:rPr>
          <w:t>Restaurant Industry Award 2010 (</w:t>
        </w:r>
        <w:proofErr w:type="spellStart"/>
        <w:r w:rsidRPr="006B57FF">
          <w:rPr>
            <w:rStyle w:val="Hyperlink"/>
            <w:rFonts w:asciiTheme="minorHAnsi" w:hAnsiTheme="minorHAnsi" w:cstheme="minorHAnsi"/>
            <w:sz w:val="18"/>
            <w:szCs w:val="22"/>
          </w:rPr>
          <w:t>MA000119</w:t>
        </w:r>
        <w:proofErr w:type="spellEnd"/>
        <w:r w:rsidRPr="006B57FF">
          <w:rPr>
            <w:rStyle w:val="Hyperlink"/>
            <w:rFonts w:asciiTheme="minorHAnsi" w:hAnsiTheme="minorHAnsi" w:cstheme="minorHAnsi"/>
            <w:sz w:val="18"/>
            <w:szCs w:val="22"/>
          </w:rPr>
          <w:t>).</w:t>
        </w:r>
        <w:proofErr w:type="gramEnd"/>
      </w:hyperlink>
      <w:r>
        <w:rPr>
          <w:rFonts w:asciiTheme="minorHAnsi" w:hAnsiTheme="minorHAnsi" w:cstheme="minorHAnsi"/>
          <w:sz w:val="18"/>
          <w:szCs w:val="22"/>
        </w:rPr>
        <w:t xml:space="preserve"> </w:t>
      </w:r>
      <w:r w:rsidRPr="006B57FF">
        <w:rPr>
          <w:rFonts w:asciiTheme="minorHAnsi" w:hAnsiTheme="minorHAnsi" w:cstheme="minorHAnsi"/>
          <w:i/>
          <w:sz w:val="18"/>
          <w:szCs w:val="22"/>
        </w:rPr>
        <w:t>Please note: There have also been changes to the classification structure in this award</w:t>
      </w:r>
      <w:r>
        <w:rPr>
          <w:rFonts w:asciiTheme="minorHAnsi" w:hAnsiTheme="minorHAnsi" w:cstheme="minorHAnsi"/>
          <w:i/>
          <w:sz w:val="18"/>
          <w:szCs w:val="22"/>
        </w:rPr>
        <w:t xml:space="preserve"> as determined by the Fair Work Commission (FWC), effective from 1 July </w:t>
      </w:r>
      <w:r w:rsidR="00F73B24">
        <w:rPr>
          <w:rFonts w:asciiTheme="minorHAnsi" w:hAnsiTheme="minorHAnsi" w:cstheme="minorHAnsi"/>
          <w:i/>
          <w:sz w:val="18"/>
          <w:szCs w:val="22"/>
        </w:rPr>
        <w:t>2014</w:t>
      </w:r>
    </w:p>
    <w:p w:rsidR="00B44183" w:rsidRDefault="00B44183" w:rsidP="00D64958">
      <w:pPr>
        <w:spacing w:after="1800"/>
      </w:pPr>
    </w:p>
    <w:p w:rsidR="00177C09" w:rsidRDefault="00177C09" w:rsidP="00F73B24">
      <w:pPr>
        <w:pStyle w:val="Heading1"/>
      </w:pPr>
      <w:r>
        <w:t xml:space="preserve">Appendix A </w:t>
      </w:r>
    </w:p>
    <w:p w:rsidR="00177C09" w:rsidRDefault="00177C09" w:rsidP="00F73B24">
      <w:pPr>
        <w:pStyle w:val="Heading2"/>
      </w:pPr>
      <w:r>
        <w:t>FWO Communication Activities</w:t>
      </w:r>
    </w:p>
    <w:p w:rsidR="00177C09" w:rsidRDefault="00177C09" w:rsidP="00F73B24">
      <w:pPr>
        <w:pStyle w:val="Bullet"/>
      </w:pPr>
    </w:p>
    <w:p w:rsidR="00177C09" w:rsidRDefault="00177C09" w:rsidP="00F73B24">
      <w:pPr>
        <w:pStyle w:val="Bullet"/>
        <w:rPr>
          <w:rStyle w:val="Hyperlink"/>
          <w:rFonts w:ascii="Helvetica" w:eastAsia="Times New Roman" w:hAnsi="Helvetica" w:cstheme="minorHAnsi"/>
          <w:color w:val="auto"/>
          <w:u w:val="none"/>
        </w:rPr>
      </w:pPr>
      <w:r w:rsidRPr="005B53FA">
        <w:t xml:space="preserve">52,789 employers </w:t>
      </w:r>
      <w:r>
        <w:t xml:space="preserve">were contacted </w:t>
      </w:r>
      <w:r w:rsidRPr="005B53FA">
        <w:t>advising them</w:t>
      </w:r>
      <w:r>
        <w:t xml:space="preserve"> about</w:t>
      </w:r>
      <w:r w:rsidRPr="005B53FA">
        <w:t xml:space="preserve"> </w:t>
      </w:r>
      <w:r>
        <w:t>the</w:t>
      </w:r>
      <w:r w:rsidRPr="005B53FA">
        <w:t xml:space="preserve"> campaign</w:t>
      </w:r>
      <w:r>
        <w:t>. They were</w:t>
      </w:r>
      <w:r w:rsidRPr="005B53FA">
        <w:t xml:space="preserve"> direct</w:t>
      </w:r>
      <w:r>
        <w:t xml:space="preserve">ed </w:t>
      </w:r>
      <w:r w:rsidRPr="005B53FA">
        <w:t xml:space="preserve">to our dedicated web page </w:t>
      </w:r>
      <w:r w:rsidRPr="002C7F7C">
        <w:rPr>
          <w:rFonts w:eastAsia="Times New Roman" w:cstheme="minorHAnsi"/>
        </w:rPr>
        <w:t>www.fairwork.gov.au/hosptiality</w:t>
      </w:r>
      <w:r w:rsidR="002C7F7C">
        <w:rPr>
          <w:rFonts w:eastAsia="Times New Roman" w:cstheme="minorHAnsi"/>
        </w:rPr>
        <w:t>.</w:t>
      </w:r>
      <w:r>
        <w:rPr>
          <w:rStyle w:val="Hyperlink"/>
          <w:rFonts w:ascii="Helvetica" w:eastAsia="Times New Roman" w:hAnsi="Helvetica" w:cstheme="minorHAnsi"/>
          <w:color w:val="auto"/>
          <w:u w:val="none"/>
        </w:rPr>
        <w:t xml:space="preserve"> </w:t>
      </w:r>
    </w:p>
    <w:p w:rsidR="00177C09" w:rsidRDefault="00177C09" w:rsidP="00F73B24">
      <w:pPr>
        <w:pStyle w:val="Bullet"/>
      </w:pPr>
      <w:r>
        <w:rPr>
          <w:rStyle w:val="Hyperlink"/>
          <w:rFonts w:ascii="Helvetica" w:eastAsia="Times New Roman" w:hAnsi="Helvetica" w:cstheme="minorHAnsi"/>
          <w:color w:val="auto"/>
          <w:u w:val="none"/>
        </w:rPr>
        <w:t xml:space="preserve">An </w:t>
      </w:r>
      <w:r w:rsidRPr="005B53FA">
        <w:t xml:space="preserve">industry specific webinar </w:t>
      </w:r>
      <w:r>
        <w:t xml:space="preserve">was held </w:t>
      </w:r>
      <w:r w:rsidRPr="005B53FA">
        <w:t>on 27 May 2014</w:t>
      </w:r>
      <w:r>
        <w:t xml:space="preserve"> - with 1</w:t>
      </w:r>
      <w:r w:rsidRPr="005B53FA">
        <w:t>05 attendees</w:t>
      </w:r>
      <w:r>
        <w:t xml:space="preserve">, 101 further </w:t>
      </w:r>
      <w:r w:rsidRPr="005B53FA">
        <w:t xml:space="preserve">FWO </w:t>
      </w:r>
      <w:r w:rsidR="00BA24D7" w:rsidRPr="005B53FA">
        <w:t>YouTube</w:t>
      </w:r>
      <w:r w:rsidRPr="005B53FA">
        <w:t xml:space="preserve"> channel</w:t>
      </w:r>
      <w:r>
        <w:t xml:space="preserve"> views</w:t>
      </w:r>
      <w:r w:rsidRPr="005B53FA">
        <w:t xml:space="preserve"> and 108 visits to the FWO website following </w:t>
      </w:r>
      <w:r>
        <w:t xml:space="preserve">webinar </w:t>
      </w:r>
      <w:r w:rsidRPr="005B53FA">
        <w:t>participation</w:t>
      </w:r>
      <w:r>
        <w:t>)</w:t>
      </w:r>
      <w:r w:rsidRPr="005B53FA">
        <w:t>.</w:t>
      </w:r>
    </w:p>
    <w:p w:rsidR="00177C09" w:rsidRPr="005B53FA" w:rsidRDefault="00177C09" w:rsidP="00F73B24">
      <w:pPr>
        <w:pStyle w:val="Bullet"/>
      </w:pPr>
      <w:r w:rsidRPr="005B53FA">
        <w:t xml:space="preserve">The </w:t>
      </w:r>
      <w:r w:rsidR="00B00DFD">
        <w:t>C</w:t>
      </w:r>
      <w:r w:rsidRPr="005B53FA">
        <w:t>ampaign was also advertised via a number of digital platforms</w:t>
      </w:r>
      <w:r>
        <w:t>, a</w:t>
      </w:r>
      <w:r w:rsidRPr="005B53FA">
        <w:t>chieving the following results</w:t>
      </w:r>
      <w:r w:rsidR="00B00DFD">
        <w:t>:</w:t>
      </w:r>
    </w:p>
    <w:p w:rsidR="00177C09" w:rsidRPr="00D41C48" w:rsidRDefault="00177C09" w:rsidP="00F73B24">
      <w:pPr>
        <w:pStyle w:val="Bullet"/>
        <w:numPr>
          <w:ilvl w:val="0"/>
          <w:numId w:val="40"/>
        </w:numPr>
      </w:pPr>
      <w:r w:rsidRPr="00D41C48">
        <w:t>4,459 views of the dedicated web</w:t>
      </w:r>
      <w:r w:rsidR="00B00DFD">
        <w:t>page</w:t>
      </w:r>
      <w:r w:rsidRPr="00D41C48">
        <w:t xml:space="preserve"> between 1 April 2013 and 11 July 2013 (including 927 visits on 16 April 2014 – when businesses were notified via email about the campaign);</w:t>
      </w:r>
    </w:p>
    <w:p w:rsidR="00177C09" w:rsidRPr="00D41C48" w:rsidRDefault="00177C09" w:rsidP="00F73B24">
      <w:pPr>
        <w:pStyle w:val="Bullet"/>
        <w:numPr>
          <w:ilvl w:val="0"/>
          <w:numId w:val="40"/>
        </w:numPr>
      </w:pPr>
      <w:r w:rsidRPr="00D41C48">
        <w:t>5,309 unique opens of the electronic email notification (32% of recipients) and a further 5% of recipients following the link to our website;</w:t>
      </w:r>
    </w:p>
    <w:p w:rsidR="00177C09" w:rsidRPr="00D41C48" w:rsidRDefault="00177C09" w:rsidP="00F73B24">
      <w:pPr>
        <w:pStyle w:val="Bullet"/>
        <w:numPr>
          <w:ilvl w:val="0"/>
          <w:numId w:val="40"/>
        </w:numPr>
      </w:pPr>
      <w:r w:rsidRPr="00D41C48">
        <w:t>778,733 views on google from search matches (including 2,125 views to the dedicated hospitality section of our website);</w:t>
      </w:r>
    </w:p>
    <w:p w:rsidR="00177C09" w:rsidRPr="00D41C48" w:rsidRDefault="00177C09" w:rsidP="00F73B24">
      <w:pPr>
        <w:pStyle w:val="Bullet"/>
        <w:numPr>
          <w:ilvl w:val="0"/>
          <w:numId w:val="40"/>
        </w:numPr>
      </w:pPr>
      <w:r w:rsidRPr="00D41C48">
        <w:t>9 tweets and 17 retweets through twitter; and</w:t>
      </w:r>
    </w:p>
    <w:p w:rsidR="00177C09" w:rsidRDefault="00177C09" w:rsidP="00F73B24">
      <w:pPr>
        <w:pStyle w:val="Bullet"/>
        <w:numPr>
          <w:ilvl w:val="0"/>
          <w:numId w:val="40"/>
        </w:numPr>
      </w:pPr>
      <w:r w:rsidRPr="00D41C48">
        <w:t xml:space="preserve">Reaching an audience of over 750 people in each of our two Facebook advertisements (with </w:t>
      </w:r>
      <w:proofErr w:type="gramStart"/>
      <w:r w:rsidRPr="00D41C48">
        <w:t>a  further</w:t>
      </w:r>
      <w:proofErr w:type="gramEnd"/>
      <w:r w:rsidRPr="00D41C48">
        <w:t xml:space="preserve"> 119,157 viewings of our campaign title through Facebook advertising).</w:t>
      </w:r>
    </w:p>
    <w:p w:rsidR="00177C09" w:rsidRDefault="00177C09" w:rsidP="00F73B24">
      <w:pPr>
        <w:pStyle w:val="Bullet"/>
      </w:pPr>
      <w:r w:rsidRPr="005B53FA">
        <w:t>The campaign also received extensive coverage through traditional media channels including a number of TV stations, more than 200 radio broadcasts (including interviews with the Media Director on ABC </w:t>
      </w:r>
      <w:proofErr w:type="spellStart"/>
      <w:r w:rsidRPr="005B53FA">
        <w:t>NewsRadio</w:t>
      </w:r>
      <w:proofErr w:type="spellEnd"/>
      <w:r w:rsidRPr="005B53FA">
        <w:t>), coverage on over 80 websites and exposure through print media including the Hobart Mercury, Herald Sun, Northern Territory News and Canberra Times (who covered the campaign launch announcement) and another 45 other regio</w:t>
      </w:r>
      <w:r>
        <w:t>nal and community publications.</w:t>
      </w:r>
    </w:p>
    <w:p w:rsidR="00177C09" w:rsidRDefault="00177C09" w:rsidP="004C0C6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01" w:usb1="5000204A" w:usb2="00000000" w:usb3="00000000" w:csb0="00000009"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AE" w:rsidRDefault="006E34AE" w:rsidP="00AB27F9">
    <w:r>
      <w:fldChar w:fldCharType="begin"/>
    </w:r>
    <w:r>
      <w:instrText xml:space="preserve">PAGE  </w:instrText>
    </w:r>
    <w:r>
      <w:fldChar w:fldCharType="separate"/>
    </w:r>
    <w:r>
      <w:rPr>
        <w:noProof/>
      </w:rPr>
      <w:t>2</w:t>
    </w:r>
    <w:r>
      <w:fldChar w:fldCharType="end"/>
    </w:r>
  </w:p>
  <w:p w:rsidR="006E34AE" w:rsidRDefault="006E34AE" w:rsidP="00AB27F9"/>
  <w:p w:rsidR="00AC229B" w:rsidRDefault="00AC229B"/>
  <w:p w:rsidR="00AC229B" w:rsidRDefault="00AC229B"/>
  <w:p w:rsidR="00AC229B" w:rsidRDefault="00AC22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A8" w:rsidRDefault="0045600E" w:rsidP="008F7C60">
    <w:pPr>
      <w:pStyle w:val="Footer"/>
      <w:jc w:val="right"/>
      <w:rPr>
        <w:color w:val="FFFFFF" w:themeColor="background1"/>
        <w:sz w:val="18"/>
        <w:szCs w:val="18"/>
        <w:lang w:val="en-US"/>
      </w:rPr>
    </w:pPr>
    <w:r w:rsidRPr="0045600E">
      <w:rPr>
        <w:noProof/>
        <w:color w:val="FFFFFF" w:themeColor="background1"/>
        <w:sz w:val="18"/>
        <w:szCs w:val="18"/>
        <w:lang w:eastAsia="en-AU"/>
      </w:rPr>
      <w:drawing>
        <wp:anchor distT="0" distB="0" distL="114300" distR="114300" simplePos="0" relativeHeight="251658240" behindDoc="1" locked="0" layoutInCell="1" allowOverlap="1" wp14:anchorId="3AFFFE48" wp14:editId="09CADB76">
          <wp:simplePos x="0" y="0"/>
          <wp:positionH relativeFrom="column">
            <wp:posOffset>-619760</wp:posOffset>
          </wp:positionH>
          <wp:positionV relativeFrom="paragraph">
            <wp:posOffset>-267970</wp:posOffset>
          </wp:positionV>
          <wp:extent cx="7498080" cy="1234085"/>
          <wp:effectExtent l="0" t="0" r="7620" b="4445"/>
          <wp:wrapTight wrapText="bothSides">
            <wp:wrapPolygon edited="0">
              <wp:start x="0" y="0"/>
              <wp:lineTo x="0" y="21344"/>
              <wp:lineTo x="21567" y="21344"/>
              <wp:lineTo x="21567" y="0"/>
              <wp:lineTo x="0" y="0"/>
            </wp:wrapPolygon>
          </wp:wrapTight>
          <wp:docPr id="4" name="Picture 4"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498080" cy="1234085"/>
                  </a:xfrm>
                  <a:prstGeom prst="rect">
                    <a:avLst/>
                  </a:prstGeom>
                </pic:spPr>
              </pic:pic>
            </a:graphicData>
          </a:graphic>
          <wp14:sizeRelH relativeFrom="margin">
            <wp14:pctWidth>0</wp14:pctWidth>
          </wp14:sizeRelH>
          <wp14:sizeRelV relativeFrom="margin">
            <wp14:pctHeight>0</wp14:pctHeight>
          </wp14:sizeRelV>
        </wp:anchor>
      </w:drawing>
    </w:r>
    <w:r w:rsidR="00E075A8">
      <w:rPr>
        <w:color w:val="FFFFFF" w:themeColor="background1"/>
        <w:sz w:val="18"/>
        <w:szCs w:val="18"/>
        <w:lang w:val="en-US"/>
      </w:rPr>
      <w:t xml:space="preserve">National </w:t>
    </w:r>
    <w:r w:rsidR="00BA24D7">
      <w:rPr>
        <w:color w:val="FFFFFF" w:themeColor="background1"/>
        <w:sz w:val="18"/>
        <w:szCs w:val="18"/>
        <w:lang w:val="en-US"/>
      </w:rPr>
      <w:t>Hospitality</w:t>
    </w:r>
    <w:r w:rsidR="00E075A8">
      <w:rPr>
        <w:color w:val="FFFFFF" w:themeColor="background1"/>
        <w:sz w:val="18"/>
        <w:szCs w:val="18"/>
        <w:lang w:val="en-US"/>
      </w:rPr>
      <w:t xml:space="preserve"> Industry Campaign (wave 2)</w:t>
    </w:r>
  </w:p>
  <w:p w:rsidR="00C2298B" w:rsidRPr="0045600E" w:rsidRDefault="00E075A8" w:rsidP="00D64958">
    <w:pPr>
      <w:pStyle w:val="Footer"/>
      <w:ind w:left="5954"/>
      <w:jc w:val="right"/>
      <w:rPr>
        <w:color w:val="FFFFFF" w:themeColor="background1"/>
      </w:rPr>
    </w:pPr>
    <w:r>
      <w:rPr>
        <w:color w:val="FFFFFF" w:themeColor="background1"/>
        <w:sz w:val="18"/>
        <w:szCs w:val="18"/>
        <w:lang w:val="en-US"/>
      </w:rPr>
      <w:t>– Restaurants, Café’s and Catering</w:t>
    </w:r>
    <w:r w:rsidR="00C2298B" w:rsidRPr="0045600E">
      <w:rPr>
        <w:color w:val="FFFFFF" w:themeColor="background1"/>
        <w:sz w:val="18"/>
        <w:szCs w:val="18"/>
      </w:rPr>
      <w:tab/>
    </w:r>
    <w:sdt>
      <w:sdtPr>
        <w:rPr>
          <w:color w:val="FFFFFF" w:themeColor="background1"/>
        </w:rPr>
        <w:id w:val="-1946617237"/>
        <w:docPartObj>
          <w:docPartGallery w:val="Page Numbers (Bottom of Page)"/>
          <w:docPartUnique/>
        </w:docPartObj>
      </w:sdtPr>
      <w:sdtEndPr>
        <w:rPr>
          <w:noProof/>
        </w:rPr>
      </w:sdtEndPr>
      <w:sdtContent>
        <w:r w:rsidR="00C2298B" w:rsidRPr="0045600E">
          <w:rPr>
            <w:color w:val="FFFFFF" w:themeColor="background1"/>
            <w:sz w:val="20"/>
            <w:szCs w:val="20"/>
          </w:rPr>
          <w:fldChar w:fldCharType="begin"/>
        </w:r>
        <w:r w:rsidR="00C2298B" w:rsidRPr="0045600E">
          <w:rPr>
            <w:color w:val="FFFFFF" w:themeColor="background1"/>
            <w:sz w:val="20"/>
            <w:szCs w:val="20"/>
          </w:rPr>
          <w:instrText xml:space="preserve"> PAGE   \* MERGEFORMAT </w:instrText>
        </w:r>
        <w:r w:rsidR="00C2298B" w:rsidRPr="0045600E">
          <w:rPr>
            <w:color w:val="FFFFFF" w:themeColor="background1"/>
            <w:sz w:val="20"/>
            <w:szCs w:val="20"/>
          </w:rPr>
          <w:fldChar w:fldCharType="separate"/>
        </w:r>
        <w:r w:rsidR="00F158FD">
          <w:rPr>
            <w:noProof/>
            <w:color w:val="FFFFFF" w:themeColor="background1"/>
            <w:sz w:val="20"/>
            <w:szCs w:val="20"/>
          </w:rPr>
          <w:t>2</w:t>
        </w:r>
        <w:r w:rsidR="00C2298B" w:rsidRPr="0045600E">
          <w:rPr>
            <w:noProof/>
            <w:color w:val="FFFFFF" w:themeColor="background1"/>
            <w:sz w:val="20"/>
            <w:szCs w:val="20"/>
          </w:rPr>
          <w:fldChar w:fldCharType="end"/>
        </w:r>
      </w:sdtContent>
    </w:sdt>
  </w:p>
  <w:p w:rsidR="00AC229B" w:rsidRDefault="00AC229B" w:rsidP="004B2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81E" w:rsidRDefault="0027081E" w:rsidP="00AB27F9">
      <w:r>
        <w:separator/>
      </w:r>
    </w:p>
  </w:footnote>
  <w:footnote w:type="continuationSeparator" w:id="0">
    <w:p w:rsidR="0027081E" w:rsidRDefault="0027081E" w:rsidP="00AB2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29B" w:rsidRDefault="00AC229B" w:rsidP="00F73B24">
    <w:pPr>
      <w:spacing w:before="100" w:beforeAutospacing="1" w:after="100" w:afterAutospacing="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4AE" w:rsidRPr="003952ED" w:rsidRDefault="006E34AE" w:rsidP="00AB27F9">
    <w:pPr>
      <w:rPr>
        <w:u w:val="single"/>
      </w:rPr>
    </w:pPr>
    <w:bookmarkStart w:id="4" w:name="_GoBack"/>
    <w:r w:rsidRPr="003952ED">
      <w:rPr>
        <w:noProof/>
        <w:u w:val="single"/>
        <w:lang w:eastAsia="en-AU"/>
      </w:rPr>
      <w:drawing>
        <wp:anchor distT="0" distB="0" distL="114300" distR="114300" simplePos="0" relativeHeight="251656192" behindDoc="1" locked="0" layoutInCell="1" allowOverlap="1" wp14:anchorId="43DCBE70" wp14:editId="068299D8">
          <wp:simplePos x="0" y="0"/>
          <wp:positionH relativeFrom="column">
            <wp:posOffset>-833755</wp:posOffset>
          </wp:positionH>
          <wp:positionV relativeFrom="paragraph">
            <wp:posOffset>2042605</wp:posOffset>
          </wp:positionV>
          <wp:extent cx="7592060" cy="8418614"/>
          <wp:effectExtent l="0" t="0" r="8890" b="1905"/>
          <wp:wrapNone/>
          <wp:docPr id="5" name="Picture 32"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rPr>
        <w:rFonts w:cs="Times New Roman"/>
      </w:rPr>
    </w:lvl>
  </w:abstractNum>
  <w:abstractNum w:abstractNumId="1">
    <w:nsid w:val="05251367"/>
    <w:multiLevelType w:val="hybridMultilevel"/>
    <w:tmpl w:val="F7D8BEE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1A0646A"/>
    <w:multiLevelType w:val="hybridMultilevel"/>
    <w:tmpl w:val="294A6C00"/>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93418B"/>
    <w:multiLevelType w:val="hybridMultilevel"/>
    <w:tmpl w:val="DC540EF4"/>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C717E3"/>
    <w:multiLevelType w:val="hybridMultilevel"/>
    <w:tmpl w:val="AAAC3B74"/>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FA52F5"/>
    <w:multiLevelType w:val="hybridMultilevel"/>
    <w:tmpl w:val="BCFEE87C"/>
    <w:lvl w:ilvl="0" w:tplc="0780F866">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723861"/>
    <w:multiLevelType w:val="hybridMultilevel"/>
    <w:tmpl w:val="306C20D2"/>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CF0FC9"/>
    <w:multiLevelType w:val="hybridMultilevel"/>
    <w:tmpl w:val="E09EA584"/>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9">
    <w:nsid w:val="33FB6B11"/>
    <w:multiLevelType w:val="hybridMultilevel"/>
    <w:tmpl w:val="4AF4FC02"/>
    <w:lvl w:ilvl="0" w:tplc="0780F866">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136F47"/>
    <w:multiLevelType w:val="hybridMultilevel"/>
    <w:tmpl w:val="16728B80"/>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B37C44"/>
    <w:multiLevelType w:val="hybridMultilevel"/>
    <w:tmpl w:val="F62698CE"/>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AF4064"/>
    <w:multiLevelType w:val="hybridMultilevel"/>
    <w:tmpl w:val="E31C25D4"/>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493B30"/>
    <w:multiLevelType w:val="hybridMultilevel"/>
    <w:tmpl w:val="1994C99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AAC11EC"/>
    <w:multiLevelType w:val="hybridMultilevel"/>
    <w:tmpl w:val="143CB3C8"/>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E76B5F"/>
    <w:multiLevelType w:val="hybridMultilevel"/>
    <w:tmpl w:val="7F6CD7EC"/>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950743"/>
    <w:multiLevelType w:val="hybridMultilevel"/>
    <w:tmpl w:val="30744DE2"/>
    <w:lvl w:ilvl="0" w:tplc="0780F866">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D41B93"/>
    <w:multiLevelType w:val="hybridMultilevel"/>
    <w:tmpl w:val="E0FCDAA0"/>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BC5DF5"/>
    <w:multiLevelType w:val="hybridMultilevel"/>
    <w:tmpl w:val="C8C48288"/>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7A1926"/>
    <w:multiLevelType w:val="hybridMultilevel"/>
    <w:tmpl w:val="2FF64730"/>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B4222D"/>
    <w:multiLevelType w:val="hybridMultilevel"/>
    <w:tmpl w:val="8638A8BE"/>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F622C2"/>
    <w:multiLevelType w:val="hybridMultilevel"/>
    <w:tmpl w:val="AD0C4226"/>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F253B5"/>
    <w:multiLevelType w:val="hybridMultilevel"/>
    <w:tmpl w:val="2086299C"/>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192A42"/>
    <w:multiLevelType w:val="hybridMultilevel"/>
    <w:tmpl w:val="44946B80"/>
    <w:lvl w:ilvl="0" w:tplc="0780F866">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2F555D"/>
    <w:multiLevelType w:val="hybridMultilevel"/>
    <w:tmpl w:val="151C20D4"/>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1436A0"/>
    <w:multiLevelType w:val="hybridMultilevel"/>
    <w:tmpl w:val="0C4AE58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5DE3080E"/>
    <w:multiLevelType w:val="hybridMultilevel"/>
    <w:tmpl w:val="BA76CA94"/>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F80B78"/>
    <w:multiLevelType w:val="hybridMultilevel"/>
    <w:tmpl w:val="3090584C"/>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293321"/>
    <w:multiLevelType w:val="hybridMultilevel"/>
    <w:tmpl w:val="0C987CA6"/>
    <w:lvl w:ilvl="0" w:tplc="0780F866">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0">
    <w:nsid w:val="69F4016D"/>
    <w:multiLevelType w:val="hybridMultilevel"/>
    <w:tmpl w:val="F5E8633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ABF0017"/>
    <w:multiLevelType w:val="hybridMultilevel"/>
    <w:tmpl w:val="3BA6B64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A747EC6"/>
    <w:multiLevelType w:val="hybridMultilevel"/>
    <w:tmpl w:val="C18A670C"/>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A60D33"/>
    <w:multiLevelType w:val="hybridMultilevel"/>
    <w:tmpl w:val="5C7434DE"/>
    <w:lvl w:ilvl="0" w:tplc="0780F866">
      <w:start w:val="1"/>
      <w:numFmt w:val="bullet"/>
      <w:lvlText w:val=""/>
      <w:lvlJc w:val="left"/>
      <w:pPr>
        <w:ind w:left="720" w:hanging="360"/>
      </w:pPr>
      <w:rPr>
        <w:rFonts w:ascii="Wingdings" w:hAnsi="Wingdings" w:hint="default"/>
        <w:color w:val="0194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8"/>
  </w:num>
  <w:num w:numId="4">
    <w:abstractNumId w:val="29"/>
  </w:num>
  <w:num w:numId="5">
    <w:abstractNumId w:val="32"/>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5"/>
  </w:num>
  <w:num w:numId="13">
    <w:abstractNumId w:val="35"/>
  </w:num>
  <w:num w:numId="14">
    <w:abstractNumId w:val="18"/>
  </w:num>
  <w:num w:numId="15">
    <w:abstractNumId w:val="9"/>
  </w:num>
  <w:num w:numId="16">
    <w:abstractNumId w:val="7"/>
  </w:num>
  <w:num w:numId="17">
    <w:abstractNumId w:val="17"/>
  </w:num>
  <w:num w:numId="18">
    <w:abstractNumId w:val="13"/>
  </w:num>
  <w:num w:numId="19">
    <w:abstractNumId w:val="4"/>
  </w:num>
  <w:num w:numId="20">
    <w:abstractNumId w:val="28"/>
  </w:num>
  <w:num w:numId="21">
    <w:abstractNumId w:val="21"/>
  </w:num>
  <w:num w:numId="22">
    <w:abstractNumId w:val="22"/>
  </w:num>
  <w:num w:numId="23">
    <w:abstractNumId w:val="30"/>
  </w:num>
  <w:num w:numId="24">
    <w:abstractNumId w:val="24"/>
  </w:num>
  <w:num w:numId="25">
    <w:abstractNumId w:val="27"/>
  </w:num>
  <w:num w:numId="26">
    <w:abstractNumId w:val="31"/>
  </w:num>
  <w:num w:numId="27">
    <w:abstractNumId w:val="19"/>
  </w:num>
  <w:num w:numId="28">
    <w:abstractNumId w:val="2"/>
  </w:num>
  <w:num w:numId="29">
    <w:abstractNumId w:val="25"/>
  </w:num>
  <w:num w:numId="30">
    <w:abstractNumId w:val="6"/>
  </w:num>
  <w:num w:numId="31">
    <w:abstractNumId w:val="10"/>
  </w:num>
  <w:num w:numId="32">
    <w:abstractNumId w:val="1"/>
  </w:num>
  <w:num w:numId="33">
    <w:abstractNumId w:val="15"/>
  </w:num>
  <w:num w:numId="34">
    <w:abstractNumId w:val="23"/>
  </w:num>
  <w:num w:numId="35">
    <w:abstractNumId w:val="12"/>
  </w:num>
  <w:num w:numId="36">
    <w:abstractNumId w:val="20"/>
  </w:num>
  <w:num w:numId="37">
    <w:abstractNumId w:val="3"/>
  </w:num>
  <w:num w:numId="38">
    <w:abstractNumId w:val="11"/>
  </w:num>
  <w:num w:numId="39">
    <w:abstractNumId w:val="26"/>
  </w:num>
  <w:num w:numId="40">
    <w:abstractNumId w:val="34"/>
  </w:num>
  <w:num w:numId="4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63"/>
    <w:rsid w:val="0000366A"/>
    <w:rsid w:val="00003FF8"/>
    <w:rsid w:val="00006D48"/>
    <w:rsid w:val="00020ED9"/>
    <w:rsid w:val="00043D63"/>
    <w:rsid w:val="00044A07"/>
    <w:rsid w:val="000457ED"/>
    <w:rsid w:val="00057AE4"/>
    <w:rsid w:val="00064562"/>
    <w:rsid w:val="000652ED"/>
    <w:rsid w:val="00067031"/>
    <w:rsid w:val="00070178"/>
    <w:rsid w:val="000715F8"/>
    <w:rsid w:val="00090047"/>
    <w:rsid w:val="0009331F"/>
    <w:rsid w:val="0009727F"/>
    <w:rsid w:val="000A5FE4"/>
    <w:rsid w:val="000B04DA"/>
    <w:rsid w:val="000C1DF4"/>
    <w:rsid w:val="000C359C"/>
    <w:rsid w:val="000C63F1"/>
    <w:rsid w:val="000C6A5F"/>
    <w:rsid w:val="000D29E1"/>
    <w:rsid w:val="000E08E4"/>
    <w:rsid w:val="000E2601"/>
    <w:rsid w:val="000E362E"/>
    <w:rsid w:val="000E37AC"/>
    <w:rsid w:val="000F0FBA"/>
    <w:rsid w:val="000F2720"/>
    <w:rsid w:val="000F4B5B"/>
    <w:rsid w:val="001014A0"/>
    <w:rsid w:val="00105CEF"/>
    <w:rsid w:val="00106B77"/>
    <w:rsid w:val="00111949"/>
    <w:rsid w:val="00125A38"/>
    <w:rsid w:val="00127C72"/>
    <w:rsid w:val="00133B21"/>
    <w:rsid w:val="0013580F"/>
    <w:rsid w:val="00142043"/>
    <w:rsid w:val="001506E4"/>
    <w:rsid w:val="001607FB"/>
    <w:rsid w:val="0016101D"/>
    <w:rsid w:val="0016465A"/>
    <w:rsid w:val="001676B6"/>
    <w:rsid w:val="00177C09"/>
    <w:rsid w:val="00181475"/>
    <w:rsid w:val="001850B4"/>
    <w:rsid w:val="00190392"/>
    <w:rsid w:val="0019080C"/>
    <w:rsid w:val="00194A0D"/>
    <w:rsid w:val="001A4525"/>
    <w:rsid w:val="001B2781"/>
    <w:rsid w:val="001B2A68"/>
    <w:rsid w:val="001D6D36"/>
    <w:rsid w:val="001D75B0"/>
    <w:rsid w:val="001E47B4"/>
    <w:rsid w:val="001F20C3"/>
    <w:rsid w:val="001F3149"/>
    <w:rsid w:val="001F3169"/>
    <w:rsid w:val="00202975"/>
    <w:rsid w:val="00202E5C"/>
    <w:rsid w:val="00205DBE"/>
    <w:rsid w:val="00214011"/>
    <w:rsid w:val="0022502C"/>
    <w:rsid w:val="00230A84"/>
    <w:rsid w:val="00244EEE"/>
    <w:rsid w:val="002450DA"/>
    <w:rsid w:val="00252709"/>
    <w:rsid w:val="002533F0"/>
    <w:rsid w:val="0025534A"/>
    <w:rsid w:val="0027081E"/>
    <w:rsid w:val="00274039"/>
    <w:rsid w:val="00274AEF"/>
    <w:rsid w:val="0028208F"/>
    <w:rsid w:val="00292AAB"/>
    <w:rsid w:val="002958C4"/>
    <w:rsid w:val="002A4276"/>
    <w:rsid w:val="002B5FAD"/>
    <w:rsid w:val="002B621B"/>
    <w:rsid w:val="002C4986"/>
    <w:rsid w:val="002C769D"/>
    <w:rsid w:val="002C7F7C"/>
    <w:rsid w:val="002D4156"/>
    <w:rsid w:val="002D7B33"/>
    <w:rsid w:val="002E23E2"/>
    <w:rsid w:val="002E6E0C"/>
    <w:rsid w:val="002F0DF6"/>
    <w:rsid w:val="002F61D0"/>
    <w:rsid w:val="003068E8"/>
    <w:rsid w:val="00315AB8"/>
    <w:rsid w:val="0032006D"/>
    <w:rsid w:val="00321118"/>
    <w:rsid w:val="003215C7"/>
    <w:rsid w:val="00330F14"/>
    <w:rsid w:val="00332317"/>
    <w:rsid w:val="0033684C"/>
    <w:rsid w:val="00340E0D"/>
    <w:rsid w:val="00341A80"/>
    <w:rsid w:val="0034403B"/>
    <w:rsid w:val="00345AD1"/>
    <w:rsid w:val="00357D51"/>
    <w:rsid w:val="003642FD"/>
    <w:rsid w:val="00371258"/>
    <w:rsid w:val="003749B1"/>
    <w:rsid w:val="00374EF9"/>
    <w:rsid w:val="0038439E"/>
    <w:rsid w:val="003861B5"/>
    <w:rsid w:val="003952ED"/>
    <w:rsid w:val="003B07DF"/>
    <w:rsid w:val="003B121D"/>
    <w:rsid w:val="003B2808"/>
    <w:rsid w:val="003B35B1"/>
    <w:rsid w:val="003B62FE"/>
    <w:rsid w:val="003C0D10"/>
    <w:rsid w:val="003C6D5B"/>
    <w:rsid w:val="003D18E2"/>
    <w:rsid w:val="003D2933"/>
    <w:rsid w:val="003E0FDA"/>
    <w:rsid w:val="003E2FB5"/>
    <w:rsid w:val="00400743"/>
    <w:rsid w:val="0040294F"/>
    <w:rsid w:val="00403015"/>
    <w:rsid w:val="004033BF"/>
    <w:rsid w:val="004044C1"/>
    <w:rsid w:val="004046AC"/>
    <w:rsid w:val="0040519D"/>
    <w:rsid w:val="0040543F"/>
    <w:rsid w:val="00405844"/>
    <w:rsid w:val="00410018"/>
    <w:rsid w:val="00414F91"/>
    <w:rsid w:val="004171B5"/>
    <w:rsid w:val="004316A0"/>
    <w:rsid w:val="00433812"/>
    <w:rsid w:val="00436CD6"/>
    <w:rsid w:val="00451CB0"/>
    <w:rsid w:val="0045285F"/>
    <w:rsid w:val="0045600E"/>
    <w:rsid w:val="00463F3A"/>
    <w:rsid w:val="004650C3"/>
    <w:rsid w:val="00467B47"/>
    <w:rsid w:val="00473E99"/>
    <w:rsid w:val="00475F07"/>
    <w:rsid w:val="004947D1"/>
    <w:rsid w:val="00494BAC"/>
    <w:rsid w:val="00495DA8"/>
    <w:rsid w:val="00497F76"/>
    <w:rsid w:val="004A29A2"/>
    <w:rsid w:val="004B2104"/>
    <w:rsid w:val="004B22F3"/>
    <w:rsid w:val="004C0013"/>
    <w:rsid w:val="004C0B58"/>
    <w:rsid w:val="004C0C61"/>
    <w:rsid w:val="004C33F0"/>
    <w:rsid w:val="004C6B22"/>
    <w:rsid w:val="004D111F"/>
    <w:rsid w:val="004E2431"/>
    <w:rsid w:val="004E2C08"/>
    <w:rsid w:val="004E3470"/>
    <w:rsid w:val="004E36F6"/>
    <w:rsid w:val="004E7102"/>
    <w:rsid w:val="004E7C5C"/>
    <w:rsid w:val="004F15FA"/>
    <w:rsid w:val="004F3284"/>
    <w:rsid w:val="004F4518"/>
    <w:rsid w:val="00501D43"/>
    <w:rsid w:val="00502485"/>
    <w:rsid w:val="00503E04"/>
    <w:rsid w:val="005103EE"/>
    <w:rsid w:val="00512B40"/>
    <w:rsid w:val="00523F90"/>
    <w:rsid w:val="00524C21"/>
    <w:rsid w:val="00533528"/>
    <w:rsid w:val="0054474D"/>
    <w:rsid w:val="00546C2E"/>
    <w:rsid w:val="00551512"/>
    <w:rsid w:val="00587007"/>
    <w:rsid w:val="00587A9D"/>
    <w:rsid w:val="00592A13"/>
    <w:rsid w:val="00593E35"/>
    <w:rsid w:val="005944D8"/>
    <w:rsid w:val="00596451"/>
    <w:rsid w:val="005A0D7B"/>
    <w:rsid w:val="005B3334"/>
    <w:rsid w:val="005B3A17"/>
    <w:rsid w:val="005B513C"/>
    <w:rsid w:val="005B53FA"/>
    <w:rsid w:val="005C390A"/>
    <w:rsid w:val="005C49B2"/>
    <w:rsid w:val="005D107E"/>
    <w:rsid w:val="005E3ED5"/>
    <w:rsid w:val="0060649A"/>
    <w:rsid w:val="00607993"/>
    <w:rsid w:val="00612257"/>
    <w:rsid w:val="00616148"/>
    <w:rsid w:val="00624A88"/>
    <w:rsid w:val="0062705E"/>
    <w:rsid w:val="00631685"/>
    <w:rsid w:val="00635BD6"/>
    <w:rsid w:val="00637381"/>
    <w:rsid w:val="00637D93"/>
    <w:rsid w:val="006615E0"/>
    <w:rsid w:val="00663F9B"/>
    <w:rsid w:val="00666A7E"/>
    <w:rsid w:val="00666FD1"/>
    <w:rsid w:val="00681844"/>
    <w:rsid w:val="006824E7"/>
    <w:rsid w:val="006836FC"/>
    <w:rsid w:val="006878B3"/>
    <w:rsid w:val="0069564F"/>
    <w:rsid w:val="006A3313"/>
    <w:rsid w:val="006B5245"/>
    <w:rsid w:val="006B7D36"/>
    <w:rsid w:val="006C2BEE"/>
    <w:rsid w:val="006E34AE"/>
    <w:rsid w:val="006E4D7E"/>
    <w:rsid w:val="006E7D24"/>
    <w:rsid w:val="007013DD"/>
    <w:rsid w:val="00717C75"/>
    <w:rsid w:val="00732BCD"/>
    <w:rsid w:val="00736C10"/>
    <w:rsid w:val="00737568"/>
    <w:rsid w:val="00743B2F"/>
    <w:rsid w:val="00761680"/>
    <w:rsid w:val="007652D7"/>
    <w:rsid w:val="00774166"/>
    <w:rsid w:val="00791818"/>
    <w:rsid w:val="007A2082"/>
    <w:rsid w:val="007A2D49"/>
    <w:rsid w:val="007A6309"/>
    <w:rsid w:val="007B16EE"/>
    <w:rsid w:val="007D66FA"/>
    <w:rsid w:val="007E1B5B"/>
    <w:rsid w:val="007E3190"/>
    <w:rsid w:val="007E4C63"/>
    <w:rsid w:val="007E6493"/>
    <w:rsid w:val="00813552"/>
    <w:rsid w:val="008205AC"/>
    <w:rsid w:val="008217E4"/>
    <w:rsid w:val="008324C6"/>
    <w:rsid w:val="008340F6"/>
    <w:rsid w:val="00834D1D"/>
    <w:rsid w:val="0083551D"/>
    <w:rsid w:val="00840399"/>
    <w:rsid w:val="00856E98"/>
    <w:rsid w:val="00860091"/>
    <w:rsid w:val="00872779"/>
    <w:rsid w:val="008770CF"/>
    <w:rsid w:val="00877300"/>
    <w:rsid w:val="0088242E"/>
    <w:rsid w:val="008850A2"/>
    <w:rsid w:val="0088737E"/>
    <w:rsid w:val="00890C03"/>
    <w:rsid w:val="00892902"/>
    <w:rsid w:val="008967E4"/>
    <w:rsid w:val="008A6906"/>
    <w:rsid w:val="008A7391"/>
    <w:rsid w:val="008B4B17"/>
    <w:rsid w:val="008B64FB"/>
    <w:rsid w:val="008B7934"/>
    <w:rsid w:val="008C494F"/>
    <w:rsid w:val="008C68B5"/>
    <w:rsid w:val="008D7319"/>
    <w:rsid w:val="008E46F0"/>
    <w:rsid w:val="008E5CCA"/>
    <w:rsid w:val="008F22E5"/>
    <w:rsid w:val="008F2CC1"/>
    <w:rsid w:val="008F5354"/>
    <w:rsid w:val="008F5E6D"/>
    <w:rsid w:val="008F7AFC"/>
    <w:rsid w:val="008F7C60"/>
    <w:rsid w:val="00911CB2"/>
    <w:rsid w:val="00911D94"/>
    <w:rsid w:val="0091246E"/>
    <w:rsid w:val="009137A7"/>
    <w:rsid w:val="009250C6"/>
    <w:rsid w:val="009253A3"/>
    <w:rsid w:val="00925B42"/>
    <w:rsid w:val="009344C6"/>
    <w:rsid w:val="0093542C"/>
    <w:rsid w:val="00936511"/>
    <w:rsid w:val="009401AC"/>
    <w:rsid w:val="00953E6C"/>
    <w:rsid w:val="00960B57"/>
    <w:rsid w:val="009629F3"/>
    <w:rsid w:val="00972C87"/>
    <w:rsid w:val="00973C4D"/>
    <w:rsid w:val="009742D2"/>
    <w:rsid w:val="009943AB"/>
    <w:rsid w:val="009B0B6A"/>
    <w:rsid w:val="009C10C3"/>
    <w:rsid w:val="009C14E2"/>
    <w:rsid w:val="009D2725"/>
    <w:rsid w:val="009D7631"/>
    <w:rsid w:val="009E226F"/>
    <w:rsid w:val="009F0C25"/>
    <w:rsid w:val="00A05A24"/>
    <w:rsid w:val="00A07A1B"/>
    <w:rsid w:val="00A12742"/>
    <w:rsid w:val="00A13A1C"/>
    <w:rsid w:val="00A14F69"/>
    <w:rsid w:val="00A15574"/>
    <w:rsid w:val="00A22C8F"/>
    <w:rsid w:val="00A239D3"/>
    <w:rsid w:val="00A31EED"/>
    <w:rsid w:val="00A32E18"/>
    <w:rsid w:val="00A40015"/>
    <w:rsid w:val="00A50448"/>
    <w:rsid w:val="00A7186B"/>
    <w:rsid w:val="00A71FA8"/>
    <w:rsid w:val="00A73C8E"/>
    <w:rsid w:val="00A82E86"/>
    <w:rsid w:val="00A9000B"/>
    <w:rsid w:val="00A946A9"/>
    <w:rsid w:val="00A95312"/>
    <w:rsid w:val="00AA0A3E"/>
    <w:rsid w:val="00AB098D"/>
    <w:rsid w:val="00AB27F9"/>
    <w:rsid w:val="00AC17ED"/>
    <w:rsid w:val="00AC229B"/>
    <w:rsid w:val="00AC7EC8"/>
    <w:rsid w:val="00AD0B0A"/>
    <w:rsid w:val="00AD3FD7"/>
    <w:rsid w:val="00AD5F7F"/>
    <w:rsid w:val="00AD7ACB"/>
    <w:rsid w:val="00AE0C8C"/>
    <w:rsid w:val="00AF0936"/>
    <w:rsid w:val="00B0049B"/>
    <w:rsid w:val="00B00BC8"/>
    <w:rsid w:val="00B00DFD"/>
    <w:rsid w:val="00B0742B"/>
    <w:rsid w:val="00B11DDC"/>
    <w:rsid w:val="00B13A42"/>
    <w:rsid w:val="00B13C89"/>
    <w:rsid w:val="00B148E4"/>
    <w:rsid w:val="00B14AD9"/>
    <w:rsid w:val="00B16708"/>
    <w:rsid w:val="00B206C4"/>
    <w:rsid w:val="00B2161C"/>
    <w:rsid w:val="00B26E4B"/>
    <w:rsid w:val="00B33C57"/>
    <w:rsid w:val="00B44183"/>
    <w:rsid w:val="00B64703"/>
    <w:rsid w:val="00B67D04"/>
    <w:rsid w:val="00B72868"/>
    <w:rsid w:val="00B842F5"/>
    <w:rsid w:val="00B8655E"/>
    <w:rsid w:val="00B90991"/>
    <w:rsid w:val="00B9339B"/>
    <w:rsid w:val="00B94A6B"/>
    <w:rsid w:val="00B97961"/>
    <w:rsid w:val="00BA1ACC"/>
    <w:rsid w:val="00BA24D7"/>
    <w:rsid w:val="00BA4FF9"/>
    <w:rsid w:val="00BA602C"/>
    <w:rsid w:val="00BB25C4"/>
    <w:rsid w:val="00BB26EF"/>
    <w:rsid w:val="00BB59AA"/>
    <w:rsid w:val="00BC0280"/>
    <w:rsid w:val="00BD0563"/>
    <w:rsid w:val="00BD79E5"/>
    <w:rsid w:val="00C00C46"/>
    <w:rsid w:val="00C02BFF"/>
    <w:rsid w:val="00C11D0C"/>
    <w:rsid w:val="00C14135"/>
    <w:rsid w:val="00C2298B"/>
    <w:rsid w:val="00C24A7A"/>
    <w:rsid w:val="00C36E87"/>
    <w:rsid w:val="00C423F4"/>
    <w:rsid w:val="00C46495"/>
    <w:rsid w:val="00C46A9A"/>
    <w:rsid w:val="00C51199"/>
    <w:rsid w:val="00C538CC"/>
    <w:rsid w:val="00C56962"/>
    <w:rsid w:val="00C62ACD"/>
    <w:rsid w:val="00C6446B"/>
    <w:rsid w:val="00C72D97"/>
    <w:rsid w:val="00C81AF7"/>
    <w:rsid w:val="00C9231F"/>
    <w:rsid w:val="00CC18F2"/>
    <w:rsid w:val="00CC3FFC"/>
    <w:rsid w:val="00CC7FFE"/>
    <w:rsid w:val="00CD404B"/>
    <w:rsid w:val="00CD6F15"/>
    <w:rsid w:val="00CE3D01"/>
    <w:rsid w:val="00CE60A1"/>
    <w:rsid w:val="00CE63BE"/>
    <w:rsid w:val="00CF3B06"/>
    <w:rsid w:val="00D048A5"/>
    <w:rsid w:val="00D13A87"/>
    <w:rsid w:val="00D27F43"/>
    <w:rsid w:val="00D32399"/>
    <w:rsid w:val="00D3277B"/>
    <w:rsid w:val="00D363DC"/>
    <w:rsid w:val="00D41C48"/>
    <w:rsid w:val="00D64958"/>
    <w:rsid w:val="00D6528F"/>
    <w:rsid w:val="00D65CA9"/>
    <w:rsid w:val="00D70C07"/>
    <w:rsid w:val="00D7342F"/>
    <w:rsid w:val="00D8198B"/>
    <w:rsid w:val="00D964E9"/>
    <w:rsid w:val="00DA0189"/>
    <w:rsid w:val="00DA096D"/>
    <w:rsid w:val="00DA57D3"/>
    <w:rsid w:val="00DA7E1A"/>
    <w:rsid w:val="00DB2A3D"/>
    <w:rsid w:val="00DB578B"/>
    <w:rsid w:val="00DB5915"/>
    <w:rsid w:val="00DC0961"/>
    <w:rsid w:val="00DC1F8D"/>
    <w:rsid w:val="00DC5A09"/>
    <w:rsid w:val="00DC6E83"/>
    <w:rsid w:val="00DC7AC2"/>
    <w:rsid w:val="00DE3F5C"/>
    <w:rsid w:val="00DE7C28"/>
    <w:rsid w:val="00DF4831"/>
    <w:rsid w:val="00DF6D17"/>
    <w:rsid w:val="00E075A8"/>
    <w:rsid w:val="00E10583"/>
    <w:rsid w:val="00E151A0"/>
    <w:rsid w:val="00E22203"/>
    <w:rsid w:val="00E2399E"/>
    <w:rsid w:val="00E32352"/>
    <w:rsid w:val="00E363B9"/>
    <w:rsid w:val="00E402C2"/>
    <w:rsid w:val="00E403BA"/>
    <w:rsid w:val="00E46CCA"/>
    <w:rsid w:val="00E47350"/>
    <w:rsid w:val="00E601F8"/>
    <w:rsid w:val="00E637F5"/>
    <w:rsid w:val="00E64EE0"/>
    <w:rsid w:val="00E65E59"/>
    <w:rsid w:val="00E73829"/>
    <w:rsid w:val="00E8678A"/>
    <w:rsid w:val="00E944DC"/>
    <w:rsid w:val="00E974A6"/>
    <w:rsid w:val="00EA5329"/>
    <w:rsid w:val="00EA6181"/>
    <w:rsid w:val="00EB1522"/>
    <w:rsid w:val="00EB2C3E"/>
    <w:rsid w:val="00EB6175"/>
    <w:rsid w:val="00EB6CAE"/>
    <w:rsid w:val="00EC55E6"/>
    <w:rsid w:val="00ED0D64"/>
    <w:rsid w:val="00ED295F"/>
    <w:rsid w:val="00ED4AEB"/>
    <w:rsid w:val="00ED60EC"/>
    <w:rsid w:val="00EE2EF8"/>
    <w:rsid w:val="00EE3963"/>
    <w:rsid w:val="00EE3A19"/>
    <w:rsid w:val="00EE573C"/>
    <w:rsid w:val="00EF394B"/>
    <w:rsid w:val="00EF6D72"/>
    <w:rsid w:val="00F105AC"/>
    <w:rsid w:val="00F158FD"/>
    <w:rsid w:val="00F23488"/>
    <w:rsid w:val="00F2588C"/>
    <w:rsid w:val="00F26590"/>
    <w:rsid w:val="00F30D60"/>
    <w:rsid w:val="00F31E30"/>
    <w:rsid w:val="00F36E15"/>
    <w:rsid w:val="00F42FF2"/>
    <w:rsid w:val="00F51A80"/>
    <w:rsid w:val="00F55653"/>
    <w:rsid w:val="00F557CB"/>
    <w:rsid w:val="00F573B5"/>
    <w:rsid w:val="00F66106"/>
    <w:rsid w:val="00F73B24"/>
    <w:rsid w:val="00F77208"/>
    <w:rsid w:val="00F77D9C"/>
    <w:rsid w:val="00F8218D"/>
    <w:rsid w:val="00F852A2"/>
    <w:rsid w:val="00F94F7D"/>
    <w:rsid w:val="00F95393"/>
    <w:rsid w:val="00F96013"/>
    <w:rsid w:val="00FA1039"/>
    <w:rsid w:val="00FA137B"/>
    <w:rsid w:val="00FA37A8"/>
    <w:rsid w:val="00FA64BA"/>
    <w:rsid w:val="00FB1516"/>
    <w:rsid w:val="00FB48B9"/>
    <w:rsid w:val="00FC11E0"/>
    <w:rsid w:val="00FD21CA"/>
    <w:rsid w:val="00FE2A0E"/>
    <w:rsid w:val="00FE638A"/>
    <w:rsid w:val="00FF7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toc 1" w:uiPriority="39"/>
    <w:lsdException w:name="toc 2" w:uiPriority="39"/>
    <w:lsdException w:name="toc 3" w:uiPriority="39"/>
    <w:lsdException w:name="footnote text" w:uiPriority="99"/>
    <w:lsdException w:name="header" w:uiPriority="99"/>
    <w:lsdException w:name="footer" w:uiPriority="99"/>
    <w:lsdException w:name="footnote reference"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CF3B06"/>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F73B24"/>
    <w:pPr>
      <w:keepNext/>
      <w:keepLines/>
      <w:spacing w:before="240" w:after="60" w:line="240" w:lineRule="auto"/>
      <w:outlineLvl w:val="0"/>
    </w:pPr>
    <w:rPr>
      <w:color w:val="0194A6"/>
      <w:sz w:val="44"/>
      <w:szCs w:val="26"/>
    </w:rPr>
  </w:style>
  <w:style w:type="paragraph" w:styleId="Heading2">
    <w:name w:val="heading 2"/>
    <w:basedOn w:val="Heading1"/>
    <w:next w:val="Normal"/>
    <w:link w:val="Heading2Char"/>
    <w:autoRedefine/>
    <w:uiPriority w:val="9"/>
    <w:qFormat/>
    <w:rsid w:val="00CF3B06"/>
    <w:pPr>
      <w:numPr>
        <w:ilvl w:val="1"/>
      </w:numPr>
      <w:spacing w:before="180"/>
      <w:outlineLvl w:val="1"/>
    </w:pPr>
    <w:rPr>
      <w:color w:val="10C9DE"/>
      <w:sz w:val="40"/>
      <w:szCs w:val="24"/>
    </w:rPr>
  </w:style>
  <w:style w:type="paragraph" w:styleId="Heading3">
    <w:name w:val="heading 3"/>
    <w:basedOn w:val="Heading2"/>
    <w:next w:val="Normal"/>
    <w:link w:val="Heading3Char"/>
    <w:autoRedefine/>
    <w:uiPriority w:val="9"/>
    <w:qFormat/>
    <w:rsid w:val="00CF3B06"/>
    <w:pPr>
      <w:numPr>
        <w:ilvl w:val="2"/>
      </w:numPr>
      <w:spacing w:before="120" w:after="0"/>
      <w:outlineLvl w:val="2"/>
    </w:pPr>
    <w:rPr>
      <w:color w:val="0194A6"/>
      <w:sz w:val="24"/>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73B24"/>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CF3B06"/>
    <w:rPr>
      <w:rFonts w:ascii="Helvetica" w:hAnsi="Helvetica" w:cs="Arial"/>
      <w:color w:val="10C9DE"/>
      <w:sz w:val="40"/>
      <w:szCs w:val="24"/>
      <w:lang w:eastAsia="en-US"/>
    </w:rPr>
  </w:style>
  <w:style w:type="character" w:customStyle="1" w:styleId="Heading3Char">
    <w:name w:val="Heading 3 Char"/>
    <w:basedOn w:val="DefaultParagraphFont"/>
    <w:link w:val="Heading3"/>
    <w:uiPriority w:val="9"/>
    <w:locked/>
    <w:rsid w:val="00CF3B06"/>
    <w:rPr>
      <w:rFonts w:ascii="Helvetica" w:hAnsi="Helvetica" w:cs="Arial"/>
      <w:color w:val="0194A6"/>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jc w:val="left"/>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732BCD"/>
    <w:pPr>
      <w:spacing w:after="0"/>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E22203"/>
    <w:pPr>
      <w:framePr w:wrap="around" w:hAnchor="text"/>
      <w:spacing w:before="113" w:after="57" w:line="400" w:lineRule="exact"/>
    </w:pPr>
    <w:rPr>
      <w:sz w:val="36"/>
    </w:rPr>
  </w:style>
  <w:style w:type="paragraph" w:customStyle="1" w:styleId="Bullet">
    <w:name w:val="Bullet"/>
    <w:basedOn w:val="Normal"/>
    <w:autoRedefine/>
    <w:qFormat/>
    <w:rsid w:val="00F73B24"/>
    <w:pPr>
      <w:spacing w:line="320" w:lineRule="exact"/>
      <w:jc w:val="left"/>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DE3F5C"/>
    <w:pPr>
      <w:pBdr>
        <w:top w:val="single" w:sz="48" w:space="1" w:color="BFBFBF" w:themeColor="background1" w:themeShade="BF"/>
      </w:pBdr>
      <w:shd w:val="clear" w:color="auto" w:fill="E5E5E5"/>
      <w:spacing w:after="0" w:line="240" w:lineRule="auto"/>
      <w:jc w:val="center"/>
      <w:textboxTightWrap w:val="allLines"/>
    </w:pPr>
    <w:rPr>
      <w:rFonts w:eastAsiaTheme="minorHAnsi" w:cs="Times New Roman"/>
      <w:color w:val="10C9DE"/>
      <w:spacing w:val="-10"/>
      <w:sz w:val="56"/>
      <w:szCs w:val="22"/>
    </w:rPr>
  </w:style>
  <w:style w:type="paragraph" w:customStyle="1" w:styleId="GlanceHeading">
    <w:name w:val="Glance Heading"/>
    <w:basedOn w:val="Normal"/>
    <w:next w:val="GlanceBody"/>
    <w:autoRedefine/>
    <w:qFormat/>
    <w:rsid w:val="00737568"/>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CF3B06"/>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color w:val="0194A6"/>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paragraph" w:customStyle="1" w:styleId="YellowBubbleBox">
    <w:name w:val="Yellow Bubble Box"/>
    <w:basedOn w:val="Normal"/>
    <w:next w:val="Normal"/>
    <w:qFormat/>
    <w:rsid w:val="005B53FA"/>
    <w:pPr>
      <w:pBdr>
        <w:top w:val="single" w:sz="48" w:space="3" w:color="FBB040"/>
        <w:left w:val="single" w:sz="48" w:space="8" w:color="FBB040"/>
        <w:bottom w:val="single" w:sz="48" w:space="6" w:color="FBB040"/>
        <w:right w:val="single" w:sz="48" w:space="8" w:color="FBB040"/>
      </w:pBdr>
      <w:shd w:val="clear" w:color="auto" w:fill="FBB040"/>
      <w:spacing w:before="240" w:after="113" w:line="320" w:lineRule="exact"/>
      <w:ind w:left="284" w:right="284"/>
      <w:contextualSpacing/>
      <w:jc w:val="left"/>
    </w:pPr>
    <w:rPr>
      <w:rFonts w:ascii="Myriad Pro Light" w:eastAsiaTheme="minorHAnsi" w:hAnsi="Myriad Pro Light" w:cs="Times New Roman"/>
      <w:szCs w:val="22"/>
    </w:rPr>
  </w:style>
  <w:style w:type="paragraph" w:styleId="EndnoteText">
    <w:name w:val="endnote text"/>
    <w:basedOn w:val="Normal"/>
    <w:link w:val="EndnoteTextChar"/>
    <w:rsid w:val="00D41C48"/>
    <w:pPr>
      <w:spacing w:after="0" w:line="240" w:lineRule="auto"/>
    </w:pPr>
    <w:rPr>
      <w:sz w:val="20"/>
      <w:szCs w:val="20"/>
    </w:rPr>
  </w:style>
  <w:style w:type="character" w:customStyle="1" w:styleId="EndnoteTextChar">
    <w:name w:val="Endnote Text Char"/>
    <w:basedOn w:val="DefaultParagraphFont"/>
    <w:link w:val="EndnoteText"/>
    <w:rsid w:val="00D41C48"/>
    <w:rPr>
      <w:rFonts w:ascii="Helvetica" w:hAnsi="Helvetica" w:cs="Arial"/>
      <w:lang w:eastAsia="en-US"/>
    </w:rPr>
  </w:style>
  <w:style w:type="character" w:styleId="EndnoteReference">
    <w:name w:val="endnote reference"/>
    <w:basedOn w:val="DefaultParagraphFont"/>
    <w:rsid w:val="00D41C48"/>
    <w:rPr>
      <w:vertAlign w:val="superscript"/>
    </w:rPr>
  </w:style>
  <w:style w:type="character" w:styleId="FollowedHyperlink">
    <w:name w:val="FollowedHyperlink"/>
    <w:basedOn w:val="DefaultParagraphFont"/>
    <w:rsid w:val="00DE3F5C"/>
    <w:rPr>
      <w:color w:val="800080" w:themeColor="followedHyperlink"/>
      <w:u w:val="single"/>
    </w:rPr>
  </w:style>
  <w:style w:type="paragraph" w:styleId="Revision">
    <w:name w:val="Revision"/>
    <w:hidden/>
    <w:uiPriority w:val="99"/>
    <w:semiHidden/>
    <w:rsid w:val="00EB6CAE"/>
    <w:rPr>
      <w:rFonts w:ascii="Helvetica" w:hAnsi="Helvetica" w:cs="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toc 1" w:uiPriority="39"/>
    <w:lsdException w:name="toc 2" w:uiPriority="39"/>
    <w:lsdException w:name="toc 3" w:uiPriority="39"/>
    <w:lsdException w:name="footnote text" w:uiPriority="99"/>
    <w:lsdException w:name="header" w:uiPriority="99"/>
    <w:lsdException w:name="footer" w:uiPriority="99"/>
    <w:lsdException w:name="footnote reference"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aliases w:val="Paragraph"/>
    <w:qFormat/>
    <w:rsid w:val="00CF3B06"/>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F73B24"/>
    <w:pPr>
      <w:keepNext/>
      <w:keepLines/>
      <w:spacing w:before="240" w:after="60" w:line="240" w:lineRule="auto"/>
      <w:outlineLvl w:val="0"/>
    </w:pPr>
    <w:rPr>
      <w:color w:val="0194A6"/>
      <w:sz w:val="44"/>
      <w:szCs w:val="26"/>
    </w:rPr>
  </w:style>
  <w:style w:type="paragraph" w:styleId="Heading2">
    <w:name w:val="heading 2"/>
    <w:basedOn w:val="Heading1"/>
    <w:next w:val="Normal"/>
    <w:link w:val="Heading2Char"/>
    <w:autoRedefine/>
    <w:uiPriority w:val="9"/>
    <w:qFormat/>
    <w:rsid w:val="00CF3B06"/>
    <w:pPr>
      <w:numPr>
        <w:ilvl w:val="1"/>
      </w:numPr>
      <w:spacing w:before="180"/>
      <w:outlineLvl w:val="1"/>
    </w:pPr>
    <w:rPr>
      <w:color w:val="10C9DE"/>
      <w:sz w:val="40"/>
      <w:szCs w:val="24"/>
    </w:rPr>
  </w:style>
  <w:style w:type="paragraph" w:styleId="Heading3">
    <w:name w:val="heading 3"/>
    <w:basedOn w:val="Heading2"/>
    <w:next w:val="Normal"/>
    <w:link w:val="Heading3Char"/>
    <w:autoRedefine/>
    <w:uiPriority w:val="9"/>
    <w:qFormat/>
    <w:rsid w:val="00CF3B06"/>
    <w:pPr>
      <w:numPr>
        <w:ilvl w:val="2"/>
      </w:numPr>
      <w:spacing w:before="120" w:after="0"/>
      <w:outlineLvl w:val="2"/>
    </w:pPr>
    <w:rPr>
      <w:color w:val="0194A6"/>
      <w:sz w:val="24"/>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73B24"/>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CF3B06"/>
    <w:rPr>
      <w:rFonts w:ascii="Helvetica" w:hAnsi="Helvetica" w:cs="Arial"/>
      <w:color w:val="10C9DE"/>
      <w:sz w:val="40"/>
      <w:szCs w:val="24"/>
      <w:lang w:eastAsia="en-US"/>
    </w:rPr>
  </w:style>
  <w:style w:type="character" w:customStyle="1" w:styleId="Heading3Char">
    <w:name w:val="Heading 3 Char"/>
    <w:basedOn w:val="DefaultParagraphFont"/>
    <w:link w:val="Heading3"/>
    <w:uiPriority w:val="9"/>
    <w:locked/>
    <w:rsid w:val="00CF3B06"/>
    <w:rPr>
      <w:rFonts w:ascii="Helvetica" w:hAnsi="Helvetica" w:cs="Arial"/>
      <w:color w:val="0194A6"/>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jc w:val="left"/>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732BCD"/>
    <w:pPr>
      <w:spacing w:after="0"/>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E22203"/>
    <w:pPr>
      <w:framePr w:wrap="around" w:hAnchor="text"/>
      <w:spacing w:before="113" w:after="57" w:line="400" w:lineRule="exact"/>
    </w:pPr>
    <w:rPr>
      <w:sz w:val="36"/>
    </w:rPr>
  </w:style>
  <w:style w:type="paragraph" w:customStyle="1" w:styleId="Bullet">
    <w:name w:val="Bullet"/>
    <w:basedOn w:val="Normal"/>
    <w:autoRedefine/>
    <w:qFormat/>
    <w:rsid w:val="00F73B24"/>
    <w:pPr>
      <w:spacing w:line="320" w:lineRule="exact"/>
      <w:jc w:val="left"/>
    </w:pPr>
    <w:rPr>
      <w:rFonts w:eastAsiaTheme="minorHAnsi" w:cs="Times New Roman"/>
      <w:szCs w:val="22"/>
    </w:rPr>
  </w:style>
  <w:style w:type="paragraph" w:customStyle="1" w:styleId="Calloutbox">
    <w:name w:val="Callout box"/>
    <w:basedOn w:val="Normal"/>
    <w:next w:val="Normal"/>
    <w:link w:val="CalloutboxChar"/>
    <w:autoRedefine/>
    <w:qFormat/>
    <w:rsid w:val="00357D51"/>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DE3F5C"/>
    <w:pPr>
      <w:pBdr>
        <w:top w:val="single" w:sz="48" w:space="1" w:color="BFBFBF" w:themeColor="background1" w:themeShade="BF"/>
      </w:pBdr>
      <w:shd w:val="clear" w:color="auto" w:fill="E5E5E5"/>
      <w:spacing w:after="0" w:line="240" w:lineRule="auto"/>
      <w:jc w:val="center"/>
      <w:textboxTightWrap w:val="allLines"/>
    </w:pPr>
    <w:rPr>
      <w:rFonts w:eastAsiaTheme="minorHAnsi" w:cs="Times New Roman"/>
      <w:color w:val="10C9DE"/>
      <w:spacing w:val="-10"/>
      <w:sz w:val="56"/>
      <w:szCs w:val="22"/>
    </w:rPr>
  </w:style>
  <w:style w:type="paragraph" w:customStyle="1" w:styleId="GlanceHeading">
    <w:name w:val="Glance Heading"/>
    <w:basedOn w:val="Normal"/>
    <w:next w:val="GlanceBody"/>
    <w:autoRedefine/>
    <w:qFormat/>
    <w:rsid w:val="00737568"/>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CF3B06"/>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color w:val="0194A6"/>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57D51"/>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paragraph" w:customStyle="1" w:styleId="YellowBubbleBox">
    <w:name w:val="Yellow Bubble Box"/>
    <w:basedOn w:val="Normal"/>
    <w:next w:val="Normal"/>
    <w:qFormat/>
    <w:rsid w:val="005B53FA"/>
    <w:pPr>
      <w:pBdr>
        <w:top w:val="single" w:sz="48" w:space="3" w:color="FBB040"/>
        <w:left w:val="single" w:sz="48" w:space="8" w:color="FBB040"/>
        <w:bottom w:val="single" w:sz="48" w:space="6" w:color="FBB040"/>
        <w:right w:val="single" w:sz="48" w:space="8" w:color="FBB040"/>
      </w:pBdr>
      <w:shd w:val="clear" w:color="auto" w:fill="FBB040"/>
      <w:spacing w:before="240" w:after="113" w:line="320" w:lineRule="exact"/>
      <w:ind w:left="284" w:right="284"/>
      <w:contextualSpacing/>
      <w:jc w:val="left"/>
    </w:pPr>
    <w:rPr>
      <w:rFonts w:ascii="Myriad Pro Light" w:eastAsiaTheme="minorHAnsi" w:hAnsi="Myriad Pro Light" w:cs="Times New Roman"/>
      <w:szCs w:val="22"/>
    </w:rPr>
  </w:style>
  <w:style w:type="paragraph" w:styleId="EndnoteText">
    <w:name w:val="endnote text"/>
    <w:basedOn w:val="Normal"/>
    <w:link w:val="EndnoteTextChar"/>
    <w:rsid w:val="00D41C48"/>
    <w:pPr>
      <w:spacing w:after="0" w:line="240" w:lineRule="auto"/>
    </w:pPr>
    <w:rPr>
      <w:sz w:val="20"/>
      <w:szCs w:val="20"/>
    </w:rPr>
  </w:style>
  <w:style w:type="character" w:customStyle="1" w:styleId="EndnoteTextChar">
    <w:name w:val="Endnote Text Char"/>
    <w:basedOn w:val="DefaultParagraphFont"/>
    <w:link w:val="EndnoteText"/>
    <w:rsid w:val="00D41C48"/>
    <w:rPr>
      <w:rFonts w:ascii="Helvetica" w:hAnsi="Helvetica" w:cs="Arial"/>
      <w:lang w:eastAsia="en-US"/>
    </w:rPr>
  </w:style>
  <w:style w:type="character" w:styleId="EndnoteReference">
    <w:name w:val="endnote reference"/>
    <w:basedOn w:val="DefaultParagraphFont"/>
    <w:rsid w:val="00D41C48"/>
    <w:rPr>
      <w:vertAlign w:val="superscript"/>
    </w:rPr>
  </w:style>
  <w:style w:type="character" w:styleId="FollowedHyperlink">
    <w:name w:val="FollowedHyperlink"/>
    <w:basedOn w:val="DefaultParagraphFont"/>
    <w:rsid w:val="00DE3F5C"/>
    <w:rPr>
      <w:color w:val="800080" w:themeColor="followedHyperlink"/>
      <w:u w:val="single"/>
    </w:rPr>
  </w:style>
  <w:style w:type="paragraph" w:styleId="Revision">
    <w:name w:val="Revision"/>
    <w:hidden/>
    <w:uiPriority w:val="99"/>
    <w:semiHidden/>
    <w:rsid w:val="00EB6CAE"/>
    <w:rPr>
      <w:rFonts w:ascii="Helvetica" w:hAnsi="Helvetica"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Lynda.McAlary-Smith@fwo.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media@fwo.gov.a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extranet.deewr.gov.au/ccmsv8/CiLiteKnowledgeDetailsFrameset.htm?KNOWLEDGE_REF=216411&amp;TYPE=X&amp;ID=6033915386958132088889912894&amp;DOCUMENT_REF=400862&amp;DOCUMENT_TITLE=Restaurant%20Industry%20Award%202010&amp;DOCUMENT_CODE=MA00011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9B90E9CCC363384BB811393AC4733E5F" ma:contentTypeVersion="21" ma:contentTypeDescription="Document with BCS Classification" ma:contentTypeScope="" ma:versionID="532e763b73c6b9329938db3fb13483d2">
  <xsd:schema xmlns:xsd="http://www.w3.org/2001/XMLSchema" xmlns:xs="http://www.w3.org/2001/XMLSchema" xmlns:p="http://schemas.microsoft.com/office/2006/metadata/properties" xmlns:ns2="9CD2C200-E5EE-491A-BE9F-1B38678D765C" xmlns:ns3="289aa9ee-b1f4-4122-a062-0e87d672a6e7" targetNamespace="http://schemas.microsoft.com/office/2006/metadata/properties" ma:root="true" ma:fieldsID="1fe5d5e04cb6746df45a0534247dc101" ns2:_="" ns3:_="">
    <xsd:import namespace="9CD2C200-E5EE-491A-BE9F-1B38678D765C"/>
    <xsd:import namespace="289aa9ee-b1f4-4122-a062-0e87d672a6e7"/>
    <xsd:element name="properties">
      <xsd:complexType>
        <xsd:sequence>
          <xsd:element name="documentManagement">
            <xsd:complexType>
              <xsd:all>
                <xsd:element ref="ns2:FWO_DOCStatus" minOccurs="0"/>
                <xsd:element ref="ns2:FWO_DocSecurityClassification" minOccurs="0"/>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2C200-E5EE-491A-BE9F-1B38678D765C"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nillable="true"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80a8c21a-f2a9-4a94-82fb-f66d377005c0"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b5435847-22cd-4561-8763-4fe4f6b04950"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20"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1"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289aa9ee-b1f4-4122-a062-0e87d672a6e7"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3785dbf3-3b31-41fb-98ae-0f5cc8e2e666}" ma:internalName="TaxCatchAll" ma:showField="CatchAllData" ma:web="289aa9ee-b1f4-4122-a062-0e87d672a6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WO_DocumentTopicTaxHTField0 xmlns="9CD2C200-E5EE-491A-BE9F-1B38678D765C">
      <Terms xmlns="http://schemas.microsoft.com/office/infopath/2007/PartnerControls">
        <TermInfo xmlns="http://schemas.microsoft.com/office/infopath/2007/PartnerControls">
          <TermName xmlns="http://schemas.microsoft.com/office/infopath/2007/PartnerControls">Campaign report</TermName>
          <TermId xmlns="http://schemas.microsoft.com/office/infopath/2007/PartnerControls">9500137e-a308-4ee0-813c-0512049884a9</TermId>
        </TermInfo>
      </Terms>
    </FWO_DocumentTopicTaxHTField0>
    <FWO_BCSTaxHTField0 xmlns="9CD2C200-E5EE-491A-BE9F-1B38678D765C">
      <Terms xmlns="http://schemas.microsoft.com/office/infopath/2007/PartnerControls">
        <TermInfo xmlns="http://schemas.microsoft.com/office/infopath/2007/PartnerControls">
          <TermName xmlns="http://schemas.microsoft.com/office/infopath/2007/PartnerControls">Monitoring</TermName>
          <TermId xmlns="http://schemas.microsoft.com/office/infopath/2007/PartnerControls">d5c12385-bbff-466e-91f0-7746ec9f00a8</TermId>
        </TermInfo>
      </Terms>
    </FWO_BCSTaxHTField0>
    <FWO_EnterpriseKeywordTaxHTField0 xmlns="9CD2C200-E5EE-491A-BE9F-1B38678D765C">
      <Terms xmlns="http://schemas.microsoft.com/office/infopath/2007/PartnerControls"/>
    </FWO_EnterpriseKeywordTaxHTField0>
    <FWO_DOCStatus xmlns="9CD2C200-E5EE-491A-BE9F-1B38678D765C">Draft</FWO_DOCStatus>
    <FWO_DocSecurityClassification xmlns="9CD2C200-E5EE-491A-BE9F-1B38678D765C">Unclassified</FWO_DocSecurityClassification>
    <FWO_TRIM_SecurityClassification xmlns="9CD2C200-E5EE-491A-BE9F-1B38678D765C">Unclassified</FWO_TRIM_SecurityClassification>
    <FWO_TRIM_DLM xmlns="9CD2C200-E5EE-491A-BE9F-1B38678D765C" xsi:nil="true"/>
    <TaxCatchAll xmlns="289aa9ee-b1f4-4122-a062-0e87d672a6e7">
      <Value>18</Value>
      <Value>90</Value>
    </TaxCatchAll>
    <_dlc_DocId xmlns="289aa9ee-b1f4-4122-a062-0e87d672a6e7">DB-644834</_dlc_DocId>
    <_dlc_DocIdUrl xmlns="289aa9ee-b1f4-4122-a062-0e87d672a6e7">
      <Url>http://fwocollaboration.hosts.network/sites/b4/targeted-campaigns/_layouts/DocIdRedir.aspx?ID=DB-644834</Url>
      <Description>DB-644834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7C01B-C7A1-4FF4-9342-2385B4A93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2C200-E5EE-491A-BE9F-1B38678D765C"/>
    <ds:schemaRef ds:uri="289aa9ee-b1f4-4122-a062-0e87d672a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25F19-9546-405C-82CB-4606951DCC12}">
  <ds:schemaRefs>
    <ds:schemaRef ds:uri="http://schemas.microsoft.com/sharepoint/events"/>
  </ds:schemaRefs>
</ds:datastoreItem>
</file>

<file path=customXml/itemProps3.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4.xml><?xml version="1.0" encoding="utf-8"?>
<ds:datastoreItem xmlns:ds="http://schemas.openxmlformats.org/officeDocument/2006/customXml" ds:itemID="{10BCB250-6FDC-4A26-BE73-D575BFC4583A}">
  <ds:schemaRefs>
    <ds:schemaRef ds:uri="http://schemas.microsoft.com/office/2006/metadata/properties"/>
    <ds:schemaRef ds:uri="http://schemas.microsoft.com/office/infopath/2007/PartnerControls"/>
    <ds:schemaRef ds:uri="http://www.w3.org/XML/1998/namespace"/>
    <ds:schemaRef ds:uri="289aa9ee-b1f4-4122-a062-0e87d672a6e7"/>
    <ds:schemaRef ds:uri="http://purl.org/dc/dcmitype/"/>
    <ds:schemaRef ds:uri="http://schemas.microsoft.com/office/2006/documentManagement/types"/>
    <ds:schemaRef ds:uri="http://purl.org/dc/elements/1.1/"/>
    <ds:schemaRef ds:uri="http://schemas.openxmlformats.org/package/2006/metadata/core-properties"/>
    <ds:schemaRef ds:uri="9CD2C200-E5EE-491A-BE9F-1B38678D765C"/>
    <ds:schemaRef ds:uri="http://purl.org/dc/terms/"/>
  </ds:schemaRefs>
</ds:datastoreItem>
</file>

<file path=customXml/itemProps5.xml><?xml version="1.0" encoding="utf-8"?>
<ds:datastoreItem xmlns:ds="http://schemas.openxmlformats.org/officeDocument/2006/customXml" ds:itemID="{BBCE7A36-20E5-42ED-B450-4C91B49216F0}">
  <ds:schemaRefs>
    <ds:schemaRef ds:uri="http://schemas.microsoft.com/sharepoint/v3/contenttype/forms"/>
  </ds:schemaRefs>
</ds:datastoreItem>
</file>

<file path=customXml/itemProps6.xml><?xml version="1.0" encoding="utf-8"?>
<ds:datastoreItem xmlns:ds="http://schemas.openxmlformats.org/officeDocument/2006/customXml" ds:itemID="{C68ACD0D-B053-4871-8F4F-BA81984C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2558</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National Hospitality Industry Campaign Report - Restaurants, Café’s and Catering (Wave 2)</vt:lpstr>
    </vt:vector>
  </TitlesOfParts>
  <Company>Australian Government</Company>
  <LinksUpToDate>false</LinksUpToDate>
  <CharactersWithSpaces>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Hospitality Industry Campaign Report - Restaurants, Café’s and Catering (Wave 2)</dc:title>
  <dc:subject>National Hospitality Industry Campaign Report - Restaurants, Café’s and Catering (Wave 2)</dc:subject>
  <dc:creator>Fair Work Ombudsman</dc:creator>
  <cp:keywords>National Hospitality Industry Campaign Report - Restaurants, Café’s and Catering (Wave 2)</cp:keywords>
  <dc:description/>
  <cp:lastModifiedBy>Freda Moloney</cp:lastModifiedBy>
  <cp:revision>5</cp:revision>
  <cp:lastPrinted>2015-03-13T02:02:00Z</cp:lastPrinted>
  <dcterms:created xsi:type="dcterms:W3CDTF">2015-06-24T00:53:00Z</dcterms:created>
  <dcterms:modified xsi:type="dcterms:W3CDTF">2015-06-24T01:26:00Z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
    <vt:lpwstr>Document</vt:lpwstr>
  </property>
  <property fmtid="{D5CDD505-2E9C-101B-9397-08002B2CF9AE}" pid="6" name="ContentTypeId">
    <vt:lpwstr>0x010100B2AA788ECC3F4F3EBCB0F00CED0A3A70009B90E9CCC363384BB811393AC4733E5F</vt:lpwstr>
  </property>
  <property fmtid="{D5CDD505-2E9C-101B-9397-08002B2CF9AE}" pid="7" name="Order">
    <vt:r8>61500</vt:r8>
  </property>
  <property fmtid="{D5CDD505-2E9C-101B-9397-08002B2CF9AE}" pid="8" name="Topic">
    <vt:lpwstr>Other</vt:lpwstr>
  </property>
  <property fmtid="{D5CDD505-2E9C-101B-9397-08002B2CF9AE}" pid="9" name="Document Type">
    <vt:lpwstr>Other</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Title">
    <vt:lpwstr>QLD-Clothing-Manufacturers-Audit-Program-2011-report</vt:lpwstr>
  </property>
  <property fmtid="{D5CDD505-2E9C-101B-9397-08002B2CF9AE}" pid="14" name="FWO_DocumentTopicTaxHTField0">
    <vt:lpwstr>Campaign report|9500137e-a308-4ee0-813c-0512049884a9</vt:lpwstr>
  </property>
  <property fmtid="{D5CDD505-2E9C-101B-9397-08002B2CF9AE}" pid="15" name="FWO_DocumentTopic">
    <vt:lpwstr>90;#Campaign report|9500137e-a308-4ee0-813c-0512049884a9</vt:lpwstr>
  </property>
  <property fmtid="{D5CDD505-2E9C-101B-9397-08002B2CF9AE}" pid="16" name="FWO_BCSTaxHTField0">
    <vt:lpwstr>Monitoring|d5c12385-bbff-466e-91f0-7746ec9f00a8</vt:lpwstr>
  </property>
  <property fmtid="{D5CDD505-2E9C-101B-9397-08002B2CF9AE}" pid="17" name="FWO_BCS">
    <vt:lpwstr>18;#Monitoring|d5c12385-bbff-466e-91f0-7746ec9f00a8</vt:lpwstr>
  </property>
  <property fmtid="{D5CDD505-2E9C-101B-9397-08002B2CF9AE}" pid="18" name="FWO_EnterpriseKeywordTaxHTField0">
    <vt:lpwstr/>
  </property>
  <property fmtid="{D5CDD505-2E9C-101B-9397-08002B2CF9AE}" pid="19" name="FWO_EnterpriseKeyword">
    <vt:lpwstr/>
  </property>
  <property fmtid="{D5CDD505-2E9C-101B-9397-08002B2CF9AE}" pid="20" name="FWO_DOCStatus">
    <vt:lpwstr>Draft</vt:lpwstr>
  </property>
  <property fmtid="{D5CDD505-2E9C-101B-9397-08002B2CF9AE}" pid="21" name="FWO_DocSecurityClassification">
    <vt:lpwstr>Unclassified</vt:lpwstr>
  </property>
  <property fmtid="{D5CDD505-2E9C-101B-9397-08002B2CF9AE}" pid="22" name="TaxCatchAll">
    <vt:lpwstr/>
  </property>
  <property fmtid="{D5CDD505-2E9C-101B-9397-08002B2CF9AE}" pid="23" name="FWO_TRIM_SecurityClassification">
    <vt:lpwstr>Unclassified</vt:lpwstr>
  </property>
  <property fmtid="{D5CDD505-2E9C-101B-9397-08002B2CF9AE}" pid="24" name="FWO_TRIM_DLM">
    <vt:lpwstr/>
  </property>
  <property fmtid="{D5CDD505-2E9C-101B-9397-08002B2CF9AE}" pid="25" name="mvRef">
    <vt:lpwstr>Current national campaigns:DB-644834/1.0</vt:lpwstr>
  </property>
  <property fmtid="{D5CDD505-2E9C-101B-9397-08002B2CF9AE}" pid="26" name="_dlc_DocIdItemGuid">
    <vt:lpwstr>47364790-a9c2-47d3-94e2-9ec275714c93</vt:lpwstr>
  </property>
</Properties>
</file>