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BE" w:rsidRDefault="00E06D67" w:rsidP="007C589E">
      <w:pPr>
        <w:pStyle w:val="CoverReportTitle"/>
        <w:framePr w:w="0" w:wrap="auto" w:vAnchor="margin" w:xAlign="left" w:yAlign="inline"/>
        <w:spacing w:line="360" w:lineRule="auto"/>
      </w:pPr>
      <w:r>
        <w:t xml:space="preserve">WA – Gascoyne/Mid-West Regional </w:t>
      </w:r>
      <w:bookmarkStart w:id="0" w:name="_GoBack"/>
      <w:bookmarkEnd w:id="0"/>
      <w:r>
        <w:t>Campaign 2015</w:t>
      </w:r>
    </w:p>
    <w:p w:rsidR="003952ED" w:rsidRDefault="00FF3E50" w:rsidP="007C589E">
      <w:pPr>
        <w:pStyle w:val="CoverReportSubTitle"/>
        <w:spacing w:line="360" w:lineRule="auto"/>
      </w:pPr>
      <w:r>
        <w:t xml:space="preserve">Report - </w:t>
      </w:r>
      <w:r w:rsidR="007E58A4">
        <w:t>May</w:t>
      </w:r>
      <w:r w:rsidR="00E06D67">
        <w:t xml:space="preserve"> 2016</w:t>
      </w:r>
    </w:p>
    <w:p w:rsidR="00E86F40" w:rsidRDefault="00E86F40" w:rsidP="007C589E"/>
    <w:p w:rsidR="00E86F40" w:rsidRPr="00BF0029" w:rsidRDefault="00E86F40" w:rsidP="007C589E">
      <w:r>
        <w:t xml:space="preserve">A report prepared by the Fair Work Ombudsman under the </w:t>
      </w:r>
      <w:r w:rsidRPr="00E06D67">
        <w:rPr>
          <w:i/>
        </w:rPr>
        <w:t>Fair Work Act 2009</w:t>
      </w:r>
    </w:p>
    <w:p w:rsidR="001F20C3" w:rsidRPr="006A412C" w:rsidRDefault="009629F3" w:rsidP="007C589E">
      <w:r w:rsidRPr="0045600E">
        <w:t>©</w:t>
      </w:r>
      <w:r w:rsidR="00CC7FFE" w:rsidRPr="0045600E">
        <w:t xml:space="preserve"> </w:t>
      </w:r>
      <w:r w:rsidRPr="0045600E">
        <w:t>Commonwealth of Australia, 201</w:t>
      </w:r>
      <w:r w:rsidR="005C22DB">
        <w:t>6</w:t>
      </w:r>
      <w:r w:rsidR="001F20C3">
        <w:br w:type="page"/>
      </w:r>
    </w:p>
    <w:p w:rsidR="00BF0029" w:rsidRDefault="00BF0029" w:rsidP="007C589E">
      <w:pPr>
        <w:pStyle w:val="Header"/>
        <w:rPr>
          <w:rFonts w:eastAsiaTheme="minorHAnsi" w:cs="Times New Roman"/>
          <w:szCs w:val="22"/>
          <w:lang w:eastAsia="en-AU"/>
        </w:rPr>
      </w:pPr>
      <w:r>
        <w:lastRenderedPageBreak/>
        <w:tab/>
      </w:r>
    </w:p>
    <w:p w:rsidR="00E86F40" w:rsidRDefault="00E86F40" w:rsidP="007C589E">
      <w:pPr>
        <w:pStyle w:val="Heading1"/>
      </w:pPr>
      <w:bookmarkStart w:id="1" w:name="_Toc428272492"/>
      <w:bookmarkStart w:id="2" w:name="_Toc450134185"/>
      <w:r>
        <w:t>Table of Contents</w:t>
      </w:r>
      <w:bookmarkEnd w:id="1"/>
      <w:bookmarkEnd w:id="2"/>
    </w:p>
    <w:p w:rsidR="00BF0029" w:rsidRDefault="00BF0029" w:rsidP="007C589E"/>
    <w:p w:rsidR="00EB3B8C" w:rsidRDefault="00BF0029">
      <w:pPr>
        <w:pStyle w:val="TOC1"/>
        <w:rPr>
          <w:rFonts w:asciiTheme="minorHAnsi" w:eastAsiaTheme="minorEastAsia" w:hAnsiTheme="minorHAnsi" w:cstheme="minorBidi"/>
          <w:noProof/>
          <w:spacing w:val="0"/>
          <w:szCs w:val="22"/>
          <w:lang w:eastAsia="en-AU"/>
        </w:rPr>
      </w:pPr>
      <w:r>
        <w:rPr>
          <w:b/>
        </w:rPr>
        <w:fldChar w:fldCharType="begin"/>
      </w:r>
      <w:r>
        <w:rPr>
          <w:b/>
        </w:rPr>
        <w:instrText xml:space="preserve"> TOC \o "1-2" \h \z \u </w:instrText>
      </w:r>
      <w:r>
        <w:rPr>
          <w:b/>
        </w:rPr>
        <w:fldChar w:fldCharType="separate"/>
      </w:r>
      <w:hyperlink w:anchor="_Toc450134185" w:history="1">
        <w:r w:rsidR="00EB3B8C" w:rsidRPr="00CB4DA4">
          <w:rPr>
            <w:rStyle w:val="Hyperlink"/>
            <w:noProof/>
          </w:rPr>
          <w:t>Table of Contents</w:t>
        </w:r>
        <w:r w:rsidR="00EB3B8C">
          <w:rPr>
            <w:noProof/>
            <w:webHidden/>
          </w:rPr>
          <w:tab/>
        </w:r>
        <w:r w:rsidR="00EB3B8C">
          <w:rPr>
            <w:noProof/>
            <w:webHidden/>
          </w:rPr>
          <w:fldChar w:fldCharType="begin"/>
        </w:r>
        <w:r w:rsidR="00EB3B8C">
          <w:rPr>
            <w:noProof/>
            <w:webHidden/>
          </w:rPr>
          <w:instrText xml:space="preserve"> PAGEREF _Toc450134185 \h </w:instrText>
        </w:r>
        <w:r w:rsidR="00EB3B8C">
          <w:rPr>
            <w:noProof/>
            <w:webHidden/>
          </w:rPr>
        </w:r>
        <w:r w:rsidR="00EB3B8C">
          <w:rPr>
            <w:noProof/>
            <w:webHidden/>
          </w:rPr>
          <w:fldChar w:fldCharType="separate"/>
        </w:r>
        <w:r w:rsidR="00EB3B8C">
          <w:rPr>
            <w:noProof/>
            <w:webHidden/>
          </w:rPr>
          <w:t>2</w:t>
        </w:r>
        <w:r w:rsidR="00EB3B8C">
          <w:rPr>
            <w:noProof/>
            <w:webHidden/>
          </w:rPr>
          <w:fldChar w:fldCharType="end"/>
        </w:r>
      </w:hyperlink>
    </w:p>
    <w:p w:rsidR="00EB3B8C" w:rsidRDefault="00A4303F">
      <w:pPr>
        <w:pStyle w:val="TOC1"/>
        <w:rPr>
          <w:rFonts w:asciiTheme="minorHAnsi" w:eastAsiaTheme="minorEastAsia" w:hAnsiTheme="minorHAnsi" w:cstheme="minorBidi"/>
          <w:noProof/>
          <w:spacing w:val="0"/>
          <w:szCs w:val="22"/>
          <w:lang w:eastAsia="en-AU"/>
        </w:rPr>
      </w:pPr>
      <w:hyperlink w:anchor="_Toc450134186" w:history="1">
        <w:r w:rsidR="00EB3B8C" w:rsidRPr="00CB4DA4">
          <w:rPr>
            <w:rStyle w:val="Hyperlink"/>
            <w:noProof/>
            <w:lang w:eastAsia="en-AU"/>
          </w:rPr>
          <w:t>Infographic Page</w:t>
        </w:r>
        <w:r w:rsidR="00EB3B8C">
          <w:rPr>
            <w:noProof/>
            <w:webHidden/>
          </w:rPr>
          <w:tab/>
        </w:r>
        <w:r w:rsidR="00EB3B8C">
          <w:rPr>
            <w:noProof/>
            <w:webHidden/>
          </w:rPr>
          <w:fldChar w:fldCharType="begin"/>
        </w:r>
        <w:r w:rsidR="00EB3B8C">
          <w:rPr>
            <w:noProof/>
            <w:webHidden/>
          </w:rPr>
          <w:instrText xml:space="preserve"> PAGEREF _Toc450134186 \h </w:instrText>
        </w:r>
        <w:r w:rsidR="00EB3B8C">
          <w:rPr>
            <w:noProof/>
            <w:webHidden/>
          </w:rPr>
        </w:r>
        <w:r w:rsidR="00EB3B8C">
          <w:rPr>
            <w:noProof/>
            <w:webHidden/>
          </w:rPr>
          <w:fldChar w:fldCharType="separate"/>
        </w:r>
        <w:r w:rsidR="00EB3B8C">
          <w:rPr>
            <w:noProof/>
            <w:webHidden/>
          </w:rPr>
          <w:t>3</w:t>
        </w:r>
        <w:r w:rsidR="00EB3B8C">
          <w:rPr>
            <w:noProof/>
            <w:webHidden/>
          </w:rPr>
          <w:fldChar w:fldCharType="end"/>
        </w:r>
      </w:hyperlink>
    </w:p>
    <w:p w:rsidR="00EB3B8C" w:rsidRDefault="00A4303F">
      <w:pPr>
        <w:pStyle w:val="TOC1"/>
        <w:rPr>
          <w:rFonts w:asciiTheme="minorHAnsi" w:eastAsiaTheme="minorEastAsia" w:hAnsiTheme="minorHAnsi" w:cstheme="minorBidi"/>
          <w:noProof/>
          <w:spacing w:val="0"/>
          <w:szCs w:val="22"/>
          <w:lang w:eastAsia="en-AU"/>
        </w:rPr>
      </w:pPr>
      <w:hyperlink w:anchor="_Toc450134187" w:history="1">
        <w:r w:rsidR="00EB3B8C" w:rsidRPr="00CB4DA4">
          <w:rPr>
            <w:rStyle w:val="Hyperlink"/>
            <w:noProof/>
          </w:rPr>
          <w:t>Summary</w:t>
        </w:r>
        <w:r w:rsidR="00EB3B8C">
          <w:rPr>
            <w:noProof/>
            <w:webHidden/>
          </w:rPr>
          <w:tab/>
        </w:r>
        <w:r w:rsidR="00EB3B8C">
          <w:rPr>
            <w:noProof/>
            <w:webHidden/>
          </w:rPr>
          <w:fldChar w:fldCharType="begin"/>
        </w:r>
        <w:r w:rsidR="00EB3B8C">
          <w:rPr>
            <w:noProof/>
            <w:webHidden/>
          </w:rPr>
          <w:instrText xml:space="preserve"> PAGEREF _Toc450134187 \h </w:instrText>
        </w:r>
        <w:r w:rsidR="00EB3B8C">
          <w:rPr>
            <w:noProof/>
            <w:webHidden/>
          </w:rPr>
        </w:r>
        <w:r w:rsidR="00EB3B8C">
          <w:rPr>
            <w:noProof/>
            <w:webHidden/>
          </w:rPr>
          <w:fldChar w:fldCharType="separate"/>
        </w:r>
        <w:r w:rsidR="00EB3B8C">
          <w:rPr>
            <w:noProof/>
            <w:webHidden/>
          </w:rPr>
          <w:t>4</w:t>
        </w:r>
        <w:r w:rsidR="00EB3B8C">
          <w:rPr>
            <w:noProof/>
            <w:webHidden/>
          </w:rPr>
          <w:fldChar w:fldCharType="end"/>
        </w:r>
      </w:hyperlink>
    </w:p>
    <w:p w:rsidR="00EB3B8C" w:rsidRDefault="00A4303F">
      <w:pPr>
        <w:pStyle w:val="TOC1"/>
        <w:rPr>
          <w:rFonts w:asciiTheme="minorHAnsi" w:eastAsiaTheme="minorEastAsia" w:hAnsiTheme="minorHAnsi" w:cstheme="minorBidi"/>
          <w:noProof/>
          <w:spacing w:val="0"/>
          <w:szCs w:val="22"/>
          <w:lang w:eastAsia="en-AU"/>
        </w:rPr>
      </w:pPr>
      <w:hyperlink w:anchor="_Toc450134188" w:history="1">
        <w:r w:rsidR="00EB3B8C" w:rsidRPr="00CB4DA4">
          <w:rPr>
            <w:rStyle w:val="Hyperlink"/>
            <w:noProof/>
          </w:rPr>
          <w:t>What We Did</w:t>
        </w:r>
        <w:r w:rsidR="00EB3B8C">
          <w:rPr>
            <w:noProof/>
            <w:webHidden/>
          </w:rPr>
          <w:tab/>
        </w:r>
        <w:r w:rsidR="00EB3B8C">
          <w:rPr>
            <w:noProof/>
            <w:webHidden/>
          </w:rPr>
          <w:fldChar w:fldCharType="begin"/>
        </w:r>
        <w:r w:rsidR="00EB3B8C">
          <w:rPr>
            <w:noProof/>
            <w:webHidden/>
          </w:rPr>
          <w:instrText xml:space="preserve"> PAGEREF _Toc450134188 \h </w:instrText>
        </w:r>
        <w:r w:rsidR="00EB3B8C">
          <w:rPr>
            <w:noProof/>
            <w:webHidden/>
          </w:rPr>
        </w:r>
        <w:r w:rsidR="00EB3B8C">
          <w:rPr>
            <w:noProof/>
            <w:webHidden/>
          </w:rPr>
          <w:fldChar w:fldCharType="separate"/>
        </w:r>
        <w:r w:rsidR="00EB3B8C">
          <w:rPr>
            <w:noProof/>
            <w:webHidden/>
          </w:rPr>
          <w:t>4</w:t>
        </w:r>
        <w:r w:rsidR="00EB3B8C">
          <w:rPr>
            <w:noProof/>
            <w:webHidden/>
          </w:rPr>
          <w:fldChar w:fldCharType="end"/>
        </w:r>
      </w:hyperlink>
    </w:p>
    <w:p w:rsidR="00EB3B8C" w:rsidRDefault="00A4303F">
      <w:pPr>
        <w:pStyle w:val="TOC1"/>
        <w:rPr>
          <w:rFonts w:asciiTheme="minorHAnsi" w:eastAsiaTheme="minorEastAsia" w:hAnsiTheme="minorHAnsi" w:cstheme="minorBidi"/>
          <w:noProof/>
          <w:spacing w:val="0"/>
          <w:szCs w:val="22"/>
          <w:lang w:eastAsia="en-AU"/>
        </w:rPr>
      </w:pPr>
      <w:hyperlink w:anchor="_Toc450134189" w:history="1">
        <w:r w:rsidR="00EB3B8C" w:rsidRPr="00CB4DA4">
          <w:rPr>
            <w:rStyle w:val="Hyperlink"/>
            <w:noProof/>
          </w:rPr>
          <w:t>Outcomes</w:t>
        </w:r>
        <w:r w:rsidR="00EB3B8C">
          <w:rPr>
            <w:noProof/>
            <w:webHidden/>
          </w:rPr>
          <w:tab/>
        </w:r>
        <w:r w:rsidR="00EB3B8C">
          <w:rPr>
            <w:noProof/>
            <w:webHidden/>
          </w:rPr>
          <w:fldChar w:fldCharType="begin"/>
        </w:r>
        <w:r w:rsidR="00EB3B8C">
          <w:rPr>
            <w:noProof/>
            <w:webHidden/>
          </w:rPr>
          <w:instrText xml:space="preserve"> PAGEREF _Toc450134189 \h </w:instrText>
        </w:r>
        <w:r w:rsidR="00EB3B8C">
          <w:rPr>
            <w:noProof/>
            <w:webHidden/>
          </w:rPr>
        </w:r>
        <w:r w:rsidR="00EB3B8C">
          <w:rPr>
            <w:noProof/>
            <w:webHidden/>
          </w:rPr>
          <w:fldChar w:fldCharType="separate"/>
        </w:r>
        <w:r w:rsidR="00EB3B8C">
          <w:rPr>
            <w:noProof/>
            <w:webHidden/>
          </w:rPr>
          <w:t>5</w:t>
        </w:r>
        <w:r w:rsidR="00EB3B8C">
          <w:rPr>
            <w:noProof/>
            <w:webHidden/>
          </w:rPr>
          <w:fldChar w:fldCharType="end"/>
        </w:r>
      </w:hyperlink>
    </w:p>
    <w:p w:rsidR="00EB3B8C" w:rsidRDefault="00A4303F">
      <w:pPr>
        <w:pStyle w:val="TOC2"/>
        <w:rPr>
          <w:rFonts w:asciiTheme="minorHAnsi" w:eastAsiaTheme="minorEastAsia" w:hAnsiTheme="minorHAnsi" w:cstheme="minorBidi"/>
          <w:noProof/>
          <w:szCs w:val="22"/>
          <w:lang w:eastAsia="en-AU"/>
        </w:rPr>
      </w:pPr>
      <w:hyperlink w:anchor="_Toc450134190" w:history="1">
        <w:r w:rsidR="00EB3B8C" w:rsidRPr="00CB4DA4">
          <w:rPr>
            <w:rStyle w:val="Hyperlink"/>
            <w:noProof/>
          </w:rPr>
          <w:t>Individual Errors</w:t>
        </w:r>
        <w:r w:rsidR="00EB3B8C">
          <w:rPr>
            <w:noProof/>
            <w:webHidden/>
          </w:rPr>
          <w:tab/>
        </w:r>
        <w:r w:rsidR="00EB3B8C">
          <w:rPr>
            <w:noProof/>
            <w:webHidden/>
          </w:rPr>
          <w:fldChar w:fldCharType="begin"/>
        </w:r>
        <w:r w:rsidR="00EB3B8C">
          <w:rPr>
            <w:noProof/>
            <w:webHidden/>
          </w:rPr>
          <w:instrText xml:space="preserve"> PAGEREF _Toc450134190 \h </w:instrText>
        </w:r>
        <w:r w:rsidR="00EB3B8C">
          <w:rPr>
            <w:noProof/>
            <w:webHidden/>
          </w:rPr>
        </w:r>
        <w:r w:rsidR="00EB3B8C">
          <w:rPr>
            <w:noProof/>
            <w:webHidden/>
          </w:rPr>
          <w:fldChar w:fldCharType="separate"/>
        </w:r>
        <w:r w:rsidR="00EB3B8C">
          <w:rPr>
            <w:noProof/>
            <w:webHidden/>
          </w:rPr>
          <w:t>7</w:t>
        </w:r>
        <w:r w:rsidR="00EB3B8C">
          <w:rPr>
            <w:noProof/>
            <w:webHidden/>
          </w:rPr>
          <w:fldChar w:fldCharType="end"/>
        </w:r>
      </w:hyperlink>
    </w:p>
    <w:p w:rsidR="00EB3B8C" w:rsidRDefault="00A4303F">
      <w:pPr>
        <w:pStyle w:val="TOC2"/>
        <w:rPr>
          <w:rFonts w:asciiTheme="minorHAnsi" w:eastAsiaTheme="minorEastAsia" w:hAnsiTheme="minorHAnsi" w:cstheme="minorBidi"/>
          <w:noProof/>
          <w:szCs w:val="22"/>
          <w:lang w:eastAsia="en-AU"/>
        </w:rPr>
      </w:pPr>
      <w:hyperlink w:anchor="_Toc450134191" w:history="1">
        <w:r w:rsidR="00EB3B8C" w:rsidRPr="00CB4DA4">
          <w:rPr>
            <w:rStyle w:val="Hyperlink"/>
            <w:noProof/>
          </w:rPr>
          <w:t>Association Membership and Business Size</w:t>
        </w:r>
        <w:r w:rsidR="00EB3B8C">
          <w:rPr>
            <w:noProof/>
            <w:webHidden/>
          </w:rPr>
          <w:tab/>
        </w:r>
        <w:r w:rsidR="00EB3B8C">
          <w:rPr>
            <w:noProof/>
            <w:webHidden/>
          </w:rPr>
          <w:fldChar w:fldCharType="begin"/>
        </w:r>
        <w:r w:rsidR="00EB3B8C">
          <w:rPr>
            <w:noProof/>
            <w:webHidden/>
          </w:rPr>
          <w:instrText xml:space="preserve"> PAGEREF _Toc450134191 \h </w:instrText>
        </w:r>
        <w:r w:rsidR="00EB3B8C">
          <w:rPr>
            <w:noProof/>
            <w:webHidden/>
          </w:rPr>
        </w:r>
        <w:r w:rsidR="00EB3B8C">
          <w:rPr>
            <w:noProof/>
            <w:webHidden/>
          </w:rPr>
          <w:fldChar w:fldCharType="separate"/>
        </w:r>
        <w:r w:rsidR="00EB3B8C">
          <w:rPr>
            <w:noProof/>
            <w:webHidden/>
          </w:rPr>
          <w:t>7</w:t>
        </w:r>
        <w:r w:rsidR="00EB3B8C">
          <w:rPr>
            <w:noProof/>
            <w:webHidden/>
          </w:rPr>
          <w:fldChar w:fldCharType="end"/>
        </w:r>
      </w:hyperlink>
    </w:p>
    <w:p w:rsidR="00EB3B8C" w:rsidRDefault="00A4303F">
      <w:pPr>
        <w:pStyle w:val="TOC1"/>
        <w:rPr>
          <w:rFonts w:asciiTheme="minorHAnsi" w:eastAsiaTheme="minorEastAsia" w:hAnsiTheme="minorHAnsi" w:cstheme="minorBidi"/>
          <w:noProof/>
          <w:spacing w:val="0"/>
          <w:szCs w:val="22"/>
          <w:lang w:eastAsia="en-AU"/>
        </w:rPr>
      </w:pPr>
      <w:hyperlink w:anchor="_Toc450134192" w:history="1">
        <w:r w:rsidR="00EB3B8C" w:rsidRPr="00CB4DA4">
          <w:rPr>
            <w:rStyle w:val="Hyperlink"/>
            <w:noProof/>
          </w:rPr>
          <w:t>Next Steps</w:t>
        </w:r>
        <w:r w:rsidR="00EB3B8C">
          <w:rPr>
            <w:noProof/>
            <w:webHidden/>
          </w:rPr>
          <w:tab/>
        </w:r>
        <w:r w:rsidR="00EB3B8C">
          <w:rPr>
            <w:noProof/>
            <w:webHidden/>
          </w:rPr>
          <w:fldChar w:fldCharType="begin"/>
        </w:r>
        <w:r w:rsidR="00EB3B8C">
          <w:rPr>
            <w:noProof/>
            <w:webHidden/>
          </w:rPr>
          <w:instrText xml:space="preserve"> PAGEREF _Toc450134192 \h </w:instrText>
        </w:r>
        <w:r w:rsidR="00EB3B8C">
          <w:rPr>
            <w:noProof/>
            <w:webHidden/>
          </w:rPr>
        </w:r>
        <w:r w:rsidR="00EB3B8C">
          <w:rPr>
            <w:noProof/>
            <w:webHidden/>
          </w:rPr>
          <w:fldChar w:fldCharType="separate"/>
        </w:r>
        <w:r w:rsidR="00EB3B8C">
          <w:rPr>
            <w:noProof/>
            <w:webHidden/>
          </w:rPr>
          <w:t>8</w:t>
        </w:r>
        <w:r w:rsidR="00EB3B8C">
          <w:rPr>
            <w:noProof/>
            <w:webHidden/>
          </w:rPr>
          <w:fldChar w:fldCharType="end"/>
        </w:r>
      </w:hyperlink>
    </w:p>
    <w:p w:rsidR="00EB3B8C" w:rsidRDefault="00A4303F">
      <w:pPr>
        <w:pStyle w:val="TOC1"/>
        <w:rPr>
          <w:rFonts w:asciiTheme="minorHAnsi" w:eastAsiaTheme="minorEastAsia" w:hAnsiTheme="minorHAnsi" w:cstheme="minorBidi"/>
          <w:noProof/>
          <w:spacing w:val="0"/>
          <w:szCs w:val="22"/>
          <w:lang w:eastAsia="en-AU"/>
        </w:rPr>
      </w:pPr>
      <w:hyperlink w:anchor="_Toc450134193" w:history="1">
        <w:r w:rsidR="00EB3B8C" w:rsidRPr="00CB4DA4">
          <w:rPr>
            <w:rStyle w:val="Hyperlink"/>
            <w:noProof/>
          </w:rPr>
          <w:t>Conclusion</w:t>
        </w:r>
        <w:r w:rsidR="00EB3B8C">
          <w:rPr>
            <w:noProof/>
            <w:webHidden/>
          </w:rPr>
          <w:tab/>
        </w:r>
        <w:r w:rsidR="00EB3B8C">
          <w:rPr>
            <w:noProof/>
            <w:webHidden/>
          </w:rPr>
          <w:fldChar w:fldCharType="begin"/>
        </w:r>
        <w:r w:rsidR="00EB3B8C">
          <w:rPr>
            <w:noProof/>
            <w:webHidden/>
          </w:rPr>
          <w:instrText xml:space="preserve"> PAGEREF _Toc450134193 \h </w:instrText>
        </w:r>
        <w:r w:rsidR="00EB3B8C">
          <w:rPr>
            <w:noProof/>
            <w:webHidden/>
          </w:rPr>
        </w:r>
        <w:r w:rsidR="00EB3B8C">
          <w:rPr>
            <w:noProof/>
            <w:webHidden/>
          </w:rPr>
          <w:fldChar w:fldCharType="separate"/>
        </w:r>
        <w:r w:rsidR="00EB3B8C">
          <w:rPr>
            <w:noProof/>
            <w:webHidden/>
          </w:rPr>
          <w:t>8</w:t>
        </w:r>
        <w:r w:rsidR="00EB3B8C">
          <w:rPr>
            <w:noProof/>
            <w:webHidden/>
          </w:rPr>
          <w:fldChar w:fldCharType="end"/>
        </w:r>
      </w:hyperlink>
    </w:p>
    <w:p w:rsidR="00EB3B8C" w:rsidRDefault="00A4303F">
      <w:pPr>
        <w:pStyle w:val="TOC1"/>
        <w:rPr>
          <w:rFonts w:asciiTheme="minorHAnsi" w:eastAsiaTheme="minorEastAsia" w:hAnsiTheme="minorHAnsi" w:cstheme="minorBidi"/>
          <w:noProof/>
          <w:spacing w:val="0"/>
          <w:szCs w:val="22"/>
          <w:lang w:eastAsia="en-AU"/>
        </w:rPr>
      </w:pPr>
      <w:hyperlink w:anchor="_Toc450134194" w:history="1">
        <w:r w:rsidR="00EB3B8C" w:rsidRPr="00CB4DA4">
          <w:rPr>
            <w:rStyle w:val="Hyperlink"/>
            <w:noProof/>
          </w:rPr>
          <w:t>About the Fair Work Ombudsman</w:t>
        </w:r>
        <w:r w:rsidR="00EB3B8C">
          <w:rPr>
            <w:noProof/>
            <w:webHidden/>
          </w:rPr>
          <w:tab/>
        </w:r>
        <w:r w:rsidR="00EB3B8C">
          <w:rPr>
            <w:noProof/>
            <w:webHidden/>
          </w:rPr>
          <w:fldChar w:fldCharType="begin"/>
        </w:r>
        <w:r w:rsidR="00EB3B8C">
          <w:rPr>
            <w:noProof/>
            <w:webHidden/>
          </w:rPr>
          <w:instrText xml:space="preserve"> PAGEREF _Toc450134194 \h </w:instrText>
        </w:r>
        <w:r w:rsidR="00EB3B8C">
          <w:rPr>
            <w:noProof/>
            <w:webHidden/>
          </w:rPr>
        </w:r>
        <w:r w:rsidR="00EB3B8C">
          <w:rPr>
            <w:noProof/>
            <w:webHidden/>
          </w:rPr>
          <w:fldChar w:fldCharType="separate"/>
        </w:r>
        <w:r w:rsidR="00EB3B8C">
          <w:rPr>
            <w:noProof/>
            <w:webHidden/>
          </w:rPr>
          <w:t>9</w:t>
        </w:r>
        <w:r w:rsidR="00EB3B8C">
          <w:rPr>
            <w:noProof/>
            <w:webHidden/>
          </w:rPr>
          <w:fldChar w:fldCharType="end"/>
        </w:r>
      </w:hyperlink>
    </w:p>
    <w:p w:rsidR="00BF0029" w:rsidRPr="00181475" w:rsidRDefault="00BF0029" w:rsidP="007C589E">
      <w:r>
        <w:fldChar w:fldCharType="end"/>
      </w:r>
    </w:p>
    <w:p w:rsidR="00E86F40" w:rsidRPr="00E86F40" w:rsidRDefault="00BF0029" w:rsidP="007C589E">
      <w:pPr>
        <w:pStyle w:val="Heading1"/>
        <w:rPr>
          <w:lang w:eastAsia="en-AU"/>
        </w:rPr>
      </w:pPr>
      <w:r>
        <w:rPr>
          <w:lang w:eastAsia="en-AU"/>
        </w:rPr>
        <w:br w:type="page"/>
      </w:r>
      <w:bookmarkStart w:id="3" w:name="_Toc450134186"/>
      <w:r w:rsidR="00134979">
        <w:rPr>
          <w:noProof/>
          <w:lang w:eastAsia="en-AU"/>
        </w:rPr>
        <w:drawing>
          <wp:anchor distT="0" distB="0" distL="114300" distR="114300" simplePos="0" relativeHeight="251662336" behindDoc="0" locked="0" layoutInCell="1" allowOverlap="1" wp14:anchorId="2D577E27" wp14:editId="108F5B8A">
            <wp:simplePos x="0" y="0"/>
            <wp:positionH relativeFrom="margin">
              <wp:posOffset>-810260</wp:posOffset>
            </wp:positionH>
            <wp:positionV relativeFrom="margin">
              <wp:posOffset>-800735</wp:posOffset>
            </wp:positionV>
            <wp:extent cx="7572375" cy="10687050"/>
            <wp:effectExtent l="0" t="0" r="9525" b="0"/>
            <wp:wrapNone/>
            <wp:docPr id="4" name="Picture 4" title="WA Gascoyne/Mid-West Regional Campa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 Gascoyne Mid-West Regional Campaign-AM edits copy.jpg"/>
                    <pic:cNvPicPr/>
                  </pic:nvPicPr>
                  <pic:blipFill>
                    <a:blip r:embed="rId14">
                      <a:extLst>
                        <a:ext uri="{28A0092B-C50C-407E-A947-70E740481C1C}">
                          <a14:useLocalDpi xmlns:a14="http://schemas.microsoft.com/office/drawing/2010/main" val="0"/>
                        </a:ext>
                      </a:extLst>
                    </a:blip>
                    <a:stretch>
                      <a:fillRect/>
                    </a:stretch>
                  </pic:blipFill>
                  <pic:spPr>
                    <a:xfrm>
                      <a:off x="0" y="0"/>
                      <a:ext cx="7574226" cy="10689663"/>
                    </a:xfrm>
                    <a:prstGeom prst="rect">
                      <a:avLst/>
                    </a:prstGeom>
                  </pic:spPr>
                </pic:pic>
              </a:graphicData>
            </a:graphic>
            <wp14:sizeRelH relativeFrom="page">
              <wp14:pctWidth>0</wp14:pctWidth>
            </wp14:sizeRelH>
            <wp14:sizeRelV relativeFrom="page">
              <wp14:pctHeight>0</wp14:pctHeight>
            </wp14:sizeRelV>
          </wp:anchor>
        </w:drawing>
      </w:r>
      <w:r w:rsidR="00E86F40" w:rsidRPr="00E86F40">
        <w:rPr>
          <w:lang w:eastAsia="en-AU"/>
        </w:rPr>
        <w:t>Infographic Page</w:t>
      </w:r>
      <w:bookmarkEnd w:id="3"/>
      <w:r w:rsidR="00E86F40" w:rsidRPr="00E86F40">
        <w:rPr>
          <w:lang w:eastAsia="en-AU"/>
        </w:rPr>
        <w:br w:type="page"/>
      </w:r>
    </w:p>
    <w:p w:rsidR="00E06D67" w:rsidRDefault="00E06D67" w:rsidP="007C589E">
      <w:pPr>
        <w:pStyle w:val="Heading1"/>
      </w:pPr>
      <w:bookmarkStart w:id="4" w:name="_Toc450134187"/>
      <w:bookmarkStart w:id="5" w:name="_Toc410822213"/>
      <w:bookmarkStart w:id="6" w:name="_Toc410822926"/>
      <w:r>
        <w:lastRenderedPageBreak/>
        <w:t>Summary</w:t>
      </w:r>
      <w:bookmarkEnd w:id="4"/>
    </w:p>
    <w:p w:rsidR="007C589E" w:rsidRDefault="00683664" w:rsidP="007C589E">
      <w:pPr>
        <w:jc w:val="both"/>
      </w:pPr>
      <w:r>
        <w:t>In April 2015</w:t>
      </w:r>
      <w:r w:rsidR="003A1E37">
        <w:t xml:space="preserve">, </w:t>
      </w:r>
      <w:r>
        <w:t>t</w:t>
      </w:r>
      <w:r w:rsidR="00E06D67">
        <w:t>he Fair Work Ombudsman (FWO) commenced a</w:t>
      </w:r>
      <w:r w:rsidR="003A1E37">
        <w:t xml:space="preserve">n education and compliance campaign (the campaign) in the </w:t>
      </w:r>
      <w:r>
        <w:t>Gascoyne and Mid-West region</w:t>
      </w:r>
      <w:r w:rsidR="005C22DB">
        <w:t>s</w:t>
      </w:r>
      <w:r>
        <w:t xml:space="preserve"> (the region</w:t>
      </w:r>
      <w:r w:rsidR="005C22DB">
        <w:t>s</w:t>
      </w:r>
      <w:r>
        <w:t xml:space="preserve">) of </w:t>
      </w:r>
      <w:r w:rsidR="003A1E37">
        <w:t>Western Australia</w:t>
      </w:r>
      <w:r w:rsidR="005C22DB">
        <w:t xml:space="preserve"> (WA)</w:t>
      </w:r>
      <w:r>
        <w:t xml:space="preserve">. </w:t>
      </w:r>
    </w:p>
    <w:p w:rsidR="0080016D" w:rsidRDefault="00683664" w:rsidP="007C589E">
      <w:pPr>
        <w:jc w:val="both"/>
      </w:pPr>
      <w:r>
        <w:t>The</w:t>
      </w:r>
      <w:r w:rsidR="00E06D67">
        <w:t xml:space="preserve"> region</w:t>
      </w:r>
      <w:r w:rsidR="005C22DB">
        <w:t xml:space="preserve">s were identified as suitable for a campaign based upon a number of factors </w:t>
      </w:r>
      <w:r w:rsidR="003A1E37">
        <w:t>including</w:t>
      </w:r>
      <w:r w:rsidR="0080016D">
        <w:t>:</w:t>
      </w:r>
    </w:p>
    <w:p w:rsidR="00E06D67" w:rsidRDefault="0080016D" w:rsidP="007C589E">
      <w:pPr>
        <w:pStyle w:val="Bullet"/>
        <w:numPr>
          <w:ilvl w:val="0"/>
          <w:numId w:val="49"/>
        </w:numPr>
        <w:spacing w:line="360" w:lineRule="auto"/>
      </w:pPr>
      <w:r>
        <w:t>An increase of</w:t>
      </w:r>
      <w:r w:rsidR="0010124B" w:rsidRPr="0080016D">
        <w:t xml:space="preserve"> 40% in </w:t>
      </w:r>
      <w:r w:rsidR="00E06D67" w:rsidRPr="0080016D">
        <w:t>R</w:t>
      </w:r>
      <w:r w:rsidR="00AF490F" w:rsidRPr="0080016D">
        <w:t>equests for Assistance (RfA</w:t>
      </w:r>
      <w:r w:rsidR="00573DDE">
        <w:t>’s</w:t>
      </w:r>
      <w:r w:rsidR="0010124B" w:rsidRPr="0080016D">
        <w:t xml:space="preserve">) </w:t>
      </w:r>
      <w:r w:rsidR="003A1E37">
        <w:t xml:space="preserve">received by </w:t>
      </w:r>
      <w:r w:rsidR="00573DDE">
        <w:t xml:space="preserve">the </w:t>
      </w:r>
      <w:r w:rsidR="003A1E37">
        <w:t xml:space="preserve">FWO from </w:t>
      </w:r>
      <w:r>
        <w:t xml:space="preserve">the Gascoyne region </w:t>
      </w:r>
      <w:r w:rsidR="0010124B" w:rsidRPr="0080016D">
        <w:t>between 2011 and 2014</w:t>
      </w:r>
      <w:r w:rsidR="00E06D67" w:rsidRPr="0080016D">
        <w:t>;</w:t>
      </w:r>
    </w:p>
    <w:p w:rsidR="00561652" w:rsidRDefault="00573DDE" w:rsidP="007C589E">
      <w:pPr>
        <w:pStyle w:val="Bullet"/>
        <w:numPr>
          <w:ilvl w:val="0"/>
          <w:numId w:val="49"/>
        </w:numPr>
        <w:spacing w:line="360" w:lineRule="auto"/>
      </w:pPr>
      <w:r>
        <w:t xml:space="preserve">A high </w:t>
      </w:r>
      <w:r w:rsidR="007C589E">
        <w:t>violation rate in</w:t>
      </w:r>
      <w:r>
        <w:t xml:space="preserve"> RfA’s received from the Gascoyne region;</w:t>
      </w:r>
    </w:p>
    <w:p w:rsidR="00573DDE" w:rsidRDefault="00573DDE" w:rsidP="007C589E">
      <w:pPr>
        <w:pStyle w:val="Bullet"/>
        <w:numPr>
          <w:ilvl w:val="0"/>
          <w:numId w:val="49"/>
        </w:numPr>
        <w:spacing w:line="360" w:lineRule="auto"/>
      </w:pPr>
      <w:r>
        <w:t>High numbers of RfA’s received from the Mid-West region between 2011 and 2014;</w:t>
      </w:r>
    </w:p>
    <w:p w:rsidR="00573DDE" w:rsidRPr="00573DDE" w:rsidRDefault="00573DDE" w:rsidP="007C589E">
      <w:pPr>
        <w:pStyle w:val="Bullet"/>
        <w:numPr>
          <w:ilvl w:val="0"/>
          <w:numId w:val="49"/>
        </w:numPr>
        <w:spacing w:line="360" w:lineRule="auto"/>
      </w:pPr>
      <w:r>
        <w:t xml:space="preserve">A high </w:t>
      </w:r>
      <w:r w:rsidR="007C589E">
        <w:t>violation rate in</w:t>
      </w:r>
      <w:r w:rsidRPr="00573DDE">
        <w:t xml:space="preserve"> RfA’s received from the Mid-West region;</w:t>
      </w:r>
      <w:r w:rsidR="00066595">
        <w:t xml:space="preserve"> and</w:t>
      </w:r>
    </w:p>
    <w:p w:rsidR="00E06D67" w:rsidRPr="00573DDE" w:rsidRDefault="00E06D67" w:rsidP="007C589E">
      <w:pPr>
        <w:pStyle w:val="Bullet"/>
        <w:numPr>
          <w:ilvl w:val="0"/>
          <w:numId w:val="49"/>
        </w:numPr>
        <w:spacing w:line="360" w:lineRule="auto"/>
      </w:pPr>
      <w:r w:rsidRPr="00573DDE">
        <w:t>90% of businesses in the region</w:t>
      </w:r>
      <w:r w:rsidR="007E58A4">
        <w:t>s</w:t>
      </w:r>
      <w:r w:rsidRPr="00573DDE">
        <w:t xml:space="preserve"> </w:t>
      </w:r>
      <w:r w:rsidR="0080016D" w:rsidRPr="00573DDE">
        <w:t>are categorised as</w:t>
      </w:r>
      <w:r w:rsidR="00573DDE" w:rsidRPr="00573DDE">
        <w:t xml:space="preserve"> small businesses, </w:t>
      </w:r>
      <w:r w:rsidR="00561652" w:rsidRPr="00573DDE">
        <w:t xml:space="preserve">providing an opportunity for the FWO to support these business who often don’t have </w:t>
      </w:r>
      <w:r w:rsidRPr="00573DDE">
        <w:t>dedicated sta</w:t>
      </w:r>
      <w:r w:rsidR="0010124B" w:rsidRPr="00573DDE">
        <w:t>ff to perform payroll functions</w:t>
      </w:r>
      <w:r w:rsidR="00561652" w:rsidRPr="00573DDE">
        <w:t xml:space="preserve">.  </w:t>
      </w:r>
    </w:p>
    <w:p w:rsidR="00E06D67" w:rsidRPr="00066595" w:rsidRDefault="005D1F65" w:rsidP="007C589E">
      <w:pPr>
        <w:spacing w:before="120" w:after="0"/>
        <w:rPr>
          <w:rFonts w:eastAsia="Calibri"/>
        </w:rPr>
      </w:pPr>
      <w:r w:rsidRPr="00066595">
        <w:rPr>
          <w:rFonts w:eastAsia="Calibri"/>
        </w:rPr>
        <w:t xml:space="preserve">During the campaign the FWO audited the time and wage records of </w:t>
      </w:r>
      <w:r w:rsidR="00E06D67" w:rsidRPr="00066595">
        <w:rPr>
          <w:rFonts w:eastAsia="Calibri"/>
        </w:rPr>
        <w:t>118 businesses</w:t>
      </w:r>
      <w:r w:rsidRPr="00066595">
        <w:rPr>
          <w:rFonts w:eastAsia="Calibri"/>
        </w:rPr>
        <w:t xml:space="preserve">. </w:t>
      </w:r>
      <w:r w:rsidR="00DA3C19" w:rsidRPr="00066595">
        <w:rPr>
          <w:rFonts w:eastAsia="Calibri"/>
        </w:rPr>
        <w:t>Of these</w:t>
      </w:r>
      <w:r w:rsidRPr="00066595">
        <w:rPr>
          <w:rFonts w:eastAsia="Calibri"/>
        </w:rPr>
        <w:t xml:space="preserve"> businesses</w:t>
      </w:r>
      <w:r w:rsidR="00E06D67" w:rsidRPr="00066595">
        <w:rPr>
          <w:rFonts w:eastAsia="Calibri"/>
        </w:rPr>
        <w:t>:</w:t>
      </w:r>
    </w:p>
    <w:p w:rsidR="007E58A4" w:rsidRPr="00066595" w:rsidRDefault="00F00E6D" w:rsidP="007C589E">
      <w:pPr>
        <w:pStyle w:val="Bullet"/>
        <w:numPr>
          <w:ilvl w:val="0"/>
          <w:numId w:val="49"/>
        </w:numPr>
        <w:spacing w:line="360" w:lineRule="auto"/>
      </w:pPr>
      <w:r>
        <w:t>92 (78</w:t>
      </w:r>
      <w:r w:rsidR="007E58A4" w:rsidRPr="00066595">
        <w:t>%) were compliant with record-keeping and pay slip requirements;</w:t>
      </w:r>
    </w:p>
    <w:p w:rsidR="007E58A4" w:rsidRPr="00066595" w:rsidRDefault="00046448" w:rsidP="007C589E">
      <w:pPr>
        <w:pStyle w:val="Bullet"/>
        <w:numPr>
          <w:ilvl w:val="0"/>
          <w:numId w:val="49"/>
        </w:numPr>
        <w:spacing w:line="360" w:lineRule="auto"/>
      </w:pPr>
      <w:r>
        <w:t>83 (70</w:t>
      </w:r>
      <w:r w:rsidR="007E58A4" w:rsidRPr="00066595">
        <w:t>%) were paying their employees correctly;</w:t>
      </w:r>
    </w:p>
    <w:p w:rsidR="00E06D67" w:rsidRPr="00066595" w:rsidRDefault="00E06D67" w:rsidP="007C589E">
      <w:pPr>
        <w:pStyle w:val="Bullet"/>
        <w:numPr>
          <w:ilvl w:val="0"/>
          <w:numId w:val="49"/>
        </w:numPr>
        <w:spacing w:line="360" w:lineRule="auto"/>
      </w:pPr>
      <w:r w:rsidRPr="00066595">
        <w:t xml:space="preserve">66 (56%) </w:t>
      </w:r>
      <w:r w:rsidR="00DA3C19" w:rsidRPr="00066595">
        <w:t>were</w:t>
      </w:r>
      <w:r w:rsidRPr="00066595">
        <w:t xml:space="preserve"> compliant with all requirements</w:t>
      </w:r>
      <w:r w:rsidR="0010124B" w:rsidRPr="00066595">
        <w:t>;</w:t>
      </w:r>
    </w:p>
    <w:p w:rsidR="00E06D67" w:rsidRPr="00066595" w:rsidRDefault="00E06D67" w:rsidP="007C589E">
      <w:pPr>
        <w:pStyle w:val="Bullet"/>
        <w:numPr>
          <w:ilvl w:val="0"/>
          <w:numId w:val="49"/>
        </w:numPr>
        <w:spacing w:line="360" w:lineRule="auto"/>
      </w:pPr>
      <w:r w:rsidRPr="003E7472">
        <w:t>$107,014 w</w:t>
      </w:r>
      <w:r w:rsidR="00CA1E63">
        <w:t xml:space="preserve">as recovered </w:t>
      </w:r>
      <w:r w:rsidRPr="003E7472">
        <w:t>on behalf of 121 employees</w:t>
      </w:r>
      <w:r w:rsidRPr="00066595">
        <w:t>; and</w:t>
      </w:r>
    </w:p>
    <w:p w:rsidR="00E06D67" w:rsidRPr="00066595" w:rsidRDefault="005D1F65" w:rsidP="007C589E">
      <w:pPr>
        <w:pStyle w:val="Bullet"/>
        <w:numPr>
          <w:ilvl w:val="0"/>
          <w:numId w:val="49"/>
        </w:numPr>
        <w:spacing w:line="360" w:lineRule="auto"/>
      </w:pPr>
      <w:r w:rsidRPr="00066595">
        <w:t>1 formal c</w:t>
      </w:r>
      <w:r w:rsidR="00E06D67" w:rsidRPr="00066595">
        <w:t>aution was issued.</w:t>
      </w:r>
    </w:p>
    <w:p w:rsidR="00E06D67" w:rsidRDefault="00E06D67" w:rsidP="007C589E">
      <w:pPr>
        <w:pStyle w:val="Heading1"/>
      </w:pPr>
      <w:bookmarkStart w:id="7" w:name="_Toc450134188"/>
      <w:r>
        <w:t>What We Did</w:t>
      </w:r>
      <w:bookmarkEnd w:id="7"/>
    </w:p>
    <w:p w:rsidR="0010124B" w:rsidRPr="00066595" w:rsidRDefault="00E06D67" w:rsidP="007C589E">
      <w:pPr>
        <w:spacing w:after="0"/>
        <w:jc w:val="both"/>
      </w:pPr>
      <w:r w:rsidRPr="00066595">
        <w:t xml:space="preserve">The FWO </w:t>
      </w:r>
      <w:r w:rsidR="007E58A4">
        <w:t xml:space="preserve">contacted </w:t>
      </w:r>
      <w:r w:rsidRPr="00066595">
        <w:t xml:space="preserve">stakeholders in the region to discuss the planning, </w:t>
      </w:r>
      <w:r w:rsidR="00BC481D" w:rsidRPr="00066595">
        <w:t xml:space="preserve">promotion and delivery </w:t>
      </w:r>
      <w:r w:rsidRPr="00066595">
        <w:t xml:space="preserve">of the campaign. The campaign received </w:t>
      </w:r>
      <w:r w:rsidR="00BC481D" w:rsidRPr="00066595">
        <w:t xml:space="preserve">additional </w:t>
      </w:r>
      <w:r w:rsidR="005D1F65" w:rsidRPr="00066595">
        <w:t>promotion</w:t>
      </w:r>
      <w:r w:rsidRPr="00066595">
        <w:t xml:space="preserve"> through local media outlets including ABC radio (in Broome,</w:t>
      </w:r>
      <w:r w:rsidRPr="00066595">
        <w:rPr>
          <w:lang w:eastAsia="en-AU"/>
        </w:rPr>
        <w:t xml:space="preserve"> </w:t>
      </w:r>
      <w:r w:rsidRPr="00066595">
        <w:t xml:space="preserve">Kalgoorlie, Geraldton and Karratha), Indigenous community station Radio </w:t>
      </w:r>
      <w:proofErr w:type="spellStart"/>
      <w:r w:rsidRPr="00066595">
        <w:t>Goolarri</w:t>
      </w:r>
      <w:proofErr w:type="spellEnd"/>
      <w:r w:rsidRPr="00066595">
        <w:t xml:space="preserve">, </w:t>
      </w:r>
      <w:r w:rsidR="00066595" w:rsidRPr="00066595">
        <w:t xml:space="preserve">the </w:t>
      </w:r>
      <w:r w:rsidRPr="00066595">
        <w:t xml:space="preserve">Workplace Info website and the Northern Guardian in regional WA. </w:t>
      </w:r>
    </w:p>
    <w:p w:rsidR="00E06D67" w:rsidRPr="00066595" w:rsidRDefault="00066595" w:rsidP="007C589E">
      <w:pPr>
        <w:spacing w:before="120" w:after="0"/>
        <w:jc w:val="both"/>
      </w:pPr>
      <w:r>
        <w:t>The promotion of the campaign</w:t>
      </w:r>
      <w:r w:rsidR="00E06D67" w:rsidRPr="00066595">
        <w:t xml:space="preserve"> ensured that information about both the campaign and the FWO was spread beyond those businesses </w:t>
      </w:r>
      <w:r w:rsidR="005D1F65" w:rsidRPr="00066595">
        <w:t>contacted directly by the FWO during</w:t>
      </w:r>
      <w:r w:rsidR="00E06D67" w:rsidRPr="00066595">
        <w:t xml:space="preserve"> the campaign.</w:t>
      </w:r>
    </w:p>
    <w:p w:rsidR="00967F90" w:rsidRDefault="00AF490F" w:rsidP="007C589E">
      <w:pPr>
        <w:spacing w:before="120" w:after="53"/>
        <w:jc w:val="both"/>
      </w:pPr>
      <w:r w:rsidRPr="00066595">
        <w:t>Fair Work Inspectors (FWI</w:t>
      </w:r>
      <w:r w:rsidR="000A04F1">
        <w:t>’</w:t>
      </w:r>
      <w:r w:rsidRPr="00066595">
        <w:t xml:space="preserve">s) </w:t>
      </w:r>
      <w:r w:rsidR="0010124B" w:rsidRPr="00066595">
        <w:t xml:space="preserve">audited businesses </w:t>
      </w:r>
      <w:r w:rsidR="00967F90">
        <w:t xml:space="preserve">in </w:t>
      </w:r>
      <w:r w:rsidR="00E06D67" w:rsidRPr="00066595">
        <w:t xml:space="preserve">towns </w:t>
      </w:r>
      <w:r w:rsidR="007E58A4">
        <w:t>in</w:t>
      </w:r>
      <w:r w:rsidR="005D1F65" w:rsidRPr="00066595">
        <w:t xml:space="preserve"> the region</w:t>
      </w:r>
      <w:r w:rsidR="007E58A4">
        <w:t>s</w:t>
      </w:r>
      <w:r w:rsidR="00967F90">
        <w:t xml:space="preserve"> including:</w:t>
      </w:r>
    </w:p>
    <w:p w:rsidR="00967F90" w:rsidRDefault="00967F90" w:rsidP="007C589E">
      <w:pPr>
        <w:pStyle w:val="ListParagraph"/>
        <w:numPr>
          <w:ilvl w:val="0"/>
          <w:numId w:val="48"/>
        </w:numPr>
        <w:spacing w:before="120" w:after="53"/>
        <w:jc w:val="both"/>
      </w:pPr>
      <w:r w:rsidRPr="00D72DD8">
        <w:rPr>
          <w:b/>
        </w:rPr>
        <w:t>Gascoyne</w:t>
      </w:r>
      <w:r>
        <w:t>: Carnarvon, Coral Bay, Exmouth and Denham; and</w:t>
      </w:r>
    </w:p>
    <w:p w:rsidR="00967F90" w:rsidRDefault="00967F90" w:rsidP="007C589E">
      <w:pPr>
        <w:pStyle w:val="ListParagraph"/>
        <w:numPr>
          <w:ilvl w:val="0"/>
          <w:numId w:val="48"/>
        </w:numPr>
        <w:spacing w:before="120" w:after="53"/>
        <w:jc w:val="both"/>
      </w:pPr>
      <w:r w:rsidRPr="00D72DD8">
        <w:rPr>
          <w:b/>
        </w:rPr>
        <w:t>Mid-West</w:t>
      </w:r>
      <w:r>
        <w:t>: Geraldton, Meekatharra, Paraburdoo, Kalbarri and Newman.</w:t>
      </w:r>
    </w:p>
    <w:p w:rsidR="00967F90" w:rsidRDefault="00BC481D" w:rsidP="007C589E">
      <w:pPr>
        <w:spacing w:before="120" w:after="53"/>
        <w:jc w:val="both"/>
      </w:pPr>
      <w:r w:rsidRPr="00066595">
        <w:t>Although b</w:t>
      </w:r>
      <w:r w:rsidR="0010124B" w:rsidRPr="00066595">
        <w:t>usinesses were selected randomly</w:t>
      </w:r>
      <w:r w:rsidR="00DA3C19" w:rsidRPr="00066595">
        <w:t xml:space="preserve">, </w:t>
      </w:r>
      <w:r w:rsidRPr="00066595">
        <w:t>some</w:t>
      </w:r>
      <w:r w:rsidR="00E06D67" w:rsidRPr="00066595">
        <w:t xml:space="preserve"> industries</w:t>
      </w:r>
      <w:r w:rsidR="00967F90">
        <w:t xml:space="preserve"> such as Agriculture and Accommodation and Food Services were assigned a higher priority based on RfA’s received by th</w:t>
      </w:r>
      <w:r w:rsidR="002429BB">
        <w:t>e FWO</w:t>
      </w:r>
      <w:r w:rsidR="00967F90">
        <w:t xml:space="preserve"> from these industries in the regions.  </w:t>
      </w:r>
    </w:p>
    <w:p w:rsidR="00E06D67" w:rsidRPr="00066595" w:rsidRDefault="00066595" w:rsidP="007C589E">
      <w:pPr>
        <w:spacing w:before="120"/>
        <w:jc w:val="both"/>
      </w:pPr>
      <w:r w:rsidRPr="00066595">
        <w:t>FWI’s assessed time and wage records for complian</w:t>
      </w:r>
      <w:r w:rsidR="00F77723">
        <w:t>c</w:t>
      </w:r>
      <w:r w:rsidRPr="00066595">
        <w:t xml:space="preserve">e with </w:t>
      </w:r>
      <w:r w:rsidR="00E06D67" w:rsidRPr="00066595">
        <w:t xml:space="preserve">the </w:t>
      </w:r>
      <w:r w:rsidR="00E06D67" w:rsidRPr="00066595">
        <w:rPr>
          <w:i/>
        </w:rPr>
        <w:t xml:space="preserve">Fair Work Act 2009 </w:t>
      </w:r>
      <w:r w:rsidR="00E06D67" w:rsidRPr="00066595">
        <w:t xml:space="preserve">(the Act), the </w:t>
      </w:r>
      <w:r w:rsidR="00E06D67" w:rsidRPr="00066595">
        <w:rPr>
          <w:i/>
        </w:rPr>
        <w:t>Fair Work Regulations 2009</w:t>
      </w:r>
      <w:r w:rsidR="0010124B" w:rsidRPr="00066595">
        <w:t xml:space="preserve"> (the </w:t>
      </w:r>
      <w:r w:rsidR="00E06D67" w:rsidRPr="00066595">
        <w:t>Regu</w:t>
      </w:r>
      <w:r w:rsidR="00D72DD8">
        <w:t>l</w:t>
      </w:r>
      <w:r w:rsidR="00E06D67" w:rsidRPr="00066595">
        <w:t>ations) and the applicable award</w:t>
      </w:r>
      <w:r w:rsidRPr="00066595">
        <w:t>/</w:t>
      </w:r>
      <w:r w:rsidR="00E06D67" w:rsidRPr="00066595">
        <w:t xml:space="preserve">agreement.  Where businesses </w:t>
      </w:r>
      <w:r w:rsidR="00F77723">
        <w:t xml:space="preserve">had </w:t>
      </w:r>
      <w:r w:rsidR="00E06D67" w:rsidRPr="00066595">
        <w:t xml:space="preserve">errors, </w:t>
      </w:r>
      <w:r w:rsidRPr="00066595">
        <w:t>FWI’s</w:t>
      </w:r>
      <w:r w:rsidR="00E06D67" w:rsidRPr="00066595">
        <w:t xml:space="preserve"> required them to rectify the issue</w:t>
      </w:r>
      <w:r w:rsidR="00F77723">
        <w:t xml:space="preserve">s </w:t>
      </w:r>
      <w:r w:rsidR="00E06D67" w:rsidRPr="00066595">
        <w:t xml:space="preserve">and provide proof of having done so (including </w:t>
      </w:r>
      <w:r w:rsidR="00F77723">
        <w:t>having back</w:t>
      </w:r>
      <w:r w:rsidR="000A04F1">
        <w:t xml:space="preserve"> </w:t>
      </w:r>
      <w:r w:rsidR="00F77723">
        <w:t>paid</w:t>
      </w:r>
      <w:r w:rsidR="00E06D67" w:rsidRPr="00066595">
        <w:t xml:space="preserve"> employees</w:t>
      </w:r>
      <w:r w:rsidR="00AF490F" w:rsidRPr="00066595">
        <w:t xml:space="preserve"> where applicable</w:t>
      </w:r>
      <w:r w:rsidR="00E06D67" w:rsidRPr="00066595">
        <w:t xml:space="preserve">).  </w:t>
      </w:r>
    </w:p>
    <w:p w:rsidR="00E06D67" w:rsidRDefault="00AF490F" w:rsidP="007C589E">
      <w:pPr>
        <w:spacing w:after="0"/>
        <w:jc w:val="both"/>
      </w:pPr>
      <w:r>
        <w:t>FWI</w:t>
      </w:r>
      <w:r w:rsidR="000A04F1">
        <w:t>’</w:t>
      </w:r>
      <w:r w:rsidR="00E06D67">
        <w:t xml:space="preserve">s also provided businesses with information and resources to help them comply with their obligations under Commonwealth workplace laws. In particular businesses were provided with the online resources freely available </w:t>
      </w:r>
      <w:r w:rsidR="00E06D67" w:rsidRPr="00A36146">
        <w:t>on</w:t>
      </w:r>
      <w:r w:rsidR="000A04F1">
        <w:t xml:space="preserve"> </w:t>
      </w:r>
      <w:hyperlink r:id="rId15" w:tooltip="fair work ombudsman website " w:history="1">
        <w:r w:rsidR="000A04F1" w:rsidRPr="009579F7">
          <w:rPr>
            <w:rStyle w:val="Hyperlink"/>
            <w:rFonts w:cs="Arial"/>
          </w:rPr>
          <w:t>www.fairwork.gov.au</w:t>
        </w:r>
      </w:hyperlink>
      <w:r w:rsidR="00E06D67" w:rsidRPr="00A36146">
        <w:t>,</w:t>
      </w:r>
      <w:r w:rsidR="00E06D67">
        <w:t xml:space="preserve"> including </w:t>
      </w:r>
      <w:hyperlink r:id="rId16" w:history="1">
        <w:r w:rsidR="00B3355E">
          <w:rPr>
            <w:rStyle w:val="Hyperlink"/>
            <w:rFonts w:cs="Arial"/>
          </w:rPr>
          <w:t>Pay rates</w:t>
        </w:r>
      </w:hyperlink>
      <w:r w:rsidR="00E06D67" w:rsidRPr="003559EC">
        <w:t xml:space="preserve">, </w:t>
      </w:r>
      <w:hyperlink r:id="rId17" w:history="1">
        <w:r w:rsidR="00B3355E">
          <w:rPr>
            <w:rStyle w:val="Hyperlink"/>
            <w:rFonts w:cs="Arial"/>
          </w:rPr>
          <w:t>Hiring employees</w:t>
        </w:r>
      </w:hyperlink>
      <w:r w:rsidR="00E06D67" w:rsidRPr="003559EC">
        <w:t>,</w:t>
      </w:r>
      <w:r w:rsidR="00E06D67">
        <w:t xml:space="preserve"> </w:t>
      </w:r>
      <w:hyperlink r:id="rId18" w:history="1">
        <w:proofErr w:type="spellStart"/>
        <w:r w:rsidR="00E06D67">
          <w:rPr>
            <w:rStyle w:val="Hyperlink"/>
            <w:rFonts w:cs="Arial"/>
          </w:rPr>
          <w:t>MyAccount</w:t>
        </w:r>
        <w:proofErr w:type="spellEnd"/>
      </w:hyperlink>
      <w:r w:rsidR="00E06D67">
        <w:t xml:space="preserve"> and </w:t>
      </w:r>
      <w:hyperlink r:id="rId19" w:history="1">
        <w:r w:rsidR="00B3355E">
          <w:rPr>
            <w:rStyle w:val="Hyperlink"/>
            <w:rFonts w:cs="Arial"/>
          </w:rPr>
          <w:t>Online training courses</w:t>
        </w:r>
      </w:hyperlink>
      <w:r w:rsidR="00E06D67">
        <w:t xml:space="preserve">. </w:t>
      </w:r>
    </w:p>
    <w:p w:rsidR="00E06D67" w:rsidRDefault="00E06D67" w:rsidP="007C589E">
      <w:pPr>
        <w:pStyle w:val="Heading1"/>
      </w:pPr>
      <w:bookmarkStart w:id="8" w:name="_Toc450134189"/>
      <w:r>
        <w:t>Outcomes</w:t>
      </w:r>
      <w:bookmarkEnd w:id="8"/>
    </w:p>
    <w:p w:rsidR="00E06D67" w:rsidRPr="004446B0" w:rsidRDefault="004446B0" w:rsidP="007C589E">
      <w:pPr>
        <w:spacing w:after="0"/>
      </w:pPr>
      <w:r w:rsidRPr="004446B0">
        <w:t xml:space="preserve">Of the </w:t>
      </w:r>
      <w:r w:rsidR="00E06D67" w:rsidRPr="004446B0">
        <w:t xml:space="preserve">118 businesses </w:t>
      </w:r>
      <w:r w:rsidRPr="004446B0">
        <w:t>audited during the campaign:</w:t>
      </w:r>
    </w:p>
    <w:p w:rsidR="00E06D67" w:rsidRPr="004446B0" w:rsidRDefault="00E06D67" w:rsidP="007C589E">
      <w:pPr>
        <w:numPr>
          <w:ilvl w:val="0"/>
          <w:numId w:val="43"/>
        </w:numPr>
        <w:spacing w:after="53"/>
        <w:jc w:val="both"/>
        <w:rPr>
          <w:rFonts w:eastAsia="Calibri"/>
        </w:rPr>
      </w:pPr>
      <w:r w:rsidRPr="004446B0">
        <w:rPr>
          <w:rFonts w:eastAsia="Calibri"/>
        </w:rPr>
        <w:t xml:space="preserve">66 (56%) </w:t>
      </w:r>
      <w:r w:rsidR="002C6F0D" w:rsidRPr="004446B0">
        <w:rPr>
          <w:rFonts w:eastAsia="Calibri"/>
        </w:rPr>
        <w:t>were</w:t>
      </w:r>
      <w:r w:rsidRPr="004446B0">
        <w:rPr>
          <w:rFonts w:eastAsia="Calibri"/>
        </w:rPr>
        <w:t xml:space="preserve"> compliant with all requirements;</w:t>
      </w:r>
      <w:r w:rsidR="004446B0" w:rsidRPr="004446B0">
        <w:rPr>
          <w:rFonts w:eastAsia="Calibri"/>
        </w:rPr>
        <w:t xml:space="preserve"> and</w:t>
      </w:r>
    </w:p>
    <w:p w:rsidR="00E06D67" w:rsidRPr="004446B0" w:rsidRDefault="00E06D67" w:rsidP="007C589E">
      <w:pPr>
        <w:numPr>
          <w:ilvl w:val="0"/>
          <w:numId w:val="43"/>
        </w:numPr>
        <w:spacing w:after="53"/>
        <w:jc w:val="both"/>
        <w:rPr>
          <w:rFonts w:eastAsia="Calibri"/>
        </w:rPr>
      </w:pPr>
      <w:r w:rsidRPr="004446B0">
        <w:rPr>
          <w:rFonts w:eastAsia="Calibri"/>
        </w:rPr>
        <w:t xml:space="preserve">52 (44%) </w:t>
      </w:r>
      <w:r w:rsidR="002C6F0D" w:rsidRPr="004446B0">
        <w:rPr>
          <w:rFonts w:eastAsia="Calibri"/>
        </w:rPr>
        <w:t>had</w:t>
      </w:r>
      <w:r w:rsidRPr="004446B0">
        <w:rPr>
          <w:rFonts w:eastAsia="Calibri"/>
        </w:rPr>
        <w:t xml:space="preserve"> at least one error</w:t>
      </w:r>
      <w:r w:rsidR="002C6F0D" w:rsidRPr="004446B0">
        <w:rPr>
          <w:rFonts w:eastAsia="Calibri"/>
        </w:rPr>
        <w:t>:</w:t>
      </w:r>
    </w:p>
    <w:p w:rsidR="004446B0" w:rsidRPr="00A1424A" w:rsidRDefault="004446B0" w:rsidP="007C589E">
      <w:pPr>
        <w:numPr>
          <w:ilvl w:val="1"/>
          <w:numId w:val="43"/>
        </w:numPr>
        <w:spacing w:after="53"/>
        <w:jc w:val="both"/>
        <w:rPr>
          <w:rFonts w:eastAsia="Calibri"/>
        </w:rPr>
      </w:pPr>
      <w:r w:rsidRPr="00A1424A">
        <w:rPr>
          <w:rFonts w:eastAsia="Calibri"/>
        </w:rPr>
        <w:t xml:space="preserve">26 </w:t>
      </w:r>
      <w:r w:rsidR="00A1424A">
        <w:rPr>
          <w:rFonts w:eastAsia="Calibri"/>
        </w:rPr>
        <w:t>(22</w:t>
      </w:r>
      <w:r w:rsidRPr="00A1424A">
        <w:rPr>
          <w:rFonts w:eastAsia="Calibri"/>
        </w:rPr>
        <w:t>%) related to pay rates;</w:t>
      </w:r>
    </w:p>
    <w:p w:rsidR="00E06D67" w:rsidRPr="00A1424A" w:rsidRDefault="00E06D67" w:rsidP="007C589E">
      <w:pPr>
        <w:numPr>
          <w:ilvl w:val="1"/>
          <w:numId w:val="43"/>
        </w:numPr>
        <w:spacing w:after="53"/>
        <w:jc w:val="both"/>
        <w:rPr>
          <w:rFonts w:eastAsia="Calibri"/>
        </w:rPr>
      </w:pPr>
      <w:r w:rsidRPr="00A1424A">
        <w:rPr>
          <w:rFonts w:eastAsia="Calibri"/>
        </w:rPr>
        <w:t xml:space="preserve">17 </w:t>
      </w:r>
      <w:r w:rsidR="00A1424A">
        <w:rPr>
          <w:rFonts w:eastAsia="Calibri"/>
        </w:rPr>
        <w:t>(14</w:t>
      </w:r>
      <w:r w:rsidRPr="00A1424A">
        <w:rPr>
          <w:rFonts w:eastAsia="Calibri"/>
        </w:rPr>
        <w:t xml:space="preserve">%) </w:t>
      </w:r>
      <w:r w:rsidR="002C6F0D" w:rsidRPr="00A1424A">
        <w:rPr>
          <w:rFonts w:eastAsia="Calibri"/>
        </w:rPr>
        <w:t>related</w:t>
      </w:r>
      <w:r w:rsidRPr="00A1424A">
        <w:rPr>
          <w:rFonts w:eastAsia="Calibri"/>
        </w:rPr>
        <w:t xml:space="preserve"> to pay</w:t>
      </w:r>
      <w:r w:rsidR="004446B0" w:rsidRPr="00A1424A">
        <w:rPr>
          <w:rFonts w:eastAsia="Calibri"/>
        </w:rPr>
        <w:t xml:space="preserve"> </w:t>
      </w:r>
      <w:r w:rsidRPr="00A1424A">
        <w:rPr>
          <w:rFonts w:eastAsia="Calibri"/>
        </w:rPr>
        <w:t>slips</w:t>
      </w:r>
      <w:r w:rsidR="007C589E">
        <w:rPr>
          <w:rFonts w:eastAsia="Calibri"/>
        </w:rPr>
        <w:t>/records</w:t>
      </w:r>
      <w:r w:rsidRPr="00A1424A">
        <w:rPr>
          <w:rFonts w:eastAsia="Calibri"/>
        </w:rPr>
        <w:t>;</w:t>
      </w:r>
      <w:r w:rsidR="0059211D">
        <w:rPr>
          <w:rFonts w:eastAsia="Calibri"/>
        </w:rPr>
        <w:t xml:space="preserve"> and</w:t>
      </w:r>
    </w:p>
    <w:p w:rsidR="00E06D67" w:rsidRDefault="00E06D67" w:rsidP="007C589E">
      <w:pPr>
        <w:numPr>
          <w:ilvl w:val="1"/>
          <w:numId w:val="43"/>
        </w:numPr>
        <w:spacing w:after="53"/>
        <w:jc w:val="both"/>
        <w:rPr>
          <w:rFonts w:eastAsia="Calibri"/>
        </w:rPr>
      </w:pPr>
      <w:r w:rsidRPr="00A1424A">
        <w:rPr>
          <w:rFonts w:eastAsia="Calibri"/>
        </w:rPr>
        <w:t xml:space="preserve">9 </w:t>
      </w:r>
      <w:r w:rsidR="00A1424A">
        <w:rPr>
          <w:rFonts w:eastAsia="Calibri"/>
        </w:rPr>
        <w:t>(8</w:t>
      </w:r>
      <w:r w:rsidRPr="00A1424A">
        <w:rPr>
          <w:rFonts w:eastAsia="Calibri"/>
        </w:rPr>
        <w:t xml:space="preserve">%) </w:t>
      </w:r>
      <w:r w:rsidR="002C6F0D" w:rsidRPr="00A1424A">
        <w:rPr>
          <w:rFonts w:eastAsia="Calibri"/>
        </w:rPr>
        <w:t>related</w:t>
      </w:r>
      <w:r w:rsidR="002C6F0D" w:rsidRPr="004446B0">
        <w:rPr>
          <w:rFonts w:eastAsia="Calibri"/>
        </w:rPr>
        <w:t xml:space="preserve"> to</w:t>
      </w:r>
      <w:r w:rsidRPr="004446B0">
        <w:rPr>
          <w:rFonts w:eastAsia="Calibri"/>
        </w:rPr>
        <w:t xml:space="preserve"> both </w:t>
      </w:r>
      <w:r w:rsidR="004446B0" w:rsidRPr="004446B0">
        <w:rPr>
          <w:rFonts w:eastAsia="Calibri"/>
        </w:rPr>
        <w:t>pay rates and pay slips/records</w:t>
      </w:r>
      <w:r w:rsidRPr="004446B0">
        <w:rPr>
          <w:rFonts w:eastAsia="Calibri"/>
        </w:rPr>
        <w:t>.</w:t>
      </w:r>
    </w:p>
    <w:p w:rsidR="00A4303F" w:rsidRDefault="0056788A" w:rsidP="0056788A">
      <w:pPr>
        <w:spacing w:after="0"/>
        <w:rPr>
          <w:color w:val="0194A6"/>
        </w:rPr>
      </w:pPr>
      <w:r>
        <w:rPr>
          <w:noProof/>
          <w:lang w:eastAsia="en-AU"/>
        </w:rPr>
        <w:drawing>
          <wp:inline distT="0" distB="0" distL="0" distR="0">
            <wp:extent cx="5214620" cy="3267075"/>
            <wp:effectExtent l="0" t="0" r="5080" b="9525"/>
            <wp:docPr id="2" name="Picture 2" title="Campaign Compliance Rat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4620" cy="3267075"/>
                    </a:xfrm>
                    <a:prstGeom prst="rect">
                      <a:avLst/>
                    </a:prstGeom>
                    <a:noFill/>
                  </pic:spPr>
                </pic:pic>
              </a:graphicData>
            </a:graphic>
          </wp:inline>
        </w:drawing>
      </w:r>
    </w:p>
    <w:p w:rsidR="0056788A" w:rsidRPr="0056788A" w:rsidRDefault="0056788A" w:rsidP="0056788A">
      <w:pPr>
        <w:spacing w:after="0"/>
        <w:rPr>
          <w:color w:val="0194A6"/>
        </w:rPr>
      </w:pPr>
      <w:r w:rsidRPr="0056788A">
        <w:rPr>
          <w:color w:val="0194A6"/>
        </w:rPr>
        <w:t>Figure 1 - Campaign compliance rates</w:t>
      </w:r>
    </w:p>
    <w:p w:rsidR="00E06D67" w:rsidRPr="004446B0" w:rsidRDefault="00E06D67" w:rsidP="007C589E">
      <w:pPr>
        <w:spacing w:before="240" w:after="53"/>
        <w:jc w:val="both"/>
        <w:rPr>
          <w:rFonts w:eastAsia="Calibri"/>
        </w:rPr>
      </w:pPr>
      <w:r w:rsidRPr="004446B0">
        <w:rPr>
          <w:rFonts w:eastAsia="Calibri"/>
        </w:rPr>
        <w:t>This means</w:t>
      </w:r>
      <w:r w:rsidR="002C6F0D" w:rsidRPr="004446B0">
        <w:rPr>
          <w:rFonts w:eastAsia="Calibri"/>
        </w:rPr>
        <w:t xml:space="preserve"> that</w:t>
      </w:r>
      <w:r w:rsidRPr="004446B0">
        <w:rPr>
          <w:rFonts w:eastAsia="Calibri"/>
        </w:rPr>
        <w:t>:</w:t>
      </w:r>
    </w:p>
    <w:p w:rsidR="00D4201B" w:rsidRDefault="00F00E6D" w:rsidP="007C589E">
      <w:pPr>
        <w:numPr>
          <w:ilvl w:val="0"/>
          <w:numId w:val="43"/>
        </w:numPr>
        <w:spacing w:after="53"/>
        <w:jc w:val="both"/>
        <w:rPr>
          <w:rFonts w:eastAsia="Calibri"/>
        </w:rPr>
      </w:pPr>
      <w:r w:rsidRPr="00046448">
        <w:rPr>
          <w:rFonts w:eastAsia="Calibri"/>
        </w:rPr>
        <w:t>92</w:t>
      </w:r>
      <w:r>
        <w:rPr>
          <w:rFonts w:eastAsia="Calibri"/>
        </w:rPr>
        <w:t xml:space="preserve"> (78</w:t>
      </w:r>
      <w:r w:rsidR="00D4201B" w:rsidRPr="004446B0">
        <w:rPr>
          <w:rFonts w:eastAsia="Calibri"/>
        </w:rPr>
        <w:t xml:space="preserve">%) businesses were compliant with </w:t>
      </w:r>
      <w:r>
        <w:rPr>
          <w:rFonts w:eastAsia="Calibri"/>
        </w:rPr>
        <w:t>pay slip and record-keeping</w:t>
      </w:r>
      <w:r w:rsidR="00D4201B" w:rsidRPr="004446B0">
        <w:rPr>
          <w:rFonts w:eastAsia="Calibri"/>
        </w:rPr>
        <w:t xml:space="preserve"> requirements</w:t>
      </w:r>
      <w:r w:rsidR="00D4201B">
        <w:rPr>
          <w:rFonts w:eastAsia="Calibri"/>
        </w:rPr>
        <w:t>;</w:t>
      </w:r>
      <w:r w:rsidR="00071ED2">
        <w:rPr>
          <w:rFonts w:eastAsia="Calibri"/>
        </w:rPr>
        <w:t xml:space="preserve"> </w:t>
      </w:r>
    </w:p>
    <w:p w:rsidR="00E06D67" w:rsidRDefault="00046448" w:rsidP="007C589E">
      <w:pPr>
        <w:numPr>
          <w:ilvl w:val="0"/>
          <w:numId w:val="43"/>
        </w:numPr>
        <w:spacing w:after="53"/>
        <w:jc w:val="both"/>
        <w:rPr>
          <w:rFonts w:eastAsia="Calibri"/>
        </w:rPr>
      </w:pPr>
      <w:r>
        <w:rPr>
          <w:rFonts w:eastAsia="Calibri"/>
        </w:rPr>
        <w:t>83 (70</w:t>
      </w:r>
      <w:r w:rsidR="00E06D67" w:rsidRPr="004446B0">
        <w:rPr>
          <w:rFonts w:eastAsia="Calibri"/>
        </w:rPr>
        <w:t xml:space="preserve">%) </w:t>
      </w:r>
      <w:r w:rsidR="004446B0" w:rsidRPr="004446B0">
        <w:rPr>
          <w:rFonts w:eastAsia="Calibri"/>
        </w:rPr>
        <w:t>bu</w:t>
      </w:r>
      <w:r w:rsidR="00D05610">
        <w:rPr>
          <w:rFonts w:eastAsia="Calibri"/>
        </w:rPr>
        <w:t>si</w:t>
      </w:r>
      <w:r w:rsidR="004446B0" w:rsidRPr="004446B0">
        <w:rPr>
          <w:rFonts w:eastAsia="Calibri"/>
        </w:rPr>
        <w:t xml:space="preserve">nesses </w:t>
      </w:r>
      <w:r w:rsidR="00E06D67" w:rsidRPr="004446B0">
        <w:rPr>
          <w:rFonts w:eastAsia="Calibri"/>
        </w:rPr>
        <w:t>were payin</w:t>
      </w:r>
      <w:r w:rsidR="00D4201B">
        <w:rPr>
          <w:rFonts w:eastAsia="Calibri"/>
        </w:rPr>
        <w:t>g their employees correctly</w:t>
      </w:r>
      <w:r w:rsidR="00071ED2">
        <w:rPr>
          <w:rFonts w:eastAsia="Calibri"/>
        </w:rPr>
        <w:t>;</w:t>
      </w:r>
    </w:p>
    <w:p w:rsidR="00071ED2" w:rsidRPr="00071ED2" w:rsidRDefault="00071ED2" w:rsidP="007C589E">
      <w:pPr>
        <w:pStyle w:val="ListParagraph"/>
        <w:numPr>
          <w:ilvl w:val="0"/>
          <w:numId w:val="43"/>
        </w:numPr>
        <w:rPr>
          <w:rFonts w:eastAsia="Calibri"/>
        </w:rPr>
      </w:pPr>
      <w:r w:rsidRPr="00071ED2">
        <w:rPr>
          <w:rFonts w:eastAsia="Calibri"/>
        </w:rPr>
        <w:t>$107,0</w:t>
      </w:r>
      <w:r w:rsidR="00CA1E63">
        <w:rPr>
          <w:rFonts w:eastAsia="Calibri"/>
        </w:rPr>
        <w:t>14 was recovered on behalf of 121 employees</w:t>
      </w:r>
      <w:r>
        <w:rPr>
          <w:rFonts w:eastAsia="Calibri"/>
        </w:rPr>
        <w:t>; and</w:t>
      </w:r>
    </w:p>
    <w:p w:rsidR="00071ED2" w:rsidRPr="0056788A" w:rsidRDefault="007C589E" w:rsidP="007C589E">
      <w:pPr>
        <w:numPr>
          <w:ilvl w:val="0"/>
          <w:numId w:val="43"/>
        </w:numPr>
        <w:spacing w:after="53"/>
        <w:jc w:val="both"/>
      </w:pPr>
      <w:r>
        <w:rPr>
          <w:rFonts w:eastAsia="Calibri"/>
        </w:rPr>
        <w:t xml:space="preserve">1 formal caution was issued. </w:t>
      </w:r>
      <w:r w:rsidR="00071ED2">
        <w:rPr>
          <w:rFonts w:eastAsia="Calibri"/>
        </w:rPr>
        <w:t>A formal caution is a written warning when the FWO had found non-compliance and wants to put a business on notice that future non-compliance could result in the FWO taking enforcement action against the business including seeking financial penalties through the courts.</w:t>
      </w:r>
    </w:p>
    <w:p w:rsidR="0056788A" w:rsidRPr="0056788A" w:rsidRDefault="0056788A" w:rsidP="0056788A">
      <w:pPr>
        <w:spacing w:after="53"/>
        <w:ind w:left="720"/>
        <w:jc w:val="both"/>
      </w:pPr>
    </w:p>
    <w:p w:rsidR="0056788A" w:rsidRPr="00A4303F" w:rsidRDefault="0056788A" w:rsidP="00A4303F">
      <w:r w:rsidRPr="00A4303F">
        <w:t>Case Study - Failure to confirm correct pay rates</w:t>
      </w:r>
    </w:p>
    <w:p w:rsidR="007C589E" w:rsidRDefault="0056788A" w:rsidP="00A4303F">
      <w:pPr>
        <w:rPr>
          <w:color w:val="0194A6"/>
        </w:rPr>
      </w:pPr>
      <w:r w:rsidRPr="002A2A9A">
        <w:rPr>
          <w:noProof/>
          <w:lang w:eastAsia="en-AU"/>
        </w:rPr>
        <mc:AlternateContent>
          <mc:Choice Requires="wps">
            <w:drawing>
              <wp:inline distT="0" distB="0" distL="0" distR="0">
                <wp:extent cx="5810250" cy="494347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943475"/>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rsidR="0056788A" w:rsidRPr="00C32B02" w:rsidRDefault="0056788A" w:rsidP="0056788A">
                            <w:r>
                              <w:t>Fair Work Inspectors audited a supermarket as part of the WA Gascoyne/Mid-West Regional Campaign.  When</w:t>
                            </w:r>
                            <w:r w:rsidRPr="00C32B02">
                              <w:t xml:space="preserve"> </w:t>
                            </w:r>
                            <w:r>
                              <w:t>viewing</w:t>
                            </w:r>
                            <w:r w:rsidRPr="00C32B02">
                              <w:t xml:space="preserve"> </w:t>
                            </w:r>
                            <w:r>
                              <w:t xml:space="preserve">employment </w:t>
                            </w:r>
                            <w:r w:rsidRPr="00C32B02">
                              <w:t xml:space="preserve">records </w:t>
                            </w:r>
                            <w:r>
                              <w:t>for the</w:t>
                            </w:r>
                            <w:r w:rsidRPr="00C32B02">
                              <w:t xml:space="preserve"> </w:t>
                            </w:r>
                            <w:r>
                              <w:t>b</w:t>
                            </w:r>
                            <w:r w:rsidRPr="00C32B02">
                              <w:t>usiness</w:t>
                            </w:r>
                            <w:r>
                              <w:t>,</w:t>
                            </w:r>
                            <w:r w:rsidRPr="00C32B02">
                              <w:t xml:space="preserve"> </w:t>
                            </w:r>
                            <w:r>
                              <w:t xml:space="preserve">FWI’s </w:t>
                            </w:r>
                            <w:r w:rsidR="00BD353A">
                              <w:t>identified</w:t>
                            </w:r>
                            <w:r w:rsidR="002E1CE6">
                              <w:t xml:space="preserve"> the</w:t>
                            </w:r>
                            <w:r w:rsidR="00BD353A">
                              <w:t xml:space="preserve"> </w:t>
                            </w:r>
                            <w:r>
                              <w:t xml:space="preserve">business was paying </w:t>
                            </w:r>
                            <w:r w:rsidRPr="00C32B02">
                              <w:t xml:space="preserve">incorrect base </w:t>
                            </w:r>
                            <w:r>
                              <w:t xml:space="preserve">rates of pay and weekend penalty </w:t>
                            </w:r>
                            <w:r w:rsidRPr="00C32B02">
                              <w:t xml:space="preserve">rates </w:t>
                            </w:r>
                            <w:r>
                              <w:t>to ca</w:t>
                            </w:r>
                            <w:r w:rsidR="00A4303F">
                              <w:t>sual employees.</w:t>
                            </w:r>
                          </w:p>
                          <w:p w:rsidR="0056788A" w:rsidRDefault="0056788A" w:rsidP="0056788A">
                            <w:r>
                              <w:t>T</w:t>
                            </w:r>
                            <w:r w:rsidRPr="00C32B02">
                              <w:t xml:space="preserve">he </w:t>
                            </w:r>
                            <w:r>
                              <w:t xml:space="preserve">business </w:t>
                            </w:r>
                            <w:r w:rsidR="00BD353A">
                              <w:t xml:space="preserve">owner </w:t>
                            </w:r>
                            <w:r>
                              <w:t xml:space="preserve">was surprised by the errors </w:t>
                            </w:r>
                            <w:r w:rsidR="002E1CE6">
                              <w:t xml:space="preserve">and advised </w:t>
                            </w:r>
                            <w:r>
                              <w:t xml:space="preserve">they were paying under the same award as the previous owners. Upon investigation it was determined that the employer was paying under the </w:t>
                            </w:r>
                            <w:r w:rsidR="00B52AF2">
                              <w:t>WA s</w:t>
                            </w:r>
                            <w:r>
                              <w:t xml:space="preserve">tate Shop &amp; Warehouse Retail award, rather than the </w:t>
                            </w:r>
                            <w:r w:rsidR="00B52AF2">
                              <w:t>f</w:t>
                            </w:r>
                            <w:r w:rsidR="002E1CE6">
                              <w:t xml:space="preserve">ederal </w:t>
                            </w:r>
                            <w:r>
                              <w:t xml:space="preserve">General Retail Modern Award. The </w:t>
                            </w:r>
                            <w:r w:rsidR="00BD353A">
                              <w:t>owner was</w:t>
                            </w:r>
                            <w:r>
                              <w:t xml:space="preserve"> unaware that that there was a difference in the state and federal </w:t>
                            </w:r>
                            <w:r w:rsidR="002E1CE6">
                              <w:t xml:space="preserve">industrial relations </w:t>
                            </w:r>
                            <w:r>
                              <w:t>system in WA</w:t>
                            </w:r>
                            <w:r w:rsidR="002E1CE6">
                              <w:t xml:space="preserve">, and that the business was covered by the </w:t>
                            </w:r>
                            <w:r w:rsidR="002E1CE6" w:rsidRPr="002E1CE6">
                              <w:rPr>
                                <w:i/>
                              </w:rPr>
                              <w:t>Fair Work Act 2009</w:t>
                            </w:r>
                            <w:r w:rsidR="002E1CE6">
                              <w:rPr>
                                <w:i/>
                              </w:rPr>
                              <w:t xml:space="preserve"> (</w:t>
                            </w:r>
                            <w:r w:rsidR="002E1CE6" w:rsidRPr="002E1CE6">
                              <w:t>the</w:t>
                            </w:r>
                            <w:r w:rsidR="002E1CE6">
                              <w:rPr>
                                <w:i/>
                              </w:rPr>
                              <w:t xml:space="preserve"> </w:t>
                            </w:r>
                            <w:r w:rsidR="002E1CE6" w:rsidRPr="002E1CE6">
                              <w:t>Act</w:t>
                            </w:r>
                            <w:r w:rsidR="002E1CE6">
                              <w:rPr>
                                <w:i/>
                              </w:rPr>
                              <w:t>)</w:t>
                            </w:r>
                            <w:r w:rsidR="002E1CE6">
                              <w:t xml:space="preserve">.  </w:t>
                            </w:r>
                            <w:r>
                              <w:t xml:space="preserve">The FWI </w:t>
                            </w:r>
                            <w:r w:rsidR="002E1CE6">
                              <w:t>provided education to the owner</w:t>
                            </w:r>
                            <w:r>
                              <w:t xml:space="preserve"> about their obligations under the Act, </w:t>
                            </w:r>
                            <w:r w:rsidR="00BD353A">
                              <w:t>and provided</w:t>
                            </w:r>
                            <w:r>
                              <w:t xml:space="preserve"> </w:t>
                            </w:r>
                            <w:r w:rsidR="002E1CE6">
                              <w:t xml:space="preserve">free </w:t>
                            </w:r>
                            <w:r>
                              <w:t>tools and resources to help them comply.</w:t>
                            </w:r>
                          </w:p>
                          <w:p w:rsidR="0056788A" w:rsidRDefault="0056788A" w:rsidP="0056788A">
                            <w:r>
                              <w:t xml:space="preserve">FWI’s worked with the business </w:t>
                            </w:r>
                            <w:r w:rsidR="002E1CE6">
                              <w:t xml:space="preserve">to calculate correct rates of pay </w:t>
                            </w:r>
                            <w:r w:rsidR="00BD353A">
                              <w:t xml:space="preserve">and </w:t>
                            </w:r>
                            <w:r w:rsidR="002E1CE6">
                              <w:t>t</w:t>
                            </w:r>
                            <w:r>
                              <w:t>he resulting underpayments.  In total 11</w:t>
                            </w:r>
                            <w:r w:rsidRPr="00C32B02">
                              <w:t xml:space="preserve"> employees </w:t>
                            </w:r>
                            <w:r>
                              <w:t xml:space="preserve">were underpaid over $23,000. </w:t>
                            </w:r>
                            <w:r>
                              <w:rPr>
                                <w:lang w:eastAsia="en-AU"/>
                              </w:rPr>
                              <w:t>This case demonstrates the importance of checking employee entitlements when purchasing a business to ensure they are correct, as unchecked errors can result in large underpayments.</w:t>
                            </w:r>
                          </w:p>
                          <w:p w:rsidR="0056788A" w:rsidRPr="002A2A9A" w:rsidRDefault="0056788A" w:rsidP="0056788A">
                            <w:pPr>
                              <w:rPr>
                                <w:i/>
                              </w:rPr>
                            </w:pPr>
                            <w:r>
                              <w:t xml:space="preserve">The employer actively engaged with FWI’s, </w:t>
                            </w:r>
                            <w:r w:rsidRPr="0056788A">
                              <w:t xml:space="preserve">readily rectified the </w:t>
                            </w:r>
                            <w:r>
                              <w:t xml:space="preserve">issues </w:t>
                            </w:r>
                            <w:r w:rsidRPr="0056788A">
                              <w:t xml:space="preserve">and promptly </w:t>
                            </w:r>
                            <w:r w:rsidR="002E1CE6">
                              <w:t xml:space="preserve">back paid employees.  The business owner was issued a </w:t>
                            </w:r>
                            <w:r>
                              <w:t>formal caution.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7.5pt;height:3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" fillcolor="#d8d8d8 [2732]" strokecolor="black [3200]" strokeweight="2pt">
                <v:textbox>
                  <w:txbxContent>
                    <w:p w:rsidR="0056788A" w:rsidRPr="00C32B02" w:rsidRDefault="0056788A" w:rsidP="0056788A">
                      <w:r>
                        <w:t>Fair Work Inspectors audited a supermarket as part of the WA Gascoyne/Mid-West Regional Campaign.  When</w:t>
                      </w:r>
                      <w:r w:rsidRPr="00C32B02">
                        <w:t xml:space="preserve"> </w:t>
                      </w:r>
                      <w:r>
                        <w:t>viewing</w:t>
                      </w:r>
                      <w:r w:rsidRPr="00C32B02">
                        <w:t xml:space="preserve"> </w:t>
                      </w:r>
                      <w:r>
                        <w:t xml:space="preserve">employment </w:t>
                      </w:r>
                      <w:r w:rsidRPr="00C32B02">
                        <w:t xml:space="preserve">records </w:t>
                      </w:r>
                      <w:r>
                        <w:t>for the</w:t>
                      </w:r>
                      <w:r w:rsidRPr="00C32B02">
                        <w:t xml:space="preserve"> </w:t>
                      </w:r>
                      <w:r>
                        <w:t>b</w:t>
                      </w:r>
                      <w:r w:rsidRPr="00C32B02">
                        <w:t>usiness</w:t>
                      </w:r>
                      <w:r>
                        <w:t>,</w:t>
                      </w:r>
                      <w:r w:rsidRPr="00C32B02">
                        <w:t xml:space="preserve"> </w:t>
                      </w:r>
                      <w:r>
                        <w:t xml:space="preserve">FWI’s </w:t>
                      </w:r>
                      <w:r w:rsidR="00BD353A">
                        <w:t>identified</w:t>
                      </w:r>
                      <w:r w:rsidR="002E1CE6">
                        <w:t xml:space="preserve"> the</w:t>
                      </w:r>
                      <w:r w:rsidR="00BD353A">
                        <w:t xml:space="preserve"> </w:t>
                      </w:r>
                      <w:r>
                        <w:t xml:space="preserve">business was paying </w:t>
                      </w:r>
                      <w:r w:rsidRPr="00C32B02">
                        <w:t xml:space="preserve">incorrect base </w:t>
                      </w:r>
                      <w:r>
                        <w:t xml:space="preserve">rates of pay and weekend penalty </w:t>
                      </w:r>
                      <w:r w:rsidRPr="00C32B02">
                        <w:t xml:space="preserve">rates </w:t>
                      </w:r>
                      <w:r>
                        <w:t>to ca</w:t>
                      </w:r>
                      <w:r w:rsidR="00A4303F">
                        <w:t>sual employees.</w:t>
                      </w:r>
                    </w:p>
                    <w:p w:rsidR="0056788A" w:rsidRDefault="0056788A" w:rsidP="0056788A">
                      <w:r>
                        <w:t>T</w:t>
                      </w:r>
                      <w:r w:rsidRPr="00C32B02">
                        <w:t xml:space="preserve">he </w:t>
                      </w:r>
                      <w:r>
                        <w:t xml:space="preserve">business </w:t>
                      </w:r>
                      <w:r w:rsidR="00BD353A">
                        <w:t xml:space="preserve">owner </w:t>
                      </w:r>
                      <w:r>
                        <w:t xml:space="preserve">was surprised by the errors </w:t>
                      </w:r>
                      <w:r w:rsidR="002E1CE6">
                        <w:t xml:space="preserve">and advised </w:t>
                      </w:r>
                      <w:r>
                        <w:t xml:space="preserve">they were paying under the same award as the previous owners. Upon investigation it was determined that the employer was paying under the </w:t>
                      </w:r>
                      <w:r w:rsidR="00B52AF2">
                        <w:t>WA s</w:t>
                      </w:r>
                      <w:r>
                        <w:t xml:space="preserve">tate Shop &amp; Warehouse Retail award, rather than the </w:t>
                      </w:r>
                      <w:r w:rsidR="00B52AF2">
                        <w:t>f</w:t>
                      </w:r>
                      <w:r w:rsidR="002E1CE6">
                        <w:t xml:space="preserve">ederal </w:t>
                      </w:r>
                      <w:r>
                        <w:t xml:space="preserve">General Retail Modern Award. The </w:t>
                      </w:r>
                      <w:r w:rsidR="00BD353A">
                        <w:t>owner was</w:t>
                      </w:r>
                      <w:r>
                        <w:t xml:space="preserve"> unaware that that there was a difference in the state and federal </w:t>
                      </w:r>
                      <w:r w:rsidR="002E1CE6">
                        <w:t xml:space="preserve">industrial relations </w:t>
                      </w:r>
                      <w:r>
                        <w:t>system in WA</w:t>
                      </w:r>
                      <w:r w:rsidR="002E1CE6">
                        <w:t xml:space="preserve">, and that the business was covered by the </w:t>
                      </w:r>
                      <w:r w:rsidR="002E1CE6" w:rsidRPr="002E1CE6">
                        <w:rPr>
                          <w:i/>
                        </w:rPr>
                        <w:t>Fair Work Act 2009</w:t>
                      </w:r>
                      <w:r w:rsidR="002E1CE6">
                        <w:rPr>
                          <w:i/>
                        </w:rPr>
                        <w:t xml:space="preserve"> (</w:t>
                      </w:r>
                      <w:r w:rsidR="002E1CE6" w:rsidRPr="002E1CE6">
                        <w:t>the</w:t>
                      </w:r>
                      <w:r w:rsidR="002E1CE6">
                        <w:rPr>
                          <w:i/>
                        </w:rPr>
                        <w:t xml:space="preserve"> </w:t>
                      </w:r>
                      <w:r w:rsidR="002E1CE6" w:rsidRPr="002E1CE6">
                        <w:t>Act</w:t>
                      </w:r>
                      <w:r w:rsidR="002E1CE6">
                        <w:rPr>
                          <w:i/>
                        </w:rPr>
                        <w:t>)</w:t>
                      </w:r>
                      <w:r w:rsidR="002E1CE6">
                        <w:t xml:space="preserve">.  </w:t>
                      </w:r>
                      <w:r>
                        <w:t xml:space="preserve">The FWI </w:t>
                      </w:r>
                      <w:r w:rsidR="002E1CE6">
                        <w:t>provided education to the owner</w:t>
                      </w:r>
                      <w:r>
                        <w:t xml:space="preserve"> about their obligations under the Act, </w:t>
                      </w:r>
                      <w:r w:rsidR="00BD353A">
                        <w:t>and provided</w:t>
                      </w:r>
                      <w:r>
                        <w:t xml:space="preserve"> </w:t>
                      </w:r>
                      <w:r w:rsidR="002E1CE6">
                        <w:t xml:space="preserve">free </w:t>
                      </w:r>
                      <w:r>
                        <w:t>tools and resources to help them comply.</w:t>
                      </w:r>
                    </w:p>
                    <w:p w:rsidR="0056788A" w:rsidRDefault="0056788A" w:rsidP="0056788A">
                      <w:r>
                        <w:t xml:space="preserve">FWI’s worked with the business </w:t>
                      </w:r>
                      <w:r w:rsidR="002E1CE6">
                        <w:t xml:space="preserve">to calculate correct rates of pay </w:t>
                      </w:r>
                      <w:r w:rsidR="00BD353A">
                        <w:t xml:space="preserve">and </w:t>
                      </w:r>
                      <w:r w:rsidR="002E1CE6">
                        <w:t>t</w:t>
                      </w:r>
                      <w:r>
                        <w:t>he resulting underpayments.  In total 11</w:t>
                      </w:r>
                      <w:r w:rsidRPr="00C32B02">
                        <w:t xml:space="preserve"> employees </w:t>
                      </w:r>
                      <w:r>
                        <w:t xml:space="preserve">were underpaid over $23,000. </w:t>
                      </w:r>
                      <w:r>
                        <w:rPr>
                          <w:lang w:eastAsia="en-AU"/>
                        </w:rPr>
                        <w:t>This case demonstrates the importance of checking employee entitlements when purchasing a business to ensure they are correct, as unchecked errors can result in large underpayments.</w:t>
                      </w:r>
                    </w:p>
                    <w:p w:rsidR="0056788A" w:rsidRPr="002A2A9A" w:rsidRDefault="0056788A" w:rsidP="0056788A">
                      <w:pPr>
                        <w:rPr>
                          <w:i/>
                        </w:rPr>
                      </w:pPr>
                      <w:r>
                        <w:t xml:space="preserve">The employer actively engaged with FWI’s, </w:t>
                      </w:r>
                      <w:r w:rsidRPr="0056788A">
                        <w:t xml:space="preserve">readily rectified the </w:t>
                      </w:r>
                      <w:r>
                        <w:t xml:space="preserve">issues </w:t>
                      </w:r>
                      <w:r w:rsidRPr="0056788A">
                        <w:t xml:space="preserve">and promptly </w:t>
                      </w:r>
                      <w:r w:rsidR="002E1CE6">
                        <w:t xml:space="preserve">back paid employees.  The business owner was issued a </w:t>
                      </w:r>
                      <w:r>
                        <w:t>formal caution.</w:t>
                      </w:r>
                    </w:p>
                  </w:txbxContent>
                </v:textbox>
                <w10:anchorlock/>
              </v:shape>
            </w:pict>
          </mc:Fallback>
        </mc:AlternateContent>
      </w:r>
      <w:r w:rsidR="007C589E">
        <w:rPr>
          <w:color w:val="0194A6"/>
        </w:rPr>
        <w:br w:type="page"/>
      </w:r>
    </w:p>
    <w:p w:rsidR="00E06D67" w:rsidRDefault="00E06D67" w:rsidP="007C589E">
      <w:pPr>
        <w:pStyle w:val="Heading2"/>
      </w:pPr>
      <w:bookmarkStart w:id="9" w:name="_Toc450134190"/>
      <w:r>
        <w:t>Individual Errors</w:t>
      </w:r>
      <w:bookmarkEnd w:id="9"/>
    </w:p>
    <w:p w:rsidR="0056788A" w:rsidRPr="00A36146" w:rsidRDefault="00E06D67" w:rsidP="007C589E">
      <w:pPr>
        <w:jc w:val="both"/>
        <w:rPr>
          <w:rFonts w:eastAsia="Calibri"/>
        </w:rPr>
      </w:pPr>
      <w:r w:rsidRPr="00A36146">
        <w:rPr>
          <w:rFonts w:eastAsia="Calibri"/>
        </w:rPr>
        <w:t>52 businesses were identified with a total of 80</w:t>
      </w:r>
      <w:r w:rsidR="000638B7" w:rsidRPr="00A36146">
        <w:rPr>
          <w:rFonts w:eastAsia="Calibri"/>
        </w:rPr>
        <w:t xml:space="preserve"> individual errors</w:t>
      </w:r>
      <w:r w:rsidR="00A36146" w:rsidRPr="00A36146">
        <w:rPr>
          <w:rFonts w:eastAsia="Calibri"/>
        </w:rPr>
        <w:t>.  The most common errors related to penalties, loadings and allowances (39%), followed by pay slip errors and</w:t>
      </w:r>
      <w:r w:rsidR="0059211D">
        <w:rPr>
          <w:rFonts w:eastAsia="Calibri"/>
        </w:rPr>
        <w:t xml:space="preserve"> underpayment of hourly rates </w:t>
      </w:r>
      <w:r w:rsidR="00A4303F">
        <w:rPr>
          <w:rFonts w:eastAsia="Calibri"/>
        </w:rPr>
        <w:t>(both 26%).</w:t>
      </w:r>
    </w:p>
    <w:p w:rsidR="00E06D67" w:rsidRPr="007C589E" w:rsidRDefault="007C589E" w:rsidP="0056788A">
      <w:pPr>
        <w:rPr>
          <w:color w:val="0194A6"/>
        </w:rPr>
      </w:pPr>
      <w:r>
        <w:rPr>
          <w:color w:val="0194A6"/>
        </w:rPr>
        <w:t>Figure</w:t>
      </w:r>
      <w:r w:rsidRPr="007C589E">
        <w:rPr>
          <w:color w:val="0194A6"/>
        </w:rPr>
        <w:t xml:space="preserve"> 2</w:t>
      </w:r>
      <w:r>
        <w:rPr>
          <w:color w:val="0194A6"/>
        </w:rPr>
        <w:t xml:space="preserve"> - </w:t>
      </w:r>
      <w:r w:rsidR="009B1521" w:rsidRPr="007C589E">
        <w:rPr>
          <w:color w:val="0194A6"/>
        </w:rPr>
        <w:t xml:space="preserve">Individual </w:t>
      </w:r>
      <w:r>
        <w:rPr>
          <w:color w:val="0194A6"/>
        </w:rPr>
        <w:t>e</w:t>
      </w:r>
      <w:r w:rsidRPr="007C589E">
        <w:rPr>
          <w:color w:val="0194A6"/>
        </w:rPr>
        <w:t xml:space="preserve">rror </w:t>
      </w:r>
      <w:r>
        <w:rPr>
          <w:color w:val="0194A6"/>
        </w:rPr>
        <w:t>t</w:t>
      </w:r>
      <w:r w:rsidRPr="007C589E">
        <w:rPr>
          <w:color w:val="0194A6"/>
        </w:rPr>
        <w:t>ypes</w:t>
      </w:r>
    </w:p>
    <w:p w:rsidR="0056788A" w:rsidRPr="00BB6C1D" w:rsidRDefault="005E3129" w:rsidP="007C589E">
      <w:pPr>
        <w:jc w:val="both"/>
        <w:rPr>
          <w:rFonts w:eastAsia="Calibri"/>
        </w:rPr>
      </w:pPr>
      <w:r>
        <w:rPr>
          <w:rFonts w:eastAsia="Calibri"/>
          <w:noProof/>
          <w:lang w:eastAsia="en-AU"/>
        </w:rPr>
        <w:drawing>
          <wp:inline distT="0" distB="0" distL="0" distR="0" wp14:anchorId="10857A2D">
            <wp:extent cx="4808086" cy="3600450"/>
            <wp:effectExtent l="0" t="0" r="0" b="0"/>
            <wp:docPr id="7" name="Picture 7" title="Individual Error Typ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8447" cy="3608208"/>
                    </a:xfrm>
                    <a:prstGeom prst="rect">
                      <a:avLst/>
                    </a:prstGeom>
                    <a:noFill/>
                  </pic:spPr>
                </pic:pic>
              </a:graphicData>
            </a:graphic>
          </wp:inline>
        </w:drawing>
      </w:r>
    </w:p>
    <w:p w:rsidR="00E06D67" w:rsidRDefault="00E06D67" w:rsidP="007C589E">
      <w:pPr>
        <w:pStyle w:val="Heading2"/>
      </w:pPr>
      <w:bookmarkStart w:id="10" w:name="_Toc450134191"/>
      <w:r>
        <w:t>Association Membership</w:t>
      </w:r>
      <w:r w:rsidR="00EF5DAF">
        <w:t xml:space="preserve"> and Business Size</w:t>
      </w:r>
      <w:bookmarkEnd w:id="10"/>
    </w:p>
    <w:p w:rsidR="00EF5DAF" w:rsidRPr="00EF5DAF" w:rsidRDefault="00EF5DAF" w:rsidP="007C589E">
      <w:pPr>
        <w:rPr>
          <w:rFonts w:eastAsia="Calibri"/>
        </w:rPr>
      </w:pPr>
      <w:r w:rsidRPr="00EF5DAF">
        <w:rPr>
          <w:rFonts w:eastAsia="Calibri"/>
        </w:rPr>
        <w:t xml:space="preserve">Businesses that were members of an industry </w:t>
      </w:r>
      <w:r w:rsidR="00D863C9">
        <w:rPr>
          <w:rFonts w:eastAsia="Calibri"/>
        </w:rPr>
        <w:t xml:space="preserve">or employer association had a </w:t>
      </w:r>
      <w:r>
        <w:rPr>
          <w:rFonts w:eastAsia="Calibri"/>
        </w:rPr>
        <w:t>higher compliance rate than businesses that were not members.  Association member businesses had a compliance rate of 58% compared with a</w:t>
      </w:r>
      <w:r w:rsidR="00DD4C94">
        <w:rPr>
          <w:rFonts w:eastAsia="Calibri"/>
        </w:rPr>
        <w:t xml:space="preserve"> compliance rate of 54</w:t>
      </w:r>
      <w:r w:rsidR="00D863C9">
        <w:rPr>
          <w:rFonts w:eastAsia="Calibri"/>
        </w:rPr>
        <w:t>% for non-</w:t>
      </w:r>
      <w:r>
        <w:rPr>
          <w:rFonts w:eastAsia="Calibri"/>
        </w:rPr>
        <w:t xml:space="preserve">member businesses.  </w:t>
      </w:r>
    </w:p>
    <w:p w:rsidR="0056788A" w:rsidRDefault="009376EF" w:rsidP="007C589E">
      <w:r w:rsidRPr="009376EF">
        <w:t xml:space="preserve">Larger businesses (those with 15 or more employees) also had a higher compliance rate than smaller businesses (those with less than 15 employees).  The compliance rate for larger businesses was 58% compared with a compliance rate of 55% for smaller businesses.  </w:t>
      </w:r>
      <w:r w:rsidR="0056788A">
        <w:br w:type="page"/>
      </w:r>
    </w:p>
    <w:p w:rsidR="00A73E58" w:rsidRPr="0056788A" w:rsidRDefault="0056788A" w:rsidP="0056788A">
      <w:pPr>
        <w:rPr>
          <w:color w:val="0194A6"/>
        </w:rPr>
      </w:pPr>
      <w:r w:rsidRPr="00AB1897">
        <w:rPr>
          <w:color w:val="0194A6"/>
        </w:rPr>
        <w:t>Figure 3 – Compliance by association membership and size</w:t>
      </w:r>
    </w:p>
    <w:p w:rsidR="007C589E" w:rsidRDefault="00B52AF2" w:rsidP="007C589E">
      <w:r>
        <w:rPr>
          <w:noProof/>
          <w:lang w:eastAsia="en-AU"/>
        </w:rPr>
        <w:drawing>
          <wp:inline distT="0" distB="0" distL="0" distR="0" wp14:anchorId="4DD70EF2">
            <wp:extent cx="5783694" cy="3476625"/>
            <wp:effectExtent l="0" t="0" r="7620" b="0"/>
            <wp:docPr id="3" name="Picture 3" title="Compliance Rat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3853" cy="3482731"/>
                    </a:xfrm>
                    <a:prstGeom prst="rect">
                      <a:avLst/>
                    </a:prstGeom>
                    <a:noFill/>
                  </pic:spPr>
                </pic:pic>
              </a:graphicData>
            </a:graphic>
          </wp:inline>
        </w:drawing>
      </w:r>
    </w:p>
    <w:p w:rsidR="00A83A49" w:rsidRDefault="00A83A49" w:rsidP="007C589E">
      <w:pPr>
        <w:pStyle w:val="Heading1"/>
      </w:pPr>
      <w:bookmarkStart w:id="11" w:name="_Toc450134192"/>
      <w:r>
        <w:t>Next Steps</w:t>
      </w:r>
      <w:bookmarkEnd w:id="11"/>
    </w:p>
    <w:p w:rsidR="00A83A49" w:rsidRPr="00A83A49" w:rsidRDefault="00B821D4" w:rsidP="007C589E">
      <w:pPr>
        <w:rPr>
          <w:sz w:val="44"/>
          <w:szCs w:val="26"/>
        </w:rPr>
      </w:pPr>
      <w:r>
        <w:t>To support businesses</w:t>
      </w:r>
      <w:r w:rsidR="00A83A49" w:rsidRPr="00A83A49">
        <w:t xml:space="preserve"> in the region</w:t>
      </w:r>
      <w:r w:rsidR="00842B98">
        <w:t>s</w:t>
      </w:r>
      <w:r w:rsidR="00A83A49" w:rsidRPr="00A83A49">
        <w:t xml:space="preserve"> to comply with their workplace obligations, the FWO will:</w:t>
      </w:r>
    </w:p>
    <w:p w:rsidR="00A83A49" w:rsidRPr="00A83A49" w:rsidRDefault="00A83A49" w:rsidP="007C589E">
      <w:pPr>
        <w:numPr>
          <w:ilvl w:val="0"/>
          <w:numId w:val="47"/>
        </w:numPr>
        <w:spacing w:after="53"/>
        <w:jc w:val="both"/>
        <w:rPr>
          <w:rFonts w:ascii="Helvetica" w:eastAsia="Calibri" w:hAnsi="Helvetica" w:cs="Times New Roman"/>
        </w:rPr>
      </w:pPr>
      <w:r w:rsidRPr="00A83A49">
        <w:rPr>
          <w:rFonts w:ascii="Helvetica" w:eastAsia="Calibri" w:hAnsi="Helvetica" w:cs="Times New Roman"/>
        </w:rPr>
        <w:t>Continue to educate employers on their obligations and encourage them to contact the FWO and others for assistance and advice on workplace matters;</w:t>
      </w:r>
    </w:p>
    <w:p w:rsidR="00A83A49" w:rsidRPr="00A83A49" w:rsidRDefault="00A83A49" w:rsidP="007C589E">
      <w:pPr>
        <w:numPr>
          <w:ilvl w:val="0"/>
          <w:numId w:val="47"/>
        </w:numPr>
        <w:spacing w:after="53"/>
        <w:jc w:val="both"/>
        <w:rPr>
          <w:rFonts w:ascii="Helvetica" w:eastAsia="Calibri" w:hAnsi="Helvetica" w:cs="Times New Roman"/>
        </w:rPr>
      </w:pPr>
      <w:r w:rsidRPr="00A83A49">
        <w:rPr>
          <w:rFonts w:ascii="Helvetica" w:eastAsia="Calibri" w:hAnsi="Helvetica" w:cs="Times New Roman"/>
        </w:rPr>
        <w:t>Audit all businesses found to be non-compliant in this campaign in the FWO’s National Compliance Monitoring Campaign;</w:t>
      </w:r>
    </w:p>
    <w:p w:rsidR="00A83A49" w:rsidRPr="00B821D4" w:rsidRDefault="00A83A49" w:rsidP="007C589E">
      <w:pPr>
        <w:numPr>
          <w:ilvl w:val="0"/>
          <w:numId w:val="47"/>
        </w:numPr>
        <w:spacing w:after="53"/>
        <w:jc w:val="both"/>
        <w:rPr>
          <w:rFonts w:ascii="Helvetica" w:eastAsia="Calibri" w:hAnsi="Helvetica" w:cs="Times New Roman"/>
        </w:rPr>
      </w:pPr>
      <w:r>
        <w:rPr>
          <w:rFonts w:ascii="Helvetica" w:eastAsia="Calibri" w:hAnsi="Helvetica" w:cs="Times New Roman"/>
        </w:rPr>
        <w:t xml:space="preserve">Promote key themes </w:t>
      </w:r>
      <w:r w:rsidRPr="00B821D4">
        <w:rPr>
          <w:rFonts w:ascii="Helvetica" w:eastAsia="Calibri" w:hAnsi="Helvetica" w:cs="Times New Roman"/>
        </w:rPr>
        <w:t>identified in campaigns through communication and media activities and use the findings of this campaign to inform our future compliance activit</w:t>
      </w:r>
      <w:r w:rsidR="00B821D4" w:rsidRPr="00B821D4">
        <w:rPr>
          <w:rFonts w:ascii="Helvetica" w:eastAsia="Calibri" w:hAnsi="Helvetica" w:cs="Times New Roman"/>
        </w:rPr>
        <w:t>i</w:t>
      </w:r>
      <w:r w:rsidRPr="00B821D4">
        <w:rPr>
          <w:rFonts w:ascii="Helvetica" w:eastAsia="Calibri" w:hAnsi="Helvetica" w:cs="Times New Roman"/>
        </w:rPr>
        <w:t>es; and</w:t>
      </w:r>
    </w:p>
    <w:p w:rsidR="00A83A49" w:rsidRPr="00B821D4" w:rsidRDefault="00A83A49" w:rsidP="007C589E">
      <w:pPr>
        <w:numPr>
          <w:ilvl w:val="0"/>
          <w:numId w:val="47"/>
        </w:numPr>
        <w:spacing w:after="53"/>
        <w:jc w:val="both"/>
        <w:rPr>
          <w:rFonts w:ascii="Helvetica" w:eastAsia="Calibri" w:hAnsi="Helvetica" w:cs="Times New Roman"/>
        </w:rPr>
      </w:pPr>
      <w:r w:rsidRPr="00B821D4">
        <w:rPr>
          <w:rFonts w:ascii="Helvetica" w:eastAsia="Calibri" w:hAnsi="Helvetica" w:cs="Times New Roman"/>
        </w:rPr>
        <w:t>Promote the tools and resources available on the FWO website</w:t>
      </w:r>
      <w:r w:rsidR="00B821D4">
        <w:rPr>
          <w:rFonts w:ascii="Helvetica" w:eastAsia="Calibri" w:hAnsi="Helvetica" w:cs="Times New Roman"/>
        </w:rPr>
        <w:t xml:space="preserve"> </w:t>
      </w:r>
      <w:hyperlink r:id="rId23" w:tooltip="fair work ombudsman website " w:history="1">
        <w:r w:rsidR="00B821D4" w:rsidRPr="00786337">
          <w:rPr>
            <w:rStyle w:val="Hyperlink"/>
            <w:rFonts w:ascii="Helvetica" w:eastAsia="Calibri" w:hAnsi="Helvetica"/>
          </w:rPr>
          <w:t>www.fairwork.gov.au</w:t>
        </w:r>
      </w:hyperlink>
      <w:r w:rsidR="00B821D4">
        <w:rPr>
          <w:rFonts w:ascii="Helvetica" w:eastAsia="Calibri" w:hAnsi="Helvetica" w:cs="Times New Roman"/>
        </w:rPr>
        <w:t>.</w:t>
      </w:r>
    </w:p>
    <w:p w:rsidR="00E06D67" w:rsidRPr="00A83A49" w:rsidRDefault="00E06D67" w:rsidP="007C589E">
      <w:pPr>
        <w:pStyle w:val="Heading1"/>
      </w:pPr>
      <w:bookmarkStart w:id="12" w:name="_Toc450134193"/>
      <w:r w:rsidRPr="00A83A49">
        <w:t>Conclusion</w:t>
      </w:r>
      <w:bookmarkEnd w:id="12"/>
    </w:p>
    <w:p w:rsidR="007A5BCB" w:rsidRPr="007A5BCB" w:rsidRDefault="007A5BCB" w:rsidP="007C589E">
      <w:r w:rsidRPr="007A5BCB">
        <w:t xml:space="preserve">The campaign revealed </w:t>
      </w:r>
      <w:r w:rsidR="00842B98">
        <w:t>56% of businesses in the regions were fully compliant wit</w:t>
      </w:r>
      <w:r w:rsidR="0056788A">
        <w:t xml:space="preserve">h their workplace obligations. </w:t>
      </w:r>
      <w:r w:rsidR="00842B98">
        <w:t xml:space="preserve">70% of businesses were paying their employees correctly and 78% of businesses were meeting their record-keeping and pay slip obligations.  </w:t>
      </w:r>
    </w:p>
    <w:p w:rsidR="00842B98" w:rsidRPr="00842B98" w:rsidRDefault="00842B98" w:rsidP="007C589E">
      <w:r w:rsidRPr="00842B98">
        <w:t>The FWO will use the results of this campaign to inform our future education and audit activities.  This may involve the development of future national or regional campaigns that also includ</w:t>
      </w:r>
      <w:r w:rsidR="0056788A">
        <w:t xml:space="preserve">e businesses from the regions. </w:t>
      </w:r>
      <w:r w:rsidRPr="00842B98">
        <w:t xml:space="preserve">All businesses found to be non-compliant in this campaign will be re-audited as part of the FWO’s ongoing National Compliance Monitoring Campaign.  </w:t>
      </w:r>
    </w:p>
    <w:p w:rsidR="00842B98" w:rsidRPr="00330230" w:rsidRDefault="00330230" w:rsidP="007C589E">
      <w:r w:rsidRPr="00330230">
        <w:t xml:space="preserve">The FWO will </w:t>
      </w:r>
      <w:r>
        <w:t>continue to support a culture of compliance by empowering businesses and their employees to resolve any issues that arise at a workpl</w:t>
      </w:r>
      <w:r w:rsidR="0056788A">
        <w:t xml:space="preserve">ace level. </w:t>
      </w:r>
      <w:r>
        <w:t xml:space="preserve">To assist businesses to do this, </w:t>
      </w:r>
      <w:r w:rsidRPr="006F3FC2">
        <w:t>the FWO recently released</w:t>
      </w:r>
      <w:r w:rsidR="006F3FC2" w:rsidRPr="006F3FC2">
        <w:t xml:space="preserve"> a number of practical Guides to Resolving Workplace Issues on the </w:t>
      </w:r>
      <w:r>
        <w:t xml:space="preserve">FWO website </w:t>
      </w:r>
      <w:hyperlink r:id="rId24" w:tooltip="fair work ombudsman website " w:history="1">
        <w:r w:rsidRPr="00786337">
          <w:rPr>
            <w:rStyle w:val="Hyperlink"/>
            <w:rFonts w:cs="Arial"/>
          </w:rPr>
          <w:t>www.fairwork.gov.au</w:t>
        </w:r>
      </w:hyperlink>
      <w:r>
        <w:t xml:space="preserve">.  Whilst the FWO will continue to monitor non-compliant businesses, supporting businesses and their employees to resolve issues at the workplace level gives the best chance of continued productive workplace relationships.  </w:t>
      </w:r>
    </w:p>
    <w:p w:rsidR="00E06D67" w:rsidRDefault="00E06D67" w:rsidP="007C589E">
      <w:pPr>
        <w:pStyle w:val="Heading1"/>
      </w:pPr>
      <w:bookmarkStart w:id="13" w:name="_Toc450134194"/>
      <w:r>
        <w:t>About the Fair Work Ombudsman</w:t>
      </w:r>
      <w:bookmarkEnd w:id="13"/>
    </w:p>
    <w:p w:rsidR="00E06D67" w:rsidRPr="00D058C1" w:rsidRDefault="00E06D67" w:rsidP="007C589E">
      <w:pPr>
        <w:jc w:val="both"/>
        <w:rPr>
          <w:lang w:eastAsia="en-AU"/>
        </w:rPr>
      </w:pPr>
      <w:r w:rsidRPr="00D058C1">
        <w:rPr>
          <w:lang w:eastAsia="en-AU"/>
        </w:rPr>
        <w:t xml:space="preserve">The Fair Work Ombudsman is an independent agency created by the </w:t>
      </w:r>
      <w:r w:rsidRPr="00D058C1">
        <w:rPr>
          <w:i/>
          <w:lang w:eastAsia="en-AU"/>
        </w:rPr>
        <w:t>Fair Work Act 2009</w:t>
      </w:r>
      <w:r w:rsidRPr="00D058C1">
        <w:rPr>
          <w:lang w:eastAsia="en-AU"/>
        </w:rPr>
        <w:t xml:space="preserve"> on 1 July 2009. Our main role is to promote harmonious, productive and cooperative workplace relations.</w:t>
      </w:r>
    </w:p>
    <w:p w:rsidR="00E06D67" w:rsidRPr="00D058C1" w:rsidRDefault="00E06D67" w:rsidP="007C589E">
      <w:pPr>
        <w:jc w:val="both"/>
        <w:rPr>
          <w:rFonts w:eastAsia="Calibri"/>
          <w:szCs w:val="22"/>
        </w:rPr>
      </w:pPr>
      <w:r w:rsidRPr="00D058C1">
        <w:rPr>
          <w:rFonts w:eastAsia="Calibri"/>
          <w:szCs w:val="22"/>
        </w:rPr>
        <w:t xml:space="preserve">Each year the Fair Work Ombudsman (FWO) runs proactive campaigns to assist employers and employees understand their rights and obligations under Commonwealth workplace relations laws. </w:t>
      </w:r>
    </w:p>
    <w:p w:rsidR="00E06D67" w:rsidRPr="00D058C1" w:rsidRDefault="00E06D67" w:rsidP="007C589E">
      <w:pPr>
        <w:jc w:val="both"/>
      </w:pPr>
      <w:r w:rsidRPr="00D058C1">
        <w:t>These campaigns can focus on particular industries, regions and/or labour market issues and are conducted on a national and state level.</w:t>
      </w:r>
    </w:p>
    <w:p w:rsidR="00E06D67" w:rsidRPr="00D058C1" w:rsidRDefault="00E06D67" w:rsidP="007C589E">
      <w:pPr>
        <w:jc w:val="both"/>
        <w:rPr>
          <w:lang w:eastAsia="en-AU"/>
        </w:rPr>
      </w:pPr>
      <w:r w:rsidRPr="00D058C1">
        <w:rPr>
          <w:lang w:eastAsia="en-AU"/>
        </w:rPr>
        <w:t xml:space="preserve">This report covers the background, method and findings of the </w:t>
      </w:r>
      <w:r w:rsidR="00C17BCE">
        <w:rPr>
          <w:lang w:eastAsia="en-AU"/>
        </w:rPr>
        <w:t>WA -</w:t>
      </w:r>
      <w:r w:rsidR="00CE67AD">
        <w:rPr>
          <w:lang w:eastAsia="en-AU"/>
        </w:rPr>
        <w:t xml:space="preserve"> </w:t>
      </w:r>
      <w:r>
        <w:rPr>
          <w:lang w:eastAsia="en-AU"/>
        </w:rPr>
        <w:t>Gascoyne/Mid-West Regional Campaign 2015</w:t>
      </w:r>
      <w:r w:rsidR="00144603">
        <w:rPr>
          <w:lang w:eastAsia="en-AU"/>
        </w:rPr>
        <w:t>-16</w:t>
      </w:r>
      <w:r w:rsidRPr="00D058C1">
        <w:rPr>
          <w:lang w:eastAsia="en-AU"/>
        </w:rPr>
        <w:t xml:space="preserve">. For further information and media enquiries please contact the media team at </w:t>
      </w:r>
      <w:hyperlink r:id="rId25" w:history="1">
        <w:r w:rsidRPr="00D058C1">
          <w:rPr>
            <w:color w:val="0000FF"/>
            <w:u w:val="single"/>
            <w:lang w:eastAsia="en-AU"/>
          </w:rPr>
          <w:t>media@fwo.gov.au</w:t>
        </w:r>
      </w:hyperlink>
      <w:r w:rsidRPr="00D058C1">
        <w:rPr>
          <w:lang w:eastAsia="en-AU"/>
        </w:rPr>
        <w:t xml:space="preserve">  </w:t>
      </w:r>
    </w:p>
    <w:p w:rsidR="00E06D67" w:rsidRPr="00E06D67" w:rsidRDefault="00E06D67" w:rsidP="007C589E">
      <w:pPr>
        <w:jc w:val="both"/>
      </w:pPr>
      <w:r w:rsidRPr="00D058C1">
        <w:rPr>
          <w:lang w:eastAsia="en-AU"/>
        </w:rPr>
        <w:t xml:space="preserve">If you would like further information about the Fair Work Ombudsman’s campaigns please contact Lynda </w:t>
      </w:r>
      <w:proofErr w:type="spellStart"/>
      <w:r w:rsidRPr="00D058C1">
        <w:rPr>
          <w:lang w:eastAsia="en-AU"/>
        </w:rPr>
        <w:t>McAlary</w:t>
      </w:r>
      <w:proofErr w:type="spellEnd"/>
      <w:r w:rsidRPr="00D058C1">
        <w:rPr>
          <w:lang w:eastAsia="en-AU"/>
        </w:rPr>
        <w:t xml:space="preserve">-Smith, Executive Director - Proactive Compliance and Education at </w:t>
      </w:r>
      <w:hyperlink r:id="rId26" w:history="1">
        <w:r w:rsidRPr="00D058C1">
          <w:rPr>
            <w:color w:val="0000FF"/>
            <w:szCs w:val="22"/>
            <w:u w:val="single"/>
            <w:lang w:eastAsia="en-AU"/>
          </w:rPr>
          <w:t>Lynda.McAlary-Smith@fwo.gov.au</w:t>
        </w:r>
      </w:hyperlink>
    </w:p>
    <w:bookmarkEnd w:id="5"/>
    <w:bookmarkEnd w:id="6"/>
    <w:p w:rsidR="00BF0029" w:rsidRPr="00CF3B06" w:rsidRDefault="00BF0029" w:rsidP="007C589E">
      <w:pPr>
        <w:pStyle w:val="Quote"/>
      </w:pPr>
    </w:p>
    <w:sectPr w:rsidR="00BF0029" w:rsidRPr="00CF3B06" w:rsidSect="00CF3B06">
      <w:headerReference w:type="default" r:id="rId27"/>
      <w:footerReference w:type="even" r:id="rId28"/>
      <w:footerReference w:type="default" r:id="rId29"/>
      <w:headerReference w:type="first" r:id="rId30"/>
      <w:type w:val="continuous"/>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CC" w:rsidRDefault="005F2CCC" w:rsidP="00AB27F9">
      <w:r>
        <w:separator/>
      </w:r>
    </w:p>
  </w:endnote>
  <w:endnote w:type="continuationSeparator" w:id="0">
    <w:p w:rsidR="005F2CCC" w:rsidRDefault="005F2CCC"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1" w:usb1="5000204A"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AE" w:rsidRDefault="006E34AE" w:rsidP="00AB27F9">
    <w:r>
      <w:fldChar w:fldCharType="begin"/>
    </w:r>
    <w:r>
      <w:instrText xml:space="preserve">PAGE  </w:instrText>
    </w:r>
    <w:r>
      <w:fldChar w:fldCharType="separate"/>
    </w:r>
    <w:r>
      <w:rPr>
        <w:noProof/>
      </w:rPr>
      <w:t>2</w:t>
    </w:r>
    <w:r>
      <w:fldChar w:fldCharType="end"/>
    </w:r>
  </w:p>
  <w:p w:rsidR="006E34AE" w:rsidRDefault="006E34AE" w:rsidP="00AB27F9"/>
  <w:p w:rsidR="00AC229B" w:rsidRDefault="00AC229B"/>
  <w:p w:rsidR="00AC229B" w:rsidRDefault="00AC229B"/>
  <w:p w:rsidR="00AC229B" w:rsidRDefault="00AC22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8B" w:rsidRPr="0045600E" w:rsidRDefault="00E86F40">
    <w:pPr>
      <w:pStyle w:val="Footer"/>
      <w:jc w:val="right"/>
      <w:rPr>
        <w:color w:val="FFFFFF" w:themeColor="background1"/>
      </w:rPr>
    </w:pPr>
    <w:r w:rsidRPr="00E86F40">
      <w:rPr>
        <w:noProof/>
        <w:color w:val="FFFFFF" w:themeColor="background1"/>
        <w:lang w:eastAsia="en-AU"/>
      </w:rPr>
      <w:drawing>
        <wp:anchor distT="0" distB="0" distL="114300" distR="114300" simplePos="0" relativeHeight="251659264" behindDoc="1" locked="0" layoutInCell="1" allowOverlap="1" wp14:anchorId="2CDC4FF5" wp14:editId="7848362B">
          <wp:simplePos x="0" y="0"/>
          <wp:positionH relativeFrom="column">
            <wp:posOffset>-905510</wp:posOffset>
          </wp:positionH>
          <wp:positionV relativeFrom="paragraph">
            <wp:posOffset>-565785</wp:posOffset>
          </wp:positionV>
          <wp:extent cx="7658100" cy="1176655"/>
          <wp:effectExtent l="0" t="0" r="0" b="4445"/>
          <wp:wrapTopAndBottom/>
          <wp:docPr id="10" name="Picture 10"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176655"/>
                  </a:xfrm>
                  <a:prstGeom prst="rect">
                    <a:avLst/>
                  </a:prstGeom>
                </pic:spPr>
              </pic:pic>
            </a:graphicData>
          </a:graphic>
          <wp14:sizeRelH relativeFrom="margin">
            <wp14:pctWidth>0</wp14:pctWidth>
          </wp14:sizeRelH>
          <wp14:sizeRelV relativeFrom="margin">
            <wp14:pctHeight>0</wp14:pctHeight>
          </wp14:sizeRelV>
        </wp:anchor>
      </w:drawing>
    </w:r>
    <w:r w:rsidR="00E06D67">
      <w:rPr>
        <w:color w:val="FFFFFF" w:themeColor="background1"/>
        <w:sz w:val="18"/>
        <w:szCs w:val="18"/>
      </w:rPr>
      <w:t>WA – Gascoyne/Mid-West Regional Campaign</w:t>
    </w:r>
    <w:r w:rsidR="00C2298B" w:rsidRPr="0045600E">
      <w:rPr>
        <w:color w:val="FFFFFF" w:themeColor="background1"/>
        <w:sz w:val="18"/>
        <w:szCs w:val="18"/>
      </w:rPr>
      <w:tab/>
    </w:r>
    <w:sdt>
      <w:sdtPr>
        <w:rPr>
          <w:color w:val="FFFFFF" w:themeColor="background1"/>
        </w:rPr>
        <w:id w:val="-1505813797"/>
        <w:docPartObj>
          <w:docPartGallery w:val="Page Numbers (Bottom of Page)"/>
          <w:docPartUnique/>
        </w:docPartObj>
      </w:sdtPr>
      <w:sdtEndPr>
        <w:rPr>
          <w:noProof/>
        </w:rPr>
      </w:sdtEndPr>
      <w:sdtContent>
        <w:r w:rsidR="00C2298B" w:rsidRPr="00E86F40">
          <w:rPr>
            <w:color w:val="FFFFFF" w:themeColor="background1"/>
            <w:sz w:val="20"/>
            <w:szCs w:val="20"/>
          </w:rPr>
          <w:fldChar w:fldCharType="begin"/>
        </w:r>
        <w:r w:rsidR="00C2298B" w:rsidRPr="00E86F40">
          <w:rPr>
            <w:color w:val="FFFFFF" w:themeColor="background1"/>
            <w:sz w:val="20"/>
            <w:szCs w:val="20"/>
          </w:rPr>
          <w:instrText xml:space="preserve"> PAGE   \* MERGEFORMAT </w:instrText>
        </w:r>
        <w:r w:rsidR="00C2298B" w:rsidRPr="00E86F40">
          <w:rPr>
            <w:color w:val="FFFFFF" w:themeColor="background1"/>
            <w:sz w:val="20"/>
            <w:szCs w:val="20"/>
          </w:rPr>
          <w:fldChar w:fldCharType="separate"/>
        </w:r>
        <w:r w:rsidR="00A4303F">
          <w:rPr>
            <w:noProof/>
            <w:color w:val="FFFFFF" w:themeColor="background1"/>
            <w:sz w:val="20"/>
            <w:szCs w:val="20"/>
          </w:rPr>
          <w:t>2</w:t>
        </w:r>
        <w:r w:rsidR="00C2298B" w:rsidRPr="00E86F40">
          <w:rPr>
            <w:noProof/>
            <w:color w:val="FFFFFF" w:themeColor="background1"/>
            <w:sz w:val="20"/>
            <w:szCs w:val="20"/>
          </w:rPr>
          <w:fldChar w:fldCharType="end"/>
        </w:r>
      </w:sdtContent>
    </w:sdt>
  </w:p>
  <w:p w:rsidR="00AC229B" w:rsidRDefault="00AC229B" w:rsidP="004B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CC" w:rsidRDefault="005F2CCC" w:rsidP="00AB27F9">
      <w:r>
        <w:separator/>
      </w:r>
    </w:p>
  </w:footnote>
  <w:footnote w:type="continuationSeparator" w:id="0">
    <w:p w:rsidR="005F2CCC" w:rsidRDefault="005F2CCC" w:rsidP="00AB2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9B" w:rsidRDefault="00AC229B" w:rsidP="00E86F40">
    <w:pPr>
      <w:spacing w:before="100" w:beforeAutospacing="1" w:after="100" w:afterAutospacing="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AE" w:rsidRPr="003952ED" w:rsidRDefault="006E34AE" w:rsidP="00AB27F9">
    <w:pPr>
      <w:rPr>
        <w:u w:val="single"/>
      </w:rPr>
    </w:pPr>
    <w:r w:rsidRPr="003952ED">
      <w:rPr>
        <w:noProof/>
        <w:u w:val="single"/>
        <w:lang w:eastAsia="en-AU"/>
      </w:rPr>
      <w:drawing>
        <wp:anchor distT="0" distB="0" distL="114300" distR="114300" simplePos="0" relativeHeight="251656192" behindDoc="1" locked="0" layoutInCell="1" allowOverlap="1" wp14:anchorId="42DF1754" wp14:editId="378916CD">
          <wp:simplePos x="0" y="0"/>
          <wp:positionH relativeFrom="column">
            <wp:posOffset>-833755</wp:posOffset>
          </wp:positionH>
          <wp:positionV relativeFrom="paragraph">
            <wp:posOffset>2042605</wp:posOffset>
          </wp:positionV>
          <wp:extent cx="7592060" cy="8418614"/>
          <wp:effectExtent l="0" t="0" r="8890" b="1905"/>
          <wp:wrapNone/>
          <wp:docPr id="8" name="Picture 3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013C09CB"/>
    <w:multiLevelType w:val="hybridMultilevel"/>
    <w:tmpl w:val="E9307F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47521E0"/>
    <w:multiLevelType w:val="hybridMultilevel"/>
    <w:tmpl w:val="EB8E6AEE"/>
    <w:lvl w:ilvl="0" w:tplc="27AE83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4F007F"/>
    <w:multiLevelType w:val="hybridMultilevel"/>
    <w:tmpl w:val="D89698A2"/>
    <w:lvl w:ilvl="0" w:tplc="7C228C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31545C"/>
    <w:multiLevelType w:val="hybridMultilevel"/>
    <w:tmpl w:val="07EC2FEC"/>
    <w:lvl w:ilvl="0" w:tplc="8DE61D54">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D931D6"/>
    <w:multiLevelType w:val="hybridMultilevel"/>
    <w:tmpl w:val="E4868F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50D58BE"/>
    <w:multiLevelType w:val="hybridMultilevel"/>
    <w:tmpl w:val="505E79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7012B41"/>
    <w:multiLevelType w:val="hybridMultilevel"/>
    <w:tmpl w:val="2A50C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17084D5B"/>
    <w:multiLevelType w:val="hybridMultilevel"/>
    <w:tmpl w:val="64D85228"/>
    <w:lvl w:ilvl="0" w:tplc="FF26E900">
      <w:numFmt w:val="bullet"/>
      <w:lvlText w:val="•"/>
      <w:lvlJc w:val="left"/>
      <w:pPr>
        <w:ind w:left="1185" w:hanging="825"/>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0B7EBB"/>
    <w:multiLevelType w:val="hybridMultilevel"/>
    <w:tmpl w:val="87EAAAAC"/>
    <w:lvl w:ilvl="0" w:tplc="08783BAC">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FA52F5"/>
    <w:multiLevelType w:val="hybridMultilevel"/>
    <w:tmpl w:val="BCFEE87C"/>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A51E80"/>
    <w:multiLevelType w:val="hybridMultilevel"/>
    <w:tmpl w:val="7FCC50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3">
    <w:nsid w:val="267349A5"/>
    <w:multiLevelType w:val="hybridMultilevel"/>
    <w:tmpl w:val="32CC0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76B698C"/>
    <w:multiLevelType w:val="hybridMultilevel"/>
    <w:tmpl w:val="B6C8AD3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92E012B"/>
    <w:multiLevelType w:val="hybridMultilevel"/>
    <w:tmpl w:val="4278563C"/>
    <w:lvl w:ilvl="0" w:tplc="904A073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0D24F0"/>
    <w:multiLevelType w:val="hybridMultilevel"/>
    <w:tmpl w:val="84426604"/>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B87943"/>
    <w:multiLevelType w:val="hybridMultilevel"/>
    <w:tmpl w:val="9266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F62B7B"/>
    <w:multiLevelType w:val="hybridMultilevel"/>
    <w:tmpl w:val="1F102006"/>
    <w:lvl w:ilvl="0" w:tplc="FF26E900">
      <w:numFmt w:val="bullet"/>
      <w:lvlText w:val="•"/>
      <w:lvlJc w:val="left"/>
      <w:pPr>
        <w:ind w:left="1440" w:hanging="720"/>
      </w:pPr>
      <w:rPr>
        <w:rFonts w:ascii="Arial" w:eastAsia="Times New Roman" w:hAnsi="Arial" w:cs="Arial" w:hint="default"/>
      </w:rPr>
    </w:lvl>
    <w:lvl w:ilvl="1" w:tplc="E0C471D6">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B4332BB"/>
    <w:multiLevelType w:val="hybridMultilevel"/>
    <w:tmpl w:val="CB1C8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950743"/>
    <w:multiLevelType w:val="hybridMultilevel"/>
    <w:tmpl w:val="5A120256"/>
    <w:lvl w:ilvl="0" w:tplc="8DE61D54">
      <w:start w:val="1"/>
      <w:numFmt w:val="bullet"/>
      <w:lvlText w:val=""/>
      <w:lvlJc w:val="left"/>
      <w:pPr>
        <w:ind w:left="360" w:hanging="360"/>
      </w:pPr>
      <w:rPr>
        <w:rFonts w:ascii="Wingdings" w:hAnsi="Wingdings" w:hint="default"/>
        <w:color w:val="0194A6"/>
      </w:rPr>
    </w:lvl>
    <w:lvl w:ilvl="1" w:tplc="DE46D4B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0E042A"/>
    <w:multiLevelType w:val="hybridMultilevel"/>
    <w:tmpl w:val="EF9A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6503A9"/>
    <w:multiLevelType w:val="hybridMultilevel"/>
    <w:tmpl w:val="36F0F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DE046B2"/>
    <w:multiLevelType w:val="hybridMultilevel"/>
    <w:tmpl w:val="9130528C"/>
    <w:lvl w:ilvl="0" w:tplc="8DE61D54">
      <w:start w:val="1"/>
      <w:numFmt w:val="bullet"/>
      <w:lvlText w:val=""/>
      <w:lvlJc w:val="left"/>
      <w:pPr>
        <w:ind w:left="1080" w:hanging="360"/>
      </w:pPr>
      <w:rPr>
        <w:rFonts w:ascii="Wingdings" w:hAnsi="Wingdings" w:hint="default"/>
        <w:color w:val="0194A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65A04D3"/>
    <w:multiLevelType w:val="multilevel"/>
    <w:tmpl w:val="EA1004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ADB400E"/>
    <w:multiLevelType w:val="hybridMultilevel"/>
    <w:tmpl w:val="060C7B70"/>
    <w:lvl w:ilvl="0" w:tplc="FF26E900">
      <w:numFmt w:val="bullet"/>
      <w:lvlText w:val="•"/>
      <w:lvlJc w:val="left"/>
      <w:pPr>
        <w:ind w:left="1185" w:hanging="82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023519"/>
    <w:multiLevelType w:val="hybridMultilevel"/>
    <w:tmpl w:val="064609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CBB4425"/>
    <w:multiLevelType w:val="hybridMultilevel"/>
    <w:tmpl w:val="0344C6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F451AD0"/>
    <w:multiLevelType w:val="hybridMultilevel"/>
    <w:tmpl w:val="A2229E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1BD4E89"/>
    <w:multiLevelType w:val="hybridMultilevel"/>
    <w:tmpl w:val="4ACA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1">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BCE1144"/>
    <w:multiLevelType w:val="hybridMultilevel"/>
    <w:tmpl w:val="372276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C8205FF"/>
    <w:multiLevelType w:val="hybridMultilevel"/>
    <w:tmpl w:val="6A107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EBB4E46"/>
    <w:multiLevelType w:val="hybridMultilevel"/>
    <w:tmpl w:val="0EB492A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AA60D33"/>
    <w:multiLevelType w:val="hybridMultilevel"/>
    <w:tmpl w:val="5C7434DE"/>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581F4B"/>
    <w:multiLevelType w:val="hybridMultilevel"/>
    <w:tmpl w:val="B672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8756ED"/>
    <w:multiLevelType w:val="hybridMultilevel"/>
    <w:tmpl w:val="1ABE45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5"/>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12"/>
  </w:num>
  <w:num w:numId="4">
    <w:abstractNumId w:val="30"/>
  </w:num>
  <w:num w:numId="5">
    <w:abstractNumId w:val="24"/>
  </w:num>
  <w:num w:numId="6">
    <w:abstractNumId w:val="31"/>
  </w:num>
  <w:num w:numId="7">
    <w:abstractNumId w:val="34"/>
  </w:num>
  <w:num w:numId="8">
    <w:abstractNumId w:val="22"/>
  </w:num>
  <w:num w:numId="9">
    <w:abstractNumId w:val="17"/>
  </w:num>
  <w:num w:numId="10">
    <w:abstractNumId w:val="11"/>
  </w:num>
  <w:num w:numId="11">
    <w:abstractNumId w:val="7"/>
  </w:num>
  <w:num w:numId="12">
    <w:abstractNumId w:val="37"/>
  </w:num>
  <w:num w:numId="13">
    <w:abstractNumId w:val="38"/>
  </w:num>
  <w:num w:numId="14">
    <w:abstractNumId w:val="8"/>
  </w:num>
  <w:num w:numId="15">
    <w:abstractNumId w:val="16"/>
  </w:num>
  <w:num w:numId="16">
    <w:abstractNumId w:val="25"/>
  </w:num>
  <w:num w:numId="17">
    <w:abstractNumId w:val="33"/>
  </w:num>
  <w:num w:numId="18">
    <w:abstractNumId w:val="2"/>
  </w:num>
  <w:num w:numId="19">
    <w:abstractNumId w:val="18"/>
  </w:num>
  <w:num w:numId="20">
    <w:abstractNumId w:val="3"/>
  </w:num>
  <w:num w:numId="21">
    <w:abstractNumId w:val="19"/>
  </w:num>
  <w:num w:numId="22">
    <w:abstractNumId w:val="27"/>
  </w:num>
  <w:num w:numId="23">
    <w:abstractNumId w:val="20"/>
  </w:num>
  <w:num w:numId="24">
    <w:abstractNumId w:val="13"/>
  </w:num>
  <w:num w:numId="25">
    <w:abstractNumId w:val="21"/>
  </w:num>
  <w:num w:numId="26">
    <w:abstractNumId w:val="26"/>
  </w:num>
  <w:num w:numId="27">
    <w:abstractNumId w:val="32"/>
  </w:num>
  <w:num w:numId="28">
    <w:abstractNumId w:val="5"/>
  </w:num>
  <w:num w:numId="29">
    <w:abstractNumId w:val="6"/>
  </w:num>
  <w:num w:numId="30">
    <w:abstractNumId w:val="28"/>
  </w:num>
  <w:num w:numId="31">
    <w:abstractNumId w:val="1"/>
  </w:num>
  <w:num w:numId="32">
    <w:abstractNumId w:val="14"/>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10"/>
  </w:num>
  <w:num w:numId="44">
    <w:abstractNumId w:val="15"/>
  </w:num>
  <w:num w:numId="45">
    <w:abstractNumId w:val="36"/>
  </w:num>
  <w:num w:numId="46">
    <w:abstractNumId w:val="29"/>
  </w:num>
  <w:num w:numId="47">
    <w:abstractNumId w:val="9"/>
  </w:num>
  <w:num w:numId="48">
    <w:abstractNumId w:val="4"/>
  </w:num>
  <w:num w:numId="4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CC"/>
    <w:rsid w:val="0000366A"/>
    <w:rsid w:val="00003FF8"/>
    <w:rsid w:val="00006D48"/>
    <w:rsid w:val="00020ED9"/>
    <w:rsid w:val="00043D63"/>
    <w:rsid w:val="00044A07"/>
    <w:rsid w:val="00046448"/>
    <w:rsid w:val="00057AE4"/>
    <w:rsid w:val="000638B7"/>
    <w:rsid w:val="00064562"/>
    <w:rsid w:val="000652ED"/>
    <w:rsid w:val="00066595"/>
    <w:rsid w:val="00067031"/>
    <w:rsid w:val="00070178"/>
    <w:rsid w:val="00071ED2"/>
    <w:rsid w:val="00086DBD"/>
    <w:rsid w:val="00090047"/>
    <w:rsid w:val="0009727F"/>
    <w:rsid w:val="000A04F1"/>
    <w:rsid w:val="000A5FE4"/>
    <w:rsid w:val="000B04DA"/>
    <w:rsid w:val="000C1DF4"/>
    <w:rsid w:val="000C359C"/>
    <w:rsid w:val="000C63F1"/>
    <w:rsid w:val="000C6A5F"/>
    <w:rsid w:val="000D29E1"/>
    <w:rsid w:val="000D386C"/>
    <w:rsid w:val="000E08E4"/>
    <w:rsid w:val="000E2601"/>
    <w:rsid w:val="000E362E"/>
    <w:rsid w:val="000E37AC"/>
    <w:rsid w:val="000F0FBA"/>
    <w:rsid w:val="000F2720"/>
    <w:rsid w:val="000F4B5B"/>
    <w:rsid w:val="0010124B"/>
    <w:rsid w:val="001014A0"/>
    <w:rsid w:val="00105CEF"/>
    <w:rsid w:val="00106B77"/>
    <w:rsid w:val="001113D7"/>
    <w:rsid w:val="00111949"/>
    <w:rsid w:val="00125A38"/>
    <w:rsid w:val="00127C72"/>
    <w:rsid w:val="00133B21"/>
    <w:rsid w:val="00134979"/>
    <w:rsid w:val="0013580F"/>
    <w:rsid w:val="00142043"/>
    <w:rsid w:val="00144603"/>
    <w:rsid w:val="001506E4"/>
    <w:rsid w:val="001607FB"/>
    <w:rsid w:val="0016101D"/>
    <w:rsid w:val="0016465A"/>
    <w:rsid w:val="001676B6"/>
    <w:rsid w:val="001803CC"/>
    <w:rsid w:val="00181475"/>
    <w:rsid w:val="001850B4"/>
    <w:rsid w:val="00190392"/>
    <w:rsid w:val="0019080C"/>
    <w:rsid w:val="00194A0D"/>
    <w:rsid w:val="001A4525"/>
    <w:rsid w:val="001B2781"/>
    <w:rsid w:val="001B2A68"/>
    <w:rsid w:val="001D6D36"/>
    <w:rsid w:val="001D75B0"/>
    <w:rsid w:val="001E47B4"/>
    <w:rsid w:val="001F20C3"/>
    <w:rsid w:val="001F3149"/>
    <w:rsid w:val="001F3169"/>
    <w:rsid w:val="00202004"/>
    <w:rsid w:val="00202975"/>
    <w:rsid w:val="00202E5C"/>
    <w:rsid w:val="00205DBE"/>
    <w:rsid w:val="00214011"/>
    <w:rsid w:val="00235FCC"/>
    <w:rsid w:val="002429BB"/>
    <w:rsid w:val="00244EEE"/>
    <w:rsid w:val="002450DA"/>
    <w:rsid w:val="00252709"/>
    <w:rsid w:val="002533F0"/>
    <w:rsid w:val="0025534A"/>
    <w:rsid w:val="00273464"/>
    <w:rsid w:val="00274039"/>
    <w:rsid w:val="00274AEF"/>
    <w:rsid w:val="0028208F"/>
    <w:rsid w:val="00292AAB"/>
    <w:rsid w:val="002958C4"/>
    <w:rsid w:val="002A4276"/>
    <w:rsid w:val="002B5FAD"/>
    <w:rsid w:val="002B621B"/>
    <w:rsid w:val="002C4986"/>
    <w:rsid w:val="002C6F0D"/>
    <w:rsid w:val="002C769D"/>
    <w:rsid w:val="002D4156"/>
    <w:rsid w:val="002D7B33"/>
    <w:rsid w:val="002E1CE6"/>
    <w:rsid w:val="002E23E2"/>
    <w:rsid w:val="002E6E0C"/>
    <w:rsid w:val="002F0DF6"/>
    <w:rsid w:val="002F61D0"/>
    <w:rsid w:val="003123C7"/>
    <w:rsid w:val="00315AB8"/>
    <w:rsid w:val="0032006D"/>
    <w:rsid w:val="003215C7"/>
    <w:rsid w:val="00323750"/>
    <w:rsid w:val="00330230"/>
    <w:rsid w:val="00330F14"/>
    <w:rsid w:val="00332317"/>
    <w:rsid w:val="0033684C"/>
    <w:rsid w:val="00340E0D"/>
    <w:rsid w:val="003412BC"/>
    <w:rsid w:val="00341A80"/>
    <w:rsid w:val="0034403B"/>
    <w:rsid w:val="00345AD1"/>
    <w:rsid w:val="00357D51"/>
    <w:rsid w:val="00371258"/>
    <w:rsid w:val="0037485E"/>
    <w:rsid w:val="003749B1"/>
    <w:rsid w:val="00374EF9"/>
    <w:rsid w:val="0038439E"/>
    <w:rsid w:val="003861B5"/>
    <w:rsid w:val="003952ED"/>
    <w:rsid w:val="003A1E37"/>
    <w:rsid w:val="003B121D"/>
    <w:rsid w:val="003B2808"/>
    <w:rsid w:val="003B35B1"/>
    <w:rsid w:val="003B62FE"/>
    <w:rsid w:val="003B6955"/>
    <w:rsid w:val="003C6D5B"/>
    <w:rsid w:val="003D18E2"/>
    <w:rsid w:val="003D2933"/>
    <w:rsid w:val="003E0FDA"/>
    <w:rsid w:val="003E2FB5"/>
    <w:rsid w:val="003E7472"/>
    <w:rsid w:val="00400743"/>
    <w:rsid w:val="0040294F"/>
    <w:rsid w:val="00403015"/>
    <w:rsid w:val="004033BF"/>
    <w:rsid w:val="004044C1"/>
    <w:rsid w:val="004046AC"/>
    <w:rsid w:val="0040543F"/>
    <w:rsid w:val="00405844"/>
    <w:rsid w:val="00410018"/>
    <w:rsid w:val="004171B5"/>
    <w:rsid w:val="00433812"/>
    <w:rsid w:val="00436CD6"/>
    <w:rsid w:val="004446B0"/>
    <w:rsid w:val="00451CB0"/>
    <w:rsid w:val="0045285F"/>
    <w:rsid w:val="0045600E"/>
    <w:rsid w:val="00463F3A"/>
    <w:rsid w:val="004650C3"/>
    <w:rsid w:val="00467B47"/>
    <w:rsid w:val="00475F07"/>
    <w:rsid w:val="004947D1"/>
    <w:rsid w:val="00494BAC"/>
    <w:rsid w:val="00495DA8"/>
    <w:rsid w:val="00497B2B"/>
    <w:rsid w:val="00497F76"/>
    <w:rsid w:val="004A29A2"/>
    <w:rsid w:val="004B2104"/>
    <w:rsid w:val="004B22F3"/>
    <w:rsid w:val="004C0B58"/>
    <w:rsid w:val="004C33F0"/>
    <w:rsid w:val="004C6B22"/>
    <w:rsid w:val="004D111F"/>
    <w:rsid w:val="004D74AC"/>
    <w:rsid w:val="004E2431"/>
    <w:rsid w:val="004E3470"/>
    <w:rsid w:val="004E36F6"/>
    <w:rsid w:val="004E7102"/>
    <w:rsid w:val="004E7C5C"/>
    <w:rsid w:val="004F15FA"/>
    <w:rsid w:val="004F3284"/>
    <w:rsid w:val="004F4518"/>
    <w:rsid w:val="004F6E62"/>
    <w:rsid w:val="00501D43"/>
    <w:rsid w:val="00502485"/>
    <w:rsid w:val="00503E04"/>
    <w:rsid w:val="005103EE"/>
    <w:rsid w:val="00512B40"/>
    <w:rsid w:val="00523F90"/>
    <w:rsid w:val="00524C21"/>
    <w:rsid w:val="00533528"/>
    <w:rsid w:val="00537C58"/>
    <w:rsid w:val="0054474D"/>
    <w:rsid w:val="00546C2E"/>
    <w:rsid w:val="00551512"/>
    <w:rsid w:val="00561652"/>
    <w:rsid w:val="0056788A"/>
    <w:rsid w:val="00573DDE"/>
    <w:rsid w:val="0058322C"/>
    <w:rsid w:val="00587007"/>
    <w:rsid w:val="00587A9D"/>
    <w:rsid w:val="0059211D"/>
    <w:rsid w:val="00592A13"/>
    <w:rsid w:val="00593E35"/>
    <w:rsid w:val="00596451"/>
    <w:rsid w:val="005B3334"/>
    <w:rsid w:val="005B3A17"/>
    <w:rsid w:val="005B513C"/>
    <w:rsid w:val="005C22DB"/>
    <w:rsid w:val="005C390A"/>
    <w:rsid w:val="005D107E"/>
    <w:rsid w:val="005D1F65"/>
    <w:rsid w:val="005E2AF2"/>
    <w:rsid w:val="005E3129"/>
    <w:rsid w:val="005E3ED5"/>
    <w:rsid w:val="005F1227"/>
    <w:rsid w:val="005F2CCC"/>
    <w:rsid w:val="00602CBE"/>
    <w:rsid w:val="0060649A"/>
    <w:rsid w:val="00607993"/>
    <w:rsid w:val="00611E91"/>
    <w:rsid w:val="00612257"/>
    <w:rsid w:val="00616148"/>
    <w:rsid w:val="00624A88"/>
    <w:rsid w:val="0062705E"/>
    <w:rsid w:val="00631685"/>
    <w:rsid w:val="00635BD6"/>
    <w:rsid w:val="00637381"/>
    <w:rsid w:val="00637D93"/>
    <w:rsid w:val="006615E0"/>
    <w:rsid w:val="00663F9B"/>
    <w:rsid w:val="00666A7E"/>
    <w:rsid w:val="00666FD1"/>
    <w:rsid w:val="00681844"/>
    <w:rsid w:val="006824E7"/>
    <w:rsid w:val="00683664"/>
    <w:rsid w:val="006836FC"/>
    <w:rsid w:val="006878B3"/>
    <w:rsid w:val="0069564F"/>
    <w:rsid w:val="006970B3"/>
    <w:rsid w:val="006A3313"/>
    <w:rsid w:val="006A412C"/>
    <w:rsid w:val="006A423A"/>
    <w:rsid w:val="006B7D36"/>
    <w:rsid w:val="006C2BEE"/>
    <w:rsid w:val="006E027B"/>
    <w:rsid w:val="006E34AE"/>
    <w:rsid w:val="006E4D7E"/>
    <w:rsid w:val="006E7D24"/>
    <w:rsid w:val="006F3FC2"/>
    <w:rsid w:val="007013DD"/>
    <w:rsid w:val="00717C75"/>
    <w:rsid w:val="0073222E"/>
    <w:rsid w:val="00736C10"/>
    <w:rsid w:val="00743B2F"/>
    <w:rsid w:val="007537EE"/>
    <w:rsid w:val="00774166"/>
    <w:rsid w:val="00791818"/>
    <w:rsid w:val="007935FA"/>
    <w:rsid w:val="007A2082"/>
    <w:rsid w:val="007A2D49"/>
    <w:rsid w:val="007A5BCB"/>
    <w:rsid w:val="007A6309"/>
    <w:rsid w:val="007B16EE"/>
    <w:rsid w:val="007C589E"/>
    <w:rsid w:val="007D1235"/>
    <w:rsid w:val="007D66FA"/>
    <w:rsid w:val="007E1B5B"/>
    <w:rsid w:val="007E3190"/>
    <w:rsid w:val="007E4C63"/>
    <w:rsid w:val="007E58A4"/>
    <w:rsid w:val="007E6493"/>
    <w:rsid w:val="0080016D"/>
    <w:rsid w:val="00813552"/>
    <w:rsid w:val="008205AC"/>
    <w:rsid w:val="008217E4"/>
    <w:rsid w:val="008324C6"/>
    <w:rsid w:val="008340F6"/>
    <w:rsid w:val="00840399"/>
    <w:rsid w:val="00842B98"/>
    <w:rsid w:val="00856E98"/>
    <w:rsid w:val="00860091"/>
    <w:rsid w:val="00872779"/>
    <w:rsid w:val="008770CF"/>
    <w:rsid w:val="00877300"/>
    <w:rsid w:val="008850A2"/>
    <w:rsid w:val="0088737E"/>
    <w:rsid w:val="00892902"/>
    <w:rsid w:val="008967E4"/>
    <w:rsid w:val="008979FD"/>
    <w:rsid w:val="008A6906"/>
    <w:rsid w:val="008B4B17"/>
    <w:rsid w:val="008B64FB"/>
    <w:rsid w:val="008B7934"/>
    <w:rsid w:val="008C494F"/>
    <w:rsid w:val="008C68B5"/>
    <w:rsid w:val="008D7319"/>
    <w:rsid w:val="008E46F0"/>
    <w:rsid w:val="008E5CCA"/>
    <w:rsid w:val="008F065E"/>
    <w:rsid w:val="008F22E5"/>
    <w:rsid w:val="008F2CC1"/>
    <w:rsid w:val="008F5354"/>
    <w:rsid w:val="008F5E6D"/>
    <w:rsid w:val="008F7AFC"/>
    <w:rsid w:val="009010B1"/>
    <w:rsid w:val="00905E26"/>
    <w:rsid w:val="00911CB2"/>
    <w:rsid w:val="00911D94"/>
    <w:rsid w:val="0091246E"/>
    <w:rsid w:val="009137A7"/>
    <w:rsid w:val="00925B42"/>
    <w:rsid w:val="009344C6"/>
    <w:rsid w:val="0093542C"/>
    <w:rsid w:val="00936511"/>
    <w:rsid w:val="009376EF"/>
    <w:rsid w:val="009401AC"/>
    <w:rsid w:val="00960B57"/>
    <w:rsid w:val="009629F3"/>
    <w:rsid w:val="00967F90"/>
    <w:rsid w:val="00972C87"/>
    <w:rsid w:val="00973C4D"/>
    <w:rsid w:val="009742D2"/>
    <w:rsid w:val="009943AB"/>
    <w:rsid w:val="009B0B6A"/>
    <w:rsid w:val="009B1521"/>
    <w:rsid w:val="009C10C3"/>
    <w:rsid w:val="009C14E2"/>
    <w:rsid w:val="009D2725"/>
    <w:rsid w:val="009D2FB8"/>
    <w:rsid w:val="009D7631"/>
    <w:rsid w:val="009E226F"/>
    <w:rsid w:val="009F0C25"/>
    <w:rsid w:val="00A05A24"/>
    <w:rsid w:val="00A07A1B"/>
    <w:rsid w:val="00A12742"/>
    <w:rsid w:val="00A1424A"/>
    <w:rsid w:val="00A15574"/>
    <w:rsid w:val="00A23753"/>
    <w:rsid w:val="00A31EED"/>
    <w:rsid w:val="00A32E18"/>
    <w:rsid w:val="00A36146"/>
    <w:rsid w:val="00A40015"/>
    <w:rsid w:val="00A4303F"/>
    <w:rsid w:val="00A43770"/>
    <w:rsid w:val="00A46F23"/>
    <w:rsid w:val="00A50448"/>
    <w:rsid w:val="00A56A14"/>
    <w:rsid w:val="00A62DFC"/>
    <w:rsid w:val="00A63C9F"/>
    <w:rsid w:val="00A7186B"/>
    <w:rsid w:val="00A71FA8"/>
    <w:rsid w:val="00A73C8E"/>
    <w:rsid w:val="00A73E58"/>
    <w:rsid w:val="00A82E86"/>
    <w:rsid w:val="00A83A49"/>
    <w:rsid w:val="00A9000B"/>
    <w:rsid w:val="00A946A9"/>
    <w:rsid w:val="00A95312"/>
    <w:rsid w:val="00AA0A3E"/>
    <w:rsid w:val="00AB098D"/>
    <w:rsid w:val="00AB27F9"/>
    <w:rsid w:val="00AC17ED"/>
    <w:rsid w:val="00AC229B"/>
    <w:rsid w:val="00AC7EC8"/>
    <w:rsid w:val="00AD0B0A"/>
    <w:rsid w:val="00AD3FD7"/>
    <w:rsid w:val="00AD5F7F"/>
    <w:rsid w:val="00AD7ACB"/>
    <w:rsid w:val="00AE0C8C"/>
    <w:rsid w:val="00AF0936"/>
    <w:rsid w:val="00AF490F"/>
    <w:rsid w:val="00AF59B6"/>
    <w:rsid w:val="00B0049B"/>
    <w:rsid w:val="00B00BC8"/>
    <w:rsid w:val="00B0742B"/>
    <w:rsid w:val="00B11DDC"/>
    <w:rsid w:val="00B13C89"/>
    <w:rsid w:val="00B148E4"/>
    <w:rsid w:val="00B14AD9"/>
    <w:rsid w:val="00B206C4"/>
    <w:rsid w:val="00B2517A"/>
    <w:rsid w:val="00B26E4B"/>
    <w:rsid w:val="00B3355E"/>
    <w:rsid w:val="00B33C57"/>
    <w:rsid w:val="00B52AF2"/>
    <w:rsid w:val="00B67D04"/>
    <w:rsid w:val="00B71DEB"/>
    <w:rsid w:val="00B821D4"/>
    <w:rsid w:val="00B842F5"/>
    <w:rsid w:val="00B8655E"/>
    <w:rsid w:val="00B90991"/>
    <w:rsid w:val="00B9339B"/>
    <w:rsid w:val="00B94A6B"/>
    <w:rsid w:val="00B97961"/>
    <w:rsid w:val="00BA1ACC"/>
    <w:rsid w:val="00BA4FF9"/>
    <w:rsid w:val="00BA602C"/>
    <w:rsid w:val="00BB25C4"/>
    <w:rsid w:val="00BB26EF"/>
    <w:rsid w:val="00BB59AA"/>
    <w:rsid w:val="00BC0280"/>
    <w:rsid w:val="00BC3DEA"/>
    <w:rsid w:val="00BC481D"/>
    <w:rsid w:val="00BD0563"/>
    <w:rsid w:val="00BD353A"/>
    <w:rsid w:val="00BD79E5"/>
    <w:rsid w:val="00BE15EC"/>
    <w:rsid w:val="00BF0029"/>
    <w:rsid w:val="00C00C46"/>
    <w:rsid w:val="00C02BFF"/>
    <w:rsid w:val="00C11D0C"/>
    <w:rsid w:val="00C14135"/>
    <w:rsid w:val="00C17BCE"/>
    <w:rsid w:val="00C2298B"/>
    <w:rsid w:val="00C24A7A"/>
    <w:rsid w:val="00C36E87"/>
    <w:rsid w:val="00C423F4"/>
    <w:rsid w:val="00C46495"/>
    <w:rsid w:val="00C46A9A"/>
    <w:rsid w:val="00C51199"/>
    <w:rsid w:val="00C538CC"/>
    <w:rsid w:val="00C56962"/>
    <w:rsid w:val="00C62ACD"/>
    <w:rsid w:val="00C6446B"/>
    <w:rsid w:val="00C72D97"/>
    <w:rsid w:val="00C81AF7"/>
    <w:rsid w:val="00C9231F"/>
    <w:rsid w:val="00C93D9E"/>
    <w:rsid w:val="00CA1E63"/>
    <w:rsid w:val="00CC3FFC"/>
    <w:rsid w:val="00CC7FFE"/>
    <w:rsid w:val="00CD404B"/>
    <w:rsid w:val="00CD6F15"/>
    <w:rsid w:val="00CE3415"/>
    <w:rsid w:val="00CE3D01"/>
    <w:rsid w:val="00CE60A1"/>
    <w:rsid w:val="00CE63BE"/>
    <w:rsid w:val="00CE67AD"/>
    <w:rsid w:val="00CF3B06"/>
    <w:rsid w:val="00D048A5"/>
    <w:rsid w:val="00D05610"/>
    <w:rsid w:val="00D13A87"/>
    <w:rsid w:val="00D27F43"/>
    <w:rsid w:val="00D32399"/>
    <w:rsid w:val="00D3277B"/>
    <w:rsid w:val="00D363DC"/>
    <w:rsid w:val="00D4201B"/>
    <w:rsid w:val="00D6528F"/>
    <w:rsid w:val="00D72DD8"/>
    <w:rsid w:val="00D732AF"/>
    <w:rsid w:val="00D7342F"/>
    <w:rsid w:val="00D7578E"/>
    <w:rsid w:val="00D8198B"/>
    <w:rsid w:val="00D863C9"/>
    <w:rsid w:val="00D964E9"/>
    <w:rsid w:val="00DA0189"/>
    <w:rsid w:val="00DA096D"/>
    <w:rsid w:val="00DA3C19"/>
    <w:rsid w:val="00DA57D3"/>
    <w:rsid w:val="00DA7E1A"/>
    <w:rsid w:val="00DB2A3D"/>
    <w:rsid w:val="00DB5915"/>
    <w:rsid w:val="00DC0961"/>
    <w:rsid w:val="00DC1F8D"/>
    <w:rsid w:val="00DC36EB"/>
    <w:rsid w:val="00DC5A09"/>
    <w:rsid w:val="00DC6E83"/>
    <w:rsid w:val="00DC7AC2"/>
    <w:rsid w:val="00DD4C94"/>
    <w:rsid w:val="00DE7C28"/>
    <w:rsid w:val="00DF4831"/>
    <w:rsid w:val="00DF6D17"/>
    <w:rsid w:val="00E06D4C"/>
    <w:rsid w:val="00E06D67"/>
    <w:rsid w:val="00E10583"/>
    <w:rsid w:val="00E151A0"/>
    <w:rsid w:val="00E167D9"/>
    <w:rsid w:val="00E22203"/>
    <w:rsid w:val="00E2399E"/>
    <w:rsid w:val="00E32352"/>
    <w:rsid w:val="00E33B6F"/>
    <w:rsid w:val="00E402C2"/>
    <w:rsid w:val="00E403BA"/>
    <w:rsid w:val="00E46CCA"/>
    <w:rsid w:val="00E47350"/>
    <w:rsid w:val="00E601F8"/>
    <w:rsid w:val="00E64EE0"/>
    <w:rsid w:val="00E65E59"/>
    <w:rsid w:val="00E73829"/>
    <w:rsid w:val="00E73934"/>
    <w:rsid w:val="00E8678A"/>
    <w:rsid w:val="00E86F40"/>
    <w:rsid w:val="00E944DC"/>
    <w:rsid w:val="00E974A6"/>
    <w:rsid w:val="00EA5329"/>
    <w:rsid w:val="00EA6181"/>
    <w:rsid w:val="00EB1522"/>
    <w:rsid w:val="00EB2C3E"/>
    <w:rsid w:val="00EB3B8C"/>
    <w:rsid w:val="00EC1178"/>
    <w:rsid w:val="00EC55E6"/>
    <w:rsid w:val="00ED0D64"/>
    <w:rsid w:val="00ED295F"/>
    <w:rsid w:val="00ED4AEB"/>
    <w:rsid w:val="00ED60EC"/>
    <w:rsid w:val="00EE2EF8"/>
    <w:rsid w:val="00EE3963"/>
    <w:rsid w:val="00EE3A19"/>
    <w:rsid w:val="00EE573C"/>
    <w:rsid w:val="00EF394B"/>
    <w:rsid w:val="00EF5DAF"/>
    <w:rsid w:val="00EF6D72"/>
    <w:rsid w:val="00F00E6D"/>
    <w:rsid w:val="00F105AC"/>
    <w:rsid w:val="00F23488"/>
    <w:rsid w:val="00F2588C"/>
    <w:rsid w:val="00F26590"/>
    <w:rsid w:val="00F31E30"/>
    <w:rsid w:val="00F51A80"/>
    <w:rsid w:val="00F55653"/>
    <w:rsid w:val="00F557CB"/>
    <w:rsid w:val="00F573B5"/>
    <w:rsid w:val="00F66106"/>
    <w:rsid w:val="00F77208"/>
    <w:rsid w:val="00F77723"/>
    <w:rsid w:val="00F77D9C"/>
    <w:rsid w:val="00F8218D"/>
    <w:rsid w:val="00F94F7D"/>
    <w:rsid w:val="00FA1039"/>
    <w:rsid w:val="00FA137B"/>
    <w:rsid w:val="00FA37A8"/>
    <w:rsid w:val="00FA64BA"/>
    <w:rsid w:val="00FB1516"/>
    <w:rsid w:val="00FB48B9"/>
    <w:rsid w:val="00FC11E0"/>
    <w:rsid w:val="00FD21CA"/>
    <w:rsid w:val="00FE2A0E"/>
    <w:rsid w:val="00FE638A"/>
    <w:rsid w:val="00FF3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toc 1" w:uiPriority="39"/>
    <w:lsdException w:name="toc 2" w:uiPriority="39"/>
    <w:lsdException w:name="toc 3" w:uiPriority="39"/>
    <w:lsdException w:name="footer"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1803CC"/>
    <w:pPr>
      <w:spacing w:after="120" w:line="360" w:lineRule="auto"/>
    </w:pPr>
    <w:rPr>
      <w:rFonts w:ascii="Arial" w:hAnsi="Arial" w:cs="Arial"/>
      <w:sz w:val="22"/>
      <w:szCs w:val="24"/>
      <w:lang w:eastAsia="en-US"/>
    </w:rPr>
  </w:style>
  <w:style w:type="paragraph" w:styleId="Heading1">
    <w:name w:val="heading 1"/>
    <w:basedOn w:val="Normal"/>
    <w:next w:val="Normal"/>
    <w:link w:val="Heading1Char"/>
    <w:autoRedefine/>
    <w:uiPriority w:val="9"/>
    <w:qFormat/>
    <w:rsid w:val="007C589E"/>
    <w:pPr>
      <w:keepNext/>
      <w:keepLines/>
      <w:spacing w:before="240" w:after="0"/>
      <w:outlineLvl w:val="0"/>
    </w:pPr>
    <w:rPr>
      <w:color w:val="0194A6"/>
      <w:sz w:val="44"/>
      <w:szCs w:val="26"/>
    </w:rPr>
  </w:style>
  <w:style w:type="paragraph" w:styleId="Heading2">
    <w:name w:val="heading 2"/>
    <w:basedOn w:val="Heading1"/>
    <w:next w:val="Normal"/>
    <w:link w:val="Heading2Char"/>
    <w:autoRedefine/>
    <w:uiPriority w:val="9"/>
    <w:qFormat/>
    <w:rsid w:val="00A46F23"/>
    <w:pPr>
      <w:numPr>
        <w:ilvl w:val="1"/>
      </w:numPr>
      <w:spacing w:before="180"/>
      <w:outlineLvl w:val="1"/>
    </w:pPr>
    <w:rPr>
      <w:sz w:val="40"/>
      <w:szCs w:val="24"/>
    </w:rPr>
  </w:style>
  <w:style w:type="paragraph" w:styleId="Heading3">
    <w:name w:val="heading 3"/>
    <w:basedOn w:val="Heading2"/>
    <w:next w:val="Normal"/>
    <w:link w:val="Heading3Char"/>
    <w:autoRedefine/>
    <w:uiPriority w:val="9"/>
    <w:qFormat/>
    <w:rsid w:val="007C589E"/>
    <w:pPr>
      <w:numPr>
        <w:ilvl w:val="2"/>
      </w:numPr>
      <w:spacing w:before="0"/>
      <w:outlineLvl w:val="2"/>
    </w:pPr>
    <w:rPr>
      <w:rFonts w:eastAsia="Calibri"/>
      <w:color w:val="41C3C0"/>
      <w:sz w:val="22"/>
      <w14:textFill>
        <w14:solidFill>
          <w14:srgbClr w14:val="41C3C0">
            <w14:lumMod w14:val="75000"/>
          </w14:srgbClr>
        </w14:solidFill>
      </w14:textFill>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C589E"/>
    <w:rPr>
      <w:rFonts w:ascii="Arial" w:hAnsi="Arial" w:cs="Arial"/>
      <w:color w:val="0194A6"/>
      <w:sz w:val="44"/>
      <w:szCs w:val="26"/>
      <w:lang w:eastAsia="en-US"/>
    </w:rPr>
  </w:style>
  <w:style w:type="character" w:customStyle="1" w:styleId="Heading2Char">
    <w:name w:val="Heading 2 Char"/>
    <w:basedOn w:val="DefaultParagraphFont"/>
    <w:link w:val="Heading2"/>
    <w:uiPriority w:val="9"/>
    <w:locked/>
    <w:rsid w:val="00A46F23"/>
    <w:rPr>
      <w:rFonts w:ascii="Helvetica" w:hAnsi="Helvetica" w:cs="Arial"/>
      <w:color w:val="0194A6"/>
      <w:sz w:val="40"/>
      <w:szCs w:val="24"/>
      <w:lang w:eastAsia="en-US"/>
    </w:rPr>
  </w:style>
  <w:style w:type="character" w:customStyle="1" w:styleId="Heading3Char">
    <w:name w:val="Heading 3 Char"/>
    <w:basedOn w:val="DefaultParagraphFont"/>
    <w:link w:val="Heading3"/>
    <w:uiPriority w:val="9"/>
    <w:locked/>
    <w:rsid w:val="007C589E"/>
    <w:rPr>
      <w:rFonts w:ascii="Arial" w:eastAsia="Calibri" w:hAnsi="Arial" w:cs="Arial"/>
      <w:color w:val="41C3C0"/>
      <w:sz w:val="22"/>
      <w:szCs w:val="24"/>
      <w:lang w:eastAsia="en-US"/>
      <w14:textFill>
        <w14:solidFill>
          <w14:srgbClr w14:val="41C3C0">
            <w14:lumMod w14:val="75000"/>
          </w14:srgbClr>
        </w14:solidFill>
      </w14:textFill>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rsid w:val="007B16EE"/>
  </w:style>
  <w:style w:type="character" w:customStyle="1" w:styleId="FootnoteTextChar">
    <w:name w:val="Footnote Text Char"/>
    <w:basedOn w:val="DefaultParagraphFont"/>
    <w:link w:val="FootnoteText"/>
    <w:locked/>
    <w:rsid w:val="007B16EE"/>
    <w:rPr>
      <w:rFonts w:ascii="Arial" w:hAnsi="Arial" w:cs="Times New Roman"/>
      <w:lang w:val="x-none" w:eastAsia="en-US"/>
    </w:rPr>
  </w:style>
  <w:style w:type="character" w:styleId="FootnoteReference">
    <w:name w:val="footnote reference"/>
    <w:basedOn w:val="DefaultParagraphFont"/>
    <w:rsid w:val="007B16EE"/>
    <w:rPr>
      <w:rFonts w:cs="Times New Roman"/>
      <w:vertAlign w:val="superscript"/>
    </w:rPr>
  </w:style>
  <w:style w:type="numbering" w:customStyle="1" w:styleId="Numberletterbullets">
    <w:name w:val="Number/letter bullets"/>
    <w:pPr>
      <w:numPr>
        <w:numId w:val="6"/>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602CBE"/>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602CBE"/>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BC3DEA"/>
    <w:pPr>
      <w:spacing w:after="28" w:line="320" w:lineRule="exact"/>
      <w:ind w:left="2160"/>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toc 1" w:uiPriority="39"/>
    <w:lsdException w:name="toc 2" w:uiPriority="39"/>
    <w:lsdException w:name="toc 3" w:uiPriority="39"/>
    <w:lsdException w:name="footer"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1803CC"/>
    <w:pPr>
      <w:spacing w:after="120" w:line="360" w:lineRule="auto"/>
    </w:pPr>
    <w:rPr>
      <w:rFonts w:ascii="Arial" w:hAnsi="Arial" w:cs="Arial"/>
      <w:sz w:val="22"/>
      <w:szCs w:val="24"/>
      <w:lang w:eastAsia="en-US"/>
    </w:rPr>
  </w:style>
  <w:style w:type="paragraph" w:styleId="Heading1">
    <w:name w:val="heading 1"/>
    <w:basedOn w:val="Normal"/>
    <w:next w:val="Normal"/>
    <w:link w:val="Heading1Char"/>
    <w:autoRedefine/>
    <w:uiPriority w:val="9"/>
    <w:qFormat/>
    <w:rsid w:val="007C589E"/>
    <w:pPr>
      <w:keepNext/>
      <w:keepLines/>
      <w:spacing w:before="240" w:after="0"/>
      <w:outlineLvl w:val="0"/>
    </w:pPr>
    <w:rPr>
      <w:color w:val="0194A6"/>
      <w:sz w:val="44"/>
      <w:szCs w:val="26"/>
    </w:rPr>
  </w:style>
  <w:style w:type="paragraph" w:styleId="Heading2">
    <w:name w:val="heading 2"/>
    <w:basedOn w:val="Heading1"/>
    <w:next w:val="Normal"/>
    <w:link w:val="Heading2Char"/>
    <w:autoRedefine/>
    <w:uiPriority w:val="9"/>
    <w:qFormat/>
    <w:rsid w:val="00A46F23"/>
    <w:pPr>
      <w:numPr>
        <w:ilvl w:val="1"/>
      </w:numPr>
      <w:spacing w:before="180"/>
      <w:outlineLvl w:val="1"/>
    </w:pPr>
    <w:rPr>
      <w:sz w:val="40"/>
      <w:szCs w:val="24"/>
    </w:rPr>
  </w:style>
  <w:style w:type="paragraph" w:styleId="Heading3">
    <w:name w:val="heading 3"/>
    <w:basedOn w:val="Heading2"/>
    <w:next w:val="Normal"/>
    <w:link w:val="Heading3Char"/>
    <w:autoRedefine/>
    <w:uiPriority w:val="9"/>
    <w:qFormat/>
    <w:rsid w:val="007C589E"/>
    <w:pPr>
      <w:numPr>
        <w:ilvl w:val="2"/>
      </w:numPr>
      <w:spacing w:before="0"/>
      <w:outlineLvl w:val="2"/>
    </w:pPr>
    <w:rPr>
      <w:rFonts w:eastAsia="Calibri"/>
      <w:color w:val="41C3C0"/>
      <w:sz w:val="22"/>
      <w14:textFill>
        <w14:solidFill>
          <w14:srgbClr w14:val="41C3C0">
            <w14:lumMod w14:val="75000"/>
          </w14:srgbClr>
        </w14:solidFill>
      </w14:textFill>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C589E"/>
    <w:rPr>
      <w:rFonts w:ascii="Arial" w:hAnsi="Arial" w:cs="Arial"/>
      <w:color w:val="0194A6"/>
      <w:sz w:val="44"/>
      <w:szCs w:val="26"/>
      <w:lang w:eastAsia="en-US"/>
    </w:rPr>
  </w:style>
  <w:style w:type="character" w:customStyle="1" w:styleId="Heading2Char">
    <w:name w:val="Heading 2 Char"/>
    <w:basedOn w:val="DefaultParagraphFont"/>
    <w:link w:val="Heading2"/>
    <w:uiPriority w:val="9"/>
    <w:locked/>
    <w:rsid w:val="00A46F23"/>
    <w:rPr>
      <w:rFonts w:ascii="Helvetica" w:hAnsi="Helvetica" w:cs="Arial"/>
      <w:color w:val="0194A6"/>
      <w:sz w:val="40"/>
      <w:szCs w:val="24"/>
      <w:lang w:eastAsia="en-US"/>
    </w:rPr>
  </w:style>
  <w:style w:type="character" w:customStyle="1" w:styleId="Heading3Char">
    <w:name w:val="Heading 3 Char"/>
    <w:basedOn w:val="DefaultParagraphFont"/>
    <w:link w:val="Heading3"/>
    <w:uiPriority w:val="9"/>
    <w:locked/>
    <w:rsid w:val="007C589E"/>
    <w:rPr>
      <w:rFonts w:ascii="Arial" w:eastAsia="Calibri" w:hAnsi="Arial" w:cs="Arial"/>
      <w:color w:val="41C3C0"/>
      <w:sz w:val="22"/>
      <w:szCs w:val="24"/>
      <w:lang w:eastAsia="en-US"/>
      <w14:textFill>
        <w14:solidFill>
          <w14:srgbClr w14:val="41C3C0">
            <w14:lumMod w14:val="75000"/>
          </w14:srgbClr>
        </w14:solidFill>
      </w14:textFill>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rsid w:val="007B16EE"/>
  </w:style>
  <w:style w:type="character" w:customStyle="1" w:styleId="FootnoteTextChar">
    <w:name w:val="Footnote Text Char"/>
    <w:basedOn w:val="DefaultParagraphFont"/>
    <w:link w:val="FootnoteText"/>
    <w:locked/>
    <w:rsid w:val="007B16EE"/>
    <w:rPr>
      <w:rFonts w:ascii="Arial" w:hAnsi="Arial" w:cs="Times New Roman"/>
      <w:lang w:val="x-none" w:eastAsia="en-US"/>
    </w:rPr>
  </w:style>
  <w:style w:type="character" w:styleId="FootnoteReference">
    <w:name w:val="footnote reference"/>
    <w:basedOn w:val="DefaultParagraphFont"/>
    <w:rsid w:val="007B16EE"/>
    <w:rPr>
      <w:rFonts w:cs="Times New Roman"/>
      <w:vertAlign w:val="superscript"/>
    </w:rPr>
  </w:style>
  <w:style w:type="numbering" w:customStyle="1" w:styleId="Numberletterbullets">
    <w:name w:val="Number/letter bullets"/>
    <w:pPr>
      <w:numPr>
        <w:numId w:val="6"/>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602CBE"/>
    <w:pPr>
      <w:framePr w:w="4820" w:wrap="around" w:vAnchor="page" w:hAnchor="text" w:x="5388" w:y="795"/>
      <w:spacing w:before="4440" w:after="2400" w:line="480" w:lineRule="auto"/>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602CBE"/>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BC3DEA"/>
    <w:pPr>
      <w:spacing w:after="28" w:line="320" w:lineRule="exact"/>
      <w:ind w:left="2160"/>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fairwork.gov.au/my-account/registerpage.aspx" TargetMode="External"/><Relationship Id="rId26" Type="http://schemas.openxmlformats.org/officeDocument/2006/relationships/hyperlink" Target="mailto:Lynda.McAlary-Smith@fwo.gov.au"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fairwork.gov.au/find-help-for/small-business/hiring-employees" TargetMode="External"/><Relationship Id="rId25" Type="http://schemas.openxmlformats.org/officeDocument/2006/relationships/hyperlink" Target="mailto:media@fwo.gov.au" TargetMode="External"/><Relationship Id="rId2" Type="http://schemas.openxmlformats.org/officeDocument/2006/relationships/customXml" Target="../customXml/item2.xml"/><Relationship Id="rId16" Type="http://schemas.openxmlformats.org/officeDocument/2006/relationships/hyperlink" Target="https://www.fairwork.gov.au/pay"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irwork.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hyperlink" Target="http://www.fairwork.gov.au/"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fairwork.gov.au/how-we-will-help/online-train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8E3536F771B60346AEB08A61C8108DD0" ma:contentTypeVersion="21" ma:contentTypeDescription="Document with BCS Classification" ma:contentTypeScope="" ma:versionID="6d049b5978a3e2ae607b1a580841f30a">
  <xsd:schema xmlns:xsd="http://www.w3.org/2001/XMLSchema" xmlns:xs="http://www.w3.org/2001/XMLSchema" xmlns:p="http://schemas.microsoft.com/office/2006/metadata/properties" xmlns:ns2="362BCB30-77B3-4428-A659-13996BD883F4" xmlns:ns3="289aa9ee-b1f4-4122-a062-0e87d672a6e7" targetNamespace="http://schemas.microsoft.com/office/2006/metadata/properties" ma:root="true" ma:fieldsID="d0c1a1c0c26a155d3f709a8982708a96" ns2:_="" ns3:_="">
    <xsd:import namespace="362BCB30-77B3-4428-A659-13996BD883F4"/>
    <xsd:import namespace="289aa9ee-b1f4-4122-a062-0e87d672a6e7"/>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BCB30-77B3-4428-A659-13996BD883F4"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WO_DocumentTopicTaxHTField0 xmlns="362BCB30-77B3-4428-A659-13996BD883F4">
      <Terms xmlns="http://schemas.microsoft.com/office/infopath/2007/PartnerControls">
        <TermInfo xmlns="http://schemas.microsoft.com/office/infopath/2007/PartnerControls">
          <TermName xmlns="http://schemas.microsoft.com/office/infopath/2007/PartnerControls">Campaign report</TermName>
          <TermId xmlns="http://schemas.microsoft.com/office/infopath/2007/PartnerControls">9500137e-a308-4ee0-813c-0512049884a9</TermId>
        </TermInfo>
      </Terms>
    </FWO_DocumentTopicTaxHTField0>
    <FWO_BCSTaxHTField0 xmlns="362BCB30-77B3-4428-A659-13996BD883F4">
      <Terms xmlns="http://schemas.microsoft.com/office/infopath/2007/PartnerControls">
        <TermInfo xmlns="http://schemas.microsoft.com/office/infopath/2007/PartnerControls">
          <TermName xmlns="http://schemas.microsoft.com/office/infopath/2007/PartnerControls">Branding</TermName>
          <TermId xmlns="http://schemas.microsoft.com/office/infopath/2007/PartnerControls">5e2683f1-7e62-437c-8ebf-c067380b8dc7</TermId>
        </TermInfo>
      </Terms>
    </FWO_BCSTaxHTField0>
    <FWO_EnterpriseKeywordTaxHTField0 xmlns="362BCB30-77B3-4428-A659-13996BD883F4">
      <Terms xmlns="http://schemas.microsoft.com/office/infopath/2007/PartnerControls"/>
    </FWO_EnterpriseKeywordTaxHTField0>
    <FWO_DOCStatus xmlns="362BCB30-77B3-4428-A659-13996BD883F4">Draft</FWO_DOCStatus>
    <FWO_DocSecurityClassification xmlns="362BCB30-77B3-4428-A659-13996BD883F4">Unclassified</FWO_DocSecurityClassification>
    <TaxCatchAll xmlns="289aa9ee-b1f4-4122-a062-0e87d672a6e7">
      <Value>14</Value>
      <Value>90</Value>
    </TaxCatchAll>
    <FWO_TRIM_SecurityClassification xmlns="362BCB30-77B3-4428-A659-13996BD883F4">Unclassified</FWO_TRIM_SecurityClassification>
    <FWO_TRIM_DLM xmlns="362BCB30-77B3-4428-A659-13996BD883F4" xsi:nil="true"/>
    <_dlc_DocId xmlns="289aa9ee-b1f4-4122-a062-0e87d672a6e7">DB-700518</_dlc_DocId>
    <_dlc_DocIdUrl xmlns="289aa9ee-b1f4-4122-a062-0e87d672a6e7">
      <Url>http://fwocollaboration.hosts.network/sites/b4/targeted-campaigns/_layouts/DocIdRedir.aspx?ID=DB-700518</Url>
      <Description>DB-700518</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EAE5-ED57-4D0E-AB28-567E962D3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BCB30-77B3-4428-A659-13996BD883F4"/>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A4267-6970-4A39-8457-B423B0D972C0}">
  <ds:schemaRefs>
    <ds:schemaRef ds:uri="289aa9ee-b1f4-4122-a062-0e87d672a6e7"/>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362BCB30-77B3-4428-A659-13996BD883F4"/>
    <ds:schemaRef ds:uri="http://www.w3.org/XML/1998/namespace"/>
  </ds:schemaRefs>
</ds:datastoreItem>
</file>

<file path=customXml/itemProps3.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4.xml><?xml version="1.0" encoding="utf-8"?>
<ds:datastoreItem xmlns:ds="http://schemas.openxmlformats.org/officeDocument/2006/customXml" ds:itemID="{B4B5ABFB-4196-49DB-B720-D9B340EBA0B0}">
  <ds:schemaRefs>
    <ds:schemaRef ds:uri="http://schemas.microsoft.com/sharepoint/v3/contenttype/forms"/>
  </ds:schemaRefs>
</ds:datastoreItem>
</file>

<file path=customXml/itemProps5.xml><?xml version="1.0" encoding="utf-8"?>
<ds:datastoreItem xmlns:ds="http://schemas.openxmlformats.org/officeDocument/2006/customXml" ds:itemID="{9E19FE70-5C00-41BD-86B6-BA8ACE60457A}">
  <ds:schemaRefs>
    <ds:schemaRef ds:uri="http://schemas.microsoft.com/sharepoint/events"/>
  </ds:schemaRefs>
</ds:datastoreItem>
</file>

<file path=customXml/itemProps6.xml><?xml version="1.0" encoding="utf-8"?>
<ds:datastoreItem xmlns:ds="http://schemas.openxmlformats.org/officeDocument/2006/customXml" ds:itemID="{7D56C8AF-7AB9-4781-8E0F-4F3E9637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D3B3072D.dotm</Template>
  <TotalTime>1</TotalTime>
  <Pages>9</Pages>
  <Words>1196</Words>
  <Characters>7846</Characters>
  <Application>Microsoft Office Word</Application>
  <DocSecurity>4</DocSecurity>
  <Lines>174</Lines>
  <Paragraphs>103</Paragraphs>
  <ScaleCrop>false</ScaleCrop>
  <HeadingPairs>
    <vt:vector size="2" baseType="variant">
      <vt:variant>
        <vt:lpstr>Title</vt:lpstr>
      </vt:variant>
      <vt:variant>
        <vt:i4>1</vt:i4>
      </vt:variant>
    </vt:vector>
  </HeadingPairs>
  <TitlesOfParts>
    <vt:vector size="1" baseType="lpstr">
      <vt:lpstr>WA Gascoyne Mid-West Regional Campaign Report</vt:lpstr>
    </vt:vector>
  </TitlesOfParts>
  <Company>Fair Work Ombudsman</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Gascoyne Mid-West Regional Campaign Report</dc:title>
  <dc:subject>WA Gascoyne Mid-West Regional Campaign Report</dc:subject>
  <dc:creator>Fair Work Ombudsman</dc:creator>
  <cp:lastModifiedBy>Kristiena Psalti</cp:lastModifiedBy>
  <cp:revision>2</cp:revision>
  <cp:lastPrinted>2015-02-04T01:16:00Z</cp:lastPrinted>
  <dcterms:created xsi:type="dcterms:W3CDTF">2016-06-15T00:26:00Z</dcterms:created>
  <dcterms:modified xsi:type="dcterms:W3CDTF">2016-06-15T00:26:00Z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0x010100B2AA788ECC3F4F3EBCB0F00CED0A3A70008E3536F771B60346AEB08A61C8108DD0</vt:lpwstr>
  </property>
  <property fmtid="{D5CDD505-2E9C-101B-9397-08002B2CF9AE}" pid="7" name="Order">
    <vt:r8>61500</vt:r8>
  </property>
  <property fmtid="{D5CDD505-2E9C-101B-9397-08002B2CF9AE}" pid="8" name="Topic">
    <vt:lpwstr>Other</vt:lpwstr>
  </property>
  <property fmtid="{D5CDD505-2E9C-101B-9397-08002B2CF9AE}" pid="9" name="Document Type">
    <vt:lpwstr>Other</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Title">
    <vt:lpwstr>Document template - with title page</vt:lpwstr>
  </property>
  <property fmtid="{D5CDD505-2E9C-101B-9397-08002B2CF9AE}" pid="14" name="FWO_DocumentTopicTaxHTField0">
    <vt:lpwstr>Campaign report|9500137e-a308-4ee0-813c-0512049884a9</vt:lpwstr>
  </property>
  <property fmtid="{D5CDD505-2E9C-101B-9397-08002B2CF9AE}" pid="15" name="FWO_DocumentTopic">
    <vt:lpwstr>90;#Campaign report|9500137e-a308-4ee0-813c-0512049884a9</vt:lpwstr>
  </property>
  <property fmtid="{D5CDD505-2E9C-101B-9397-08002B2CF9AE}" pid="16" name="FWO_BCSTaxHTField0">
    <vt:lpwstr>Projects|aee93119-2e00-4848-a07d-951554e11976</vt:lpwstr>
  </property>
  <property fmtid="{D5CDD505-2E9C-101B-9397-08002B2CF9AE}" pid="17" name="FWO_BCS">
    <vt:lpwstr>14;#Branding|5e2683f1-7e62-437c-8ebf-c067380b8dc7</vt:lpwstr>
  </property>
  <property fmtid="{D5CDD505-2E9C-101B-9397-08002B2CF9AE}" pid="18" name="FWO_EnterpriseKeywordTaxHTField0">
    <vt:lpwstr/>
  </property>
  <property fmtid="{D5CDD505-2E9C-101B-9397-08002B2CF9AE}" pid="19" name="FWO_EnterpriseKeyword">
    <vt:lpwstr/>
  </property>
  <property fmtid="{D5CDD505-2E9C-101B-9397-08002B2CF9AE}" pid="20" name="FWO_DOCStatus">
    <vt:lpwstr>Draft</vt:lpwstr>
  </property>
  <property fmtid="{D5CDD505-2E9C-101B-9397-08002B2CF9AE}" pid="21" name="FWO_DocSecurityClassification">
    <vt:lpwstr>Unclassified</vt:lpwstr>
  </property>
  <property fmtid="{D5CDD505-2E9C-101B-9397-08002B2CF9AE}" pid="22" name="TaxCatchAll">
    <vt:lpwstr/>
  </property>
  <property fmtid="{D5CDD505-2E9C-101B-9397-08002B2CF9AE}" pid="23" name="FWO_TRIM_SecurityClassification">
    <vt:lpwstr>Unclassified</vt:lpwstr>
  </property>
  <property fmtid="{D5CDD505-2E9C-101B-9397-08002B2CF9AE}" pid="24" name="FWO_TRIM_DLM">
    <vt:lpwstr/>
  </property>
  <property fmtid="{D5CDD505-2E9C-101B-9397-08002B2CF9AE}" pid="25" name="mvRef">
    <vt:lpwstr>Resources, tools &amp; templates:DB-700518/0.1a</vt:lpwstr>
  </property>
  <property fmtid="{D5CDD505-2E9C-101B-9397-08002B2CF9AE}" pid="26" name="_dlc_DocIdItemGuid">
    <vt:lpwstr>cad02f3e-a9b7-4a56-b0ec-d31ad71d314c</vt:lpwstr>
  </property>
</Properties>
</file>