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930A" w14:textId="77777777" w:rsidR="00671FE2" w:rsidRDefault="00671FE2" w:rsidP="00B40CB8">
      <w:pPr>
        <w:pStyle w:val="Heading1"/>
      </w:pPr>
      <w:bookmarkStart w:id="0" w:name="_GoBack"/>
      <w:r>
        <w:t xml:space="preserve">Cleaning supply chains in Victorian </w:t>
      </w:r>
      <w:bookmarkEnd w:id="0"/>
      <w:r>
        <w:t>Government schools: compliance activity report</w:t>
      </w:r>
    </w:p>
    <w:p w14:paraId="1B25D6F4" w14:textId="77777777" w:rsidR="00671FE2" w:rsidRDefault="00671FE2" w:rsidP="00B40CB8">
      <w:pPr>
        <w:pStyle w:val="Heading2"/>
      </w:pPr>
      <w:r>
        <w:t>What we did and why</w:t>
      </w:r>
    </w:p>
    <w:p w14:paraId="15B40CD6" w14:textId="568C1D9B" w:rsidR="00671FE2" w:rsidRDefault="00671FE2" w:rsidP="00671FE2">
      <w:pPr>
        <w:tabs>
          <w:tab w:val="left" w:pos="1234"/>
        </w:tabs>
        <w:spacing w:before="240"/>
      </w:pPr>
      <w:r>
        <w:t xml:space="preserve">In </w:t>
      </w:r>
      <w:r w:rsidR="002853C6">
        <w:t>late</w:t>
      </w:r>
      <w:r>
        <w:t xml:space="preserve"> 2017</w:t>
      </w:r>
      <w:r w:rsidR="00370DEA">
        <w:t>,</w:t>
      </w:r>
      <w:r>
        <w:t xml:space="preserve"> the Fair Work Ombudsman (</w:t>
      </w:r>
      <w:r w:rsidRPr="002523EA">
        <w:t>FWO</w:t>
      </w:r>
      <w:r>
        <w:t>) investigated cleaning companies working in 10 Victorian Government schools. The cleaning companies were procured directly by the schools via a Department of Education</w:t>
      </w:r>
      <w:r w:rsidR="00EF0604">
        <w:t xml:space="preserve"> and Training</w:t>
      </w:r>
      <w:r>
        <w:t xml:space="preserve"> (DET) </w:t>
      </w:r>
      <w:r>
        <w:rPr>
          <w:rFonts w:cs="Helvetica"/>
          <w:szCs w:val="22"/>
        </w:rPr>
        <w:t>approved panel of suppliers</w:t>
      </w:r>
      <w:r>
        <w:t>.</w:t>
      </w:r>
    </w:p>
    <w:p w14:paraId="375D1814" w14:textId="77777777" w:rsidR="00671FE2" w:rsidRPr="009568AA" w:rsidRDefault="00671FE2" w:rsidP="00671FE2">
      <w:pPr>
        <w:rPr>
          <w:sz w:val="20"/>
          <w:szCs w:val="20"/>
          <w:lang w:eastAsia="en-AU"/>
        </w:rPr>
      </w:pPr>
      <w:r>
        <w:t>We acted in response to intelligence and media coverage alleging underpayments and other non-compliance issues.</w:t>
      </w:r>
    </w:p>
    <w:p w14:paraId="097182CC" w14:textId="7842BC4E" w:rsidR="00671FE2" w:rsidRPr="00CD603B" w:rsidRDefault="00671FE2" w:rsidP="00671FE2">
      <w:pPr>
        <w:rPr>
          <w:i/>
          <w:iCs/>
        </w:rPr>
      </w:pPr>
      <w:r>
        <w:rPr>
          <w:iCs/>
        </w:rPr>
        <w:t>Fair Work Inspectors visited five regional and five metropolitan schools</w:t>
      </w:r>
      <w:r w:rsidR="001C6451">
        <w:rPr>
          <w:iCs/>
        </w:rPr>
        <w:t xml:space="preserve"> where cleaning companies operated</w:t>
      </w:r>
      <w:r>
        <w:rPr>
          <w:iCs/>
        </w:rPr>
        <w:t>. They interviewed deputy principals, principals, managers, cleaners and other relevant witnesses.</w:t>
      </w:r>
      <w:r w:rsidR="00B9537A">
        <w:rPr>
          <w:iCs/>
        </w:rPr>
        <w:t xml:space="preserve"> 11 cleaning companies operated at these sites.</w:t>
      </w:r>
    </w:p>
    <w:p w14:paraId="62B3832E" w14:textId="3ABDB027" w:rsidR="00671FE2" w:rsidRDefault="00671FE2" w:rsidP="00671FE2">
      <w:pPr>
        <w:rPr>
          <w:color w:val="263746"/>
          <w:sz w:val="44"/>
          <w:szCs w:val="26"/>
        </w:rPr>
      </w:pPr>
      <w:r>
        <w:rPr>
          <w:iCs/>
        </w:rPr>
        <w:t xml:space="preserve">Records for a three-month period were assessed for compliance with the </w:t>
      </w:r>
      <w:r w:rsidR="00D77F98" w:rsidRPr="00D77F98">
        <w:rPr>
          <w:i/>
          <w:iCs/>
        </w:rPr>
        <w:t>Cleaning Services Award 2010</w:t>
      </w:r>
      <w:r w:rsidR="00D77F98">
        <w:rPr>
          <w:iCs/>
        </w:rPr>
        <w:t xml:space="preserve"> (the Award) </w:t>
      </w:r>
      <w:r>
        <w:rPr>
          <w:iCs/>
        </w:rPr>
        <w:t xml:space="preserve">and key provisions of the </w:t>
      </w:r>
      <w:r w:rsidRPr="00D77F98">
        <w:rPr>
          <w:i/>
          <w:iCs/>
        </w:rPr>
        <w:t>F</w:t>
      </w:r>
      <w:r w:rsidR="00D77F98" w:rsidRPr="00D77F98">
        <w:rPr>
          <w:i/>
          <w:iCs/>
        </w:rPr>
        <w:t>air Work Act 2009</w:t>
      </w:r>
      <w:r w:rsidR="00D77F98">
        <w:rPr>
          <w:iCs/>
        </w:rPr>
        <w:t xml:space="preserve"> (the</w:t>
      </w:r>
      <w:r>
        <w:rPr>
          <w:iCs/>
        </w:rPr>
        <w:t xml:space="preserve"> Act</w:t>
      </w:r>
      <w:r w:rsidR="00D77F98">
        <w:rPr>
          <w:iCs/>
        </w:rPr>
        <w:t>)</w:t>
      </w:r>
      <w:r>
        <w:rPr>
          <w:iCs/>
        </w:rPr>
        <w:t xml:space="preserve">. These records related to 35 employees, including 16 </w:t>
      </w:r>
      <w:r>
        <w:rPr>
          <w:rFonts w:cs="Helvetica"/>
          <w:iCs/>
        </w:rPr>
        <w:t>visa holders from non-English speaking backgrounds.</w:t>
      </w:r>
    </w:p>
    <w:p w14:paraId="1BBC68F5" w14:textId="77777777" w:rsidR="00671FE2" w:rsidRDefault="00671FE2" w:rsidP="00B40CB8">
      <w:pPr>
        <w:pStyle w:val="Heading2"/>
      </w:pPr>
      <w:r>
        <w:t>Our findings</w:t>
      </w:r>
    </w:p>
    <w:p w14:paraId="26135267" w14:textId="3D03683E" w:rsidR="00671FE2" w:rsidRDefault="004C1547" w:rsidP="00220114">
      <w:r>
        <w:t>O</w:t>
      </w:r>
      <w:r w:rsidR="00B9537A">
        <w:t>f the 11</w:t>
      </w:r>
      <w:r w:rsidR="00671FE2">
        <w:t xml:space="preserve"> cleaning companies investigated</w:t>
      </w:r>
      <w:r w:rsidR="00B9537A">
        <w:t xml:space="preserve">, 100% </w:t>
      </w:r>
      <w:r w:rsidR="00671FE2">
        <w:t>were non-compliant in some way.</w:t>
      </w:r>
    </w:p>
    <w:p w14:paraId="1F5A8367" w14:textId="2EF218F8" w:rsidR="00D77F98" w:rsidRDefault="00D77F98" w:rsidP="00220114">
      <w:pPr>
        <w:pStyle w:val="ListParagraph"/>
        <w:numPr>
          <w:ilvl w:val="0"/>
          <w:numId w:val="7"/>
        </w:numPr>
      </w:pPr>
      <w:r>
        <w:t>9 of the 11 cleaning companies breached their monetary obligations (i.e. they failed to pay their workers correctly).</w:t>
      </w:r>
    </w:p>
    <w:p w14:paraId="3D169522" w14:textId="435B5977" w:rsidR="00D77F98" w:rsidRPr="00D77F98" w:rsidRDefault="00D77F98" w:rsidP="00220114">
      <w:pPr>
        <w:pStyle w:val="ListParagraph"/>
        <w:numPr>
          <w:ilvl w:val="0"/>
          <w:numId w:val="7"/>
        </w:numPr>
      </w:pPr>
      <w:r>
        <w:t>5 of the 11 breached their non-monetary obligations (i.e. record-keeping breaches that prevented the FWO from checking if employees were receiving their full entitlements).</w:t>
      </w:r>
    </w:p>
    <w:p w14:paraId="4E4CF343" w14:textId="73D2F3B0" w:rsidR="00671FE2" w:rsidRDefault="00671FE2" w:rsidP="00220114">
      <w:r>
        <w:t xml:space="preserve">27 employees were underpaid due to being paid a </w:t>
      </w:r>
      <w:r w:rsidRPr="00072153">
        <w:t xml:space="preserve">flat rate </w:t>
      </w:r>
      <w:r>
        <w:t>for all hours worked</w:t>
      </w:r>
      <w:r w:rsidRPr="00072153">
        <w:t xml:space="preserve"> and/or </w:t>
      </w:r>
      <w:r>
        <w:t xml:space="preserve">incorrect </w:t>
      </w:r>
      <w:r w:rsidRPr="00072153">
        <w:t>penalty rates</w:t>
      </w:r>
      <w:r>
        <w:t xml:space="preserve">. </w:t>
      </w:r>
      <w:r w:rsidR="00D77F98">
        <w:rPr>
          <w:szCs w:val="22"/>
        </w:rPr>
        <w:t>The smallest underpayment for a single worker was $26.39, and the highest was $2223.54.</w:t>
      </w:r>
    </w:p>
    <w:p w14:paraId="705BC661" w14:textId="77777777" w:rsidR="00671FE2" w:rsidRDefault="00671FE2" w:rsidP="00220114">
      <w:r>
        <w:t>Cleaners reported that they were often unable to finish their work in set timeframes and that they were returning to work unpaid hours as a consequence.</w:t>
      </w:r>
    </w:p>
    <w:p w14:paraId="0BD66576" w14:textId="51FA374B" w:rsidR="00671FE2" w:rsidRDefault="00671FE2" w:rsidP="00671FE2">
      <w:r>
        <w:lastRenderedPageBreak/>
        <w:t>One cleaning company engaged a subcontractor that misclassified staff as independent contractors, resulting in outstanding employee entitlements of $</w:t>
      </w:r>
      <w:r w:rsidR="0024678E">
        <w:rPr>
          <w:iCs/>
        </w:rPr>
        <w:t>1</w:t>
      </w:r>
      <w:r w:rsidRPr="00FB1FC3">
        <w:rPr>
          <w:iCs/>
        </w:rPr>
        <w:t>604.59</w:t>
      </w:r>
      <w:r>
        <w:t xml:space="preserve"> for two workers.</w:t>
      </w:r>
      <w:r w:rsidRPr="00EC4E7C">
        <w:rPr>
          <w:rFonts w:eastAsiaTheme="minorEastAsia" w:cs="Times New Roman"/>
          <w:szCs w:val="22"/>
          <w:vertAlign w:val="superscript"/>
        </w:rPr>
        <w:t xml:space="preserve"> </w:t>
      </w:r>
      <w:r>
        <w:t>The subcontractor,</w:t>
      </w:r>
      <w:r w:rsidRPr="009C03CD">
        <w:t xml:space="preserve"> </w:t>
      </w:r>
      <w:r>
        <w:t>Veracity Property Services Pty Ltd, entered into an Enforceable Undertaking with the FWO.</w:t>
      </w:r>
      <w:r w:rsidR="00CE49AB">
        <w:rPr>
          <w:rStyle w:val="FootnoteReference"/>
        </w:rPr>
        <w:footnoteReference w:id="1"/>
      </w:r>
    </w:p>
    <w:p w14:paraId="3AFF1AD6" w14:textId="77777777" w:rsidR="00671FE2" w:rsidRDefault="00671FE2" w:rsidP="00671FE2">
      <w:r>
        <w:t>None of the companies were members of the Cleaning Accountability Framework (</w:t>
      </w:r>
      <w:r w:rsidRPr="00EC4E7C">
        <w:t>CAF</w:t>
      </w:r>
      <w:r>
        <w:t>).</w:t>
      </w:r>
    </w:p>
    <w:p w14:paraId="26084DC5" w14:textId="3ADEB56C" w:rsidR="00087CFA" w:rsidRDefault="00087CFA" w:rsidP="00671FE2">
      <w:r w:rsidRPr="001C6451">
        <w:t>The DET did not have effective systems in place to monitor compliance</w:t>
      </w:r>
      <w:r w:rsidR="00671FE2" w:rsidRPr="001C6451">
        <w:t>.</w:t>
      </w:r>
    </w:p>
    <w:p w14:paraId="338C1209" w14:textId="06F7D291" w:rsidR="00671FE2" w:rsidRDefault="00671FE2" w:rsidP="00671FE2">
      <w:r>
        <w:rPr>
          <w:iCs/>
        </w:rPr>
        <w:t xml:space="preserve">School staff were unaware of their responsibility to ensure cleaning workers were paid correctly, and </w:t>
      </w:r>
      <w:r>
        <w:t>lacked an understanding of accessorial liability under section 550 of the Act.</w:t>
      </w:r>
      <w:r>
        <w:rPr>
          <w:rStyle w:val="FootnoteReference"/>
        </w:rPr>
        <w:footnoteReference w:id="2"/>
      </w:r>
    </w:p>
    <w:p w14:paraId="1F9CB099" w14:textId="77777777" w:rsidR="00671FE2" w:rsidRDefault="00671FE2" w:rsidP="00B40CB8">
      <w:pPr>
        <w:pStyle w:val="Heading2"/>
      </w:pPr>
      <w:r>
        <w:t>Action taken and next steps</w:t>
      </w:r>
    </w:p>
    <w:p w14:paraId="592FA271" w14:textId="6ABE2F70" w:rsidR="00671FE2" w:rsidRDefault="00CE49AB" w:rsidP="00671FE2">
      <w:pPr>
        <w:spacing w:before="240"/>
        <w:rPr>
          <w:iCs/>
        </w:rPr>
      </w:pPr>
      <w:r>
        <w:rPr>
          <w:iCs/>
        </w:rPr>
        <w:t>We took the</w:t>
      </w:r>
      <w:r w:rsidR="00671FE2">
        <w:rPr>
          <w:iCs/>
        </w:rPr>
        <w:t xml:space="preserve"> following compliance and enforcement actions:</w:t>
      </w:r>
    </w:p>
    <w:p w14:paraId="1377A01F" w14:textId="77777777" w:rsidR="00671FE2" w:rsidRPr="00E320F0" w:rsidRDefault="00671FE2" w:rsidP="00671FE2">
      <w:pPr>
        <w:pStyle w:val="Bullet"/>
      </w:pPr>
      <w:r w:rsidRPr="00E320F0">
        <w:t>3</w:t>
      </w:r>
      <w:r>
        <w:t xml:space="preserve"> formal c</w:t>
      </w:r>
      <w:r w:rsidRPr="00E320F0">
        <w:t>autions</w:t>
      </w:r>
    </w:p>
    <w:p w14:paraId="6F467B48" w14:textId="77777777" w:rsidR="00671FE2" w:rsidRPr="00E320F0" w:rsidRDefault="00671FE2" w:rsidP="00671FE2">
      <w:pPr>
        <w:pStyle w:val="Bullet"/>
      </w:pPr>
      <w:r>
        <w:t>14 infringement n</w:t>
      </w:r>
      <w:r w:rsidRPr="00E320F0">
        <w:t>otices</w:t>
      </w:r>
    </w:p>
    <w:p w14:paraId="7DF477EE" w14:textId="617B5DC9" w:rsidR="00671FE2" w:rsidRPr="00E320F0" w:rsidRDefault="00FC344C" w:rsidP="00671FE2">
      <w:pPr>
        <w:pStyle w:val="Bullet"/>
      </w:pPr>
      <w:r>
        <w:t>4</w:t>
      </w:r>
      <w:r w:rsidR="00671FE2">
        <w:t xml:space="preserve"> compliance n</w:t>
      </w:r>
      <w:r w:rsidR="00671FE2" w:rsidRPr="00E320F0">
        <w:t>otices</w:t>
      </w:r>
    </w:p>
    <w:p w14:paraId="5297B97D" w14:textId="4666115F" w:rsidR="00CE49AB" w:rsidRPr="00E320F0" w:rsidRDefault="00671FE2" w:rsidP="00CE49AB">
      <w:pPr>
        <w:pStyle w:val="Bullet"/>
      </w:pPr>
      <w:r>
        <w:t>1 enforceable u</w:t>
      </w:r>
      <w:r w:rsidRPr="00E320F0">
        <w:t>ndertaking.</w:t>
      </w:r>
    </w:p>
    <w:p w14:paraId="76369CBA" w14:textId="5D83D6D2" w:rsidR="00CE49AB" w:rsidRDefault="00CE49AB" w:rsidP="00CB2008">
      <w:pPr>
        <w:pStyle w:val="CalloutBoxHeading"/>
      </w:pPr>
      <w:r>
        <w:t>Enforceable undertaking</w:t>
      </w:r>
    </w:p>
    <w:p w14:paraId="28277286" w14:textId="64420717" w:rsidR="00CE49AB" w:rsidRDefault="00CE49AB" w:rsidP="00CB2008">
      <w:pPr>
        <w:pStyle w:val="Calloutbox"/>
      </w:pPr>
      <w:r>
        <w:t>Veracity Property Services Pty Ltd (</w:t>
      </w:r>
      <w:r w:rsidRPr="00D915F8">
        <w:t>Veracity</w:t>
      </w:r>
      <w:r w:rsidR="00CB2008">
        <w:t>) was subcontracted by a panel-</w:t>
      </w:r>
      <w:r>
        <w:t>approved cleaning company to provide cleaning services.</w:t>
      </w:r>
    </w:p>
    <w:p w14:paraId="0C614856" w14:textId="77777777" w:rsidR="00CE49AB" w:rsidRDefault="00CE49AB" w:rsidP="00CB2008">
      <w:pPr>
        <w:pStyle w:val="Calloutbox"/>
      </w:pPr>
      <w:r>
        <w:t>Veracity purported the working relationship to the cleaners as an independent contractor arrangement. Fair Work Inspectors’ analysis showed, on the totality of the relationship, the workers were employees.</w:t>
      </w:r>
    </w:p>
    <w:p w14:paraId="0B20D3ED" w14:textId="25E1FA81" w:rsidR="00CE49AB" w:rsidRDefault="00CE49AB" w:rsidP="00CB2008">
      <w:pPr>
        <w:pStyle w:val="Calloutbox"/>
      </w:pPr>
      <w:r>
        <w:t>The underpayment arising from this misclassification was calculated to be $</w:t>
      </w:r>
      <w:r w:rsidR="0024678E">
        <w:rPr>
          <w:iCs/>
        </w:rPr>
        <w:t>1</w:t>
      </w:r>
      <w:r w:rsidRPr="00FB1FC3">
        <w:rPr>
          <w:iCs/>
        </w:rPr>
        <w:t>604.59</w:t>
      </w:r>
      <w:r>
        <w:rPr>
          <w:iCs/>
        </w:rPr>
        <w:t xml:space="preserve"> </w:t>
      </w:r>
      <w:r>
        <w:t xml:space="preserve">for two cleaners. They were not paid correct hourly rates, part time loadings, afternoon shift loadings and minimum engagement periods as required by the </w:t>
      </w:r>
      <w:r w:rsidR="0024678E">
        <w:t>A</w:t>
      </w:r>
      <w:r>
        <w:t>ward.</w:t>
      </w:r>
    </w:p>
    <w:p w14:paraId="056EE5EC" w14:textId="77777777" w:rsidR="00CE49AB" w:rsidRPr="00CF3B06" w:rsidRDefault="00CE49AB" w:rsidP="00CB2008">
      <w:pPr>
        <w:pStyle w:val="Calloutbox"/>
      </w:pPr>
      <w:r>
        <w:t>Veracity cooperated with the FWO, entering into an enforceable undertaking that saw them reimburse the cleaners, participate in training, conduct an audit of all workers, and register for a FWO My Account.</w:t>
      </w:r>
      <w:r>
        <w:rPr>
          <w:rStyle w:val="FootnoteReference"/>
        </w:rPr>
        <w:footnoteReference w:id="3"/>
      </w:r>
    </w:p>
    <w:p w14:paraId="60CAE642" w14:textId="53A2ABF9" w:rsidR="00671FE2" w:rsidRPr="00220114" w:rsidRDefault="00671FE2" w:rsidP="00220114">
      <w:pPr>
        <w:rPr>
          <w:rFonts w:cstheme="minorHAnsi"/>
          <w:szCs w:val="22"/>
        </w:rPr>
      </w:pPr>
      <w:r w:rsidRPr="00220114">
        <w:rPr>
          <w:rFonts w:cstheme="minorHAnsi"/>
          <w:szCs w:val="22"/>
        </w:rPr>
        <w:lastRenderedPageBreak/>
        <w:t>All but one cleaning company complied with our enforcement actions and reimbursed their employees</w:t>
      </w:r>
      <w:r w:rsidRPr="00220114">
        <w:rPr>
          <w:rFonts w:cstheme="minorHAnsi"/>
          <w:iCs/>
          <w:szCs w:val="22"/>
        </w:rPr>
        <w:t>.</w:t>
      </w:r>
      <w:r w:rsidRPr="00220114">
        <w:rPr>
          <w:rStyle w:val="FootnoteReference"/>
          <w:rFonts w:cstheme="minorHAnsi"/>
          <w:iCs/>
          <w:szCs w:val="22"/>
        </w:rPr>
        <w:footnoteReference w:id="4"/>
      </w:r>
      <w:r w:rsidRPr="00220114">
        <w:rPr>
          <w:rFonts w:cstheme="minorHAnsi"/>
          <w:iCs/>
          <w:szCs w:val="22"/>
        </w:rPr>
        <w:t xml:space="preserve"> </w:t>
      </w:r>
      <w:r w:rsidRPr="00220114">
        <w:rPr>
          <w:rFonts w:cstheme="minorHAnsi"/>
          <w:szCs w:val="22"/>
        </w:rPr>
        <w:t>$</w:t>
      </w:r>
      <w:r w:rsidR="0024678E" w:rsidRPr="00220114">
        <w:rPr>
          <w:rFonts w:cstheme="minorHAnsi"/>
          <w:szCs w:val="22"/>
        </w:rPr>
        <w:t>9</w:t>
      </w:r>
      <w:r w:rsidRPr="00220114">
        <w:rPr>
          <w:rFonts w:cstheme="minorHAnsi"/>
          <w:szCs w:val="22"/>
        </w:rPr>
        <w:t xml:space="preserve">132.52 </w:t>
      </w:r>
      <w:r w:rsidRPr="00220114">
        <w:rPr>
          <w:rFonts w:cstheme="minorHAnsi"/>
          <w:iCs/>
          <w:szCs w:val="22"/>
        </w:rPr>
        <w:t xml:space="preserve">was recovered </w:t>
      </w:r>
      <w:r w:rsidRPr="00220114">
        <w:rPr>
          <w:rFonts w:cstheme="minorHAnsi"/>
          <w:szCs w:val="22"/>
        </w:rPr>
        <w:t>for 27 workers.</w:t>
      </w:r>
    </w:p>
    <w:p w14:paraId="62F0666A" w14:textId="77777777" w:rsidR="00671FE2" w:rsidRPr="00220114" w:rsidRDefault="00671FE2" w:rsidP="00220114">
      <w:pPr>
        <w:rPr>
          <w:rFonts w:cstheme="minorHAnsi"/>
          <w:szCs w:val="22"/>
        </w:rPr>
      </w:pPr>
      <w:r w:rsidRPr="00220114">
        <w:rPr>
          <w:rFonts w:cstheme="minorHAnsi"/>
          <w:szCs w:val="22"/>
        </w:rPr>
        <w:t>Fair Work Inspectors also provided education and guidance to access FWO resources to assist with record-keeping, pay slips and meet all workplace relations obligations.</w:t>
      </w:r>
    </w:p>
    <w:p w14:paraId="5766CCB0" w14:textId="185EAFC5" w:rsidR="003C1CBC" w:rsidRPr="00220114" w:rsidRDefault="003C1CBC" w:rsidP="00220114">
      <w:pPr>
        <w:rPr>
          <w:rFonts w:cstheme="minorHAnsi"/>
          <w:szCs w:val="22"/>
        </w:rPr>
      </w:pPr>
      <w:r w:rsidRPr="00220114">
        <w:rPr>
          <w:rFonts w:cstheme="minorHAnsi"/>
          <w:szCs w:val="22"/>
        </w:rPr>
        <w:t xml:space="preserve">In 2018, VIC DET implemented a new procurement model and reduced the </w:t>
      </w:r>
      <w:r w:rsidRPr="00220114">
        <w:rPr>
          <w:rFonts w:cstheme="minorHAnsi"/>
          <w:szCs w:val="22"/>
          <w:lang w:val="en"/>
        </w:rPr>
        <w:t>number of cleaning contractors from 250 to eight companies in metropolitan areas</w:t>
      </w:r>
      <w:r w:rsidR="00B40CB8">
        <w:rPr>
          <w:rFonts w:cstheme="minorHAnsi"/>
          <w:szCs w:val="22"/>
          <w:lang w:val="en"/>
        </w:rPr>
        <w:t>.</w:t>
      </w:r>
    </w:p>
    <w:p w14:paraId="3B95D4B0" w14:textId="62E48663" w:rsidR="00671FE2" w:rsidRPr="00220114" w:rsidRDefault="003C1CBC" w:rsidP="00220114">
      <w:pPr>
        <w:rPr>
          <w:rFonts w:cstheme="minorHAnsi"/>
          <w:szCs w:val="22"/>
        </w:rPr>
      </w:pPr>
      <w:r w:rsidRPr="00220114">
        <w:rPr>
          <w:rFonts w:cstheme="minorHAnsi"/>
          <w:szCs w:val="22"/>
          <w:shd w:val="clear" w:color="auto" w:fill="FFFFFF"/>
        </w:rPr>
        <w:t>In addition, e</w:t>
      </w:r>
      <w:r w:rsidRPr="00220114">
        <w:rPr>
          <w:rFonts w:cstheme="minorHAnsi"/>
          <w:szCs w:val="22"/>
        </w:rPr>
        <w:t xml:space="preserve">arlier this year, DET </w:t>
      </w:r>
      <w:r w:rsidRPr="00220114">
        <w:rPr>
          <w:rFonts w:eastAsiaTheme="minorHAnsi" w:cstheme="minorHAnsi"/>
          <w:szCs w:val="22"/>
        </w:rPr>
        <w:t xml:space="preserve">introduced a new </w:t>
      </w:r>
      <w:r w:rsidRPr="00220114">
        <w:rPr>
          <w:rFonts w:cstheme="minorHAnsi"/>
          <w:szCs w:val="22"/>
        </w:rPr>
        <w:t xml:space="preserve">contract management software system for regional schools, which requires cleaning contractors to submit evidence each year of compliance with workplace laws. </w:t>
      </w:r>
      <w:r w:rsidR="002370DB" w:rsidRPr="00220114">
        <w:rPr>
          <w:rFonts w:cstheme="minorHAnsi"/>
          <w:szCs w:val="22"/>
          <w:shd w:val="clear" w:color="auto" w:fill="FFFFFF"/>
        </w:rPr>
        <w:t xml:space="preserve">The </w:t>
      </w:r>
      <w:r w:rsidR="00671FE2" w:rsidRPr="00220114">
        <w:rPr>
          <w:rFonts w:cstheme="minorHAnsi"/>
          <w:szCs w:val="22"/>
          <w:shd w:val="clear" w:color="auto" w:fill="FFFFFF"/>
        </w:rPr>
        <w:t xml:space="preserve">DET </w:t>
      </w:r>
      <w:r w:rsidR="002370DB" w:rsidRPr="00220114">
        <w:rPr>
          <w:rFonts w:cstheme="minorHAnsi"/>
          <w:szCs w:val="22"/>
          <w:shd w:val="clear" w:color="auto" w:fill="FFFFFF"/>
        </w:rPr>
        <w:t>say</w:t>
      </w:r>
      <w:r w:rsidR="00671FE2" w:rsidRPr="00220114">
        <w:rPr>
          <w:rFonts w:cstheme="minorHAnsi"/>
          <w:szCs w:val="22"/>
          <w:shd w:val="clear" w:color="auto" w:fill="FFFFFF"/>
        </w:rPr>
        <w:t xml:space="preserve"> the </w:t>
      </w:r>
      <w:r w:rsidR="002370DB" w:rsidRPr="00220114">
        <w:rPr>
          <w:rFonts w:cstheme="minorHAnsi"/>
          <w:szCs w:val="22"/>
          <w:shd w:val="clear" w:color="auto" w:fill="FFFFFF"/>
        </w:rPr>
        <w:t xml:space="preserve">new </w:t>
      </w:r>
      <w:r w:rsidR="00671FE2" w:rsidRPr="00220114">
        <w:rPr>
          <w:rFonts w:cstheme="minorHAnsi"/>
          <w:szCs w:val="22"/>
          <w:shd w:val="clear" w:color="auto" w:fill="FFFFFF"/>
        </w:rPr>
        <w:t xml:space="preserve">tender process </w:t>
      </w:r>
      <w:r w:rsidR="00671FE2" w:rsidRPr="00220114">
        <w:rPr>
          <w:rFonts w:cstheme="minorHAnsi"/>
          <w:szCs w:val="22"/>
        </w:rPr>
        <w:t>ensures cleaning staff receive fair working conditions and industry standard pay and entitlements.</w:t>
      </w:r>
    </w:p>
    <w:p w14:paraId="335C437B" w14:textId="133D1B50" w:rsidR="00AF74D9" w:rsidRPr="00220114" w:rsidRDefault="00AB20CA" w:rsidP="00220114">
      <w:pPr>
        <w:rPr>
          <w:rFonts w:cstheme="minorHAnsi"/>
          <w:szCs w:val="22"/>
        </w:rPr>
      </w:pPr>
      <w:r w:rsidRPr="00220114">
        <w:rPr>
          <w:rFonts w:cstheme="minorHAnsi"/>
          <w:szCs w:val="22"/>
        </w:rPr>
        <w:t>On 28 March 2019, the new Cleaning Accountability Framework (CAF) initiative was publicly launched.</w:t>
      </w:r>
      <w:r w:rsidRPr="00220114">
        <w:rPr>
          <w:rFonts w:cstheme="minorHAnsi"/>
          <w:szCs w:val="22"/>
          <w:vertAlign w:val="superscript"/>
        </w:rPr>
        <w:footnoteReference w:id="5"/>
      </w:r>
      <w:r w:rsidRPr="00220114">
        <w:rPr>
          <w:rFonts w:cstheme="minorHAnsi"/>
          <w:szCs w:val="22"/>
          <w:vertAlign w:val="superscript"/>
        </w:rPr>
        <w:t xml:space="preserve"> </w:t>
      </w:r>
      <w:r w:rsidR="00B9537A" w:rsidRPr="00220114">
        <w:rPr>
          <w:rFonts w:cstheme="minorHAnsi"/>
          <w:szCs w:val="22"/>
        </w:rPr>
        <w:t>The FWO</w:t>
      </w:r>
      <w:r w:rsidRPr="00220114">
        <w:rPr>
          <w:rFonts w:cstheme="minorHAnsi"/>
          <w:szCs w:val="22"/>
        </w:rPr>
        <w:t xml:space="preserve"> played a key role in its development. The scheme promotes compliance and rewards best practice throughout cleaning services supply chains and acknowledges that all participants (contract cleaners, tenants, facility managers, property managers and owners) have a role to play in lifting cleaning industry standards.</w:t>
      </w:r>
    </w:p>
    <w:sectPr w:rsidR="00AF74D9" w:rsidRPr="00220114" w:rsidSect="00DA1AD1">
      <w:headerReference w:type="even" r:id="rId8"/>
      <w:headerReference w:type="default" r:id="rId9"/>
      <w:footerReference w:type="even" r:id="rId10"/>
      <w:footerReference w:type="default" r:id="rId11"/>
      <w:headerReference w:type="first" r:id="rId12"/>
      <w:footerReference w:type="first" r:id="rId13"/>
      <w:pgSz w:w="11906" w:h="16838"/>
      <w:pgMar w:top="1560" w:right="1225" w:bottom="1418"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524E3" w14:textId="77777777" w:rsidR="00671FE2" w:rsidRDefault="00671FE2" w:rsidP="00AB465A">
      <w:pPr>
        <w:spacing w:after="0" w:line="240" w:lineRule="auto"/>
      </w:pPr>
      <w:r>
        <w:separator/>
      </w:r>
    </w:p>
  </w:endnote>
  <w:endnote w:type="continuationSeparator" w:id="0">
    <w:p w14:paraId="420B8A11" w14:textId="77777777" w:rsidR="00671FE2" w:rsidRDefault="00671FE2"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DBF0" w14:textId="77777777" w:rsidR="00514DAE" w:rsidRDefault="0051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389239"/>
      <w:docPartObj>
        <w:docPartGallery w:val="Page Numbers (Bottom of Page)"/>
        <w:docPartUnique/>
      </w:docPartObj>
    </w:sdtPr>
    <w:sdtEndPr>
      <w:rPr>
        <w:noProof/>
      </w:rPr>
    </w:sdtEndPr>
    <w:sdtContent>
      <w:p w14:paraId="648D5AFD" w14:textId="77777777" w:rsidR="009558F5" w:rsidRDefault="00DA1AD1" w:rsidP="00DA1AD1">
        <w:pPr>
          <w:pStyle w:val="Header"/>
        </w:pPr>
        <w:r w:rsidRPr="002A65CC">
          <w:rPr>
            <w:rFonts w:ascii="Arial" w:hAnsi="Arial"/>
            <w:noProof/>
            <w:color w:val="1B365D"/>
            <w:sz w:val="20"/>
            <w:szCs w:val="20"/>
            <w:lang w:eastAsia="en-AU"/>
          </w:rPr>
          <mc:AlternateContent>
            <mc:Choice Requires="wps">
              <w:drawing>
                <wp:inline distT="0" distB="0" distL="0" distR="0" wp14:anchorId="371A8744" wp14:editId="556FCA0B">
                  <wp:extent cx="3369945" cy="0"/>
                  <wp:effectExtent l="0" t="0" r="20955" b="19050"/>
                  <wp:docPr id="81" name="Straight Connector 81" descr="&quot;&quot;"/>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5236D5" id="Straight Connector 81" o:spid="_x0000_s1026" alt="&quot;&quot;" style="visibility:visible;mso-wrap-style:square;mso-left-percent:-10001;mso-top-percent:-10001;mso-position-horizontal:absolute;mso-position-horizontal-relative:char;mso-position-vertical:absolute;mso-position-vertical-relative:line;mso-left-percent:-10001;mso-top-percent:-10001"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" strokecolor="#ffb81c" strokeweight="1pt">
                  <w10:anchorlock/>
                </v:line>
              </w:pict>
            </mc:Fallback>
          </mc:AlternateContent>
        </w:r>
      </w:p>
      <w:p w14:paraId="535820E9" w14:textId="29B3749C" w:rsidR="00DA1AD1" w:rsidRPr="00DA1AD1" w:rsidRDefault="00DA1AD1" w:rsidP="00DA1AD1">
        <w:pPr>
          <w:pStyle w:val="Header"/>
        </w:pPr>
        <w:r w:rsidRPr="002A65CC">
          <w:rPr>
            <w:rFonts w:cstheme="minorHAnsi"/>
            <w:noProof/>
            <w:color w:val="1B365D"/>
            <w:sz w:val="20"/>
            <w:szCs w:val="20"/>
            <w:lang w:eastAsia="en-AU"/>
          </w:rPr>
          <mc:AlternateContent>
            <mc:Choice Requires="wps">
              <w:drawing>
                <wp:anchor distT="0" distB="0" distL="114300" distR="114300" simplePos="0" relativeHeight="251672576" behindDoc="1" locked="0" layoutInCell="1" allowOverlap="1" wp14:anchorId="0FD70E13" wp14:editId="725252FF">
                  <wp:simplePos x="0" y="0"/>
                  <wp:positionH relativeFrom="page">
                    <wp:posOffset>6678295</wp:posOffset>
                  </wp:positionH>
                  <wp:positionV relativeFrom="page">
                    <wp:posOffset>9793605</wp:posOffset>
                  </wp:positionV>
                  <wp:extent cx="882015" cy="882015"/>
                  <wp:effectExtent l="0" t="0" r="0" b="0"/>
                  <wp:wrapNone/>
                  <wp:docPr id="82" name="Right Triangle 82" descr="&quot;&quot;"/>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3BDA85"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alt="&quot;&quot;" style="position:absolute;margin-left:525.85pt;margin-top:771.15pt;width:69.45pt;height:69.45pt;flip:x;z-index:-2516439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" fillcolor="#9bcbeb" stroked="f" strokeweight="2pt">
                  <v:fill opacity="19789f"/>
                  <w10:wrap anchorx="page" anchory="page"/>
                </v:shape>
              </w:pict>
            </mc:Fallback>
          </mc:AlternateContent>
        </w:r>
        <w:r w:rsidR="00370DEA">
          <w:rPr>
            <w:color w:val="1B365D"/>
            <w:sz w:val="20"/>
            <w:szCs w:val="20"/>
          </w:rPr>
          <w:t xml:space="preserve">Cleaning supply chains in Victorian government schools – compliance activity report </w:t>
        </w:r>
      </w:p>
      <w:p w14:paraId="76F37ACF" w14:textId="2CB21589" w:rsidR="00DA1AD1" w:rsidRDefault="00DA1AD1" w:rsidP="00DA1AD1">
        <w:pPr>
          <w:pStyle w:val="Footer"/>
          <w:jc w:val="right"/>
          <w:rPr>
            <w:noProof/>
          </w:rPr>
        </w:pPr>
        <w:r>
          <w:fldChar w:fldCharType="begin"/>
        </w:r>
        <w:r>
          <w:instrText xml:space="preserve"> PAGE   \* MERGEFORMAT </w:instrText>
        </w:r>
        <w:r>
          <w:fldChar w:fldCharType="separate"/>
        </w:r>
        <w:r w:rsidR="00514DAE">
          <w:rPr>
            <w:noProof/>
          </w:rPr>
          <w:t>3</w:t>
        </w:r>
        <w:r>
          <w:rPr>
            <w:noProof/>
          </w:rPr>
          <w:fldChar w:fldCharType="end"/>
        </w:r>
      </w:p>
      <w:p w14:paraId="75BB542D" w14:textId="7DA497C0" w:rsidR="00174429" w:rsidRPr="00DA1AD1" w:rsidRDefault="00514DAE" w:rsidP="00DA1AD1">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69319"/>
      <w:docPartObj>
        <w:docPartGallery w:val="Page Numbers (Bottom of Page)"/>
        <w:docPartUnique/>
      </w:docPartObj>
    </w:sdtPr>
    <w:sdtEndPr>
      <w:rPr>
        <w:noProof/>
      </w:rPr>
    </w:sdtEndPr>
    <w:sdtContent>
      <w:p w14:paraId="26768C20" w14:textId="77777777" w:rsidR="009558F5" w:rsidRDefault="009558F5" w:rsidP="00DA1AD1">
        <w:pPr>
          <w:pStyle w:val="Header"/>
        </w:pPr>
      </w:p>
      <w:p w14:paraId="63AED1D7" w14:textId="77777777" w:rsidR="009558F5" w:rsidRDefault="009558F5" w:rsidP="00DA1AD1">
        <w:pPr>
          <w:pStyle w:val="Header"/>
          <w:rPr>
            <w:color w:val="1B365D"/>
            <w:sz w:val="20"/>
            <w:szCs w:val="20"/>
          </w:rPr>
        </w:pPr>
        <w:r w:rsidRPr="002A65CC">
          <w:rPr>
            <w:rFonts w:ascii="Arial" w:hAnsi="Arial"/>
            <w:noProof/>
            <w:color w:val="1B365D"/>
            <w:sz w:val="20"/>
            <w:szCs w:val="20"/>
            <w:lang w:eastAsia="en-AU"/>
          </w:rPr>
          <mc:AlternateContent>
            <mc:Choice Requires="wps">
              <w:drawing>
                <wp:inline distT="0" distB="0" distL="0" distR="0" wp14:anchorId="3378324D" wp14:editId="252E8B6A">
                  <wp:extent cx="3369945" cy="0"/>
                  <wp:effectExtent l="0" t="0" r="20955" b="19050"/>
                  <wp:docPr id="39" name="Straight Connector 39" descr="&quot;&quot;"/>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EF5AE" id="Straight Connector 39" o:spid="_x0000_s1026" alt="&quot;&quot;" style="visibility:visible;mso-wrap-style:square;mso-left-percent:-10001;mso-top-percent:-10001;mso-position-horizontal:absolute;mso-position-horizontal-relative:char;mso-position-vertical:absolute;mso-position-vertical-relative:line;mso-left-percent:-10001;mso-top-percent:-10001"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" strokecolor="#ffb81c" strokeweight="1pt">
                  <w10:anchorlock/>
                </v:line>
              </w:pict>
            </mc:Fallback>
          </mc:AlternateContent>
        </w:r>
      </w:p>
      <w:p w14:paraId="381357D0" w14:textId="577FFA36" w:rsidR="00DA1AD1" w:rsidRPr="00DA1AD1" w:rsidRDefault="001F6D24" w:rsidP="00DA1AD1">
        <w:pPr>
          <w:pStyle w:val="Header"/>
        </w:pPr>
        <w:r>
          <w:rPr>
            <w:color w:val="1B365D"/>
            <w:sz w:val="20"/>
            <w:szCs w:val="20"/>
          </w:rPr>
          <w:t>C</w:t>
        </w:r>
        <w:r w:rsidR="00CE49AB">
          <w:rPr>
            <w:color w:val="1B365D"/>
            <w:sz w:val="20"/>
            <w:szCs w:val="20"/>
          </w:rPr>
          <w:t>leaning supply chain</w:t>
        </w:r>
        <w:r>
          <w:rPr>
            <w:color w:val="1B365D"/>
            <w:sz w:val="20"/>
            <w:szCs w:val="20"/>
          </w:rPr>
          <w:t>s</w:t>
        </w:r>
        <w:r w:rsidR="00CE49AB">
          <w:rPr>
            <w:color w:val="1B365D"/>
            <w:sz w:val="20"/>
            <w:szCs w:val="20"/>
          </w:rPr>
          <w:t xml:space="preserve"> </w:t>
        </w:r>
        <w:r w:rsidRPr="002A65CC">
          <w:rPr>
            <w:rFonts w:cstheme="minorHAnsi"/>
            <w:noProof/>
            <w:color w:val="1B365D"/>
            <w:sz w:val="20"/>
            <w:szCs w:val="20"/>
            <w:lang w:eastAsia="en-AU"/>
          </w:rPr>
          <mc:AlternateContent>
            <mc:Choice Requires="wps">
              <w:drawing>
                <wp:anchor distT="0" distB="0" distL="114300" distR="114300" simplePos="0" relativeHeight="251675648" behindDoc="1" locked="0" layoutInCell="1" allowOverlap="1" wp14:anchorId="24BE102E" wp14:editId="648B9031">
                  <wp:simplePos x="0" y="0"/>
                  <wp:positionH relativeFrom="page">
                    <wp:posOffset>6678295</wp:posOffset>
                  </wp:positionH>
                  <wp:positionV relativeFrom="page">
                    <wp:posOffset>9793605</wp:posOffset>
                  </wp:positionV>
                  <wp:extent cx="882015" cy="882015"/>
                  <wp:effectExtent l="0" t="0" r="0" b="0"/>
                  <wp:wrapNone/>
                  <wp:docPr id="40" name="Right Triangle 40" descr="&quot;&quot;"/>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B13FD0"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alt="&quot;&quot;" style="position:absolute;margin-left:525.85pt;margin-top:771.15pt;width:69.45pt;height:69.45pt;flip:x;z-index:-2516408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" fillcolor="#9bcbeb" stroked="f" strokeweight="2pt">
                  <v:fill opacity="19789f"/>
                  <w10:wrap anchorx="page" anchory="page"/>
                </v:shape>
              </w:pict>
            </mc:Fallback>
          </mc:AlternateContent>
        </w:r>
        <w:r>
          <w:rPr>
            <w:color w:val="1B365D"/>
            <w:sz w:val="20"/>
            <w:szCs w:val="20"/>
          </w:rPr>
          <w:t xml:space="preserve">in Victorian government schools </w:t>
        </w:r>
        <w:r w:rsidR="00CE49AB">
          <w:rPr>
            <w:color w:val="1B365D"/>
            <w:sz w:val="20"/>
            <w:szCs w:val="20"/>
          </w:rPr>
          <w:t>– compliance activity report</w:t>
        </w:r>
      </w:p>
      <w:p w14:paraId="591C9696" w14:textId="325CECAB" w:rsidR="00DA1AD1" w:rsidRDefault="00DA1AD1" w:rsidP="00DA1AD1">
        <w:pPr>
          <w:pStyle w:val="Footer"/>
          <w:jc w:val="right"/>
          <w:rPr>
            <w:noProof/>
          </w:rPr>
        </w:pPr>
        <w:r>
          <w:fldChar w:fldCharType="begin"/>
        </w:r>
        <w:r>
          <w:instrText xml:space="preserve"> PAGE   \* MERGEFORMAT </w:instrText>
        </w:r>
        <w:r>
          <w:fldChar w:fldCharType="separate"/>
        </w:r>
        <w:r w:rsidR="00514DAE">
          <w:rPr>
            <w:noProof/>
          </w:rPr>
          <w:t>1</w:t>
        </w:r>
        <w:r>
          <w:rPr>
            <w:noProof/>
          </w:rPr>
          <w:fldChar w:fldCharType="end"/>
        </w:r>
      </w:p>
      <w:p w14:paraId="38C9D208" w14:textId="77777777" w:rsidR="00AB465A" w:rsidRPr="00DA1AD1" w:rsidRDefault="00514DAE" w:rsidP="00DA1AD1">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3923" w14:textId="77777777" w:rsidR="00671FE2" w:rsidRDefault="00671FE2" w:rsidP="00AB465A">
      <w:pPr>
        <w:spacing w:after="0" w:line="240" w:lineRule="auto"/>
      </w:pPr>
      <w:r>
        <w:separator/>
      </w:r>
    </w:p>
  </w:footnote>
  <w:footnote w:type="continuationSeparator" w:id="0">
    <w:p w14:paraId="6D60AC10" w14:textId="77777777" w:rsidR="00671FE2" w:rsidRDefault="00671FE2" w:rsidP="00AB465A">
      <w:pPr>
        <w:spacing w:after="0" w:line="240" w:lineRule="auto"/>
      </w:pPr>
      <w:r>
        <w:continuationSeparator/>
      </w:r>
    </w:p>
  </w:footnote>
  <w:footnote w:id="1">
    <w:p w14:paraId="62D8AFB6" w14:textId="7FEFEC34" w:rsidR="00CE49AB" w:rsidRPr="003B03C1" w:rsidRDefault="00CE49AB" w:rsidP="00CB2008">
      <w:pPr>
        <w:pStyle w:val="FootnoteText"/>
        <w:spacing w:before="0" w:line="240" w:lineRule="auto"/>
        <w:rPr>
          <w:rFonts w:asciiTheme="minorHAnsi" w:hAnsiTheme="minorHAnsi" w:cstheme="minorHAnsi"/>
        </w:rPr>
      </w:pPr>
      <w:r w:rsidRPr="003B03C1">
        <w:rPr>
          <w:rStyle w:val="FootnoteReference"/>
          <w:rFonts w:asciiTheme="minorHAnsi" w:hAnsiTheme="minorHAnsi" w:cstheme="minorHAnsi"/>
        </w:rPr>
        <w:footnoteRef/>
      </w:r>
      <w:r w:rsidRPr="003B03C1">
        <w:rPr>
          <w:rFonts w:asciiTheme="minorHAnsi" w:hAnsiTheme="minorHAnsi" w:cstheme="minorHAnsi"/>
        </w:rPr>
        <w:t xml:space="preserve"> </w:t>
      </w:r>
      <w:r w:rsidRPr="003B03C1">
        <w:rPr>
          <w:rFonts w:asciiTheme="minorHAnsi" w:hAnsiTheme="minorHAnsi" w:cstheme="minorHAnsi"/>
          <w:sz w:val="16"/>
          <w:szCs w:val="16"/>
        </w:rPr>
        <w:t>FWO website: https://www.fairwork.gov.au/ArticleDocuments/1416/veracity-property-services-pty-ltd-eu-redacted.docx.aspx</w:t>
      </w:r>
    </w:p>
  </w:footnote>
  <w:footnote w:id="2">
    <w:p w14:paraId="351EF100" w14:textId="77777777" w:rsidR="00671FE2" w:rsidRPr="003B03C1" w:rsidRDefault="00671FE2" w:rsidP="00CB2008">
      <w:pPr>
        <w:pStyle w:val="FootnoteText"/>
        <w:spacing w:before="0" w:line="240" w:lineRule="auto"/>
        <w:rPr>
          <w:rFonts w:asciiTheme="minorHAnsi" w:hAnsiTheme="minorHAnsi" w:cstheme="minorHAnsi"/>
        </w:rPr>
      </w:pPr>
      <w:r w:rsidRPr="003B03C1">
        <w:rPr>
          <w:rStyle w:val="FootnoteReference"/>
          <w:rFonts w:asciiTheme="minorHAnsi" w:hAnsiTheme="minorHAnsi" w:cstheme="minorHAnsi"/>
        </w:rPr>
        <w:footnoteRef/>
      </w:r>
      <w:r w:rsidRPr="003B03C1">
        <w:rPr>
          <w:rFonts w:asciiTheme="minorHAnsi" w:hAnsiTheme="minorHAnsi" w:cstheme="minorHAnsi"/>
        </w:rPr>
        <w:t xml:space="preserve"> </w:t>
      </w:r>
      <w:r w:rsidRPr="003B03C1">
        <w:rPr>
          <w:rFonts w:asciiTheme="minorHAnsi" w:hAnsiTheme="minorHAnsi" w:cstheme="minorHAnsi"/>
          <w:sz w:val="16"/>
          <w:szCs w:val="16"/>
        </w:rPr>
        <w:t>FWO website: https://www.fairwork.gov.au/about-us/our-role/enforcing-the-legislation/litigation/accessorial-franchisor-and-holding-company-liability</w:t>
      </w:r>
    </w:p>
  </w:footnote>
  <w:footnote w:id="3">
    <w:p w14:paraId="0A773267" w14:textId="77777777" w:rsidR="00CE49AB" w:rsidRDefault="00CE49AB" w:rsidP="00CB2008">
      <w:pPr>
        <w:pStyle w:val="FootnoteText"/>
        <w:spacing w:before="0" w:line="240" w:lineRule="auto"/>
      </w:pPr>
      <w:r w:rsidRPr="003B03C1">
        <w:rPr>
          <w:rStyle w:val="FootnoteReference"/>
          <w:rFonts w:asciiTheme="minorHAnsi" w:hAnsiTheme="minorHAnsi" w:cstheme="minorHAnsi"/>
        </w:rPr>
        <w:footnoteRef/>
      </w:r>
      <w:r w:rsidRPr="003B03C1">
        <w:rPr>
          <w:rFonts w:asciiTheme="minorHAnsi" w:hAnsiTheme="minorHAnsi" w:cstheme="minorHAnsi"/>
        </w:rPr>
        <w:t xml:space="preserve"> </w:t>
      </w:r>
      <w:r w:rsidRPr="003B03C1">
        <w:rPr>
          <w:rFonts w:asciiTheme="minorHAnsi" w:hAnsiTheme="minorHAnsi" w:cstheme="minorHAnsi"/>
          <w:sz w:val="16"/>
          <w:szCs w:val="16"/>
        </w:rPr>
        <w:t>FWO media release: https://www.fairwork.gov.au/about-us/news-and-media-releases/2018-media-releases/august-2018/20180810-veractiy-property-services-eu-release</w:t>
      </w:r>
    </w:p>
  </w:footnote>
  <w:footnote w:id="4">
    <w:p w14:paraId="7F1061E4" w14:textId="77777777" w:rsidR="00671FE2" w:rsidRPr="003B03C1" w:rsidRDefault="00671FE2" w:rsidP="003B03C1">
      <w:pPr>
        <w:pStyle w:val="FootnoteText"/>
        <w:spacing w:before="0" w:line="240" w:lineRule="auto"/>
        <w:rPr>
          <w:rFonts w:asciiTheme="minorHAnsi" w:hAnsiTheme="minorHAnsi" w:cstheme="minorHAnsi"/>
          <w:sz w:val="16"/>
          <w:szCs w:val="16"/>
        </w:rPr>
      </w:pPr>
      <w:r w:rsidRPr="003B03C1">
        <w:rPr>
          <w:rStyle w:val="FootnoteReference"/>
          <w:rFonts w:asciiTheme="minorHAnsi" w:hAnsiTheme="minorHAnsi" w:cstheme="minorHAnsi"/>
          <w:sz w:val="16"/>
          <w:szCs w:val="16"/>
        </w:rPr>
        <w:footnoteRef/>
      </w:r>
      <w:r w:rsidRPr="003B03C1">
        <w:rPr>
          <w:rFonts w:asciiTheme="minorHAnsi" w:hAnsiTheme="minorHAnsi" w:cstheme="minorHAnsi"/>
          <w:sz w:val="16"/>
          <w:szCs w:val="16"/>
        </w:rPr>
        <w:t xml:space="preserve"> One cleaning company entered into external administration</w:t>
      </w:r>
    </w:p>
  </w:footnote>
  <w:footnote w:id="5">
    <w:p w14:paraId="67E57696" w14:textId="77777777" w:rsidR="00AB20CA" w:rsidRDefault="00AB20CA" w:rsidP="003B03C1">
      <w:pPr>
        <w:pStyle w:val="FootnoteText"/>
        <w:spacing w:before="0" w:line="240" w:lineRule="auto"/>
      </w:pPr>
      <w:r w:rsidRPr="003B03C1">
        <w:rPr>
          <w:rStyle w:val="FootnoteReference"/>
          <w:rFonts w:asciiTheme="minorHAnsi" w:hAnsiTheme="minorHAnsi" w:cstheme="minorHAnsi"/>
        </w:rPr>
        <w:footnoteRef/>
      </w:r>
      <w:r w:rsidRPr="003B03C1">
        <w:rPr>
          <w:rFonts w:asciiTheme="minorHAnsi" w:hAnsiTheme="minorHAnsi" w:cstheme="minorHAnsi"/>
        </w:rPr>
        <w:t xml:space="preserve"> </w:t>
      </w:r>
      <w:r w:rsidRPr="003B03C1">
        <w:rPr>
          <w:rStyle w:val="Hyperlink"/>
          <w:rFonts w:asciiTheme="minorHAnsi" w:hAnsiTheme="minorHAnsi" w:cstheme="minorHAnsi"/>
          <w:sz w:val="16"/>
          <w:szCs w:val="16"/>
        </w:rPr>
        <w:t>https://www.cleaningaccountability.org.au/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80FB" w14:textId="77777777" w:rsidR="00514DAE" w:rsidRDefault="0051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0A08" w14:textId="77777777" w:rsidR="00514DAE" w:rsidRDefault="0051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6E85" w14:textId="77777777" w:rsidR="00AB465A" w:rsidRPr="00583EDF" w:rsidRDefault="00727206" w:rsidP="00583EDF">
    <w:pPr>
      <w:tabs>
        <w:tab w:val="center" w:pos="4820"/>
        <w:tab w:val="right" w:pos="9639"/>
      </w:tabs>
      <w:spacing w:after="0"/>
      <w:ind w:left="-851"/>
      <w:rPr>
        <w:rFonts w:cs="HelveticaNeue-Light"/>
        <w:color w:val="000000"/>
        <w:sz w:val="32"/>
        <w:szCs w:val="44"/>
      </w:rPr>
    </w:pPr>
    <w:r>
      <w:rPr>
        <w:rFonts w:cs="HelveticaNeue-Light"/>
        <w:noProof/>
        <w:color w:val="000000"/>
        <w:sz w:val="32"/>
        <w:szCs w:val="44"/>
        <w:lang w:eastAsia="en-AU"/>
      </w:rPr>
      <w:drawing>
        <wp:inline distT="0" distB="0" distL="0" distR="0" wp14:anchorId="4D974985" wp14:editId="66AF1E34">
          <wp:extent cx="2971165" cy="541655"/>
          <wp:effectExtent l="0" t="0" r="635" b="0"/>
          <wp:docPr id="90" name="Picture 90"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inline>
      </w:drawing>
    </w:r>
    <w:r>
      <w:rPr>
        <w:rFonts w:cs="HelveticaNeue-Light"/>
        <w:noProof/>
        <w:color w:val="000000"/>
        <w:sz w:val="32"/>
        <w:szCs w:val="44"/>
        <w:lang w:eastAsia="en-AU"/>
      </w:rPr>
      <mc:AlternateContent>
        <mc:Choice Requires="wps">
          <w:drawing>
            <wp:anchor distT="0" distB="0" distL="114300" distR="114300" simplePos="0" relativeHeight="251659264" behindDoc="1" locked="0" layoutInCell="1" allowOverlap="1" wp14:anchorId="64844E47" wp14:editId="139D4976">
              <wp:simplePos x="0" y="0"/>
              <wp:positionH relativeFrom="column">
                <wp:posOffset>-828202</wp:posOffset>
              </wp:positionH>
              <wp:positionV relativeFrom="page">
                <wp:posOffset>10160</wp:posOffset>
              </wp:positionV>
              <wp:extent cx="7548880" cy="1031240"/>
              <wp:effectExtent l="0" t="0" r="0" b="0"/>
              <wp:wrapNone/>
              <wp:docPr id="1" name="Rectangle 1" descr="&quot;&quot;"/>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997FE" id="Rectangle 1" o:spid="_x0000_s1026" alt="&quot;&quot;" style="position:absolute;margin-left:-65.2pt;margin-top:.8pt;width:594.4pt;height:81.2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" fillcolor="#1b365d"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D7D5F"/>
    <w:multiLevelType w:val="hybridMultilevel"/>
    <w:tmpl w:val="7916CAFC"/>
    <w:lvl w:ilvl="0" w:tplc="523A12A6">
      <w:start w:val="1"/>
      <w:numFmt w:val="bullet"/>
      <w:pStyle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A75A44"/>
    <w:multiLevelType w:val="hybridMultilevel"/>
    <w:tmpl w:val="73CA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1"/>
    <w:lvlOverride w:ilvl="0">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E2"/>
    <w:rsid w:val="00011400"/>
    <w:rsid w:val="00087CFA"/>
    <w:rsid w:val="00093049"/>
    <w:rsid w:val="000D46B8"/>
    <w:rsid w:val="00174429"/>
    <w:rsid w:val="001C4D24"/>
    <w:rsid w:val="001C6451"/>
    <w:rsid w:val="001F6D24"/>
    <w:rsid w:val="00220114"/>
    <w:rsid w:val="00232CA4"/>
    <w:rsid w:val="002370DB"/>
    <w:rsid w:val="0024678E"/>
    <w:rsid w:val="002666D5"/>
    <w:rsid w:val="0026797B"/>
    <w:rsid w:val="002853C6"/>
    <w:rsid w:val="002A65CC"/>
    <w:rsid w:val="002E28E8"/>
    <w:rsid w:val="002E78A5"/>
    <w:rsid w:val="00365D8F"/>
    <w:rsid w:val="00370DEA"/>
    <w:rsid w:val="003B03C1"/>
    <w:rsid w:val="003B3DEA"/>
    <w:rsid w:val="003C1CBC"/>
    <w:rsid w:val="003D3891"/>
    <w:rsid w:val="00465E7E"/>
    <w:rsid w:val="00483507"/>
    <w:rsid w:val="00485599"/>
    <w:rsid w:val="00486F77"/>
    <w:rsid w:val="004874D2"/>
    <w:rsid w:val="004C1547"/>
    <w:rsid w:val="00514DAE"/>
    <w:rsid w:val="005261A5"/>
    <w:rsid w:val="00637C4A"/>
    <w:rsid w:val="00671FE2"/>
    <w:rsid w:val="00703886"/>
    <w:rsid w:val="00727206"/>
    <w:rsid w:val="00781581"/>
    <w:rsid w:val="00786E3C"/>
    <w:rsid w:val="007A6811"/>
    <w:rsid w:val="007B6AC8"/>
    <w:rsid w:val="007D19A1"/>
    <w:rsid w:val="007E5FAD"/>
    <w:rsid w:val="00803A9A"/>
    <w:rsid w:val="00840520"/>
    <w:rsid w:val="00856542"/>
    <w:rsid w:val="0087639C"/>
    <w:rsid w:val="009470A4"/>
    <w:rsid w:val="009558F5"/>
    <w:rsid w:val="009946F6"/>
    <w:rsid w:val="00995EBE"/>
    <w:rsid w:val="00A25A80"/>
    <w:rsid w:val="00A267BA"/>
    <w:rsid w:val="00A841DA"/>
    <w:rsid w:val="00A97F48"/>
    <w:rsid w:val="00AA0244"/>
    <w:rsid w:val="00AA1953"/>
    <w:rsid w:val="00AB20CA"/>
    <w:rsid w:val="00AB465A"/>
    <w:rsid w:val="00AB5511"/>
    <w:rsid w:val="00AF74D9"/>
    <w:rsid w:val="00B02B68"/>
    <w:rsid w:val="00B40CB8"/>
    <w:rsid w:val="00B478AD"/>
    <w:rsid w:val="00B56C5A"/>
    <w:rsid w:val="00B644C7"/>
    <w:rsid w:val="00B912D6"/>
    <w:rsid w:val="00B9537A"/>
    <w:rsid w:val="00BA5269"/>
    <w:rsid w:val="00BB53D7"/>
    <w:rsid w:val="00BC0303"/>
    <w:rsid w:val="00C079AD"/>
    <w:rsid w:val="00C72594"/>
    <w:rsid w:val="00CA39F1"/>
    <w:rsid w:val="00CB2008"/>
    <w:rsid w:val="00CE49AB"/>
    <w:rsid w:val="00CE6055"/>
    <w:rsid w:val="00D11BC7"/>
    <w:rsid w:val="00D20453"/>
    <w:rsid w:val="00D316FC"/>
    <w:rsid w:val="00D77F98"/>
    <w:rsid w:val="00D95B26"/>
    <w:rsid w:val="00D960E2"/>
    <w:rsid w:val="00DA1AD1"/>
    <w:rsid w:val="00DA7095"/>
    <w:rsid w:val="00DB083C"/>
    <w:rsid w:val="00E13A01"/>
    <w:rsid w:val="00E62AC7"/>
    <w:rsid w:val="00E80136"/>
    <w:rsid w:val="00EA6B05"/>
    <w:rsid w:val="00EF0604"/>
    <w:rsid w:val="00F210A5"/>
    <w:rsid w:val="00FC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E5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2A65CC"/>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B40CB8"/>
    <w:pPr>
      <w:keepNext/>
      <w:keepLines/>
      <w:spacing w:before="60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995EBE"/>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995E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2A65CC"/>
    <w:pPr>
      <w:numPr>
        <w:numId w:val="4"/>
      </w:numPr>
      <w:spacing w:before="120" w:after="0" w:line="320" w:lineRule="exact"/>
    </w:pPr>
    <w:rPr>
      <w:rFonts w:eastAsiaTheme="minorHAnsi"/>
      <w:szCs w:val="22"/>
    </w:rPr>
  </w:style>
  <w:style w:type="paragraph" w:customStyle="1" w:styleId="Calloutbox">
    <w:name w:val="Callout box"/>
    <w:basedOn w:val="Normal"/>
    <w:next w:val="Normal"/>
    <w:link w:val="CalloutboxChar"/>
    <w:autoRedefine/>
    <w:qFormat/>
    <w:rsid w:val="00CB2008"/>
    <w:pPr>
      <w:pBdr>
        <w:left w:val="single" w:sz="24" w:space="4" w:color="9BCBEB"/>
        <w:right w:val="single" w:sz="24" w:space="4" w:color="9BCBEB"/>
      </w:pBdr>
      <w:shd w:val="clear" w:color="auto" w:fill="E7F2FA"/>
      <w:spacing w:before="240" w:after="240" w:line="320" w:lineRule="exact"/>
      <w:ind w:left="284" w:right="284"/>
    </w:pPr>
    <w:rPr>
      <w:rFonts w:eastAsiaTheme="minorHAnsi"/>
      <w:szCs w:val="22"/>
    </w:rPr>
  </w:style>
  <w:style w:type="character" w:customStyle="1" w:styleId="CalloutboxChar">
    <w:name w:val="Callout box Char"/>
    <w:basedOn w:val="DefaultParagraphFont"/>
    <w:link w:val="Calloutbox"/>
    <w:rsid w:val="00CB2008"/>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B40CB8"/>
    <w:rPr>
      <w:rFonts w:ascii="Calibri Light" w:hAnsi="Calibri Light" w:cs="Arial"/>
      <w:color w:val="1B365D"/>
      <w:sz w:val="60"/>
      <w:szCs w:val="26"/>
    </w:rPr>
  </w:style>
  <w:style w:type="character" w:customStyle="1" w:styleId="Heading2Char">
    <w:name w:val="Heading 2 Char"/>
    <w:basedOn w:val="DefaultParagraphFont"/>
    <w:link w:val="Heading2"/>
    <w:uiPriority w:val="9"/>
    <w:rsid w:val="00995EBE"/>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995E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pPr>
      <w:spacing w:before="120" w:after="0"/>
    </w:pPr>
    <w:rPr>
      <w:rFonts w:ascii="Arial" w:hAnsi="Arial"/>
    </w:rPr>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uiPriority w:val="99"/>
    <w:rsid w:val="002A65CC"/>
    <w:pPr>
      <w:spacing w:before="120" w:after="0"/>
    </w:pPr>
    <w:rPr>
      <w:rFonts w:ascii="Arial" w:hAnsi="Arial"/>
    </w:rPr>
  </w:style>
  <w:style w:type="character" w:customStyle="1" w:styleId="FootnoteTextChar">
    <w:name w:val="Footnote Text Char"/>
    <w:basedOn w:val="DefaultParagraphFont"/>
    <w:link w:val="FootnoteText"/>
    <w:uiPriority w:val="99"/>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F6D24"/>
    <w:pPr>
      <w:spacing w:before="0" w:after="120"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1F6D24"/>
    <w:rPr>
      <w:rFonts w:asciiTheme="minorHAnsi" w:hAnsiTheme="minorHAnsi" w:cs="Arial"/>
      <w:b/>
      <w:bCs/>
      <w:sz w:val="22"/>
      <w:szCs w:val="24"/>
    </w:rPr>
  </w:style>
  <w:style w:type="character" w:styleId="Hyperlink">
    <w:name w:val="Hyperlink"/>
    <w:basedOn w:val="DefaultParagraphFont"/>
    <w:uiPriority w:val="99"/>
    <w:rsid w:val="00AB20CA"/>
    <w:rPr>
      <w:rFonts w:ascii="Arial" w:hAnsi="Arial" w:cs="Times New Roman"/>
      <w:color w:val="0000FF"/>
      <w:u w:val="single"/>
    </w:rPr>
  </w:style>
  <w:style w:type="paragraph" w:styleId="ListParagraph">
    <w:name w:val="List Paragraph"/>
    <w:basedOn w:val="Normal"/>
    <w:uiPriority w:val="34"/>
    <w:rsid w:val="0022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3A67-8455-4A8E-8168-CAB3A207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72B85880.dotm</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2019-11-27T23:20:00Z</dcterms:created>
  <dcterms:modified xsi:type="dcterms:W3CDTF">2019-11-27T23:20:00Z</dcterms:modified>
</cp:coreProperties>
</file>