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34D7B" w14:textId="1F62C650" w:rsidR="00F20E5B" w:rsidRDefault="00DB1857" w:rsidP="005B4000">
      <w:pPr>
        <w:pStyle w:val="CoverReportTitle"/>
      </w:pPr>
      <w:bookmarkStart w:id="0" w:name="_GoBack"/>
      <w:bookmarkEnd w:id="0"/>
      <w:r>
        <w:t xml:space="preserve">VIC </w:t>
      </w:r>
      <w:r w:rsidR="00AE058C">
        <w:t>Loddon</w:t>
      </w:r>
      <w:r w:rsidR="00AA458C">
        <w:t>/</w:t>
      </w:r>
      <w:r w:rsidR="00A90141">
        <w:t xml:space="preserve">Elmore and </w:t>
      </w:r>
      <w:r>
        <w:t>Campaspe Regional Campaign</w:t>
      </w:r>
    </w:p>
    <w:p w14:paraId="00234D7D" w14:textId="77777777" w:rsidR="00DB1857" w:rsidRDefault="00DB1857" w:rsidP="00C926EF">
      <w:pPr>
        <w:pStyle w:val="CoverReportSubTitle"/>
      </w:pPr>
    </w:p>
    <w:p w14:paraId="00234D7E" w14:textId="77777777" w:rsidR="00DB1857" w:rsidRDefault="00DB1857" w:rsidP="00C926EF">
      <w:pPr>
        <w:pStyle w:val="CoverReportSubTitle"/>
      </w:pPr>
    </w:p>
    <w:p w14:paraId="00234D7F" w14:textId="77777777" w:rsidR="003952ED" w:rsidRDefault="00BF5EE0" w:rsidP="00C926EF">
      <w:pPr>
        <w:pStyle w:val="CoverReportSubTitle"/>
      </w:pPr>
      <w:r>
        <w:t xml:space="preserve">Report - </w:t>
      </w:r>
      <w:r w:rsidR="00964910">
        <w:t>May</w:t>
      </w:r>
      <w:r w:rsidR="00F20E5B">
        <w:t xml:space="preserve"> 2016</w:t>
      </w:r>
    </w:p>
    <w:p w14:paraId="00234D80" w14:textId="77777777" w:rsidR="00E86F40" w:rsidRDefault="00E86F40" w:rsidP="00F74EB8"/>
    <w:p w14:paraId="00234D81" w14:textId="77777777" w:rsidR="00E86F40" w:rsidRPr="00BF0029" w:rsidRDefault="00E86F40" w:rsidP="00F74EB8">
      <w:r>
        <w:t xml:space="preserve">A report prepared by the Fair Work Ombudsman under the </w:t>
      </w:r>
      <w:r w:rsidRPr="00F20E5B">
        <w:rPr>
          <w:i/>
        </w:rPr>
        <w:t>Fair Work Act 2009</w:t>
      </w:r>
    </w:p>
    <w:p w14:paraId="00234D82" w14:textId="77777777" w:rsidR="001F20C3" w:rsidRPr="006A412C" w:rsidRDefault="009629F3" w:rsidP="00F74EB8">
      <w:r w:rsidRPr="0045600E">
        <w:t>©</w:t>
      </w:r>
      <w:r w:rsidR="00CC7FFE" w:rsidRPr="0045600E">
        <w:t xml:space="preserve"> </w:t>
      </w:r>
      <w:r w:rsidRPr="0045600E">
        <w:t>Commonwealth of Australia, 201</w:t>
      </w:r>
      <w:r w:rsidR="00DB1857">
        <w:t>6</w:t>
      </w:r>
      <w:r w:rsidR="001F20C3">
        <w:br w:type="page"/>
      </w:r>
    </w:p>
    <w:p w14:paraId="00234D83" w14:textId="77777777" w:rsidR="00BF0029" w:rsidRDefault="00BF0029" w:rsidP="00F74EB8">
      <w:pPr>
        <w:pStyle w:val="Header"/>
        <w:jc w:val="left"/>
        <w:rPr>
          <w:rFonts w:eastAsiaTheme="minorHAnsi" w:cs="Times New Roman"/>
          <w:szCs w:val="22"/>
          <w:lang w:eastAsia="en-AU"/>
        </w:rPr>
      </w:pPr>
      <w:r>
        <w:lastRenderedPageBreak/>
        <w:tab/>
      </w:r>
    </w:p>
    <w:p w14:paraId="00234D84" w14:textId="77777777" w:rsidR="00E86F40" w:rsidRDefault="00E86F40" w:rsidP="00F74EB8">
      <w:pPr>
        <w:pStyle w:val="Heading1"/>
      </w:pPr>
      <w:bookmarkStart w:id="1" w:name="_Toc428272492"/>
      <w:bookmarkStart w:id="2" w:name="_Toc449685691"/>
      <w:r>
        <w:t>Table of Contents</w:t>
      </w:r>
      <w:bookmarkEnd w:id="1"/>
      <w:bookmarkEnd w:id="2"/>
    </w:p>
    <w:p w14:paraId="00234D85" w14:textId="77777777" w:rsidR="00BF0029" w:rsidRDefault="00BF0029" w:rsidP="00F74EB8"/>
    <w:p w14:paraId="00234D86" w14:textId="77777777" w:rsidR="007B505A" w:rsidRDefault="00BF0029">
      <w:pPr>
        <w:pStyle w:val="TOC1"/>
        <w:rPr>
          <w:rFonts w:asciiTheme="minorHAnsi" w:eastAsiaTheme="minorEastAsia" w:hAnsiTheme="minorHAnsi" w:cstheme="minorBidi"/>
          <w:noProof/>
          <w:spacing w:val="0"/>
          <w:szCs w:val="22"/>
          <w:lang w:eastAsia="en-AU"/>
        </w:rPr>
      </w:pPr>
      <w:r>
        <w:rPr>
          <w:b/>
        </w:rPr>
        <w:fldChar w:fldCharType="begin"/>
      </w:r>
      <w:r>
        <w:rPr>
          <w:b/>
        </w:rPr>
        <w:instrText xml:space="preserve"> TOC \o "1-2" \h \z \u </w:instrText>
      </w:r>
      <w:r>
        <w:rPr>
          <w:b/>
        </w:rPr>
        <w:fldChar w:fldCharType="separate"/>
      </w:r>
      <w:hyperlink w:anchor="_Toc449685691" w:history="1">
        <w:r w:rsidR="007B505A" w:rsidRPr="00106C99">
          <w:rPr>
            <w:rStyle w:val="Hyperlink"/>
            <w:noProof/>
          </w:rPr>
          <w:t>Table of Contents</w:t>
        </w:r>
        <w:r w:rsidR="007B505A">
          <w:rPr>
            <w:noProof/>
            <w:webHidden/>
          </w:rPr>
          <w:tab/>
        </w:r>
        <w:r w:rsidR="007B505A">
          <w:rPr>
            <w:noProof/>
            <w:webHidden/>
          </w:rPr>
          <w:fldChar w:fldCharType="begin"/>
        </w:r>
        <w:r w:rsidR="007B505A">
          <w:rPr>
            <w:noProof/>
            <w:webHidden/>
          </w:rPr>
          <w:instrText xml:space="preserve"> PAGEREF _Toc449685691 \h </w:instrText>
        </w:r>
        <w:r w:rsidR="007B505A">
          <w:rPr>
            <w:noProof/>
            <w:webHidden/>
          </w:rPr>
        </w:r>
        <w:r w:rsidR="007B505A">
          <w:rPr>
            <w:noProof/>
            <w:webHidden/>
          </w:rPr>
          <w:fldChar w:fldCharType="separate"/>
        </w:r>
        <w:r w:rsidR="007B505A">
          <w:rPr>
            <w:noProof/>
            <w:webHidden/>
          </w:rPr>
          <w:t>2</w:t>
        </w:r>
        <w:r w:rsidR="007B505A">
          <w:rPr>
            <w:noProof/>
            <w:webHidden/>
          </w:rPr>
          <w:fldChar w:fldCharType="end"/>
        </w:r>
      </w:hyperlink>
    </w:p>
    <w:p w14:paraId="00234D87" w14:textId="77777777" w:rsidR="007B505A" w:rsidRDefault="00CD432C">
      <w:pPr>
        <w:pStyle w:val="TOC1"/>
        <w:rPr>
          <w:rFonts w:asciiTheme="minorHAnsi" w:eastAsiaTheme="minorEastAsia" w:hAnsiTheme="minorHAnsi" w:cstheme="minorBidi"/>
          <w:noProof/>
          <w:spacing w:val="0"/>
          <w:szCs w:val="22"/>
          <w:lang w:eastAsia="en-AU"/>
        </w:rPr>
      </w:pPr>
      <w:hyperlink w:anchor="_Toc449685692" w:history="1">
        <w:r w:rsidR="007B505A" w:rsidRPr="00106C99">
          <w:rPr>
            <w:rStyle w:val="Hyperlink"/>
            <w:noProof/>
          </w:rPr>
          <w:t>Infographic Page</w:t>
        </w:r>
        <w:r w:rsidR="007B505A">
          <w:rPr>
            <w:noProof/>
            <w:webHidden/>
          </w:rPr>
          <w:tab/>
        </w:r>
        <w:r w:rsidR="007B505A">
          <w:rPr>
            <w:noProof/>
            <w:webHidden/>
          </w:rPr>
          <w:fldChar w:fldCharType="begin"/>
        </w:r>
        <w:r w:rsidR="007B505A">
          <w:rPr>
            <w:noProof/>
            <w:webHidden/>
          </w:rPr>
          <w:instrText xml:space="preserve"> PAGEREF _Toc449685692 \h </w:instrText>
        </w:r>
        <w:r w:rsidR="007B505A">
          <w:rPr>
            <w:noProof/>
            <w:webHidden/>
          </w:rPr>
        </w:r>
        <w:r w:rsidR="007B505A">
          <w:rPr>
            <w:noProof/>
            <w:webHidden/>
          </w:rPr>
          <w:fldChar w:fldCharType="separate"/>
        </w:r>
        <w:r w:rsidR="007B505A">
          <w:rPr>
            <w:noProof/>
            <w:webHidden/>
          </w:rPr>
          <w:t>3</w:t>
        </w:r>
        <w:r w:rsidR="007B505A">
          <w:rPr>
            <w:noProof/>
            <w:webHidden/>
          </w:rPr>
          <w:fldChar w:fldCharType="end"/>
        </w:r>
      </w:hyperlink>
    </w:p>
    <w:p w14:paraId="00234D88" w14:textId="77777777" w:rsidR="007B505A" w:rsidRDefault="00CD432C">
      <w:pPr>
        <w:pStyle w:val="TOC1"/>
        <w:rPr>
          <w:rFonts w:asciiTheme="minorHAnsi" w:eastAsiaTheme="minorEastAsia" w:hAnsiTheme="minorHAnsi" w:cstheme="minorBidi"/>
          <w:noProof/>
          <w:spacing w:val="0"/>
          <w:szCs w:val="22"/>
          <w:lang w:eastAsia="en-AU"/>
        </w:rPr>
      </w:pPr>
      <w:hyperlink w:anchor="_Toc449685693" w:history="1">
        <w:r w:rsidR="007B505A" w:rsidRPr="00106C99">
          <w:rPr>
            <w:rStyle w:val="Hyperlink"/>
            <w:noProof/>
          </w:rPr>
          <w:t>Summary</w:t>
        </w:r>
        <w:r w:rsidR="007B505A">
          <w:rPr>
            <w:noProof/>
            <w:webHidden/>
          </w:rPr>
          <w:tab/>
        </w:r>
        <w:r w:rsidR="007B505A">
          <w:rPr>
            <w:noProof/>
            <w:webHidden/>
          </w:rPr>
          <w:fldChar w:fldCharType="begin"/>
        </w:r>
        <w:r w:rsidR="007B505A">
          <w:rPr>
            <w:noProof/>
            <w:webHidden/>
          </w:rPr>
          <w:instrText xml:space="preserve"> PAGEREF _Toc449685693 \h </w:instrText>
        </w:r>
        <w:r w:rsidR="007B505A">
          <w:rPr>
            <w:noProof/>
            <w:webHidden/>
          </w:rPr>
        </w:r>
        <w:r w:rsidR="007B505A">
          <w:rPr>
            <w:noProof/>
            <w:webHidden/>
          </w:rPr>
          <w:fldChar w:fldCharType="separate"/>
        </w:r>
        <w:r w:rsidR="007B505A">
          <w:rPr>
            <w:noProof/>
            <w:webHidden/>
          </w:rPr>
          <w:t>4</w:t>
        </w:r>
        <w:r w:rsidR="007B505A">
          <w:rPr>
            <w:noProof/>
            <w:webHidden/>
          </w:rPr>
          <w:fldChar w:fldCharType="end"/>
        </w:r>
      </w:hyperlink>
    </w:p>
    <w:p w14:paraId="00234D89" w14:textId="77777777" w:rsidR="007B505A" w:rsidRDefault="00CD432C">
      <w:pPr>
        <w:pStyle w:val="TOC1"/>
        <w:rPr>
          <w:rFonts w:asciiTheme="minorHAnsi" w:eastAsiaTheme="minorEastAsia" w:hAnsiTheme="minorHAnsi" w:cstheme="minorBidi"/>
          <w:noProof/>
          <w:spacing w:val="0"/>
          <w:szCs w:val="22"/>
          <w:lang w:eastAsia="en-AU"/>
        </w:rPr>
      </w:pPr>
      <w:hyperlink w:anchor="_Toc449685694" w:history="1">
        <w:r w:rsidR="007B505A" w:rsidRPr="00106C99">
          <w:rPr>
            <w:rStyle w:val="Hyperlink"/>
            <w:noProof/>
          </w:rPr>
          <w:t>What We Did</w:t>
        </w:r>
        <w:r w:rsidR="007B505A">
          <w:rPr>
            <w:noProof/>
            <w:webHidden/>
          </w:rPr>
          <w:tab/>
        </w:r>
        <w:r w:rsidR="007B505A">
          <w:rPr>
            <w:noProof/>
            <w:webHidden/>
          </w:rPr>
          <w:fldChar w:fldCharType="begin"/>
        </w:r>
        <w:r w:rsidR="007B505A">
          <w:rPr>
            <w:noProof/>
            <w:webHidden/>
          </w:rPr>
          <w:instrText xml:space="preserve"> PAGEREF _Toc449685694 \h </w:instrText>
        </w:r>
        <w:r w:rsidR="007B505A">
          <w:rPr>
            <w:noProof/>
            <w:webHidden/>
          </w:rPr>
        </w:r>
        <w:r w:rsidR="007B505A">
          <w:rPr>
            <w:noProof/>
            <w:webHidden/>
          </w:rPr>
          <w:fldChar w:fldCharType="separate"/>
        </w:r>
        <w:r w:rsidR="007B505A">
          <w:rPr>
            <w:noProof/>
            <w:webHidden/>
          </w:rPr>
          <w:t>4</w:t>
        </w:r>
        <w:r w:rsidR="007B505A">
          <w:rPr>
            <w:noProof/>
            <w:webHidden/>
          </w:rPr>
          <w:fldChar w:fldCharType="end"/>
        </w:r>
      </w:hyperlink>
    </w:p>
    <w:p w14:paraId="00234D8A" w14:textId="77777777" w:rsidR="007B505A" w:rsidRDefault="00CD432C">
      <w:pPr>
        <w:pStyle w:val="TOC1"/>
        <w:rPr>
          <w:rFonts w:asciiTheme="minorHAnsi" w:eastAsiaTheme="minorEastAsia" w:hAnsiTheme="minorHAnsi" w:cstheme="minorBidi"/>
          <w:noProof/>
          <w:spacing w:val="0"/>
          <w:szCs w:val="22"/>
          <w:lang w:eastAsia="en-AU"/>
        </w:rPr>
      </w:pPr>
      <w:hyperlink w:anchor="_Toc449685695" w:history="1">
        <w:r w:rsidR="007B505A" w:rsidRPr="00106C99">
          <w:rPr>
            <w:rStyle w:val="Hyperlink"/>
            <w:noProof/>
          </w:rPr>
          <w:t>Outcomes</w:t>
        </w:r>
        <w:r w:rsidR="007B505A">
          <w:rPr>
            <w:noProof/>
            <w:webHidden/>
          </w:rPr>
          <w:tab/>
        </w:r>
        <w:r w:rsidR="007B505A">
          <w:rPr>
            <w:noProof/>
            <w:webHidden/>
          </w:rPr>
          <w:fldChar w:fldCharType="begin"/>
        </w:r>
        <w:r w:rsidR="007B505A">
          <w:rPr>
            <w:noProof/>
            <w:webHidden/>
          </w:rPr>
          <w:instrText xml:space="preserve"> PAGEREF _Toc449685695 \h </w:instrText>
        </w:r>
        <w:r w:rsidR="007B505A">
          <w:rPr>
            <w:noProof/>
            <w:webHidden/>
          </w:rPr>
        </w:r>
        <w:r w:rsidR="007B505A">
          <w:rPr>
            <w:noProof/>
            <w:webHidden/>
          </w:rPr>
          <w:fldChar w:fldCharType="separate"/>
        </w:r>
        <w:r w:rsidR="007B505A">
          <w:rPr>
            <w:noProof/>
            <w:webHidden/>
          </w:rPr>
          <w:t>5</w:t>
        </w:r>
        <w:r w:rsidR="007B505A">
          <w:rPr>
            <w:noProof/>
            <w:webHidden/>
          </w:rPr>
          <w:fldChar w:fldCharType="end"/>
        </w:r>
      </w:hyperlink>
    </w:p>
    <w:p w14:paraId="00234D8B" w14:textId="77777777" w:rsidR="007B505A" w:rsidRDefault="00CD432C">
      <w:pPr>
        <w:pStyle w:val="TOC2"/>
        <w:rPr>
          <w:rFonts w:asciiTheme="minorHAnsi" w:eastAsiaTheme="minorEastAsia" w:hAnsiTheme="minorHAnsi" w:cstheme="minorBidi"/>
          <w:noProof/>
          <w:szCs w:val="22"/>
          <w:lang w:eastAsia="en-AU"/>
        </w:rPr>
      </w:pPr>
      <w:hyperlink w:anchor="_Toc449685696" w:history="1">
        <w:r w:rsidR="007B505A" w:rsidRPr="00106C99">
          <w:rPr>
            <w:rStyle w:val="Hyperlink"/>
            <w:noProof/>
          </w:rPr>
          <w:t>Individual Errors</w:t>
        </w:r>
        <w:r w:rsidR="007B505A">
          <w:rPr>
            <w:noProof/>
            <w:webHidden/>
          </w:rPr>
          <w:tab/>
        </w:r>
        <w:r w:rsidR="007B505A">
          <w:rPr>
            <w:noProof/>
            <w:webHidden/>
          </w:rPr>
          <w:fldChar w:fldCharType="begin"/>
        </w:r>
        <w:r w:rsidR="007B505A">
          <w:rPr>
            <w:noProof/>
            <w:webHidden/>
          </w:rPr>
          <w:instrText xml:space="preserve"> PAGEREF _Toc449685696 \h </w:instrText>
        </w:r>
        <w:r w:rsidR="007B505A">
          <w:rPr>
            <w:noProof/>
            <w:webHidden/>
          </w:rPr>
        </w:r>
        <w:r w:rsidR="007B505A">
          <w:rPr>
            <w:noProof/>
            <w:webHidden/>
          </w:rPr>
          <w:fldChar w:fldCharType="separate"/>
        </w:r>
        <w:r w:rsidR="007B505A">
          <w:rPr>
            <w:noProof/>
            <w:webHidden/>
          </w:rPr>
          <w:t>6</w:t>
        </w:r>
        <w:r w:rsidR="007B505A">
          <w:rPr>
            <w:noProof/>
            <w:webHidden/>
          </w:rPr>
          <w:fldChar w:fldCharType="end"/>
        </w:r>
      </w:hyperlink>
    </w:p>
    <w:p w14:paraId="00234D8C" w14:textId="77777777" w:rsidR="007B505A" w:rsidRDefault="00CD432C">
      <w:pPr>
        <w:pStyle w:val="TOC2"/>
        <w:rPr>
          <w:rFonts w:asciiTheme="minorHAnsi" w:eastAsiaTheme="minorEastAsia" w:hAnsiTheme="minorHAnsi" w:cstheme="minorBidi"/>
          <w:noProof/>
          <w:szCs w:val="22"/>
          <w:lang w:eastAsia="en-AU"/>
        </w:rPr>
      </w:pPr>
      <w:hyperlink w:anchor="_Toc449685697" w:history="1">
        <w:r w:rsidR="007B505A" w:rsidRPr="00106C99">
          <w:rPr>
            <w:rStyle w:val="Hyperlink"/>
            <w:noProof/>
          </w:rPr>
          <w:t>Association Membership and Business Size</w:t>
        </w:r>
        <w:r w:rsidR="007B505A">
          <w:rPr>
            <w:noProof/>
            <w:webHidden/>
          </w:rPr>
          <w:tab/>
        </w:r>
        <w:r w:rsidR="007B505A">
          <w:rPr>
            <w:noProof/>
            <w:webHidden/>
          </w:rPr>
          <w:fldChar w:fldCharType="begin"/>
        </w:r>
        <w:r w:rsidR="007B505A">
          <w:rPr>
            <w:noProof/>
            <w:webHidden/>
          </w:rPr>
          <w:instrText xml:space="preserve"> PAGEREF _Toc449685697 \h </w:instrText>
        </w:r>
        <w:r w:rsidR="007B505A">
          <w:rPr>
            <w:noProof/>
            <w:webHidden/>
          </w:rPr>
        </w:r>
        <w:r w:rsidR="007B505A">
          <w:rPr>
            <w:noProof/>
            <w:webHidden/>
          </w:rPr>
          <w:fldChar w:fldCharType="separate"/>
        </w:r>
        <w:r w:rsidR="007B505A">
          <w:rPr>
            <w:noProof/>
            <w:webHidden/>
          </w:rPr>
          <w:t>7</w:t>
        </w:r>
        <w:r w:rsidR="007B505A">
          <w:rPr>
            <w:noProof/>
            <w:webHidden/>
          </w:rPr>
          <w:fldChar w:fldCharType="end"/>
        </w:r>
      </w:hyperlink>
    </w:p>
    <w:p w14:paraId="00234D8D" w14:textId="77777777" w:rsidR="007B505A" w:rsidRDefault="00CD432C">
      <w:pPr>
        <w:pStyle w:val="TOC1"/>
        <w:rPr>
          <w:rFonts w:asciiTheme="minorHAnsi" w:eastAsiaTheme="minorEastAsia" w:hAnsiTheme="minorHAnsi" w:cstheme="minorBidi"/>
          <w:noProof/>
          <w:spacing w:val="0"/>
          <w:szCs w:val="22"/>
          <w:lang w:eastAsia="en-AU"/>
        </w:rPr>
      </w:pPr>
      <w:hyperlink w:anchor="_Toc449685698" w:history="1">
        <w:r w:rsidR="007B505A" w:rsidRPr="00106C99">
          <w:rPr>
            <w:rStyle w:val="Hyperlink"/>
            <w:noProof/>
          </w:rPr>
          <w:t>Next Steps</w:t>
        </w:r>
        <w:r w:rsidR="007B505A">
          <w:rPr>
            <w:noProof/>
            <w:webHidden/>
          </w:rPr>
          <w:tab/>
        </w:r>
        <w:r w:rsidR="007B505A">
          <w:rPr>
            <w:noProof/>
            <w:webHidden/>
          </w:rPr>
          <w:fldChar w:fldCharType="begin"/>
        </w:r>
        <w:r w:rsidR="007B505A">
          <w:rPr>
            <w:noProof/>
            <w:webHidden/>
          </w:rPr>
          <w:instrText xml:space="preserve"> PAGEREF _Toc449685698 \h </w:instrText>
        </w:r>
        <w:r w:rsidR="007B505A">
          <w:rPr>
            <w:noProof/>
            <w:webHidden/>
          </w:rPr>
        </w:r>
        <w:r w:rsidR="007B505A">
          <w:rPr>
            <w:noProof/>
            <w:webHidden/>
          </w:rPr>
          <w:fldChar w:fldCharType="separate"/>
        </w:r>
        <w:r w:rsidR="007B505A">
          <w:rPr>
            <w:noProof/>
            <w:webHidden/>
          </w:rPr>
          <w:t>7</w:t>
        </w:r>
        <w:r w:rsidR="007B505A">
          <w:rPr>
            <w:noProof/>
            <w:webHidden/>
          </w:rPr>
          <w:fldChar w:fldCharType="end"/>
        </w:r>
      </w:hyperlink>
    </w:p>
    <w:p w14:paraId="00234D8E" w14:textId="77777777" w:rsidR="007B505A" w:rsidRDefault="00CD432C">
      <w:pPr>
        <w:pStyle w:val="TOC1"/>
        <w:rPr>
          <w:rFonts w:asciiTheme="minorHAnsi" w:eastAsiaTheme="minorEastAsia" w:hAnsiTheme="minorHAnsi" w:cstheme="minorBidi"/>
          <w:noProof/>
          <w:spacing w:val="0"/>
          <w:szCs w:val="22"/>
          <w:lang w:eastAsia="en-AU"/>
        </w:rPr>
      </w:pPr>
      <w:hyperlink w:anchor="_Toc449685699" w:history="1">
        <w:r w:rsidR="007B505A" w:rsidRPr="00106C99">
          <w:rPr>
            <w:rStyle w:val="Hyperlink"/>
            <w:noProof/>
          </w:rPr>
          <w:t>Conclusion</w:t>
        </w:r>
        <w:r w:rsidR="007B505A">
          <w:rPr>
            <w:noProof/>
            <w:webHidden/>
          </w:rPr>
          <w:tab/>
        </w:r>
        <w:r w:rsidR="007B505A">
          <w:rPr>
            <w:noProof/>
            <w:webHidden/>
          </w:rPr>
          <w:fldChar w:fldCharType="begin"/>
        </w:r>
        <w:r w:rsidR="007B505A">
          <w:rPr>
            <w:noProof/>
            <w:webHidden/>
          </w:rPr>
          <w:instrText xml:space="preserve"> PAGEREF _Toc449685699 \h </w:instrText>
        </w:r>
        <w:r w:rsidR="007B505A">
          <w:rPr>
            <w:noProof/>
            <w:webHidden/>
          </w:rPr>
        </w:r>
        <w:r w:rsidR="007B505A">
          <w:rPr>
            <w:noProof/>
            <w:webHidden/>
          </w:rPr>
          <w:fldChar w:fldCharType="separate"/>
        </w:r>
        <w:r w:rsidR="007B505A">
          <w:rPr>
            <w:noProof/>
            <w:webHidden/>
          </w:rPr>
          <w:t>8</w:t>
        </w:r>
        <w:r w:rsidR="007B505A">
          <w:rPr>
            <w:noProof/>
            <w:webHidden/>
          </w:rPr>
          <w:fldChar w:fldCharType="end"/>
        </w:r>
      </w:hyperlink>
    </w:p>
    <w:p w14:paraId="00234D8F" w14:textId="77777777" w:rsidR="007B505A" w:rsidRDefault="00CD432C">
      <w:pPr>
        <w:pStyle w:val="TOC1"/>
        <w:rPr>
          <w:rFonts w:asciiTheme="minorHAnsi" w:eastAsiaTheme="minorEastAsia" w:hAnsiTheme="minorHAnsi" w:cstheme="minorBidi"/>
          <w:noProof/>
          <w:spacing w:val="0"/>
          <w:szCs w:val="22"/>
          <w:lang w:eastAsia="en-AU"/>
        </w:rPr>
      </w:pPr>
      <w:hyperlink w:anchor="_Toc449685700" w:history="1">
        <w:r w:rsidR="007B505A" w:rsidRPr="00106C99">
          <w:rPr>
            <w:rStyle w:val="Hyperlink"/>
            <w:noProof/>
            <w:lang w:eastAsia="en-AU"/>
          </w:rPr>
          <w:t>About the Fair Work Ombudsman</w:t>
        </w:r>
        <w:r w:rsidR="007B505A">
          <w:rPr>
            <w:noProof/>
            <w:webHidden/>
          </w:rPr>
          <w:tab/>
        </w:r>
        <w:r w:rsidR="007B505A">
          <w:rPr>
            <w:noProof/>
            <w:webHidden/>
          </w:rPr>
          <w:fldChar w:fldCharType="begin"/>
        </w:r>
        <w:r w:rsidR="007B505A">
          <w:rPr>
            <w:noProof/>
            <w:webHidden/>
          </w:rPr>
          <w:instrText xml:space="preserve"> PAGEREF _Toc449685700 \h </w:instrText>
        </w:r>
        <w:r w:rsidR="007B505A">
          <w:rPr>
            <w:noProof/>
            <w:webHidden/>
          </w:rPr>
        </w:r>
        <w:r w:rsidR="007B505A">
          <w:rPr>
            <w:noProof/>
            <w:webHidden/>
          </w:rPr>
          <w:fldChar w:fldCharType="separate"/>
        </w:r>
        <w:r w:rsidR="007B505A">
          <w:rPr>
            <w:noProof/>
            <w:webHidden/>
          </w:rPr>
          <w:t>8</w:t>
        </w:r>
        <w:r w:rsidR="007B505A">
          <w:rPr>
            <w:noProof/>
            <w:webHidden/>
          </w:rPr>
          <w:fldChar w:fldCharType="end"/>
        </w:r>
      </w:hyperlink>
    </w:p>
    <w:p w14:paraId="00234D90" w14:textId="77777777" w:rsidR="00BF0029" w:rsidRPr="00181475" w:rsidRDefault="00BF0029" w:rsidP="00F74EB8">
      <w:r>
        <w:fldChar w:fldCharType="end"/>
      </w:r>
    </w:p>
    <w:p w14:paraId="00234D91" w14:textId="77777777" w:rsidR="00E86F40" w:rsidRPr="00E86F40" w:rsidRDefault="00BF0029" w:rsidP="00F74EB8">
      <w:pPr>
        <w:pStyle w:val="Heading1"/>
        <w:rPr>
          <w:sz w:val="48"/>
          <w:szCs w:val="48"/>
          <w:lang w:eastAsia="en-AU"/>
        </w:rPr>
      </w:pPr>
      <w:r>
        <w:rPr>
          <w:lang w:eastAsia="en-AU"/>
        </w:rPr>
        <w:br w:type="page"/>
      </w:r>
      <w:bookmarkStart w:id="3" w:name="_Toc449685692"/>
      <w:r w:rsidR="006D5DA8">
        <w:rPr>
          <w:noProof/>
          <w:lang w:eastAsia="en-AU"/>
        </w:rPr>
        <w:lastRenderedPageBreak/>
        <w:drawing>
          <wp:anchor distT="0" distB="0" distL="114300" distR="114300" simplePos="0" relativeHeight="251658240" behindDoc="0" locked="0" layoutInCell="1" allowOverlap="1" wp14:anchorId="00234DCE" wp14:editId="37DFA52C">
            <wp:simplePos x="0" y="0"/>
            <wp:positionH relativeFrom="margin">
              <wp:posOffset>-813258</wp:posOffset>
            </wp:positionH>
            <wp:positionV relativeFrom="paragraph">
              <wp:posOffset>-794518</wp:posOffset>
            </wp:positionV>
            <wp:extent cx="7641416" cy="10745863"/>
            <wp:effectExtent l="0" t="0" r="0" b="0"/>
            <wp:wrapNone/>
            <wp:docPr id="1" name="Picture 1" title="Campaign result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Loddon Campaspe infographic.jpg"/>
                    <pic:cNvPicPr/>
                  </pic:nvPicPr>
                  <pic:blipFill>
                    <a:blip r:embed="rId11">
                      <a:extLst>
                        <a:ext uri="{28A0092B-C50C-407E-A947-70E740481C1C}">
                          <a14:useLocalDpi xmlns:a14="http://schemas.microsoft.com/office/drawing/2010/main" val="0"/>
                        </a:ext>
                      </a:extLst>
                    </a:blip>
                    <a:stretch>
                      <a:fillRect/>
                    </a:stretch>
                  </pic:blipFill>
                  <pic:spPr>
                    <a:xfrm>
                      <a:off x="0" y="0"/>
                      <a:ext cx="7641416" cy="10745863"/>
                    </a:xfrm>
                    <a:prstGeom prst="rect">
                      <a:avLst/>
                    </a:prstGeom>
                  </pic:spPr>
                </pic:pic>
              </a:graphicData>
            </a:graphic>
            <wp14:sizeRelH relativeFrom="page">
              <wp14:pctWidth>0</wp14:pctWidth>
            </wp14:sizeRelH>
            <wp14:sizeRelV relativeFrom="page">
              <wp14:pctHeight>0</wp14:pctHeight>
            </wp14:sizeRelV>
          </wp:anchor>
        </w:drawing>
      </w:r>
      <w:r w:rsidR="00E86F40" w:rsidRPr="00AA458C">
        <w:t>Infographic Page</w:t>
      </w:r>
      <w:bookmarkEnd w:id="3"/>
      <w:r w:rsidR="00E86F40" w:rsidRPr="00E86F40">
        <w:rPr>
          <w:sz w:val="48"/>
          <w:szCs w:val="48"/>
          <w:lang w:eastAsia="en-AU"/>
        </w:rPr>
        <w:br w:type="page"/>
      </w:r>
    </w:p>
    <w:p w14:paraId="00234D92" w14:textId="77777777" w:rsidR="00F20E5B" w:rsidRDefault="00F20E5B" w:rsidP="00F74EB8">
      <w:pPr>
        <w:pStyle w:val="Heading1"/>
      </w:pPr>
      <w:bookmarkStart w:id="4" w:name="_Toc449685693"/>
      <w:r>
        <w:lastRenderedPageBreak/>
        <w:t>Summary</w:t>
      </w:r>
      <w:bookmarkEnd w:id="4"/>
    </w:p>
    <w:p w14:paraId="00234D93" w14:textId="77777777" w:rsidR="002D7878" w:rsidRDefault="00A90141" w:rsidP="00F74EB8">
      <w:r>
        <w:t>In February 2015, t</w:t>
      </w:r>
      <w:r w:rsidR="00F20E5B">
        <w:t>he Fair Work Ombudsman (FWO) commenced</w:t>
      </w:r>
      <w:r>
        <w:t xml:space="preserve"> an education and compliance campaign (the campaign) in the </w:t>
      </w:r>
      <w:r w:rsidRPr="00E90970">
        <w:t>Loddon/Elmore</w:t>
      </w:r>
      <w:r>
        <w:t xml:space="preserve"> and</w:t>
      </w:r>
      <w:r w:rsidR="00F74EB8">
        <w:t xml:space="preserve"> Campaspe regions of Victoria. </w:t>
      </w:r>
      <w:r>
        <w:t>The</w:t>
      </w:r>
      <w:r w:rsidR="002D7878">
        <w:t xml:space="preserve"> region</w:t>
      </w:r>
      <w:r>
        <w:t>s were</w:t>
      </w:r>
      <w:r w:rsidR="002D7878">
        <w:t xml:space="preserve"> identified as suitable for a campaign based on analysis of FWO Request for Assistance (</w:t>
      </w:r>
      <w:proofErr w:type="spellStart"/>
      <w:r w:rsidR="002D7878">
        <w:t>RfA</w:t>
      </w:r>
      <w:proofErr w:type="spellEnd"/>
      <w:r w:rsidR="002D7878">
        <w:t>) data and information from other sources.</w:t>
      </w:r>
    </w:p>
    <w:p w14:paraId="00234D94" w14:textId="77777777" w:rsidR="002D7878" w:rsidRPr="00A90141" w:rsidRDefault="002D7878" w:rsidP="00F74EB8">
      <w:pPr>
        <w:spacing w:after="0"/>
      </w:pPr>
      <w:r w:rsidRPr="00A90141">
        <w:t xml:space="preserve">Important factors behind selecting these </w:t>
      </w:r>
      <w:r w:rsidR="00A90141" w:rsidRPr="00A90141">
        <w:t>regions for a campaign included:</w:t>
      </w:r>
    </w:p>
    <w:p w14:paraId="00234D95" w14:textId="77777777" w:rsidR="002D7878" w:rsidRPr="00A90141" w:rsidRDefault="008A31BF" w:rsidP="00F74EB8">
      <w:pPr>
        <w:numPr>
          <w:ilvl w:val="0"/>
          <w:numId w:val="43"/>
        </w:numPr>
        <w:spacing w:after="53"/>
      </w:pPr>
      <w:proofErr w:type="spellStart"/>
      <w:r>
        <w:t>RfA’s</w:t>
      </w:r>
      <w:proofErr w:type="spellEnd"/>
      <w:r>
        <w:t xml:space="preserve"> received</w:t>
      </w:r>
      <w:r w:rsidR="00A90141" w:rsidRPr="00A90141">
        <w:t xml:space="preserve"> by the FWO</w:t>
      </w:r>
      <w:r w:rsidR="002D7878" w:rsidRPr="00A90141">
        <w:t xml:space="preserve"> i</w:t>
      </w:r>
      <w:r>
        <w:t xml:space="preserve">ncreased between 2011 and 2014, </w:t>
      </w:r>
      <w:r w:rsidRPr="00E90970">
        <w:t>w</w:t>
      </w:r>
      <w:r w:rsidR="002D7878" w:rsidRPr="00E90970">
        <w:t xml:space="preserve">ith </w:t>
      </w:r>
      <w:r w:rsidR="00AE058C" w:rsidRPr="00E90970">
        <w:t>Loddon</w:t>
      </w:r>
      <w:r w:rsidR="002D7878" w:rsidRPr="00E90970">
        <w:t>/Elmore</w:t>
      </w:r>
      <w:r w:rsidR="002D7878" w:rsidRPr="00A90141">
        <w:t xml:space="preserve"> recording a 60% increase and Campaspe a 48% increase;</w:t>
      </w:r>
    </w:p>
    <w:p w14:paraId="00234D96" w14:textId="77777777" w:rsidR="002D7878" w:rsidRPr="00A90141" w:rsidRDefault="009E580B" w:rsidP="00F74EB8">
      <w:pPr>
        <w:numPr>
          <w:ilvl w:val="0"/>
          <w:numId w:val="43"/>
        </w:numPr>
        <w:spacing w:after="53"/>
      </w:pPr>
      <w:r w:rsidRPr="00A90141">
        <w:t>Both regions recorded</w:t>
      </w:r>
      <w:r w:rsidR="002D7878" w:rsidRPr="00A90141">
        <w:t xml:space="preserve"> high </w:t>
      </w:r>
      <w:r w:rsidR="00A90141" w:rsidRPr="00A90141">
        <w:t>violation</w:t>
      </w:r>
      <w:r w:rsidR="002D7878" w:rsidRPr="00A90141">
        <w:t xml:space="preserve"> rates from </w:t>
      </w:r>
      <w:proofErr w:type="spellStart"/>
      <w:r w:rsidR="002D7878" w:rsidRPr="00A90141">
        <w:t>RfA’s</w:t>
      </w:r>
      <w:proofErr w:type="spellEnd"/>
      <w:r w:rsidR="002D7878" w:rsidRPr="00A90141">
        <w:t xml:space="preserve"> received during 2011 and 2014; </w:t>
      </w:r>
      <w:r w:rsidR="00E90970">
        <w:t>and</w:t>
      </w:r>
    </w:p>
    <w:p w14:paraId="00234D97" w14:textId="77777777" w:rsidR="002D7878" w:rsidRPr="00A90141" w:rsidRDefault="008A31BF" w:rsidP="00F74EB8">
      <w:pPr>
        <w:numPr>
          <w:ilvl w:val="0"/>
          <w:numId w:val="43"/>
        </w:numPr>
        <w:spacing w:after="53"/>
      </w:pPr>
      <w:r>
        <w:t xml:space="preserve">In both regions, </w:t>
      </w:r>
      <w:r w:rsidR="002D7878" w:rsidRPr="00A90141">
        <w:t xml:space="preserve">90% of businesses </w:t>
      </w:r>
      <w:r w:rsidR="009E580B" w:rsidRPr="00A90141">
        <w:t xml:space="preserve">were identified </w:t>
      </w:r>
      <w:r w:rsidR="002D7878" w:rsidRPr="00A90141">
        <w:t>as small businesse</w:t>
      </w:r>
      <w:r>
        <w:t xml:space="preserve">s, </w:t>
      </w:r>
      <w:r w:rsidR="002D7878" w:rsidRPr="00A90141">
        <w:t>providing</w:t>
      </w:r>
      <w:r w:rsidR="00E90970">
        <w:t xml:space="preserve"> the</w:t>
      </w:r>
      <w:r w:rsidR="002D7878" w:rsidRPr="00A90141">
        <w:t xml:space="preserve"> FWO an opportunity to support these businesses which often to do no have dedicated staff to perform </w:t>
      </w:r>
      <w:r>
        <w:t xml:space="preserve">workplace relations and </w:t>
      </w:r>
      <w:r w:rsidR="00E90970">
        <w:t>payroll functions.</w:t>
      </w:r>
    </w:p>
    <w:p w14:paraId="00234D98" w14:textId="77777777" w:rsidR="00726353" w:rsidRPr="00320D1E" w:rsidRDefault="00383D2E" w:rsidP="00F74EB8">
      <w:pPr>
        <w:spacing w:before="240" w:after="53"/>
        <w:rPr>
          <w:rFonts w:ascii="Helvetica" w:eastAsia="Calibri" w:hAnsi="Helvetica" w:cs="Times New Roman"/>
        </w:rPr>
      </w:pPr>
      <w:r>
        <w:rPr>
          <w:rFonts w:ascii="Helvetica" w:eastAsia="Calibri" w:hAnsi="Helvetica" w:cs="Times New Roman"/>
        </w:rPr>
        <w:t xml:space="preserve">Of the 251 </w:t>
      </w:r>
      <w:r w:rsidR="00726353" w:rsidRPr="00320D1E">
        <w:rPr>
          <w:rFonts w:ascii="Helvetica" w:eastAsia="Calibri" w:hAnsi="Helvetica" w:cs="Times New Roman"/>
        </w:rPr>
        <w:t xml:space="preserve">businesses </w:t>
      </w:r>
      <w:r>
        <w:rPr>
          <w:rFonts w:ascii="Helvetica" w:eastAsia="Calibri" w:hAnsi="Helvetica" w:cs="Times New Roman"/>
        </w:rPr>
        <w:t>audited</w:t>
      </w:r>
      <w:r w:rsidR="00726353" w:rsidRPr="00320D1E">
        <w:rPr>
          <w:rFonts w:ascii="Helvetica" w:eastAsia="Calibri" w:hAnsi="Helvetica" w:cs="Times New Roman"/>
        </w:rPr>
        <w:t>:</w:t>
      </w:r>
    </w:p>
    <w:p w14:paraId="00234D99" w14:textId="77777777" w:rsidR="002D7878" w:rsidRPr="00320D1E" w:rsidRDefault="002D7878" w:rsidP="00F74EB8">
      <w:pPr>
        <w:numPr>
          <w:ilvl w:val="0"/>
          <w:numId w:val="43"/>
        </w:numPr>
        <w:spacing w:after="53"/>
        <w:rPr>
          <w:rFonts w:ascii="Helvetica" w:eastAsia="Calibri" w:hAnsi="Helvetica" w:cs="Times New Roman"/>
        </w:rPr>
      </w:pPr>
      <w:r w:rsidRPr="00320D1E">
        <w:rPr>
          <w:rFonts w:ascii="Helvetica" w:eastAsia="Calibri" w:hAnsi="Helvetica" w:cs="Times New Roman"/>
        </w:rPr>
        <w:t>173 (69</w:t>
      </w:r>
      <w:r w:rsidR="00320D1E" w:rsidRPr="00320D1E">
        <w:rPr>
          <w:rFonts w:ascii="Helvetica" w:eastAsia="Calibri" w:hAnsi="Helvetica" w:cs="Times New Roman"/>
        </w:rPr>
        <w:t>%) businesses</w:t>
      </w:r>
      <w:r w:rsidR="00383D2E">
        <w:rPr>
          <w:rFonts w:ascii="Helvetica" w:eastAsia="Calibri" w:hAnsi="Helvetica" w:cs="Times New Roman"/>
        </w:rPr>
        <w:t xml:space="preserve"> were </w:t>
      </w:r>
      <w:r w:rsidRPr="00320D1E">
        <w:rPr>
          <w:rFonts w:ascii="Helvetica" w:eastAsia="Calibri" w:hAnsi="Helvetica" w:cs="Times New Roman"/>
        </w:rPr>
        <w:t>paying their employees correctly;</w:t>
      </w:r>
    </w:p>
    <w:p w14:paraId="00234D9A" w14:textId="77777777" w:rsidR="002D7878" w:rsidRPr="00320D1E" w:rsidRDefault="002D7878" w:rsidP="00F74EB8">
      <w:pPr>
        <w:numPr>
          <w:ilvl w:val="0"/>
          <w:numId w:val="43"/>
        </w:numPr>
        <w:spacing w:after="53"/>
        <w:rPr>
          <w:rFonts w:ascii="Helvetica" w:eastAsia="Calibri" w:hAnsi="Helvetica" w:cs="Times New Roman"/>
        </w:rPr>
      </w:pPr>
      <w:r w:rsidRPr="00320D1E">
        <w:rPr>
          <w:rFonts w:ascii="Helvetica" w:eastAsia="Calibri" w:hAnsi="Helvetica" w:cs="Times New Roman"/>
        </w:rPr>
        <w:t>149 (59</w:t>
      </w:r>
      <w:r w:rsidR="00383D2E">
        <w:rPr>
          <w:rFonts w:ascii="Helvetica" w:eastAsia="Calibri" w:hAnsi="Helvetica" w:cs="Times New Roman"/>
        </w:rPr>
        <w:t>%) busi</w:t>
      </w:r>
      <w:r w:rsidR="00320D1E" w:rsidRPr="00320D1E">
        <w:rPr>
          <w:rFonts w:ascii="Helvetica" w:eastAsia="Calibri" w:hAnsi="Helvetica" w:cs="Times New Roman"/>
        </w:rPr>
        <w:t>n</w:t>
      </w:r>
      <w:r w:rsidR="00383D2E">
        <w:rPr>
          <w:rFonts w:ascii="Helvetica" w:eastAsia="Calibri" w:hAnsi="Helvetica" w:cs="Times New Roman"/>
        </w:rPr>
        <w:t>e</w:t>
      </w:r>
      <w:r w:rsidR="00320D1E" w:rsidRPr="00320D1E">
        <w:rPr>
          <w:rFonts w:ascii="Helvetica" w:eastAsia="Calibri" w:hAnsi="Helvetica" w:cs="Times New Roman"/>
        </w:rPr>
        <w:t>sses</w:t>
      </w:r>
      <w:r w:rsidRPr="00320D1E">
        <w:rPr>
          <w:rFonts w:ascii="Helvetica" w:eastAsia="Calibri" w:hAnsi="Helvetica" w:cs="Times New Roman"/>
        </w:rPr>
        <w:t xml:space="preserve"> </w:t>
      </w:r>
      <w:r w:rsidR="00383D2E">
        <w:rPr>
          <w:rFonts w:ascii="Helvetica" w:eastAsia="Calibri" w:hAnsi="Helvetica" w:cs="Times New Roman"/>
        </w:rPr>
        <w:t xml:space="preserve">were </w:t>
      </w:r>
      <w:r w:rsidRPr="00320D1E">
        <w:rPr>
          <w:rFonts w:ascii="Helvetica" w:eastAsia="Calibri" w:hAnsi="Helvetica" w:cs="Times New Roman"/>
        </w:rPr>
        <w:t>compliant with record-keeping and pay slip requirements;</w:t>
      </w:r>
    </w:p>
    <w:p w14:paraId="00234D9B" w14:textId="77777777" w:rsidR="00063D7B" w:rsidRPr="00320D1E" w:rsidRDefault="00063D7B" w:rsidP="00063D7B">
      <w:pPr>
        <w:numPr>
          <w:ilvl w:val="0"/>
          <w:numId w:val="43"/>
        </w:numPr>
        <w:spacing w:after="53"/>
        <w:rPr>
          <w:rFonts w:ascii="Helvetica" w:eastAsia="Calibri" w:hAnsi="Helvetica" w:cs="Times New Roman"/>
        </w:rPr>
      </w:pPr>
      <w:r w:rsidRPr="00320D1E">
        <w:rPr>
          <w:rFonts w:ascii="Helvetica" w:eastAsia="Calibri" w:hAnsi="Helvetica" w:cs="Times New Roman"/>
        </w:rPr>
        <w:t xml:space="preserve">113 (45%) businesses </w:t>
      </w:r>
      <w:r>
        <w:rPr>
          <w:rFonts w:ascii="Helvetica" w:eastAsia="Calibri" w:hAnsi="Helvetica" w:cs="Times New Roman"/>
        </w:rPr>
        <w:t xml:space="preserve">were </w:t>
      </w:r>
      <w:r w:rsidRPr="00320D1E">
        <w:rPr>
          <w:rFonts w:ascii="Helvetica" w:eastAsia="Calibri" w:hAnsi="Helvetica" w:cs="Times New Roman"/>
        </w:rPr>
        <w:t>compliant with all requirements;</w:t>
      </w:r>
    </w:p>
    <w:p w14:paraId="00234D9C" w14:textId="77777777" w:rsidR="00726353" w:rsidRPr="00320D1E" w:rsidRDefault="00726353" w:rsidP="00F74EB8">
      <w:pPr>
        <w:numPr>
          <w:ilvl w:val="0"/>
          <w:numId w:val="43"/>
        </w:numPr>
        <w:spacing w:after="53"/>
        <w:rPr>
          <w:rFonts w:ascii="Helvetica" w:eastAsia="Calibri" w:hAnsi="Helvetica" w:cs="Times New Roman"/>
        </w:rPr>
      </w:pPr>
      <w:r w:rsidRPr="00320D1E">
        <w:rPr>
          <w:rFonts w:ascii="Helvetica" w:eastAsia="Calibri" w:hAnsi="Helvetica" w:cs="Times New Roman"/>
        </w:rPr>
        <w:t>$80,116 was recovered from 63 businesses on behalf of 183</w:t>
      </w:r>
      <w:r w:rsidR="002D7878" w:rsidRPr="00320D1E">
        <w:rPr>
          <w:rFonts w:ascii="Helvetica" w:eastAsia="Calibri" w:hAnsi="Helvetica" w:cs="Times New Roman"/>
        </w:rPr>
        <w:t xml:space="preserve"> employees; and</w:t>
      </w:r>
    </w:p>
    <w:p w14:paraId="00234D9D" w14:textId="77777777" w:rsidR="00726353" w:rsidRPr="00320D1E" w:rsidRDefault="00726353" w:rsidP="00F74EB8">
      <w:pPr>
        <w:numPr>
          <w:ilvl w:val="0"/>
          <w:numId w:val="43"/>
        </w:numPr>
        <w:spacing w:after="53"/>
        <w:rPr>
          <w:rFonts w:ascii="Helvetica" w:eastAsia="Calibri" w:hAnsi="Helvetica" w:cs="Times New Roman"/>
        </w:rPr>
      </w:pPr>
      <w:r w:rsidRPr="00320D1E">
        <w:rPr>
          <w:rFonts w:ascii="Helvetica" w:eastAsia="Calibri" w:hAnsi="Helvetica" w:cs="Times New Roman"/>
        </w:rPr>
        <w:t xml:space="preserve">3 formal cautions </w:t>
      </w:r>
      <w:r w:rsidR="00320D1E" w:rsidRPr="00320D1E">
        <w:rPr>
          <w:rFonts w:ascii="Helvetica" w:eastAsia="Calibri" w:hAnsi="Helvetica" w:cs="Times New Roman"/>
        </w:rPr>
        <w:t>and</w:t>
      </w:r>
      <w:r w:rsidRPr="00320D1E">
        <w:rPr>
          <w:rFonts w:ascii="Helvetica" w:eastAsia="Calibri" w:hAnsi="Helvetica" w:cs="Times New Roman"/>
        </w:rPr>
        <w:t xml:space="preserve"> 3 Infringement Notice</w:t>
      </w:r>
      <w:r w:rsidR="00320D1E" w:rsidRPr="00320D1E">
        <w:rPr>
          <w:rFonts w:ascii="Helvetica" w:eastAsia="Calibri" w:hAnsi="Helvetica" w:cs="Times New Roman"/>
        </w:rPr>
        <w:t xml:space="preserve">s (on the spot fines) were issued.  </w:t>
      </w:r>
    </w:p>
    <w:p w14:paraId="00234D9E" w14:textId="77777777" w:rsidR="00F20E5B" w:rsidRPr="00320D1E" w:rsidRDefault="00F20E5B" w:rsidP="00F74EB8">
      <w:pPr>
        <w:pStyle w:val="Heading1"/>
      </w:pPr>
      <w:bookmarkStart w:id="5" w:name="_Toc449685694"/>
      <w:r w:rsidRPr="00320D1E">
        <w:t>What We Did</w:t>
      </w:r>
      <w:bookmarkEnd w:id="5"/>
    </w:p>
    <w:p w14:paraId="00234D9F" w14:textId="77777777" w:rsidR="002D7878" w:rsidRPr="008846C6" w:rsidRDefault="002D7878" w:rsidP="00F74EB8">
      <w:pPr>
        <w:spacing w:after="0"/>
      </w:pPr>
      <w:r w:rsidRPr="008846C6">
        <w:t xml:space="preserve">The FWO </w:t>
      </w:r>
      <w:r w:rsidR="0071288E" w:rsidRPr="008846C6">
        <w:t>contacted stakeholders</w:t>
      </w:r>
      <w:r w:rsidRPr="008846C6">
        <w:t xml:space="preserve"> in the region to discuss the planning, delivery and promotion of the campaign. The campaign received further coverage through local media outlets and many businesses advised they had heard about the campaign bef</w:t>
      </w:r>
      <w:r w:rsidR="00F74EB8">
        <w:t xml:space="preserve">ore the FWO had contacted them. </w:t>
      </w:r>
      <w:r w:rsidRPr="008846C6">
        <w:t>Local media coverage also ensured that information about both the campaign and the FWO was spread beyond those businesses included in the campaign.</w:t>
      </w:r>
    </w:p>
    <w:p w14:paraId="00234DA0" w14:textId="77777777" w:rsidR="002D7878" w:rsidRPr="008846C6" w:rsidRDefault="002D7878" w:rsidP="00F74EB8">
      <w:pPr>
        <w:spacing w:before="120" w:after="53" w:line="320" w:lineRule="exact"/>
      </w:pPr>
      <w:r w:rsidRPr="008846C6">
        <w:t>Fair Work Inspectors</w:t>
      </w:r>
      <w:r w:rsidR="008846C6" w:rsidRPr="008846C6">
        <w:t xml:space="preserve"> (</w:t>
      </w:r>
      <w:proofErr w:type="spellStart"/>
      <w:r w:rsidR="008846C6" w:rsidRPr="008846C6">
        <w:t>FWI’s</w:t>
      </w:r>
      <w:proofErr w:type="spellEnd"/>
      <w:r w:rsidR="008846C6" w:rsidRPr="008846C6">
        <w:t>) audited major towns in the</w:t>
      </w:r>
      <w:r w:rsidRPr="008846C6">
        <w:t xml:space="preserve"> regions including; </w:t>
      </w:r>
    </w:p>
    <w:p w14:paraId="00234DA1" w14:textId="77777777" w:rsidR="002D7878" w:rsidRPr="008846C6" w:rsidRDefault="002D7878" w:rsidP="00F74EB8">
      <w:pPr>
        <w:numPr>
          <w:ilvl w:val="0"/>
          <w:numId w:val="43"/>
        </w:numPr>
        <w:spacing w:after="53" w:line="320" w:lineRule="exact"/>
        <w:rPr>
          <w:rFonts w:ascii="Helvetica" w:eastAsia="Calibri" w:hAnsi="Helvetica" w:cs="Times New Roman"/>
        </w:rPr>
      </w:pPr>
      <w:r w:rsidRPr="008846C6">
        <w:rPr>
          <w:rFonts w:ascii="Helvetica" w:eastAsia="Calibri" w:hAnsi="Helvetica" w:cs="Times New Roman"/>
          <w:b/>
        </w:rPr>
        <w:t>Campaspe:</w:t>
      </w:r>
      <w:r w:rsidRPr="008846C6">
        <w:rPr>
          <w:rFonts w:ascii="Helvetica" w:eastAsia="Calibri" w:hAnsi="Helvetica" w:cs="Times New Roman"/>
        </w:rPr>
        <w:t xml:space="preserve"> Kyabram, Rochester, Stanhope, Tongala and Rushworth; and</w:t>
      </w:r>
    </w:p>
    <w:p w14:paraId="00234DA2" w14:textId="77777777" w:rsidR="002D7878" w:rsidRPr="008846C6" w:rsidRDefault="00AE058C" w:rsidP="00F74EB8">
      <w:pPr>
        <w:numPr>
          <w:ilvl w:val="0"/>
          <w:numId w:val="43"/>
        </w:numPr>
        <w:spacing w:after="53" w:line="320" w:lineRule="exact"/>
        <w:rPr>
          <w:rFonts w:ascii="Helvetica" w:eastAsia="Calibri" w:hAnsi="Helvetica" w:cs="Times New Roman"/>
        </w:rPr>
      </w:pPr>
      <w:r w:rsidRPr="008846C6">
        <w:rPr>
          <w:rFonts w:ascii="Helvetica" w:eastAsia="Calibri" w:hAnsi="Helvetica" w:cs="Times New Roman"/>
          <w:b/>
        </w:rPr>
        <w:t>Loddon</w:t>
      </w:r>
      <w:r w:rsidR="002D7878" w:rsidRPr="008846C6">
        <w:rPr>
          <w:rFonts w:ascii="Helvetica" w:eastAsia="Calibri" w:hAnsi="Helvetica" w:cs="Times New Roman"/>
          <w:b/>
        </w:rPr>
        <w:t>/Elmore:</w:t>
      </w:r>
      <w:r w:rsidR="002D7878" w:rsidRPr="008846C6">
        <w:rPr>
          <w:rFonts w:ascii="Helvetica" w:eastAsia="Calibri" w:hAnsi="Helvetica" w:cs="Times New Roman"/>
        </w:rPr>
        <w:t xml:space="preserve"> Leitchville, Boort, Wedderburn, Elmore, Bridgewater, Pyramid Hill and Inglewood.</w:t>
      </w:r>
    </w:p>
    <w:p w14:paraId="00234DA3" w14:textId="77777777" w:rsidR="005C52A8" w:rsidRDefault="002D7878" w:rsidP="00F74EB8">
      <w:pPr>
        <w:spacing w:before="240"/>
      </w:pPr>
      <w:r w:rsidRPr="008846C6">
        <w:t xml:space="preserve">Businesses were selected </w:t>
      </w:r>
      <w:r w:rsidR="004422B6">
        <w:t>randomly</w:t>
      </w:r>
      <w:r w:rsidR="003E30F1">
        <w:t>, though</w:t>
      </w:r>
      <w:r w:rsidRPr="008846C6">
        <w:t xml:space="preserve"> </w:t>
      </w:r>
      <w:r w:rsidR="004422B6">
        <w:t>the</w:t>
      </w:r>
      <w:r w:rsidR="00747045" w:rsidRPr="008846C6">
        <w:t xml:space="preserve"> </w:t>
      </w:r>
      <w:r w:rsidRPr="008846C6">
        <w:t xml:space="preserve">Dairy Farming </w:t>
      </w:r>
      <w:r w:rsidR="00F74EB8">
        <w:t>industry</w:t>
      </w:r>
      <w:r w:rsidR="004422B6">
        <w:t xml:space="preserve"> </w:t>
      </w:r>
      <w:r w:rsidR="003E30F1">
        <w:t xml:space="preserve">was </w:t>
      </w:r>
      <w:r w:rsidRPr="008846C6">
        <w:t>assigned a higher priority based on</w:t>
      </w:r>
      <w:r w:rsidR="004422B6">
        <w:t xml:space="preserve"> </w:t>
      </w:r>
      <w:proofErr w:type="spellStart"/>
      <w:r w:rsidR="004422B6">
        <w:t>RfA’s</w:t>
      </w:r>
      <w:proofErr w:type="spellEnd"/>
      <w:r w:rsidR="00F74EB8">
        <w:t xml:space="preserve"> received by the FWO from this industry in the regions</w:t>
      </w:r>
      <w:r w:rsidR="004422B6">
        <w:t xml:space="preserve">.  </w:t>
      </w:r>
    </w:p>
    <w:p w14:paraId="00234DA4" w14:textId="113C089A" w:rsidR="002D7878" w:rsidRPr="008846C6" w:rsidRDefault="003E30F1" w:rsidP="00F74EB8">
      <w:pPr>
        <w:spacing w:before="240"/>
      </w:pPr>
      <w:proofErr w:type="spellStart"/>
      <w:r>
        <w:lastRenderedPageBreak/>
        <w:t>FWI’s</w:t>
      </w:r>
      <w:proofErr w:type="spellEnd"/>
      <w:r w:rsidR="00D01295">
        <w:t xml:space="preserve"> </w:t>
      </w:r>
      <w:r w:rsidR="00D01295" w:rsidRPr="00D01295">
        <w:t>visited business</w:t>
      </w:r>
      <w:r>
        <w:t>es</w:t>
      </w:r>
      <w:r w:rsidR="00D01295" w:rsidRPr="00D01295">
        <w:t xml:space="preserve"> in a num</w:t>
      </w:r>
      <w:r w:rsidR="00C570DF">
        <w:t xml:space="preserve">ber of locations in the regions and </w:t>
      </w:r>
      <w:r w:rsidR="002D7878" w:rsidRPr="00D01295">
        <w:t>assessed</w:t>
      </w:r>
      <w:r w:rsidR="002D7878" w:rsidRPr="008846C6">
        <w:t xml:space="preserve"> compliance with the </w:t>
      </w:r>
      <w:r w:rsidR="00807E59" w:rsidRPr="008846C6">
        <w:rPr>
          <w:i/>
        </w:rPr>
        <w:t>Fair </w:t>
      </w:r>
      <w:r w:rsidR="002D7878" w:rsidRPr="008846C6">
        <w:rPr>
          <w:i/>
        </w:rPr>
        <w:t xml:space="preserve">Work Act 2009 </w:t>
      </w:r>
      <w:r w:rsidR="002D7878" w:rsidRPr="008846C6">
        <w:t xml:space="preserve">(the Act), the </w:t>
      </w:r>
      <w:r w:rsidR="002D7878" w:rsidRPr="008846C6">
        <w:rPr>
          <w:i/>
        </w:rPr>
        <w:t>Fair Work Regulations 2009</w:t>
      </w:r>
      <w:r w:rsidR="002D7878" w:rsidRPr="008846C6">
        <w:t xml:space="preserve"> (the Regulations) and t</w:t>
      </w:r>
      <w:r w:rsidR="00F74EB8">
        <w:t xml:space="preserve">he applicable award/agreement. </w:t>
      </w:r>
      <w:r w:rsidR="002D7878" w:rsidRPr="008846C6">
        <w:t>Where businesses had errors, the FWO required them to rectify the issue and provide proof of having done so (including back-paying underpaid employees).</w:t>
      </w:r>
    </w:p>
    <w:p w14:paraId="00234DA5" w14:textId="23B08182" w:rsidR="002D7878" w:rsidRDefault="00AE058C" w:rsidP="00F74EB8">
      <w:pPr>
        <w:spacing w:after="0"/>
      </w:pPr>
      <w:proofErr w:type="spellStart"/>
      <w:r w:rsidRPr="008846C6">
        <w:t>FWI’s</w:t>
      </w:r>
      <w:proofErr w:type="spellEnd"/>
      <w:r w:rsidR="002D7878" w:rsidRPr="008846C6">
        <w:t xml:space="preserve"> also provided businesses with information and resources to help them comply with their obligations under Commonwealth workplace laws. In particular businesses were provided with </w:t>
      </w:r>
      <w:r w:rsidR="002D7878">
        <w:t xml:space="preserve">the online resources freely available on </w:t>
      </w:r>
      <w:hyperlink r:id="rId12" w:tooltip="Fair Work Ombudsman website" w:history="1">
        <w:r w:rsidR="006170AF">
          <w:rPr>
            <w:rStyle w:val="Hyperlink"/>
            <w:rFonts w:cs="Arial"/>
          </w:rPr>
          <w:t>www.fairwork.gov.au</w:t>
        </w:r>
      </w:hyperlink>
      <w:r w:rsidR="002D7878">
        <w:t xml:space="preserve">, including </w:t>
      </w:r>
      <w:hyperlink r:id="rId13" w:history="1">
        <w:r w:rsidR="002D7878">
          <w:rPr>
            <w:rStyle w:val="Hyperlink"/>
            <w:rFonts w:cs="Arial"/>
          </w:rPr>
          <w:t>pay rates</w:t>
        </w:r>
      </w:hyperlink>
      <w:r w:rsidR="002D7878" w:rsidRPr="003559EC">
        <w:t xml:space="preserve">, </w:t>
      </w:r>
      <w:hyperlink r:id="rId14" w:history="1">
        <w:r w:rsidR="002D7878" w:rsidRPr="00781962">
          <w:rPr>
            <w:rStyle w:val="Hyperlink"/>
            <w:rFonts w:cs="Arial"/>
          </w:rPr>
          <w:t>hiring employees</w:t>
        </w:r>
      </w:hyperlink>
      <w:r w:rsidR="002D7878" w:rsidRPr="003559EC">
        <w:t>,</w:t>
      </w:r>
      <w:r w:rsidR="002D7878">
        <w:t xml:space="preserve"> </w:t>
      </w:r>
      <w:hyperlink r:id="rId15" w:history="1">
        <w:proofErr w:type="spellStart"/>
        <w:r w:rsidR="002D7878">
          <w:rPr>
            <w:rStyle w:val="Hyperlink"/>
            <w:rFonts w:cs="Arial"/>
          </w:rPr>
          <w:t>MyAccount</w:t>
        </w:r>
        <w:proofErr w:type="spellEnd"/>
      </w:hyperlink>
      <w:r w:rsidR="002D7878">
        <w:t xml:space="preserve"> and </w:t>
      </w:r>
      <w:hyperlink r:id="rId16" w:history="1">
        <w:r w:rsidR="002D7878" w:rsidRPr="00801F57">
          <w:rPr>
            <w:rStyle w:val="Hyperlink"/>
            <w:rFonts w:cs="Arial"/>
          </w:rPr>
          <w:t>online training courses</w:t>
        </w:r>
      </w:hyperlink>
      <w:r w:rsidR="002D7878">
        <w:t xml:space="preserve">. </w:t>
      </w:r>
    </w:p>
    <w:p w14:paraId="00234DA6" w14:textId="77777777" w:rsidR="00F20E5B" w:rsidRDefault="00F20E5B" w:rsidP="00F74EB8">
      <w:pPr>
        <w:pStyle w:val="Heading1"/>
      </w:pPr>
      <w:bookmarkStart w:id="6" w:name="_Toc449685695"/>
      <w:r>
        <w:t>Outcomes</w:t>
      </w:r>
      <w:bookmarkEnd w:id="6"/>
    </w:p>
    <w:p w14:paraId="00234DA7" w14:textId="77777777" w:rsidR="002D7878" w:rsidRPr="005F4E32" w:rsidRDefault="00383D2E" w:rsidP="00F74EB8">
      <w:pPr>
        <w:spacing w:after="53" w:line="320" w:lineRule="exact"/>
        <w:rPr>
          <w:rFonts w:ascii="Helvetica" w:eastAsia="Calibri" w:hAnsi="Helvetica" w:cs="Times New Roman"/>
        </w:rPr>
      </w:pPr>
      <w:r>
        <w:rPr>
          <w:rFonts w:ascii="Helvetica" w:eastAsia="Calibri" w:hAnsi="Helvetica" w:cs="Times New Roman"/>
        </w:rPr>
        <w:t>Of the</w:t>
      </w:r>
      <w:r w:rsidR="002D7878">
        <w:rPr>
          <w:rFonts w:ascii="Helvetica" w:eastAsia="Calibri" w:hAnsi="Helvetica" w:cs="Times New Roman"/>
        </w:rPr>
        <w:t xml:space="preserve"> </w:t>
      </w:r>
      <w:r w:rsidR="002D7878" w:rsidRPr="003A31F2">
        <w:rPr>
          <w:rFonts w:ascii="Helvetica" w:eastAsia="Calibri" w:hAnsi="Helvetica" w:cs="Times New Roman"/>
        </w:rPr>
        <w:t>251</w:t>
      </w:r>
      <w:r w:rsidR="002D7878" w:rsidRPr="005F4E32">
        <w:rPr>
          <w:rFonts w:ascii="Helvetica" w:eastAsia="Calibri" w:hAnsi="Helvetica" w:cs="Times New Roman"/>
        </w:rPr>
        <w:t xml:space="preserve"> businesses </w:t>
      </w:r>
      <w:r>
        <w:rPr>
          <w:rFonts w:ascii="Helvetica" w:eastAsia="Calibri" w:hAnsi="Helvetica" w:cs="Times New Roman"/>
        </w:rPr>
        <w:t>audited</w:t>
      </w:r>
      <w:r w:rsidR="002D7878" w:rsidRPr="005F4E32">
        <w:rPr>
          <w:rFonts w:ascii="Helvetica" w:eastAsia="Calibri" w:hAnsi="Helvetica" w:cs="Times New Roman"/>
        </w:rPr>
        <w:t>:</w:t>
      </w:r>
    </w:p>
    <w:p w14:paraId="00234DA8" w14:textId="77777777" w:rsidR="002D7878" w:rsidRPr="005F4E32" w:rsidRDefault="002D7878" w:rsidP="00F74EB8">
      <w:pPr>
        <w:numPr>
          <w:ilvl w:val="0"/>
          <w:numId w:val="43"/>
        </w:numPr>
        <w:spacing w:after="53" w:line="320" w:lineRule="exact"/>
        <w:rPr>
          <w:rFonts w:ascii="Helvetica" w:eastAsia="Calibri" w:hAnsi="Helvetica" w:cs="Times New Roman"/>
        </w:rPr>
      </w:pPr>
      <w:r>
        <w:rPr>
          <w:rFonts w:ascii="Helvetica" w:eastAsia="Calibri" w:hAnsi="Helvetica" w:cs="Times New Roman"/>
        </w:rPr>
        <w:t>113 (4</w:t>
      </w:r>
      <w:r w:rsidR="008846C6">
        <w:rPr>
          <w:rFonts w:ascii="Helvetica" w:eastAsia="Calibri" w:hAnsi="Helvetica" w:cs="Times New Roman"/>
        </w:rPr>
        <w:t>5%)</w:t>
      </w:r>
      <w:r w:rsidRPr="005F4E32">
        <w:rPr>
          <w:rFonts w:ascii="Helvetica" w:eastAsia="Calibri" w:hAnsi="Helvetica" w:cs="Times New Roman"/>
        </w:rPr>
        <w:t xml:space="preserve"> businesses </w:t>
      </w:r>
      <w:r w:rsidR="00383D2E">
        <w:rPr>
          <w:rFonts w:ascii="Helvetica" w:eastAsia="Calibri" w:hAnsi="Helvetica" w:cs="Times New Roman"/>
        </w:rPr>
        <w:t xml:space="preserve">were </w:t>
      </w:r>
      <w:r w:rsidRPr="005F4E32">
        <w:rPr>
          <w:rFonts w:ascii="Helvetica" w:eastAsia="Calibri" w:hAnsi="Helvetica" w:cs="Times New Roman"/>
        </w:rPr>
        <w:t>compliant with all requirements</w:t>
      </w:r>
      <w:r w:rsidR="003E30F1">
        <w:rPr>
          <w:rFonts w:ascii="Helvetica" w:eastAsia="Calibri" w:hAnsi="Helvetica" w:cs="Times New Roman"/>
        </w:rPr>
        <w:t>; and</w:t>
      </w:r>
    </w:p>
    <w:p w14:paraId="00234DA9" w14:textId="77777777" w:rsidR="002D7878" w:rsidRPr="005F4E32" w:rsidRDefault="002D7878" w:rsidP="00F74EB8">
      <w:pPr>
        <w:numPr>
          <w:ilvl w:val="0"/>
          <w:numId w:val="43"/>
        </w:numPr>
        <w:spacing w:after="53" w:line="320" w:lineRule="exact"/>
        <w:rPr>
          <w:rFonts w:ascii="Helvetica" w:eastAsia="Calibri" w:hAnsi="Helvetica" w:cs="Times New Roman"/>
        </w:rPr>
      </w:pPr>
      <w:r>
        <w:rPr>
          <w:rFonts w:ascii="Helvetica" w:eastAsia="Calibri" w:hAnsi="Helvetica" w:cs="Times New Roman"/>
        </w:rPr>
        <w:t>138 (5</w:t>
      </w:r>
      <w:r w:rsidR="008846C6">
        <w:rPr>
          <w:rFonts w:ascii="Helvetica" w:eastAsia="Calibri" w:hAnsi="Helvetica" w:cs="Times New Roman"/>
        </w:rPr>
        <w:t xml:space="preserve">5%) </w:t>
      </w:r>
      <w:r w:rsidRPr="005F4E32">
        <w:rPr>
          <w:rFonts w:ascii="Helvetica" w:eastAsia="Calibri" w:hAnsi="Helvetica" w:cs="Times New Roman"/>
        </w:rPr>
        <w:t xml:space="preserve">businesses </w:t>
      </w:r>
      <w:r w:rsidR="00383D2E">
        <w:rPr>
          <w:rFonts w:ascii="Helvetica" w:eastAsia="Calibri" w:hAnsi="Helvetica" w:cs="Times New Roman"/>
        </w:rPr>
        <w:t xml:space="preserve">had </w:t>
      </w:r>
      <w:r w:rsidR="008846C6">
        <w:rPr>
          <w:rFonts w:ascii="Helvetica" w:eastAsia="Calibri" w:hAnsi="Helvetica" w:cs="Times New Roman"/>
        </w:rPr>
        <w:t>at least one error:</w:t>
      </w:r>
    </w:p>
    <w:p w14:paraId="00234DAA" w14:textId="77777777" w:rsidR="002D7878" w:rsidRPr="005F4E32" w:rsidRDefault="002D7878" w:rsidP="00F74EB8">
      <w:pPr>
        <w:numPr>
          <w:ilvl w:val="1"/>
          <w:numId w:val="43"/>
        </w:numPr>
        <w:spacing w:after="53" w:line="320" w:lineRule="exact"/>
        <w:rPr>
          <w:rFonts w:ascii="Helvetica" w:eastAsia="Calibri" w:hAnsi="Helvetica" w:cs="Times New Roman"/>
        </w:rPr>
      </w:pPr>
      <w:r>
        <w:rPr>
          <w:rFonts w:ascii="Helvetica" w:eastAsia="Calibri" w:hAnsi="Helvetica" w:cs="Times New Roman"/>
        </w:rPr>
        <w:t>60 (24</w:t>
      </w:r>
      <w:r w:rsidRPr="005F4E32">
        <w:rPr>
          <w:rFonts w:ascii="Helvetica" w:eastAsia="Calibri" w:hAnsi="Helvetica" w:cs="Times New Roman"/>
        </w:rPr>
        <w:t>%) had errors relating to pay</w:t>
      </w:r>
      <w:r w:rsidR="008846C6">
        <w:rPr>
          <w:rFonts w:ascii="Helvetica" w:eastAsia="Calibri" w:hAnsi="Helvetica" w:cs="Times New Roman"/>
        </w:rPr>
        <w:t xml:space="preserve"> </w:t>
      </w:r>
      <w:r w:rsidRPr="005F4E32">
        <w:rPr>
          <w:rFonts w:ascii="Helvetica" w:eastAsia="Calibri" w:hAnsi="Helvetica" w:cs="Times New Roman"/>
        </w:rPr>
        <w:t>slips or record</w:t>
      </w:r>
      <w:r w:rsidR="008846C6">
        <w:rPr>
          <w:rFonts w:ascii="Helvetica" w:eastAsia="Calibri" w:hAnsi="Helvetica" w:cs="Times New Roman"/>
        </w:rPr>
        <w:t>s</w:t>
      </w:r>
      <w:r w:rsidRPr="005F4E32">
        <w:rPr>
          <w:rFonts w:ascii="Helvetica" w:eastAsia="Calibri" w:hAnsi="Helvetica" w:cs="Times New Roman"/>
        </w:rPr>
        <w:t>;</w:t>
      </w:r>
    </w:p>
    <w:p w14:paraId="00234DAB" w14:textId="77777777" w:rsidR="002D7878" w:rsidRPr="005F4E32" w:rsidRDefault="002D7878" w:rsidP="00F74EB8">
      <w:pPr>
        <w:numPr>
          <w:ilvl w:val="1"/>
          <w:numId w:val="43"/>
        </w:numPr>
        <w:spacing w:after="53" w:line="320" w:lineRule="exact"/>
        <w:rPr>
          <w:rFonts w:ascii="Helvetica" w:eastAsia="Calibri" w:hAnsi="Helvetica" w:cs="Times New Roman"/>
        </w:rPr>
      </w:pPr>
      <w:r>
        <w:rPr>
          <w:rFonts w:ascii="Helvetica" w:eastAsia="Calibri" w:hAnsi="Helvetica" w:cs="Times New Roman"/>
        </w:rPr>
        <w:t>36 (14</w:t>
      </w:r>
      <w:r w:rsidRPr="005F4E32">
        <w:rPr>
          <w:rFonts w:ascii="Helvetica" w:eastAsia="Calibri" w:hAnsi="Helvetica" w:cs="Times New Roman"/>
        </w:rPr>
        <w:t>%) had errors relating to pay rates; and</w:t>
      </w:r>
    </w:p>
    <w:p w14:paraId="00234DAC" w14:textId="77777777" w:rsidR="002D7878" w:rsidRPr="005F4E32" w:rsidRDefault="002D7878" w:rsidP="00F74EB8">
      <w:pPr>
        <w:numPr>
          <w:ilvl w:val="1"/>
          <w:numId w:val="43"/>
        </w:numPr>
        <w:spacing w:after="53" w:line="320" w:lineRule="exact"/>
        <w:rPr>
          <w:rFonts w:ascii="Helvetica" w:eastAsia="Calibri" w:hAnsi="Helvetica" w:cs="Times New Roman"/>
        </w:rPr>
      </w:pPr>
      <w:r>
        <w:rPr>
          <w:rFonts w:ascii="Helvetica" w:eastAsia="Calibri" w:hAnsi="Helvetica" w:cs="Times New Roman"/>
        </w:rPr>
        <w:t>42 (17</w:t>
      </w:r>
      <w:r w:rsidRPr="005F4E32">
        <w:rPr>
          <w:rFonts w:ascii="Helvetica" w:eastAsia="Calibri" w:hAnsi="Helvetica" w:cs="Times New Roman"/>
        </w:rPr>
        <w:t>%) had</w:t>
      </w:r>
      <w:r w:rsidR="008846C6">
        <w:rPr>
          <w:rFonts w:ascii="Helvetica" w:eastAsia="Calibri" w:hAnsi="Helvetica" w:cs="Times New Roman"/>
        </w:rPr>
        <w:t xml:space="preserve"> errors relating to</w:t>
      </w:r>
      <w:r w:rsidRPr="005F4E32">
        <w:rPr>
          <w:rFonts w:ascii="Helvetica" w:eastAsia="Calibri" w:hAnsi="Helvetica" w:cs="Times New Roman"/>
        </w:rPr>
        <w:t xml:space="preserve"> both </w:t>
      </w:r>
      <w:r w:rsidR="008846C6">
        <w:rPr>
          <w:rFonts w:ascii="Helvetica" w:eastAsia="Calibri" w:hAnsi="Helvetica" w:cs="Times New Roman"/>
        </w:rPr>
        <w:t>pay rates and pay slip</w:t>
      </w:r>
      <w:r w:rsidR="003E30F1">
        <w:rPr>
          <w:rFonts w:ascii="Helvetica" w:eastAsia="Calibri" w:hAnsi="Helvetica" w:cs="Times New Roman"/>
        </w:rPr>
        <w:t>s</w:t>
      </w:r>
      <w:r w:rsidR="008846C6">
        <w:rPr>
          <w:rFonts w:ascii="Helvetica" w:eastAsia="Calibri" w:hAnsi="Helvetica" w:cs="Times New Roman"/>
        </w:rPr>
        <w:t>/records</w:t>
      </w:r>
      <w:r w:rsidRPr="005F4E32">
        <w:rPr>
          <w:rFonts w:ascii="Helvetica" w:eastAsia="Calibri" w:hAnsi="Helvetica" w:cs="Times New Roman"/>
        </w:rPr>
        <w:t>.</w:t>
      </w:r>
    </w:p>
    <w:p w14:paraId="00234DAD" w14:textId="77777777" w:rsidR="002D7878" w:rsidRPr="005F4E32" w:rsidRDefault="006700F7" w:rsidP="00F74EB8">
      <w:pPr>
        <w:pStyle w:val="Heading3"/>
        <w:rPr>
          <w:rFonts w:eastAsia="Calibri"/>
        </w:rPr>
      </w:pPr>
      <w:r>
        <w:rPr>
          <w:rFonts w:eastAsia="Calibri"/>
        </w:rPr>
        <w:t>Figure 1 - Compliance r</w:t>
      </w:r>
      <w:r w:rsidR="002D7878">
        <w:rPr>
          <w:rFonts w:eastAsia="Calibri"/>
        </w:rPr>
        <w:t>ates</w:t>
      </w:r>
      <w:r w:rsidR="002D7878" w:rsidRPr="005F4E32">
        <w:rPr>
          <w:rFonts w:eastAsia="Calibri"/>
        </w:rPr>
        <w:t xml:space="preserve"> </w:t>
      </w:r>
    </w:p>
    <w:p w14:paraId="00234DAE" w14:textId="77777777" w:rsidR="006D5DA8" w:rsidRDefault="00AD1A2B" w:rsidP="00F74EB8">
      <w:r>
        <w:rPr>
          <w:noProof/>
          <w:lang w:eastAsia="en-AU"/>
        </w:rPr>
        <w:drawing>
          <wp:inline distT="0" distB="0" distL="0" distR="0" wp14:anchorId="00234DD0" wp14:editId="00234DD1">
            <wp:extent cx="5978636" cy="3593804"/>
            <wp:effectExtent l="0" t="0" r="3175" b="6985"/>
            <wp:docPr id="2" name="Picture 2" descr="A pie chart outlining the campaign results, specifically 45% compliant, 55% non-compliant, 14% pay rate errors, 24% records/Pay slips errors, 17% had both type of errors" title="Campaign results 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2133" cy="3595906"/>
                    </a:xfrm>
                    <a:prstGeom prst="rect">
                      <a:avLst/>
                    </a:prstGeom>
                    <a:noFill/>
                  </pic:spPr>
                </pic:pic>
              </a:graphicData>
            </a:graphic>
          </wp:inline>
        </w:drawing>
      </w:r>
      <w:r w:rsidR="006D5DA8">
        <w:br w:type="page"/>
      </w:r>
    </w:p>
    <w:p w14:paraId="00234DAF" w14:textId="77777777" w:rsidR="002D7878" w:rsidRDefault="002D7878" w:rsidP="00F74EB8">
      <w:r>
        <w:lastRenderedPageBreak/>
        <w:t>This means that:</w:t>
      </w:r>
    </w:p>
    <w:p w14:paraId="00234DB0" w14:textId="77777777" w:rsidR="002D7878" w:rsidRPr="005F4E32" w:rsidRDefault="002D7878" w:rsidP="00F74EB8">
      <w:pPr>
        <w:numPr>
          <w:ilvl w:val="0"/>
          <w:numId w:val="43"/>
        </w:numPr>
        <w:ind w:left="714" w:hanging="357"/>
        <w:rPr>
          <w:rFonts w:ascii="Helvetica" w:eastAsia="Calibri" w:hAnsi="Helvetica" w:cs="Times New Roman"/>
        </w:rPr>
      </w:pPr>
      <w:r>
        <w:rPr>
          <w:rFonts w:ascii="Helvetica" w:eastAsia="Calibri" w:hAnsi="Helvetica" w:cs="Times New Roman"/>
        </w:rPr>
        <w:t>173 (69</w:t>
      </w:r>
      <w:r w:rsidR="008846C6">
        <w:rPr>
          <w:rFonts w:ascii="Helvetica" w:eastAsia="Calibri" w:hAnsi="Helvetica" w:cs="Times New Roman"/>
        </w:rPr>
        <w:t>%) businesses</w:t>
      </w:r>
      <w:r w:rsidRPr="005F4E32">
        <w:rPr>
          <w:rFonts w:ascii="Helvetica" w:eastAsia="Calibri" w:hAnsi="Helvetica" w:cs="Times New Roman"/>
        </w:rPr>
        <w:t xml:space="preserve"> were paying their employees correctly</w:t>
      </w:r>
      <w:r>
        <w:rPr>
          <w:rFonts w:ascii="Helvetica" w:eastAsia="Calibri" w:hAnsi="Helvetica" w:cs="Times New Roman"/>
        </w:rPr>
        <w:t>;</w:t>
      </w:r>
    </w:p>
    <w:p w14:paraId="00234DB1" w14:textId="77777777" w:rsidR="002D7878" w:rsidRPr="002D7878" w:rsidRDefault="002D7878" w:rsidP="00F74EB8">
      <w:pPr>
        <w:numPr>
          <w:ilvl w:val="0"/>
          <w:numId w:val="43"/>
        </w:numPr>
        <w:ind w:left="714" w:hanging="357"/>
        <w:rPr>
          <w:rFonts w:ascii="Helvetica" w:eastAsia="Calibri" w:hAnsi="Helvetica" w:cs="Times New Roman"/>
        </w:rPr>
      </w:pPr>
      <w:r w:rsidRPr="002D7878">
        <w:rPr>
          <w:rFonts w:ascii="Helvetica" w:eastAsia="Calibri" w:hAnsi="Helvetica" w:cs="Times New Roman"/>
        </w:rPr>
        <w:t xml:space="preserve">149 (59%) </w:t>
      </w:r>
      <w:r w:rsidR="008846C6">
        <w:rPr>
          <w:rFonts w:ascii="Helvetica" w:eastAsia="Calibri" w:hAnsi="Helvetica" w:cs="Times New Roman"/>
        </w:rPr>
        <w:t>businesses</w:t>
      </w:r>
      <w:r w:rsidRPr="002D7878">
        <w:rPr>
          <w:rFonts w:ascii="Helvetica" w:eastAsia="Calibri" w:hAnsi="Helvetica" w:cs="Times New Roman"/>
        </w:rPr>
        <w:t xml:space="preserve"> were compliant with record-keeping and pay slip requirements;</w:t>
      </w:r>
    </w:p>
    <w:p w14:paraId="00234DB2" w14:textId="77777777" w:rsidR="002D7878" w:rsidRPr="002D7878" w:rsidRDefault="002D7878" w:rsidP="00F74EB8">
      <w:pPr>
        <w:numPr>
          <w:ilvl w:val="0"/>
          <w:numId w:val="43"/>
        </w:numPr>
        <w:ind w:left="714" w:hanging="357"/>
        <w:rPr>
          <w:rFonts w:ascii="Helvetica" w:eastAsia="Calibri" w:hAnsi="Helvetica" w:cs="Times New Roman"/>
        </w:rPr>
      </w:pPr>
      <w:r w:rsidRPr="002D7878">
        <w:rPr>
          <w:rFonts w:ascii="Helvetica" w:eastAsia="Calibri" w:hAnsi="Helvetica" w:cs="Times New Roman"/>
        </w:rPr>
        <w:t>$80,116 was recovered from 63 businesses on behalf of 183 employees</w:t>
      </w:r>
      <w:r w:rsidR="00F74EB8">
        <w:rPr>
          <w:rFonts w:ascii="Helvetica" w:eastAsia="Calibri" w:hAnsi="Helvetica" w:cs="Times New Roman"/>
        </w:rPr>
        <w:t xml:space="preserve">. </w:t>
      </w:r>
      <w:r w:rsidR="00F40B49">
        <w:rPr>
          <w:rFonts w:ascii="Helvetica" w:eastAsia="Calibri" w:hAnsi="Helvetica" w:cs="Times New Roman"/>
        </w:rPr>
        <w:t>A</w:t>
      </w:r>
      <w:r w:rsidRPr="002D7878">
        <w:rPr>
          <w:rFonts w:ascii="Helvetica" w:eastAsia="Calibri" w:hAnsi="Helvetica" w:cs="Times New Roman"/>
        </w:rPr>
        <w:t>mounts recovered f</w:t>
      </w:r>
      <w:r>
        <w:rPr>
          <w:rFonts w:ascii="Helvetica" w:eastAsia="Calibri" w:hAnsi="Helvetica" w:cs="Times New Roman"/>
        </w:rPr>
        <w:t>r</w:t>
      </w:r>
      <w:r w:rsidR="003E30F1">
        <w:rPr>
          <w:rFonts w:ascii="Helvetica" w:eastAsia="Calibri" w:hAnsi="Helvetica" w:cs="Times New Roman"/>
        </w:rPr>
        <w:t>om individual businesses ranged</w:t>
      </w:r>
      <w:r w:rsidR="008846C6">
        <w:rPr>
          <w:rFonts w:ascii="Helvetica" w:eastAsia="Calibri" w:hAnsi="Helvetica" w:cs="Times New Roman"/>
        </w:rPr>
        <w:t xml:space="preserve"> from less than $100 to over $9,000;</w:t>
      </w:r>
    </w:p>
    <w:p w14:paraId="00234DB3" w14:textId="77777777" w:rsidR="002D7878" w:rsidRDefault="002D7878" w:rsidP="00F74EB8">
      <w:pPr>
        <w:numPr>
          <w:ilvl w:val="0"/>
          <w:numId w:val="43"/>
        </w:numPr>
        <w:ind w:left="714" w:hanging="357"/>
        <w:rPr>
          <w:rFonts w:ascii="Helvetica" w:eastAsia="Calibri" w:hAnsi="Helvetica" w:cs="Times New Roman"/>
        </w:rPr>
      </w:pPr>
      <w:r w:rsidRPr="002D7878">
        <w:rPr>
          <w:rFonts w:ascii="Helvetica" w:eastAsia="Calibri" w:hAnsi="Helvetica" w:cs="Times New Roman"/>
        </w:rPr>
        <w:t>3 formal cautions were issued</w:t>
      </w:r>
      <w:r>
        <w:rPr>
          <w:rFonts w:ascii="Helvetica" w:eastAsia="Calibri" w:hAnsi="Helvetica" w:cs="Times New Roman"/>
        </w:rPr>
        <w:t xml:space="preserve">. </w:t>
      </w:r>
      <w:r>
        <w:t xml:space="preserve">Formal cautions are a written warning when the FWO has found non-compliance and wants to put a business on notice that future non-compliance could </w:t>
      </w:r>
      <w:r w:rsidR="006D5DA8">
        <w:t>in the FWO taking enforcement action against the business including seeking financial penalties through the courts</w:t>
      </w:r>
      <w:r>
        <w:t>; and</w:t>
      </w:r>
    </w:p>
    <w:p w14:paraId="00234DB4" w14:textId="2F1781E4" w:rsidR="002D7878" w:rsidRPr="00AB2888" w:rsidRDefault="002D7878" w:rsidP="00F74EB8">
      <w:pPr>
        <w:numPr>
          <w:ilvl w:val="0"/>
          <w:numId w:val="43"/>
        </w:numPr>
        <w:ind w:left="714" w:hanging="357"/>
        <w:rPr>
          <w:rFonts w:ascii="Helvetica" w:eastAsia="Calibri" w:hAnsi="Helvetica" w:cs="Times New Roman"/>
        </w:rPr>
      </w:pPr>
      <w:r w:rsidRPr="00AB2888">
        <w:rPr>
          <w:rFonts w:ascii="Helvetica" w:eastAsia="Calibri" w:hAnsi="Helvetica" w:cs="Times New Roman"/>
        </w:rPr>
        <w:t>3 Infringe</w:t>
      </w:r>
      <w:r w:rsidR="00AB2888" w:rsidRPr="00AB2888">
        <w:rPr>
          <w:rFonts w:ascii="Helvetica" w:eastAsia="Calibri" w:hAnsi="Helvetica" w:cs="Times New Roman"/>
        </w:rPr>
        <w:t>ment Notices</w:t>
      </w:r>
      <w:r w:rsidRPr="00AB2888">
        <w:rPr>
          <w:rFonts w:ascii="Helvetica" w:eastAsia="Calibri" w:hAnsi="Helvetica" w:cs="Times New Roman"/>
        </w:rPr>
        <w:t xml:space="preserve"> were issued.</w:t>
      </w:r>
      <w:r w:rsidR="008846C6" w:rsidRPr="00AB2888">
        <w:rPr>
          <w:rFonts w:ascii="Helvetica" w:eastAsia="Calibri" w:hAnsi="Helvetica" w:cs="Times New Roman"/>
        </w:rPr>
        <w:t xml:space="preserve">  </w:t>
      </w:r>
      <w:r w:rsidR="00AB2888" w:rsidRPr="00AB2888">
        <w:rPr>
          <w:rFonts w:ascii="Helvetica" w:eastAsia="Calibri" w:hAnsi="Helvetica" w:cs="Times New Roman"/>
        </w:rPr>
        <w:t>An Infringement Notice is an on the spot fine issued to a business for not complying with the record-keeping</w:t>
      </w:r>
      <w:r w:rsidR="00B13BFB">
        <w:rPr>
          <w:rFonts w:ascii="Helvetica" w:eastAsia="Calibri" w:hAnsi="Helvetica" w:cs="Times New Roman"/>
        </w:rPr>
        <w:t xml:space="preserve"> and/or</w:t>
      </w:r>
      <w:r w:rsidR="00AB2888" w:rsidRPr="00AB2888">
        <w:rPr>
          <w:rFonts w:ascii="Helvetica" w:eastAsia="Calibri" w:hAnsi="Helvetica" w:cs="Times New Roman"/>
        </w:rPr>
        <w:t xml:space="preserve"> pay</w:t>
      </w:r>
      <w:r w:rsidR="00B13BFB">
        <w:rPr>
          <w:rFonts w:ascii="Helvetica" w:eastAsia="Calibri" w:hAnsi="Helvetica" w:cs="Times New Roman"/>
        </w:rPr>
        <w:t xml:space="preserve"> </w:t>
      </w:r>
      <w:r w:rsidR="00AB2888" w:rsidRPr="00AB2888">
        <w:rPr>
          <w:rFonts w:ascii="Helvetica" w:eastAsia="Calibri" w:hAnsi="Helvetica" w:cs="Times New Roman"/>
        </w:rPr>
        <w:t xml:space="preserve">slip obligations </w:t>
      </w:r>
      <w:r w:rsidR="00B13BFB">
        <w:rPr>
          <w:rFonts w:ascii="Helvetica" w:eastAsia="Calibri" w:hAnsi="Helvetica" w:cs="Times New Roman"/>
        </w:rPr>
        <w:t>of</w:t>
      </w:r>
      <w:r w:rsidR="00AB2888" w:rsidRPr="00AB2888">
        <w:rPr>
          <w:rFonts w:ascii="Helvetica" w:eastAsia="Calibri" w:hAnsi="Helvetica" w:cs="Times New Roman"/>
        </w:rPr>
        <w:t xml:space="preserve"> the Act and Regulations.</w:t>
      </w:r>
    </w:p>
    <w:p w14:paraId="00234DB5" w14:textId="77777777" w:rsidR="002D7878" w:rsidRDefault="002D7878" w:rsidP="00F74EB8">
      <w:pPr>
        <w:pStyle w:val="Heading2"/>
      </w:pPr>
      <w:bookmarkStart w:id="7" w:name="_Toc449685696"/>
      <w:r>
        <w:t>Individual Errors</w:t>
      </w:r>
      <w:bookmarkEnd w:id="7"/>
    </w:p>
    <w:p w14:paraId="00234DB6" w14:textId="77777777" w:rsidR="001A5144" w:rsidRDefault="00B13BFB" w:rsidP="00F74EB8">
      <w:pPr>
        <w:rPr>
          <w:rFonts w:ascii="Helvetica" w:eastAsia="Calibri" w:hAnsi="Helvetica" w:cs="Times New Roman"/>
        </w:rPr>
      </w:pPr>
      <w:r>
        <w:rPr>
          <w:rFonts w:ascii="Helvetica" w:eastAsia="Calibri" w:hAnsi="Helvetica" w:cs="Times New Roman"/>
        </w:rPr>
        <w:t xml:space="preserve">The 138 </w:t>
      </w:r>
      <w:r w:rsidR="001A5144">
        <w:rPr>
          <w:rFonts w:ascii="Helvetica" w:eastAsia="Calibri" w:hAnsi="Helvetica" w:cs="Times New Roman"/>
        </w:rPr>
        <w:t xml:space="preserve">non-compliant businesses </w:t>
      </w:r>
      <w:r>
        <w:rPr>
          <w:rFonts w:ascii="Helvetica" w:eastAsia="Calibri" w:hAnsi="Helvetica" w:cs="Times New Roman"/>
        </w:rPr>
        <w:t xml:space="preserve">had a total of </w:t>
      </w:r>
      <w:r w:rsidR="002D7878">
        <w:rPr>
          <w:rFonts w:ascii="Helvetica" w:eastAsia="Calibri" w:hAnsi="Helvetica" w:cs="Times New Roman"/>
        </w:rPr>
        <w:t>227</w:t>
      </w:r>
      <w:r w:rsidR="002D7878" w:rsidRPr="005F4E32">
        <w:rPr>
          <w:rFonts w:ascii="Helvetica" w:eastAsia="Calibri" w:hAnsi="Helvetica" w:cs="Times New Roman"/>
        </w:rPr>
        <w:t xml:space="preserve"> individual errors</w:t>
      </w:r>
      <w:r>
        <w:rPr>
          <w:rFonts w:ascii="Helvetica" w:eastAsia="Calibri" w:hAnsi="Helvetica" w:cs="Times New Roman"/>
        </w:rPr>
        <w:t xml:space="preserve">.  </w:t>
      </w:r>
      <w:r w:rsidR="001A5144">
        <w:rPr>
          <w:rFonts w:ascii="Helvetica" w:eastAsia="Calibri" w:hAnsi="Helvetica" w:cs="Times New Roman"/>
        </w:rPr>
        <w:t xml:space="preserve">The most common errors related to pay slips (40%), followed by underpayment of base wages (27%) and penalties, loadings and allowances (20%).  </w:t>
      </w:r>
    </w:p>
    <w:p w14:paraId="00234DB7" w14:textId="77777777" w:rsidR="002D7878" w:rsidRDefault="006C22F4" w:rsidP="00F74EB8">
      <w:pPr>
        <w:pStyle w:val="Heading3"/>
      </w:pPr>
      <w:r>
        <w:t>Figure</w:t>
      </w:r>
      <w:r w:rsidR="006700F7">
        <w:t xml:space="preserve"> 2 - Individual error t</w:t>
      </w:r>
      <w:r w:rsidR="002D7878">
        <w:t>ypes</w:t>
      </w:r>
    </w:p>
    <w:p w14:paraId="00234DB8" w14:textId="77777777" w:rsidR="002D7878" w:rsidRPr="002D7878" w:rsidRDefault="00F162FE" w:rsidP="00F74EB8">
      <w:r>
        <w:rPr>
          <w:noProof/>
          <w:lang w:eastAsia="en-AU"/>
        </w:rPr>
        <w:drawing>
          <wp:inline distT="0" distB="0" distL="0" distR="0" wp14:anchorId="00234DD2" wp14:editId="00234DD3">
            <wp:extent cx="5695619" cy="3423683"/>
            <wp:effectExtent l="0" t="0" r="635" b="5715"/>
            <wp:docPr id="4" name="Picture 4" descr="Chart showing the individual errors identified and the proportion of errors they represented" title="Individual Err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1142" cy="3427003"/>
                    </a:xfrm>
                    <a:prstGeom prst="rect">
                      <a:avLst/>
                    </a:prstGeom>
                    <a:noFill/>
                  </pic:spPr>
                </pic:pic>
              </a:graphicData>
            </a:graphic>
          </wp:inline>
        </w:drawing>
      </w:r>
    </w:p>
    <w:p w14:paraId="00234DB9" w14:textId="77777777" w:rsidR="00F20E5B" w:rsidRDefault="00A4010A" w:rsidP="00F74EB8">
      <w:pPr>
        <w:pStyle w:val="Heading2"/>
      </w:pPr>
      <w:bookmarkStart w:id="8" w:name="_Toc449685697"/>
      <w:r w:rsidRPr="00A4010A">
        <w:lastRenderedPageBreak/>
        <w:t>Asso</w:t>
      </w:r>
      <w:r w:rsidR="00F20E5B" w:rsidRPr="00A4010A">
        <w:t>ciation Membership</w:t>
      </w:r>
      <w:r w:rsidRPr="00A4010A">
        <w:t xml:space="preserve"> and</w:t>
      </w:r>
      <w:r>
        <w:t xml:space="preserve"> Business Size</w:t>
      </w:r>
      <w:bookmarkEnd w:id="8"/>
    </w:p>
    <w:p w14:paraId="00234DBA" w14:textId="77777777" w:rsidR="00E037E6" w:rsidRDefault="00A4010A" w:rsidP="00F74EB8">
      <w:pPr>
        <w:rPr>
          <w:rFonts w:eastAsia="Calibri"/>
        </w:rPr>
      </w:pPr>
      <w:r>
        <w:rPr>
          <w:rFonts w:eastAsia="Calibri"/>
        </w:rPr>
        <w:t xml:space="preserve">Businesses that were members of an industry or employer association had a higher compliance rate than businesses that were not members.  Association member businesses had a compliance rate of 49%, compared to a compliance rate of 43% for non-member businesses.  </w:t>
      </w:r>
    </w:p>
    <w:p w14:paraId="00234DBB" w14:textId="77777777" w:rsidR="00A4010A" w:rsidRDefault="006C22F4" w:rsidP="00F74EB8">
      <w:pPr>
        <w:rPr>
          <w:rFonts w:eastAsia="Calibri"/>
        </w:rPr>
      </w:pPr>
      <w:r>
        <w:rPr>
          <w:rFonts w:eastAsia="Calibri"/>
        </w:rPr>
        <w:t xml:space="preserve">Larger businesses (those with 15 or more employees) had a higher compliance rate </w:t>
      </w:r>
      <w:r w:rsidR="0071288E">
        <w:rPr>
          <w:rFonts w:eastAsia="Calibri"/>
        </w:rPr>
        <w:t>than</w:t>
      </w:r>
      <w:r>
        <w:rPr>
          <w:rFonts w:eastAsia="Calibri"/>
        </w:rPr>
        <w:t xml:space="preserve"> smaller businesses (those with less than 15 employees).  The compliance rate for larger businesses was 84% compared with a compliance rate of 39% for smaller businesses.  </w:t>
      </w:r>
    </w:p>
    <w:p w14:paraId="00234DBC" w14:textId="77777777" w:rsidR="00F5629C" w:rsidRPr="00F5629C" w:rsidRDefault="00F5629C" w:rsidP="00F5629C">
      <w:pPr>
        <w:spacing w:after="0"/>
        <w:rPr>
          <w:color w:val="0194A6"/>
        </w:rPr>
      </w:pPr>
      <w:r w:rsidRPr="00AB1897">
        <w:rPr>
          <w:color w:val="0194A6"/>
        </w:rPr>
        <w:t>Figure 3 – Compliance by association membership and size</w:t>
      </w:r>
    </w:p>
    <w:p w14:paraId="00234DBD" w14:textId="77777777" w:rsidR="00F5629C" w:rsidRDefault="005C0E86" w:rsidP="00F74EB8">
      <w:pPr>
        <w:rPr>
          <w:rFonts w:eastAsia="Calibri"/>
        </w:rPr>
      </w:pPr>
      <w:r>
        <w:rPr>
          <w:rFonts w:eastAsia="Calibri"/>
          <w:noProof/>
          <w:lang w:eastAsia="en-AU"/>
        </w:rPr>
        <w:drawing>
          <wp:inline distT="0" distB="0" distL="0" distR="0" wp14:anchorId="00234DD4" wp14:editId="00234DD5">
            <wp:extent cx="5486400" cy="3188028"/>
            <wp:effectExtent l="0" t="0" r="0" b="0"/>
            <wp:docPr id="5" name="Picture 5" descr="A bar graph showing the differences in compliance for association members (49%), non-members (43%), businesses with less than 15 employees (39%) and with more than 15 employees (84%)" title="Compliance by association membership and business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0717" cy="3196347"/>
                    </a:xfrm>
                    <a:prstGeom prst="rect">
                      <a:avLst/>
                    </a:prstGeom>
                    <a:noFill/>
                  </pic:spPr>
                </pic:pic>
              </a:graphicData>
            </a:graphic>
          </wp:inline>
        </w:drawing>
      </w:r>
    </w:p>
    <w:p w14:paraId="00234DBE" w14:textId="77777777" w:rsidR="00F20E5B" w:rsidRDefault="00F20E5B" w:rsidP="00F74EB8">
      <w:pPr>
        <w:pStyle w:val="Heading1"/>
      </w:pPr>
      <w:bookmarkStart w:id="9" w:name="_Toc449685698"/>
      <w:r>
        <w:t>Next Steps</w:t>
      </w:r>
      <w:bookmarkEnd w:id="9"/>
    </w:p>
    <w:p w14:paraId="00234DBF" w14:textId="77777777" w:rsidR="00807E59" w:rsidRPr="000206BB" w:rsidRDefault="00807E59" w:rsidP="00F74EB8">
      <w:pPr>
        <w:rPr>
          <w:sz w:val="44"/>
          <w:szCs w:val="26"/>
        </w:rPr>
      </w:pPr>
      <w:r w:rsidRPr="000206BB">
        <w:t>The results of the campaign indicate that businesses in the region would benefit from further education and compliance activity. The FWO will:</w:t>
      </w:r>
    </w:p>
    <w:p w14:paraId="00234DC0" w14:textId="77777777" w:rsidR="00807E59" w:rsidRPr="000206BB" w:rsidRDefault="00807E59" w:rsidP="00F74EB8">
      <w:pPr>
        <w:numPr>
          <w:ilvl w:val="0"/>
          <w:numId w:val="45"/>
        </w:numPr>
        <w:spacing w:after="53"/>
        <w:rPr>
          <w:rFonts w:ascii="Helvetica" w:eastAsia="Calibri" w:hAnsi="Helvetica" w:cs="Times New Roman"/>
        </w:rPr>
      </w:pPr>
      <w:r w:rsidRPr="000206BB">
        <w:rPr>
          <w:rFonts w:ascii="Helvetica" w:eastAsia="Calibri" w:hAnsi="Helvetica" w:cs="Times New Roman"/>
        </w:rPr>
        <w:t>continue to educate employers on their obligations and encourage them to contact the FWO and others for assistance and advice on workplace relations matters;</w:t>
      </w:r>
    </w:p>
    <w:p w14:paraId="00234DC1" w14:textId="77777777" w:rsidR="00807E59" w:rsidRPr="000206BB" w:rsidRDefault="00807E59" w:rsidP="00F74EB8">
      <w:pPr>
        <w:numPr>
          <w:ilvl w:val="0"/>
          <w:numId w:val="45"/>
        </w:numPr>
        <w:spacing w:after="53"/>
        <w:rPr>
          <w:rFonts w:ascii="Helvetica" w:eastAsia="Calibri" w:hAnsi="Helvetica" w:cs="Times New Roman"/>
        </w:rPr>
      </w:pPr>
      <w:r w:rsidRPr="000206BB">
        <w:rPr>
          <w:rFonts w:ascii="Helvetica" w:eastAsia="Calibri" w:hAnsi="Helvetica" w:cs="Times New Roman"/>
        </w:rPr>
        <w:t>audit all businesses found to be non-compliant in this campaign in the National Com</w:t>
      </w:r>
      <w:r w:rsidR="000206BB" w:rsidRPr="000206BB">
        <w:rPr>
          <w:rFonts w:ascii="Helvetica" w:eastAsia="Calibri" w:hAnsi="Helvetica" w:cs="Times New Roman"/>
        </w:rPr>
        <w:t>pliance Monitoring Campaign</w:t>
      </w:r>
      <w:r w:rsidRPr="000206BB">
        <w:rPr>
          <w:rFonts w:ascii="Helvetica" w:eastAsia="Calibri" w:hAnsi="Helvetica" w:cs="Times New Roman"/>
        </w:rPr>
        <w:t>;</w:t>
      </w:r>
    </w:p>
    <w:p w14:paraId="00234DC2" w14:textId="38161EE1" w:rsidR="00BC4EE1" w:rsidRPr="000206BB" w:rsidRDefault="00BC4EE1" w:rsidP="00F74EB8">
      <w:pPr>
        <w:numPr>
          <w:ilvl w:val="0"/>
          <w:numId w:val="45"/>
        </w:numPr>
        <w:spacing w:after="53"/>
        <w:rPr>
          <w:rFonts w:ascii="Helvetica" w:eastAsia="Calibri" w:hAnsi="Helvetica" w:cs="Times New Roman"/>
        </w:rPr>
      </w:pPr>
      <w:r w:rsidRPr="000206BB">
        <w:rPr>
          <w:rFonts w:ascii="Helvetica" w:eastAsia="Calibri" w:hAnsi="Helvetica" w:cs="Times New Roman"/>
        </w:rPr>
        <w:t xml:space="preserve">promote the tools and resources available on </w:t>
      </w:r>
      <w:hyperlink r:id="rId20" w:tooltip="Fair Work Ombudsman website" w:history="1">
        <w:r w:rsidRPr="007B505A">
          <w:rPr>
            <w:color w:val="0000FF"/>
            <w:u w:val="single"/>
            <w:lang w:eastAsia="en-AU"/>
          </w:rPr>
          <w:t>www.fairwork.gov.au</w:t>
        </w:r>
      </w:hyperlink>
      <w:r w:rsidRPr="000206BB">
        <w:rPr>
          <w:rFonts w:ascii="Helvetica" w:eastAsia="Calibri" w:hAnsi="Helvetica" w:cs="Times New Roman"/>
        </w:rPr>
        <w:t>; and</w:t>
      </w:r>
    </w:p>
    <w:p w14:paraId="00234DC3" w14:textId="77777777" w:rsidR="00747045" w:rsidRPr="000206BB" w:rsidRDefault="00747045" w:rsidP="00F74EB8">
      <w:pPr>
        <w:numPr>
          <w:ilvl w:val="0"/>
          <w:numId w:val="45"/>
        </w:numPr>
        <w:spacing w:after="53"/>
        <w:rPr>
          <w:rFonts w:ascii="Helvetica" w:eastAsia="Calibri" w:hAnsi="Helvetica" w:cs="Times New Roman"/>
        </w:rPr>
      </w:pPr>
      <w:proofErr w:type="gramStart"/>
      <w:r w:rsidRPr="000206BB">
        <w:rPr>
          <w:rFonts w:ascii="Helvetica" w:eastAsia="Calibri" w:hAnsi="Helvetica" w:cs="Times New Roman"/>
        </w:rPr>
        <w:t>promote</w:t>
      </w:r>
      <w:proofErr w:type="gramEnd"/>
      <w:r w:rsidRPr="000206BB">
        <w:rPr>
          <w:rFonts w:ascii="Helvetica" w:eastAsia="Calibri" w:hAnsi="Helvetica" w:cs="Times New Roman"/>
        </w:rPr>
        <w:t xml:space="preserve"> key themes identified in campaigns through communication and media activities and use the findings of this campaign to inform future compliance activities</w:t>
      </w:r>
      <w:r w:rsidR="00BC4EE1" w:rsidRPr="000206BB">
        <w:rPr>
          <w:rFonts w:ascii="Helvetica" w:eastAsia="Calibri" w:hAnsi="Helvetica" w:cs="Times New Roman"/>
        </w:rPr>
        <w:t>.</w:t>
      </w:r>
      <w:r w:rsidRPr="000206BB">
        <w:rPr>
          <w:rFonts w:ascii="Helvetica" w:eastAsia="Calibri" w:hAnsi="Helvetica" w:cs="Times New Roman"/>
        </w:rPr>
        <w:t xml:space="preserve"> </w:t>
      </w:r>
    </w:p>
    <w:p w14:paraId="00234DC4" w14:textId="77777777" w:rsidR="002D7878" w:rsidRDefault="00F20E5B" w:rsidP="00F74EB8">
      <w:pPr>
        <w:pStyle w:val="Heading1"/>
      </w:pPr>
      <w:bookmarkStart w:id="10" w:name="_Toc449685699"/>
      <w:r>
        <w:lastRenderedPageBreak/>
        <w:t>Conclusion</w:t>
      </w:r>
      <w:bookmarkEnd w:id="10"/>
    </w:p>
    <w:p w14:paraId="00234DC5" w14:textId="77777777" w:rsidR="000B26A9" w:rsidRPr="000B26A9" w:rsidRDefault="00D32240" w:rsidP="00F74EB8">
      <w:bookmarkStart w:id="11" w:name="_Toc446051721"/>
      <w:r w:rsidRPr="000B26A9">
        <w:t>The campaign revealed 45% of businesses were fully compliant with their workplace obligations</w:t>
      </w:r>
      <w:r w:rsidR="000B26A9" w:rsidRPr="000B26A9">
        <w:t xml:space="preserve">, </w:t>
      </w:r>
      <w:r w:rsidR="00AE058C" w:rsidRPr="000B26A9">
        <w:t>69</w:t>
      </w:r>
      <w:r w:rsidRPr="000B26A9">
        <w:t xml:space="preserve">% were paying their employees correctly and 59% were meeting their record-keeping and pay slip obligations. </w:t>
      </w:r>
    </w:p>
    <w:p w14:paraId="00234DC6" w14:textId="77777777" w:rsidR="00D32240" w:rsidRPr="000206BB" w:rsidRDefault="00D32240" w:rsidP="00F74EB8">
      <w:r w:rsidRPr="000206BB">
        <w:t xml:space="preserve">The FWO will use the results of this campaign to inform our future </w:t>
      </w:r>
      <w:r w:rsidR="000206BB" w:rsidRPr="000206BB">
        <w:t xml:space="preserve">education and audit activities.  This </w:t>
      </w:r>
      <w:r w:rsidRPr="000206BB">
        <w:t xml:space="preserve">may involve the development of future national or regional campaigns that include businesses from these regions. All businesses found </w:t>
      </w:r>
      <w:r w:rsidR="000206BB" w:rsidRPr="000206BB">
        <w:t xml:space="preserve">to be </w:t>
      </w:r>
      <w:r w:rsidRPr="000206BB">
        <w:t xml:space="preserve">non-compliant during this campaign will be re-audited as part of the </w:t>
      </w:r>
      <w:proofErr w:type="spellStart"/>
      <w:r w:rsidRPr="000206BB">
        <w:t>FWO’s</w:t>
      </w:r>
      <w:proofErr w:type="spellEnd"/>
      <w:r w:rsidRPr="000206BB">
        <w:t xml:space="preserve"> ongoing Nationa</w:t>
      </w:r>
      <w:r w:rsidR="000206BB" w:rsidRPr="000206BB">
        <w:t xml:space="preserve">l Compliance Monitoring Campaign, </w:t>
      </w:r>
      <w:r w:rsidRPr="000206BB">
        <w:t>to promote a culture of compliance</w:t>
      </w:r>
      <w:r w:rsidR="00407445" w:rsidRPr="000206BB">
        <w:t>,</w:t>
      </w:r>
      <w:r w:rsidRPr="000206BB">
        <w:t xml:space="preserve"> assess behavioural change</w:t>
      </w:r>
      <w:r w:rsidR="00407445" w:rsidRPr="000206BB">
        <w:t xml:space="preserve"> and take compliance and enfo</w:t>
      </w:r>
      <w:r w:rsidR="000206BB" w:rsidRPr="000206BB">
        <w:t xml:space="preserve">rcement action where necessary.  </w:t>
      </w:r>
    </w:p>
    <w:p w14:paraId="00234DC7" w14:textId="42CCCF1B" w:rsidR="00EC150C" w:rsidRDefault="00D32240" w:rsidP="00F74EB8">
      <w:pPr>
        <w:rPr>
          <w:lang w:eastAsia="en-AU"/>
        </w:rPr>
      </w:pPr>
      <w:r w:rsidRPr="000206BB">
        <w:t>The FWO will continue to support a culture of compliance by empowering businesses an</w:t>
      </w:r>
      <w:r w:rsidR="000206BB" w:rsidRPr="000206BB">
        <w:t>d their employees to resolve any</w:t>
      </w:r>
      <w:r w:rsidRPr="000206BB">
        <w:t xml:space="preserve"> issues that arise at a workplace level.  To assist businesses to do this, the FWO recently released a number of practical Guides to Resolving Workplace Issues on the FWO </w:t>
      </w:r>
      <w:r w:rsidRPr="00EC150C">
        <w:t xml:space="preserve">website </w:t>
      </w:r>
      <w:hyperlink r:id="rId21" w:tooltip="Fair Work Ombudsman website" w:history="1">
        <w:r w:rsidRPr="00EC150C">
          <w:rPr>
            <w:rStyle w:val="Hyperlink"/>
            <w:rFonts w:ascii="Helvetica" w:hAnsi="Helvetica" w:cs="Arial"/>
            <w:color w:val="auto"/>
            <w:u w:val="none"/>
          </w:rPr>
          <w:t>www.fairwork.gov.au</w:t>
        </w:r>
      </w:hyperlink>
      <w:r w:rsidR="00EC150C" w:rsidRPr="00EC150C">
        <w:rPr>
          <w:rStyle w:val="Hyperlink"/>
          <w:rFonts w:ascii="Helvetica" w:hAnsi="Helvetica" w:cs="Arial"/>
          <w:color w:val="auto"/>
          <w:u w:val="none"/>
        </w:rPr>
        <w:t>.</w:t>
      </w:r>
      <w:r w:rsidR="00221D03">
        <w:rPr>
          <w:rStyle w:val="Hyperlink"/>
          <w:rFonts w:ascii="Helvetica" w:hAnsi="Helvetica" w:cs="Arial"/>
          <w:color w:val="auto"/>
          <w:u w:val="none"/>
        </w:rPr>
        <w:t xml:space="preserve"> </w:t>
      </w:r>
      <w:r w:rsidRPr="000206BB">
        <w:t>Whilst the FWO will continue to monitor non-compliant businesses, supporting businesses and employees to resolve issues at the workplace level gives the bes</w:t>
      </w:r>
      <w:r w:rsidR="00801F97">
        <w:t>t chance of continued productive</w:t>
      </w:r>
      <w:r w:rsidRPr="000206BB">
        <w:t xml:space="preserve"> workplace relationships. </w:t>
      </w:r>
    </w:p>
    <w:p w14:paraId="00234DC8" w14:textId="77777777" w:rsidR="00807E59" w:rsidRPr="002C0D74" w:rsidRDefault="00807E59" w:rsidP="00F74EB8">
      <w:pPr>
        <w:pStyle w:val="Heading1"/>
        <w:rPr>
          <w:lang w:eastAsia="en-AU"/>
        </w:rPr>
      </w:pPr>
      <w:bookmarkStart w:id="12" w:name="_Toc449685700"/>
      <w:r w:rsidRPr="002C0D74">
        <w:rPr>
          <w:lang w:eastAsia="en-AU"/>
        </w:rPr>
        <w:t>About the Fair Work Ombudsman</w:t>
      </w:r>
      <w:bookmarkEnd w:id="11"/>
      <w:bookmarkEnd w:id="12"/>
    </w:p>
    <w:p w14:paraId="00234DC9" w14:textId="77777777" w:rsidR="00807E59" w:rsidRPr="00D058C1" w:rsidRDefault="00807E59" w:rsidP="00F74EB8">
      <w:pPr>
        <w:rPr>
          <w:lang w:eastAsia="en-AU"/>
        </w:rPr>
      </w:pPr>
      <w:r w:rsidRPr="00D058C1">
        <w:rPr>
          <w:lang w:eastAsia="en-AU"/>
        </w:rPr>
        <w:t xml:space="preserve">The Fair Work Ombudsman is an independent agency created by the </w:t>
      </w:r>
      <w:r w:rsidRPr="00D058C1">
        <w:rPr>
          <w:i/>
          <w:lang w:eastAsia="en-AU"/>
        </w:rPr>
        <w:t>Fair Work Act 2009</w:t>
      </w:r>
      <w:r w:rsidRPr="00D058C1">
        <w:rPr>
          <w:lang w:eastAsia="en-AU"/>
        </w:rPr>
        <w:t xml:space="preserve"> on 1 July 2009. Our main role is to promote harmonious, productive and cooperative workplace relations.</w:t>
      </w:r>
    </w:p>
    <w:p w14:paraId="00234DCA" w14:textId="77777777" w:rsidR="00807E59" w:rsidRPr="00D058C1" w:rsidRDefault="00807E59" w:rsidP="00F74EB8">
      <w:pPr>
        <w:rPr>
          <w:rFonts w:eastAsia="Calibri"/>
          <w:szCs w:val="22"/>
        </w:rPr>
      </w:pPr>
      <w:r w:rsidRPr="00D058C1">
        <w:rPr>
          <w:rFonts w:eastAsia="Calibri"/>
          <w:szCs w:val="22"/>
        </w:rPr>
        <w:t xml:space="preserve">Each year the Fair Work Ombudsman (FWO) runs proactive campaigns to assist employers and employees understand their rights and obligations under Commonwealth workplace relations laws. </w:t>
      </w:r>
    </w:p>
    <w:p w14:paraId="00234DCB" w14:textId="77777777" w:rsidR="00807E59" w:rsidRPr="00D058C1" w:rsidRDefault="00807E59" w:rsidP="00F74EB8">
      <w:r w:rsidRPr="00D058C1">
        <w:t>These campaigns can focus on particular industries, regions and/or labour market issues and are conducted on a national and state level.</w:t>
      </w:r>
    </w:p>
    <w:p w14:paraId="00234DCC" w14:textId="77777777" w:rsidR="00807E59" w:rsidRPr="00D058C1" w:rsidRDefault="00807E59" w:rsidP="00F74EB8">
      <w:pPr>
        <w:rPr>
          <w:lang w:eastAsia="en-AU"/>
        </w:rPr>
      </w:pPr>
      <w:r w:rsidRPr="00D058C1">
        <w:rPr>
          <w:lang w:eastAsia="en-AU"/>
        </w:rPr>
        <w:t xml:space="preserve">This report covers the background, method and findings of the </w:t>
      </w:r>
      <w:r w:rsidR="00EC150C">
        <w:rPr>
          <w:lang w:eastAsia="en-AU"/>
        </w:rPr>
        <w:t>VIC</w:t>
      </w:r>
      <w:r w:rsidRPr="00EC150C">
        <w:rPr>
          <w:lang w:eastAsia="en-AU"/>
        </w:rPr>
        <w:t xml:space="preserve"> </w:t>
      </w:r>
      <w:r w:rsidR="00AE058C" w:rsidRPr="00EC150C">
        <w:rPr>
          <w:lang w:eastAsia="en-AU"/>
        </w:rPr>
        <w:t>Loddon</w:t>
      </w:r>
      <w:r w:rsidR="00EC150C" w:rsidRPr="00EC150C">
        <w:rPr>
          <w:lang w:eastAsia="en-AU"/>
        </w:rPr>
        <w:t xml:space="preserve">/Elmore and </w:t>
      </w:r>
      <w:r w:rsidRPr="00EC150C">
        <w:rPr>
          <w:lang w:eastAsia="en-AU"/>
        </w:rPr>
        <w:t>Campaspe Regional Campaign. For further information and media enquiries please</w:t>
      </w:r>
      <w:r w:rsidRPr="00D058C1">
        <w:rPr>
          <w:lang w:eastAsia="en-AU"/>
        </w:rPr>
        <w:t xml:space="preserve"> contact the media team at </w:t>
      </w:r>
      <w:hyperlink r:id="rId22" w:history="1">
        <w:r w:rsidRPr="00D058C1">
          <w:rPr>
            <w:color w:val="0000FF"/>
            <w:u w:val="single"/>
            <w:lang w:eastAsia="en-AU"/>
          </w:rPr>
          <w:t>media@fwo.gov.au</w:t>
        </w:r>
      </w:hyperlink>
      <w:r w:rsidRPr="00D058C1">
        <w:rPr>
          <w:lang w:eastAsia="en-AU"/>
        </w:rPr>
        <w:t xml:space="preserve">  </w:t>
      </w:r>
    </w:p>
    <w:p w14:paraId="00234DCD" w14:textId="77777777" w:rsidR="00F74EB8" w:rsidRPr="006700F7" w:rsidRDefault="00807E59">
      <w:pPr>
        <w:rPr>
          <w:color w:val="FF0000"/>
        </w:rPr>
      </w:pPr>
      <w:r w:rsidRPr="00D058C1">
        <w:rPr>
          <w:lang w:eastAsia="en-AU"/>
        </w:rPr>
        <w:t xml:space="preserve">If you would like further information about the Fair Work Ombudsman’s campaigns please contact Lynda </w:t>
      </w:r>
      <w:proofErr w:type="spellStart"/>
      <w:r w:rsidRPr="00D058C1">
        <w:rPr>
          <w:lang w:eastAsia="en-AU"/>
        </w:rPr>
        <w:t>McAlary</w:t>
      </w:r>
      <w:proofErr w:type="spellEnd"/>
      <w:r w:rsidRPr="00D058C1">
        <w:rPr>
          <w:lang w:eastAsia="en-AU"/>
        </w:rPr>
        <w:t xml:space="preserve">-Smith, Executive Director - Proactive Compliance and Education at </w:t>
      </w:r>
      <w:hyperlink r:id="rId23" w:history="1">
        <w:r w:rsidRPr="00D058C1">
          <w:rPr>
            <w:color w:val="0000FF"/>
            <w:szCs w:val="22"/>
            <w:u w:val="single"/>
            <w:lang w:eastAsia="en-AU"/>
          </w:rPr>
          <w:t>Lynda.McAlary-Smith@fwo.gov.au</w:t>
        </w:r>
      </w:hyperlink>
      <w:r w:rsidRPr="00D058C1">
        <w:rPr>
          <w:lang w:eastAsia="en-AU"/>
        </w:rPr>
        <w:t xml:space="preserve"> </w:t>
      </w:r>
    </w:p>
    <w:sectPr w:rsidR="00F74EB8" w:rsidRPr="006700F7" w:rsidSect="00CF3B06">
      <w:headerReference w:type="default" r:id="rId24"/>
      <w:footerReference w:type="even" r:id="rId25"/>
      <w:footerReference w:type="default" r:id="rId26"/>
      <w:headerReference w:type="first" r:id="rId27"/>
      <w:type w:val="continuous"/>
      <w:pgSz w:w="11907" w:h="16840" w:code="9"/>
      <w:pgMar w:top="1276" w:right="992" w:bottom="1440" w:left="1276" w:header="0" w:footer="0" w:gutter="0"/>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34DD8" w14:textId="77777777" w:rsidR="00D935D6" w:rsidRDefault="00D935D6" w:rsidP="00AB27F9">
      <w:r>
        <w:separator/>
      </w:r>
    </w:p>
  </w:endnote>
  <w:endnote w:type="continuationSeparator" w:id="0">
    <w:p w14:paraId="00234DD9" w14:textId="77777777" w:rsidR="00D935D6" w:rsidRDefault="00D935D6"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air Work">
    <w:altName w:val="Times New Roman"/>
    <w:panose1 w:val="00000000000000000000"/>
    <w:charset w:val="00"/>
    <w:family w:val="roman"/>
    <w:notTrueType/>
    <w:pitch w:val="variable"/>
    <w:sig w:usb0="00000001" w:usb1="5000204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4DDB" w14:textId="77777777" w:rsidR="006E34AE" w:rsidRDefault="006E34AE" w:rsidP="00AB27F9">
    <w:r>
      <w:fldChar w:fldCharType="begin"/>
    </w:r>
    <w:r>
      <w:instrText xml:space="preserve">PAGE  </w:instrText>
    </w:r>
    <w:r>
      <w:fldChar w:fldCharType="separate"/>
    </w:r>
    <w:r>
      <w:rPr>
        <w:noProof/>
      </w:rPr>
      <w:t>2</w:t>
    </w:r>
    <w:r>
      <w:fldChar w:fldCharType="end"/>
    </w:r>
  </w:p>
  <w:p w14:paraId="00234DDC" w14:textId="77777777" w:rsidR="006E34AE" w:rsidRDefault="006E34AE" w:rsidP="00AB27F9"/>
  <w:p w14:paraId="00234DDD" w14:textId="77777777" w:rsidR="00AC229B" w:rsidRDefault="00AC229B"/>
  <w:p w14:paraId="00234DDE" w14:textId="77777777" w:rsidR="00AC229B" w:rsidRDefault="00AC229B"/>
  <w:p w14:paraId="00234DDF" w14:textId="77777777"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4DE0" w14:textId="642E9136" w:rsidR="00C2298B" w:rsidRPr="0045600E" w:rsidRDefault="00E86F40" w:rsidP="00C926EF">
    <w:pPr>
      <w:pStyle w:val="Footer"/>
      <w:ind w:left="4678"/>
      <w:jc w:val="right"/>
      <w:rPr>
        <w:color w:val="FFFFFF" w:themeColor="background1"/>
      </w:rPr>
    </w:pPr>
    <w:r w:rsidRPr="00E86F40">
      <w:rPr>
        <w:noProof/>
        <w:color w:val="FFFFFF" w:themeColor="background1"/>
        <w:lang w:eastAsia="en-AU"/>
      </w:rPr>
      <w:drawing>
        <wp:anchor distT="0" distB="0" distL="114300" distR="114300" simplePos="0" relativeHeight="251659264" behindDoc="1" locked="0" layoutInCell="1" allowOverlap="1" wp14:anchorId="00234DE3" wp14:editId="00234DE4">
          <wp:simplePos x="0" y="0"/>
          <wp:positionH relativeFrom="column">
            <wp:posOffset>-905510</wp:posOffset>
          </wp:positionH>
          <wp:positionV relativeFrom="paragraph">
            <wp:posOffset>-565785</wp:posOffset>
          </wp:positionV>
          <wp:extent cx="7658100" cy="1176655"/>
          <wp:effectExtent l="0" t="0" r="0" b="4445"/>
          <wp:wrapTopAndBottom/>
          <wp:docPr id="10" name="Picture 1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176655"/>
                  </a:xfrm>
                  <a:prstGeom prst="rect">
                    <a:avLst/>
                  </a:prstGeom>
                </pic:spPr>
              </pic:pic>
            </a:graphicData>
          </a:graphic>
          <wp14:sizeRelH relativeFrom="margin">
            <wp14:pctWidth>0</wp14:pctWidth>
          </wp14:sizeRelH>
          <wp14:sizeRelV relativeFrom="margin">
            <wp14:pctHeight>0</wp14:pctHeight>
          </wp14:sizeRelV>
        </wp:anchor>
      </w:drawing>
    </w:r>
    <w:r w:rsidR="00AA458C">
      <w:rPr>
        <w:color w:val="FFFFFF" w:themeColor="background1"/>
        <w:sz w:val="18"/>
        <w:szCs w:val="18"/>
      </w:rPr>
      <w:t xml:space="preserve"> VIC Loddon/Elmore and </w:t>
    </w:r>
    <w:r w:rsidR="00AE058C">
      <w:rPr>
        <w:color w:val="FFFFFF" w:themeColor="background1"/>
        <w:sz w:val="18"/>
        <w:szCs w:val="18"/>
      </w:rPr>
      <w:t>Campaspe Regional Campaign</w:t>
    </w:r>
    <w:r w:rsidR="00C2298B"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00C2298B" w:rsidRPr="00E86F40">
          <w:rPr>
            <w:color w:val="FFFFFF" w:themeColor="background1"/>
            <w:sz w:val="20"/>
            <w:szCs w:val="20"/>
          </w:rPr>
          <w:fldChar w:fldCharType="begin"/>
        </w:r>
        <w:r w:rsidR="00C2298B" w:rsidRPr="00E86F40">
          <w:rPr>
            <w:color w:val="FFFFFF" w:themeColor="background1"/>
            <w:sz w:val="20"/>
            <w:szCs w:val="20"/>
          </w:rPr>
          <w:instrText xml:space="preserve"> PAGE   \* MERGEFORMAT </w:instrText>
        </w:r>
        <w:r w:rsidR="00C2298B" w:rsidRPr="00E86F40">
          <w:rPr>
            <w:color w:val="FFFFFF" w:themeColor="background1"/>
            <w:sz w:val="20"/>
            <w:szCs w:val="20"/>
          </w:rPr>
          <w:fldChar w:fldCharType="separate"/>
        </w:r>
        <w:r w:rsidR="00CD432C">
          <w:rPr>
            <w:noProof/>
            <w:color w:val="FFFFFF" w:themeColor="background1"/>
            <w:sz w:val="20"/>
            <w:szCs w:val="20"/>
          </w:rPr>
          <w:t>8</w:t>
        </w:r>
        <w:r w:rsidR="00C2298B" w:rsidRPr="00E86F40">
          <w:rPr>
            <w:noProof/>
            <w:color w:val="FFFFFF" w:themeColor="background1"/>
            <w:sz w:val="20"/>
            <w:szCs w:val="20"/>
          </w:rPr>
          <w:fldChar w:fldCharType="end"/>
        </w:r>
      </w:sdtContent>
    </w:sdt>
  </w:p>
  <w:p w14:paraId="00234DE1" w14:textId="77777777" w:rsidR="00AC229B" w:rsidRDefault="00AC229B"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34DD6" w14:textId="77777777" w:rsidR="00D935D6" w:rsidRDefault="00D935D6" w:rsidP="00AB27F9">
      <w:r>
        <w:separator/>
      </w:r>
    </w:p>
  </w:footnote>
  <w:footnote w:type="continuationSeparator" w:id="0">
    <w:p w14:paraId="00234DD7" w14:textId="77777777" w:rsidR="00D935D6" w:rsidRDefault="00D935D6"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4DDA" w14:textId="77777777" w:rsidR="00AC229B" w:rsidRDefault="00AC229B" w:rsidP="00E86F40">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4DE2" w14:textId="77777777"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00234DE5" wp14:editId="00234DE6">
          <wp:simplePos x="0" y="0"/>
          <wp:positionH relativeFrom="column">
            <wp:posOffset>-833755</wp:posOffset>
          </wp:positionH>
          <wp:positionV relativeFrom="paragraph">
            <wp:posOffset>2042605</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48B4D82"/>
    <w:multiLevelType w:val="hybridMultilevel"/>
    <w:tmpl w:val="811A6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B7EBB"/>
    <w:multiLevelType w:val="hybridMultilevel"/>
    <w:tmpl w:val="87EAAAAC"/>
    <w:lvl w:ilvl="0" w:tplc="08783BAC">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3">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A5074AE"/>
    <w:multiLevelType w:val="hybridMultilevel"/>
    <w:tmpl w:val="AB429256"/>
    <w:lvl w:ilvl="0" w:tplc="6A223BC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75B4B29"/>
    <w:multiLevelType w:val="hybridMultilevel"/>
    <w:tmpl w:val="5BE0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950743"/>
    <w:multiLevelType w:val="hybridMultilevel"/>
    <w:tmpl w:val="8C76F9A4"/>
    <w:lvl w:ilvl="0" w:tplc="8DE61D54">
      <w:start w:val="1"/>
      <w:numFmt w:val="bullet"/>
      <w:pStyle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5176EA3"/>
    <w:multiLevelType w:val="hybridMultilevel"/>
    <w:tmpl w:val="489A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5"/>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2"/>
  </w:num>
  <w:num w:numId="4">
    <w:abstractNumId w:val="30"/>
  </w:num>
  <w:num w:numId="5">
    <w:abstractNumId w:val="24"/>
  </w:num>
  <w:num w:numId="6">
    <w:abstractNumId w:val="31"/>
  </w:num>
  <w:num w:numId="7">
    <w:abstractNumId w:val="34"/>
  </w:num>
  <w:num w:numId="8">
    <w:abstractNumId w:val="23"/>
  </w:num>
  <w:num w:numId="9">
    <w:abstractNumId w:val="17"/>
  </w:num>
  <w:num w:numId="10">
    <w:abstractNumId w:val="11"/>
  </w:num>
  <w:num w:numId="11">
    <w:abstractNumId w:val="7"/>
  </w:num>
  <w:num w:numId="12">
    <w:abstractNumId w:val="37"/>
  </w:num>
  <w:num w:numId="13">
    <w:abstractNumId w:val="38"/>
  </w:num>
  <w:num w:numId="14">
    <w:abstractNumId w:val="8"/>
  </w:num>
  <w:num w:numId="15">
    <w:abstractNumId w:val="16"/>
  </w:num>
  <w:num w:numId="16">
    <w:abstractNumId w:val="25"/>
  </w:num>
  <w:num w:numId="17">
    <w:abstractNumId w:val="33"/>
  </w:num>
  <w:num w:numId="18">
    <w:abstractNumId w:val="2"/>
  </w:num>
  <w:num w:numId="19">
    <w:abstractNumId w:val="18"/>
  </w:num>
  <w:num w:numId="20">
    <w:abstractNumId w:val="3"/>
  </w:num>
  <w:num w:numId="21">
    <w:abstractNumId w:val="20"/>
  </w:num>
  <w:num w:numId="22">
    <w:abstractNumId w:val="27"/>
  </w:num>
  <w:num w:numId="23">
    <w:abstractNumId w:val="21"/>
  </w:num>
  <w:num w:numId="24">
    <w:abstractNumId w:val="13"/>
  </w:num>
  <w:num w:numId="25">
    <w:abstractNumId w:val="22"/>
  </w:num>
  <w:num w:numId="26">
    <w:abstractNumId w:val="26"/>
  </w:num>
  <w:num w:numId="27">
    <w:abstractNumId w:val="32"/>
  </w:num>
  <w:num w:numId="28">
    <w:abstractNumId w:val="4"/>
  </w:num>
  <w:num w:numId="29">
    <w:abstractNumId w:val="6"/>
  </w:num>
  <w:num w:numId="30">
    <w:abstractNumId w:val="28"/>
  </w:num>
  <w:num w:numId="31">
    <w:abstractNumId w:val="1"/>
  </w:num>
  <w:num w:numId="32">
    <w:abstractNumId w:val="14"/>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10"/>
  </w:num>
  <w:num w:numId="44">
    <w:abstractNumId w:val="15"/>
  </w:num>
  <w:num w:numId="45">
    <w:abstractNumId w:val="9"/>
  </w:num>
  <w:num w:numId="46">
    <w:abstractNumId w:val="19"/>
  </w:num>
  <w:num w:numId="47">
    <w:abstractNumId w:val="29"/>
  </w:num>
  <w:num w:numId="48">
    <w:abstractNumId w:val="5"/>
  </w:num>
  <w:num w:numId="4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366A"/>
    <w:rsid w:val="00003FF8"/>
    <w:rsid w:val="00006D48"/>
    <w:rsid w:val="000206BB"/>
    <w:rsid w:val="00020ED9"/>
    <w:rsid w:val="00043D63"/>
    <w:rsid w:val="00044A07"/>
    <w:rsid w:val="00057AE4"/>
    <w:rsid w:val="00063D7B"/>
    <w:rsid w:val="00064562"/>
    <w:rsid w:val="000652ED"/>
    <w:rsid w:val="00067031"/>
    <w:rsid w:val="00070178"/>
    <w:rsid w:val="00090047"/>
    <w:rsid w:val="0009727F"/>
    <w:rsid w:val="000A5FE4"/>
    <w:rsid w:val="000B04DA"/>
    <w:rsid w:val="000B26A9"/>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2043"/>
    <w:rsid w:val="001506E4"/>
    <w:rsid w:val="001607FB"/>
    <w:rsid w:val="0016101D"/>
    <w:rsid w:val="0016465A"/>
    <w:rsid w:val="001676B6"/>
    <w:rsid w:val="001803CC"/>
    <w:rsid w:val="00181475"/>
    <w:rsid w:val="001850B4"/>
    <w:rsid w:val="00190392"/>
    <w:rsid w:val="0019080C"/>
    <w:rsid w:val="00194A0D"/>
    <w:rsid w:val="001A4525"/>
    <w:rsid w:val="001A5144"/>
    <w:rsid w:val="001B2781"/>
    <w:rsid w:val="001B2A68"/>
    <w:rsid w:val="001D6D36"/>
    <w:rsid w:val="001D75B0"/>
    <w:rsid w:val="001E47B4"/>
    <w:rsid w:val="001F20C3"/>
    <w:rsid w:val="001F3149"/>
    <w:rsid w:val="001F3169"/>
    <w:rsid w:val="00202004"/>
    <w:rsid w:val="00202975"/>
    <w:rsid w:val="00202E5C"/>
    <w:rsid w:val="00205DBE"/>
    <w:rsid w:val="00214011"/>
    <w:rsid w:val="00221D03"/>
    <w:rsid w:val="00244EEE"/>
    <w:rsid w:val="002450DA"/>
    <w:rsid w:val="00252709"/>
    <w:rsid w:val="00252F4A"/>
    <w:rsid w:val="002533F0"/>
    <w:rsid w:val="0025534A"/>
    <w:rsid w:val="00257A7E"/>
    <w:rsid w:val="00274039"/>
    <w:rsid w:val="00274AEF"/>
    <w:rsid w:val="0028208F"/>
    <w:rsid w:val="00292AAB"/>
    <w:rsid w:val="002958C4"/>
    <w:rsid w:val="002A4276"/>
    <w:rsid w:val="002B5FAD"/>
    <w:rsid w:val="002B621B"/>
    <w:rsid w:val="002C4986"/>
    <w:rsid w:val="002C769D"/>
    <w:rsid w:val="002D4156"/>
    <w:rsid w:val="002D7878"/>
    <w:rsid w:val="002D7B33"/>
    <w:rsid w:val="002E23E2"/>
    <w:rsid w:val="002E6E0C"/>
    <w:rsid w:val="002F0DF6"/>
    <w:rsid w:val="002F5593"/>
    <w:rsid w:val="002F61D0"/>
    <w:rsid w:val="00315AB8"/>
    <w:rsid w:val="0032006D"/>
    <w:rsid w:val="00320D1E"/>
    <w:rsid w:val="003215C7"/>
    <w:rsid w:val="00330F14"/>
    <w:rsid w:val="00332317"/>
    <w:rsid w:val="0033684C"/>
    <w:rsid w:val="00340E0D"/>
    <w:rsid w:val="003412BC"/>
    <w:rsid w:val="00341A80"/>
    <w:rsid w:val="0034403B"/>
    <w:rsid w:val="00345AD1"/>
    <w:rsid w:val="00357D51"/>
    <w:rsid w:val="00371258"/>
    <w:rsid w:val="003749B1"/>
    <w:rsid w:val="00374EF9"/>
    <w:rsid w:val="003817A9"/>
    <w:rsid w:val="00383D2E"/>
    <w:rsid w:val="0038439E"/>
    <w:rsid w:val="003861B5"/>
    <w:rsid w:val="003952ED"/>
    <w:rsid w:val="003B121D"/>
    <w:rsid w:val="003B2808"/>
    <w:rsid w:val="003B35B1"/>
    <w:rsid w:val="003B62FE"/>
    <w:rsid w:val="003B7149"/>
    <w:rsid w:val="003C6D5B"/>
    <w:rsid w:val="003D18E2"/>
    <w:rsid w:val="003D2933"/>
    <w:rsid w:val="003E0FDA"/>
    <w:rsid w:val="003E2FB5"/>
    <w:rsid w:val="003E30F1"/>
    <w:rsid w:val="00400743"/>
    <w:rsid w:val="0040294F"/>
    <w:rsid w:val="00403015"/>
    <w:rsid w:val="004033BF"/>
    <w:rsid w:val="004044C1"/>
    <w:rsid w:val="004046AC"/>
    <w:rsid w:val="0040543F"/>
    <w:rsid w:val="00405844"/>
    <w:rsid w:val="00407445"/>
    <w:rsid w:val="00410018"/>
    <w:rsid w:val="004171B5"/>
    <w:rsid w:val="00433812"/>
    <w:rsid w:val="00436CD6"/>
    <w:rsid w:val="004422B6"/>
    <w:rsid w:val="00451CB0"/>
    <w:rsid w:val="0045285F"/>
    <w:rsid w:val="0045600E"/>
    <w:rsid w:val="00463F3A"/>
    <w:rsid w:val="004650C3"/>
    <w:rsid w:val="00467B47"/>
    <w:rsid w:val="00475F07"/>
    <w:rsid w:val="004947D1"/>
    <w:rsid w:val="00494BAC"/>
    <w:rsid w:val="00495DA8"/>
    <w:rsid w:val="004965AC"/>
    <w:rsid w:val="00497F76"/>
    <w:rsid w:val="004A29A2"/>
    <w:rsid w:val="004B2104"/>
    <w:rsid w:val="004B22F3"/>
    <w:rsid w:val="004C0B58"/>
    <w:rsid w:val="004C33F0"/>
    <w:rsid w:val="004C6B22"/>
    <w:rsid w:val="004D111F"/>
    <w:rsid w:val="004E2431"/>
    <w:rsid w:val="004E3470"/>
    <w:rsid w:val="004E36F6"/>
    <w:rsid w:val="004E7102"/>
    <w:rsid w:val="004E7C5C"/>
    <w:rsid w:val="004F12E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87007"/>
    <w:rsid w:val="00587A9D"/>
    <w:rsid w:val="00592A13"/>
    <w:rsid w:val="00593E35"/>
    <w:rsid w:val="00596451"/>
    <w:rsid w:val="005A022C"/>
    <w:rsid w:val="005B3334"/>
    <w:rsid w:val="005B3A17"/>
    <w:rsid w:val="005B4000"/>
    <w:rsid w:val="005B513C"/>
    <w:rsid w:val="005C0B99"/>
    <w:rsid w:val="005C0E86"/>
    <w:rsid w:val="005C390A"/>
    <w:rsid w:val="005C52A8"/>
    <w:rsid w:val="005D107E"/>
    <w:rsid w:val="005E3ED5"/>
    <w:rsid w:val="00602CBE"/>
    <w:rsid w:val="0060649A"/>
    <w:rsid w:val="00607993"/>
    <w:rsid w:val="00611E91"/>
    <w:rsid w:val="00612257"/>
    <w:rsid w:val="00616148"/>
    <w:rsid w:val="006170AF"/>
    <w:rsid w:val="00624A88"/>
    <w:rsid w:val="0062705E"/>
    <w:rsid w:val="00631685"/>
    <w:rsid w:val="00635BD6"/>
    <w:rsid w:val="00637381"/>
    <w:rsid w:val="00637D93"/>
    <w:rsid w:val="00653F28"/>
    <w:rsid w:val="006615E0"/>
    <w:rsid w:val="00663F9B"/>
    <w:rsid w:val="00666A7E"/>
    <w:rsid w:val="00666FD1"/>
    <w:rsid w:val="006700F7"/>
    <w:rsid w:val="00680E45"/>
    <w:rsid w:val="00681844"/>
    <w:rsid w:val="006824E7"/>
    <w:rsid w:val="006836FC"/>
    <w:rsid w:val="00683955"/>
    <w:rsid w:val="006878B3"/>
    <w:rsid w:val="0069564F"/>
    <w:rsid w:val="006A3313"/>
    <w:rsid w:val="006A412C"/>
    <w:rsid w:val="006B3442"/>
    <w:rsid w:val="006B7D36"/>
    <w:rsid w:val="006C22F4"/>
    <w:rsid w:val="006C2BEE"/>
    <w:rsid w:val="006D5DA8"/>
    <w:rsid w:val="006E34AE"/>
    <w:rsid w:val="006E4D7E"/>
    <w:rsid w:val="006E7D24"/>
    <w:rsid w:val="007013DD"/>
    <w:rsid w:val="0071288E"/>
    <w:rsid w:val="00717C75"/>
    <w:rsid w:val="00726353"/>
    <w:rsid w:val="00736C10"/>
    <w:rsid w:val="00743B2F"/>
    <w:rsid w:val="00747045"/>
    <w:rsid w:val="00774166"/>
    <w:rsid w:val="00791818"/>
    <w:rsid w:val="007952AC"/>
    <w:rsid w:val="007A2082"/>
    <w:rsid w:val="007A2D49"/>
    <w:rsid w:val="007A6309"/>
    <w:rsid w:val="007B16EE"/>
    <w:rsid w:val="007B505A"/>
    <w:rsid w:val="007D66FA"/>
    <w:rsid w:val="007E1B5B"/>
    <w:rsid w:val="007E3190"/>
    <w:rsid w:val="007E4C63"/>
    <w:rsid w:val="007E6493"/>
    <w:rsid w:val="00801F97"/>
    <w:rsid w:val="00807E59"/>
    <w:rsid w:val="00813552"/>
    <w:rsid w:val="008205AC"/>
    <w:rsid w:val="008217E4"/>
    <w:rsid w:val="008324C6"/>
    <w:rsid w:val="008340F6"/>
    <w:rsid w:val="00840399"/>
    <w:rsid w:val="00856E98"/>
    <w:rsid w:val="00860091"/>
    <w:rsid w:val="0086194C"/>
    <w:rsid w:val="00872779"/>
    <w:rsid w:val="008770CF"/>
    <w:rsid w:val="00877300"/>
    <w:rsid w:val="008846C6"/>
    <w:rsid w:val="008850A2"/>
    <w:rsid w:val="00886534"/>
    <w:rsid w:val="0088737E"/>
    <w:rsid w:val="00892902"/>
    <w:rsid w:val="008967E4"/>
    <w:rsid w:val="008979FD"/>
    <w:rsid w:val="008A31BF"/>
    <w:rsid w:val="008A6906"/>
    <w:rsid w:val="008B4B17"/>
    <w:rsid w:val="008B64FB"/>
    <w:rsid w:val="008B7934"/>
    <w:rsid w:val="008C494F"/>
    <w:rsid w:val="008C68B5"/>
    <w:rsid w:val="008D026A"/>
    <w:rsid w:val="008D7319"/>
    <w:rsid w:val="008E46F0"/>
    <w:rsid w:val="008E5CCA"/>
    <w:rsid w:val="008F065E"/>
    <w:rsid w:val="008F22E5"/>
    <w:rsid w:val="008F2CC1"/>
    <w:rsid w:val="008F5354"/>
    <w:rsid w:val="008F5E6D"/>
    <w:rsid w:val="008F7AFC"/>
    <w:rsid w:val="008F7B5E"/>
    <w:rsid w:val="00911CB2"/>
    <w:rsid w:val="00911D94"/>
    <w:rsid w:val="0091246E"/>
    <w:rsid w:val="009137A7"/>
    <w:rsid w:val="00922B5D"/>
    <w:rsid w:val="00925B42"/>
    <w:rsid w:val="009344C6"/>
    <w:rsid w:val="0093542C"/>
    <w:rsid w:val="00936511"/>
    <w:rsid w:val="009401AC"/>
    <w:rsid w:val="00960B57"/>
    <w:rsid w:val="009629F3"/>
    <w:rsid w:val="00964910"/>
    <w:rsid w:val="00972C87"/>
    <w:rsid w:val="009737DC"/>
    <w:rsid w:val="00973C4D"/>
    <w:rsid w:val="009742D2"/>
    <w:rsid w:val="00986986"/>
    <w:rsid w:val="009943AB"/>
    <w:rsid w:val="009A2363"/>
    <w:rsid w:val="009B0B6A"/>
    <w:rsid w:val="009C10C3"/>
    <w:rsid w:val="009C14E2"/>
    <w:rsid w:val="009C2742"/>
    <w:rsid w:val="009D2725"/>
    <w:rsid w:val="009D7631"/>
    <w:rsid w:val="009E226F"/>
    <w:rsid w:val="009E580B"/>
    <w:rsid w:val="009F0C25"/>
    <w:rsid w:val="00A05A24"/>
    <w:rsid w:val="00A07A1B"/>
    <w:rsid w:val="00A12742"/>
    <w:rsid w:val="00A15574"/>
    <w:rsid w:val="00A27F2D"/>
    <w:rsid w:val="00A31EED"/>
    <w:rsid w:val="00A32E18"/>
    <w:rsid w:val="00A40015"/>
    <w:rsid w:val="00A4010A"/>
    <w:rsid w:val="00A46F23"/>
    <w:rsid w:val="00A50448"/>
    <w:rsid w:val="00A7186B"/>
    <w:rsid w:val="00A71FA8"/>
    <w:rsid w:val="00A73C8E"/>
    <w:rsid w:val="00A82E86"/>
    <w:rsid w:val="00A9000B"/>
    <w:rsid w:val="00A90141"/>
    <w:rsid w:val="00A946A9"/>
    <w:rsid w:val="00A95312"/>
    <w:rsid w:val="00AA0A3E"/>
    <w:rsid w:val="00AA458C"/>
    <w:rsid w:val="00AB098D"/>
    <w:rsid w:val="00AB27F9"/>
    <w:rsid w:val="00AB2888"/>
    <w:rsid w:val="00AB3AC4"/>
    <w:rsid w:val="00AC17ED"/>
    <w:rsid w:val="00AC229B"/>
    <w:rsid w:val="00AC7EC8"/>
    <w:rsid w:val="00AD0B0A"/>
    <w:rsid w:val="00AD1A2B"/>
    <w:rsid w:val="00AD3FD7"/>
    <w:rsid w:val="00AD5F7F"/>
    <w:rsid w:val="00AD7ACB"/>
    <w:rsid w:val="00AE058C"/>
    <w:rsid w:val="00AE0C8C"/>
    <w:rsid w:val="00AF0936"/>
    <w:rsid w:val="00AF59B6"/>
    <w:rsid w:val="00B0049B"/>
    <w:rsid w:val="00B00BC8"/>
    <w:rsid w:val="00B0742B"/>
    <w:rsid w:val="00B11DDC"/>
    <w:rsid w:val="00B13BFB"/>
    <w:rsid w:val="00B13C89"/>
    <w:rsid w:val="00B148E4"/>
    <w:rsid w:val="00B14AD9"/>
    <w:rsid w:val="00B206C4"/>
    <w:rsid w:val="00B26E4B"/>
    <w:rsid w:val="00B33C57"/>
    <w:rsid w:val="00B40DC3"/>
    <w:rsid w:val="00B64DBE"/>
    <w:rsid w:val="00B67D04"/>
    <w:rsid w:val="00B842F5"/>
    <w:rsid w:val="00B85D17"/>
    <w:rsid w:val="00B8655E"/>
    <w:rsid w:val="00B87C8E"/>
    <w:rsid w:val="00B90991"/>
    <w:rsid w:val="00B9339B"/>
    <w:rsid w:val="00B94A6B"/>
    <w:rsid w:val="00B97961"/>
    <w:rsid w:val="00BA1ACC"/>
    <w:rsid w:val="00BA4FF9"/>
    <w:rsid w:val="00BA58A6"/>
    <w:rsid w:val="00BA602C"/>
    <w:rsid w:val="00BB25C4"/>
    <w:rsid w:val="00BB26EF"/>
    <w:rsid w:val="00BB59AA"/>
    <w:rsid w:val="00BC0280"/>
    <w:rsid w:val="00BC4EE1"/>
    <w:rsid w:val="00BD0563"/>
    <w:rsid w:val="00BD79E5"/>
    <w:rsid w:val="00BE15EC"/>
    <w:rsid w:val="00BF0029"/>
    <w:rsid w:val="00BF5EE0"/>
    <w:rsid w:val="00C00C46"/>
    <w:rsid w:val="00C02BFF"/>
    <w:rsid w:val="00C11D0C"/>
    <w:rsid w:val="00C14135"/>
    <w:rsid w:val="00C2298B"/>
    <w:rsid w:val="00C24A7A"/>
    <w:rsid w:val="00C365AB"/>
    <w:rsid w:val="00C36E87"/>
    <w:rsid w:val="00C423F4"/>
    <w:rsid w:val="00C46495"/>
    <w:rsid w:val="00C46A9A"/>
    <w:rsid w:val="00C51199"/>
    <w:rsid w:val="00C538CC"/>
    <w:rsid w:val="00C56962"/>
    <w:rsid w:val="00C570DF"/>
    <w:rsid w:val="00C62ACD"/>
    <w:rsid w:val="00C6446B"/>
    <w:rsid w:val="00C72D97"/>
    <w:rsid w:val="00C81AF7"/>
    <w:rsid w:val="00C87A92"/>
    <w:rsid w:val="00C9231F"/>
    <w:rsid w:val="00C926EF"/>
    <w:rsid w:val="00CC3FFC"/>
    <w:rsid w:val="00CC7FFE"/>
    <w:rsid w:val="00CD404B"/>
    <w:rsid w:val="00CD432C"/>
    <w:rsid w:val="00CD6F15"/>
    <w:rsid w:val="00CE3415"/>
    <w:rsid w:val="00CE3D01"/>
    <w:rsid w:val="00CE60A1"/>
    <w:rsid w:val="00CE63BE"/>
    <w:rsid w:val="00CF3B06"/>
    <w:rsid w:val="00D01295"/>
    <w:rsid w:val="00D048A5"/>
    <w:rsid w:val="00D13A87"/>
    <w:rsid w:val="00D27F43"/>
    <w:rsid w:val="00D32240"/>
    <w:rsid w:val="00D32399"/>
    <w:rsid w:val="00D3277B"/>
    <w:rsid w:val="00D363DC"/>
    <w:rsid w:val="00D6528F"/>
    <w:rsid w:val="00D7342F"/>
    <w:rsid w:val="00D7578E"/>
    <w:rsid w:val="00D8198B"/>
    <w:rsid w:val="00D935D6"/>
    <w:rsid w:val="00D964E9"/>
    <w:rsid w:val="00DA0189"/>
    <w:rsid w:val="00DA096D"/>
    <w:rsid w:val="00DA57D3"/>
    <w:rsid w:val="00DA7E1A"/>
    <w:rsid w:val="00DB1857"/>
    <w:rsid w:val="00DB2A3D"/>
    <w:rsid w:val="00DB5915"/>
    <w:rsid w:val="00DC0961"/>
    <w:rsid w:val="00DC1F8D"/>
    <w:rsid w:val="00DC5A09"/>
    <w:rsid w:val="00DC6E83"/>
    <w:rsid w:val="00DC7AC2"/>
    <w:rsid w:val="00DE7471"/>
    <w:rsid w:val="00DE7C28"/>
    <w:rsid w:val="00DF4831"/>
    <w:rsid w:val="00DF6D17"/>
    <w:rsid w:val="00E037E6"/>
    <w:rsid w:val="00E045ED"/>
    <w:rsid w:val="00E10583"/>
    <w:rsid w:val="00E151A0"/>
    <w:rsid w:val="00E22203"/>
    <w:rsid w:val="00E2399E"/>
    <w:rsid w:val="00E32352"/>
    <w:rsid w:val="00E402C2"/>
    <w:rsid w:val="00E403BA"/>
    <w:rsid w:val="00E44C4B"/>
    <w:rsid w:val="00E46CCA"/>
    <w:rsid w:val="00E47350"/>
    <w:rsid w:val="00E601F8"/>
    <w:rsid w:val="00E64EE0"/>
    <w:rsid w:val="00E65E59"/>
    <w:rsid w:val="00E73829"/>
    <w:rsid w:val="00E73934"/>
    <w:rsid w:val="00E8678A"/>
    <w:rsid w:val="00E86F40"/>
    <w:rsid w:val="00E90970"/>
    <w:rsid w:val="00E944DC"/>
    <w:rsid w:val="00E974A6"/>
    <w:rsid w:val="00EA5329"/>
    <w:rsid w:val="00EA6181"/>
    <w:rsid w:val="00EB1522"/>
    <w:rsid w:val="00EB2C3E"/>
    <w:rsid w:val="00EC150C"/>
    <w:rsid w:val="00EC55E6"/>
    <w:rsid w:val="00ED0D64"/>
    <w:rsid w:val="00ED295F"/>
    <w:rsid w:val="00ED4AEB"/>
    <w:rsid w:val="00ED60EC"/>
    <w:rsid w:val="00EE2EF8"/>
    <w:rsid w:val="00EE3963"/>
    <w:rsid w:val="00EE3A19"/>
    <w:rsid w:val="00EE511D"/>
    <w:rsid w:val="00EE573C"/>
    <w:rsid w:val="00EF394B"/>
    <w:rsid w:val="00EF6D72"/>
    <w:rsid w:val="00F000A5"/>
    <w:rsid w:val="00F105AC"/>
    <w:rsid w:val="00F162FE"/>
    <w:rsid w:val="00F20E5B"/>
    <w:rsid w:val="00F23488"/>
    <w:rsid w:val="00F2588C"/>
    <w:rsid w:val="00F26590"/>
    <w:rsid w:val="00F31E30"/>
    <w:rsid w:val="00F40B49"/>
    <w:rsid w:val="00F51A80"/>
    <w:rsid w:val="00F55653"/>
    <w:rsid w:val="00F557CB"/>
    <w:rsid w:val="00F5629C"/>
    <w:rsid w:val="00F573B5"/>
    <w:rsid w:val="00F66106"/>
    <w:rsid w:val="00F74EB8"/>
    <w:rsid w:val="00F77208"/>
    <w:rsid w:val="00F77D9C"/>
    <w:rsid w:val="00F8218D"/>
    <w:rsid w:val="00F94F7D"/>
    <w:rsid w:val="00F96366"/>
    <w:rsid w:val="00FA1039"/>
    <w:rsid w:val="00FA137B"/>
    <w:rsid w:val="00FA37A8"/>
    <w:rsid w:val="00FA64BA"/>
    <w:rsid w:val="00FB1516"/>
    <w:rsid w:val="00FB48B9"/>
    <w:rsid w:val="00FC11E0"/>
    <w:rsid w:val="00FD21CA"/>
    <w:rsid w:val="00FD5D6A"/>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234D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toc 1" w:uiPriority="39"/>
    <w:lsdException w:name="toc 2" w:uiPriority="39"/>
    <w:lsdException w:name="toc 3" w:uiPriority="39"/>
    <w:lsdException w:name="footer" w:uiPriority="99"/>
    <w:lsdException w:name="Hyperlink" w:uiPriority="99"/>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1803CC"/>
    <w:pPr>
      <w:spacing w:after="120" w:line="360" w:lineRule="auto"/>
    </w:pPr>
    <w:rPr>
      <w:rFonts w:ascii="Arial" w:hAnsi="Arial" w:cs="Arial"/>
      <w:sz w:val="22"/>
      <w:szCs w:val="24"/>
      <w:lang w:eastAsia="en-US"/>
    </w:rPr>
  </w:style>
  <w:style w:type="paragraph" w:styleId="Heading1">
    <w:name w:val="heading 1"/>
    <w:basedOn w:val="Normal"/>
    <w:next w:val="Normal"/>
    <w:link w:val="Heading1Char"/>
    <w:autoRedefine/>
    <w:uiPriority w:val="9"/>
    <w:qFormat/>
    <w:rsid w:val="00AB3AC4"/>
    <w:pPr>
      <w:keepNext/>
      <w:keepLines/>
      <w:tabs>
        <w:tab w:val="left" w:pos="8565"/>
      </w:tabs>
      <w:spacing w:before="240" w:after="0"/>
      <w:outlineLvl w:val="0"/>
    </w:pPr>
    <w:rPr>
      <w:color w:val="0194A6"/>
      <w:sz w:val="44"/>
      <w:szCs w:val="26"/>
    </w:rPr>
  </w:style>
  <w:style w:type="paragraph" w:styleId="Heading2">
    <w:name w:val="heading 2"/>
    <w:basedOn w:val="Heading1"/>
    <w:next w:val="Normal"/>
    <w:link w:val="Heading2Char"/>
    <w:autoRedefine/>
    <w:uiPriority w:val="9"/>
    <w:qFormat/>
    <w:rsid w:val="002D7878"/>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F74EB8"/>
    <w:pPr>
      <w:numPr>
        <w:ilvl w:val="2"/>
      </w:numPr>
      <w:spacing w:before="24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B3AC4"/>
    <w:rPr>
      <w:rFonts w:ascii="Arial" w:hAnsi="Arial" w:cs="Arial"/>
      <w:color w:val="0194A6"/>
      <w:sz w:val="44"/>
      <w:szCs w:val="26"/>
      <w:lang w:eastAsia="en-US"/>
    </w:rPr>
  </w:style>
  <w:style w:type="character" w:customStyle="1" w:styleId="Heading2Char">
    <w:name w:val="Heading 2 Char"/>
    <w:basedOn w:val="DefaultParagraphFont"/>
    <w:link w:val="Heading2"/>
    <w:uiPriority w:val="9"/>
    <w:locked/>
    <w:rsid w:val="002D7878"/>
    <w:rPr>
      <w:rFonts w:ascii="Arial" w:hAnsi="Arial" w:cs="Arial"/>
      <w:color w:val="0194A6"/>
      <w:sz w:val="40"/>
      <w:szCs w:val="24"/>
      <w:lang w:eastAsia="en-US"/>
    </w:rPr>
  </w:style>
  <w:style w:type="character" w:customStyle="1" w:styleId="Heading3Char">
    <w:name w:val="Heading 3 Char"/>
    <w:basedOn w:val="DefaultParagraphFont"/>
    <w:link w:val="Heading3"/>
    <w:uiPriority w:val="9"/>
    <w:locked/>
    <w:rsid w:val="00F74EB8"/>
    <w:rPr>
      <w:rFonts w:ascii="Arial" w:hAnsi="Arial"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5B4000"/>
    <w:pPr>
      <w:spacing w:before="2400" w:after="2400" w:line="480" w:lineRule="auto"/>
      <w:jc w:val="center"/>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C926EF"/>
    <w:pPr>
      <w:spacing w:before="480" w:after="57" w:line="400" w:lineRule="exact"/>
      <w:jc w:val="left"/>
    </w:pPr>
    <w:rPr>
      <w:color w:val="auto"/>
      <w:sz w:val="36"/>
    </w:rPr>
  </w:style>
  <w:style w:type="paragraph" w:customStyle="1" w:styleId="Bullet">
    <w:name w:val="Bullet"/>
    <w:basedOn w:val="Normal"/>
    <w:autoRedefine/>
    <w:qFormat/>
    <w:rsid w:val="00CF3B06"/>
    <w:pPr>
      <w:numPr>
        <w:numId w:val="23"/>
      </w:numPr>
      <w:spacing w:after="28" w:line="320" w:lineRule="exac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styleId="NormalWeb">
    <w:name w:val="Normal (Web)"/>
    <w:basedOn w:val="Normal"/>
    <w:uiPriority w:val="99"/>
    <w:unhideWhenUsed/>
    <w:rsid w:val="00726353"/>
    <w:pPr>
      <w:spacing w:after="225" w:line="360" w:lineRule="atLeast"/>
    </w:pPr>
    <w:rPr>
      <w:rFonts w:ascii="Times New Roman" w:hAnsi="Times New Roman" w:cs="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toc 1" w:uiPriority="39"/>
    <w:lsdException w:name="toc 2" w:uiPriority="39"/>
    <w:lsdException w:name="toc 3" w:uiPriority="39"/>
    <w:lsdException w:name="footer" w:uiPriority="99"/>
    <w:lsdException w:name="Hyperlink" w:uiPriority="99"/>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1803CC"/>
    <w:pPr>
      <w:spacing w:after="120" w:line="360" w:lineRule="auto"/>
    </w:pPr>
    <w:rPr>
      <w:rFonts w:ascii="Arial" w:hAnsi="Arial" w:cs="Arial"/>
      <w:sz w:val="22"/>
      <w:szCs w:val="24"/>
      <w:lang w:eastAsia="en-US"/>
    </w:rPr>
  </w:style>
  <w:style w:type="paragraph" w:styleId="Heading1">
    <w:name w:val="heading 1"/>
    <w:basedOn w:val="Normal"/>
    <w:next w:val="Normal"/>
    <w:link w:val="Heading1Char"/>
    <w:autoRedefine/>
    <w:uiPriority w:val="9"/>
    <w:qFormat/>
    <w:rsid w:val="00AB3AC4"/>
    <w:pPr>
      <w:keepNext/>
      <w:keepLines/>
      <w:tabs>
        <w:tab w:val="left" w:pos="8565"/>
      </w:tabs>
      <w:spacing w:before="240" w:after="0"/>
      <w:outlineLvl w:val="0"/>
    </w:pPr>
    <w:rPr>
      <w:color w:val="0194A6"/>
      <w:sz w:val="44"/>
      <w:szCs w:val="26"/>
    </w:rPr>
  </w:style>
  <w:style w:type="paragraph" w:styleId="Heading2">
    <w:name w:val="heading 2"/>
    <w:basedOn w:val="Heading1"/>
    <w:next w:val="Normal"/>
    <w:link w:val="Heading2Char"/>
    <w:autoRedefine/>
    <w:uiPriority w:val="9"/>
    <w:qFormat/>
    <w:rsid w:val="002D7878"/>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F74EB8"/>
    <w:pPr>
      <w:numPr>
        <w:ilvl w:val="2"/>
      </w:numPr>
      <w:spacing w:before="24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B3AC4"/>
    <w:rPr>
      <w:rFonts w:ascii="Arial" w:hAnsi="Arial" w:cs="Arial"/>
      <w:color w:val="0194A6"/>
      <w:sz w:val="44"/>
      <w:szCs w:val="26"/>
      <w:lang w:eastAsia="en-US"/>
    </w:rPr>
  </w:style>
  <w:style w:type="character" w:customStyle="1" w:styleId="Heading2Char">
    <w:name w:val="Heading 2 Char"/>
    <w:basedOn w:val="DefaultParagraphFont"/>
    <w:link w:val="Heading2"/>
    <w:uiPriority w:val="9"/>
    <w:locked/>
    <w:rsid w:val="002D7878"/>
    <w:rPr>
      <w:rFonts w:ascii="Arial" w:hAnsi="Arial" w:cs="Arial"/>
      <w:color w:val="0194A6"/>
      <w:sz w:val="40"/>
      <w:szCs w:val="24"/>
      <w:lang w:eastAsia="en-US"/>
    </w:rPr>
  </w:style>
  <w:style w:type="character" w:customStyle="1" w:styleId="Heading3Char">
    <w:name w:val="Heading 3 Char"/>
    <w:basedOn w:val="DefaultParagraphFont"/>
    <w:link w:val="Heading3"/>
    <w:uiPriority w:val="9"/>
    <w:locked/>
    <w:rsid w:val="00F74EB8"/>
    <w:rPr>
      <w:rFonts w:ascii="Arial" w:hAnsi="Arial"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5B4000"/>
    <w:pPr>
      <w:spacing w:before="2400" w:after="2400" w:line="480" w:lineRule="auto"/>
      <w:jc w:val="center"/>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C926EF"/>
    <w:pPr>
      <w:spacing w:before="480" w:after="57" w:line="400" w:lineRule="exact"/>
      <w:jc w:val="left"/>
    </w:pPr>
    <w:rPr>
      <w:color w:val="auto"/>
      <w:sz w:val="36"/>
    </w:rPr>
  </w:style>
  <w:style w:type="paragraph" w:customStyle="1" w:styleId="Bullet">
    <w:name w:val="Bullet"/>
    <w:basedOn w:val="Normal"/>
    <w:autoRedefine/>
    <w:qFormat/>
    <w:rsid w:val="00CF3B06"/>
    <w:pPr>
      <w:numPr>
        <w:numId w:val="23"/>
      </w:numPr>
      <w:spacing w:after="28" w:line="320" w:lineRule="exac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styleId="NormalWeb">
    <w:name w:val="Normal (Web)"/>
    <w:basedOn w:val="Normal"/>
    <w:uiPriority w:val="99"/>
    <w:unhideWhenUsed/>
    <w:rsid w:val="00726353"/>
    <w:pPr>
      <w:spacing w:after="225" w:line="360" w:lineRule="atLeast"/>
    </w:pPr>
    <w:rPr>
      <w:rFonts w:ascii="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55398">
      <w:bodyDiv w:val="1"/>
      <w:marLeft w:val="0"/>
      <w:marRight w:val="0"/>
      <w:marTop w:val="0"/>
      <w:marBottom w:val="0"/>
      <w:divBdr>
        <w:top w:val="none" w:sz="0" w:space="0" w:color="auto"/>
        <w:left w:val="none" w:sz="0" w:space="0" w:color="auto"/>
        <w:bottom w:val="none" w:sz="0" w:space="0" w:color="auto"/>
        <w:right w:val="none" w:sz="0" w:space="0" w:color="auto"/>
      </w:divBdr>
      <w:divsChild>
        <w:div w:id="1729914079">
          <w:marLeft w:val="0"/>
          <w:marRight w:val="0"/>
          <w:marTop w:val="0"/>
          <w:marBottom w:val="0"/>
          <w:divBdr>
            <w:top w:val="single" w:sz="6" w:space="0" w:color="CCCCCC"/>
            <w:left w:val="none" w:sz="0" w:space="0" w:color="auto"/>
            <w:bottom w:val="single" w:sz="6" w:space="0" w:color="FFFFFF"/>
            <w:right w:val="none" w:sz="0" w:space="0" w:color="auto"/>
          </w:divBdr>
          <w:divsChild>
            <w:div w:id="1918779366">
              <w:marLeft w:val="0"/>
              <w:marRight w:val="0"/>
              <w:marTop w:val="100"/>
              <w:marBottom w:val="100"/>
              <w:divBdr>
                <w:top w:val="none" w:sz="0" w:space="0" w:color="auto"/>
                <w:left w:val="none" w:sz="0" w:space="0" w:color="auto"/>
                <w:bottom w:val="none" w:sz="0" w:space="0" w:color="auto"/>
                <w:right w:val="none" w:sz="0" w:space="0" w:color="auto"/>
              </w:divBdr>
              <w:divsChild>
                <w:div w:id="20503751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pay"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www.fairwork.gov.au/" TargetMode="External"/><Relationship Id="rId7" Type="http://schemas.openxmlformats.org/officeDocument/2006/relationships/settings" Target="settings.xml"/><Relationship Id="rId12" Type="http://schemas.openxmlformats.org/officeDocument/2006/relationships/hyperlink" Target="http://www.fairwork.gov.au/"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fairwork.gov.au/how-we-will-help/online-training" TargetMode="External"/><Relationship Id="rId20" Type="http://schemas.openxmlformats.org/officeDocument/2006/relationships/hyperlink" Target="http://www.fairwork.gov.au/" TargetMode="External"/><Relationship Id="rId29"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airwork.gov.au/my-account/registerpage.aspx" TargetMode="External"/><Relationship Id="rId23" Type="http://schemas.openxmlformats.org/officeDocument/2006/relationships/hyperlink" Target="mailto:Lynda.McAlary-Smith@fwo.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fairwork.gov.au/find-help-for/small-business/hiring-employees" TargetMode="External"/><Relationship Id="rId22" Type="http://schemas.openxmlformats.org/officeDocument/2006/relationships/hyperlink" Target="mailto:media@fwo.gov.au" TargetMode="External"/><Relationship Id="rId27"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B3FD57E7-266A-4978-9FF6-D8FB897B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6C912139.dotm</Template>
  <TotalTime>0</TotalTime>
  <Pages>8</Pages>
  <Words>1233</Words>
  <Characters>8134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VIC Loddon/Elmore and Campaspe Regional Campaign Report </vt:lpstr>
    </vt:vector>
  </TitlesOfParts>
  <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Loddon/Elmore and Campaspe Regional Campaign Report </dc:title>
  <dc:subject>VIC Loddon/Elmore and Campaspe Regional Campaign Report</dc:subject>
  <dc:creator/>
  <cp:keywords>VIC Loddon/Elmore and Campaspe Regional Campaign Report</cp:keywords>
  <cp:lastModifiedBy/>
  <cp:revision>1</cp:revision>
  <dcterms:created xsi:type="dcterms:W3CDTF">2016-06-29T02:38:00Z</dcterms:created>
  <dcterms:modified xsi:type="dcterms:W3CDTF">2016-06-29T02:45:00Z</dcterms:modified>
</cp:coreProperties>
</file>