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1E1C78" w14:textId="77777777" w:rsidR="00205DBE" w:rsidRDefault="00C03AA8" w:rsidP="006834EC">
      <w:pPr>
        <w:pStyle w:val="CoverReportTitle"/>
        <w:framePr w:w="0" w:wrap="auto" w:vAnchor="margin" w:xAlign="left" w:yAlign="inline"/>
        <w:spacing w:line="360" w:lineRule="auto"/>
      </w:pPr>
      <w:r>
        <w:t>Record</w:t>
      </w:r>
      <w:r w:rsidR="00A86E16">
        <w:t>s and Resources</w:t>
      </w:r>
      <w:r w:rsidR="009E0543">
        <w:t xml:space="preserve"> Campaigns</w:t>
      </w:r>
      <w:r w:rsidR="005F74D9">
        <w:t xml:space="preserve"> –</w:t>
      </w:r>
      <w:r w:rsidR="009E0543">
        <w:t xml:space="preserve"> </w:t>
      </w:r>
      <w:r w:rsidR="00A86E16">
        <w:t xml:space="preserve">Report </w:t>
      </w:r>
    </w:p>
    <w:p w14:paraId="181E1C79" w14:textId="77777777" w:rsidR="00A86E16" w:rsidRDefault="00A86E16" w:rsidP="006834EC">
      <w:pPr>
        <w:pStyle w:val="CoverReportSubTitle"/>
        <w:spacing w:line="360" w:lineRule="auto"/>
      </w:pPr>
    </w:p>
    <w:p w14:paraId="181E1C7A" w14:textId="77777777" w:rsidR="003952ED" w:rsidRPr="00602CBE" w:rsidRDefault="006C1F69" w:rsidP="006834EC">
      <w:pPr>
        <w:pStyle w:val="CoverReportSubTitle"/>
        <w:spacing w:line="360" w:lineRule="auto"/>
      </w:pPr>
      <w:r>
        <w:t xml:space="preserve">Report- </w:t>
      </w:r>
      <w:r w:rsidR="000634CA">
        <w:t>June</w:t>
      </w:r>
      <w:r w:rsidR="00C55417">
        <w:t xml:space="preserve"> 2016</w:t>
      </w:r>
    </w:p>
    <w:p w14:paraId="181E1C7B" w14:textId="77777777" w:rsidR="00C03AA8" w:rsidRDefault="00C03AA8" w:rsidP="006834EC">
      <w:pPr>
        <w:jc w:val="left"/>
      </w:pPr>
    </w:p>
    <w:p w14:paraId="181E1C7C" w14:textId="77777777" w:rsidR="00C03AA8" w:rsidRDefault="00C03AA8" w:rsidP="006834EC">
      <w:pPr>
        <w:jc w:val="left"/>
      </w:pPr>
      <w:r>
        <w:t xml:space="preserve">A report prepared by the Fair Work Ombudsman under the </w:t>
      </w:r>
      <w:r w:rsidRPr="00C03AA8">
        <w:rPr>
          <w:i/>
        </w:rPr>
        <w:t>Fair Work Act 2009</w:t>
      </w:r>
    </w:p>
    <w:p w14:paraId="181E1C7D" w14:textId="77777777" w:rsidR="001F20C3" w:rsidRPr="006A412C" w:rsidRDefault="009629F3" w:rsidP="006834EC">
      <w:pPr>
        <w:jc w:val="left"/>
      </w:pPr>
      <w:r w:rsidRPr="0045600E">
        <w:t>©</w:t>
      </w:r>
      <w:r w:rsidR="00CC7FFE" w:rsidRPr="0045600E">
        <w:t xml:space="preserve"> </w:t>
      </w:r>
      <w:r w:rsidRPr="0045600E">
        <w:t>Commonwealth of Australia, 201</w:t>
      </w:r>
      <w:r w:rsidR="00712873">
        <w:t>6</w:t>
      </w:r>
      <w:r w:rsidR="001F20C3">
        <w:br w:type="page"/>
      </w:r>
    </w:p>
    <w:p w14:paraId="181E1C7E" w14:textId="77777777" w:rsidR="002237FC" w:rsidRPr="00CF3B06" w:rsidRDefault="002237FC" w:rsidP="006834EC">
      <w:pPr>
        <w:pStyle w:val="Heading1"/>
      </w:pPr>
      <w:bookmarkStart w:id="0" w:name="_Toc410822199"/>
      <w:bookmarkStart w:id="1" w:name="_Toc410822913"/>
      <w:bookmarkStart w:id="2" w:name="_Toc453233200"/>
      <w:bookmarkStart w:id="3" w:name="_Toc410822200"/>
      <w:bookmarkStart w:id="4" w:name="_Toc410822914"/>
      <w:r w:rsidRPr="00CF3B06">
        <w:lastRenderedPageBreak/>
        <w:t>Contents</w:t>
      </w:r>
      <w:bookmarkEnd w:id="0"/>
      <w:bookmarkEnd w:id="1"/>
      <w:bookmarkEnd w:id="2"/>
    </w:p>
    <w:p w14:paraId="181E1C7F" w14:textId="77777777" w:rsidR="005239CB" w:rsidRDefault="002237FC">
      <w:pPr>
        <w:pStyle w:val="TOC1"/>
        <w:rPr>
          <w:rFonts w:asciiTheme="minorHAnsi" w:eastAsiaTheme="minorEastAsia" w:hAnsiTheme="minorHAnsi" w:cstheme="minorBidi"/>
          <w:noProof/>
          <w:spacing w:val="0"/>
          <w:szCs w:val="22"/>
          <w:lang w:eastAsia="en-AU"/>
        </w:rPr>
      </w:pPr>
      <w:r>
        <w:fldChar w:fldCharType="begin"/>
      </w:r>
      <w:r>
        <w:instrText xml:space="preserve"> TOC \o "1-2" \h \z \u </w:instrText>
      </w:r>
      <w:r>
        <w:fldChar w:fldCharType="separate"/>
      </w:r>
      <w:hyperlink w:anchor="_Toc453233200" w:history="1">
        <w:r w:rsidR="005239CB" w:rsidRPr="00D2245A">
          <w:rPr>
            <w:rStyle w:val="Hyperlink"/>
            <w:noProof/>
          </w:rPr>
          <w:t>Contents</w:t>
        </w:r>
        <w:r w:rsidR="005239CB">
          <w:rPr>
            <w:noProof/>
            <w:webHidden/>
          </w:rPr>
          <w:tab/>
        </w:r>
        <w:r w:rsidR="005239CB">
          <w:rPr>
            <w:noProof/>
            <w:webHidden/>
          </w:rPr>
          <w:fldChar w:fldCharType="begin"/>
        </w:r>
        <w:r w:rsidR="005239CB">
          <w:rPr>
            <w:noProof/>
            <w:webHidden/>
          </w:rPr>
          <w:instrText xml:space="preserve"> PAGEREF _Toc453233200 \h </w:instrText>
        </w:r>
        <w:r w:rsidR="005239CB">
          <w:rPr>
            <w:noProof/>
            <w:webHidden/>
          </w:rPr>
        </w:r>
        <w:r w:rsidR="005239CB">
          <w:rPr>
            <w:noProof/>
            <w:webHidden/>
          </w:rPr>
          <w:fldChar w:fldCharType="separate"/>
        </w:r>
        <w:r w:rsidR="005239CB">
          <w:rPr>
            <w:noProof/>
            <w:webHidden/>
          </w:rPr>
          <w:t>2</w:t>
        </w:r>
        <w:r w:rsidR="005239CB">
          <w:rPr>
            <w:noProof/>
            <w:webHidden/>
          </w:rPr>
          <w:fldChar w:fldCharType="end"/>
        </w:r>
      </w:hyperlink>
    </w:p>
    <w:p w14:paraId="181E1C80" w14:textId="77777777" w:rsidR="005239CB" w:rsidRDefault="00B0570C">
      <w:pPr>
        <w:pStyle w:val="TOC1"/>
        <w:rPr>
          <w:rFonts w:asciiTheme="minorHAnsi" w:eastAsiaTheme="minorEastAsia" w:hAnsiTheme="minorHAnsi" w:cstheme="minorBidi"/>
          <w:noProof/>
          <w:spacing w:val="0"/>
          <w:szCs w:val="22"/>
          <w:lang w:eastAsia="en-AU"/>
        </w:rPr>
      </w:pPr>
      <w:hyperlink w:anchor="_Toc453233201" w:history="1">
        <w:r w:rsidR="005239CB" w:rsidRPr="00D2245A">
          <w:rPr>
            <w:rStyle w:val="Hyperlink"/>
            <w:noProof/>
          </w:rPr>
          <w:t>Summary</w:t>
        </w:r>
        <w:r w:rsidR="005239CB">
          <w:rPr>
            <w:noProof/>
            <w:webHidden/>
          </w:rPr>
          <w:tab/>
        </w:r>
        <w:r w:rsidR="005239CB">
          <w:rPr>
            <w:noProof/>
            <w:webHidden/>
          </w:rPr>
          <w:fldChar w:fldCharType="begin"/>
        </w:r>
        <w:r w:rsidR="005239CB">
          <w:rPr>
            <w:noProof/>
            <w:webHidden/>
          </w:rPr>
          <w:instrText xml:space="preserve"> PAGEREF _Toc453233201 \h </w:instrText>
        </w:r>
        <w:r w:rsidR="005239CB">
          <w:rPr>
            <w:noProof/>
            <w:webHidden/>
          </w:rPr>
        </w:r>
        <w:r w:rsidR="005239CB">
          <w:rPr>
            <w:noProof/>
            <w:webHidden/>
          </w:rPr>
          <w:fldChar w:fldCharType="separate"/>
        </w:r>
        <w:r w:rsidR="005239CB">
          <w:rPr>
            <w:noProof/>
            <w:webHidden/>
          </w:rPr>
          <w:t>4</w:t>
        </w:r>
        <w:r w:rsidR="005239CB">
          <w:rPr>
            <w:noProof/>
            <w:webHidden/>
          </w:rPr>
          <w:fldChar w:fldCharType="end"/>
        </w:r>
      </w:hyperlink>
    </w:p>
    <w:p w14:paraId="181E1C81" w14:textId="77777777" w:rsidR="005239CB" w:rsidRDefault="00B0570C">
      <w:pPr>
        <w:pStyle w:val="TOC1"/>
        <w:rPr>
          <w:rFonts w:asciiTheme="minorHAnsi" w:eastAsiaTheme="minorEastAsia" w:hAnsiTheme="minorHAnsi" w:cstheme="minorBidi"/>
          <w:noProof/>
          <w:spacing w:val="0"/>
          <w:szCs w:val="22"/>
          <w:lang w:eastAsia="en-AU"/>
        </w:rPr>
      </w:pPr>
      <w:hyperlink w:anchor="_Toc453233202" w:history="1">
        <w:r w:rsidR="005239CB" w:rsidRPr="00D2245A">
          <w:rPr>
            <w:rStyle w:val="Hyperlink"/>
            <w:noProof/>
          </w:rPr>
          <w:t>Purpose of the Campaigns</w:t>
        </w:r>
        <w:r w:rsidR="005239CB">
          <w:rPr>
            <w:noProof/>
            <w:webHidden/>
          </w:rPr>
          <w:tab/>
        </w:r>
        <w:r w:rsidR="005239CB">
          <w:rPr>
            <w:noProof/>
            <w:webHidden/>
          </w:rPr>
          <w:fldChar w:fldCharType="begin"/>
        </w:r>
        <w:r w:rsidR="005239CB">
          <w:rPr>
            <w:noProof/>
            <w:webHidden/>
          </w:rPr>
          <w:instrText xml:space="preserve"> PAGEREF _Toc453233202 \h </w:instrText>
        </w:r>
        <w:r w:rsidR="005239CB">
          <w:rPr>
            <w:noProof/>
            <w:webHidden/>
          </w:rPr>
        </w:r>
        <w:r w:rsidR="005239CB">
          <w:rPr>
            <w:noProof/>
            <w:webHidden/>
          </w:rPr>
          <w:fldChar w:fldCharType="separate"/>
        </w:r>
        <w:r w:rsidR="005239CB">
          <w:rPr>
            <w:noProof/>
            <w:webHidden/>
          </w:rPr>
          <w:t>4</w:t>
        </w:r>
        <w:r w:rsidR="005239CB">
          <w:rPr>
            <w:noProof/>
            <w:webHidden/>
          </w:rPr>
          <w:fldChar w:fldCharType="end"/>
        </w:r>
      </w:hyperlink>
    </w:p>
    <w:p w14:paraId="181E1C82" w14:textId="77777777" w:rsidR="005239CB" w:rsidRDefault="00B0570C">
      <w:pPr>
        <w:pStyle w:val="TOC1"/>
        <w:rPr>
          <w:rFonts w:asciiTheme="minorHAnsi" w:eastAsiaTheme="minorEastAsia" w:hAnsiTheme="minorHAnsi" w:cstheme="minorBidi"/>
          <w:noProof/>
          <w:spacing w:val="0"/>
          <w:szCs w:val="22"/>
          <w:lang w:eastAsia="en-AU"/>
        </w:rPr>
      </w:pPr>
      <w:hyperlink w:anchor="_Toc453233203" w:history="1">
        <w:r w:rsidR="005239CB" w:rsidRPr="00D2245A">
          <w:rPr>
            <w:rStyle w:val="Hyperlink"/>
            <w:noProof/>
          </w:rPr>
          <w:t>Overall Findings – Combined Campaigns</w:t>
        </w:r>
        <w:r w:rsidR="005239CB">
          <w:rPr>
            <w:noProof/>
            <w:webHidden/>
          </w:rPr>
          <w:tab/>
        </w:r>
        <w:r w:rsidR="005239CB">
          <w:rPr>
            <w:noProof/>
            <w:webHidden/>
          </w:rPr>
          <w:fldChar w:fldCharType="begin"/>
        </w:r>
        <w:r w:rsidR="005239CB">
          <w:rPr>
            <w:noProof/>
            <w:webHidden/>
          </w:rPr>
          <w:instrText xml:space="preserve"> PAGEREF _Toc453233203 \h </w:instrText>
        </w:r>
        <w:r w:rsidR="005239CB">
          <w:rPr>
            <w:noProof/>
            <w:webHidden/>
          </w:rPr>
        </w:r>
        <w:r w:rsidR="005239CB">
          <w:rPr>
            <w:noProof/>
            <w:webHidden/>
          </w:rPr>
          <w:fldChar w:fldCharType="separate"/>
        </w:r>
        <w:r w:rsidR="005239CB">
          <w:rPr>
            <w:noProof/>
            <w:webHidden/>
          </w:rPr>
          <w:t>5</w:t>
        </w:r>
        <w:r w:rsidR="005239CB">
          <w:rPr>
            <w:noProof/>
            <w:webHidden/>
          </w:rPr>
          <w:fldChar w:fldCharType="end"/>
        </w:r>
      </w:hyperlink>
    </w:p>
    <w:p w14:paraId="181E1C83" w14:textId="77777777" w:rsidR="005239CB" w:rsidRDefault="00B0570C">
      <w:pPr>
        <w:pStyle w:val="TOC1"/>
        <w:rPr>
          <w:rFonts w:asciiTheme="minorHAnsi" w:eastAsiaTheme="minorEastAsia" w:hAnsiTheme="minorHAnsi" w:cstheme="minorBidi"/>
          <w:noProof/>
          <w:spacing w:val="0"/>
          <w:szCs w:val="22"/>
          <w:lang w:eastAsia="en-AU"/>
        </w:rPr>
      </w:pPr>
      <w:hyperlink w:anchor="_Toc453233204" w:history="1">
        <w:r w:rsidR="005239CB" w:rsidRPr="00D2245A">
          <w:rPr>
            <w:rStyle w:val="Hyperlink"/>
            <w:noProof/>
          </w:rPr>
          <w:t>Individual Campaign Findings</w:t>
        </w:r>
        <w:r w:rsidR="005239CB">
          <w:rPr>
            <w:noProof/>
            <w:webHidden/>
          </w:rPr>
          <w:tab/>
        </w:r>
        <w:r w:rsidR="005239CB">
          <w:rPr>
            <w:noProof/>
            <w:webHidden/>
          </w:rPr>
          <w:fldChar w:fldCharType="begin"/>
        </w:r>
        <w:r w:rsidR="005239CB">
          <w:rPr>
            <w:noProof/>
            <w:webHidden/>
          </w:rPr>
          <w:instrText xml:space="preserve"> PAGEREF _Toc453233204 \h </w:instrText>
        </w:r>
        <w:r w:rsidR="005239CB">
          <w:rPr>
            <w:noProof/>
            <w:webHidden/>
          </w:rPr>
        </w:r>
        <w:r w:rsidR="005239CB">
          <w:rPr>
            <w:noProof/>
            <w:webHidden/>
          </w:rPr>
          <w:fldChar w:fldCharType="separate"/>
        </w:r>
        <w:r w:rsidR="005239CB">
          <w:rPr>
            <w:noProof/>
            <w:webHidden/>
          </w:rPr>
          <w:t>6</w:t>
        </w:r>
        <w:r w:rsidR="005239CB">
          <w:rPr>
            <w:noProof/>
            <w:webHidden/>
          </w:rPr>
          <w:fldChar w:fldCharType="end"/>
        </w:r>
      </w:hyperlink>
    </w:p>
    <w:p w14:paraId="181E1C84" w14:textId="77777777" w:rsidR="005239CB" w:rsidRDefault="00B0570C">
      <w:pPr>
        <w:pStyle w:val="TOC2"/>
        <w:rPr>
          <w:rFonts w:asciiTheme="minorHAnsi" w:eastAsiaTheme="minorEastAsia" w:hAnsiTheme="minorHAnsi" w:cstheme="minorBidi"/>
          <w:noProof/>
          <w:szCs w:val="22"/>
          <w:lang w:eastAsia="en-AU"/>
        </w:rPr>
      </w:pPr>
      <w:hyperlink w:anchor="_Toc453233205" w:history="1">
        <w:r w:rsidR="005239CB" w:rsidRPr="00D2245A">
          <w:rPr>
            <w:rStyle w:val="Hyperlink"/>
            <w:noProof/>
          </w:rPr>
          <w:t>Eastern States Campaign</w:t>
        </w:r>
        <w:r w:rsidR="005239CB">
          <w:rPr>
            <w:noProof/>
            <w:webHidden/>
          </w:rPr>
          <w:tab/>
        </w:r>
        <w:r w:rsidR="005239CB">
          <w:rPr>
            <w:noProof/>
            <w:webHidden/>
          </w:rPr>
          <w:fldChar w:fldCharType="begin"/>
        </w:r>
        <w:r w:rsidR="005239CB">
          <w:rPr>
            <w:noProof/>
            <w:webHidden/>
          </w:rPr>
          <w:instrText xml:space="preserve"> PAGEREF _Toc453233205 \h </w:instrText>
        </w:r>
        <w:r w:rsidR="005239CB">
          <w:rPr>
            <w:noProof/>
            <w:webHidden/>
          </w:rPr>
        </w:r>
        <w:r w:rsidR="005239CB">
          <w:rPr>
            <w:noProof/>
            <w:webHidden/>
          </w:rPr>
          <w:fldChar w:fldCharType="separate"/>
        </w:r>
        <w:r w:rsidR="005239CB">
          <w:rPr>
            <w:noProof/>
            <w:webHidden/>
          </w:rPr>
          <w:t>6</w:t>
        </w:r>
        <w:r w:rsidR="005239CB">
          <w:rPr>
            <w:noProof/>
            <w:webHidden/>
          </w:rPr>
          <w:fldChar w:fldCharType="end"/>
        </w:r>
      </w:hyperlink>
    </w:p>
    <w:p w14:paraId="181E1C85" w14:textId="77777777" w:rsidR="005239CB" w:rsidRDefault="00B0570C">
      <w:pPr>
        <w:pStyle w:val="TOC2"/>
        <w:rPr>
          <w:rFonts w:asciiTheme="minorHAnsi" w:eastAsiaTheme="minorEastAsia" w:hAnsiTheme="minorHAnsi" w:cstheme="minorBidi"/>
          <w:noProof/>
          <w:szCs w:val="22"/>
          <w:lang w:eastAsia="en-AU"/>
        </w:rPr>
      </w:pPr>
      <w:hyperlink w:anchor="_Toc453233206" w:history="1">
        <w:r w:rsidR="005239CB" w:rsidRPr="00D2245A">
          <w:rPr>
            <w:rStyle w:val="Hyperlink"/>
            <w:noProof/>
          </w:rPr>
          <w:t>SA/WA/NT Campaign</w:t>
        </w:r>
        <w:r w:rsidR="005239CB">
          <w:rPr>
            <w:noProof/>
            <w:webHidden/>
          </w:rPr>
          <w:tab/>
        </w:r>
        <w:r w:rsidR="005239CB">
          <w:rPr>
            <w:noProof/>
            <w:webHidden/>
          </w:rPr>
          <w:fldChar w:fldCharType="begin"/>
        </w:r>
        <w:r w:rsidR="005239CB">
          <w:rPr>
            <w:noProof/>
            <w:webHidden/>
          </w:rPr>
          <w:instrText xml:space="preserve"> PAGEREF _Toc453233206 \h </w:instrText>
        </w:r>
        <w:r w:rsidR="005239CB">
          <w:rPr>
            <w:noProof/>
            <w:webHidden/>
          </w:rPr>
        </w:r>
        <w:r w:rsidR="005239CB">
          <w:rPr>
            <w:noProof/>
            <w:webHidden/>
          </w:rPr>
          <w:fldChar w:fldCharType="separate"/>
        </w:r>
        <w:r w:rsidR="005239CB">
          <w:rPr>
            <w:noProof/>
            <w:webHidden/>
          </w:rPr>
          <w:t>7</w:t>
        </w:r>
        <w:r w:rsidR="005239CB">
          <w:rPr>
            <w:noProof/>
            <w:webHidden/>
          </w:rPr>
          <w:fldChar w:fldCharType="end"/>
        </w:r>
      </w:hyperlink>
    </w:p>
    <w:p w14:paraId="181E1C86" w14:textId="77777777" w:rsidR="005239CB" w:rsidRDefault="00B0570C">
      <w:pPr>
        <w:pStyle w:val="TOC2"/>
        <w:rPr>
          <w:rFonts w:asciiTheme="minorHAnsi" w:eastAsiaTheme="minorEastAsia" w:hAnsiTheme="minorHAnsi" w:cstheme="minorBidi"/>
          <w:noProof/>
          <w:szCs w:val="22"/>
          <w:lang w:eastAsia="en-AU"/>
        </w:rPr>
      </w:pPr>
      <w:hyperlink w:anchor="_Toc453233207" w:history="1">
        <w:r w:rsidR="005239CB" w:rsidRPr="00D2245A">
          <w:rPr>
            <w:rStyle w:val="Hyperlink"/>
            <w:noProof/>
          </w:rPr>
          <w:t>East Coast Campaign</w:t>
        </w:r>
        <w:r w:rsidR="005239CB">
          <w:rPr>
            <w:noProof/>
            <w:webHidden/>
          </w:rPr>
          <w:tab/>
        </w:r>
        <w:r w:rsidR="005239CB">
          <w:rPr>
            <w:noProof/>
            <w:webHidden/>
          </w:rPr>
          <w:fldChar w:fldCharType="begin"/>
        </w:r>
        <w:r w:rsidR="005239CB">
          <w:rPr>
            <w:noProof/>
            <w:webHidden/>
          </w:rPr>
          <w:instrText xml:space="preserve"> PAGEREF _Toc453233207 \h </w:instrText>
        </w:r>
        <w:r w:rsidR="005239CB">
          <w:rPr>
            <w:noProof/>
            <w:webHidden/>
          </w:rPr>
        </w:r>
        <w:r w:rsidR="005239CB">
          <w:rPr>
            <w:noProof/>
            <w:webHidden/>
          </w:rPr>
          <w:fldChar w:fldCharType="separate"/>
        </w:r>
        <w:r w:rsidR="005239CB">
          <w:rPr>
            <w:noProof/>
            <w:webHidden/>
          </w:rPr>
          <w:t>8</w:t>
        </w:r>
        <w:r w:rsidR="005239CB">
          <w:rPr>
            <w:noProof/>
            <w:webHidden/>
          </w:rPr>
          <w:fldChar w:fldCharType="end"/>
        </w:r>
      </w:hyperlink>
    </w:p>
    <w:p w14:paraId="181E1C87" w14:textId="77777777" w:rsidR="005239CB" w:rsidRDefault="00B0570C">
      <w:pPr>
        <w:pStyle w:val="TOC1"/>
        <w:rPr>
          <w:rFonts w:asciiTheme="minorHAnsi" w:eastAsiaTheme="minorEastAsia" w:hAnsiTheme="minorHAnsi" w:cstheme="minorBidi"/>
          <w:noProof/>
          <w:spacing w:val="0"/>
          <w:szCs w:val="22"/>
          <w:lang w:eastAsia="en-AU"/>
        </w:rPr>
      </w:pPr>
      <w:hyperlink w:anchor="_Toc453233208" w:history="1">
        <w:r w:rsidR="005239CB" w:rsidRPr="00D2245A">
          <w:rPr>
            <w:rStyle w:val="Hyperlink"/>
            <w:noProof/>
          </w:rPr>
          <w:t>Comparative Findings</w:t>
        </w:r>
        <w:r w:rsidR="005239CB">
          <w:rPr>
            <w:noProof/>
            <w:webHidden/>
          </w:rPr>
          <w:tab/>
        </w:r>
        <w:r w:rsidR="005239CB">
          <w:rPr>
            <w:noProof/>
            <w:webHidden/>
          </w:rPr>
          <w:fldChar w:fldCharType="begin"/>
        </w:r>
        <w:r w:rsidR="005239CB">
          <w:rPr>
            <w:noProof/>
            <w:webHidden/>
          </w:rPr>
          <w:instrText xml:space="preserve"> PAGEREF _Toc453233208 \h </w:instrText>
        </w:r>
        <w:r w:rsidR="005239CB">
          <w:rPr>
            <w:noProof/>
            <w:webHidden/>
          </w:rPr>
        </w:r>
        <w:r w:rsidR="005239CB">
          <w:rPr>
            <w:noProof/>
            <w:webHidden/>
          </w:rPr>
          <w:fldChar w:fldCharType="separate"/>
        </w:r>
        <w:r w:rsidR="005239CB">
          <w:rPr>
            <w:noProof/>
            <w:webHidden/>
          </w:rPr>
          <w:t>9</w:t>
        </w:r>
        <w:r w:rsidR="005239CB">
          <w:rPr>
            <w:noProof/>
            <w:webHidden/>
          </w:rPr>
          <w:fldChar w:fldCharType="end"/>
        </w:r>
      </w:hyperlink>
    </w:p>
    <w:p w14:paraId="181E1C88" w14:textId="77777777" w:rsidR="005239CB" w:rsidRDefault="00B0570C">
      <w:pPr>
        <w:pStyle w:val="TOC1"/>
        <w:rPr>
          <w:rFonts w:asciiTheme="minorHAnsi" w:eastAsiaTheme="minorEastAsia" w:hAnsiTheme="minorHAnsi" w:cstheme="minorBidi"/>
          <w:noProof/>
          <w:spacing w:val="0"/>
          <w:szCs w:val="22"/>
          <w:lang w:eastAsia="en-AU"/>
        </w:rPr>
      </w:pPr>
      <w:hyperlink w:anchor="_Toc453233209" w:history="1">
        <w:r w:rsidR="005239CB" w:rsidRPr="00D2245A">
          <w:rPr>
            <w:rStyle w:val="Hyperlink"/>
            <w:noProof/>
          </w:rPr>
          <w:t>Money Recovered</w:t>
        </w:r>
        <w:r w:rsidR="005239CB">
          <w:rPr>
            <w:noProof/>
            <w:webHidden/>
          </w:rPr>
          <w:tab/>
        </w:r>
        <w:r w:rsidR="005239CB">
          <w:rPr>
            <w:noProof/>
            <w:webHidden/>
          </w:rPr>
          <w:fldChar w:fldCharType="begin"/>
        </w:r>
        <w:r w:rsidR="005239CB">
          <w:rPr>
            <w:noProof/>
            <w:webHidden/>
          </w:rPr>
          <w:instrText xml:space="preserve"> PAGEREF _Toc453233209 \h </w:instrText>
        </w:r>
        <w:r w:rsidR="005239CB">
          <w:rPr>
            <w:noProof/>
            <w:webHidden/>
          </w:rPr>
        </w:r>
        <w:r w:rsidR="005239CB">
          <w:rPr>
            <w:noProof/>
            <w:webHidden/>
          </w:rPr>
          <w:fldChar w:fldCharType="separate"/>
        </w:r>
        <w:r w:rsidR="005239CB">
          <w:rPr>
            <w:noProof/>
            <w:webHidden/>
          </w:rPr>
          <w:t>9</w:t>
        </w:r>
        <w:r w:rsidR="005239CB">
          <w:rPr>
            <w:noProof/>
            <w:webHidden/>
          </w:rPr>
          <w:fldChar w:fldCharType="end"/>
        </w:r>
      </w:hyperlink>
    </w:p>
    <w:p w14:paraId="181E1C89" w14:textId="77777777" w:rsidR="005239CB" w:rsidRDefault="00B0570C">
      <w:pPr>
        <w:pStyle w:val="TOC1"/>
        <w:rPr>
          <w:rFonts w:asciiTheme="minorHAnsi" w:eastAsiaTheme="minorEastAsia" w:hAnsiTheme="minorHAnsi" w:cstheme="minorBidi"/>
          <w:noProof/>
          <w:spacing w:val="0"/>
          <w:szCs w:val="22"/>
          <w:lang w:eastAsia="en-AU"/>
        </w:rPr>
      </w:pPr>
      <w:hyperlink w:anchor="_Toc453233210" w:history="1">
        <w:r w:rsidR="005239CB" w:rsidRPr="00D2245A">
          <w:rPr>
            <w:rStyle w:val="Hyperlink"/>
            <w:noProof/>
          </w:rPr>
          <w:t>Other Findings</w:t>
        </w:r>
        <w:r w:rsidR="005239CB">
          <w:rPr>
            <w:noProof/>
            <w:webHidden/>
          </w:rPr>
          <w:tab/>
        </w:r>
        <w:r w:rsidR="005239CB">
          <w:rPr>
            <w:noProof/>
            <w:webHidden/>
          </w:rPr>
          <w:fldChar w:fldCharType="begin"/>
        </w:r>
        <w:r w:rsidR="005239CB">
          <w:rPr>
            <w:noProof/>
            <w:webHidden/>
          </w:rPr>
          <w:instrText xml:space="preserve"> PAGEREF _Toc453233210 \h </w:instrText>
        </w:r>
        <w:r w:rsidR="005239CB">
          <w:rPr>
            <w:noProof/>
            <w:webHidden/>
          </w:rPr>
        </w:r>
        <w:r w:rsidR="005239CB">
          <w:rPr>
            <w:noProof/>
            <w:webHidden/>
          </w:rPr>
          <w:fldChar w:fldCharType="separate"/>
        </w:r>
        <w:r w:rsidR="005239CB">
          <w:rPr>
            <w:noProof/>
            <w:webHidden/>
          </w:rPr>
          <w:t>10</w:t>
        </w:r>
        <w:r w:rsidR="005239CB">
          <w:rPr>
            <w:noProof/>
            <w:webHidden/>
          </w:rPr>
          <w:fldChar w:fldCharType="end"/>
        </w:r>
      </w:hyperlink>
    </w:p>
    <w:p w14:paraId="181E1C8A" w14:textId="77777777" w:rsidR="005239CB" w:rsidRDefault="00B0570C">
      <w:pPr>
        <w:pStyle w:val="TOC1"/>
        <w:rPr>
          <w:rFonts w:asciiTheme="minorHAnsi" w:eastAsiaTheme="minorEastAsia" w:hAnsiTheme="minorHAnsi" w:cstheme="minorBidi"/>
          <w:noProof/>
          <w:spacing w:val="0"/>
          <w:szCs w:val="22"/>
          <w:lang w:eastAsia="en-AU"/>
        </w:rPr>
      </w:pPr>
      <w:hyperlink w:anchor="_Toc453233211" w:history="1">
        <w:r w:rsidR="005239CB" w:rsidRPr="00D2245A">
          <w:rPr>
            <w:rStyle w:val="Hyperlink"/>
            <w:noProof/>
          </w:rPr>
          <w:t>Next Steps</w:t>
        </w:r>
        <w:r w:rsidR="005239CB">
          <w:rPr>
            <w:noProof/>
            <w:webHidden/>
          </w:rPr>
          <w:tab/>
        </w:r>
        <w:r w:rsidR="005239CB">
          <w:rPr>
            <w:noProof/>
            <w:webHidden/>
          </w:rPr>
          <w:fldChar w:fldCharType="begin"/>
        </w:r>
        <w:r w:rsidR="005239CB">
          <w:rPr>
            <w:noProof/>
            <w:webHidden/>
          </w:rPr>
          <w:instrText xml:space="preserve"> PAGEREF _Toc453233211 \h </w:instrText>
        </w:r>
        <w:r w:rsidR="005239CB">
          <w:rPr>
            <w:noProof/>
            <w:webHidden/>
          </w:rPr>
        </w:r>
        <w:r w:rsidR="005239CB">
          <w:rPr>
            <w:noProof/>
            <w:webHidden/>
          </w:rPr>
          <w:fldChar w:fldCharType="separate"/>
        </w:r>
        <w:r w:rsidR="005239CB">
          <w:rPr>
            <w:noProof/>
            <w:webHidden/>
          </w:rPr>
          <w:t>11</w:t>
        </w:r>
        <w:r w:rsidR="005239CB">
          <w:rPr>
            <w:noProof/>
            <w:webHidden/>
          </w:rPr>
          <w:fldChar w:fldCharType="end"/>
        </w:r>
      </w:hyperlink>
    </w:p>
    <w:p w14:paraId="181E1C8B" w14:textId="77777777" w:rsidR="005239CB" w:rsidRDefault="00B0570C">
      <w:pPr>
        <w:pStyle w:val="TOC1"/>
        <w:rPr>
          <w:rFonts w:asciiTheme="minorHAnsi" w:eastAsiaTheme="minorEastAsia" w:hAnsiTheme="minorHAnsi" w:cstheme="minorBidi"/>
          <w:noProof/>
          <w:spacing w:val="0"/>
          <w:szCs w:val="22"/>
          <w:lang w:eastAsia="en-AU"/>
        </w:rPr>
      </w:pPr>
      <w:hyperlink w:anchor="_Toc453233212" w:history="1">
        <w:r w:rsidR="005239CB" w:rsidRPr="00D2245A">
          <w:rPr>
            <w:rStyle w:val="Hyperlink"/>
            <w:noProof/>
            <w:lang w:eastAsia="en-AU"/>
          </w:rPr>
          <w:t>Conclusion</w:t>
        </w:r>
        <w:r w:rsidR="005239CB">
          <w:rPr>
            <w:noProof/>
            <w:webHidden/>
          </w:rPr>
          <w:tab/>
        </w:r>
        <w:r w:rsidR="005239CB">
          <w:rPr>
            <w:noProof/>
            <w:webHidden/>
          </w:rPr>
          <w:fldChar w:fldCharType="begin"/>
        </w:r>
        <w:r w:rsidR="005239CB">
          <w:rPr>
            <w:noProof/>
            <w:webHidden/>
          </w:rPr>
          <w:instrText xml:space="preserve"> PAGEREF _Toc453233212 \h </w:instrText>
        </w:r>
        <w:r w:rsidR="005239CB">
          <w:rPr>
            <w:noProof/>
            <w:webHidden/>
          </w:rPr>
        </w:r>
        <w:r w:rsidR="005239CB">
          <w:rPr>
            <w:noProof/>
            <w:webHidden/>
          </w:rPr>
          <w:fldChar w:fldCharType="separate"/>
        </w:r>
        <w:r w:rsidR="005239CB">
          <w:rPr>
            <w:noProof/>
            <w:webHidden/>
          </w:rPr>
          <w:t>11</w:t>
        </w:r>
        <w:r w:rsidR="005239CB">
          <w:rPr>
            <w:noProof/>
            <w:webHidden/>
          </w:rPr>
          <w:fldChar w:fldCharType="end"/>
        </w:r>
      </w:hyperlink>
    </w:p>
    <w:p w14:paraId="181E1C8C" w14:textId="77777777" w:rsidR="005239CB" w:rsidRDefault="00B0570C">
      <w:pPr>
        <w:pStyle w:val="TOC1"/>
        <w:rPr>
          <w:rFonts w:asciiTheme="minorHAnsi" w:eastAsiaTheme="minorEastAsia" w:hAnsiTheme="minorHAnsi" w:cstheme="minorBidi"/>
          <w:noProof/>
          <w:spacing w:val="0"/>
          <w:szCs w:val="22"/>
          <w:lang w:eastAsia="en-AU"/>
        </w:rPr>
      </w:pPr>
      <w:hyperlink w:anchor="_Toc453233213" w:history="1">
        <w:r w:rsidR="005239CB" w:rsidRPr="00D2245A">
          <w:rPr>
            <w:rStyle w:val="Hyperlink"/>
            <w:noProof/>
            <w:lang w:eastAsia="en-AU"/>
          </w:rPr>
          <w:t>About the Fair Work Ombudsman</w:t>
        </w:r>
        <w:r w:rsidR="005239CB">
          <w:rPr>
            <w:noProof/>
            <w:webHidden/>
          </w:rPr>
          <w:tab/>
        </w:r>
        <w:r w:rsidR="005239CB">
          <w:rPr>
            <w:noProof/>
            <w:webHidden/>
          </w:rPr>
          <w:fldChar w:fldCharType="begin"/>
        </w:r>
        <w:r w:rsidR="005239CB">
          <w:rPr>
            <w:noProof/>
            <w:webHidden/>
          </w:rPr>
          <w:instrText xml:space="preserve"> PAGEREF _Toc453233213 \h </w:instrText>
        </w:r>
        <w:r w:rsidR="005239CB">
          <w:rPr>
            <w:noProof/>
            <w:webHidden/>
          </w:rPr>
        </w:r>
        <w:r w:rsidR="005239CB">
          <w:rPr>
            <w:noProof/>
            <w:webHidden/>
          </w:rPr>
          <w:fldChar w:fldCharType="separate"/>
        </w:r>
        <w:r w:rsidR="005239CB">
          <w:rPr>
            <w:noProof/>
            <w:webHidden/>
          </w:rPr>
          <w:t>12</w:t>
        </w:r>
        <w:r w:rsidR="005239CB">
          <w:rPr>
            <w:noProof/>
            <w:webHidden/>
          </w:rPr>
          <w:fldChar w:fldCharType="end"/>
        </w:r>
      </w:hyperlink>
    </w:p>
    <w:p w14:paraId="181E1C8F" w14:textId="7FA7E3DB" w:rsidR="002237FC" w:rsidRDefault="002237FC" w:rsidP="00357458">
      <w:r>
        <w:fldChar w:fldCharType="end"/>
      </w:r>
      <w:r>
        <w:br w:type="page"/>
      </w:r>
    </w:p>
    <w:bookmarkEnd w:id="3"/>
    <w:bookmarkEnd w:id="4"/>
    <w:p w14:paraId="181E1C90" w14:textId="77777777" w:rsidR="004B2104" w:rsidRDefault="004B2104" w:rsidP="006834EC">
      <w:pPr>
        <w:pStyle w:val="GlanceYellowHeading"/>
        <w:pBdr>
          <w:top w:val="single" w:sz="48" w:space="0" w:color="BFBFBF" w:themeColor="background1" w:themeShade="BF"/>
        </w:pBdr>
        <w:jc w:val="left"/>
        <w:sectPr w:rsidR="004B2104" w:rsidSect="00CF3B06">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276" w:right="992" w:bottom="1440" w:left="1276" w:header="0" w:footer="113" w:gutter="0"/>
          <w:cols w:space="720"/>
          <w:titlePg/>
          <w:docGrid w:linePitch="326"/>
        </w:sectPr>
      </w:pPr>
    </w:p>
    <w:p w14:paraId="181E1C91" w14:textId="32C9F105" w:rsidR="003B62FE" w:rsidRDefault="00065B5F" w:rsidP="006834EC">
      <w:pPr>
        <w:jc w:val="left"/>
      </w:pPr>
      <w:r>
        <w:rPr>
          <w:noProof/>
          <w:lang w:eastAsia="en-AU"/>
        </w:rPr>
        <w:lastRenderedPageBreak/>
        <w:drawing>
          <wp:anchor distT="0" distB="0" distL="114300" distR="114300" simplePos="0" relativeHeight="251658240" behindDoc="0" locked="0" layoutInCell="1" allowOverlap="1" wp14:anchorId="7AB45C4E" wp14:editId="6C444031">
            <wp:simplePos x="0" y="0"/>
            <wp:positionH relativeFrom="margin">
              <wp:posOffset>-831525</wp:posOffset>
            </wp:positionH>
            <wp:positionV relativeFrom="paragraph">
              <wp:posOffset>-948483</wp:posOffset>
            </wp:positionV>
            <wp:extent cx="7575632" cy="10845209"/>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ords and resources infographic FINAL_PRINT APRIL16 Update HIRES copy.jpg"/>
                    <pic:cNvPicPr/>
                  </pic:nvPicPr>
                  <pic:blipFill>
                    <a:blip r:embed="rId16">
                      <a:extLst>
                        <a:ext uri="{28A0092B-C50C-407E-A947-70E740481C1C}">
                          <a14:useLocalDpi xmlns:a14="http://schemas.microsoft.com/office/drawing/2010/main" val="0"/>
                        </a:ext>
                      </a:extLst>
                    </a:blip>
                    <a:stretch>
                      <a:fillRect/>
                    </a:stretch>
                  </pic:blipFill>
                  <pic:spPr>
                    <a:xfrm>
                      <a:off x="0" y="0"/>
                      <a:ext cx="7576318" cy="10846191"/>
                    </a:xfrm>
                    <a:prstGeom prst="rect">
                      <a:avLst/>
                    </a:prstGeom>
                  </pic:spPr>
                </pic:pic>
              </a:graphicData>
            </a:graphic>
            <wp14:sizeRelH relativeFrom="page">
              <wp14:pctWidth>0</wp14:pctWidth>
            </wp14:sizeRelH>
            <wp14:sizeRelV relativeFrom="page">
              <wp14:pctHeight>0</wp14:pctHeight>
            </wp14:sizeRelV>
          </wp:anchor>
        </w:drawing>
      </w:r>
      <w:r w:rsidR="004B2104">
        <w:br w:type="page"/>
      </w:r>
      <w:bookmarkStart w:id="5" w:name="_Toc410822204"/>
      <w:bookmarkStart w:id="6" w:name="_Toc410822918"/>
    </w:p>
    <w:p w14:paraId="181E1C92" w14:textId="77777777" w:rsidR="00C03AA8" w:rsidRDefault="00C03AA8" w:rsidP="006834EC">
      <w:pPr>
        <w:pStyle w:val="Heading1"/>
      </w:pPr>
      <w:bookmarkStart w:id="7" w:name="_Toc453233201"/>
      <w:bookmarkEnd w:id="5"/>
      <w:bookmarkEnd w:id="6"/>
      <w:r>
        <w:lastRenderedPageBreak/>
        <w:t>Summary</w:t>
      </w:r>
      <w:bookmarkEnd w:id="7"/>
    </w:p>
    <w:p w14:paraId="181E1C93" w14:textId="77777777" w:rsidR="00C03AA8" w:rsidRDefault="00C03AA8" w:rsidP="006C1F69">
      <w:pPr>
        <w:spacing w:after="0"/>
        <w:jc w:val="left"/>
      </w:pPr>
      <w:r>
        <w:t>During 2014 and 2015</w:t>
      </w:r>
      <w:r w:rsidR="00962D84">
        <w:t xml:space="preserve">, </w:t>
      </w:r>
      <w:r>
        <w:t xml:space="preserve">the Fair Work Ombudsman (FWO) undertook three </w:t>
      </w:r>
      <w:r w:rsidR="007E636D">
        <w:t>Records and Resources Campaigns (th</w:t>
      </w:r>
      <w:r w:rsidR="000B046A">
        <w:t xml:space="preserve">e campaigns) across Australia. </w:t>
      </w:r>
      <w:r w:rsidR="007E636D">
        <w:t xml:space="preserve">The campaigns focused on providing education </w:t>
      </w:r>
      <w:r w:rsidR="006834EC">
        <w:t>and assistance to businesses</w:t>
      </w:r>
      <w:r w:rsidR="004F0B1E">
        <w:t xml:space="preserve"> to comply with commonwealth workplace laws, and</w:t>
      </w:r>
      <w:r w:rsidR="003A125B">
        <w:t xml:space="preserve"> assessed levels of compliance with re</w:t>
      </w:r>
      <w:r w:rsidR="000B046A">
        <w:t xml:space="preserve">cord-keeping obligations. </w:t>
      </w:r>
      <w:r w:rsidR="00521222">
        <w:t xml:space="preserve">The three </w:t>
      </w:r>
      <w:r w:rsidR="00B84227">
        <w:t>distinct campaigns conducted were</w:t>
      </w:r>
      <w:r w:rsidR="00AF4F86">
        <w:t xml:space="preserve"> the</w:t>
      </w:r>
      <w:r w:rsidR="00B84227">
        <w:t>:</w:t>
      </w:r>
    </w:p>
    <w:p w14:paraId="181E1C94" w14:textId="77777777" w:rsidR="00521222" w:rsidRDefault="00AF4F86" w:rsidP="00A17607">
      <w:pPr>
        <w:pStyle w:val="Bullet"/>
        <w:numPr>
          <w:ilvl w:val="0"/>
          <w:numId w:val="28"/>
        </w:numPr>
      </w:pPr>
      <w:r>
        <w:t xml:space="preserve">Eastern States </w:t>
      </w:r>
      <w:r w:rsidR="002237FC">
        <w:t>Campaign</w:t>
      </w:r>
      <w:r w:rsidR="002805CE">
        <w:t>;</w:t>
      </w:r>
      <w:r w:rsidR="002237FC">
        <w:t xml:space="preserve"> </w:t>
      </w:r>
    </w:p>
    <w:p w14:paraId="181E1C95" w14:textId="77777777" w:rsidR="00AF4F86" w:rsidRPr="00AF4F86" w:rsidRDefault="00AF4F86" w:rsidP="00A17607">
      <w:pPr>
        <w:pStyle w:val="Bullet"/>
        <w:numPr>
          <w:ilvl w:val="0"/>
          <w:numId w:val="28"/>
        </w:numPr>
      </w:pPr>
      <w:r>
        <w:t xml:space="preserve">SA/WA/NT </w:t>
      </w:r>
      <w:r w:rsidR="007E636D">
        <w:t>Campaign</w:t>
      </w:r>
      <w:r w:rsidR="002805CE">
        <w:t>; and</w:t>
      </w:r>
    </w:p>
    <w:p w14:paraId="181E1C96" w14:textId="77777777" w:rsidR="00D510C0" w:rsidRDefault="00AF4F86" w:rsidP="00A17607">
      <w:pPr>
        <w:pStyle w:val="Bullet"/>
        <w:numPr>
          <w:ilvl w:val="0"/>
          <w:numId w:val="28"/>
        </w:numPr>
      </w:pPr>
      <w:r>
        <w:t>East Coast Campaign</w:t>
      </w:r>
      <w:r w:rsidR="002805CE">
        <w:t>.</w:t>
      </w:r>
    </w:p>
    <w:p w14:paraId="181E1C97" w14:textId="70574F7D" w:rsidR="001A7D36" w:rsidRDefault="006B361A" w:rsidP="006C1F69">
      <w:pPr>
        <w:spacing w:before="240"/>
        <w:jc w:val="left"/>
        <w:rPr>
          <w:lang w:eastAsia="en-AU"/>
        </w:rPr>
      </w:pPr>
      <w:r>
        <w:rPr>
          <w:lang w:eastAsia="en-AU"/>
        </w:rPr>
        <w:t>The campaign</w:t>
      </w:r>
      <w:r w:rsidR="007E636D">
        <w:rPr>
          <w:lang w:eastAsia="en-AU"/>
        </w:rPr>
        <w:t>s</w:t>
      </w:r>
      <w:r>
        <w:rPr>
          <w:lang w:eastAsia="en-AU"/>
        </w:rPr>
        <w:t xml:space="preserve"> </w:t>
      </w:r>
      <w:r w:rsidR="00D510C0">
        <w:rPr>
          <w:lang w:eastAsia="en-AU"/>
        </w:rPr>
        <w:t>focus</w:t>
      </w:r>
      <w:r>
        <w:rPr>
          <w:lang w:eastAsia="en-AU"/>
        </w:rPr>
        <w:t>ed</w:t>
      </w:r>
      <w:r w:rsidR="00D510C0">
        <w:rPr>
          <w:lang w:eastAsia="en-AU"/>
        </w:rPr>
        <w:t xml:space="preserve"> on smaller businesses operating in areas where </w:t>
      </w:r>
      <w:r>
        <w:rPr>
          <w:lang w:eastAsia="en-AU"/>
        </w:rPr>
        <w:t xml:space="preserve">the </w:t>
      </w:r>
      <w:r w:rsidR="00D510C0">
        <w:rPr>
          <w:lang w:eastAsia="en-AU"/>
        </w:rPr>
        <w:t>FWO does not</w:t>
      </w:r>
      <w:r w:rsidR="005260A1">
        <w:rPr>
          <w:lang w:eastAsia="en-AU"/>
        </w:rPr>
        <w:t xml:space="preserve"> have a local office</w:t>
      </w:r>
      <w:r w:rsidR="000B046A">
        <w:rPr>
          <w:lang w:eastAsia="en-AU"/>
        </w:rPr>
        <w:t xml:space="preserve">. </w:t>
      </w:r>
      <w:r w:rsidR="001A7D36">
        <w:rPr>
          <w:lang w:eastAsia="en-AU"/>
        </w:rPr>
        <w:t>Fair Work Inspectors</w:t>
      </w:r>
      <w:r w:rsidR="00554189">
        <w:rPr>
          <w:lang w:eastAsia="en-AU"/>
        </w:rPr>
        <w:t xml:space="preserve"> (FWI’s)</w:t>
      </w:r>
      <w:r w:rsidR="00484011">
        <w:rPr>
          <w:lang w:eastAsia="en-AU"/>
        </w:rPr>
        <w:t xml:space="preserve"> </w:t>
      </w:r>
      <w:r w:rsidR="001A7D36">
        <w:rPr>
          <w:lang w:eastAsia="en-AU"/>
        </w:rPr>
        <w:t xml:space="preserve">assessed </w:t>
      </w:r>
      <w:r w:rsidR="00484011">
        <w:rPr>
          <w:lang w:eastAsia="en-AU"/>
        </w:rPr>
        <w:t>compliance with record-keeping and pay</w:t>
      </w:r>
      <w:r w:rsidR="00A86E16">
        <w:rPr>
          <w:lang w:eastAsia="en-AU"/>
        </w:rPr>
        <w:t xml:space="preserve"> </w:t>
      </w:r>
      <w:r w:rsidR="00484011">
        <w:rPr>
          <w:lang w:eastAsia="en-AU"/>
        </w:rPr>
        <w:t>slip obligations</w:t>
      </w:r>
      <w:r w:rsidR="00B84227">
        <w:rPr>
          <w:lang w:eastAsia="en-AU"/>
        </w:rPr>
        <w:t xml:space="preserve"> </w:t>
      </w:r>
      <w:r w:rsidR="00484011">
        <w:rPr>
          <w:lang w:eastAsia="en-AU"/>
        </w:rPr>
        <w:t xml:space="preserve">and </w:t>
      </w:r>
      <w:r w:rsidR="001A7D36">
        <w:rPr>
          <w:lang w:eastAsia="en-AU"/>
        </w:rPr>
        <w:t xml:space="preserve">provided information to </w:t>
      </w:r>
      <w:r w:rsidR="002805CE">
        <w:rPr>
          <w:lang w:eastAsia="en-AU"/>
        </w:rPr>
        <w:t xml:space="preserve">businesses to </w:t>
      </w:r>
      <w:r w:rsidR="000B046A">
        <w:rPr>
          <w:lang w:eastAsia="en-AU"/>
        </w:rPr>
        <w:t xml:space="preserve">make compliance easier. </w:t>
      </w:r>
      <w:r w:rsidR="006834EC">
        <w:rPr>
          <w:lang w:eastAsia="en-AU"/>
        </w:rPr>
        <w:t xml:space="preserve">Businesses </w:t>
      </w:r>
      <w:r w:rsidR="001A7D36">
        <w:rPr>
          <w:lang w:eastAsia="en-AU"/>
        </w:rPr>
        <w:t>were</w:t>
      </w:r>
      <w:r>
        <w:rPr>
          <w:lang w:eastAsia="en-AU"/>
        </w:rPr>
        <w:t xml:space="preserve"> provided with</w:t>
      </w:r>
      <w:r w:rsidR="00C03AA8">
        <w:rPr>
          <w:lang w:eastAsia="en-AU"/>
        </w:rPr>
        <w:t xml:space="preserve"> </w:t>
      </w:r>
      <w:r w:rsidR="00B84227">
        <w:rPr>
          <w:lang w:eastAsia="en-AU"/>
        </w:rPr>
        <w:t xml:space="preserve">educational resources </w:t>
      </w:r>
      <w:r w:rsidR="00C03AA8">
        <w:rPr>
          <w:lang w:eastAsia="en-AU"/>
        </w:rPr>
        <w:t xml:space="preserve">available </w:t>
      </w:r>
      <w:r>
        <w:rPr>
          <w:lang w:eastAsia="en-AU"/>
        </w:rPr>
        <w:t xml:space="preserve">from </w:t>
      </w:r>
      <w:r w:rsidR="00C03AA8">
        <w:rPr>
          <w:lang w:eastAsia="en-AU"/>
        </w:rPr>
        <w:t xml:space="preserve">the </w:t>
      </w:r>
      <w:r w:rsidR="006834EC">
        <w:rPr>
          <w:lang w:eastAsia="en-AU"/>
        </w:rPr>
        <w:t xml:space="preserve">FWO website </w:t>
      </w:r>
      <w:hyperlink r:id="rId17" w:tooltip="Fair Work Ombudsman website" w:history="1">
        <w:r w:rsidR="006834EC">
          <w:rPr>
            <w:rStyle w:val="Hyperlink"/>
            <w:rFonts w:ascii="Helvetica" w:hAnsi="Helvetica" w:cs="Arial"/>
            <w:lang w:eastAsia="en-AU"/>
          </w:rPr>
          <w:t>www.fairwork.gov.au</w:t>
        </w:r>
      </w:hyperlink>
      <w:r w:rsidR="001A7D36">
        <w:rPr>
          <w:lang w:eastAsia="en-AU"/>
        </w:rPr>
        <w:t xml:space="preserve">, including </w:t>
      </w:r>
      <w:r w:rsidR="001C0F42" w:rsidRPr="00117A9D">
        <w:rPr>
          <w:lang w:eastAsia="en-AU"/>
        </w:rPr>
        <w:t xml:space="preserve">records and pay tools, </w:t>
      </w:r>
      <w:r w:rsidR="00732394" w:rsidRPr="00117A9D">
        <w:rPr>
          <w:lang w:eastAsia="en-AU"/>
        </w:rPr>
        <w:t xml:space="preserve">the FWO Online Learning Centre and </w:t>
      </w:r>
      <w:r w:rsidR="001A7D36" w:rsidRPr="00117A9D">
        <w:rPr>
          <w:lang w:eastAsia="en-AU"/>
        </w:rPr>
        <w:t>staff managemen</w:t>
      </w:r>
      <w:r w:rsidR="002805CE" w:rsidRPr="00117A9D">
        <w:rPr>
          <w:lang w:eastAsia="en-AU"/>
        </w:rPr>
        <w:t>t</w:t>
      </w:r>
      <w:r w:rsidR="001C0F42" w:rsidRPr="00117A9D">
        <w:rPr>
          <w:lang w:eastAsia="en-AU"/>
        </w:rPr>
        <w:t xml:space="preserve"> resources</w:t>
      </w:r>
      <w:r w:rsidR="005F74D9" w:rsidRPr="00117A9D">
        <w:rPr>
          <w:lang w:eastAsia="en-AU"/>
        </w:rPr>
        <w:t xml:space="preserve"> </w:t>
      </w:r>
      <w:r w:rsidR="004F0B1E">
        <w:rPr>
          <w:lang w:eastAsia="en-AU"/>
        </w:rPr>
        <w:t xml:space="preserve">such as the </w:t>
      </w:r>
      <w:r w:rsidR="00810FBC" w:rsidRPr="00117A9D">
        <w:rPr>
          <w:lang w:eastAsia="en-AU"/>
        </w:rPr>
        <w:t>H</w:t>
      </w:r>
      <w:r w:rsidR="00C27BAE" w:rsidRPr="00117A9D">
        <w:rPr>
          <w:lang w:eastAsia="en-AU"/>
        </w:rPr>
        <w:t xml:space="preserve">iring </w:t>
      </w:r>
      <w:r w:rsidR="00810FBC" w:rsidRPr="00117A9D">
        <w:rPr>
          <w:lang w:eastAsia="en-AU"/>
        </w:rPr>
        <w:t>Employees G</w:t>
      </w:r>
      <w:r w:rsidR="004F0B1E">
        <w:rPr>
          <w:lang w:eastAsia="en-AU"/>
        </w:rPr>
        <w:t>uide</w:t>
      </w:r>
      <w:r w:rsidR="001A7D36" w:rsidRPr="00117A9D">
        <w:rPr>
          <w:lang w:eastAsia="en-AU"/>
        </w:rPr>
        <w:t>.</w:t>
      </w:r>
      <w:r w:rsidR="00732394">
        <w:rPr>
          <w:lang w:eastAsia="en-AU"/>
        </w:rPr>
        <w:t xml:space="preserve"> </w:t>
      </w:r>
    </w:p>
    <w:p w14:paraId="181E1C98" w14:textId="77777777" w:rsidR="00C87B86" w:rsidRDefault="00C55417" w:rsidP="006834EC">
      <w:pPr>
        <w:spacing w:after="0"/>
        <w:jc w:val="left"/>
        <w:rPr>
          <w:lang w:eastAsia="en-AU"/>
        </w:rPr>
      </w:pPr>
      <w:r>
        <w:rPr>
          <w:lang w:eastAsia="en-AU"/>
        </w:rPr>
        <w:t xml:space="preserve">Overall, </w:t>
      </w:r>
      <w:r w:rsidR="00B2054B">
        <w:rPr>
          <w:lang w:eastAsia="en-AU"/>
        </w:rPr>
        <w:t>across the campaigns</w:t>
      </w:r>
      <w:r w:rsidR="00C87B86">
        <w:rPr>
          <w:lang w:eastAsia="en-AU"/>
        </w:rPr>
        <w:t>:</w:t>
      </w:r>
    </w:p>
    <w:p w14:paraId="181E1C99" w14:textId="77777777" w:rsidR="00C55417" w:rsidRDefault="00C55417" w:rsidP="006834EC">
      <w:pPr>
        <w:pStyle w:val="ListParagraph"/>
        <w:numPr>
          <w:ilvl w:val="0"/>
          <w:numId w:val="14"/>
        </w:numPr>
        <w:jc w:val="left"/>
        <w:rPr>
          <w:lang w:eastAsia="en-AU"/>
        </w:rPr>
      </w:pPr>
      <w:r w:rsidRPr="00810FBC">
        <w:rPr>
          <w:lang w:eastAsia="en-AU"/>
        </w:rPr>
        <w:t>1,376</w:t>
      </w:r>
      <w:r w:rsidR="00554189">
        <w:rPr>
          <w:lang w:eastAsia="en-AU"/>
        </w:rPr>
        <w:t xml:space="preserve"> businesses</w:t>
      </w:r>
      <w:r w:rsidRPr="00253BA6">
        <w:rPr>
          <w:lang w:eastAsia="en-AU"/>
        </w:rPr>
        <w:t xml:space="preserve"> </w:t>
      </w:r>
      <w:r w:rsidR="00B2054B">
        <w:rPr>
          <w:lang w:eastAsia="en-AU"/>
        </w:rPr>
        <w:t xml:space="preserve">were </w:t>
      </w:r>
      <w:r w:rsidRPr="00253BA6">
        <w:rPr>
          <w:lang w:eastAsia="en-AU"/>
        </w:rPr>
        <w:t>audited</w:t>
      </w:r>
      <w:r>
        <w:rPr>
          <w:lang w:eastAsia="en-AU"/>
        </w:rPr>
        <w:t>;</w:t>
      </w:r>
    </w:p>
    <w:p w14:paraId="181E1C9A" w14:textId="61CDA9F8" w:rsidR="00A86E16" w:rsidRPr="00253BA6" w:rsidRDefault="00871ED7" w:rsidP="006834EC">
      <w:pPr>
        <w:pStyle w:val="ListParagraph"/>
        <w:numPr>
          <w:ilvl w:val="0"/>
          <w:numId w:val="14"/>
        </w:numPr>
        <w:jc w:val="left"/>
        <w:rPr>
          <w:lang w:eastAsia="en-AU"/>
        </w:rPr>
      </w:pPr>
      <w:r>
        <w:rPr>
          <w:lang w:eastAsia="en-AU"/>
        </w:rPr>
        <w:t>962 (70</w:t>
      </w:r>
      <w:r w:rsidR="00A86E16">
        <w:rPr>
          <w:lang w:eastAsia="en-AU"/>
        </w:rPr>
        <w:t>%) businesses were compliant with all requirements;</w:t>
      </w:r>
    </w:p>
    <w:p w14:paraId="181E1C9B" w14:textId="77777777" w:rsidR="00C55417" w:rsidRPr="009959D0" w:rsidRDefault="00D510C0" w:rsidP="00A86E16">
      <w:pPr>
        <w:pStyle w:val="ListParagraph"/>
        <w:numPr>
          <w:ilvl w:val="0"/>
          <w:numId w:val="14"/>
        </w:numPr>
        <w:jc w:val="left"/>
        <w:rPr>
          <w:lang w:eastAsia="en-AU"/>
        </w:rPr>
      </w:pPr>
      <w:r>
        <w:rPr>
          <w:lang w:eastAsia="en-AU"/>
        </w:rPr>
        <w:t>988 (</w:t>
      </w:r>
      <w:r w:rsidRPr="009959D0">
        <w:rPr>
          <w:lang w:eastAsia="en-AU"/>
        </w:rPr>
        <w:t xml:space="preserve">72%) </w:t>
      </w:r>
      <w:r w:rsidR="003A125B" w:rsidRPr="009959D0">
        <w:rPr>
          <w:lang w:eastAsia="en-AU"/>
        </w:rPr>
        <w:t xml:space="preserve">businesses </w:t>
      </w:r>
      <w:r w:rsidRPr="009959D0">
        <w:rPr>
          <w:lang w:eastAsia="en-AU"/>
        </w:rPr>
        <w:t>were compliant with record-keeping and pay slip obligations;</w:t>
      </w:r>
    </w:p>
    <w:p w14:paraId="181E1C9C" w14:textId="77777777" w:rsidR="00C87B86" w:rsidRPr="009959D0" w:rsidRDefault="004B2D7B" w:rsidP="006834EC">
      <w:pPr>
        <w:pStyle w:val="ListParagraph"/>
        <w:numPr>
          <w:ilvl w:val="0"/>
          <w:numId w:val="14"/>
        </w:numPr>
        <w:jc w:val="left"/>
        <w:rPr>
          <w:lang w:eastAsia="en-AU"/>
        </w:rPr>
      </w:pPr>
      <w:r w:rsidRPr="009959D0">
        <w:rPr>
          <w:lang w:eastAsia="en-AU"/>
        </w:rPr>
        <w:t>$620,023</w:t>
      </w:r>
      <w:r w:rsidR="00C87B86" w:rsidRPr="009959D0">
        <w:rPr>
          <w:lang w:eastAsia="en-AU"/>
        </w:rPr>
        <w:t xml:space="preserve"> </w:t>
      </w:r>
      <w:r w:rsidR="00C55417" w:rsidRPr="009959D0">
        <w:rPr>
          <w:lang w:eastAsia="en-AU"/>
        </w:rPr>
        <w:t xml:space="preserve">was </w:t>
      </w:r>
      <w:r w:rsidR="00521222" w:rsidRPr="009959D0">
        <w:rPr>
          <w:lang w:eastAsia="en-AU"/>
        </w:rPr>
        <w:t>recovered</w:t>
      </w:r>
      <w:r w:rsidR="00C87B86" w:rsidRPr="009959D0">
        <w:rPr>
          <w:lang w:eastAsia="en-AU"/>
        </w:rPr>
        <w:t xml:space="preserve"> from 46 employers on behalf of</w:t>
      </w:r>
      <w:r w:rsidR="00521222" w:rsidRPr="009959D0">
        <w:rPr>
          <w:lang w:eastAsia="en-AU"/>
        </w:rPr>
        <w:t xml:space="preserve"> 336 employees</w:t>
      </w:r>
      <w:r w:rsidR="00A00070" w:rsidRPr="009959D0">
        <w:rPr>
          <w:lang w:eastAsia="en-AU"/>
        </w:rPr>
        <w:t>; and</w:t>
      </w:r>
    </w:p>
    <w:p w14:paraId="181E1C9D" w14:textId="77777777" w:rsidR="00521222" w:rsidRDefault="00E54458" w:rsidP="006834EC">
      <w:pPr>
        <w:pStyle w:val="ListParagraph"/>
        <w:numPr>
          <w:ilvl w:val="0"/>
          <w:numId w:val="14"/>
        </w:numPr>
        <w:jc w:val="left"/>
        <w:rPr>
          <w:lang w:eastAsia="en-AU"/>
        </w:rPr>
      </w:pPr>
      <w:r w:rsidRPr="009959D0">
        <w:rPr>
          <w:lang w:eastAsia="en-AU"/>
        </w:rPr>
        <w:t>2 formal</w:t>
      </w:r>
      <w:r w:rsidR="00554189" w:rsidRPr="009959D0">
        <w:rPr>
          <w:lang w:eastAsia="en-AU"/>
        </w:rPr>
        <w:t xml:space="preserve"> cautions</w:t>
      </w:r>
      <w:r w:rsidR="00C87B86">
        <w:rPr>
          <w:lang w:eastAsia="en-AU"/>
        </w:rPr>
        <w:t xml:space="preserve"> </w:t>
      </w:r>
      <w:r w:rsidR="00C55417">
        <w:rPr>
          <w:lang w:eastAsia="en-AU"/>
        </w:rPr>
        <w:t xml:space="preserve">were </w:t>
      </w:r>
      <w:r w:rsidR="00C87B86">
        <w:rPr>
          <w:lang w:eastAsia="en-AU"/>
        </w:rPr>
        <w:t>issued</w:t>
      </w:r>
      <w:r w:rsidR="00A00070">
        <w:rPr>
          <w:lang w:eastAsia="en-AU"/>
        </w:rPr>
        <w:t>.</w:t>
      </w:r>
    </w:p>
    <w:p w14:paraId="181E1C9E" w14:textId="77777777" w:rsidR="00C03AA8" w:rsidRDefault="00521222" w:rsidP="006834EC">
      <w:pPr>
        <w:pStyle w:val="Heading1"/>
      </w:pPr>
      <w:bookmarkStart w:id="8" w:name="_Toc453233202"/>
      <w:r>
        <w:t>Purpose of the Campaign</w:t>
      </w:r>
      <w:r w:rsidR="00A96EE5">
        <w:t>s</w:t>
      </w:r>
      <w:bookmarkEnd w:id="8"/>
    </w:p>
    <w:p w14:paraId="181E1C9F" w14:textId="77777777" w:rsidR="009959D0" w:rsidRDefault="009959D0" w:rsidP="006834EC">
      <w:pPr>
        <w:spacing w:after="0"/>
        <w:jc w:val="left"/>
        <w:rPr>
          <w:lang w:eastAsia="en-AU"/>
        </w:rPr>
      </w:pPr>
      <w:r w:rsidRPr="009959D0">
        <w:rPr>
          <w:lang w:eastAsia="en-AU"/>
        </w:rPr>
        <w:t xml:space="preserve">The </w:t>
      </w:r>
      <w:r w:rsidRPr="006C1F69">
        <w:rPr>
          <w:i/>
          <w:lang w:eastAsia="en-AU"/>
        </w:rPr>
        <w:t>Fair Work Act 2009</w:t>
      </w:r>
      <w:r w:rsidRPr="009959D0">
        <w:rPr>
          <w:lang w:eastAsia="en-AU"/>
        </w:rPr>
        <w:t xml:space="preserve"> (the Act) and the </w:t>
      </w:r>
      <w:r w:rsidRPr="006C1F69">
        <w:rPr>
          <w:i/>
          <w:lang w:eastAsia="en-AU"/>
        </w:rPr>
        <w:t>Fair Work Regulations 2009</w:t>
      </w:r>
      <w:r>
        <w:rPr>
          <w:lang w:eastAsia="en-AU"/>
        </w:rPr>
        <w:t xml:space="preserve"> (the Regulations) provide for a range of records that bu</w:t>
      </w:r>
      <w:r w:rsidR="000B046A">
        <w:rPr>
          <w:lang w:eastAsia="en-AU"/>
        </w:rPr>
        <w:t xml:space="preserve">sinesses are required to keep. </w:t>
      </w:r>
      <w:r>
        <w:rPr>
          <w:lang w:eastAsia="en-AU"/>
        </w:rPr>
        <w:t>If issues arise it is these records that can show that employees have receiv</w:t>
      </w:r>
      <w:r w:rsidR="000B046A">
        <w:rPr>
          <w:lang w:eastAsia="en-AU"/>
        </w:rPr>
        <w:t xml:space="preserve">ed their correct entitlements. </w:t>
      </w:r>
      <w:r>
        <w:rPr>
          <w:lang w:eastAsia="en-AU"/>
        </w:rPr>
        <w:t xml:space="preserve">The FWO places great importance on correct record keeping so that FWI’s can assess entitlements should a dispute arise.  </w:t>
      </w:r>
    </w:p>
    <w:p w14:paraId="181E1CA0" w14:textId="77777777" w:rsidR="009959D0" w:rsidRDefault="009959D0" w:rsidP="00722F6E">
      <w:pPr>
        <w:spacing w:before="240" w:after="0"/>
        <w:jc w:val="left"/>
        <w:rPr>
          <w:highlight w:val="yellow"/>
          <w:lang w:eastAsia="en-AU"/>
        </w:rPr>
      </w:pPr>
      <w:r>
        <w:rPr>
          <w:lang w:eastAsia="en-AU"/>
        </w:rPr>
        <w:t>The FWO encourages employees and employers to discuss issues that may arise at the workplace level as this generally gives the best cha</w:t>
      </w:r>
      <w:r w:rsidR="000B046A">
        <w:rPr>
          <w:lang w:eastAsia="en-AU"/>
        </w:rPr>
        <w:t xml:space="preserve">nce of a satisfactory outcome. </w:t>
      </w:r>
      <w:r>
        <w:rPr>
          <w:lang w:eastAsia="en-AU"/>
        </w:rPr>
        <w:t xml:space="preserve">The keeping of correct records </w:t>
      </w:r>
      <w:r w:rsidR="00842794">
        <w:rPr>
          <w:lang w:eastAsia="en-AU"/>
        </w:rPr>
        <w:t xml:space="preserve">also </w:t>
      </w:r>
      <w:r>
        <w:rPr>
          <w:lang w:eastAsia="en-AU"/>
        </w:rPr>
        <w:t>allows employees and employers to have those conversations and ensure that entitlements are being met in workplaces.</w:t>
      </w:r>
      <w:r w:rsidR="00722F6E">
        <w:rPr>
          <w:highlight w:val="yellow"/>
          <w:lang w:eastAsia="en-AU"/>
        </w:rPr>
        <w:t xml:space="preserve"> </w:t>
      </w:r>
    </w:p>
    <w:p w14:paraId="181E1CA1" w14:textId="77777777" w:rsidR="00722F6E" w:rsidRDefault="00722F6E" w:rsidP="006834EC">
      <w:pPr>
        <w:spacing w:after="0"/>
        <w:jc w:val="left"/>
        <w:rPr>
          <w:lang w:eastAsia="en-AU"/>
        </w:rPr>
      </w:pPr>
      <w:r>
        <w:rPr>
          <w:lang w:eastAsia="en-AU"/>
        </w:rPr>
        <w:br w:type="page"/>
      </w:r>
    </w:p>
    <w:p w14:paraId="181E1CA2" w14:textId="77777777" w:rsidR="00484011" w:rsidRDefault="006834EC" w:rsidP="006834EC">
      <w:pPr>
        <w:spacing w:after="0"/>
        <w:jc w:val="left"/>
        <w:rPr>
          <w:lang w:eastAsia="en-AU"/>
        </w:rPr>
      </w:pPr>
      <w:r>
        <w:rPr>
          <w:lang w:eastAsia="en-AU"/>
        </w:rPr>
        <w:lastRenderedPageBreak/>
        <w:t>The campaign</w:t>
      </w:r>
      <w:r w:rsidR="005E33B7">
        <w:rPr>
          <w:lang w:eastAsia="en-AU"/>
        </w:rPr>
        <w:t xml:space="preserve">s were </w:t>
      </w:r>
      <w:r w:rsidR="00484011">
        <w:rPr>
          <w:lang w:eastAsia="en-AU"/>
        </w:rPr>
        <w:t>designed to:</w:t>
      </w:r>
    </w:p>
    <w:p w14:paraId="181E1CA3" w14:textId="77777777" w:rsidR="006834EC" w:rsidRPr="00A51049" w:rsidRDefault="006834EC" w:rsidP="00A17607">
      <w:pPr>
        <w:pStyle w:val="Bullet"/>
        <w:numPr>
          <w:ilvl w:val="0"/>
          <w:numId w:val="29"/>
        </w:numPr>
      </w:pPr>
      <w:r w:rsidRPr="002A2A9A">
        <w:t xml:space="preserve">promote the role and services provided by </w:t>
      </w:r>
      <w:r w:rsidR="005260A1">
        <w:t xml:space="preserve">the </w:t>
      </w:r>
      <w:r w:rsidRPr="002A2A9A">
        <w:t>FWO to assist small businesses</w:t>
      </w:r>
      <w:r w:rsidR="005260A1">
        <w:t>;</w:t>
      </w:r>
    </w:p>
    <w:p w14:paraId="181E1CA4" w14:textId="77777777" w:rsidR="009A2F52" w:rsidRPr="009A2F52" w:rsidRDefault="00484011" w:rsidP="00A17607">
      <w:pPr>
        <w:pStyle w:val="Bullet"/>
        <w:numPr>
          <w:ilvl w:val="0"/>
          <w:numId w:val="29"/>
        </w:numPr>
        <w:rPr>
          <w:color w:val="FF0000"/>
        </w:rPr>
      </w:pPr>
      <w:r>
        <w:t xml:space="preserve">assess compliance with </w:t>
      </w:r>
      <w:r w:rsidRPr="00484011">
        <w:t xml:space="preserve">record-keeping and pay slip </w:t>
      </w:r>
      <w:r>
        <w:t>obligations</w:t>
      </w:r>
      <w:r w:rsidR="00554189">
        <w:t xml:space="preserve"> </w:t>
      </w:r>
      <w:r w:rsidR="006B361A">
        <w:t xml:space="preserve">under </w:t>
      </w:r>
      <w:r w:rsidR="00554189">
        <w:t xml:space="preserve">the </w:t>
      </w:r>
      <w:r w:rsidR="00554189" w:rsidRPr="00A51049">
        <w:t>Act</w:t>
      </w:r>
      <w:r w:rsidR="00554189">
        <w:rPr>
          <w:i/>
        </w:rPr>
        <w:t xml:space="preserve"> </w:t>
      </w:r>
      <w:r w:rsidR="00554189" w:rsidRPr="00554189">
        <w:t xml:space="preserve">and </w:t>
      </w:r>
      <w:r w:rsidR="005260A1">
        <w:t xml:space="preserve">the </w:t>
      </w:r>
      <w:r w:rsidR="006C1F69">
        <w:t>Regulations</w:t>
      </w:r>
      <w:r w:rsidR="006B361A">
        <w:rPr>
          <w:i/>
        </w:rPr>
        <w:t>;</w:t>
      </w:r>
    </w:p>
    <w:p w14:paraId="181E1CA5" w14:textId="77777777" w:rsidR="00484011" w:rsidRPr="006834EC" w:rsidRDefault="00712873" w:rsidP="00A17607">
      <w:pPr>
        <w:pStyle w:val="Bullet"/>
        <w:numPr>
          <w:ilvl w:val="0"/>
          <w:numId w:val="29"/>
        </w:numPr>
        <w:rPr>
          <w:color w:val="FF0000"/>
        </w:rPr>
      </w:pPr>
      <w:r>
        <w:t>i</w:t>
      </w:r>
      <w:r w:rsidR="00554189" w:rsidRPr="00484011">
        <w:t xml:space="preserve">dentify underlying factors </w:t>
      </w:r>
      <w:r w:rsidR="005260A1">
        <w:t>of</w:t>
      </w:r>
      <w:r w:rsidR="00554189" w:rsidRPr="00484011">
        <w:t xml:space="preserve"> </w:t>
      </w:r>
      <w:r>
        <w:t xml:space="preserve">non-compliance </w:t>
      </w:r>
      <w:r w:rsidR="00554189">
        <w:t xml:space="preserve">to inform the design of future resources to assist </w:t>
      </w:r>
      <w:r w:rsidR="005260A1">
        <w:t>business</w:t>
      </w:r>
      <w:r w:rsidR="003A125B">
        <w:t>es</w:t>
      </w:r>
      <w:r w:rsidR="00136608">
        <w:t>;</w:t>
      </w:r>
      <w:r w:rsidR="006834EC">
        <w:t xml:space="preserve"> and</w:t>
      </w:r>
    </w:p>
    <w:p w14:paraId="181E1CA6" w14:textId="77777777" w:rsidR="002A2A9A" w:rsidRDefault="00484011" w:rsidP="00A17607">
      <w:pPr>
        <w:pStyle w:val="Bullet"/>
        <w:numPr>
          <w:ilvl w:val="0"/>
          <w:numId w:val="29"/>
        </w:numPr>
      </w:pPr>
      <w:r w:rsidRPr="00484011">
        <w:t xml:space="preserve">address pay rate errors encountered by </w:t>
      </w:r>
      <w:r w:rsidR="006834EC">
        <w:t>FWI’s</w:t>
      </w:r>
      <w:r w:rsidRPr="00484011">
        <w:t xml:space="preserve"> </w:t>
      </w:r>
      <w:r w:rsidR="003A6AD2">
        <w:t xml:space="preserve">in the course of assessing </w:t>
      </w:r>
      <w:r w:rsidR="009A2F52">
        <w:t>record-keeping</w:t>
      </w:r>
      <w:r w:rsidRPr="00484011">
        <w:t xml:space="preserve"> and pay slip</w:t>
      </w:r>
      <w:r w:rsidR="009A2F52">
        <w:t xml:space="preserve"> practices</w:t>
      </w:r>
      <w:r w:rsidR="006834EC">
        <w:t>.</w:t>
      </w:r>
    </w:p>
    <w:p w14:paraId="181E1CA7" w14:textId="77777777" w:rsidR="000E23F9" w:rsidRPr="003A6AD2" w:rsidRDefault="00190245" w:rsidP="006834EC">
      <w:pPr>
        <w:pStyle w:val="Heading1"/>
      </w:pPr>
      <w:bookmarkStart w:id="9" w:name="_Toc453233203"/>
      <w:r>
        <w:t>Overall</w:t>
      </w:r>
      <w:r w:rsidR="00C87B86">
        <w:t xml:space="preserve"> Findings</w:t>
      </w:r>
      <w:r w:rsidR="000B046A">
        <w:t xml:space="preserve"> – Combined C</w:t>
      </w:r>
      <w:r w:rsidR="005F74D9">
        <w:t>ampaigns</w:t>
      </w:r>
      <w:bookmarkEnd w:id="9"/>
    </w:p>
    <w:p w14:paraId="181E1CA8" w14:textId="77777777" w:rsidR="001568CA" w:rsidRPr="00253BA6" w:rsidRDefault="00712873" w:rsidP="006834EC">
      <w:pPr>
        <w:spacing w:after="0"/>
        <w:ind w:left="360" w:hanging="360"/>
        <w:jc w:val="left"/>
      </w:pPr>
      <w:r>
        <w:rPr>
          <w:lang w:eastAsia="en-AU"/>
        </w:rPr>
        <w:t xml:space="preserve">Of </w:t>
      </w:r>
      <w:r w:rsidRPr="00712873">
        <w:rPr>
          <w:lang w:eastAsia="en-AU"/>
        </w:rPr>
        <w:t xml:space="preserve">the </w:t>
      </w:r>
      <w:r w:rsidR="001568CA" w:rsidRPr="00043D62">
        <w:t>1</w:t>
      </w:r>
      <w:r w:rsidR="002805CE" w:rsidRPr="00043D62">
        <w:t>,</w:t>
      </w:r>
      <w:r w:rsidR="001568CA" w:rsidRPr="00043D62">
        <w:t>376</w:t>
      </w:r>
      <w:r w:rsidR="00A51049">
        <w:t xml:space="preserve"> businesses</w:t>
      </w:r>
      <w:r w:rsidR="001568CA" w:rsidRPr="00253BA6">
        <w:t xml:space="preserve"> audit</w:t>
      </w:r>
      <w:r w:rsidR="00A51049">
        <w:t>ed during</w:t>
      </w:r>
      <w:r>
        <w:t xml:space="preserve"> the campaign</w:t>
      </w:r>
      <w:r w:rsidR="00190245">
        <w:t>s</w:t>
      </w:r>
      <w:r w:rsidR="006834EC">
        <w:t>:</w:t>
      </w:r>
    </w:p>
    <w:p w14:paraId="181E1CA9" w14:textId="77777777" w:rsidR="001568CA" w:rsidRPr="00712873" w:rsidRDefault="001568CA" w:rsidP="00A17607">
      <w:pPr>
        <w:pStyle w:val="Bullet"/>
        <w:numPr>
          <w:ilvl w:val="0"/>
          <w:numId w:val="31"/>
        </w:numPr>
      </w:pPr>
      <w:r w:rsidRPr="00043D62">
        <w:t>962 (70%)</w:t>
      </w:r>
      <w:r w:rsidRPr="00712873">
        <w:t xml:space="preserve"> </w:t>
      </w:r>
      <w:r w:rsidR="00C87B86" w:rsidRPr="00712873">
        <w:t xml:space="preserve">businesses </w:t>
      </w:r>
      <w:r w:rsidRPr="00712873">
        <w:t>were compliant</w:t>
      </w:r>
      <w:r w:rsidR="00554189" w:rsidRPr="00712873">
        <w:t xml:space="preserve"> with all requirements</w:t>
      </w:r>
      <w:r w:rsidR="002805CE" w:rsidRPr="00712873">
        <w:t>;</w:t>
      </w:r>
    </w:p>
    <w:p w14:paraId="181E1CAA" w14:textId="77777777" w:rsidR="00C87B86" w:rsidRDefault="001568CA" w:rsidP="00A17607">
      <w:pPr>
        <w:pStyle w:val="Bullet"/>
        <w:numPr>
          <w:ilvl w:val="0"/>
          <w:numId w:val="31"/>
        </w:numPr>
      </w:pPr>
      <w:r w:rsidRPr="00043D62">
        <w:t>414 (30%)</w:t>
      </w:r>
      <w:r w:rsidRPr="00253BA6">
        <w:t xml:space="preserve"> </w:t>
      </w:r>
      <w:r w:rsidR="00C87B86">
        <w:t xml:space="preserve">businesses </w:t>
      </w:r>
      <w:r w:rsidRPr="00253BA6">
        <w:t xml:space="preserve">had </w:t>
      </w:r>
      <w:r w:rsidR="00C87B86">
        <w:t xml:space="preserve">at least one </w:t>
      </w:r>
      <w:r w:rsidR="000B046A">
        <w:t>error:</w:t>
      </w:r>
    </w:p>
    <w:p w14:paraId="181E1CAB" w14:textId="77777777" w:rsidR="001568CA" w:rsidRPr="00043D62" w:rsidRDefault="001568CA" w:rsidP="00A17607">
      <w:pPr>
        <w:pStyle w:val="Bullet"/>
        <w:numPr>
          <w:ilvl w:val="1"/>
          <w:numId w:val="31"/>
        </w:numPr>
      </w:pPr>
      <w:r w:rsidRPr="00043D62">
        <w:t xml:space="preserve">363 (26%) </w:t>
      </w:r>
      <w:r w:rsidR="007528B9">
        <w:t>had errors relating to records</w:t>
      </w:r>
      <w:r w:rsidR="00712873" w:rsidRPr="00107976">
        <w:t xml:space="preserve"> and pay</w:t>
      </w:r>
      <w:r w:rsidR="00EA2426">
        <w:t xml:space="preserve"> </w:t>
      </w:r>
      <w:r w:rsidR="00712873" w:rsidRPr="00107976">
        <w:t>slips</w:t>
      </w:r>
      <w:r w:rsidR="00712873">
        <w:t>;</w:t>
      </w:r>
    </w:p>
    <w:p w14:paraId="181E1CAC" w14:textId="77777777" w:rsidR="00C87B86" w:rsidRPr="00043D62" w:rsidRDefault="00245FB7" w:rsidP="00A17607">
      <w:pPr>
        <w:pStyle w:val="Bullet"/>
        <w:numPr>
          <w:ilvl w:val="1"/>
          <w:numId w:val="31"/>
        </w:numPr>
      </w:pPr>
      <w:r>
        <w:t>26 (2</w:t>
      </w:r>
      <w:r w:rsidR="00C87B86" w:rsidRPr="00043D62">
        <w:t xml:space="preserve">%) </w:t>
      </w:r>
      <w:r w:rsidR="00712873" w:rsidRPr="00107976">
        <w:t>had errors relating to pay rates</w:t>
      </w:r>
      <w:r w:rsidR="00712873">
        <w:t>; and</w:t>
      </w:r>
    </w:p>
    <w:p w14:paraId="181E1CAD" w14:textId="77777777" w:rsidR="006834EC" w:rsidRDefault="00245FB7" w:rsidP="00A17607">
      <w:pPr>
        <w:pStyle w:val="Bullet"/>
        <w:numPr>
          <w:ilvl w:val="1"/>
          <w:numId w:val="31"/>
        </w:numPr>
      </w:pPr>
      <w:r>
        <w:t>25 (2</w:t>
      </w:r>
      <w:r w:rsidR="001568CA" w:rsidRPr="00043D62">
        <w:t xml:space="preserve">%) had both </w:t>
      </w:r>
      <w:r w:rsidR="007528B9">
        <w:t>pay rate and records</w:t>
      </w:r>
      <w:r w:rsidR="00EA2426">
        <w:t>/pay slip</w:t>
      </w:r>
      <w:r w:rsidR="001568CA" w:rsidRPr="00043D62">
        <w:t xml:space="preserve"> errors</w:t>
      </w:r>
      <w:r w:rsidR="00712873">
        <w:t>.</w:t>
      </w:r>
    </w:p>
    <w:p w14:paraId="181E1CAE" w14:textId="77777777" w:rsidR="001565E5" w:rsidRPr="00B0570C" w:rsidRDefault="001565E5" w:rsidP="00B0570C">
      <w:pPr>
        <w:pStyle w:val="Heading3"/>
      </w:pPr>
      <w:r w:rsidRPr="00B0570C">
        <w:t>Figure 1: Overall compliance rates (combined campaigns)</w:t>
      </w:r>
      <w:r w:rsidR="006C33C8" w:rsidRPr="00B0570C">
        <w:t xml:space="preserve"> </w:t>
      </w:r>
    </w:p>
    <w:p w14:paraId="181E1CAF" w14:textId="77777777" w:rsidR="006C33C8" w:rsidRDefault="006C1F69" w:rsidP="006C1F69">
      <w:pPr>
        <w:pStyle w:val="Bullet"/>
      </w:pPr>
      <w:r>
        <w:rPr>
          <w:noProof/>
          <w:lang w:eastAsia="en-AU"/>
        </w:rPr>
        <w:drawing>
          <wp:inline distT="0" distB="0" distL="0" distR="0" wp14:anchorId="181E1D09" wp14:editId="181E1D0A">
            <wp:extent cx="5255858" cy="3212327"/>
            <wp:effectExtent l="0" t="0" r="2540" b="7620"/>
            <wp:docPr id="3" name="Picture 3" descr="This is a pie chart outlining the overall compliance rate for all three campaign combined." title="Overall Compliance Pi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54539" cy="3211521"/>
                    </a:xfrm>
                    <a:prstGeom prst="rect">
                      <a:avLst/>
                    </a:prstGeom>
                    <a:noFill/>
                  </pic:spPr>
                </pic:pic>
              </a:graphicData>
            </a:graphic>
          </wp:inline>
        </w:drawing>
      </w:r>
    </w:p>
    <w:p w14:paraId="181E1CB0" w14:textId="77777777" w:rsidR="006834EC" w:rsidRDefault="001565E5" w:rsidP="000B046A">
      <w:pPr>
        <w:spacing w:before="240" w:after="0"/>
        <w:jc w:val="left"/>
        <w:rPr>
          <w:lang w:eastAsia="en-AU"/>
        </w:rPr>
      </w:pPr>
      <w:r>
        <w:rPr>
          <w:lang w:eastAsia="en-AU"/>
        </w:rPr>
        <w:t>T</w:t>
      </w:r>
      <w:r w:rsidR="006834EC">
        <w:rPr>
          <w:lang w:eastAsia="en-AU"/>
        </w:rPr>
        <w:t xml:space="preserve">his </w:t>
      </w:r>
      <w:r w:rsidR="006834EC" w:rsidRPr="005E33B7">
        <w:rPr>
          <w:lang w:eastAsia="en-AU"/>
        </w:rPr>
        <w:t>means</w:t>
      </w:r>
      <w:r w:rsidR="006834EC">
        <w:rPr>
          <w:lang w:eastAsia="en-AU"/>
        </w:rPr>
        <w:t xml:space="preserve"> that:</w:t>
      </w:r>
    </w:p>
    <w:p w14:paraId="181E1CB1" w14:textId="77777777" w:rsidR="00190245" w:rsidRDefault="00190245" w:rsidP="00A17607">
      <w:pPr>
        <w:pStyle w:val="Bullet"/>
        <w:numPr>
          <w:ilvl w:val="0"/>
          <w:numId w:val="32"/>
        </w:numPr>
        <w:rPr>
          <w:lang w:eastAsia="en-AU"/>
        </w:rPr>
      </w:pPr>
      <w:r>
        <w:rPr>
          <w:lang w:eastAsia="en-AU"/>
        </w:rPr>
        <w:t>484 individual errors we</w:t>
      </w:r>
      <w:r w:rsidR="00085832">
        <w:rPr>
          <w:lang w:eastAsia="en-AU"/>
        </w:rPr>
        <w:t>re recorded from 414 businesses:</w:t>
      </w:r>
    </w:p>
    <w:p w14:paraId="181E1CB2" w14:textId="77777777" w:rsidR="00085832" w:rsidRDefault="003A52FD" w:rsidP="00A17607">
      <w:pPr>
        <w:pStyle w:val="Bullet"/>
        <w:numPr>
          <w:ilvl w:val="1"/>
          <w:numId w:val="32"/>
        </w:numPr>
        <w:rPr>
          <w:lang w:eastAsia="en-AU"/>
        </w:rPr>
      </w:pPr>
      <w:r>
        <w:rPr>
          <w:lang w:eastAsia="en-AU"/>
        </w:rPr>
        <w:t>69%</w:t>
      </w:r>
      <w:r w:rsidR="00F13475">
        <w:rPr>
          <w:lang w:eastAsia="en-AU"/>
        </w:rPr>
        <w:t xml:space="preserve"> </w:t>
      </w:r>
      <w:r w:rsidR="00190245">
        <w:rPr>
          <w:lang w:eastAsia="en-AU"/>
        </w:rPr>
        <w:t>of errors re</w:t>
      </w:r>
      <w:r w:rsidR="00085832">
        <w:rPr>
          <w:lang w:eastAsia="en-AU"/>
        </w:rPr>
        <w:t>lated to pay slips;</w:t>
      </w:r>
    </w:p>
    <w:p w14:paraId="181E1CB3" w14:textId="77777777" w:rsidR="00085832" w:rsidRDefault="00085832" w:rsidP="00A17607">
      <w:pPr>
        <w:pStyle w:val="Bullet"/>
        <w:numPr>
          <w:ilvl w:val="1"/>
          <w:numId w:val="32"/>
        </w:numPr>
        <w:rPr>
          <w:lang w:eastAsia="en-AU"/>
        </w:rPr>
      </w:pPr>
      <w:r>
        <w:rPr>
          <w:lang w:eastAsia="en-AU"/>
        </w:rPr>
        <w:lastRenderedPageBreak/>
        <w:t xml:space="preserve">15% of errors related to record-keeping; </w:t>
      </w:r>
      <w:r w:rsidR="007C677C">
        <w:rPr>
          <w:lang w:eastAsia="en-AU"/>
        </w:rPr>
        <w:t xml:space="preserve">and </w:t>
      </w:r>
    </w:p>
    <w:p w14:paraId="181E1CB4" w14:textId="77777777" w:rsidR="00190245" w:rsidRDefault="00085832" w:rsidP="00A17607">
      <w:pPr>
        <w:pStyle w:val="Bullet"/>
        <w:numPr>
          <w:ilvl w:val="1"/>
          <w:numId w:val="32"/>
        </w:numPr>
        <w:rPr>
          <w:lang w:eastAsia="en-AU"/>
        </w:rPr>
      </w:pPr>
      <w:r>
        <w:rPr>
          <w:lang w:eastAsia="en-AU"/>
        </w:rPr>
        <w:t>9% of errors related to underpayment of hourly rates.</w:t>
      </w:r>
    </w:p>
    <w:p w14:paraId="181E1CB5" w14:textId="77777777" w:rsidR="006834EC" w:rsidRDefault="006834EC" w:rsidP="00A17607">
      <w:pPr>
        <w:pStyle w:val="Bullet"/>
        <w:numPr>
          <w:ilvl w:val="0"/>
          <w:numId w:val="32"/>
        </w:numPr>
        <w:rPr>
          <w:lang w:eastAsia="en-AU"/>
        </w:rPr>
      </w:pPr>
      <w:r w:rsidRPr="000914E3">
        <w:rPr>
          <w:lang w:eastAsia="en-AU"/>
        </w:rPr>
        <w:t>$620,023 was</w:t>
      </w:r>
      <w:r>
        <w:rPr>
          <w:lang w:eastAsia="en-AU"/>
        </w:rPr>
        <w:t xml:space="preserve"> recovered for 336 employees from 46 businesses;</w:t>
      </w:r>
      <w:r w:rsidR="00375607">
        <w:rPr>
          <w:lang w:eastAsia="en-AU"/>
        </w:rPr>
        <w:t xml:space="preserve"> and</w:t>
      </w:r>
    </w:p>
    <w:p w14:paraId="181E1CB6" w14:textId="77777777" w:rsidR="00F13060" w:rsidRDefault="006834EC" w:rsidP="00A17607">
      <w:pPr>
        <w:pStyle w:val="Bullet"/>
        <w:numPr>
          <w:ilvl w:val="0"/>
          <w:numId w:val="32"/>
        </w:numPr>
      </w:pPr>
      <w:r>
        <w:rPr>
          <w:lang w:eastAsia="en-AU"/>
        </w:rPr>
        <w:t xml:space="preserve">2 formal cautions were issued. </w:t>
      </w:r>
    </w:p>
    <w:p w14:paraId="181E1CB7" w14:textId="77777777" w:rsidR="00C87B86" w:rsidRDefault="00C87B86" w:rsidP="006834EC">
      <w:pPr>
        <w:pStyle w:val="Heading1"/>
      </w:pPr>
      <w:bookmarkStart w:id="10" w:name="_Toc422387891"/>
      <w:bookmarkStart w:id="11" w:name="_Toc453233204"/>
      <w:r>
        <w:t>Individual Campaign</w:t>
      </w:r>
      <w:r w:rsidRPr="00205DBE">
        <w:t xml:space="preserve"> Findings</w:t>
      </w:r>
      <w:bookmarkEnd w:id="10"/>
      <w:bookmarkEnd w:id="11"/>
    </w:p>
    <w:p w14:paraId="181E1CB8" w14:textId="77777777" w:rsidR="000E23F9" w:rsidRPr="00C87B86" w:rsidRDefault="00AF4F86" w:rsidP="006834EC">
      <w:pPr>
        <w:pStyle w:val="Heading2"/>
      </w:pPr>
      <w:bookmarkStart w:id="12" w:name="_Toc453233205"/>
      <w:r>
        <w:t xml:space="preserve">Eastern </w:t>
      </w:r>
      <w:r w:rsidRPr="005F74D9">
        <w:t>States</w:t>
      </w:r>
      <w:r w:rsidR="000E23F9" w:rsidRPr="00C87B86">
        <w:t xml:space="preserve"> Campaign</w:t>
      </w:r>
      <w:bookmarkEnd w:id="12"/>
      <w:r w:rsidR="000E23F9" w:rsidRPr="00C87B86">
        <w:t xml:space="preserve"> </w:t>
      </w:r>
    </w:p>
    <w:p w14:paraId="181E1CB9" w14:textId="77777777" w:rsidR="000E23F9" w:rsidRDefault="000E23F9" w:rsidP="006C1F69">
      <w:pPr>
        <w:spacing w:after="0"/>
        <w:jc w:val="left"/>
      </w:pPr>
      <w:r>
        <w:t xml:space="preserve">The </w:t>
      </w:r>
      <w:r w:rsidR="00E54458">
        <w:t>E</w:t>
      </w:r>
      <w:r w:rsidR="00A85F9C">
        <w:t xml:space="preserve">astern States </w:t>
      </w:r>
      <w:r w:rsidR="00B64CA2">
        <w:t>C</w:t>
      </w:r>
      <w:r>
        <w:t>ampaign</w:t>
      </w:r>
      <w:r w:rsidR="00C35DCF">
        <w:t xml:space="preserve"> </w:t>
      </w:r>
      <w:r>
        <w:t>commenced in May 2014</w:t>
      </w:r>
      <w:r w:rsidR="00917B83">
        <w:t xml:space="preserve">.  </w:t>
      </w:r>
      <w:r w:rsidR="00C27BAE">
        <w:t xml:space="preserve">FWI’s </w:t>
      </w:r>
      <w:r w:rsidR="002805CE">
        <w:t>conduct</w:t>
      </w:r>
      <w:r w:rsidR="00712873">
        <w:t>ed</w:t>
      </w:r>
      <w:r w:rsidR="002805CE">
        <w:t xml:space="preserve"> site </w:t>
      </w:r>
      <w:r w:rsidR="00712873">
        <w:t>visits</w:t>
      </w:r>
      <w:r w:rsidR="006834EC">
        <w:t xml:space="preserve"> with</w:t>
      </w:r>
      <w:r w:rsidR="002805CE">
        <w:t xml:space="preserve"> </w:t>
      </w:r>
      <w:r>
        <w:t>busine</w:t>
      </w:r>
      <w:r w:rsidR="0028031C">
        <w:t>sses in the following locations:</w:t>
      </w:r>
    </w:p>
    <w:p w14:paraId="181E1CBA" w14:textId="77777777" w:rsidR="00A85F9C" w:rsidRDefault="00A85F9C" w:rsidP="003A0848">
      <w:pPr>
        <w:pStyle w:val="ListParagraph"/>
        <w:numPr>
          <w:ilvl w:val="0"/>
          <w:numId w:val="33"/>
        </w:numPr>
        <w:jc w:val="left"/>
      </w:pPr>
      <w:r>
        <w:t>Tasmania – Devonport, Ulverstone, Burnie and Wynyard;</w:t>
      </w:r>
    </w:p>
    <w:p w14:paraId="181E1CBB" w14:textId="77777777" w:rsidR="00A85F9C" w:rsidRDefault="00A85F9C" w:rsidP="003A0848">
      <w:pPr>
        <w:pStyle w:val="ListParagraph"/>
        <w:numPr>
          <w:ilvl w:val="0"/>
          <w:numId w:val="33"/>
        </w:numPr>
        <w:jc w:val="left"/>
      </w:pPr>
      <w:r>
        <w:t>Victoria – Warrnambool, Portland and Port Fairy;</w:t>
      </w:r>
    </w:p>
    <w:p w14:paraId="181E1CBC" w14:textId="77777777" w:rsidR="00A85F9C" w:rsidRDefault="00A85F9C" w:rsidP="003A0848">
      <w:pPr>
        <w:pStyle w:val="ListParagraph"/>
        <w:numPr>
          <w:ilvl w:val="0"/>
          <w:numId w:val="33"/>
        </w:numPr>
        <w:jc w:val="left"/>
      </w:pPr>
      <w:r>
        <w:t>New South Wales – Bathurst, Lithgow, Wentworth Falls, Katoomba and Blackheath;</w:t>
      </w:r>
    </w:p>
    <w:p w14:paraId="181E1CBD" w14:textId="77777777" w:rsidR="00A85F9C" w:rsidRDefault="008E61E1" w:rsidP="003A0848">
      <w:pPr>
        <w:pStyle w:val="ListParagraph"/>
        <w:numPr>
          <w:ilvl w:val="0"/>
          <w:numId w:val="33"/>
        </w:numPr>
        <w:jc w:val="left"/>
      </w:pPr>
      <w:r>
        <w:t>Australian Capital Territory – Manuka, Fyshwick, Tuggeranong and Kingston; and</w:t>
      </w:r>
    </w:p>
    <w:p w14:paraId="181E1CBE" w14:textId="77777777" w:rsidR="008E61E1" w:rsidRDefault="008E61E1" w:rsidP="003A0848">
      <w:pPr>
        <w:pStyle w:val="ListParagraph"/>
        <w:numPr>
          <w:ilvl w:val="0"/>
          <w:numId w:val="33"/>
        </w:numPr>
        <w:jc w:val="left"/>
      </w:pPr>
      <w:r>
        <w:t>Queensland – Maroochydore, Noosa, Maryborough and Hervey Bay.</w:t>
      </w:r>
    </w:p>
    <w:p w14:paraId="181E1CBF" w14:textId="77777777" w:rsidR="000E23F9" w:rsidRDefault="00712873" w:rsidP="00A17607">
      <w:pPr>
        <w:pStyle w:val="Bullet"/>
        <w:rPr>
          <w:lang w:eastAsia="en-AU"/>
        </w:rPr>
      </w:pPr>
      <w:r>
        <w:rPr>
          <w:lang w:eastAsia="en-AU"/>
        </w:rPr>
        <w:t xml:space="preserve">Of the </w:t>
      </w:r>
      <w:r w:rsidR="000E23F9" w:rsidRPr="00043D62">
        <w:rPr>
          <w:lang w:eastAsia="en-AU"/>
        </w:rPr>
        <w:t>468</w:t>
      </w:r>
      <w:r w:rsidR="000E23F9" w:rsidRPr="00712873">
        <w:rPr>
          <w:lang w:eastAsia="en-AU"/>
        </w:rPr>
        <w:t xml:space="preserve"> b</w:t>
      </w:r>
      <w:r w:rsidR="000E23F9">
        <w:rPr>
          <w:lang w:eastAsia="en-AU"/>
        </w:rPr>
        <w:t>usinesses audited</w:t>
      </w:r>
      <w:r w:rsidR="00E60066">
        <w:rPr>
          <w:lang w:eastAsia="en-AU"/>
        </w:rPr>
        <w:t>:</w:t>
      </w:r>
    </w:p>
    <w:p w14:paraId="181E1CC0" w14:textId="77777777" w:rsidR="0028031C" w:rsidRPr="00712873" w:rsidRDefault="000E23F9" w:rsidP="006834EC">
      <w:pPr>
        <w:pStyle w:val="ListParagraph"/>
        <w:numPr>
          <w:ilvl w:val="0"/>
          <w:numId w:val="20"/>
        </w:numPr>
        <w:spacing w:after="0"/>
        <w:jc w:val="left"/>
        <w:rPr>
          <w:lang w:eastAsia="en-AU"/>
        </w:rPr>
      </w:pPr>
      <w:r w:rsidRPr="00043D62">
        <w:rPr>
          <w:lang w:eastAsia="en-AU"/>
        </w:rPr>
        <w:t>349</w:t>
      </w:r>
      <w:r w:rsidRPr="00712873">
        <w:rPr>
          <w:lang w:eastAsia="en-AU"/>
        </w:rPr>
        <w:t xml:space="preserve"> (75%) were compliant</w:t>
      </w:r>
      <w:r w:rsidR="0028031C" w:rsidRPr="00712873">
        <w:rPr>
          <w:lang w:eastAsia="en-AU"/>
        </w:rPr>
        <w:t xml:space="preserve"> with all </w:t>
      </w:r>
      <w:r w:rsidR="00712873">
        <w:rPr>
          <w:lang w:eastAsia="en-AU"/>
        </w:rPr>
        <w:t>requirements</w:t>
      </w:r>
      <w:r w:rsidR="00C27BAE" w:rsidRPr="00712873">
        <w:rPr>
          <w:lang w:eastAsia="en-AU"/>
        </w:rPr>
        <w:t>;</w:t>
      </w:r>
    </w:p>
    <w:p w14:paraId="181E1CC1" w14:textId="77777777" w:rsidR="000E23F9" w:rsidRDefault="000E23F9" w:rsidP="006834EC">
      <w:pPr>
        <w:pStyle w:val="ListParagraph"/>
        <w:numPr>
          <w:ilvl w:val="0"/>
          <w:numId w:val="20"/>
        </w:numPr>
        <w:spacing w:after="0"/>
        <w:jc w:val="left"/>
        <w:rPr>
          <w:lang w:eastAsia="en-AU"/>
        </w:rPr>
      </w:pPr>
      <w:r w:rsidRPr="00043D62">
        <w:rPr>
          <w:lang w:eastAsia="en-AU"/>
        </w:rPr>
        <w:t>119</w:t>
      </w:r>
      <w:r w:rsidRPr="00C35DCF">
        <w:rPr>
          <w:lang w:eastAsia="en-AU"/>
        </w:rPr>
        <w:t xml:space="preserve"> </w:t>
      </w:r>
      <w:r>
        <w:rPr>
          <w:lang w:eastAsia="en-AU"/>
        </w:rPr>
        <w:t>(25%)</w:t>
      </w:r>
      <w:r w:rsidR="006F446F">
        <w:rPr>
          <w:lang w:eastAsia="en-AU"/>
        </w:rPr>
        <w:t xml:space="preserve"> </w:t>
      </w:r>
      <w:r>
        <w:rPr>
          <w:lang w:eastAsia="en-AU"/>
        </w:rPr>
        <w:t xml:space="preserve">had </w:t>
      </w:r>
      <w:r w:rsidR="00C87B86">
        <w:rPr>
          <w:lang w:eastAsia="en-AU"/>
        </w:rPr>
        <w:t xml:space="preserve">at least one </w:t>
      </w:r>
      <w:r w:rsidR="003A0848">
        <w:rPr>
          <w:lang w:eastAsia="en-AU"/>
        </w:rPr>
        <w:t>error:</w:t>
      </w:r>
    </w:p>
    <w:p w14:paraId="181E1CC2" w14:textId="77777777" w:rsidR="00712873" w:rsidRDefault="001771B0" w:rsidP="00ED6E76">
      <w:pPr>
        <w:pStyle w:val="ListParagraph"/>
        <w:numPr>
          <w:ilvl w:val="1"/>
          <w:numId w:val="20"/>
        </w:numPr>
        <w:spacing w:after="0"/>
        <w:jc w:val="left"/>
        <w:rPr>
          <w:lang w:eastAsia="en-AU"/>
        </w:rPr>
      </w:pPr>
      <w:r>
        <w:rPr>
          <w:lang w:eastAsia="en-AU"/>
        </w:rPr>
        <w:t>110 (23</w:t>
      </w:r>
      <w:r w:rsidR="000E23F9">
        <w:rPr>
          <w:lang w:eastAsia="en-AU"/>
        </w:rPr>
        <w:t xml:space="preserve">%) </w:t>
      </w:r>
      <w:r w:rsidR="00712873" w:rsidRPr="00107976">
        <w:rPr>
          <w:lang w:eastAsia="en-AU"/>
        </w:rPr>
        <w:t>had errors relating to record</w:t>
      </w:r>
      <w:r w:rsidR="00E60066">
        <w:rPr>
          <w:lang w:eastAsia="en-AU"/>
        </w:rPr>
        <w:t xml:space="preserve">-keeping </w:t>
      </w:r>
      <w:r w:rsidR="00712873" w:rsidRPr="00107976">
        <w:rPr>
          <w:lang w:eastAsia="en-AU"/>
        </w:rPr>
        <w:t>and pay</w:t>
      </w:r>
      <w:r w:rsidR="00E60066">
        <w:rPr>
          <w:lang w:eastAsia="en-AU"/>
        </w:rPr>
        <w:t xml:space="preserve"> </w:t>
      </w:r>
      <w:r w:rsidR="00712873" w:rsidRPr="00107976">
        <w:rPr>
          <w:lang w:eastAsia="en-AU"/>
        </w:rPr>
        <w:t>slips</w:t>
      </w:r>
      <w:r w:rsidR="00712873">
        <w:rPr>
          <w:lang w:eastAsia="en-AU"/>
        </w:rPr>
        <w:t>;</w:t>
      </w:r>
    </w:p>
    <w:p w14:paraId="181E1CC3" w14:textId="77777777" w:rsidR="00C87B86" w:rsidRDefault="00C87B86" w:rsidP="00ED6E76">
      <w:pPr>
        <w:pStyle w:val="ListParagraph"/>
        <w:numPr>
          <w:ilvl w:val="1"/>
          <w:numId w:val="20"/>
        </w:numPr>
        <w:spacing w:after="0"/>
        <w:jc w:val="left"/>
        <w:rPr>
          <w:lang w:eastAsia="en-AU"/>
        </w:rPr>
      </w:pPr>
      <w:r>
        <w:rPr>
          <w:lang w:eastAsia="en-AU"/>
        </w:rPr>
        <w:t>4 (</w:t>
      </w:r>
      <w:r w:rsidR="00245FB7">
        <w:rPr>
          <w:lang w:eastAsia="en-AU"/>
        </w:rPr>
        <w:t>1</w:t>
      </w:r>
      <w:r>
        <w:rPr>
          <w:lang w:eastAsia="en-AU"/>
        </w:rPr>
        <w:t xml:space="preserve">%) </w:t>
      </w:r>
      <w:r w:rsidR="00712873" w:rsidRPr="00107976">
        <w:rPr>
          <w:lang w:eastAsia="en-AU"/>
        </w:rPr>
        <w:t>had errors relating to pay rates</w:t>
      </w:r>
      <w:r w:rsidR="00712873">
        <w:rPr>
          <w:lang w:eastAsia="en-AU"/>
        </w:rPr>
        <w:t>; and</w:t>
      </w:r>
    </w:p>
    <w:p w14:paraId="181E1CC4" w14:textId="77777777" w:rsidR="000E23F9" w:rsidRDefault="00245FB7" w:rsidP="00ED6E76">
      <w:pPr>
        <w:pStyle w:val="ListParagraph"/>
        <w:numPr>
          <w:ilvl w:val="1"/>
          <w:numId w:val="20"/>
        </w:numPr>
        <w:spacing w:after="0"/>
        <w:jc w:val="left"/>
        <w:rPr>
          <w:lang w:eastAsia="en-AU"/>
        </w:rPr>
      </w:pPr>
      <w:r>
        <w:rPr>
          <w:lang w:eastAsia="en-AU"/>
        </w:rPr>
        <w:t>5 (1</w:t>
      </w:r>
      <w:r w:rsidR="000E23F9">
        <w:rPr>
          <w:lang w:eastAsia="en-AU"/>
        </w:rPr>
        <w:t xml:space="preserve">%) had both </w:t>
      </w:r>
      <w:r w:rsidR="00C35DCF">
        <w:rPr>
          <w:lang w:eastAsia="en-AU"/>
        </w:rPr>
        <w:t>p</w:t>
      </w:r>
      <w:r w:rsidR="00C35DCF" w:rsidRPr="00C35DCF">
        <w:rPr>
          <w:lang w:eastAsia="en-AU"/>
        </w:rPr>
        <w:t xml:space="preserve">ay rate and </w:t>
      </w:r>
      <w:r w:rsidR="001E3C5B">
        <w:rPr>
          <w:lang w:eastAsia="en-AU"/>
        </w:rPr>
        <w:t>records</w:t>
      </w:r>
      <w:r w:rsidR="003A0848">
        <w:rPr>
          <w:lang w:eastAsia="en-AU"/>
        </w:rPr>
        <w:t xml:space="preserve">/pay slip </w:t>
      </w:r>
      <w:r w:rsidR="00C35DCF" w:rsidRPr="00C35DCF">
        <w:rPr>
          <w:lang w:eastAsia="en-AU"/>
        </w:rPr>
        <w:t>errors</w:t>
      </w:r>
      <w:r w:rsidR="00C35DCF">
        <w:rPr>
          <w:lang w:eastAsia="en-AU"/>
        </w:rPr>
        <w:t>.</w:t>
      </w:r>
    </w:p>
    <w:p w14:paraId="181E1CC5" w14:textId="77777777" w:rsidR="00910480" w:rsidRDefault="00A81D40" w:rsidP="00B0570C">
      <w:pPr>
        <w:pStyle w:val="Heading3"/>
      </w:pPr>
      <w:r w:rsidRPr="00A57563">
        <w:t>F</w:t>
      </w:r>
      <w:r w:rsidR="00527E84" w:rsidRPr="00A57563">
        <w:t>i</w:t>
      </w:r>
      <w:r w:rsidR="00E54458" w:rsidRPr="00A57563">
        <w:t>gure</w:t>
      </w:r>
      <w:r w:rsidR="00910480" w:rsidRPr="00A57563">
        <w:t xml:space="preserve"> 2: Individual </w:t>
      </w:r>
      <w:r w:rsidR="00C35DCF" w:rsidRPr="00A57563">
        <w:t>Errors</w:t>
      </w:r>
      <w:r w:rsidR="00C27BAE" w:rsidRPr="00A57563">
        <w:t xml:space="preserve"> – E</w:t>
      </w:r>
      <w:r w:rsidR="00E06DF3" w:rsidRPr="00A57563">
        <w:t xml:space="preserve">astern </w:t>
      </w:r>
      <w:r w:rsidR="00C27BAE" w:rsidRPr="00A57563">
        <w:t>S</w:t>
      </w:r>
      <w:r w:rsidR="00E06DF3" w:rsidRPr="00A57563">
        <w:t>tates</w:t>
      </w:r>
      <w:r w:rsidR="00C27BAE" w:rsidRPr="00A57563">
        <w:t xml:space="preserve"> Campaign</w:t>
      </w:r>
      <w:r w:rsidR="00A57563">
        <w:t xml:space="preserve"> </w:t>
      </w:r>
    </w:p>
    <w:p w14:paraId="181E1CC6" w14:textId="77777777" w:rsidR="000B1AB6" w:rsidRDefault="006C1F69" w:rsidP="006834EC">
      <w:pPr>
        <w:jc w:val="left"/>
      </w:pPr>
      <w:r>
        <w:rPr>
          <w:noProof/>
          <w:lang w:eastAsia="en-AU"/>
        </w:rPr>
        <w:drawing>
          <wp:inline distT="0" distB="0" distL="0" distR="0" wp14:anchorId="181E1D0B" wp14:editId="181E1D0C">
            <wp:extent cx="4206515" cy="2952000"/>
            <wp:effectExtent l="0" t="0" r="3810" b="1270"/>
            <wp:docPr id="7" name="Picture 7" descr="This is a pie chart outlining the main error types in the eastern states campaign. Specifically, Pay slips 60%, penalty rates/overtime 4%, record-keeping 30%, underpayment of hourly rate 5%" title="Individual Errors- eastern states campa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06515" cy="2952000"/>
                    </a:xfrm>
                    <a:prstGeom prst="rect">
                      <a:avLst/>
                    </a:prstGeom>
                    <a:noFill/>
                  </pic:spPr>
                </pic:pic>
              </a:graphicData>
            </a:graphic>
          </wp:inline>
        </w:drawing>
      </w:r>
    </w:p>
    <w:p w14:paraId="181E1CC7" w14:textId="77777777" w:rsidR="000B046A" w:rsidRDefault="000B046A" w:rsidP="000B046A">
      <w:pPr>
        <w:spacing w:before="240"/>
        <w:jc w:val="left"/>
      </w:pPr>
      <w:r w:rsidRPr="00D9028A">
        <w:rPr>
          <w:lang w:eastAsia="en-AU"/>
        </w:rPr>
        <w:lastRenderedPageBreak/>
        <w:t>There were a total of 137 individual errors from 119 businesses.</w:t>
      </w:r>
      <w:r w:rsidRPr="00D9028A">
        <w:t xml:space="preserve"> The most common were pay slips (60%) and record-keeping (30%). </w:t>
      </w:r>
      <w:r w:rsidRPr="00D9028A">
        <w:rPr>
          <w:i/>
          <w:lang w:eastAsia="en-AU"/>
        </w:rPr>
        <w:t>Figure 2</w:t>
      </w:r>
      <w:r w:rsidRPr="00D9028A">
        <w:rPr>
          <w:lang w:eastAsia="en-AU"/>
        </w:rPr>
        <w:t xml:space="preserve"> provides a summary of all errors identified in Eastern States Campaign.</w:t>
      </w:r>
    </w:p>
    <w:p w14:paraId="181E1CC8" w14:textId="77777777" w:rsidR="000E23F9" w:rsidRDefault="000E23F9" w:rsidP="006834EC">
      <w:pPr>
        <w:pStyle w:val="Heading2"/>
      </w:pPr>
      <w:bookmarkStart w:id="13" w:name="_Toc453233206"/>
      <w:r>
        <w:t>SA/WA/NT Campaign</w:t>
      </w:r>
      <w:bookmarkEnd w:id="13"/>
      <w:r>
        <w:t xml:space="preserve"> </w:t>
      </w:r>
    </w:p>
    <w:p w14:paraId="181E1CC9" w14:textId="77777777" w:rsidR="000E23F9" w:rsidRDefault="00712873" w:rsidP="006834EC">
      <w:pPr>
        <w:jc w:val="left"/>
      </w:pPr>
      <w:r>
        <w:t>The</w:t>
      </w:r>
      <w:r w:rsidR="002237FC">
        <w:t xml:space="preserve"> S</w:t>
      </w:r>
      <w:r w:rsidR="00C35DCF">
        <w:t>A</w:t>
      </w:r>
      <w:r w:rsidR="00874908">
        <w:t>/</w:t>
      </w:r>
      <w:r w:rsidR="00C35DCF">
        <w:t>WA</w:t>
      </w:r>
      <w:r w:rsidR="00874908">
        <w:t>/</w:t>
      </w:r>
      <w:r w:rsidR="002237FC">
        <w:t>NT Campaign</w:t>
      </w:r>
      <w:r w:rsidR="000E23F9">
        <w:t xml:space="preserve"> </w:t>
      </w:r>
      <w:r>
        <w:t xml:space="preserve">commenced </w:t>
      </w:r>
      <w:r w:rsidR="000E23F9">
        <w:t xml:space="preserve">in </w:t>
      </w:r>
      <w:r w:rsidR="00431EBC">
        <w:t>July</w:t>
      </w:r>
      <w:r w:rsidR="000E23F9">
        <w:t xml:space="preserve"> 2014.</w:t>
      </w:r>
      <w:r w:rsidR="00AC7652">
        <w:t xml:space="preserve">  </w:t>
      </w:r>
      <w:r w:rsidR="00C35DCF">
        <w:t>FWI’s conducted site visits</w:t>
      </w:r>
      <w:r w:rsidR="006834EC">
        <w:t xml:space="preserve"> with</w:t>
      </w:r>
      <w:r w:rsidR="00C35DCF">
        <w:t xml:space="preserve"> businesses in the following locations</w:t>
      </w:r>
      <w:r w:rsidR="000E23F9">
        <w:t>:</w:t>
      </w:r>
    </w:p>
    <w:p w14:paraId="181E1CCA" w14:textId="77777777" w:rsidR="00874908" w:rsidRDefault="00874908" w:rsidP="00874908">
      <w:pPr>
        <w:pStyle w:val="ListParagraph"/>
        <w:numPr>
          <w:ilvl w:val="0"/>
          <w:numId w:val="34"/>
        </w:numPr>
        <w:jc w:val="left"/>
      </w:pPr>
      <w:r>
        <w:t xml:space="preserve">South Australia – Murray Bridge, Mount Barker, Elizabeth and Gawler; </w:t>
      </w:r>
    </w:p>
    <w:p w14:paraId="181E1CCB" w14:textId="77777777" w:rsidR="00874908" w:rsidRDefault="00874908" w:rsidP="00874908">
      <w:pPr>
        <w:pStyle w:val="ListParagraph"/>
        <w:numPr>
          <w:ilvl w:val="0"/>
          <w:numId w:val="34"/>
        </w:numPr>
        <w:jc w:val="left"/>
      </w:pPr>
      <w:r>
        <w:t>Western Australia – Joondalup, Rockingham and Mandurah; and</w:t>
      </w:r>
    </w:p>
    <w:p w14:paraId="181E1CCC" w14:textId="77777777" w:rsidR="00874908" w:rsidRDefault="00874908" w:rsidP="00874908">
      <w:pPr>
        <w:pStyle w:val="ListParagraph"/>
        <w:numPr>
          <w:ilvl w:val="0"/>
          <w:numId w:val="34"/>
        </w:numPr>
        <w:jc w:val="left"/>
      </w:pPr>
      <w:r>
        <w:t>Northern Territory – Cullen Bay, Casuarina, Winnellie and Stuart Park.</w:t>
      </w:r>
    </w:p>
    <w:p w14:paraId="181E1CCD" w14:textId="77777777" w:rsidR="000E23F9" w:rsidRDefault="00712873" w:rsidP="00A17607">
      <w:pPr>
        <w:pStyle w:val="Bullet"/>
        <w:rPr>
          <w:lang w:eastAsia="en-AU"/>
        </w:rPr>
      </w:pPr>
      <w:r>
        <w:rPr>
          <w:lang w:eastAsia="en-AU"/>
        </w:rPr>
        <w:t xml:space="preserve">Of the </w:t>
      </w:r>
      <w:r w:rsidR="000E23F9" w:rsidRPr="002A2A9A">
        <w:rPr>
          <w:lang w:eastAsia="en-AU"/>
        </w:rPr>
        <w:t>443</w:t>
      </w:r>
      <w:r w:rsidR="000E23F9" w:rsidRPr="00712873">
        <w:rPr>
          <w:lang w:eastAsia="en-AU"/>
        </w:rPr>
        <w:t xml:space="preserve"> </w:t>
      </w:r>
      <w:r w:rsidR="000E23F9">
        <w:rPr>
          <w:lang w:eastAsia="en-AU"/>
        </w:rPr>
        <w:t xml:space="preserve">businesses </w:t>
      </w:r>
      <w:r w:rsidR="00253BA6">
        <w:rPr>
          <w:lang w:eastAsia="en-AU"/>
        </w:rPr>
        <w:t>audited</w:t>
      </w:r>
      <w:r>
        <w:rPr>
          <w:lang w:eastAsia="en-AU"/>
        </w:rPr>
        <w:t>:</w:t>
      </w:r>
    </w:p>
    <w:p w14:paraId="181E1CCE" w14:textId="77777777" w:rsidR="000E23F9" w:rsidRPr="00712873" w:rsidRDefault="00253BA6" w:rsidP="006834EC">
      <w:pPr>
        <w:pStyle w:val="ListParagraph"/>
        <w:numPr>
          <w:ilvl w:val="0"/>
          <w:numId w:val="20"/>
        </w:numPr>
        <w:spacing w:after="0"/>
        <w:jc w:val="left"/>
        <w:rPr>
          <w:lang w:eastAsia="en-AU"/>
        </w:rPr>
      </w:pPr>
      <w:r w:rsidRPr="002A2A9A">
        <w:rPr>
          <w:lang w:eastAsia="en-AU"/>
        </w:rPr>
        <w:t>307</w:t>
      </w:r>
      <w:r w:rsidRPr="00712873">
        <w:rPr>
          <w:lang w:eastAsia="en-AU"/>
        </w:rPr>
        <w:t xml:space="preserve"> (69%) were compliant</w:t>
      </w:r>
      <w:r w:rsidR="00712873" w:rsidRPr="00712873">
        <w:rPr>
          <w:lang w:eastAsia="en-AU"/>
        </w:rPr>
        <w:t xml:space="preserve"> with all requirements</w:t>
      </w:r>
      <w:r w:rsidR="00874908">
        <w:rPr>
          <w:lang w:eastAsia="en-AU"/>
        </w:rPr>
        <w:t>;</w:t>
      </w:r>
      <w:r w:rsidR="00E06DF3">
        <w:rPr>
          <w:lang w:eastAsia="en-AU"/>
        </w:rPr>
        <w:t xml:space="preserve"> and</w:t>
      </w:r>
    </w:p>
    <w:p w14:paraId="181E1CCF" w14:textId="77777777" w:rsidR="000E23F9" w:rsidRDefault="000E23F9" w:rsidP="006834EC">
      <w:pPr>
        <w:pStyle w:val="ListParagraph"/>
        <w:numPr>
          <w:ilvl w:val="0"/>
          <w:numId w:val="20"/>
        </w:numPr>
        <w:spacing w:after="0"/>
        <w:jc w:val="left"/>
        <w:rPr>
          <w:lang w:eastAsia="en-AU"/>
        </w:rPr>
      </w:pPr>
      <w:r w:rsidRPr="002A2A9A">
        <w:rPr>
          <w:lang w:eastAsia="en-AU"/>
        </w:rPr>
        <w:t xml:space="preserve">136 </w:t>
      </w:r>
      <w:r w:rsidRPr="00712873">
        <w:rPr>
          <w:lang w:eastAsia="en-AU"/>
        </w:rPr>
        <w:t>(</w:t>
      </w:r>
      <w:r w:rsidR="00977969">
        <w:rPr>
          <w:lang w:eastAsia="en-AU"/>
        </w:rPr>
        <w:t>31%) had</w:t>
      </w:r>
      <w:r w:rsidR="00C87B86">
        <w:rPr>
          <w:lang w:eastAsia="en-AU"/>
        </w:rPr>
        <w:t xml:space="preserve"> at least one</w:t>
      </w:r>
      <w:r w:rsidR="00874908">
        <w:rPr>
          <w:lang w:eastAsia="en-AU"/>
        </w:rPr>
        <w:t xml:space="preserve"> error:</w:t>
      </w:r>
    </w:p>
    <w:p w14:paraId="181E1CD0" w14:textId="77777777" w:rsidR="000E23F9" w:rsidRDefault="000E23F9" w:rsidP="006834EC">
      <w:pPr>
        <w:pStyle w:val="ListParagraph"/>
        <w:numPr>
          <w:ilvl w:val="1"/>
          <w:numId w:val="20"/>
        </w:numPr>
        <w:spacing w:after="0"/>
        <w:jc w:val="left"/>
        <w:rPr>
          <w:lang w:eastAsia="en-AU"/>
        </w:rPr>
      </w:pPr>
      <w:r>
        <w:rPr>
          <w:lang w:eastAsia="en-AU"/>
        </w:rPr>
        <w:t xml:space="preserve">118 (27%) </w:t>
      </w:r>
      <w:r w:rsidR="00712873" w:rsidRPr="00107976">
        <w:rPr>
          <w:lang w:eastAsia="en-AU"/>
        </w:rPr>
        <w:t>had errors relating to record</w:t>
      </w:r>
      <w:r w:rsidR="00E60066">
        <w:rPr>
          <w:lang w:eastAsia="en-AU"/>
        </w:rPr>
        <w:t>-keeping</w:t>
      </w:r>
      <w:r w:rsidR="00712873" w:rsidRPr="00107976">
        <w:rPr>
          <w:lang w:eastAsia="en-AU"/>
        </w:rPr>
        <w:t xml:space="preserve"> and pay</w:t>
      </w:r>
      <w:r w:rsidR="00E60066">
        <w:rPr>
          <w:lang w:eastAsia="en-AU"/>
        </w:rPr>
        <w:t xml:space="preserve"> </w:t>
      </w:r>
      <w:r w:rsidR="00712873" w:rsidRPr="00107976">
        <w:rPr>
          <w:lang w:eastAsia="en-AU"/>
        </w:rPr>
        <w:t>slips</w:t>
      </w:r>
      <w:r w:rsidR="00712873">
        <w:rPr>
          <w:lang w:eastAsia="en-AU"/>
        </w:rPr>
        <w:t>;</w:t>
      </w:r>
    </w:p>
    <w:p w14:paraId="181E1CD1" w14:textId="77777777" w:rsidR="00C87B86" w:rsidRDefault="00245FB7" w:rsidP="006834EC">
      <w:pPr>
        <w:pStyle w:val="ListParagraph"/>
        <w:numPr>
          <w:ilvl w:val="1"/>
          <w:numId w:val="20"/>
        </w:numPr>
        <w:spacing w:after="0"/>
        <w:jc w:val="left"/>
        <w:rPr>
          <w:lang w:eastAsia="en-AU"/>
        </w:rPr>
      </w:pPr>
      <w:r>
        <w:rPr>
          <w:lang w:eastAsia="en-AU"/>
        </w:rPr>
        <w:t>8 (2</w:t>
      </w:r>
      <w:r w:rsidR="00C87B86">
        <w:rPr>
          <w:lang w:eastAsia="en-AU"/>
        </w:rPr>
        <w:t xml:space="preserve">%) </w:t>
      </w:r>
      <w:r w:rsidR="00712873" w:rsidRPr="00107976">
        <w:rPr>
          <w:lang w:eastAsia="en-AU"/>
        </w:rPr>
        <w:t>had errors relating to pay rates</w:t>
      </w:r>
      <w:r w:rsidR="00712873">
        <w:rPr>
          <w:lang w:eastAsia="en-AU"/>
        </w:rPr>
        <w:t>; and</w:t>
      </w:r>
    </w:p>
    <w:p w14:paraId="181E1CD2" w14:textId="77777777" w:rsidR="000E23F9" w:rsidRDefault="00245FB7" w:rsidP="00ED6E76">
      <w:pPr>
        <w:pStyle w:val="ListParagraph"/>
        <w:numPr>
          <w:ilvl w:val="1"/>
          <w:numId w:val="20"/>
        </w:numPr>
        <w:spacing w:after="0"/>
        <w:jc w:val="left"/>
        <w:rPr>
          <w:lang w:eastAsia="en-AU"/>
        </w:rPr>
      </w:pPr>
      <w:r>
        <w:rPr>
          <w:lang w:eastAsia="en-AU"/>
        </w:rPr>
        <w:t>10 (2</w:t>
      </w:r>
      <w:r w:rsidR="000E23F9">
        <w:rPr>
          <w:lang w:eastAsia="en-AU"/>
        </w:rPr>
        <w:t xml:space="preserve">%) had both </w:t>
      </w:r>
      <w:r w:rsidR="00C35DCF">
        <w:rPr>
          <w:lang w:eastAsia="en-AU"/>
        </w:rPr>
        <w:t>p</w:t>
      </w:r>
      <w:r w:rsidR="00C35DCF" w:rsidRPr="00C35DCF">
        <w:rPr>
          <w:lang w:eastAsia="en-AU"/>
        </w:rPr>
        <w:t xml:space="preserve">ay rate and </w:t>
      </w:r>
      <w:r w:rsidR="00874908">
        <w:rPr>
          <w:lang w:eastAsia="en-AU"/>
        </w:rPr>
        <w:t>record</w:t>
      </w:r>
      <w:r w:rsidR="00977F1A">
        <w:rPr>
          <w:lang w:eastAsia="en-AU"/>
        </w:rPr>
        <w:t>s</w:t>
      </w:r>
      <w:r w:rsidR="00874908">
        <w:rPr>
          <w:lang w:eastAsia="en-AU"/>
        </w:rPr>
        <w:t xml:space="preserve">/pay slip </w:t>
      </w:r>
      <w:r w:rsidR="00C35DCF" w:rsidRPr="00C35DCF">
        <w:rPr>
          <w:lang w:eastAsia="en-AU"/>
        </w:rPr>
        <w:t>errors</w:t>
      </w:r>
      <w:r w:rsidR="00874908">
        <w:rPr>
          <w:lang w:eastAsia="en-AU"/>
        </w:rPr>
        <w:t>.</w:t>
      </w:r>
    </w:p>
    <w:p w14:paraId="181E1CD3" w14:textId="77777777" w:rsidR="00712873" w:rsidRPr="002A2A9A" w:rsidRDefault="00712873" w:rsidP="006834EC">
      <w:pPr>
        <w:spacing w:after="0"/>
        <w:jc w:val="left"/>
        <w:rPr>
          <w:sz w:val="8"/>
          <w:lang w:eastAsia="en-AU"/>
        </w:rPr>
      </w:pPr>
    </w:p>
    <w:p w14:paraId="181E1CD4" w14:textId="77777777" w:rsidR="00712873" w:rsidRDefault="006834EC" w:rsidP="006834EC">
      <w:pPr>
        <w:jc w:val="left"/>
        <w:rPr>
          <w:lang w:eastAsia="en-AU"/>
        </w:rPr>
      </w:pPr>
      <w:r>
        <w:rPr>
          <w:lang w:eastAsia="en-AU"/>
        </w:rPr>
        <w:t>There were a total of 158 individual errors from</w:t>
      </w:r>
      <w:r w:rsidR="00E54458">
        <w:rPr>
          <w:lang w:eastAsia="en-AU"/>
        </w:rPr>
        <w:t xml:space="preserve"> 136 busines</w:t>
      </w:r>
      <w:r w:rsidR="00712873">
        <w:rPr>
          <w:lang w:eastAsia="en-AU"/>
        </w:rPr>
        <w:t>s</w:t>
      </w:r>
      <w:r>
        <w:rPr>
          <w:lang w:eastAsia="en-AU"/>
        </w:rPr>
        <w:t>es</w:t>
      </w:r>
      <w:r w:rsidR="00E54458">
        <w:rPr>
          <w:lang w:eastAsia="en-AU"/>
        </w:rPr>
        <w:t>.</w:t>
      </w:r>
      <w:r w:rsidR="00C55417">
        <w:rPr>
          <w:lang w:eastAsia="en-AU"/>
        </w:rPr>
        <w:t xml:space="preserve"> </w:t>
      </w:r>
      <w:r w:rsidR="00E54458">
        <w:rPr>
          <w:lang w:eastAsia="en-AU"/>
        </w:rPr>
        <w:t xml:space="preserve">The most common </w:t>
      </w:r>
      <w:r w:rsidR="00E60066">
        <w:rPr>
          <w:lang w:eastAsia="en-AU"/>
        </w:rPr>
        <w:t xml:space="preserve">errors </w:t>
      </w:r>
      <w:r w:rsidR="008B3974">
        <w:rPr>
          <w:lang w:eastAsia="en-AU"/>
        </w:rPr>
        <w:t xml:space="preserve">related to </w:t>
      </w:r>
      <w:r w:rsidR="00E54458">
        <w:rPr>
          <w:lang w:eastAsia="en-AU"/>
        </w:rPr>
        <w:t>pay slips (</w:t>
      </w:r>
      <w:r w:rsidR="00712873">
        <w:rPr>
          <w:lang w:eastAsia="en-AU"/>
        </w:rPr>
        <w:t>77%</w:t>
      </w:r>
      <w:r w:rsidR="00E54458">
        <w:rPr>
          <w:lang w:eastAsia="en-AU"/>
        </w:rPr>
        <w:t>)</w:t>
      </w:r>
      <w:r w:rsidR="006C1F69">
        <w:rPr>
          <w:lang w:eastAsia="en-AU"/>
        </w:rPr>
        <w:t xml:space="preserve"> and</w:t>
      </w:r>
      <w:r w:rsidR="00C55417">
        <w:rPr>
          <w:lang w:eastAsia="en-AU"/>
        </w:rPr>
        <w:t xml:space="preserve"> </w:t>
      </w:r>
      <w:r w:rsidR="006C1F69">
        <w:rPr>
          <w:lang w:eastAsia="en-AU"/>
        </w:rPr>
        <w:t>underpayment of hourly rate</w:t>
      </w:r>
      <w:r w:rsidR="00E54458">
        <w:rPr>
          <w:lang w:eastAsia="en-AU"/>
        </w:rPr>
        <w:t xml:space="preserve"> (</w:t>
      </w:r>
      <w:r w:rsidR="006C1F69">
        <w:rPr>
          <w:lang w:eastAsia="en-AU"/>
        </w:rPr>
        <w:t>12</w:t>
      </w:r>
      <w:r w:rsidR="00712873">
        <w:rPr>
          <w:lang w:eastAsia="en-AU"/>
        </w:rPr>
        <w:t>%</w:t>
      </w:r>
      <w:r w:rsidR="00E54458">
        <w:rPr>
          <w:lang w:eastAsia="en-AU"/>
        </w:rPr>
        <w:t>)</w:t>
      </w:r>
      <w:r w:rsidR="00B36AC5">
        <w:rPr>
          <w:lang w:eastAsia="en-AU"/>
        </w:rPr>
        <w:t xml:space="preserve">. </w:t>
      </w:r>
      <w:r w:rsidR="006C1F69" w:rsidRPr="006834EC">
        <w:rPr>
          <w:i/>
          <w:lang w:eastAsia="en-AU"/>
        </w:rPr>
        <w:t xml:space="preserve">Figure </w:t>
      </w:r>
      <w:r w:rsidR="006C1F69">
        <w:rPr>
          <w:i/>
          <w:lang w:eastAsia="en-AU"/>
        </w:rPr>
        <w:t>3</w:t>
      </w:r>
      <w:r w:rsidR="006C1F69">
        <w:rPr>
          <w:lang w:eastAsia="en-AU"/>
        </w:rPr>
        <w:t xml:space="preserve"> provides a summary of all errors identified in SA/WA/NT Campaign.</w:t>
      </w:r>
      <w:r w:rsidR="00E54458">
        <w:rPr>
          <w:lang w:eastAsia="en-AU"/>
        </w:rPr>
        <w:t xml:space="preserve"> </w:t>
      </w:r>
    </w:p>
    <w:p w14:paraId="181E1CD5" w14:textId="77777777" w:rsidR="00C55417" w:rsidRDefault="00FC5BA3" w:rsidP="00B0570C">
      <w:pPr>
        <w:pStyle w:val="Heading3"/>
      </w:pPr>
      <w:r w:rsidRPr="00A57563">
        <w:t>F</w:t>
      </w:r>
      <w:r w:rsidR="00C55417" w:rsidRPr="00A57563">
        <w:t xml:space="preserve">igure 3: Individual </w:t>
      </w:r>
      <w:r w:rsidR="00C35DCF" w:rsidRPr="00A57563">
        <w:t>Errors – SA</w:t>
      </w:r>
      <w:r w:rsidR="00AC7652" w:rsidRPr="00A57563">
        <w:t>/</w:t>
      </w:r>
      <w:r w:rsidR="00C27BAE" w:rsidRPr="00A57563">
        <w:t>WA</w:t>
      </w:r>
      <w:r w:rsidR="00AC7652" w:rsidRPr="00A57563">
        <w:t>/</w:t>
      </w:r>
      <w:r w:rsidR="00C27BAE" w:rsidRPr="00A57563">
        <w:t>NT Campaign</w:t>
      </w:r>
      <w:r w:rsidR="00A57563">
        <w:t xml:space="preserve">  </w:t>
      </w:r>
    </w:p>
    <w:p w14:paraId="181E1CD6" w14:textId="77777777" w:rsidR="004C22CA" w:rsidRPr="00867FAE" w:rsidRDefault="006C1F69" w:rsidP="00867FAE">
      <w:pPr>
        <w:jc w:val="left"/>
        <w:rPr>
          <w:color w:val="0194A6"/>
          <w:sz w:val="36"/>
          <w:szCs w:val="28"/>
        </w:rPr>
      </w:pPr>
      <w:r>
        <w:rPr>
          <w:noProof/>
          <w:color w:val="0194A6"/>
          <w:sz w:val="36"/>
          <w:szCs w:val="28"/>
          <w:lang w:eastAsia="en-AU"/>
        </w:rPr>
        <w:drawing>
          <wp:inline distT="0" distB="0" distL="0" distR="0" wp14:anchorId="181E1D0D" wp14:editId="181E1D0E">
            <wp:extent cx="4272357" cy="3168000"/>
            <wp:effectExtent l="0" t="0" r="0" b="0"/>
            <wp:docPr id="15" name="Picture 15" descr="This is a pie chart outlining the main error types in the SA/WA/NT campaign. Specifically, Pay slips 77%, penalty rates/overtime 6%, record-keeping 5%, underpayment of hourly rate 12%" title="Individual errors- SA/WA/NT Campa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72357" cy="3168000"/>
                    </a:xfrm>
                    <a:prstGeom prst="rect">
                      <a:avLst/>
                    </a:prstGeom>
                    <a:noFill/>
                  </pic:spPr>
                </pic:pic>
              </a:graphicData>
            </a:graphic>
          </wp:inline>
        </w:drawing>
      </w:r>
    </w:p>
    <w:p w14:paraId="181E1CD7" w14:textId="77777777" w:rsidR="00C35DCF" w:rsidRDefault="00C35DCF" w:rsidP="006834EC">
      <w:pPr>
        <w:pStyle w:val="Heading2"/>
      </w:pPr>
      <w:bookmarkStart w:id="14" w:name="_Toc453233207"/>
      <w:r>
        <w:lastRenderedPageBreak/>
        <w:t>East Coast Campaign</w:t>
      </w:r>
      <w:bookmarkEnd w:id="14"/>
      <w:r>
        <w:t xml:space="preserve"> </w:t>
      </w:r>
    </w:p>
    <w:p w14:paraId="181E1CD8" w14:textId="77777777" w:rsidR="00253BA6" w:rsidRDefault="009D7DAB" w:rsidP="006834EC">
      <w:pPr>
        <w:jc w:val="left"/>
      </w:pPr>
      <w:r>
        <w:t xml:space="preserve">The </w:t>
      </w:r>
      <w:r w:rsidR="0073665F">
        <w:rPr>
          <w:lang w:eastAsia="en-AU"/>
        </w:rPr>
        <w:t>E</w:t>
      </w:r>
      <w:r w:rsidR="004C22CA">
        <w:rPr>
          <w:lang w:eastAsia="en-AU"/>
        </w:rPr>
        <w:t>ast Coast C</w:t>
      </w:r>
      <w:r w:rsidR="001568CA">
        <w:rPr>
          <w:lang w:eastAsia="en-AU"/>
        </w:rPr>
        <w:t>ampaign</w:t>
      </w:r>
      <w:r w:rsidR="004C22CA">
        <w:rPr>
          <w:lang w:eastAsia="en-AU"/>
        </w:rPr>
        <w:t xml:space="preserve"> </w:t>
      </w:r>
      <w:r w:rsidR="00712873">
        <w:rPr>
          <w:lang w:eastAsia="en-AU"/>
        </w:rPr>
        <w:t xml:space="preserve">commenced </w:t>
      </w:r>
      <w:r w:rsidR="00431EBC">
        <w:rPr>
          <w:lang w:eastAsia="en-AU"/>
        </w:rPr>
        <w:t xml:space="preserve">in </w:t>
      </w:r>
      <w:r w:rsidR="00253BA6">
        <w:rPr>
          <w:lang w:eastAsia="en-AU"/>
        </w:rPr>
        <w:t>September</w:t>
      </w:r>
      <w:r w:rsidR="00431EBC">
        <w:rPr>
          <w:lang w:eastAsia="en-AU"/>
        </w:rPr>
        <w:t xml:space="preserve"> 2014</w:t>
      </w:r>
      <w:r w:rsidR="00712873">
        <w:rPr>
          <w:lang w:eastAsia="en-AU"/>
        </w:rPr>
        <w:t>.</w:t>
      </w:r>
      <w:r w:rsidR="00521222" w:rsidRPr="00521222">
        <w:rPr>
          <w:color w:val="FF0000"/>
          <w:lang w:eastAsia="en-AU"/>
        </w:rPr>
        <w:t xml:space="preserve"> </w:t>
      </w:r>
      <w:r w:rsidR="006834EC">
        <w:t>FWI’s conducted site visits with</w:t>
      </w:r>
      <w:r w:rsidR="00712873">
        <w:t xml:space="preserve"> businesses in the following locations:</w:t>
      </w:r>
    </w:p>
    <w:p w14:paraId="181E1CD9" w14:textId="77777777" w:rsidR="004C22CA" w:rsidRDefault="004C22CA" w:rsidP="004C22CA">
      <w:pPr>
        <w:pStyle w:val="ListParagraph"/>
        <w:numPr>
          <w:ilvl w:val="0"/>
          <w:numId w:val="35"/>
        </w:numPr>
        <w:jc w:val="left"/>
        <w:rPr>
          <w:lang w:eastAsia="en-AU"/>
        </w:rPr>
      </w:pPr>
      <w:r>
        <w:rPr>
          <w:lang w:eastAsia="en-AU"/>
        </w:rPr>
        <w:t>Queensland – Mackay and North Brisbane;</w:t>
      </w:r>
    </w:p>
    <w:p w14:paraId="181E1CDA" w14:textId="77777777" w:rsidR="004C22CA" w:rsidRDefault="004C22CA" w:rsidP="004C22CA">
      <w:pPr>
        <w:pStyle w:val="ListParagraph"/>
        <w:numPr>
          <w:ilvl w:val="0"/>
          <w:numId w:val="35"/>
        </w:numPr>
        <w:jc w:val="left"/>
        <w:rPr>
          <w:lang w:eastAsia="en-AU"/>
        </w:rPr>
      </w:pPr>
      <w:r>
        <w:rPr>
          <w:lang w:eastAsia="en-AU"/>
        </w:rPr>
        <w:t>New South Wales – Wollongong and North Sydney; and</w:t>
      </w:r>
    </w:p>
    <w:p w14:paraId="181E1CDB" w14:textId="77777777" w:rsidR="004C22CA" w:rsidRDefault="004C22CA" w:rsidP="004C22CA">
      <w:pPr>
        <w:pStyle w:val="ListParagraph"/>
        <w:numPr>
          <w:ilvl w:val="0"/>
          <w:numId w:val="35"/>
        </w:numPr>
        <w:jc w:val="left"/>
        <w:rPr>
          <w:lang w:eastAsia="en-AU"/>
        </w:rPr>
      </w:pPr>
      <w:r>
        <w:rPr>
          <w:lang w:eastAsia="en-AU"/>
        </w:rPr>
        <w:t xml:space="preserve">Tasmania – Port Arthur, Nubeena, Sorell, Swansea, St Mary’s, St Helens and Scottsdale.  </w:t>
      </w:r>
    </w:p>
    <w:p w14:paraId="181E1CDC" w14:textId="77777777" w:rsidR="009D7DAB" w:rsidRDefault="00712873" w:rsidP="00A17607">
      <w:pPr>
        <w:pStyle w:val="Bullet"/>
        <w:rPr>
          <w:lang w:eastAsia="en-AU"/>
        </w:rPr>
      </w:pPr>
      <w:r>
        <w:rPr>
          <w:lang w:eastAsia="en-AU"/>
        </w:rPr>
        <w:t>Of the</w:t>
      </w:r>
      <w:r w:rsidRPr="00043D62">
        <w:rPr>
          <w:lang w:eastAsia="en-AU"/>
        </w:rPr>
        <w:t xml:space="preserve"> </w:t>
      </w:r>
      <w:r w:rsidR="00253BA6" w:rsidRPr="002A2A9A">
        <w:rPr>
          <w:lang w:eastAsia="en-AU"/>
        </w:rPr>
        <w:t>465</w:t>
      </w:r>
      <w:r w:rsidR="00253BA6" w:rsidRPr="00043D62">
        <w:rPr>
          <w:lang w:eastAsia="en-AU"/>
        </w:rPr>
        <w:t xml:space="preserve"> b</w:t>
      </w:r>
      <w:r w:rsidR="00253BA6">
        <w:rPr>
          <w:lang w:eastAsia="en-AU"/>
        </w:rPr>
        <w:t>usinesses audited</w:t>
      </w:r>
      <w:r>
        <w:rPr>
          <w:lang w:eastAsia="en-AU"/>
        </w:rPr>
        <w:t>:</w:t>
      </w:r>
    </w:p>
    <w:p w14:paraId="181E1CDD" w14:textId="77777777" w:rsidR="009D7DAB" w:rsidRDefault="009D7DAB" w:rsidP="00A17607">
      <w:pPr>
        <w:pStyle w:val="Bullet"/>
        <w:numPr>
          <w:ilvl w:val="0"/>
          <w:numId w:val="23"/>
        </w:numPr>
        <w:rPr>
          <w:lang w:eastAsia="en-AU"/>
        </w:rPr>
      </w:pPr>
      <w:r w:rsidRPr="002A2A9A">
        <w:rPr>
          <w:lang w:eastAsia="en-AU"/>
        </w:rPr>
        <w:t>306</w:t>
      </w:r>
      <w:r w:rsidRPr="00043D62">
        <w:rPr>
          <w:lang w:eastAsia="en-AU"/>
        </w:rPr>
        <w:t xml:space="preserve"> </w:t>
      </w:r>
      <w:r>
        <w:rPr>
          <w:lang w:eastAsia="en-AU"/>
        </w:rPr>
        <w:t>(66%) busine</w:t>
      </w:r>
      <w:r w:rsidR="00253BA6">
        <w:rPr>
          <w:lang w:eastAsia="en-AU"/>
        </w:rPr>
        <w:t>sses were compliant</w:t>
      </w:r>
      <w:r w:rsidR="00712873">
        <w:rPr>
          <w:lang w:eastAsia="en-AU"/>
        </w:rPr>
        <w:t xml:space="preserve"> with all requirements</w:t>
      </w:r>
      <w:r w:rsidR="00C55417">
        <w:rPr>
          <w:lang w:eastAsia="en-AU"/>
        </w:rPr>
        <w:t>;</w:t>
      </w:r>
      <w:r w:rsidR="00E06DF3">
        <w:rPr>
          <w:lang w:eastAsia="en-AU"/>
        </w:rPr>
        <w:t xml:space="preserve"> and</w:t>
      </w:r>
    </w:p>
    <w:p w14:paraId="181E1CDE" w14:textId="77777777" w:rsidR="009D7DAB" w:rsidRDefault="009D7DAB" w:rsidP="00A17607">
      <w:pPr>
        <w:pStyle w:val="Bullet"/>
        <w:numPr>
          <w:ilvl w:val="0"/>
          <w:numId w:val="23"/>
        </w:numPr>
        <w:rPr>
          <w:lang w:eastAsia="en-AU"/>
        </w:rPr>
      </w:pPr>
      <w:r w:rsidRPr="002A2A9A">
        <w:rPr>
          <w:lang w:eastAsia="en-AU"/>
        </w:rPr>
        <w:t>159</w:t>
      </w:r>
      <w:r w:rsidRPr="00043D62">
        <w:rPr>
          <w:lang w:eastAsia="en-AU"/>
        </w:rPr>
        <w:t xml:space="preserve"> </w:t>
      </w:r>
      <w:r w:rsidR="006834EC">
        <w:rPr>
          <w:lang w:eastAsia="en-AU"/>
        </w:rPr>
        <w:t xml:space="preserve">(34%) </w:t>
      </w:r>
      <w:r>
        <w:rPr>
          <w:lang w:eastAsia="en-AU"/>
        </w:rPr>
        <w:t xml:space="preserve">businesses </w:t>
      </w:r>
      <w:r w:rsidR="00C87B86">
        <w:rPr>
          <w:lang w:eastAsia="en-AU"/>
        </w:rPr>
        <w:t xml:space="preserve">had a least one </w:t>
      </w:r>
      <w:r w:rsidR="00253BA6">
        <w:rPr>
          <w:lang w:eastAsia="en-AU"/>
        </w:rPr>
        <w:t>error</w:t>
      </w:r>
      <w:r w:rsidR="004C22CA">
        <w:rPr>
          <w:lang w:eastAsia="en-AU"/>
        </w:rPr>
        <w:t>:</w:t>
      </w:r>
    </w:p>
    <w:p w14:paraId="181E1CDF" w14:textId="77777777" w:rsidR="009D7DAB" w:rsidRDefault="009D7DAB" w:rsidP="00A17607">
      <w:pPr>
        <w:pStyle w:val="Bullet"/>
        <w:numPr>
          <w:ilvl w:val="1"/>
          <w:numId w:val="23"/>
        </w:numPr>
        <w:rPr>
          <w:lang w:eastAsia="en-AU"/>
        </w:rPr>
      </w:pPr>
      <w:r>
        <w:rPr>
          <w:lang w:eastAsia="en-AU"/>
        </w:rPr>
        <w:t>135 (2</w:t>
      </w:r>
      <w:r w:rsidR="00253BA6">
        <w:rPr>
          <w:lang w:eastAsia="en-AU"/>
        </w:rPr>
        <w:t xml:space="preserve">9%) </w:t>
      </w:r>
      <w:r w:rsidR="00712873" w:rsidRPr="00107976">
        <w:rPr>
          <w:lang w:eastAsia="en-AU"/>
        </w:rPr>
        <w:t>had errors relating to record</w:t>
      </w:r>
      <w:r w:rsidR="00B93204">
        <w:rPr>
          <w:lang w:eastAsia="en-AU"/>
        </w:rPr>
        <w:t>-keeping</w:t>
      </w:r>
      <w:r w:rsidR="00712873" w:rsidRPr="00107976">
        <w:rPr>
          <w:lang w:eastAsia="en-AU"/>
        </w:rPr>
        <w:t xml:space="preserve"> and pay</w:t>
      </w:r>
      <w:r w:rsidR="00B93204">
        <w:rPr>
          <w:lang w:eastAsia="en-AU"/>
        </w:rPr>
        <w:t xml:space="preserve"> </w:t>
      </w:r>
      <w:r w:rsidR="00712873" w:rsidRPr="00107976">
        <w:rPr>
          <w:lang w:eastAsia="en-AU"/>
        </w:rPr>
        <w:t>slips</w:t>
      </w:r>
    </w:p>
    <w:p w14:paraId="181E1CE0" w14:textId="77777777" w:rsidR="00C87B86" w:rsidRDefault="00C87B86" w:rsidP="00A17607">
      <w:pPr>
        <w:pStyle w:val="Bullet"/>
        <w:numPr>
          <w:ilvl w:val="1"/>
          <w:numId w:val="23"/>
        </w:numPr>
        <w:rPr>
          <w:lang w:eastAsia="en-AU"/>
        </w:rPr>
      </w:pPr>
      <w:r>
        <w:rPr>
          <w:lang w:eastAsia="en-AU"/>
        </w:rPr>
        <w:t xml:space="preserve">14 (3%) </w:t>
      </w:r>
      <w:r w:rsidR="00712873" w:rsidRPr="00107976">
        <w:rPr>
          <w:lang w:eastAsia="en-AU"/>
        </w:rPr>
        <w:t>had errors relating to pay rates</w:t>
      </w:r>
      <w:r w:rsidR="00712873">
        <w:rPr>
          <w:lang w:eastAsia="en-AU"/>
        </w:rPr>
        <w:t>; and</w:t>
      </w:r>
    </w:p>
    <w:p w14:paraId="181E1CE1" w14:textId="77777777" w:rsidR="00712873" w:rsidRDefault="009D7DAB" w:rsidP="00A17607">
      <w:pPr>
        <w:pStyle w:val="Bullet"/>
        <w:numPr>
          <w:ilvl w:val="1"/>
          <w:numId w:val="23"/>
        </w:numPr>
        <w:rPr>
          <w:lang w:eastAsia="en-AU"/>
        </w:rPr>
      </w:pPr>
      <w:r>
        <w:rPr>
          <w:lang w:eastAsia="en-AU"/>
        </w:rPr>
        <w:t xml:space="preserve">10 (2%) had both </w:t>
      </w:r>
      <w:r w:rsidR="00C35DCF">
        <w:rPr>
          <w:lang w:eastAsia="en-AU"/>
        </w:rPr>
        <w:t>p</w:t>
      </w:r>
      <w:r w:rsidR="00C35DCF" w:rsidRPr="00C35DCF">
        <w:rPr>
          <w:lang w:eastAsia="en-AU"/>
        </w:rPr>
        <w:t>ay rate</w:t>
      </w:r>
      <w:r w:rsidR="0088083E">
        <w:rPr>
          <w:lang w:eastAsia="en-AU"/>
        </w:rPr>
        <w:t>s and records</w:t>
      </w:r>
      <w:r w:rsidR="004C22CA">
        <w:rPr>
          <w:lang w:eastAsia="en-AU"/>
        </w:rPr>
        <w:t xml:space="preserve">/pay slip </w:t>
      </w:r>
      <w:r w:rsidR="00C35DCF" w:rsidRPr="00C35DCF">
        <w:rPr>
          <w:lang w:eastAsia="en-AU"/>
        </w:rPr>
        <w:t>errors</w:t>
      </w:r>
      <w:r w:rsidR="00C35DCF">
        <w:rPr>
          <w:lang w:eastAsia="en-AU"/>
        </w:rPr>
        <w:t>.</w:t>
      </w:r>
    </w:p>
    <w:p w14:paraId="181E1CE2" w14:textId="77777777" w:rsidR="00712873" w:rsidRDefault="006834EC" w:rsidP="00867FAE">
      <w:pPr>
        <w:spacing w:before="240"/>
        <w:jc w:val="left"/>
        <w:rPr>
          <w:lang w:eastAsia="en-AU"/>
        </w:rPr>
      </w:pPr>
      <w:r>
        <w:rPr>
          <w:lang w:eastAsia="en-AU"/>
        </w:rPr>
        <w:t>There were a total of 189 individual errors from 159 businesses.</w:t>
      </w:r>
      <w:r w:rsidR="00712873">
        <w:rPr>
          <w:lang w:eastAsia="en-AU"/>
        </w:rPr>
        <w:t xml:space="preserve"> </w:t>
      </w:r>
      <w:r w:rsidR="0073665F">
        <w:rPr>
          <w:lang w:eastAsia="en-AU"/>
        </w:rPr>
        <w:t xml:space="preserve">The most common </w:t>
      </w:r>
      <w:r w:rsidR="00554189">
        <w:rPr>
          <w:lang w:eastAsia="en-AU"/>
        </w:rPr>
        <w:t xml:space="preserve">errors </w:t>
      </w:r>
      <w:r w:rsidR="0073665F">
        <w:rPr>
          <w:lang w:eastAsia="en-AU"/>
        </w:rPr>
        <w:t>were pay slips (</w:t>
      </w:r>
      <w:r w:rsidR="00C27BAE">
        <w:rPr>
          <w:lang w:eastAsia="en-AU"/>
        </w:rPr>
        <w:t>68%</w:t>
      </w:r>
      <w:r w:rsidR="0073665F">
        <w:rPr>
          <w:lang w:eastAsia="en-AU"/>
        </w:rPr>
        <w:t>), record-keeping (</w:t>
      </w:r>
      <w:r w:rsidR="00C27BAE">
        <w:rPr>
          <w:lang w:eastAsia="en-AU"/>
        </w:rPr>
        <w:t>14%</w:t>
      </w:r>
      <w:r w:rsidR="0073665F">
        <w:rPr>
          <w:lang w:eastAsia="en-AU"/>
        </w:rPr>
        <w:t>) and underpayment of hourly rates (</w:t>
      </w:r>
      <w:r w:rsidR="00C27BAE">
        <w:rPr>
          <w:lang w:eastAsia="en-AU"/>
        </w:rPr>
        <w:t>11%</w:t>
      </w:r>
      <w:r w:rsidR="0073665F">
        <w:rPr>
          <w:lang w:eastAsia="en-AU"/>
        </w:rPr>
        <w:t>).</w:t>
      </w:r>
      <w:r w:rsidR="00E54458">
        <w:rPr>
          <w:lang w:eastAsia="en-AU"/>
        </w:rPr>
        <w:t xml:space="preserve"> </w:t>
      </w:r>
      <w:r w:rsidR="00712873" w:rsidRPr="006834EC">
        <w:rPr>
          <w:i/>
          <w:lang w:eastAsia="en-AU"/>
        </w:rPr>
        <w:t>Figure 4</w:t>
      </w:r>
      <w:r w:rsidR="00712873">
        <w:rPr>
          <w:lang w:eastAsia="en-AU"/>
        </w:rPr>
        <w:t xml:space="preserve"> </w:t>
      </w:r>
      <w:r w:rsidR="005F74D9">
        <w:rPr>
          <w:lang w:eastAsia="en-AU"/>
        </w:rPr>
        <w:t xml:space="preserve">provides a summary of </w:t>
      </w:r>
      <w:r w:rsidR="00712873">
        <w:rPr>
          <w:lang w:eastAsia="en-AU"/>
        </w:rPr>
        <w:t>all errors identified in E</w:t>
      </w:r>
      <w:r w:rsidR="004C22CA">
        <w:rPr>
          <w:lang w:eastAsia="en-AU"/>
        </w:rPr>
        <w:t xml:space="preserve">ast Coast </w:t>
      </w:r>
      <w:r w:rsidR="00712873">
        <w:rPr>
          <w:lang w:eastAsia="en-AU"/>
        </w:rPr>
        <w:t>Campaign.</w:t>
      </w:r>
    </w:p>
    <w:p w14:paraId="181E1CE3" w14:textId="77777777" w:rsidR="00C32B02" w:rsidRPr="00C55417" w:rsidRDefault="00E54458" w:rsidP="00B0570C">
      <w:pPr>
        <w:pStyle w:val="Heading3"/>
      </w:pPr>
      <w:r w:rsidRPr="00C55417">
        <w:t>Figure</w:t>
      </w:r>
      <w:r w:rsidR="00C32B02" w:rsidRPr="00C55417">
        <w:t xml:space="preserve"> 4: Individual </w:t>
      </w:r>
      <w:r w:rsidR="00C35DCF">
        <w:t>Errors – E</w:t>
      </w:r>
      <w:r w:rsidR="005F74D9">
        <w:t xml:space="preserve">ast </w:t>
      </w:r>
      <w:r w:rsidR="00C35DCF">
        <w:t>C</w:t>
      </w:r>
      <w:r w:rsidR="005F74D9">
        <w:t>oast</w:t>
      </w:r>
      <w:r w:rsidR="00C35DCF">
        <w:t xml:space="preserve"> Campaign</w:t>
      </w:r>
    </w:p>
    <w:p w14:paraId="181E1CE4" w14:textId="77777777" w:rsidR="00E54458" w:rsidRPr="00E54458" w:rsidRDefault="006C1F69" w:rsidP="006834EC">
      <w:pPr>
        <w:jc w:val="left"/>
        <w:rPr>
          <w:lang w:eastAsia="en-AU"/>
        </w:rPr>
      </w:pPr>
      <w:r>
        <w:rPr>
          <w:noProof/>
          <w:lang w:eastAsia="en-AU"/>
        </w:rPr>
        <w:drawing>
          <wp:inline distT="0" distB="0" distL="0" distR="0" wp14:anchorId="181E1D0F" wp14:editId="181E1D10">
            <wp:extent cx="5032164" cy="3295650"/>
            <wp:effectExtent l="0" t="0" r="0" b="0"/>
            <wp:docPr id="16" name="Picture 16" descr="This is a pie chart outlining the main error types in the east coast campaign. Specifically, Pay slips 68%, penalty rates/overtime 7%, record-keeping 14%, underpayment of hourly rat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37824" cy="3299357"/>
                    </a:xfrm>
                    <a:prstGeom prst="rect">
                      <a:avLst/>
                    </a:prstGeom>
                    <a:noFill/>
                  </pic:spPr>
                </pic:pic>
              </a:graphicData>
            </a:graphic>
          </wp:inline>
        </w:drawing>
      </w:r>
    </w:p>
    <w:p w14:paraId="181E1CE5" w14:textId="77777777" w:rsidR="006C1F69" w:rsidRDefault="006C1F69" w:rsidP="00544CC9">
      <w:pPr>
        <w:pStyle w:val="Heading1"/>
      </w:pPr>
      <w:r>
        <w:br w:type="page"/>
      </w:r>
    </w:p>
    <w:p w14:paraId="181E1CE6" w14:textId="77777777" w:rsidR="00C35DCF" w:rsidRPr="00544CC9" w:rsidRDefault="00C35DCF" w:rsidP="00544CC9">
      <w:pPr>
        <w:pStyle w:val="Heading1"/>
      </w:pPr>
      <w:bookmarkStart w:id="15" w:name="_Toc453233208"/>
      <w:r w:rsidRPr="00544CC9">
        <w:lastRenderedPageBreak/>
        <w:t>Comparative Findings</w:t>
      </w:r>
      <w:bookmarkEnd w:id="15"/>
    </w:p>
    <w:p w14:paraId="181E1CE7" w14:textId="77777777" w:rsidR="00012CD3" w:rsidRDefault="00C35DCF" w:rsidP="006834EC">
      <w:pPr>
        <w:jc w:val="left"/>
      </w:pPr>
      <w:r>
        <w:t xml:space="preserve">As shown in </w:t>
      </w:r>
      <w:r w:rsidRPr="006834EC">
        <w:rPr>
          <w:i/>
        </w:rPr>
        <w:t>Figure 5</w:t>
      </w:r>
      <w:r>
        <w:t>, compliance rates across the three campaigns were largely consistent, with the E</w:t>
      </w:r>
      <w:r w:rsidR="004C22CA">
        <w:t xml:space="preserve">astern </w:t>
      </w:r>
      <w:r>
        <w:t>S</w:t>
      </w:r>
      <w:r w:rsidR="004C22CA">
        <w:t>tates</w:t>
      </w:r>
      <w:r>
        <w:t xml:space="preserve"> Campaign having the highest compliance rate (75%) and the E</w:t>
      </w:r>
      <w:r w:rsidR="004C22CA">
        <w:t xml:space="preserve">ast </w:t>
      </w:r>
      <w:r>
        <w:t>C</w:t>
      </w:r>
      <w:r w:rsidR="004C22CA">
        <w:t>oast</w:t>
      </w:r>
      <w:r w:rsidR="00012CD3">
        <w:t xml:space="preserve"> Campaign the lowest (66%).  The average compliance rate amongst the campaigns was 70%. </w:t>
      </w:r>
    </w:p>
    <w:p w14:paraId="181E1CE8" w14:textId="77777777" w:rsidR="00C35DCF" w:rsidRPr="00012CD3" w:rsidRDefault="00DD181A" w:rsidP="006834EC">
      <w:pPr>
        <w:jc w:val="left"/>
      </w:pPr>
      <w:r>
        <w:t>The types of errors identified in each campaign was also similar, with errors relating to pay slips being the most common error identified in all three individual campaigns.</w:t>
      </w:r>
      <w:r w:rsidR="008E32E4">
        <w:t xml:space="preserve">  </w:t>
      </w:r>
      <w:r w:rsidR="00012CD3" w:rsidRPr="00012CD3">
        <w:rPr>
          <w:iCs/>
        </w:rPr>
        <w:t>The most common error on pay slips involved superannuation information not being recorded.  The Regulations provide that both the superannuation fund name and the superannuation contribution amount must be recorded on each employee pay slip.  The next most common pay slip error was employees not being provided with pay slips at all.  Other common errors related to pay slips not having a date of payment, missing the employee hourly rate or the pay period the pay slip related to not being recorded.</w:t>
      </w:r>
    </w:p>
    <w:p w14:paraId="181E1CE9" w14:textId="77777777" w:rsidR="00C35DCF" w:rsidRPr="003419A2" w:rsidRDefault="00C35DCF" w:rsidP="00B0570C">
      <w:pPr>
        <w:pStyle w:val="Heading3"/>
      </w:pPr>
      <w:r>
        <w:t xml:space="preserve">Figure </w:t>
      </w:r>
      <w:r w:rsidR="000B046A">
        <w:t>5: Comparative Campaign C</w:t>
      </w:r>
      <w:r w:rsidR="00843413">
        <w:t>ompliance</w:t>
      </w:r>
    </w:p>
    <w:p w14:paraId="181E1CEA" w14:textId="77777777" w:rsidR="00C35DCF" w:rsidRDefault="006C1F69" w:rsidP="006834EC">
      <w:pPr>
        <w:jc w:val="left"/>
      </w:pPr>
      <w:r>
        <w:rPr>
          <w:noProof/>
          <w:lang w:eastAsia="en-AU"/>
        </w:rPr>
        <w:drawing>
          <wp:inline distT="0" distB="0" distL="0" distR="0" wp14:anchorId="181E1D11" wp14:editId="181E1D12">
            <wp:extent cx="5400625" cy="3420000"/>
            <wp:effectExtent l="0" t="0" r="0" b="9525"/>
            <wp:docPr id="17" name="Picture 17" descr="this is a graph comparing the compliance rate for each of the three campaigns, East coast 66% compliance, SAWANT 69% compliance, Eastern states 75% compliance" title="Comparative Campaign Complia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0625" cy="3420000"/>
                    </a:xfrm>
                    <a:prstGeom prst="rect">
                      <a:avLst/>
                    </a:prstGeom>
                    <a:noFill/>
                  </pic:spPr>
                </pic:pic>
              </a:graphicData>
            </a:graphic>
          </wp:inline>
        </w:drawing>
      </w:r>
    </w:p>
    <w:p w14:paraId="181E1CEB" w14:textId="77777777" w:rsidR="009F78C5" w:rsidRDefault="009F78C5" w:rsidP="006834EC">
      <w:pPr>
        <w:pStyle w:val="Heading1"/>
      </w:pPr>
      <w:bookmarkStart w:id="16" w:name="_Toc453233209"/>
      <w:r>
        <w:t>Money Recovered</w:t>
      </w:r>
      <w:bookmarkEnd w:id="16"/>
    </w:p>
    <w:p w14:paraId="181E1CEC" w14:textId="77777777" w:rsidR="00576FBC" w:rsidRDefault="00A57563" w:rsidP="00A17607">
      <w:pPr>
        <w:pStyle w:val="Bullet"/>
      </w:pPr>
      <w:r>
        <w:rPr>
          <w:lang w:eastAsia="en-AU"/>
        </w:rPr>
        <w:t>Whilst the focus of the campaigns was record</w:t>
      </w:r>
      <w:r w:rsidR="0088083E">
        <w:rPr>
          <w:lang w:eastAsia="en-AU"/>
        </w:rPr>
        <w:t xml:space="preserve"> keeping practices, FWI’s did</w:t>
      </w:r>
      <w:r>
        <w:rPr>
          <w:lang w:eastAsia="en-AU"/>
        </w:rPr>
        <w:t xml:space="preserve"> provide advice and assistance to businesses about rates of pay.  Where pay rate issues were identified, FWI’s worked with businesses to provide them with the correct rates, </w:t>
      </w:r>
      <w:r w:rsidR="0088083E">
        <w:rPr>
          <w:lang w:eastAsia="en-AU"/>
        </w:rPr>
        <w:t xml:space="preserve">and </w:t>
      </w:r>
      <w:r>
        <w:rPr>
          <w:lang w:eastAsia="en-AU"/>
        </w:rPr>
        <w:t xml:space="preserve">required </w:t>
      </w:r>
      <w:r w:rsidR="0088083E">
        <w:rPr>
          <w:lang w:eastAsia="en-AU"/>
        </w:rPr>
        <w:t>them</w:t>
      </w:r>
      <w:r>
        <w:rPr>
          <w:lang w:eastAsia="en-AU"/>
        </w:rPr>
        <w:t xml:space="preserve"> to rectify any underpayments that were identified.  </w:t>
      </w:r>
      <w:r w:rsidR="0088083E">
        <w:rPr>
          <w:lang w:eastAsia="en-AU"/>
        </w:rPr>
        <w:t>Across</w:t>
      </w:r>
      <w:r>
        <w:rPr>
          <w:lang w:eastAsia="en-AU"/>
        </w:rPr>
        <w:t xml:space="preserve"> the campaigns, </w:t>
      </w:r>
      <w:r w:rsidR="00576FBC">
        <w:rPr>
          <w:lang w:eastAsia="en-AU"/>
        </w:rPr>
        <w:t>$620,023 was recovered for 3</w:t>
      </w:r>
      <w:r>
        <w:rPr>
          <w:lang w:eastAsia="en-AU"/>
        </w:rPr>
        <w:t xml:space="preserve">36 </w:t>
      </w:r>
      <w:r>
        <w:rPr>
          <w:lang w:eastAsia="en-AU"/>
        </w:rPr>
        <w:lastRenderedPageBreak/>
        <w:t>employees from 46 businesses, and two formal cautions were issued</w:t>
      </w:r>
      <w:r w:rsidR="006C1F69">
        <w:rPr>
          <w:lang w:eastAsia="en-AU"/>
        </w:rPr>
        <w:t xml:space="preserve">. This includes a recovery of </w:t>
      </w:r>
      <w:r w:rsidR="006C1F69" w:rsidRPr="00C32B02">
        <w:t>$502,000</w:t>
      </w:r>
      <w:r w:rsidR="006C1F69">
        <w:t xml:space="preserve"> for 187 employees from one business, as outlined in the case study below.</w:t>
      </w:r>
    </w:p>
    <w:p w14:paraId="181E1CED" w14:textId="77777777" w:rsidR="00867FAE" w:rsidRDefault="00867FAE" w:rsidP="00B0570C">
      <w:pPr>
        <w:pStyle w:val="Heading3"/>
      </w:pPr>
      <w:r w:rsidRPr="00C55417">
        <w:t>Figure</w:t>
      </w:r>
      <w:r>
        <w:t xml:space="preserve"> 6</w:t>
      </w:r>
      <w:r w:rsidRPr="00C55417">
        <w:t xml:space="preserve">: </w:t>
      </w:r>
      <w:r>
        <w:t>Case Study</w:t>
      </w:r>
      <w:r w:rsidR="00722F6E" w:rsidRPr="00867FAE">
        <w:rPr>
          <w:rStyle w:val="Heading2Char"/>
          <w:noProof/>
          <w:lang w:eastAsia="en-AU"/>
        </w:rPr>
        <mc:AlternateContent>
          <mc:Choice Requires="wps">
            <w:drawing>
              <wp:inline distT="0" distB="0" distL="0" distR="0" wp14:anchorId="181E1D13" wp14:editId="181E1D14">
                <wp:extent cx="5810250" cy="4476750"/>
                <wp:effectExtent l="0" t="0" r="19050" b="1905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4476750"/>
                        </a:xfrm>
                        <a:prstGeom prst="rect">
                          <a:avLst/>
                        </a:prstGeom>
                        <a:solidFill>
                          <a:sysClr val="window" lastClr="FFFFFF">
                            <a:lumMod val="85000"/>
                          </a:sysClr>
                        </a:solidFill>
                        <a:ln w="25400" cap="flat" cmpd="sng" algn="ctr">
                          <a:solidFill>
                            <a:sysClr val="windowText" lastClr="000000"/>
                          </a:solidFill>
                          <a:prstDash val="solid"/>
                          <a:headEnd/>
                          <a:tailEnd/>
                        </a:ln>
                        <a:effectLst/>
                      </wps:spPr>
                      <wps:txbx>
                        <w:txbxContent>
                          <w:p w14:paraId="181E1D27" w14:textId="77777777" w:rsidR="00722F6E" w:rsidRPr="00C32B02" w:rsidRDefault="00722F6E" w:rsidP="00722F6E">
                            <w:r>
                              <w:t>Fair Work Inspectors attended the Darwin office of a business as part of the WA/SA/NT Campaign.  When</w:t>
                            </w:r>
                            <w:r w:rsidRPr="00C32B02">
                              <w:t xml:space="preserve"> </w:t>
                            </w:r>
                            <w:r>
                              <w:t>viewing</w:t>
                            </w:r>
                            <w:r w:rsidRPr="00C32B02">
                              <w:t xml:space="preserve"> </w:t>
                            </w:r>
                            <w:r>
                              <w:t xml:space="preserve">employment </w:t>
                            </w:r>
                            <w:r w:rsidRPr="00C32B02">
                              <w:t xml:space="preserve">records </w:t>
                            </w:r>
                            <w:r>
                              <w:t>for the</w:t>
                            </w:r>
                            <w:r w:rsidRPr="00C32B02">
                              <w:t xml:space="preserve"> </w:t>
                            </w:r>
                            <w:r>
                              <w:t>b</w:t>
                            </w:r>
                            <w:r w:rsidRPr="00C32B02">
                              <w:t>usiness</w:t>
                            </w:r>
                            <w:r>
                              <w:t>,</w:t>
                            </w:r>
                            <w:r w:rsidRPr="00C32B02">
                              <w:t xml:space="preserve"> </w:t>
                            </w:r>
                            <w:r>
                              <w:t xml:space="preserve">FWI’s noticed that the rates of pay seemed to be below the minimum rates.  On further assessment FWI’s </w:t>
                            </w:r>
                            <w:r w:rsidRPr="00C32B02">
                              <w:t xml:space="preserve">found </w:t>
                            </w:r>
                            <w:r>
                              <w:t xml:space="preserve">the business was paying </w:t>
                            </w:r>
                            <w:r w:rsidRPr="00C32B02">
                              <w:t xml:space="preserve">incorrect base </w:t>
                            </w:r>
                            <w:r>
                              <w:t xml:space="preserve">rates of pay and </w:t>
                            </w:r>
                            <w:r w:rsidRPr="00C32B02">
                              <w:t xml:space="preserve">penalty/shift rates </w:t>
                            </w:r>
                            <w:r>
                              <w:t>to casual employees.  The business was also incorrectly classifying employees</w:t>
                            </w:r>
                            <w:r w:rsidRPr="00C32B02">
                              <w:t xml:space="preserve"> under the applicable award. </w:t>
                            </w:r>
                          </w:p>
                          <w:p w14:paraId="181E1D28" w14:textId="77777777" w:rsidR="00722F6E" w:rsidRDefault="00722F6E" w:rsidP="00722F6E">
                            <w:r>
                              <w:t>T</w:t>
                            </w:r>
                            <w:r w:rsidRPr="00C32B02">
                              <w:t xml:space="preserve">he </w:t>
                            </w:r>
                            <w:r>
                              <w:t>business was surprised by the errors as they</w:t>
                            </w:r>
                            <w:r w:rsidRPr="00C32B02">
                              <w:t xml:space="preserve"> </w:t>
                            </w:r>
                            <w:r>
                              <w:t>employed</w:t>
                            </w:r>
                            <w:r w:rsidRPr="00C32B02">
                              <w:t xml:space="preserve"> dedicated </w:t>
                            </w:r>
                            <w:r>
                              <w:t xml:space="preserve">HR staff </w:t>
                            </w:r>
                            <w:r w:rsidRPr="00C32B02">
                              <w:t xml:space="preserve">to </w:t>
                            </w:r>
                            <w:r>
                              <w:t>oversee payroll matters</w:t>
                            </w:r>
                            <w:r w:rsidRPr="00C32B02">
                              <w:t xml:space="preserve">. </w:t>
                            </w:r>
                            <w:r>
                              <w:t xml:space="preserve">Upon investigation it was determined </w:t>
                            </w:r>
                            <w:r w:rsidRPr="00C32B02">
                              <w:t xml:space="preserve">the responsible </w:t>
                            </w:r>
                            <w:r>
                              <w:t xml:space="preserve">payroll </w:t>
                            </w:r>
                            <w:r w:rsidRPr="00C32B02">
                              <w:t xml:space="preserve">officer had misunderstood the </w:t>
                            </w:r>
                            <w:r>
                              <w:t xml:space="preserve">applicable </w:t>
                            </w:r>
                            <w:r w:rsidRPr="00C32B02">
                              <w:t>award and inadvertently applied incorrect pay rates.</w:t>
                            </w:r>
                            <w:r>
                              <w:t xml:space="preserve"> </w:t>
                            </w:r>
                            <w:r w:rsidRPr="00C32B02">
                              <w:t xml:space="preserve">Further </w:t>
                            </w:r>
                            <w:r>
                              <w:t>investigations</w:t>
                            </w:r>
                            <w:r w:rsidRPr="00C32B02">
                              <w:t xml:space="preserve"> revealed incorrect pay rates had been applied over several </w:t>
                            </w:r>
                            <w:bookmarkStart w:id="17" w:name="_GoBack"/>
                            <w:bookmarkEnd w:id="17"/>
                            <w:r w:rsidRPr="00C32B02">
                              <w:t>years</w:t>
                            </w:r>
                            <w:r>
                              <w:t>,</w:t>
                            </w:r>
                            <w:r w:rsidRPr="00C32B02">
                              <w:t xml:space="preserve"> across several work sites</w:t>
                            </w:r>
                            <w:r>
                              <w:t xml:space="preserve"> mainly in Brisbane and Darwin.  </w:t>
                            </w:r>
                          </w:p>
                          <w:p w14:paraId="181E1D29" w14:textId="77777777" w:rsidR="00722F6E" w:rsidRPr="00C32B02" w:rsidRDefault="00722F6E" w:rsidP="00722F6E">
                            <w:r>
                              <w:t xml:space="preserve">FWI’s worked with the business in calculating the correct classifications and rates of pay, as well as calculating the resulting underpayments.  In total </w:t>
                            </w:r>
                            <w:r w:rsidRPr="00C32B02">
                              <w:t xml:space="preserve">187 employees </w:t>
                            </w:r>
                            <w:r>
                              <w:t>were</w:t>
                            </w:r>
                            <w:r w:rsidRPr="00C32B02">
                              <w:t xml:space="preserve"> underpaid over $502,000.</w:t>
                            </w:r>
                          </w:p>
                          <w:p w14:paraId="181E1D2A" w14:textId="77777777" w:rsidR="00722F6E" w:rsidRDefault="00722F6E" w:rsidP="00722F6E">
                            <w:pPr>
                              <w:rPr>
                                <w:lang w:eastAsia="en-AU"/>
                              </w:rPr>
                            </w:pPr>
                            <w:r>
                              <w:t>The business has</w:t>
                            </w:r>
                            <w:r w:rsidRPr="004206EE">
                              <w:t xml:space="preserve"> </w:t>
                            </w:r>
                            <w:r>
                              <w:t xml:space="preserve">repaid all affected employees, </w:t>
                            </w:r>
                            <w:r w:rsidRPr="004206EE">
                              <w:t>and</w:t>
                            </w:r>
                            <w:r>
                              <w:t xml:space="preserve"> with advice and assistance from FWI’s, </w:t>
                            </w:r>
                            <w:r w:rsidRPr="004206EE">
                              <w:t xml:space="preserve">introduced a </w:t>
                            </w:r>
                            <w:r>
                              <w:t>payroll system capturing</w:t>
                            </w:r>
                            <w:r w:rsidRPr="004206EE">
                              <w:t xml:space="preserve"> </w:t>
                            </w:r>
                            <w:r>
                              <w:t xml:space="preserve">all </w:t>
                            </w:r>
                            <w:r w:rsidRPr="004206EE">
                              <w:t>time worked</w:t>
                            </w:r>
                            <w:r>
                              <w:t xml:space="preserve"> and </w:t>
                            </w:r>
                            <w:r w:rsidRPr="004206EE">
                              <w:t xml:space="preserve">automatically </w:t>
                            </w:r>
                            <w:r>
                              <w:t>applying</w:t>
                            </w:r>
                            <w:r w:rsidRPr="004206EE">
                              <w:t xml:space="preserve"> the </w:t>
                            </w:r>
                            <w:r>
                              <w:t>correct rates of pay.</w:t>
                            </w:r>
                            <w:r>
                              <w:rPr>
                                <w:lang w:eastAsia="en-AU"/>
                              </w:rPr>
                              <w:t xml:space="preserve"> </w:t>
                            </w:r>
                          </w:p>
                          <w:p w14:paraId="181E1D2B" w14:textId="77777777" w:rsidR="00722F6E" w:rsidRDefault="00722F6E" w:rsidP="00722F6E">
                            <w:pPr>
                              <w:rPr>
                                <w:lang w:eastAsia="en-AU"/>
                              </w:rPr>
                            </w:pPr>
                            <w:r>
                              <w:rPr>
                                <w:lang w:eastAsia="en-AU"/>
                              </w:rPr>
                              <w:t>This case demonstrates the importance of regularly checking employee entitlements to ensure they are correct, as unchecked errors can result in large underpayments.</w:t>
                            </w:r>
                          </w:p>
                          <w:p w14:paraId="181E1D2C" w14:textId="77777777" w:rsidR="00722F6E" w:rsidRPr="002A2A9A" w:rsidRDefault="00722F6E" w:rsidP="00722F6E">
                            <w:pPr>
                              <w:rPr>
                                <w:i/>
                              </w:rPr>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57.5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" fillcolor="#d9d9d9" strokecolor="windowText" strokeweight="2pt">
                <v:textbox>
                  <w:txbxContent>
                    <w:p w14:paraId="181E1D27" w14:textId="77777777" w:rsidR="00722F6E" w:rsidRPr="00C32B02" w:rsidRDefault="00722F6E" w:rsidP="00722F6E">
                      <w:r>
                        <w:t>Fair Work Inspectors attended the Darwin office of a business as part of the WA/SA/NT Campaign.  When</w:t>
                      </w:r>
                      <w:r w:rsidRPr="00C32B02">
                        <w:t xml:space="preserve"> </w:t>
                      </w:r>
                      <w:r>
                        <w:t>viewing</w:t>
                      </w:r>
                      <w:r w:rsidRPr="00C32B02">
                        <w:t xml:space="preserve"> </w:t>
                      </w:r>
                      <w:r>
                        <w:t xml:space="preserve">employment </w:t>
                      </w:r>
                      <w:r w:rsidRPr="00C32B02">
                        <w:t xml:space="preserve">records </w:t>
                      </w:r>
                      <w:r>
                        <w:t>for the</w:t>
                      </w:r>
                      <w:r w:rsidRPr="00C32B02">
                        <w:t xml:space="preserve"> </w:t>
                      </w:r>
                      <w:r>
                        <w:t>b</w:t>
                      </w:r>
                      <w:r w:rsidRPr="00C32B02">
                        <w:t>usiness</w:t>
                      </w:r>
                      <w:r>
                        <w:t>,</w:t>
                      </w:r>
                      <w:r w:rsidRPr="00C32B02">
                        <w:t xml:space="preserve"> </w:t>
                      </w:r>
                      <w:r>
                        <w:t xml:space="preserve">FWI’s noticed that the rates of pay seemed to be below the minimum rates.  On further assessment FWI’s </w:t>
                      </w:r>
                      <w:r w:rsidRPr="00C32B02">
                        <w:t xml:space="preserve">found </w:t>
                      </w:r>
                      <w:r>
                        <w:t xml:space="preserve">the business was paying </w:t>
                      </w:r>
                      <w:r w:rsidRPr="00C32B02">
                        <w:t xml:space="preserve">incorrect base </w:t>
                      </w:r>
                      <w:r>
                        <w:t xml:space="preserve">rates of pay and </w:t>
                      </w:r>
                      <w:r w:rsidRPr="00C32B02">
                        <w:t xml:space="preserve">penalty/shift rates </w:t>
                      </w:r>
                      <w:r>
                        <w:t>to casual employees.  The business was also incorrectly classifying employees</w:t>
                      </w:r>
                      <w:r w:rsidRPr="00C32B02">
                        <w:t xml:space="preserve"> under the applicable award. </w:t>
                      </w:r>
                    </w:p>
                    <w:p w14:paraId="181E1D28" w14:textId="77777777" w:rsidR="00722F6E" w:rsidRDefault="00722F6E" w:rsidP="00722F6E">
                      <w:r>
                        <w:t>T</w:t>
                      </w:r>
                      <w:r w:rsidRPr="00C32B02">
                        <w:t xml:space="preserve">he </w:t>
                      </w:r>
                      <w:r>
                        <w:t>business was surprised by the errors as they</w:t>
                      </w:r>
                      <w:r w:rsidRPr="00C32B02">
                        <w:t xml:space="preserve"> </w:t>
                      </w:r>
                      <w:r>
                        <w:t>employed</w:t>
                      </w:r>
                      <w:r w:rsidRPr="00C32B02">
                        <w:t xml:space="preserve"> dedicated </w:t>
                      </w:r>
                      <w:r>
                        <w:t xml:space="preserve">HR staff </w:t>
                      </w:r>
                      <w:r w:rsidRPr="00C32B02">
                        <w:t xml:space="preserve">to </w:t>
                      </w:r>
                      <w:r>
                        <w:t>oversee payroll matters</w:t>
                      </w:r>
                      <w:r w:rsidRPr="00C32B02">
                        <w:t xml:space="preserve">. </w:t>
                      </w:r>
                      <w:r>
                        <w:t xml:space="preserve">Upon investigation it was determined </w:t>
                      </w:r>
                      <w:r w:rsidRPr="00C32B02">
                        <w:t xml:space="preserve">the responsible </w:t>
                      </w:r>
                      <w:r>
                        <w:t xml:space="preserve">payroll </w:t>
                      </w:r>
                      <w:r w:rsidRPr="00C32B02">
                        <w:t xml:space="preserve">officer had misunderstood the </w:t>
                      </w:r>
                      <w:r>
                        <w:t xml:space="preserve">applicable </w:t>
                      </w:r>
                      <w:r w:rsidRPr="00C32B02">
                        <w:t>award and inadvertently applied incorrect pay rates.</w:t>
                      </w:r>
                      <w:r>
                        <w:t xml:space="preserve"> </w:t>
                      </w:r>
                      <w:r w:rsidRPr="00C32B02">
                        <w:t xml:space="preserve">Further </w:t>
                      </w:r>
                      <w:r>
                        <w:t>investigations</w:t>
                      </w:r>
                      <w:r w:rsidRPr="00C32B02">
                        <w:t xml:space="preserve"> revealed incorrect pay rates had been applied over several </w:t>
                      </w:r>
                      <w:bookmarkStart w:id="18" w:name="_GoBack"/>
                      <w:bookmarkEnd w:id="18"/>
                      <w:r w:rsidRPr="00C32B02">
                        <w:t>years</w:t>
                      </w:r>
                      <w:r>
                        <w:t>,</w:t>
                      </w:r>
                      <w:r w:rsidRPr="00C32B02">
                        <w:t xml:space="preserve"> across several work sites</w:t>
                      </w:r>
                      <w:r>
                        <w:t xml:space="preserve"> mainly in Brisbane and Darwin.  </w:t>
                      </w:r>
                    </w:p>
                    <w:p w14:paraId="181E1D29" w14:textId="77777777" w:rsidR="00722F6E" w:rsidRPr="00C32B02" w:rsidRDefault="00722F6E" w:rsidP="00722F6E">
                      <w:r>
                        <w:t xml:space="preserve">FWI’s worked with the business in calculating the correct classifications and rates of pay, as well as calculating the resulting underpayments.  In total </w:t>
                      </w:r>
                      <w:r w:rsidRPr="00C32B02">
                        <w:t xml:space="preserve">187 employees </w:t>
                      </w:r>
                      <w:r>
                        <w:t>were</w:t>
                      </w:r>
                      <w:r w:rsidRPr="00C32B02">
                        <w:t xml:space="preserve"> underpaid over $502,000.</w:t>
                      </w:r>
                    </w:p>
                    <w:p w14:paraId="181E1D2A" w14:textId="77777777" w:rsidR="00722F6E" w:rsidRDefault="00722F6E" w:rsidP="00722F6E">
                      <w:pPr>
                        <w:rPr>
                          <w:lang w:eastAsia="en-AU"/>
                        </w:rPr>
                      </w:pPr>
                      <w:r>
                        <w:t>The business has</w:t>
                      </w:r>
                      <w:r w:rsidRPr="004206EE">
                        <w:t xml:space="preserve"> </w:t>
                      </w:r>
                      <w:r>
                        <w:t xml:space="preserve">repaid all affected employees, </w:t>
                      </w:r>
                      <w:r w:rsidRPr="004206EE">
                        <w:t>and</w:t>
                      </w:r>
                      <w:r>
                        <w:t xml:space="preserve"> with advice and assistance from FWI’s, </w:t>
                      </w:r>
                      <w:r w:rsidRPr="004206EE">
                        <w:t xml:space="preserve">introduced a </w:t>
                      </w:r>
                      <w:r>
                        <w:t>payroll system capturing</w:t>
                      </w:r>
                      <w:r w:rsidRPr="004206EE">
                        <w:t xml:space="preserve"> </w:t>
                      </w:r>
                      <w:r>
                        <w:t xml:space="preserve">all </w:t>
                      </w:r>
                      <w:r w:rsidRPr="004206EE">
                        <w:t>time worked</w:t>
                      </w:r>
                      <w:r>
                        <w:t xml:space="preserve"> and </w:t>
                      </w:r>
                      <w:r w:rsidRPr="004206EE">
                        <w:t xml:space="preserve">automatically </w:t>
                      </w:r>
                      <w:r>
                        <w:t>applying</w:t>
                      </w:r>
                      <w:r w:rsidRPr="004206EE">
                        <w:t xml:space="preserve"> the </w:t>
                      </w:r>
                      <w:r>
                        <w:t>correct rates of pay.</w:t>
                      </w:r>
                      <w:r>
                        <w:rPr>
                          <w:lang w:eastAsia="en-AU"/>
                        </w:rPr>
                        <w:t xml:space="preserve"> </w:t>
                      </w:r>
                    </w:p>
                    <w:p w14:paraId="181E1D2B" w14:textId="77777777" w:rsidR="00722F6E" w:rsidRDefault="00722F6E" w:rsidP="00722F6E">
                      <w:pPr>
                        <w:rPr>
                          <w:lang w:eastAsia="en-AU"/>
                        </w:rPr>
                      </w:pPr>
                      <w:r>
                        <w:rPr>
                          <w:lang w:eastAsia="en-AU"/>
                        </w:rPr>
                        <w:t>This case demonstrates the importance of regularly checking employee entitlements to ensure they are correct, as unchecked errors can result in large underpayments.</w:t>
                      </w:r>
                    </w:p>
                    <w:p w14:paraId="181E1D2C" w14:textId="77777777" w:rsidR="00722F6E" w:rsidRPr="002A2A9A" w:rsidRDefault="00722F6E" w:rsidP="00722F6E">
                      <w:pPr>
                        <w:rPr>
                          <w:i/>
                        </w:rPr>
                      </w:pPr>
                    </w:p>
                  </w:txbxContent>
                </v:textbox>
                <w10:anchorlock/>
              </v:shape>
            </w:pict>
          </mc:Fallback>
        </mc:AlternateContent>
      </w:r>
    </w:p>
    <w:p w14:paraId="181E1CEE" w14:textId="77777777" w:rsidR="00136608" w:rsidRPr="005239CB" w:rsidRDefault="00136608" w:rsidP="005239CB">
      <w:pPr>
        <w:pStyle w:val="Heading1"/>
      </w:pPr>
      <w:bookmarkStart w:id="19" w:name="_Toc453233210"/>
      <w:r w:rsidRPr="005239CB">
        <w:rPr>
          <w:rStyle w:val="Heading2Char"/>
          <w:color w:val="0194A6"/>
          <w:sz w:val="44"/>
          <w:szCs w:val="26"/>
        </w:rPr>
        <w:t>Other Findings</w:t>
      </w:r>
      <w:bookmarkEnd w:id="19"/>
      <w:r w:rsidRPr="005239CB">
        <w:t xml:space="preserve"> </w:t>
      </w:r>
    </w:p>
    <w:p w14:paraId="181E1CEF" w14:textId="77777777" w:rsidR="00712873" w:rsidRPr="00CD0553" w:rsidRDefault="00712873" w:rsidP="006834EC">
      <w:pPr>
        <w:jc w:val="left"/>
      </w:pPr>
      <w:r>
        <w:t>To inform our future education and audit activities, the FWO spoke with businesses to de</w:t>
      </w:r>
      <w:r w:rsidR="004C22CA">
        <w:t>termine the reason</w:t>
      </w:r>
      <w:r>
        <w:t>s for their non-compliance.  Some reasons included:</w:t>
      </w:r>
    </w:p>
    <w:p w14:paraId="181E1CF0" w14:textId="77777777" w:rsidR="00712873" w:rsidRPr="000634CA" w:rsidRDefault="00712873" w:rsidP="006834EC">
      <w:pPr>
        <w:numPr>
          <w:ilvl w:val="0"/>
          <w:numId w:val="12"/>
        </w:numPr>
        <w:contextualSpacing/>
        <w:jc w:val="left"/>
        <w:rPr>
          <w:rFonts w:eastAsia="Calibri" w:cs="Times New Roman"/>
        </w:rPr>
      </w:pPr>
      <w:r>
        <w:t>small businesses mistakenly believing that they were exempt from pay slip and record-keeping obligations due to their size.  These businesses generally had not attempted to obtain the correct information regarding these obligations from the FWO or other available sources e</w:t>
      </w:r>
      <w:r w:rsidR="0088083E">
        <w:t>.</w:t>
      </w:r>
      <w:r>
        <w:t>g. Industry associations or third party providers;</w:t>
      </w:r>
    </w:p>
    <w:p w14:paraId="181E1CF1" w14:textId="77777777" w:rsidR="000634CA" w:rsidRPr="000634CA" w:rsidRDefault="000634CA" w:rsidP="006834EC">
      <w:pPr>
        <w:numPr>
          <w:ilvl w:val="0"/>
          <w:numId w:val="12"/>
        </w:numPr>
        <w:contextualSpacing/>
        <w:jc w:val="left"/>
        <w:rPr>
          <w:rFonts w:eastAsia="Calibri" w:cs="Times New Roman"/>
        </w:rPr>
      </w:pPr>
      <w:r>
        <w:t>some employers were not issuing pay slips because they mistakenly believed they did not have to issue them if their staff advised they did not wish to receive them;</w:t>
      </w:r>
    </w:p>
    <w:p w14:paraId="181E1CF2" w14:textId="77777777" w:rsidR="000634CA" w:rsidRDefault="000634CA" w:rsidP="006834EC">
      <w:pPr>
        <w:numPr>
          <w:ilvl w:val="0"/>
          <w:numId w:val="12"/>
        </w:numPr>
        <w:contextualSpacing/>
        <w:jc w:val="left"/>
        <w:rPr>
          <w:rFonts w:eastAsia="Calibri" w:cs="Times New Roman"/>
        </w:rPr>
      </w:pPr>
      <w:r>
        <w:t>some employers expected their employees to keep their own records believing this would satisfy their record-keeping obligations;</w:t>
      </w:r>
    </w:p>
    <w:p w14:paraId="181E1CF3" w14:textId="77777777" w:rsidR="00136608" w:rsidRDefault="00136608" w:rsidP="006834EC">
      <w:pPr>
        <w:numPr>
          <w:ilvl w:val="0"/>
          <w:numId w:val="12"/>
        </w:numPr>
        <w:contextualSpacing/>
        <w:jc w:val="left"/>
        <w:rPr>
          <w:rFonts w:eastAsia="Calibri" w:cs="Times New Roman"/>
          <w:lang w:eastAsia="en-AU"/>
        </w:rPr>
      </w:pPr>
      <w:r>
        <w:rPr>
          <w:rFonts w:eastAsia="Calibri" w:cs="Times New Roman"/>
          <w:lang w:eastAsia="en-AU"/>
        </w:rPr>
        <w:lastRenderedPageBreak/>
        <w:t xml:space="preserve">some employers were of the belief </w:t>
      </w:r>
      <w:r w:rsidRPr="009F7125">
        <w:rPr>
          <w:rFonts w:eastAsia="Calibri" w:cs="Times New Roman"/>
          <w:lang w:eastAsia="en-AU"/>
        </w:rPr>
        <w:t xml:space="preserve">that </w:t>
      </w:r>
      <w:r>
        <w:rPr>
          <w:rFonts w:eastAsia="Calibri" w:cs="Times New Roman"/>
          <w:lang w:eastAsia="en-AU"/>
        </w:rPr>
        <w:t xml:space="preserve">as their </w:t>
      </w:r>
      <w:r w:rsidRPr="009F7125">
        <w:rPr>
          <w:rFonts w:eastAsia="Calibri" w:cs="Times New Roman"/>
          <w:lang w:eastAsia="en-AU"/>
        </w:rPr>
        <w:t>employees work</w:t>
      </w:r>
      <w:r>
        <w:rPr>
          <w:rFonts w:eastAsia="Calibri" w:cs="Times New Roman"/>
          <w:lang w:eastAsia="en-AU"/>
        </w:rPr>
        <w:t>ed</w:t>
      </w:r>
      <w:r w:rsidRPr="009F7125">
        <w:rPr>
          <w:rFonts w:eastAsia="Calibri" w:cs="Times New Roman"/>
          <w:lang w:eastAsia="en-AU"/>
        </w:rPr>
        <w:t xml:space="preserve"> the same hours every week </w:t>
      </w:r>
      <w:r>
        <w:rPr>
          <w:rFonts w:eastAsia="Calibri" w:cs="Times New Roman"/>
          <w:lang w:eastAsia="en-AU"/>
        </w:rPr>
        <w:t>there w</w:t>
      </w:r>
      <w:r w:rsidR="00712873">
        <w:rPr>
          <w:rFonts w:eastAsia="Calibri" w:cs="Times New Roman"/>
          <w:lang w:eastAsia="en-AU"/>
        </w:rPr>
        <w:t>a</w:t>
      </w:r>
      <w:r>
        <w:rPr>
          <w:rFonts w:eastAsia="Calibri" w:cs="Times New Roman"/>
          <w:lang w:eastAsia="en-AU"/>
        </w:rPr>
        <w:t>s no need to record hours worked;</w:t>
      </w:r>
      <w:r w:rsidR="000634CA">
        <w:rPr>
          <w:rFonts w:eastAsia="Calibri" w:cs="Times New Roman"/>
          <w:lang w:eastAsia="en-AU"/>
        </w:rPr>
        <w:t xml:space="preserve"> and</w:t>
      </w:r>
    </w:p>
    <w:p w14:paraId="181E1CF4" w14:textId="77777777" w:rsidR="00136608" w:rsidRDefault="00136608" w:rsidP="006834EC">
      <w:pPr>
        <w:numPr>
          <w:ilvl w:val="0"/>
          <w:numId w:val="12"/>
        </w:numPr>
        <w:contextualSpacing/>
        <w:jc w:val="left"/>
        <w:rPr>
          <w:rFonts w:eastAsia="Calibri" w:cs="Times New Roman"/>
        </w:rPr>
      </w:pPr>
      <w:r w:rsidRPr="00C32B02">
        <w:rPr>
          <w:rFonts w:eastAsia="Calibri" w:cs="Times New Roman"/>
        </w:rPr>
        <w:t xml:space="preserve">payroll software was not sufficiently up to date </w:t>
      </w:r>
      <w:r w:rsidR="00712873">
        <w:rPr>
          <w:rFonts w:eastAsia="Calibri" w:cs="Times New Roman"/>
        </w:rPr>
        <w:t xml:space="preserve">and failed to include the </w:t>
      </w:r>
      <w:r w:rsidRPr="00C32B02">
        <w:rPr>
          <w:rFonts w:eastAsia="Calibri" w:cs="Times New Roman"/>
        </w:rPr>
        <w:t>required pay slip content</w:t>
      </w:r>
      <w:r w:rsidR="00B93204">
        <w:rPr>
          <w:rFonts w:eastAsia="Calibri" w:cs="Times New Roman"/>
        </w:rPr>
        <w:t xml:space="preserve"> </w:t>
      </w:r>
      <w:r w:rsidR="00712873">
        <w:rPr>
          <w:rFonts w:eastAsia="Calibri" w:cs="Times New Roman"/>
        </w:rPr>
        <w:t xml:space="preserve">(e.g. </w:t>
      </w:r>
      <w:r w:rsidR="00712873" w:rsidRPr="00C32B02">
        <w:rPr>
          <w:rFonts w:eastAsia="Calibri" w:cs="Times New Roman"/>
        </w:rPr>
        <w:t xml:space="preserve">superannuation fund name and </w:t>
      </w:r>
      <w:r w:rsidR="00712873">
        <w:rPr>
          <w:rFonts w:eastAsia="Calibri" w:cs="Times New Roman"/>
        </w:rPr>
        <w:t>Australian Business Number)</w:t>
      </w:r>
      <w:r w:rsidR="004C22CA">
        <w:rPr>
          <w:rFonts w:eastAsia="Calibri" w:cs="Times New Roman"/>
        </w:rPr>
        <w:t xml:space="preserve">.  </w:t>
      </w:r>
    </w:p>
    <w:p w14:paraId="181E1CF5" w14:textId="77777777" w:rsidR="00124DAB" w:rsidRDefault="00124DAB" w:rsidP="00544CC9">
      <w:pPr>
        <w:pStyle w:val="Heading1"/>
      </w:pPr>
      <w:bookmarkStart w:id="20" w:name="_Toc453233211"/>
      <w:r>
        <w:t>Next Steps</w:t>
      </w:r>
      <w:bookmarkEnd w:id="20"/>
    </w:p>
    <w:p w14:paraId="181E1CF6" w14:textId="77777777" w:rsidR="00C35DCF" w:rsidRPr="005537F2" w:rsidRDefault="00C35DCF" w:rsidP="006834EC">
      <w:pPr>
        <w:jc w:val="left"/>
        <w:rPr>
          <w:color w:val="0194A6"/>
          <w:sz w:val="44"/>
          <w:szCs w:val="26"/>
        </w:rPr>
      </w:pPr>
      <w:r>
        <w:t>The results of the campaign</w:t>
      </w:r>
      <w:r w:rsidR="004C22CA">
        <w:t>s</w:t>
      </w:r>
      <w:r>
        <w:t xml:space="preserve"> indicate that businesses </w:t>
      </w:r>
      <w:r w:rsidR="004C22CA">
        <w:t xml:space="preserve">benefit from </w:t>
      </w:r>
      <w:r w:rsidRPr="005537F2">
        <w:t>education and compliance activity</w:t>
      </w:r>
      <w:r>
        <w:t xml:space="preserve"> assoc</w:t>
      </w:r>
      <w:r w:rsidR="004C22CA">
        <w:t>iated with pay slip and record-keeping obligations</w:t>
      </w:r>
      <w:r>
        <w:t>. The</w:t>
      </w:r>
      <w:r w:rsidRPr="005537F2">
        <w:t xml:space="preserve"> FWO will</w:t>
      </w:r>
      <w:r>
        <w:t>:</w:t>
      </w:r>
    </w:p>
    <w:p w14:paraId="181E1CF7" w14:textId="77777777" w:rsidR="00C35DCF" w:rsidRPr="00706395" w:rsidRDefault="00C35DCF" w:rsidP="006834EC">
      <w:pPr>
        <w:numPr>
          <w:ilvl w:val="0"/>
          <w:numId w:val="21"/>
        </w:numPr>
        <w:spacing w:after="53"/>
        <w:jc w:val="left"/>
        <w:rPr>
          <w:rFonts w:eastAsia="Calibri" w:cs="Times New Roman"/>
        </w:rPr>
      </w:pPr>
      <w:r w:rsidRPr="00706395">
        <w:rPr>
          <w:rFonts w:eastAsia="Calibri" w:cs="Times New Roman"/>
        </w:rPr>
        <w:t>continue to educate employers on their obligations and encourage them to contact the FWO and others for assistance and advice on workplace relations matters;</w:t>
      </w:r>
    </w:p>
    <w:p w14:paraId="181E1CF8" w14:textId="77777777" w:rsidR="00C35DCF" w:rsidRDefault="00C35DCF" w:rsidP="006834EC">
      <w:pPr>
        <w:numPr>
          <w:ilvl w:val="0"/>
          <w:numId w:val="21"/>
        </w:numPr>
        <w:spacing w:after="53"/>
        <w:jc w:val="left"/>
        <w:rPr>
          <w:rFonts w:eastAsia="Calibri" w:cs="Times New Roman"/>
        </w:rPr>
      </w:pPr>
      <w:r>
        <w:rPr>
          <w:rFonts w:eastAsia="Calibri" w:cs="Times New Roman"/>
        </w:rPr>
        <w:t>continue to develop accessible and easy to use pay slip and record-keeping tools and resources;</w:t>
      </w:r>
    </w:p>
    <w:p w14:paraId="181E1CF9" w14:textId="77777777" w:rsidR="00C35DCF" w:rsidRPr="00706395" w:rsidRDefault="00C35DCF" w:rsidP="006834EC">
      <w:pPr>
        <w:numPr>
          <w:ilvl w:val="0"/>
          <w:numId w:val="21"/>
        </w:numPr>
        <w:spacing w:after="53"/>
        <w:jc w:val="left"/>
        <w:rPr>
          <w:rFonts w:eastAsia="Calibri" w:cs="Times New Roman"/>
        </w:rPr>
      </w:pPr>
      <w:r w:rsidRPr="00706395">
        <w:rPr>
          <w:rFonts w:eastAsia="Calibri" w:cs="Times New Roman"/>
        </w:rPr>
        <w:t>audit all businesses found to be non-compliant in this campaign in the National Compliance Monitoring Campaign 2016;</w:t>
      </w:r>
    </w:p>
    <w:p w14:paraId="181E1CFA" w14:textId="77777777" w:rsidR="00C35DCF" w:rsidRDefault="00C35DCF" w:rsidP="006834EC">
      <w:pPr>
        <w:numPr>
          <w:ilvl w:val="0"/>
          <w:numId w:val="21"/>
        </w:numPr>
        <w:spacing w:after="53"/>
        <w:jc w:val="left"/>
        <w:rPr>
          <w:rFonts w:eastAsia="Calibri" w:cs="Times New Roman"/>
        </w:rPr>
      </w:pPr>
      <w:r w:rsidRPr="00781962">
        <w:rPr>
          <w:rFonts w:eastAsia="Calibri" w:cs="Times New Roman"/>
        </w:rPr>
        <w:t>promote key themes identified in campaigns through communication and media activities and use the findings of this campaign to inform future compliance activities; and</w:t>
      </w:r>
    </w:p>
    <w:p w14:paraId="181E1CFB" w14:textId="102612B0" w:rsidR="00C35DCF" w:rsidRPr="00706395" w:rsidRDefault="00C35DCF" w:rsidP="006834EC">
      <w:pPr>
        <w:numPr>
          <w:ilvl w:val="0"/>
          <w:numId w:val="21"/>
        </w:numPr>
        <w:spacing w:after="53"/>
        <w:jc w:val="left"/>
        <w:rPr>
          <w:rStyle w:val="Heading2Char"/>
          <w:rFonts w:cs="Times New Roman"/>
          <w:color w:val="auto"/>
          <w:sz w:val="22"/>
        </w:rPr>
      </w:pPr>
      <w:r>
        <w:rPr>
          <w:rFonts w:eastAsia="Calibri" w:cs="Times New Roman"/>
        </w:rPr>
        <w:t xml:space="preserve">promote the tools and resources available on the FWO website </w:t>
      </w:r>
      <w:hyperlink r:id="rId23" w:tooltip="Fair Work Ombudsman website" w:history="1">
        <w:r w:rsidRPr="00363DC9">
          <w:rPr>
            <w:rStyle w:val="Hyperlink"/>
            <w:rFonts w:ascii="Helvetica" w:eastAsia="Calibri" w:hAnsi="Helvetica"/>
          </w:rPr>
          <w:t>www.fairwork.gov.au</w:t>
        </w:r>
      </w:hyperlink>
      <w:r>
        <w:rPr>
          <w:rFonts w:eastAsia="Calibri" w:cs="Times New Roman"/>
        </w:rPr>
        <w:t>.</w:t>
      </w:r>
    </w:p>
    <w:p w14:paraId="181E1CFC" w14:textId="77777777" w:rsidR="00F13C55" w:rsidRDefault="00A5696D" w:rsidP="006834EC">
      <w:pPr>
        <w:pStyle w:val="Heading1"/>
        <w:rPr>
          <w:lang w:eastAsia="en-AU"/>
        </w:rPr>
      </w:pPr>
      <w:bookmarkStart w:id="21" w:name="_Toc453233212"/>
      <w:r>
        <w:rPr>
          <w:lang w:eastAsia="en-AU"/>
        </w:rPr>
        <w:t>Conclusion</w:t>
      </w:r>
      <w:bookmarkEnd w:id="21"/>
    </w:p>
    <w:p w14:paraId="181E1CFD" w14:textId="77777777" w:rsidR="00C35DCF" w:rsidRDefault="00C35DCF" w:rsidP="006834EC">
      <w:pPr>
        <w:jc w:val="left"/>
      </w:pPr>
      <w:r>
        <w:t>The campaign revealed 70% of businesses were fully compliant with their workplace obligations and 72% of businesses were meeting their record-keeping and pay slip obligations.</w:t>
      </w:r>
    </w:p>
    <w:p w14:paraId="181E1CFE" w14:textId="77777777" w:rsidR="00C35DCF" w:rsidRPr="00D058C1" w:rsidRDefault="00C35DCF" w:rsidP="006834EC">
      <w:pPr>
        <w:jc w:val="left"/>
      </w:pPr>
      <w:r>
        <w:t>The FWO will use the results of this campaign to inform our future education and audit activities, which includes having pay slip and</w:t>
      </w:r>
      <w:r w:rsidR="004C22CA">
        <w:t xml:space="preserve"> record-keeping c</w:t>
      </w:r>
      <w:r w:rsidR="0088083E">
        <w:t xml:space="preserve">omponents </w:t>
      </w:r>
      <w:r w:rsidR="004C22CA">
        <w:t xml:space="preserve">in audit activities.  </w:t>
      </w:r>
      <w:r>
        <w:t>All businesses found to be non-compliant in this campaign will be re-audited as part of the FWO’s ongoing National Compliance Monitoring Campaign.</w:t>
      </w:r>
    </w:p>
    <w:p w14:paraId="181E1CFF" w14:textId="157DAF2D" w:rsidR="00EF053D" w:rsidRDefault="00A5696D" w:rsidP="006834EC">
      <w:pPr>
        <w:jc w:val="left"/>
      </w:pPr>
      <w:r>
        <w:t xml:space="preserve">The FWO will continue to support a culture of compliance by empowering employers and employees to resolve any issues that arise at a workplace level.  To assist businesses to do this, the FWO recently released a number of practical Guides to Resolving Workplace Issues on the FWO website </w:t>
      </w:r>
      <w:hyperlink r:id="rId24" w:tooltip="Fair Work Ombudsman website" w:history="1">
        <w:r w:rsidRPr="008D2C5E">
          <w:rPr>
            <w:rStyle w:val="Hyperlink"/>
            <w:rFonts w:ascii="Helvetica" w:hAnsi="Helvetica" w:cs="Arial"/>
          </w:rPr>
          <w:t>www.fairwork.gov.au</w:t>
        </w:r>
      </w:hyperlink>
      <w:r>
        <w:t>.  Whilst the FWO will continue to monitor non-compliant businesses, supporting businesses and employees to resolve issues at the workplace level gives the bes</w:t>
      </w:r>
      <w:r w:rsidR="00B17857">
        <w:t>t chance of continued productive</w:t>
      </w:r>
      <w:r>
        <w:t xml:space="preserve"> workplace relationships.</w:t>
      </w:r>
      <w:r w:rsidR="00722F6E">
        <w:t xml:space="preserve"> </w:t>
      </w:r>
    </w:p>
    <w:p w14:paraId="181E1D00" w14:textId="77777777" w:rsidR="00817770" w:rsidRPr="00817770" w:rsidRDefault="00817770" w:rsidP="00544CC9">
      <w:pPr>
        <w:pStyle w:val="Heading1"/>
        <w:rPr>
          <w:lang w:eastAsia="en-AU"/>
        </w:rPr>
      </w:pPr>
      <w:bookmarkStart w:id="22" w:name="_Toc421872763"/>
      <w:bookmarkStart w:id="23" w:name="_Toc410822211"/>
      <w:bookmarkStart w:id="24" w:name="_Toc354148740"/>
      <w:bookmarkStart w:id="25" w:name="_Toc453233213"/>
      <w:r w:rsidRPr="00817770">
        <w:rPr>
          <w:lang w:eastAsia="en-AU"/>
        </w:rPr>
        <w:lastRenderedPageBreak/>
        <w:t>About the Fair Work Ombudsman</w:t>
      </w:r>
      <w:bookmarkEnd w:id="22"/>
      <w:bookmarkEnd w:id="23"/>
      <w:bookmarkEnd w:id="24"/>
      <w:bookmarkEnd w:id="25"/>
    </w:p>
    <w:p w14:paraId="181E1D01" w14:textId="77777777" w:rsidR="00817770" w:rsidRPr="00817770" w:rsidRDefault="00817770" w:rsidP="006834EC">
      <w:pPr>
        <w:jc w:val="left"/>
        <w:rPr>
          <w:lang w:eastAsia="en-AU"/>
        </w:rPr>
      </w:pPr>
      <w:r w:rsidRPr="00817770">
        <w:rPr>
          <w:lang w:eastAsia="en-AU"/>
        </w:rPr>
        <w:t xml:space="preserve">The Fair Work Ombudsman is an independent agency created by the </w:t>
      </w:r>
      <w:r w:rsidRPr="00817770">
        <w:rPr>
          <w:i/>
          <w:lang w:eastAsia="en-AU"/>
        </w:rPr>
        <w:t>Fair Work Act 2009</w:t>
      </w:r>
      <w:r w:rsidRPr="00817770">
        <w:rPr>
          <w:lang w:eastAsia="en-AU"/>
        </w:rPr>
        <w:t xml:space="preserve"> on 1 July 2009. Our main role is to promote harmonious, productive and cooperative workplace relations.</w:t>
      </w:r>
    </w:p>
    <w:p w14:paraId="181E1D02" w14:textId="77777777" w:rsidR="00817770" w:rsidRPr="00817770" w:rsidRDefault="00817770" w:rsidP="006834EC">
      <w:pPr>
        <w:jc w:val="left"/>
        <w:rPr>
          <w:rFonts w:eastAsia="Calibri" w:cs="Times New Roman"/>
          <w:szCs w:val="22"/>
        </w:rPr>
      </w:pPr>
      <w:r w:rsidRPr="00817770">
        <w:rPr>
          <w:rFonts w:eastAsia="Calibri" w:cs="Times New Roman"/>
          <w:szCs w:val="22"/>
        </w:rPr>
        <w:t xml:space="preserve">Each year the Fair Work Ombudsman (FWO) runs proactive campaigns to assist employers and employees understand their rights and obligations under Commonwealth workplace relations laws. </w:t>
      </w:r>
    </w:p>
    <w:p w14:paraId="181E1D03" w14:textId="77777777" w:rsidR="00817770" w:rsidRPr="00817770" w:rsidRDefault="00817770" w:rsidP="006834EC">
      <w:pPr>
        <w:jc w:val="left"/>
      </w:pPr>
      <w:r w:rsidRPr="00817770">
        <w:t>These campaigns can focus on particular industries, regions and/or labour market issues and are conducted on a national and state level.</w:t>
      </w:r>
    </w:p>
    <w:p w14:paraId="181E1D04" w14:textId="77777777" w:rsidR="00817770" w:rsidRPr="00817770" w:rsidRDefault="00817770" w:rsidP="006834EC">
      <w:pPr>
        <w:jc w:val="left"/>
        <w:rPr>
          <w:lang w:eastAsia="en-AU"/>
        </w:rPr>
      </w:pPr>
      <w:r w:rsidRPr="00817770">
        <w:rPr>
          <w:lang w:eastAsia="en-AU"/>
        </w:rPr>
        <w:t xml:space="preserve">This report covers the background, method and findings of the </w:t>
      </w:r>
      <w:r>
        <w:rPr>
          <w:lang w:eastAsia="en-AU"/>
        </w:rPr>
        <w:t>Records and Resources</w:t>
      </w:r>
      <w:r w:rsidRPr="00817770">
        <w:rPr>
          <w:lang w:eastAsia="en-AU"/>
        </w:rPr>
        <w:t xml:space="preserve"> Campaign</w:t>
      </w:r>
      <w:r>
        <w:rPr>
          <w:lang w:eastAsia="en-AU"/>
        </w:rPr>
        <w:t>s</w:t>
      </w:r>
      <w:r w:rsidRPr="00817770">
        <w:rPr>
          <w:lang w:eastAsia="en-AU"/>
        </w:rPr>
        <w:t xml:space="preserve">. For further information and media enquiries please contact the media team at </w:t>
      </w:r>
      <w:hyperlink r:id="rId25" w:history="1">
        <w:r w:rsidRPr="00817770">
          <w:rPr>
            <w:rFonts w:ascii="Arial" w:hAnsi="Arial" w:cs="Times New Roman"/>
            <w:color w:val="0000FF"/>
            <w:u w:val="single"/>
            <w:lang w:eastAsia="en-AU"/>
          </w:rPr>
          <w:t>media@fwo.gov.au</w:t>
        </w:r>
      </w:hyperlink>
      <w:r w:rsidRPr="00817770">
        <w:rPr>
          <w:lang w:eastAsia="en-AU"/>
        </w:rPr>
        <w:t xml:space="preserve">  </w:t>
      </w:r>
    </w:p>
    <w:p w14:paraId="181E1D05" w14:textId="77777777" w:rsidR="00817770" w:rsidRPr="00817770" w:rsidRDefault="00817770" w:rsidP="006834EC">
      <w:pPr>
        <w:jc w:val="left"/>
        <w:rPr>
          <w:lang w:eastAsia="en-AU"/>
        </w:rPr>
      </w:pPr>
      <w:r w:rsidRPr="00817770">
        <w:rPr>
          <w:lang w:eastAsia="en-AU"/>
        </w:rPr>
        <w:t xml:space="preserve">If you would like further information about the Fair Work Ombudsman’s campaigns please contact Lynda McAlary-Smith, Executive Director - Proactive Compliance and Education at </w:t>
      </w:r>
      <w:hyperlink r:id="rId26" w:history="1">
        <w:r w:rsidRPr="00817770">
          <w:rPr>
            <w:rFonts w:ascii="Arial" w:hAnsi="Arial" w:cs="Calibri"/>
            <w:color w:val="0000FF"/>
            <w:szCs w:val="22"/>
            <w:u w:val="single"/>
            <w:lang w:eastAsia="en-AU"/>
          </w:rPr>
          <w:t>Lynda.McAlary-Smith@fwo.gov.au</w:t>
        </w:r>
      </w:hyperlink>
      <w:r w:rsidRPr="00817770">
        <w:rPr>
          <w:rFonts w:cs="Calibri"/>
          <w:lang w:eastAsia="en-AU"/>
        </w:rPr>
        <w:t xml:space="preserve"> </w:t>
      </w:r>
    </w:p>
    <w:p w14:paraId="181E1D06" w14:textId="77777777" w:rsidR="00817770" w:rsidRPr="00817770" w:rsidRDefault="00817770" w:rsidP="006834EC">
      <w:pPr>
        <w:jc w:val="left"/>
        <w:rPr>
          <w:lang w:eastAsia="en-AU"/>
        </w:rPr>
      </w:pPr>
    </w:p>
    <w:sectPr w:rsidR="00817770" w:rsidRPr="00817770" w:rsidSect="00544CC9">
      <w:footnotePr>
        <w:pos w:val="beneathText"/>
      </w:footnotePr>
      <w:type w:val="continuous"/>
      <w:pgSz w:w="11907" w:h="16840" w:code="9"/>
      <w:pgMar w:top="1276" w:right="992" w:bottom="1440" w:left="1276"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1E1D17" w14:textId="77777777" w:rsidR="007F257F" w:rsidRDefault="007F257F" w:rsidP="00AB27F9">
      <w:r>
        <w:separator/>
      </w:r>
    </w:p>
  </w:endnote>
  <w:endnote w:type="continuationSeparator" w:id="0">
    <w:p w14:paraId="181E1D18" w14:textId="77777777" w:rsidR="007F257F" w:rsidRDefault="007F257F" w:rsidP="00AB2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air Work">
    <w:altName w:val="Times New Roman"/>
    <w:panose1 w:val="00000000000000000000"/>
    <w:charset w:val="00"/>
    <w:family w:val="roman"/>
    <w:notTrueType/>
    <w:pitch w:val="variable"/>
    <w:sig w:usb0="00000001" w:usb1="5000204A"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E1D1A" w14:textId="77777777" w:rsidR="00D510C0" w:rsidRDefault="00D510C0" w:rsidP="00AB27F9">
    <w:r>
      <w:fldChar w:fldCharType="begin"/>
    </w:r>
    <w:r>
      <w:instrText xml:space="preserve">PAGE  </w:instrText>
    </w:r>
    <w:r>
      <w:fldChar w:fldCharType="separate"/>
    </w:r>
    <w:r>
      <w:rPr>
        <w:noProof/>
      </w:rPr>
      <w:t>2</w:t>
    </w:r>
    <w:r>
      <w:fldChar w:fldCharType="end"/>
    </w:r>
  </w:p>
  <w:p w14:paraId="181E1D1B" w14:textId="77777777" w:rsidR="00D510C0" w:rsidRDefault="00D510C0" w:rsidP="00AB27F9"/>
  <w:p w14:paraId="181E1D1C" w14:textId="77777777" w:rsidR="00D510C0" w:rsidRDefault="00D510C0"/>
  <w:p w14:paraId="181E1D1D" w14:textId="77777777" w:rsidR="00D510C0" w:rsidRDefault="00D510C0"/>
  <w:p w14:paraId="181E1D1E" w14:textId="77777777" w:rsidR="00D510C0" w:rsidRDefault="00D510C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E1D1F" w14:textId="0B8211B8" w:rsidR="00D510C0" w:rsidRDefault="00D510C0">
    <w:pPr>
      <w:pStyle w:val="Footer"/>
      <w:jc w:val="right"/>
      <w:rPr>
        <w:color w:val="FFFFFF" w:themeColor="background1"/>
        <w:sz w:val="18"/>
        <w:szCs w:val="18"/>
        <w:lang w:val="en-US"/>
      </w:rPr>
    </w:pPr>
  </w:p>
  <w:p w14:paraId="181E1D20" w14:textId="7B1D5936" w:rsidR="00D510C0" w:rsidRPr="0045600E" w:rsidRDefault="00D510C0" w:rsidP="00357458">
    <w:pPr>
      <w:pStyle w:val="Footer"/>
      <w:tabs>
        <w:tab w:val="left" w:pos="5670"/>
      </w:tabs>
      <w:ind w:firstLine="5670"/>
      <w:jc w:val="right"/>
      <w:rPr>
        <w:color w:val="FFFFFF" w:themeColor="background1"/>
      </w:rPr>
    </w:pPr>
    <w:r>
      <w:rPr>
        <w:color w:val="FFFFFF" w:themeColor="background1"/>
        <w:sz w:val="18"/>
        <w:szCs w:val="18"/>
        <w:lang w:val="en-US"/>
      </w:rPr>
      <w:t>Records and Resources Campaign</w:t>
    </w:r>
    <w:r w:rsidR="000B046A">
      <w:rPr>
        <w:color w:val="FFFFFF" w:themeColor="background1"/>
        <w:sz w:val="18"/>
        <w:szCs w:val="18"/>
        <w:lang w:val="en-US"/>
      </w:rPr>
      <w:t>s</w:t>
    </w:r>
    <w:r>
      <w:rPr>
        <w:color w:val="FFFFFF" w:themeColor="background1"/>
        <w:sz w:val="18"/>
        <w:szCs w:val="18"/>
        <w:lang w:val="en-US"/>
      </w:rPr>
      <w:t xml:space="preserve"> Report</w:t>
    </w:r>
    <w:r w:rsidRPr="0045600E">
      <w:rPr>
        <w:noProof/>
        <w:color w:val="FFFFFF" w:themeColor="background1"/>
        <w:sz w:val="18"/>
        <w:szCs w:val="18"/>
        <w:lang w:eastAsia="en-AU"/>
      </w:rPr>
      <w:t xml:space="preserve"> </w:t>
    </w:r>
    <w:r w:rsidRPr="0045600E">
      <w:rPr>
        <w:noProof/>
        <w:color w:val="FFFFFF" w:themeColor="background1"/>
        <w:sz w:val="18"/>
        <w:szCs w:val="18"/>
        <w:lang w:eastAsia="en-AU"/>
      </w:rPr>
      <w:drawing>
        <wp:anchor distT="0" distB="0" distL="114300" distR="114300" simplePos="0" relativeHeight="251658240" behindDoc="1" locked="0" layoutInCell="1" allowOverlap="1" wp14:anchorId="181E1D23" wp14:editId="0F0F6EE8">
          <wp:simplePos x="0" y="0"/>
          <wp:positionH relativeFrom="column">
            <wp:posOffset>-436549</wp:posOffset>
          </wp:positionH>
          <wp:positionV relativeFrom="paragraph">
            <wp:posOffset>-531550</wp:posOffset>
          </wp:positionV>
          <wp:extent cx="7524371" cy="1177200"/>
          <wp:effectExtent l="0" t="0" r="635" b="4445"/>
          <wp:wrapTopAndBottom/>
          <wp:docPr id="11" name="Picture 11"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footer.jpg"/>
                  <pic:cNvPicPr/>
                </pic:nvPicPr>
                <pic:blipFill>
                  <a:blip r:embed="rId1">
                    <a:extLst>
                      <a:ext uri="{28A0092B-C50C-407E-A947-70E740481C1C}">
                        <a14:useLocalDpi xmlns:a14="http://schemas.microsoft.com/office/drawing/2010/main" val="0"/>
                      </a:ext>
                    </a:extLst>
                  </a:blip>
                  <a:stretch>
                    <a:fillRect/>
                  </a:stretch>
                </pic:blipFill>
                <pic:spPr>
                  <a:xfrm>
                    <a:off x="0" y="0"/>
                    <a:ext cx="7524371" cy="1177200"/>
                  </a:xfrm>
                  <a:prstGeom prst="rect">
                    <a:avLst/>
                  </a:prstGeom>
                </pic:spPr>
              </pic:pic>
            </a:graphicData>
          </a:graphic>
          <wp14:sizeRelH relativeFrom="margin">
            <wp14:pctWidth>0</wp14:pctWidth>
          </wp14:sizeRelH>
          <wp14:sizeRelV relativeFrom="margin">
            <wp14:pctHeight>0</wp14:pctHeight>
          </wp14:sizeRelV>
        </wp:anchor>
      </w:drawing>
    </w:r>
    <w:r w:rsidRPr="0045600E">
      <w:rPr>
        <w:color w:val="FFFFFF" w:themeColor="background1"/>
        <w:sz w:val="18"/>
        <w:szCs w:val="18"/>
      </w:rPr>
      <w:tab/>
    </w:r>
    <w:sdt>
      <w:sdtPr>
        <w:rPr>
          <w:color w:val="FFFFFF" w:themeColor="background1"/>
        </w:rPr>
        <w:id w:val="-224064830"/>
        <w:docPartObj>
          <w:docPartGallery w:val="Page Numbers (Bottom of Page)"/>
          <w:docPartUnique/>
        </w:docPartObj>
      </w:sdtPr>
      <w:sdtEndPr>
        <w:rPr>
          <w:noProof/>
        </w:rPr>
      </w:sdtEndPr>
      <w:sdtContent>
        <w:r w:rsidRPr="0045600E">
          <w:rPr>
            <w:color w:val="FFFFFF" w:themeColor="background1"/>
            <w:sz w:val="20"/>
            <w:szCs w:val="20"/>
          </w:rPr>
          <w:fldChar w:fldCharType="begin"/>
        </w:r>
        <w:r w:rsidRPr="0045600E">
          <w:rPr>
            <w:color w:val="FFFFFF" w:themeColor="background1"/>
            <w:sz w:val="20"/>
            <w:szCs w:val="20"/>
          </w:rPr>
          <w:instrText xml:space="preserve"> PAGE   \* MERGEFORMAT </w:instrText>
        </w:r>
        <w:r w:rsidRPr="0045600E">
          <w:rPr>
            <w:color w:val="FFFFFF" w:themeColor="background1"/>
            <w:sz w:val="20"/>
            <w:szCs w:val="20"/>
          </w:rPr>
          <w:fldChar w:fldCharType="separate"/>
        </w:r>
        <w:r w:rsidR="00B0570C">
          <w:rPr>
            <w:noProof/>
            <w:color w:val="FFFFFF" w:themeColor="background1"/>
            <w:sz w:val="20"/>
            <w:szCs w:val="20"/>
          </w:rPr>
          <w:t>10</w:t>
        </w:r>
        <w:r w:rsidRPr="0045600E">
          <w:rPr>
            <w:noProof/>
            <w:color w:val="FFFFFF" w:themeColor="background1"/>
            <w:sz w:val="20"/>
            <w:szCs w:val="20"/>
          </w:rPr>
          <w:fldChar w:fldCharType="end"/>
        </w:r>
      </w:sdtContent>
    </w:sdt>
  </w:p>
  <w:p w14:paraId="181E1D21" w14:textId="77777777" w:rsidR="00D510C0" w:rsidRDefault="00D510C0" w:rsidP="004B21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E6911" w14:textId="77777777" w:rsidR="00E75D25" w:rsidRDefault="00E75D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E1D15" w14:textId="77777777" w:rsidR="007F257F" w:rsidRDefault="007F257F" w:rsidP="00AB27F9">
      <w:r>
        <w:separator/>
      </w:r>
    </w:p>
  </w:footnote>
  <w:footnote w:type="continuationSeparator" w:id="0">
    <w:p w14:paraId="181E1D16" w14:textId="77777777" w:rsidR="007F257F" w:rsidRDefault="007F257F" w:rsidP="00AB27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AF53C" w14:textId="77777777" w:rsidR="00E75D25" w:rsidRDefault="00E75D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E1D19" w14:textId="77777777" w:rsidR="00D510C0" w:rsidRDefault="00D510C0" w:rsidP="00C87B86">
    <w:pPr>
      <w:tabs>
        <w:tab w:val="left" w:pos="952"/>
      </w:tabs>
      <w:spacing w:before="100" w:beforeAutospacing="1" w:after="100" w:afterAutospacing="1"/>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E1D22" w14:textId="77777777" w:rsidR="00D510C0" w:rsidRPr="003952ED" w:rsidRDefault="00D510C0" w:rsidP="00AB27F9">
    <w:pPr>
      <w:rPr>
        <w:u w:val="single"/>
      </w:rPr>
    </w:pPr>
    <w:r w:rsidRPr="003952ED">
      <w:rPr>
        <w:noProof/>
        <w:u w:val="single"/>
        <w:lang w:eastAsia="en-AU"/>
      </w:rPr>
      <w:drawing>
        <wp:anchor distT="0" distB="0" distL="114300" distR="114300" simplePos="0" relativeHeight="251656192" behindDoc="1" locked="0" layoutInCell="1" allowOverlap="1" wp14:anchorId="181E1D25" wp14:editId="181E1D26">
          <wp:simplePos x="0" y="0"/>
          <wp:positionH relativeFrom="column">
            <wp:posOffset>-833755</wp:posOffset>
          </wp:positionH>
          <wp:positionV relativeFrom="paragraph">
            <wp:posOffset>2042605</wp:posOffset>
          </wp:positionV>
          <wp:extent cx="7592060" cy="8418614"/>
          <wp:effectExtent l="0" t="0" r="8890" b="1905"/>
          <wp:wrapNone/>
          <wp:docPr id="12" name="Picture 32"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Information Technology\IT\Information mgmt\Templates\FWO titlepag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2060" cy="841861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698C5B2"/>
    <w:lvl w:ilvl="0">
      <w:numFmt w:val="decimal"/>
      <w:pStyle w:val="Caption"/>
      <w:lvlText w:val="*"/>
      <w:lvlJc w:val="left"/>
      <w:rPr>
        <w:rFonts w:cs="Times New Roman"/>
      </w:rPr>
    </w:lvl>
  </w:abstractNum>
  <w:abstractNum w:abstractNumId="1">
    <w:nsid w:val="03475F34"/>
    <w:multiLevelType w:val="hybridMultilevel"/>
    <w:tmpl w:val="570E0784"/>
    <w:lvl w:ilvl="0" w:tplc="0780F866">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6B613A"/>
    <w:multiLevelType w:val="hybridMultilevel"/>
    <w:tmpl w:val="6AB6258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9D56887"/>
    <w:multiLevelType w:val="hybridMultilevel"/>
    <w:tmpl w:val="B5368B14"/>
    <w:lvl w:ilvl="0" w:tplc="0780F866">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A61513C"/>
    <w:multiLevelType w:val="hybridMultilevel"/>
    <w:tmpl w:val="76C030F8"/>
    <w:lvl w:ilvl="0" w:tplc="0780F866">
      <w:start w:val="1"/>
      <w:numFmt w:val="bullet"/>
      <w:lvlText w:val=""/>
      <w:lvlJc w:val="left"/>
      <w:pPr>
        <w:ind w:left="1080" w:hanging="360"/>
      </w:pPr>
      <w:rPr>
        <w:rFonts w:ascii="Wingdings" w:hAnsi="Wingdings" w:hint="default"/>
        <w:color w:val="0194A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0F6253CA"/>
    <w:multiLevelType w:val="hybridMultilevel"/>
    <w:tmpl w:val="6DD85E58"/>
    <w:lvl w:ilvl="0" w:tplc="0780F866">
      <w:start w:val="1"/>
      <w:numFmt w:val="bullet"/>
      <w:lvlText w:val=""/>
      <w:lvlJc w:val="left"/>
      <w:pPr>
        <w:ind w:left="1080" w:hanging="360"/>
      </w:pPr>
      <w:rPr>
        <w:rFonts w:ascii="Wingdings" w:hAnsi="Wingdings" w:hint="default"/>
        <w:color w:val="0194A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11146B93"/>
    <w:multiLevelType w:val="hybridMultilevel"/>
    <w:tmpl w:val="51B4FE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15F16C95"/>
    <w:multiLevelType w:val="hybridMultilevel"/>
    <w:tmpl w:val="DC123DA4"/>
    <w:lvl w:ilvl="0" w:tplc="0780F866">
      <w:start w:val="1"/>
      <w:numFmt w:val="bullet"/>
      <w:lvlText w:val=""/>
      <w:lvlJc w:val="left"/>
      <w:pPr>
        <w:ind w:left="1080" w:hanging="360"/>
      </w:pPr>
      <w:rPr>
        <w:rFonts w:ascii="Wingdings" w:hAnsi="Wingdings" w:hint="default"/>
        <w:color w:val="0194A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18CC7316"/>
    <w:multiLevelType w:val="hybridMultilevel"/>
    <w:tmpl w:val="CC64C4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C0B7EBB"/>
    <w:multiLevelType w:val="hybridMultilevel"/>
    <w:tmpl w:val="41EEA7A2"/>
    <w:lvl w:ilvl="0" w:tplc="8DE61D54">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36522BB"/>
    <w:multiLevelType w:val="hybridMultilevel"/>
    <w:tmpl w:val="35AC5398"/>
    <w:lvl w:ilvl="0" w:tplc="0780F866">
      <w:start w:val="1"/>
      <w:numFmt w:val="bullet"/>
      <w:lvlText w:val=""/>
      <w:lvlJc w:val="left"/>
      <w:pPr>
        <w:ind w:left="1080" w:hanging="360"/>
      </w:pPr>
      <w:rPr>
        <w:rFonts w:ascii="Wingdings" w:hAnsi="Wingdings" w:hint="default"/>
        <w:color w:val="0194A6"/>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23967C9A"/>
    <w:multiLevelType w:val="hybridMultilevel"/>
    <w:tmpl w:val="3CC6E30A"/>
    <w:lvl w:ilvl="0" w:tplc="AB86CA3C">
      <w:start w:val="1"/>
      <w:numFmt w:val="bullet"/>
      <w:pStyle w:val="Dotpoint"/>
      <w:lvlText w:val=""/>
      <w:lvlJc w:val="left"/>
      <w:pPr>
        <w:tabs>
          <w:tab w:val="num" w:pos="1385"/>
        </w:tabs>
        <w:ind w:left="1385" w:hanging="283"/>
      </w:pPr>
      <w:rPr>
        <w:rFonts w:ascii="Symbol" w:hAnsi="Symbol" w:hint="default"/>
      </w:rPr>
    </w:lvl>
    <w:lvl w:ilvl="1" w:tplc="0C090003" w:tentative="1">
      <w:start w:val="1"/>
      <w:numFmt w:val="bullet"/>
      <w:lvlText w:val="o"/>
      <w:lvlJc w:val="left"/>
      <w:pPr>
        <w:tabs>
          <w:tab w:val="num" w:pos="1462"/>
        </w:tabs>
        <w:ind w:left="1462" w:hanging="360"/>
      </w:pPr>
      <w:rPr>
        <w:rFonts w:ascii="Courier New" w:hAnsi="Courier New" w:hint="default"/>
      </w:rPr>
    </w:lvl>
    <w:lvl w:ilvl="2" w:tplc="0C090005" w:tentative="1">
      <w:start w:val="1"/>
      <w:numFmt w:val="bullet"/>
      <w:lvlText w:val=""/>
      <w:lvlJc w:val="left"/>
      <w:pPr>
        <w:tabs>
          <w:tab w:val="num" w:pos="2182"/>
        </w:tabs>
        <w:ind w:left="2182" w:hanging="360"/>
      </w:pPr>
      <w:rPr>
        <w:rFonts w:ascii="Wingdings" w:hAnsi="Wingdings" w:hint="default"/>
      </w:rPr>
    </w:lvl>
    <w:lvl w:ilvl="3" w:tplc="0C090001" w:tentative="1">
      <w:start w:val="1"/>
      <w:numFmt w:val="bullet"/>
      <w:lvlText w:val=""/>
      <w:lvlJc w:val="left"/>
      <w:pPr>
        <w:tabs>
          <w:tab w:val="num" w:pos="2902"/>
        </w:tabs>
        <w:ind w:left="2902" w:hanging="360"/>
      </w:pPr>
      <w:rPr>
        <w:rFonts w:ascii="Symbol" w:hAnsi="Symbol" w:hint="default"/>
      </w:rPr>
    </w:lvl>
    <w:lvl w:ilvl="4" w:tplc="0C090003" w:tentative="1">
      <w:start w:val="1"/>
      <w:numFmt w:val="bullet"/>
      <w:lvlText w:val="o"/>
      <w:lvlJc w:val="left"/>
      <w:pPr>
        <w:tabs>
          <w:tab w:val="num" w:pos="3622"/>
        </w:tabs>
        <w:ind w:left="3622" w:hanging="360"/>
      </w:pPr>
      <w:rPr>
        <w:rFonts w:ascii="Courier New" w:hAnsi="Courier New" w:hint="default"/>
      </w:rPr>
    </w:lvl>
    <w:lvl w:ilvl="5" w:tplc="0C090005" w:tentative="1">
      <w:start w:val="1"/>
      <w:numFmt w:val="bullet"/>
      <w:lvlText w:val=""/>
      <w:lvlJc w:val="left"/>
      <w:pPr>
        <w:tabs>
          <w:tab w:val="num" w:pos="4342"/>
        </w:tabs>
        <w:ind w:left="4342" w:hanging="360"/>
      </w:pPr>
      <w:rPr>
        <w:rFonts w:ascii="Wingdings" w:hAnsi="Wingdings" w:hint="default"/>
      </w:rPr>
    </w:lvl>
    <w:lvl w:ilvl="6" w:tplc="0C090001" w:tentative="1">
      <w:start w:val="1"/>
      <w:numFmt w:val="bullet"/>
      <w:lvlText w:val=""/>
      <w:lvlJc w:val="left"/>
      <w:pPr>
        <w:tabs>
          <w:tab w:val="num" w:pos="5062"/>
        </w:tabs>
        <w:ind w:left="5062" w:hanging="360"/>
      </w:pPr>
      <w:rPr>
        <w:rFonts w:ascii="Symbol" w:hAnsi="Symbol" w:hint="default"/>
      </w:rPr>
    </w:lvl>
    <w:lvl w:ilvl="7" w:tplc="0C090003" w:tentative="1">
      <w:start w:val="1"/>
      <w:numFmt w:val="bullet"/>
      <w:lvlText w:val="o"/>
      <w:lvlJc w:val="left"/>
      <w:pPr>
        <w:tabs>
          <w:tab w:val="num" w:pos="5782"/>
        </w:tabs>
        <w:ind w:left="5782" w:hanging="360"/>
      </w:pPr>
      <w:rPr>
        <w:rFonts w:ascii="Courier New" w:hAnsi="Courier New" w:hint="default"/>
      </w:rPr>
    </w:lvl>
    <w:lvl w:ilvl="8" w:tplc="0C090005" w:tentative="1">
      <w:start w:val="1"/>
      <w:numFmt w:val="bullet"/>
      <w:lvlText w:val=""/>
      <w:lvlJc w:val="left"/>
      <w:pPr>
        <w:tabs>
          <w:tab w:val="num" w:pos="6502"/>
        </w:tabs>
        <w:ind w:left="6502" w:hanging="360"/>
      </w:pPr>
      <w:rPr>
        <w:rFonts w:ascii="Wingdings" w:hAnsi="Wingdings" w:hint="default"/>
      </w:rPr>
    </w:lvl>
  </w:abstractNum>
  <w:abstractNum w:abstractNumId="12">
    <w:nsid w:val="3B2D62F7"/>
    <w:multiLevelType w:val="hybridMultilevel"/>
    <w:tmpl w:val="E5EAFE74"/>
    <w:lvl w:ilvl="0" w:tplc="0780F866">
      <w:start w:val="1"/>
      <w:numFmt w:val="bullet"/>
      <w:lvlText w:val=""/>
      <w:lvlJc w:val="left"/>
      <w:pPr>
        <w:ind w:left="1080" w:hanging="360"/>
      </w:pPr>
      <w:rPr>
        <w:rFonts w:ascii="Wingdings" w:hAnsi="Wingdings" w:hint="default"/>
        <w:color w:val="0194A6"/>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3B950743"/>
    <w:multiLevelType w:val="hybridMultilevel"/>
    <w:tmpl w:val="BB867360"/>
    <w:lvl w:ilvl="0" w:tplc="88746CC6">
      <w:start w:val="1"/>
      <w:numFmt w:val="bullet"/>
      <w:lvlText w:val=""/>
      <w:lvlJc w:val="left"/>
      <w:pPr>
        <w:ind w:left="360" w:hanging="360"/>
      </w:pPr>
      <w:rPr>
        <w:rFonts w:ascii="Wingdings" w:hAnsi="Wingdings" w:hint="default"/>
        <w:color w:val="0194A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1B03E8A"/>
    <w:multiLevelType w:val="hybridMultilevel"/>
    <w:tmpl w:val="DA28C9FA"/>
    <w:lvl w:ilvl="0" w:tplc="0780F866">
      <w:start w:val="1"/>
      <w:numFmt w:val="bullet"/>
      <w:lvlText w:val=""/>
      <w:lvlJc w:val="left"/>
      <w:pPr>
        <w:ind w:left="1080" w:hanging="360"/>
      </w:pPr>
      <w:rPr>
        <w:rFonts w:ascii="Wingdings" w:hAnsi="Wingdings" w:hint="default"/>
        <w:color w:val="0194A6"/>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4C4959BF"/>
    <w:multiLevelType w:val="hybridMultilevel"/>
    <w:tmpl w:val="2C4A685C"/>
    <w:lvl w:ilvl="0" w:tplc="EE945774">
      <w:start w:val="1"/>
      <w:numFmt w:val="bullet"/>
      <w:lvlText w:val=""/>
      <w:lvlJc w:val="left"/>
      <w:pPr>
        <w:ind w:left="720" w:hanging="360"/>
      </w:pPr>
      <w:rPr>
        <w:rFonts w:ascii="Wingdings" w:hAnsi="Wingdings" w:hint="default"/>
        <w:color w:val="0194A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29972D3"/>
    <w:multiLevelType w:val="hybridMultilevel"/>
    <w:tmpl w:val="80327E28"/>
    <w:lvl w:ilvl="0" w:tplc="0780F866">
      <w:start w:val="1"/>
      <w:numFmt w:val="bullet"/>
      <w:lvlText w:val=""/>
      <w:lvlJc w:val="left"/>
      <w:pPr>
        <w:ind w:left="720" w:hanging="360"/>
      </w:pPr>
      <w:rPr>
        <w:rFonts w:ascii="Wingdings" w:hAnsi="Wingdings" w:hint="default"/>
        <w:color w:val="0194A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5822202"/>
    <w:multiLevelType w:val="hybridMultilevel"/>
    <w:tmpl w:val="E31C4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6B236BE"/>
    <w:multiLevelType w:val="hybridMultilevel"/>
    <w:tmpl w:val="A6ACAC54"/>
    <w:lvl w:ilvl="0" w:tplc="0780F866">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D9014E1"/>
    <w:multiLevelType w:val="hybridMultilevel"/>
    <w:tmpl w:val="E03283D8"/>
    <w:lvl w:ilvl="0" w:tplc="81BECFF4">
      <w:start w:val="1"/>
      <w:numFmt w:val="bullet"/>
      <w:lvlText w:val=""/>
      <w:lvlJc w:val="left"/>
      <w:pPr>
        <w:ind w:left="720" w:hanging="360"/>
      </w:pPr>
      <w:rPr>
        <w:rFonts w:ascii="Wingdings" w:hAnsi="Wingdings" w:hint="default"/>
        <w:color w:val="0194A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4026446"/>
    <w:multiLevelType w:val="hybridMultilevel"/>
    <w:tmpl w:val="7818C5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642A586B"/>
    <w:multiLevelType w:val="hybridMultilevel"/>
    <w:tmpl w:val="AB50AF3A"/>
    <w:lvl w:ilvl="0" w:tplc="0780F866">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23">
    <w:nsid w:val="6B126074"/>
    <w:multiLevelType w:val="multilevel"/>
    <w:tmpl w:val="17601736"/>
    <w:styleLink w:val="Numberletterbullets"/>
    <w:lvl w:ilvl="0">
      <w:start w:val="1"/>
      <w:numFmt w:val="decimal"/>
      <w:lvlText w:val="%1."/>
      <w:lvlJc w:val="left"/>
      <w:pPr>
        <w:tabs>
          <w:tab w:val="num" w:pos="720"/>
        </w:tabs>
        <w:ind w:left="720" w:hanging="360"/>
      </w:pPr>
      <w:rPr>
        <w:rFonts w:ascii="Arial" w:hAnsi="Arial" w:cs="Times New Roman"/>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735A16A6"/>
    <w:multiLevelType w:val="multilevel"/>
    <w:tmpl w:val="B5FC094A"/>
    <w:styleLink w:val="BulletLevel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75063D6D"/>
    <w:multiLevelType w:val="hybridMultilevel"/>
    <w:tmpl w:val="1E38C0F0"/>
    <w:lvl w:ilvl="0" w:tplc="0780F866">
      <w:start w:val="1"/>
      <w:numFmt w:val="bullet"/>
      <w:lvlText w:val=""/>
      <w:lvlJc w:val="left"/>
      <w:pPr>
        <w:ind w:left="720" w:hanging="360"/>
      </w:pPr>
      <w:rPr>
        <w:rFonts w:ascii="Wingdings" w:hAnsi="Wingdings" w:hint="default"/>
        <w:color w:val="0194A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ABC4151"/>
    <w:multiLevelType w:val="hybridMultilevel"/>
    <w:tmpl w:val="DE60A5F0"/>
    <w:lvl w:ilvl="0" w:tplc="0780F866">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3">
    <w:abstractNumId w:val="11"/>
  </w:num>
  <w:num w:numId="4">
    <w:abstractNumId w:val="22"/>
  </w:num>
  <w:num w:numId="5">
    <w:abstractNumId w:val="23"/>
  </w:num>
  <w:num w:numId="6">
    <w:abstractNumId w:val="13"/>
  </w:num>
  <w:num w:numId="7">
    <w:abstractNumId w:val="20"/>
  </w:num>
  <w:num w:numId="8">
    <w:abstractNumId w:val="6"/>
  </w:num>
  <w:num w:numId="9">
    <w:abstractNumId w:val="8"/>
  </w:num>
  <w:num w:numId="10">
    <w:abstractNumId w:val="2"/>
  </w:num>
  <w:num w:numId="11">
    <w:abstractNumId w:val="18"/>
  </w:num>
  <w:num w:numId="12">
    <w:abstractNumId w:val="1"/>
  </w:num>
  <w:num w:numId="13">
    <w:abstractNumId w:val="13"/>
  </w:num>
  <w:num w:numId="14">
    <w:abstractNumId w:val="14"/>
  </w:num>
  <w:num w:numId="15">
    <w:abstractNumId w:val="13"/>
  </w:num>
  <w:num w:numId="16">
    <w:abstractNumId w:val="13"/>
  </w:num>
  <w:num w:numId="17">
    <w:abstractNumId w:val="13"/>
  </w:num>
  <w:num w:numId="18">
    <w:abstractNumId w:val="13"/>
  </w:num>
  <w:num w:numId="19">
    <w:abstractNumId w:val="13"/>
  </w:num>
  <w:num w:numId="20">
    <w:abstractNumId w:val="25"/>
  </w:num>
  <w:num w:numId="21">
    <w:abstractNumId w:val="9"/>
  </w:num>
  <w:num w:numId="22">
    <w:abstractNumId w:val="13"/>
  </w:num>
  <w:num w:numId="23">
    <w:abstractNumId w:val="16"/>
  </w:num>
  <w:num w:numId="24">
    <w:abstractNumId w:val="19"/>
  </w:num>
  <w:num w:numId="25">
    <w:abstractNumId w:val="19"/>
  </w:num>
  <w:num w:numId="26">
    <w:abstractNumId w:val="15"/>
  </w:num>
  <w:num w:numId="27">
    <w:abstractNumId w:val="17"/>
  </w:num>
  <w:num w:numId="28">
    <w:abstractNumId w:val="7"/>
  </w:num>
  <w:num w:numId="29">
    <w:abstractNumId w:val="5"/>
  </w:num>
  <w:num w:numId="30">
    <w:abstractNumId w:val="4"/>
  </w:num>
  <w:num w:numId="31">
    <w:abstractNumId w:val="12"/>
  </w:num>
  <w:num w:numId="32">
    <w:abstractNumId w:val="10"/>
  </w:num>
  <w:num w:numId="33">
    <w:abstractNumId w:val="26"/>
  </w:num>
  <w:num w:numId="34">
    <w:abstractNumId w:val="21"/>
  </w:num>
  <w:num w:numId="35">
    <w:abstractNumId w:val="3"/>
  </w:num>
  <w:num w:numId="3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222"/>
    <w:rsid w:val="0000366A"/>
    <w:rsid w:val="00003FF8"/>
    <w:rsid w:val="00006D48"/>
    <w:rsid w:val="00012CD3"/>
    <w:rsid w:val="000175A1"/>
    <w:rsid w:val="00020ED9"/>
    <w:rsid w:val="00023637"/>
    <w:rsid w:val="0002525C"/>
    <w:rsid w:val="00043D62"/>
    <w:rsid w:val="00043D63"/>
    <w:rsid w:val="00044A07"/>
    <w:rsid w:val="00057AE4"/>
    <w:rsid w:val="000602B9"/>
    <w:rsid w:val="000634CA"/>
    <w:rsid w:val="00064562"/>
    <w:rsid w:val="000652ED"/>
    <w:rsid w:val="00065406"/>
    <w:rsid w:val="00065B5F"/>
    <w:rsid w:val="00067031"/>
    <w:rsid w:val="00070178"/>
    <w:rsid w:val="00085832"/>
    <w:rsid w:val="00090047"/>
    <w:rsid w:val="0009727F"/>
    <w:rsid w:val="000A5FE4"/>
    <w:rsid w:val="000B046A"/>
    <w:rsid w:val="000B04DA"/>
    <w:rsid w:val="000B1AB6"/>
    <w:rsid w:val="000C1DF4"/>
    <w:rsid w:val="000C359C"/>
    <w:rsid w:val="000C63F1"/>
    <w:rsid w:val="000C6A5F"/>
    <w:rsid w:val="000D29E1"/>
    <w:rsid w:val="000E08E4"/>
    <w:rsid w:val="000E23F9"/>
    <w:rsid w:val="000E2601"/>
    <w:rsid w:val="000E362E"/>
    <w:rsid w:val="000E37AC"/>
    <w:rsid w:val="000F0FBA"/>
    <w:rsid w:val="000F2720"/>
    <w:rsid w:val="000F4298"/>
    <w:rsid w:val="000F4B5B"/>
    <w:rsid w:val="001014A0"/>
    <w:rsid w:val="00105CEF"/>
    <w:rsid w:val="00106B77"/>
    <w:rsid w:val="00111949"/>
    <w:rsid w:val="00117A9D"/>
    <w:rsid w:val="001215B5"/>
    <w:rsid w:val="00124DAB"/>
    <w:rsid w:val="00125A38"/>
    <w:rsid w:val="00127C72"/>
    <w:rsid w:val="00133B21"/>
    <w:rsid w:val="0013580F"/>
    <w:rsid w:val="00136608"/>
    <w:rsid w:val="001367D1"/>
    <w:rsid w:val="00142043"/>
    <w:rsid w:val="00142F9C"/>
    <w:rsid w:val="001506E4"/>
    <w:rsid w:val="001565E5"/>
    <w:rsid w:val="001568CA"/>
    <w:rsid w:val="001607FB"/>
    <w:rsid w:val="0016101D"/>
    <w:rsid w:val="00161375"/>
    <w:rsid w:val="00162449"/>
    <w:rsid w:val="0016465A"/>
    <w:rsid w:val="001676B6"/>
    <w:rsid w:val="00171BAD"/>
    <w:rsid w:val="001771B0"/>
    <w:rsid w:val="001777EE"/>
    <w:rsid w:val="00181475"/>
    <w:rsid w:val="001850B4"/>
    <w:rsid w:val="00190245"/>
    <w:rsid w:val="00190392"/>
    <w:rsid w:val="0019080C"/>
    <w:rsid w:val="00194A0D"/>
    <w:rsid w:val="001A4525"/>
    <w:rsid w:val="001A7D36"/>
    <w:rsid w:val="001B2781"/>
    <w:rsid w:val="001B2A68"/>
    <w:rsid w:val="001B587B"/>
    <w:rsid w:val="001C0F42"/>
    <w:rsid w:val="001D1E74"/>
    <w:rsid w:val="001D3924"/>
    <w:rsid w:val="001D6D36"/>
    <w:rsid w:val="001D75B0"/>
    <w:rsid w:val="001E3C5B"/>
    <w:rsid w:val="001E47B4"/>
    <w:rsid w:val="001F1F18"/>
    <w:rsid w:val="001F20C3"/>
    <w:rsid w:val="001F3149"/>
    <w:rsid w:val="001F3169"/>
    <w:rsid w:val="00202975"/>
    <w:rsid w:val="00202E5C"/>
    <w:rsid w:val="00205DBE"/>
    <w:rsid w:val="00214011"/>
    <w:rsid w:val="002237FC"/>
    <w:rsid w:val="00244EEE"/>
    <w:rsid w:val="002450DA"/>
    <w:rsid w:val="00245FB7"/>
    <w:rsid w:val="00252709"/>
    <w:rsid w:val="002533F0"/>
    <w:rsid w:val="00253BA6"/>
    <w:rsid w:val="0025534A"/>
    <w:rsid w:val="00274039"/>
    <w:rsid w:val="00274AEF"/>
    <w:rsid w:val="0028031C"/>
    <w:rsid w:val="002805CE"/>
    <w:rsid w:val="0028208F"/>
    <w:rsid w:val="00292AAB"/>
    <w:rsid w:val="002958C4"/>
    <w:rsid w:val="00297A0D"/>
    <w:rsid w:val="002A2A9A"/>
    <w:rsid w:val="002A4141"/>
    <w:rsid w:val="002A4276"/>
    <w:rsid w:val="002A44AD"/>
    <w:rsid w:val="002B5FAD"/>
    <w:rsid w:val="002B621B"/>
    <w:rsid w:val="002C4986"/>
    <w:rsid w:val="002C769D"/>
    <w:rsid w:val="002D4156"/>
    <w:rsid w:val="002D7B33"/>
    <w:rsid w:val="002E23E2"/>
    <w:rsid w:val="002E4522"/>
    <w:rsid w:val="002E6E0C"/>
    <w:rsid w:val="002F0DF6"/>
    <w:rsid w:val="002F61D0"/>
    <w:rsid w:val="00300CE2"/>
    <w:rsid w:val="0031423C"/>
    <w:rsid w:val="00315AB8"/>
    <w:rsid w:val="0032006D"/>
    <w:rsid w:val="003215C7"/>
    <w:rsid w:val="003304D7"/>
    <w:rsid w:val="00330F14"/>
    <w:rsid w:val="00332317"/>
    <w:rsid w:val="0033684C"/>
    <w:rsid w:val="00340E0D"/>
    <w:rsid w:val="003419A2"/>
    <w:rsid w:val="00341A80"/>
    <w:rsid w:val="0034403B"/>
    <w:rsid w:val="00345AD1"/>
    <w:rsid w:val="00357458"/>
    <w:rsid w:val="00357D51"/>
    <w:rsid w:val="00370365"/>
    <w:rsid w:val="00371258"/>
    <w:rsid w:val="003749B1"/>
    <w:rsid w:val="00374EF9"/>
    <w:rsid w:val="00375607"/>
    <w:rsid w:val="0038439E"/>
    <w:rsid w:val="003861B5"/>
    <w:rsid w:val="003952ED"/>
    <w:rsid w:val="003A0848"/>
    <w:rsid w:val="003A125B"/>
    <w:rsid w:val="003A12E3"/>
    <w:rsid w:val="003A52FD"/>
    <w:rsid w:val="003A6AD2"/>
    <w:rsid w:val="003B121D"/>
    <w:rsid w:val="003B2808"/>
    <w:rsid w:val="003B35B1"/>
    <w:rsid w:val="003B62FE"/>
    <w:rsid w:val="003C6D5B"/>
    <w:rsid w:val="003D09D6"/>
    <w:rsid w:val="003D18E2"/>
    <w:rsid w:val="003D2933"/>
    <w:rsid w:val="003E0FDA"/>
    <w:rsid w:val="003E2FB5"/>
    <w:rsid w:val="00400743"/>
    <w:rsid w:val="0040294F"/>
    <w:rsid w:val="00403015"/>
    <w:rsid w:val="004033BF"/>
    <w:rsid w:val="004044C1"/>
    <w:rsid w:val="004046AC"/>
    <w:rsid w:val="0040543F"/>
    <w:rsid w:val="00405844"/>
    <w:rsid w:val="00410018"/>
    <w:rsid w:val="004171B5"/>
    <w:rsid w:val="004206EE"/>
    <w:rsid w:val="00426002"/>
    <w:rsid w:val="00431EBC"/>
    <w:rsid w:val="00433812"/>
    <w:rsid w:val="00436CD6"/>
    <w:rsid w:val="00451CB0"/>
    <w:rsid w:val="0045285F"/>
    <w:rsid w:val="00452904"/>
    <w:rsid w:val="0045600E"/>
    <w:rsid w:val="00456CA5"/>
    <w:rsid w:val="00463E3D"/>
    <w:rsid w:val="00463F3A"/>
    <w:rsid w:val="004650C3"/>
    <w:rsid w:val="00467B47"/>
    <w:rsid w:val="00475F07"/>
    <w:rsid w:val="00484011"/>
    <w:rsid w:val="0049261B"/>
    <w:rsid w:val="004947D1"/>
    <w:rsid w:val="0049495F"/>
    <w:rsid w:val="00494BAC"/>
    <w:rsid w:val="00495DA8"/>
    <w:rsid w:val="00497F76"/>
    <w:rsid w:val="004A29A2"/>
    <w:rsid w:val="004B2104"/>
    <w:rsid w:val="004B22F3"/>
    <w:rsid w:val="004B2D7B"/>
    <w:rsid w:val="004C0B58"/>
    <w:rsid w:val="004C22CA"/>
    <w:rsid w:val="004C33F0"/>
    <w:rsid w:val="004C6B22"/>
    <w:rsid w:val="004D111F"/>
    <w:rsid w:val="004E2431"/>
    <w:rsid w:val="004E3470"/>
    <w:rsid w:val="004E36F6"/>
    <w:rsid w:val="004E7102"/>
    <w:rsid w:val="004E7C5C"/>
    <w:rsid w:val="004F0B1E"/>
    <w:rsid w:val="004F15FA"/>
    <w:rsid w:val="004F3284"/>
    <w:rsid w:val="004F4518"/>
    <w:rsid w:val="00501D43"/>
    <w:rsid w:val="00502485"/>
    <w:rsid w:val="00503E04"/>
    <w:rsid w:val="005103EE"/>
    <w:rsid w:val="00512B40"/>
    <w:rsid w:val="00514D94"/>
    <w:rsid w:val="00521222"/>
    <w:rsid w:val="005239CB"/>
    <w:rsid w:val="00523F90"/>
    <w:rsid w:val="00524C21"/>
    <w:rsid w:val="005260A1"/>
    <w:rsid w:val="00527E84"/>
    <w:rsid w:val="00533528"/>
    <w:rsid w:val="00535C9E"/>
    <w:rsid w:val="0054474D"/>
    <w:rsid w:val="00544CC9"/>
    <w:rsid w:val="00546C2E"/>
    <w:rsid w:val="00551512"/>
    <w:rsid w:val="00554189"/>
    <w:rsid w:val="00560A32"/>
    <w:rsid w:val="00560F87"/>
    <w:rsid w:val="005612C2"/>
    <w:rsid w:val="00576FBC"/>
    <w:rsid w:val="00587007"/>
    <w:rsid w:val="00587A9D"/>
    <w:rsid w:val="00592A13"/>
    <w:rsid w:val="00593E35"/>
    <w:rsid w:val="00596451"/>
    <w:rsid w:val="005B3334"/>
    <w:rsid w:val="005B3A17"/>
    <w:rsid w:val="005B513C"/>
    <w:rsid w:val="005C390A"/>
    <w:rsid w:val="005D107E"/>
    <w:rsid w:val="005E33B7"/>
    <w:rsid w:val="005E3ED5"/>
    <w:rsid w:val="005E4D78"/>
    <w:rsid w:val="005F74D9"/>
    <w:rsid w:val="00602CBE"/>
    <w:rsid w:val="0060649A"/>
    <w:rsid w:val="006065EE"/>
    <w:rsid w:val="00607993"/>
    <w:rsid w:val="00612257"/>
    <w:rsid w:val="00616148"/>
    <w:rsid w:val="00624A88"/>
    <w:rsid w:val="0062705E"/>
    <w:rsid w:val="00631685"/>
    <w:rsid w:val="00635BD6"/>
    <w:rsid w:val="00637381"/>
    <w:rsid w:val="00637D93"/>
    <w:rsid w:val="00657AAD"/>
    <w:rsid w:val="006615E0"/>
    <w:rsid w:val="0066191E"/>
    <w:rsid w:val="00663F9B"/>
    <w:rsid w:val="00666A7E"/>
    <w:rsid w:val="00666FD1"/>
    <w:rsid w:val="00681844"/>
    <w:rsid w:val="006824E7"/>
    <w:rsid w:val="00683151"/>
    <w:rsid w:val="00683456"/>
    <w:rsid w:val="006834EC"/>
    <w:rsid w:val="006836FC"/>
    <w:rsid w:val="00686CAE"/>
    <w:rsid w:val="006878B3"/>
    <w:rsid w:val="0069564F"/>
    <w:rsid w:val="006A3313"/>
    <w:rsid w:val="006A412C"/>
    <w:rsid w:val="006B361A"/>
    <w:rsid w:val="006B3DB9"/>
    <w:rsid w:val="006B7D36"/>
    <w:rsid w:val="006C1F69"/>
    <w:rsid w:val="006C2BEE"/>
    <w:rsid w:val="006C33C8"/>
    <w:rsid w:val="006E34AE"/>
    <w:rsid w:val="006E4D7E"/>
    <w:rsid w:val="006E7D24"/>
    <w:rsid w:val="006F446F"/>
    <w:rsid w:val="007013DD"/>
    <w:rsid w:val="00712873"/>
    <w:rsid w:val="00717C75"/>
    <w:rsid w:val="007218F9"/>
    <w:rsid w:val="00722F6E"/>
    <w:rsid w:val="00732394"/>
    <w:rsid w:val="0073665F"/>
    <w:rsid w:val="00736C10"/>
    <w:rsid w:val="00743B2F"/>
    <w:rsid w:val="007528B9"/>
    <w:rsid w:val="00770FFF"/>
    <w:rsid w:val="00774166"/>
    <w:rsid w:val="00791818"/>
    <w:rsid w:val="007A2082"/>
    <w:rsid w:val="007A2D49"/>
    <w:rsid w:val="007A6309"/>
    <w:rsid w:val="007B0075"/>
    <w:rsid w:val="007B16EE"/>
    <w:rsid w:val="007C677C"/>
    <w:rsid w:val="007D66FA"/>
    <w:rsid w:val="007E1B5B"/>
    <w:rsid w:val="007E3190"/>
    <w:rsid w:val="007E4C63"/>
    <w:rsid w:val="007E636D"/>
    <w:rsid w:val="007E6493"/>
    <w:rsid w:val="007F257F"/>
    <w:rsid w:val="00810FBC"/>
    <w:rsid w:val="00813552"/>
    <w:rsid w:val="0081411F"/>
    <w:rsid w:val="00817770"/>
    <w:rsid w:val="008205AC"/>
    <w:rsid w:val="008217E4"/>
    <w:rsid w:val="00821ADC"/>
    <w:rsid w:val="008324C6"/>
    <w:rsid w:val="008340F6"/>
    <w:rsid w:val="00837C67"/>
    <w:rsid w:val="00840399"/>
    <w:rsid w:val="00842794"/>
    <w:rsid w:val="00843413"/>
    <w:rsid w:val="00843D90"/>
    <w:rsid w:val="00856E98"/>
    <w:rsid w:val="00860091"/>
    <w:rsid w:val="00861DC8"/>
    <w:rsid w:val="0086511F"/>
    <w:rsid w:val="00867FAE"/>
    <w:rsid w:val="00871ED7"/>
    <w:rsid w:val="00872779"/>
    <w:rsid w:val="00874908"/>
    <w:rsid w:val="008770CF"/>
    <w:rsid w:val="00877300"/>
    <w:rsid w:val="0088083E"/>
    <w:rsid w:val="00880E72"/>
    <w:rsid w:val="008850A2"/>
    <w:rsid w:val="0088737E"/>
    <w:rsid w:val="00892902"/>
    <w:rsid w:val="008967E4"/>
    <w:rsid w:val="008979FD"/>
    <w:rsid w:val="008A56AA"/>
    <w:rsid w:val="008A6906"/>
    <w:rsid w:val="008B23F8"/>
    <w:rsid w:val="008B3974"/>
    <w:rsid w:val="008B4B17"/>
    <w:rsid w:val="008B64FB"/>
    <w:rsid w:val="008B7934"/>
    <w:rsid w:val="008C494F"/>
    <w:rsid w:val="008C62C4"/>
    <w:rsid w:val="008C68B5"/>
    <w:rsid w:val="008D7319"/>
    <w:rsid w:val="008E32E4"/>
    <w:rsid w:val="008E46F0"/>
    <w:rsid w:val="008E5CCA"/>
    <w:rsid w:val="008E61E1"/>
    <w:rsid w:val="008F22E5"/>
    <w:rsid w:val="008F2CC1"/>
    <w:rsid w:val="008F5354"/>
    <w:rsid w:val="008F5E6D"/>
    <w:rsid w:val="008F73A1"/>
    <w:rsid w:val="008F7AFC"/>
    <w:rsid w:val="00901C33"/>
    <w:rsid w:val="00910480"/>
    <w:rsid w:val="00911CB2"/>
    <w:rsid w:val="00911D94"/>
    <w:rsid w:val="0091246E"/>
    <w:rsid w:val="009137A7"/>
    <w:rsid w:val="0091664E"/>
    <w:rsid w:val="00917B83"/>
    <w:rsid w:val="00925B42"/>
    <w:rsid w:val="009317C8"/>
    <w:rsid w:val="009344C6"/>
    <w:rsid w:val="0093542C"/>
    <w:rsid w:val="00936511"/>
    <w:rsid w:val="009401AC"/>
    <w:rsid w:val="00954596"/>
    <w:rsid w:val="00960B57"/>
    <w:rsid w:val="009629F3"/>
    <w:rsid w:val="00962D84"/>
    <w:rsid w:val="00972C87"/>
    <w:rsid w:val="00973C4D"/>
    <w:rsid w:val="009742D2"/>
    <w:rsid w:val="00977969"/>
    <w:rsid w:val="00977F1A"/>
    <w:rsid w:val="0099387E"/>
    <w:rsid w:val="009943AB"/>
    <w:rsid w:val="009959D0"/>
    <w:rsid w:val="009A2F52"/>
    <w:rsid w:val="009A34FA"/>
    <w:rsid w:val="009B0B6A"/>
    <w:rsid w:val="009C10C3"/>
    <w:rsid w:val="009C14E2"/>
    <w:rsid w:val="009D2716"/>
    <w:rsid w:val="009D2725"/>
    <w:rsid w:val="009D7631"/>
    <w:rsid w:val="009D7DAB"/>
    <w:rsid w:val="009E0543"/>
    <w:rsid w:val="009E226F"/>
    <w:rsid w:val="009F0C25"/>
    <w:rsid w:val="009F78C5"/>
    <w:rsid w:val="00A00070"/>
    <w:rsid w:val="00A05A24"/>
    <w:rsid w:val="00A07A1B"/>
    <w:rsid w:val="00A12742"/>
    <w:rsid w:val="00A15574"/>
    <w:rsid w:val="00A17607"/>
    <w:rsid w:val="00A2395D"/>
    <w:rsid w:val="00A31EED"/>
    <w:rsid w:val="00A32E18"/>
    <w:rsid w:val="00A40015"/>
    <w:rsid w:val="00A46F23"/>
    <w:rsid w:val="00A50448"/>
    <w:rsid w:val="00A51049"/>
    <w:rsid w:val="00A5696D"/>
    <w:rsid w:val="00A57563"/>
    <w:rsid w:val="00A7186B"/>
    <w:rsid w:val="00A71BA4"/>
    <w:rsid w:val="00A71FA8"/>
    <w:rsid w:val="00A73C8E"/>
    <w:rsid w:val="00A81D40"/>
    <w:rsid w:val="00A82311"/>
    <w:rsid w:val="00A82E86"/>
    <w:rsid w:val="00A85F9C"/>
    <w:rsid w:val="00A86E16"/>
    <w:rsid w:val="00A9000B"/>
    <w:rsid w:val="00A946A9"/>
    <w:rsid w:val="00A95312"/>
    <w:rsid w:val="00A96EE5"/>
    <w:rsid w:val="00AA0A3E"/>
    <w:rsid w:val="00AA5E94"/>
    <w:rsid w:val="00AB098D"/>
    <w:rsid w:val="00AB27F9"/>
    <w:rsid w:val="00AC17ED"/>
    <w:rsid w:val="00AC229B"/>
    <w:rsid w:val="00AC7652"/>
    <w:rsid w:val="00AC7EC8"/>
    <w:rsid w:val="00AD0B0A"/>
    <w:rsid w:val="00AD3FD7"/>
    <w:rsid w:val="00AD5F7F"/>
    <w:rsid w:val="00AD7ACB"/>
    <w:rsid w:val="00AE0C8C"/>
    <w:rsid w:val="00AF0936"/>
    <w:rsid w:val="00AF4F86"/>
    <w:rsid w:val="00B0049B"/>
    <w:rsid w:val="00B00BC8"/>
    <w:rsid w:val="00B0570C"/>
    <w:rsid w:val="00B06EBB"/>
    <w:rsid w:val="00B0742B"/>
    <w:rsid w:val="00B11DDC"/>
    <w:rsid w:val="00B13C89"/>
    <w:rsid w:val="00B148E4"/>
    <w:rsid w:val="00B14AD9"/>
    <w:rsid w:val="00B17857"/>
    <w:rsid w:val="00B203B5"/>
    <w:rsid w:val="00B2054B"/>
    <w:rsid w:val="00B206C4"/>
    <w:rsid w:val="00B26E4B"/>
    <w:rsid w:val="00B33C57"/>
    <w:rsid w:val="00B36AC5"/>
    <w:rsid w:val="00B50851"/>
    <w:rsid w:val="00B64CA2"/>
    <w:rsid w:val="00B67D04"/>
    <w:rsid w:val="00B7294B"/>
    <w:rsid w:val="00B80E69"/>
    <w:rsid w:val="00B84227"/>
    <w:rsid w:val="00B842F5"/>
    <w:rsid w:val="00B8655E"/>
    <w:rsid w:val="00B903E9"/>
    <w:rsid w:val="00B90991"/>
    <w:rsid w:val="00B93204"/>
    <w:rsid w:val="00B9339B"/>
    <w:rsid w:val="00B94A6B"/>
    <w:rsid w:val="00B95520"/>
    <w:rsid w:val="00B97961"/>
    <w:rsid w:val="00BA1ACC"/>
    <w:rsid w:val="00BA4FF9"/>
    <w:rsid w:val="00BA602C"/>
    <w:rsid w:val="00BB25C4"/>
    <w:rsid w:val="00BB26EF"/>
    <w:rsid w:val="00BB59AA"/>
    <w:rsid w:val="00BC0280"/>
    <w:rsid w:val="00BD0563"/>
    <w:rsid w:val="00BD5CF8"/>
    <w:rsid w:val="00BD79E5"/>
    <w:rsid w:val="00BE15EC"/>
    <w:rsid w:val="00C00C46"/>
    <w:rsid w:val="00C02BFF"/>
    <w:rsid w:val="00C03AA8"/>
    <w:rsid w:val="00C11D0C"/>
    <w:rsid w:val="00C14135"/>
    <w:rsid w:val="00C2298B"/>
    <w:rsid w:val="00C22CED"/>
    <w:rsid w:val="00C24A7A"/>
    <w:rsid w:val="00C27BAE"/>
    <w:rsid w:val="00C32B02"/>
    <w:rsid w:val="00C35DCF"/>
    <w:rsid w:val="00C36E87"/>
    <w:rsid w:val="00C423F4"/>
    <w:rsid w:val="00C46495"/>
    <w:rsid w:val="00C46A9A"/>
    <w:rsid w:val="00C51199"/>
    <w:rsid w:val="00C538CC"/>
    <w:rsid w:val="00C55417"/>
    <w:rsid w:val="00C56962"/>
    <w:rsid w:val="00C62ACD"/>
    <w:rsid w:val="00C6446B"/>
    <w:rsid w:val="00C72D97"/>
    <w:rsid w:val="00C81AF7"/>
    <w:rsid w:val="00C87B86"/>
    <w:rsid w:val="00C9231F"/>
    <w:rsid w:val="00CB1A6E"/>
    <w:rsid w:val="00CC3FFC"/>
    <w:rsid w:val="00CC7FFE"/>
    <w:rsid w:val="00CD404B"/>
    <w:rsid w:val="00CD6F15"/>
    <w:rsid w:val="00CE3D01"/>
    <w:rsid w:val="00CE60A1"/>
    <w:rsid w:val="00CE63BE"/>
    <w:rsid w:val="00CF0B78"/>
    <w:rsid w:val="00CF3B06"/>
    <w:rsid w:val="00CF66D3"/>
    <w:rsid w:val="00D048A5"/>
    <w:rsid w:val="00D123F5"/>
    <w:rsid w:val="00D13A87"/>
    <w:rsid w:val="00D27F43"/>
    <w:rsid w:val="00D32399"/>
    <w:rsid w:val="00D3277B"/>
    <w:rsid w:val="00D363DC"/>
    <w:rsid w:val="00D42A76"/>
    <w:rsid w:val="00D42EF6"/>
    <w:rsid w:val="00D510C0"/>
    <w:rsid w:val="00D6528F"/>
    <w:rsid w:val="00D7342F"/>
    <w:rsid w:val="00D7578E"/>
    <w:rsid w:val="00D8198B"/>
    <w:rsid w:val="00D9028A"/>
    <w:rsid w:val="00D964E9"/>
    <w:rsid w:val="00DA0189"/>
    <w:rsid w:val="00DA096D"/>
    <w:rsid w:val="00DA57D3"/>
    <w:rsid w:val="00DA7E1A"/>
    <w:rsid w:val="00DB2871"/>
    <w:rsid w:val="00DB2A3D"/>
    <w:rsid w:val="00DB5915"/>
    <w:rsid w:val="00DB7C22"/>
    <w:rsid w:val="00DC0961"/>
    <w:rsid w:val="00DC1F8D"/>
    <w:rsid w:val="00DC5A09"/>
    <w:rsid w:val="00DC6E83"/>
    <w:rsid w:val="00DC7AC2"/>
    <w:rsid w:val="00DD181A"/>
    <w:rsid w:val="00DE7C28"/>
    <w:rsid w:val="00DF3235"/>
    <w:rsid w:val="00DF4831"/>
    <w:rsid w:val="00DF6D17"/>
    <w:rsid w:val="00E06DF3"/>
    <w:rsid w:val="00E10583"/>
    <w:rsid w:val="00E12200"/>
    <w:rsid w:val="00E151A0"/>
    <w:rsid w:val="00E22203"/>
    <w:rsid w:val="00E2399E"/>
    <w:rsid w:val="00E30631"/>
    <w:rsid w:val="00E32352"/>
    <w:rsid w:val="00E37F60"/>
    <w:rsid w:val="00E402C2"/>
    <w:rsid w:val="00E403BA"/>
    <w:rsid w:val="00E46CCA"/>
    <w:rsid w:val="00E47350"/>
    <w:rsid w:val="00E54458"/>
    <w:rsid w:val="00E60066"/>
    <w:rsid w:val="00E601F8"/>
    <w:rsid w:val="00E64EE0"/>
    <w:rsid w:val="00E6506D"/>
    <w:rsid w:val="00E65E59"/>
    <w:rsid w:val="00E73829"/>
    <w:rsid w:val="00E75D25"/>
    <w:rsid w:val="00E8678A"/>
    <w:rsid w:val="00E944DC"/>
    <w:rsid w:val="00E974A6"/>
    <w:rsid w:val="00EA2426"/>
    <w:rsid w:val="00EA299F"/>
    <w:rsid w:val="00EA5329"/>
    <w:rsid w:val="00EA6181"/>
    <w:rsid w:val="00EB1522"/>
    <w:rsid w:val="00EB2C3E"/>
    <w:rsid w:val="00EC55E6"/>
    <w:rsid w:val="00EC7441"/>
    <w:rsid w:val="00ED0D64"/>
    <w:rsid w:val="00ED295F"/>
    <w:rsid w:val="00ED4AEB"/>
    <w:rsid w:val="00ED60EC"/>
    <w:rsid w:val="00ED6E76"/>
    <w:rsid w:val="00EE21D8"/>
    <w:rsid w:val="00EE2EF8"/>
    <w:rsid w:val="00EE3963"/>
    <w:rsid w:val="00EE3A19"/>
    <w:rsid w:val="00EE406B"/>
    <w:rsid w:val="00EE573C"/>
    <w:rsid w:val="00EF053D"/>
    <w:rsid w:val="00EF394B"/>
    <w:rsid w:val="00EF6D72"/>
    <w:rsid w:val="00F06C62"/>
    <w:rsid w:val="00F105AC"/>
    <w:rsid w:val="00F13060"/>
    <w:rsid w:val="00F13475"/>
    <w:rsid w:val="00F13C55"/>
    <w:rsid w:val="00F23488"/>
    <w:rsid w:val="00F2588C"/>
    <w:rsid w:val="00F26590"/>
    <w:rsid w:val="00F31E30"/>
    <w:rsid w:val="00F51A80"/>
    <w:rsid w:val="00F55653"/>
    <w:rsid w:val="00F557CB"/>
    <w:rsid w:val="00F573B5"/>
    <w:rsid w:val="00F66106"/>
    <w:rsid w:val="00F7041D"/>
    <w:rsid w:val="00F75C29"/>
    <w:rsid w:val="00F77208"/>
    <w:rsid w:val="00F77D9C"/>
    <w:rsid w:val="00F8218D"/>
    <w:rsid w:val="00F84E0E"/>
    <w:rsid w:val="00F94F7D"/>
    <w:rsid w:val="00FA1039"/>
    <w:rsid w:val="00FA137B"/>
    <w:rsid w:val="00FA37A8"/>
    <w:rsid w:val="00FA64BA"/>
    <w:rsid w:val="00FB1516"/>
    <w:rsid w:val="00FB48B9"/>
    <w:rsid w:val="00FC11E0"/>
    <w:rsid w:val="00FC13F1"/>
    <w:rsid w:val="00FC5BA3"/>
    <w:rsid w:val="00FD21CA"/>
    <w:rsid w:val="00FE2A0E"/>
    <w:rsid w:val="00FE63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181E1C7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toc 1" w:uiPriority="39"/>
    <w:lsdException w:name="toc 2" w:uiPriority="39"/>
    <w:lsdException w:name="toc 3" w:uiPriority="39"/>
    <w:lsdException w:name="annotation text" w:uiPriority="99"/>
    <w:lsdException w:name="header" w:uiPriority="99"/>
    <w:lsdException w:name="footer" w:uiPriority="99"/>
    <w:lsdException w:name="annotation reference" w:uiPriority="99"/>
    <w:lsdException w:name="Hyperlink"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aliases w:val="Paragraph"/>
    <w:qFormat/>
    <w:rsid w:val="00C32B02"/>
    <w:pPr>
      <w:spacing w:after="120" w:line="360" w:lineRule="auto"/>
      <w:jc w:val="both"/>
    </w:pPr>
    <w:rPr>
      <w:rFonts w:ascii="Helvetica" w:hAnsi="Helvetica" w:cs="Arial"/>
      <w:sz w:val="22"/>
      <w:szCs w:val="24"/>
      <w:lang w:eastAsia="en-US"/>
    </w:rPr>
  </w:style>
  <w:style w:type="paragraph" w:styleId="Heading1">
    <w:name w:val="heading 1"/>
    <w:basedOn w:val="Normal"/>
    <w:next w:val="Normal"/>
    <w:link w:val="Heading1Char"/>
    <w:autoRedefine/>
    <w:uiPriority w:val="9"/>
    <w:qFormat/>
    <w:rsid w:val="005239CB"/>
    <w:pPr>
      <w:keepNext/>
      <w:keepLines/>
      <w:spacing w:before="240" w:after="0"/>
      <w:jc w:val="left"/>
      <w:outlineLvl w:val="0"/>
    </w:pPr>
    <w:rPr>
      <w:color w:val="0194A6"/>
      <w:sz w:val="44"/>
      <w:szCs w:val="26"/>
    </w:rPr>
  </w:style>
  <w:style w:type="paragraph" w:styleId="Heading2">
    <w:name w:val="heading 2"/>
    <w:basedOn w:val="Heading1"/>
    <w:next w:val="Normal"/>
    <w:link w:val="Heading2Char"/>
    <w:autoRedefine/>
    <w:uiPriority w:val="9"/>
    <w:qFormat/>
    <w:rsid w:val="006C1F69"/>
    <w:pPr>
      <w:numPr>
        <w:ilvl w:val="1"/>
      </w:numPr>
      <w:spacing w:before="0"/>
      <w:outlineLvl w:val="1"/>
    </w:pPr>
    <w:rPr>
      <w:color w:val="01AFC7"/>
      <w:sz w:val="36"/>
      <w:szCs w:val="24"/>
    </w:rPr>
  </w:style>
  <w:style w:type="paragraph" w:styleId="Heading3">
    <w:name w:val="heading 3"/>
    <w:basedOn w:val="Heading2"/>
    <w:next w:val="Normal"/>
    <w:link w:val="Heading3Char"/>
    <w:autoRedefine/>
    <w:uiPriority w:val="9"/>
    <w:qFormat/>
    <w:rsid w:val="00B0570C"/>
    <w:pPr>
      <w:numPr>
        <w:ilvl w:val="2"/>
      </w:numPr>
      <w:spacing w:before="120"/>
      <w:outlineLvl w:val="2"/>
    </w:pPr>
    <w:rPr>
      <w:sz w:val="20"/>
      <w:szCs w:val="20"/>
      <w:lang w:eastAsia="en-AU"/>
    </w:rPr>
  </w:style>
  <w:style w:type="paragraph" w:styleId="Heading4">
    <w:name w:val="heading 4"/>
    <w:basedOn w:val="Heading3"/>
    <w:next w:val="Normal"/>
    <w:link w:val="Heading4Char"/>
    <w:uiPriority w:val="9"/>
    <w:qFormat/>
    <w:rsid w:val="00105CEF"/>
    <w:pPr>
      <w:numPr>
        <w:ilvl w:val="0"/>
      </w:numPr>
      <w:outlineLvl w:val="3"/>
    </w:pPr>
  </w:style>
  <w:style w:type="paragraph" w:styleId="Heading5">
    <w:name w:val="heading 5"/>
    <w:basedOn w:val="Normal"/>
    <w:next w:val="Normal"/>
    <w:link w:val="Heading5Char"/>
    <w:uiPriority w:val="9"/>
    <w:rsid w:val="00105CEF"/>
    <w:pPr>
      <w:keepNext/>
      <w:keepLines/>
      <w:spacing w:line="240" w:lineRule="atLeast"/>
      <w:outlineLvl w:val="4"/>
    </w:pPr>
    <w:rPr>
      <w:spacing w:val="-4"/>
      <w:kern w:val="28"/>
    </w:rPr>
  </w:style>
  <w:style w:type="paragraph" w:styleId="Heading6">
    <w:name w:val="heading 6"/>
    <w:basedOn w:val="Normal"/>
    <w:next w:val="Normal"/>
    <w:link w:val="Heading6Char"/>
    <w:uiPriority w:val="9"/>
    <w:rsid w:val="00105CEF"/>
    <w:pPr>
      <w:keepNext/>
      <w:keepLines/>
      <w:spacing w:before="140" w:line="220" w:lineRule="atLeast"/>
      <w:outlineLvl w:val="5"/>
    </w:pPr>
    <w:rPr>
      <w:i/>
      <w:spacing w:val="-4"/>
      <w:kern w:val="28"/>
    </w:rPr>
  </w:style>
  <w:style w:type="paragraph" w:styleId="Heading7">
    <w:name w:val="heading 7"/>
    <w:basedOn w:val="Normal"/>
    <w:next w:val="Normal"/>
    <w:link w:val="Heading7Char"/>
    <w:uiPriority w:val="9"/>
    <w:rsid w:val="00105CEF"/>
    <w:pPr>
      <w:keepNext/>
      <w:keepLines/>
      <w:spacing w:before="140" w:line="220" w:lineRule="atLeast"/>
      <w:outlineLvl w:val="6"/>
    </w:pPr>
    <w:rPr>
      <w:spacing w:val="-4"/>
      <w:kern w:val="28"/>
    </w:rPr>
  </w:style>
  <w:style w:type="paragraph" w:styleId="Heading8">
    <w:name w:val="heading 8"/>
    <w:basedOn w:val="Normal"/>
    <w:next w:val="Normal"/>
    <w:link w:val="Heading8Char"/>
    <w:uiPriority w:val="9"/>
    <w:rsid w:val="00105CEF"/>
    <w:pPr>
      <w:keepNext/>
      <w:keepLines/>
      <w:spacing w:before="140" w:line="220" w:lineRule="atLeast"/>
      <w:outlineLvl w:val="7"/>
    </w:pPr>
    <w:rPr>
      <w:i/>
      <w:spacing w:val="-4"/>
      <w:kern w:val="28"/>
      <w:sz w:val="18"/>
    </w:rPr>
  </w:style>
  <w:style w:type="paragraph" w:styleId="Heading9">
    <w:name w:val="heading 9"/>
    <w:basedOn w:val="Normal"/>
    <w:next w:val="Normal"/>
    <w:link w:val="Heading9Char"/>
    <w:uiPriority w:val="9"/>
    <w:rsid w:val="00105CEF"/>
    <w:pPr>
      <w:keepNext/>
      <w:keepLines/>
      <w:spacing w:before="140" w:line="220" w:lineRule="atLeast"/>
      <w:outlineLvl w:val="8"/>
    </w:pPr>
    <w:rPr>
      <w:spacing w:val="-4"/>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239CB"/>
    <w:rPr>
      <w:rFonts w:ascii="Helvetica" w:hAnsi="Helvetica" w:cs="Arial"/>
      <w:color w:val="0194A6"/>
      <w:sz w:val="44"/>
      <w:szCs w:val="26"/>
      <w:lang w:eastAsia="en-US"/>
    </w:rPr>
  </w:style>
  <w:style w:type="character" w:customStyle="1" w:styleId="Heading2Char">
    <w:name w:val="Heading 2 Char"/>
    <w:basedOn w:val="DefaultParagraphFont"/>
    <w:link w:val="Heading2"/>
    <w:uiPriority w:val="9"/>
    <w:locked/>
    <w:rsid w:val="006C1F69"/>
    <w:rPr>
      <w:rFonts w:ascii="Helvetica" w:hAnsi="Helvetica" w:cs="Arial"/>
      <w:color w:val="01AFC7"/>
      <w:sz w:val="36"/>
      <w:szCs w:val="24"/>
      <w:lang w:eastAsia="en-US"/>
    </w:rPr>
  </w:style>
  <w:style w:type="character" w:customStyle="1" w:styleId="Heading3Char">
    <w:name w:val="Heading 3 Char"/>
    <w:basedOn w:val="DefaultParagraphFont"/>
    <w:link w:val="Heading3"/>
    <w:uiPriority w:val="9"/>
    <w:locked/>
    <w:rsid w:val="00B0570C"/>
    <w:rPr>
      <w:rFonts w:ascii="Helvetica" w:hAnsi="Helvetica" w:cs="Arial"/>
      <w:color w:val="01AFC7"/>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lang w:val="x-none" w:eastAsia="en-US"/>
    </w:rPr>
  </w:style>
  <w:style w:type="paragraph" w:styleId="BodyText">
    <w:name w:val="Body Text"/>
    <w:basedOn w:val="Normal"/>
    <w:link w:val="BodyTextChar"/>
    <w:uiPriority w:val="99"/>
    <w:rsid w:val="00105CEF"/>
  </w:style>
  <w:style w:type="character" w:customStyle="1" w:styleId="BodyTextChar">
    <w:name w:val="Body Text Char"/>
    <w:basedOn w:val="DefaultParagraphFont"/>
    <w:link w:val="BodyText"/>
    <w:uiPriority w:val="99"/>
    <w:semiHidden/>
    <w:locked/>
    <w:rPr>
      <w:rFonts w:ascii="Arial" w:hAnsi="Arial" w:cs="Times New Roman"/>
      <w:lang w:val="x-none" w:eastAsia="en-US"/>
    </w:rPr>
  </w:style>
  <w:style w:type="paragraph" w:customStyle="1" w:styleId="Captiontext">
    <w:name w:val="Caption text"/>
    <w:basedOn w:val="BodyText"/>
    <w:rsid w:val="00105CEF"/>
    <w:rPr>
      <w:sz w:val="16"/>
    </w:rPr>
  </w:style>
  <w:style w:type="character" w:customStyle="1" w:styleId="FWOBlue">
    <w:name w:val="FWO Blue"/>
    <w:basedOn w:val="DefaultParagraphFont"/>
    <w:rsid w:val="00105CEF"/>
    <w:rPr>
      <w:rFonts w:ascii="Arial" w:hAnsi="Arial" w:cs="Times New Roman"/>
      <w:color w:val="0084C2"/>
    </w:rPr>
  </w:style>
  <w:style w:type="paragraph" w:styleId="Header">
    <w:name w:val="header"/>
    <w:basedOn w:val="Normal"/>
    <w:link w:val="HeaderChar"/>
    <w:uiPriority w:val="99"/>
    <w:rsid w:val="00105CEF"/>
    <w:pPr>
      <w:tabs>
        <w:tab w:val="center" w:pos="4153"/>
        <w:tab w:val="right" w:pos="8306"/>
      </w:tabs>
      <w:spacing w:before="360"/>
      <w:jc w:val="center"/>
    </w:pPr>
    <w:rPr>
      <w:sz w:val="40"/>
      <w:szCs w:val="40"/>
    </w:rPr>
  </w:style>
  <w:style w:type="character" w:customStyle="1" w:styleId="HeaderChar">
    <w:name w:val="Header Char"/>
    <w:basedOn w:val="DefaultParagraphFont"/>
    <w:link w:val="Header"/>
    <w:uiPriority w:val="99"/>
    <w:locked/>
    <w:rPr>
      <w:rFonts w:ascii="Arial" w:hAnsi="Arial" w:cs="Times New Roman"/>
      <w:lang w:val="x-none" w:eastAsia="en-US"/>
    </w:rPr>
  </w:style>
  <w:style w:type="paragraph" w:customStyle="1" w:styleId="Subheading">
    <w:name w:val="Subheading"/>
    <w:basedOn w:val="BodyText"/>
    <w:rsid w:val="00105CEF"/>
    <w:rPr>
      <w:b/>
      <w:bCs/>
    </w:rPr>
  </w:style>
  <w:style w:type="paragraph" w:styleId="BalloonText">
    <w:name w:val="Balloon Text"/>
    <w:basedOn w:val="Normal"/>
    <w:link w:val="BalloonTextChar"/>
    <w:uiPriority w:val="99"/>
    <w:rsid w:val="00524C21"/>
    <w:rPr>
      <w:rFonts w:ascii="Tahoma" w:hAnsi="Tahoma" w:cs="Tahoma"/>
      <w:sz w:val="16"/>
      <w:szCs w:val="16"/>
    </w:rPr>
  </w:style>
  <w:style w:type="character" w:customStyle="1" w:styleId="BalloonTextChar">
    <w:name w:val="Balloon Text Char"/>
    <w:basedOn w:val="DefaultParagraphFont"/>
    <w:link w:val="BalloonText"/>
    <w:uiPriority w:val="99"/>
    <w:locked/>
    <w:rsid w:val="00524C21"/>
    <w:rPr>
      <w:rFonts w:ascii="Tahoma" w:hAnsi="Tahoma" w:cs="Tahoma"/>
      <w:sz w:val="16"/>
      <w:szCs w:val="16"/>
      <w:lang w:val="x-none" w:eastAsia="en-US"/>
    </w:rPr>
  </w:style>
  <w:style w:type="paragraph" w:customStyle="1" w:styleId="TableText">
    <w:name w:val="TableText"/>
    <w:basedOn w:val="Normal"/>
    <w:rsid w:val="00105CEF"/>
    <w:pPr>
      <w:spacing w:before="40" w:after="40"/>
    </w:pPr>
    <w:rPr>
      <w:lang w:eastAsia="en-AU"/>
    </w:rPr>
  </w:style>
  <w:style w:type="paragraph" w:customStyle="1" w:styleId="Tabletextheading">
    <w:name w:val="Table text heading"/>
    <w:basedOn w:val="TableText"/>
    <w:rsid w:val="00105CEF"/>
    <w:rPr>
      <w:b/>
      <w:bCs/>
    </w:rPr>
  </w:style>
  <w:style w:type="paragraph" w:styleId="Title">
    <w:name w:val="Title"/>
    <w:basedOn w:val="Normal"/>
    <w:next w:val="Normal"/>
    <w:link w:val="TitleChar"/>
    <w:uiPriority w:val="10"/>
    <w:rsid w:val="00105CEF"/>
    <w:rPr>
      <w:noProof/>
      <w:color w:val="0084C2"/>
      <w:sz w:val="72"/>
      <w:szCs w:val="72"/>
      <w:lang w:eastAsia="en-AU"/>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TOC1">
    <w:name w:val="toc 1"/>
    <w:basedOn w:val="Normal"/>
    <w:autoRedefine/>
    <w:uiPriority w:val="39"/>
    <w:rsid w:val="00105CEF"/>
    <w:pPr>
      <w:tabs>
        <w:tab w:val="left" w:pos="1560"/>
        <w:tab w:val="right" w:leader="dot" w:pos="8789"/>
      </w:tabs>
      <w:ind w:left="851" w:right="814"/>
    </w:pPr>
    <w:rPr>
      <w:spacing w:val="-4"/>
    </w:rPr>
  </w:style>
  <w:style w:type="paragraph" w:styleId="TOC2">
    <w:name w:val="toc 2"/>
    <w:basedOn w:val="Normal"/>
    <w:autoRedefine/>
    <w:uiPriority w:val="39"/>
    <w:rsid w:val="00105CEF"/>
    <w:pPr>
      <w:tabs>
        <w:tab w:val="left" w:pos="1701"/>
        <w:tab w:val="right" w:leader="dot" w:pos="8789"/>
      </w:tabs>
      <w:ind w:left="992"/>
    </w:pPr>
  </w:style>
  <w:style w:type="paragraph" w:styleId="Caption">
    <w:name w:val="caption"/>
    <w:basedOn w:val="Normal"/>
    <w:next w:val="Normal"/>
    <w:uiPriority w:val="35"/>
    <w:rsid w:val="00105CEF"/>
    <w:pPr>
      <w:keepNext/>
      <w:numPr>
        <w:numId w:val="2"/>
      </w:numPr>
      <w:spacing w:before="60" w:after="240" w:line="220" w:lineRule="atLeast"/>
    </w:pPr>
    <w:rPr>
      <w:rFonts w:ascii="Arial Narrow" w:hAnsi="Arial Narrow"/>
      <w:sz w:val="18"/>
    </w:rPr>
  </w:style>
  <w:style w:type="paragraph" w:styleId="DocumentMap">
    <w:name w:val="Document Map"/>
    <w:basedOn w:val="Normal"/>
    <w:link w:val="DocumentMapChar"/>
    <w:uiPriority w:val="99"/>
    <w:semiHidden/>
    <w:rsid w:val="00105CE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paragraph" w:customStyle="1" w:styleId="Dotpoint">
    <w:name w:val="Dotpoint"/>
    <w:basedOn w:val="Normal"/>
    <w:semiHidden/>
    <w:locked/>
    <w:rsid w:val="00105CEF"/>
    <w:pPr>
      <w:numPr>
        <w:numId w:val="3"/>
      </w:numPr>
    </w:pPr>
  </w:style>
  <w:style w:type="paragraph" w:customStyle="1" w:styleId="Dotpointtable">
    <w:name w:val="Dotpoint table"/>
    <w:basedOn w:val="TableText"/>
    <w:semiHidden/>
    <w:locked/>
    <w:rsid w:val="00105CEF"/>
    <w:pPr>
      <w:numPr>
        <w:numId w:val="4"/>
      </w:numPr>
      <w:spacing w:before="60" w:after="60"/>
    </w:pPr>
    <w:rPr>
      <w:bCs/>
      <w:sz w:val="18"/>
      <w:szCs w:val="28"/>
    </w:rPr>
  </w:style>
  <w:style w:type="paragraph" w:customStyle="1" w:styleId="ExampleText">
    <w:name w:val="Example Text"/>
    <w:basedOn w:val="Normal"/>
    <w:semiHidden/>
    <w:locked/>
    <w:rsid w:val="00105CEF"/>
    <w:pPr>
      <w:spacing w:before="40" w:after="60"/>
    </w:pPr>
    <w:rPr>
      <w:i/>
      <w:vanish/>
      <w:color w:val="0000FF"/>
    </w:rPr>
  </w:style>
  <w:style w:type="paragraph" w:styleId="Footer">
    <w:name w:val="footer"/>
    <w:basedOn w:val="Normal"/>
    <w:link w:val="FooterChar"/>
    <w:uiPriority w:val="99"/>
    <w:rsid w:val="00105CEF"/>
    <w:pPr>
      <w:tabs>
        <w:tab w:val="center" w:pos="4153"/>
        <w:tab w:val="right" w:pos="8306"/>
      </w:tabs>
    </w:pPr>
  </w:style>
  <w:style w:type="character" w:customStyle="1" w:styleId="FooterChar">
    <w:name w:val="Footer Char"/>
    <w:basedOn w:val="DefaultParagraphFont"/>
    <w:link w:val="Footer"/>
    <w:uiPriority w:val="99"/>
    <w:locked/>
    <w:rPr>
      <w:rFonts w:ascii="Arial" w:hAnsi="Arial" w:cs="Times New Roman"/>
      <w:lang w:val="x-none" w:eastAsia="en-US"/>
    </w:rPr>
  </w:style>
  <w:style w:type="character" w:styleId="Hyperlink">
    <w:name w:val="Hyperlink"/>
    <w:basedOn w:val="DefaultParagraphFont"/>
    <w:uiPriority w:val="99"/>
    <w:rsid w:val="00105CEF"/>
    <w:rPr>
      <w:rFonts w:ascii="Arial" w:hAnsi="Arial" w:cs="Times New Roman"/>
      <w:color w:val="0000FF"/>
      <w:u w:val="single"/>
    </w:rPr>
  </w:style>
  <w:style w:type="table" w:styleId="TableGrid">
    <w:name w:val="Table Grid"/>
    <w:basedOn w:val="TableNormal"/>
    <w:uiPriority w:val="59"/>
    <w:rsid w:val="00105CE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autoRedefine/>
    <w:uiPriority w:val="39"/>
    <w:rsid w:val="00105CEF"/>
    <w:pPr>
      <w:tabs>
        <w:tab w:val="left" w:pos="1985"/>
        <w:tab w:val="right" w:leader="dot" w:pos="9629"/>
      </w:tabs>
      <w:ind w:left="360"/>
    </w:pPr>
  </w:style>
  <w:style w:type="paragraph" w:styleId="TOC4">
    <w:name w:val="toc 4"/>
    <w:basedOn w:val="Normal"/>
    <w:autoRedefine/>
    <w:uiPriority w:val="39"/>
    <w:semiHidden/>
    <w:rsid w:val="00105CEF"/>
    <w:pPr>
      <w:ind w:left="360"/>
    </w:pPr>
  </w:style>
  <w:style w:type="paragraph" w:styleId="TOC5">
    <w:name w:val="toc 5"/>
    <w:basedOn w:val="Normal"/>
    <w:autoRedefine/>
    <w:uiPriority w:val="39"/>
    <w:semiHidden/>
    <w:rsid w:val="00105CEF"/>
    <w:pPr>
      <w:ind w:left="360"/>
    </w:pPr>
  </w:style>
  <w:style w:type="character" w:customStyle="1" w:styleId="Subtitlered">
    <w:name w:val="Subtitle red"/>
    <w:basedOn w:val="DefaultParagraphFont"/>
    <w:rsid w:val="00E601F8"/>
    <w:rPr>
      <w:rFonts w:ascii="Arial" w:hAnsi="Arial" w:cs="Times New Roman"/>
      <w:color w:val="872434"/>
      <w:sz w:val="32"/>
    </w:rPr>
  </w:style>
  <w:style w:type="character" w:styleId="PageNumber">
    <w:name w:val="page number"/>
    <w:basedOn w:val="DefaultParagraphFont"/>
    <w:uiPriority w:val="99"/>
    <w:rsid w:val="00181475"/>
    <w:rPr>
      <w:rFonts w:ascii="Arial" w:hAnsi="Arial" w:cs="Times New Roman"/>
    </w:rPr>
  </w:style>
  <w:style w:type="paragraph" w:styleId="TOCHeading">
    <w:name w:val="TOC Heading"/>
    <w:basedOn w:val="Heading1"/>
    <w:next w:val="Normal"/>
    <w:uiPriority w:val="39"/>
    <w:unhideWhenUsed/>
    <w:rsid w:val="001F20C3"/>
    <w:pPr>
      <w:spacing w:before="480" w:line="276" w:lineRule="auto"/>
      <w:outlineLvl w:val="9"/>
    </w:pPr>
    <w:rPr>
      <w:rFonts w:asciiTheme="majorHAnsi" w:eastAsiaTheme="majorEastAsia" w:hAnsiTheme="majorHAnsi"/>
      <w:bCs/>
      <w:color w:val="365F91" w:themeColor="accent1" w:themeShade="BF"/>
      <w:szCs w:val="28"/>
      <w:lang w:val="en-US" w:eastAsia="ja-JP"/>
    </w:rPr>
  </w:style>
  <w:style w:type="character" w:styleId="CommentReference">
    <w:name w:val="annotation reference"/>
    <w:basedOn w:val="DefaultParagraphFont"/>
    <w:uiPriority w:val="99"/>
    <w:rsid w:val="00B0742B"/>
    <w:rPr>
      <w:rFonts w:cs="Times New Roman"/>
      <w:sz w:val="16"/>
      <w:szCs w:val="16"/>
    </w:rPr>
  </w:style>
  <w:style w:type="paragraph" w:styleId="CommentText">
    <w:name w:val="annotation text"/>
    <w:basedOn w:val="Normal"/>
    <w:link w:val="CommentTextChar"/>
    <w:uiPriority w:val="99"/>
    <w:rsid w:val="00B0742B"/>
  </w:style>
  <w:style w:type="character" w:customStyle="1" w:styleId="CommentTextChar">
    <w:name w:val="Comment Text Char"/>
    <w:basedOn w:val="DefaultParagraphFont"/>
    <w:link w:val="CommentText"/>
    <w:uiPriority w:val="99"/>
    <w:locked/>
    <w:rsid w:val="00B0742B"/>
    <w:rPr>
      <w:rFonts w:ascii="Arial" w:hAnsi="Arial" w:cs="Times New Roman"/>
      <w:lang w:val="x-none" w:eastAsia="en-US"/>
    </w:rPr>
  </w:style>
  <w:style w:type="paragraph" w:styleId="CommentSubject">
    <w:name w:val="annotation subject"/>
    <w:basedOn w:val="CommentText"/>
    <w:next w:val="CommentText"/>
    <w:link w:val="CommentSubjectChar"/>
    <w:uiPriority w:val="99"/>
    <w:rsid w:val="00B0742B"/>
    <w:rPr>
      <w:b/>
      <w:bCs/>
    </w:rPr>
  </w:style>
  <w:style w:type="character" w:customStyle="1" w:styleId="CommentSubjectChar">
    <w:name w:val="Comment Subject Char"/>
    <w:basedOn w:val="CommentTextChar"/>
    <w:link w:val="CommentSubject"/>
    <w:uiPriority w:val="99"/>
    <w:locked/>
    <w:rsid w:val="00B0742B"/>
    <w:rPr>
      <w:rFonts w:ascii="Arial" w:hAnsi="Arial" w:cs="Times New Roman"/>
      <w:b/>
      <w:bCs/>
      <w:lang w:val="x-none" w:eastAsia="en-US"/>
    </w:rPr>
  </w:style>
  <w:style w:type="paragraph" w:styleId="ListParagraph">
    <w:name w:val="List Paragraph"/>
    <w:basedOn w:val="Normal"/>
    <w:uiPriority w:val="34"/>
    <w:qFormat/>
    <w:rsid w:val="00057AE4"/>
    <w:pPr>
      <w:ind w:left="720"/>
      <w:contextualSpacing/>
    </w:pPr>
  </w:style>
  <w:style w:type="paragraph" w:styleId="FootnoteText">
    <w:name w:val="footnote text"/>
    <w:basedOn w:val="Normal"/>
    <w:link w:val="FootnoteTextChar"/>
    <w:uiPriority w:val="99"/>
    <w:rsid w:val="007B16EE"/>
  </w:style>
  <w:style w:type="character" w:customStyle="1" w:styleId="FootnoteTextChar">
    <w:name w:val="Footnote Text Char"/>
    <w:basedOn w:val="DefaultParagraphFont"/>
    <w:link w:val="FootnoteText"/>
    <w:uiPriority w:val="99"/>
    <w:locked/>
    <w:rsid w:val="007B16EE"/>
    <w:rPr>
      <w:rFonts w:ascii="Arial" w:hAnsi="Arial" w:cs="Times New Roman"/>
      <w:lang w:val="x-none" w:eastAsia="en-US"/>
    </w:rPr>
  </w:style>
  <w:style w:type="character" w:styleId="FootnoteReference">
    <w:name w:val="footnote reference"/>
    <w:basedOn w:val="DefaultParagraphFont"/>
    <w:uiPriority w:val="99"/>
    <w:rsid w:val="007B16EE"/>
    <w:rPr>
      <w:rFonts w:cs="Times New Roman"/>
      <w:vertAlign w:val="superscript"/>
    </w:rPr>
  </w:style>
  <w:style w:type="numbering" w:customStyle="1" w:styleId="Numberletterbullets">
    <w:name w:val="Number/letter bullets"/>
    <w:pPr>
      <w:numPr>
        <w:numId w:val="5"/>
      </w:numPr>
    </w:pPr>
  </w:style>
  <w:style w:type="numbering" w:customStyle="1" w:styleId="BulletLevel1">
    <w:name w:val="Bullet Level 1"/>
    <w:pPr>
      <w:numPr>
        <w:numId w:val="1"/>
      </w:numPr>
    </w:pPr>
  </w:style>
  <w:style w:type="paragraph" w:customStyle="1" w:styleId="Sub-title">
    <w:name w:val="Sub-title"/>
    <w:basedOn w:val="Heading1"/>
    <w:link w:val="Sub-titleChar"/>
    <w:rsid w:val="000E37AC"/>
    <w:rPr>
      <w:szCs w:val="28"/>
    </w:rPr>
  </w:style>
  <w:style w:type="paragraph" w:customStyle="1" w:styleId="Fronttitle">
    <w:name w:val="Front title"/>
    <w:basedOn w:val="Heading1"/>
    <w:link w:val="FronttitleChar"/>
    <w:rsid w:val="000E37AC"/>
    <w:pPr>
      <w:spacing w:before="3600"/>
    </w:pPr>
    <w:rPr>
      <w:sz w:val="56"/>
    </w:rPr>
  </w:style>
  <w:style w:type="character" w:customStyle="1" w:styleId="Sub-titleChar">
    <w:name w:val="Sub-title Char"/>
    <w:basedOn w:val="Heading1Char"/>
    <w:link w:val="Sub-title"/>
    <w:rsid w:val="000E37AC"/>
    <w:rPr>
      <w:rFonts w:ascii="Arial" w:hAnsi="Arial" w:cs="Arial"/>
      <w:b w:val="0"/>
      <w:color w:val="548DD4" w:themeColor="text2" w:themeTint="99"/>
      <w:sz w:val="28"/>
      <w:szCs w:val="28"/>
      <w:lang w:eastAsia="en-US"/>
    </w:rPr>
  </w:style>
  <w:style w:type="paragraph" w:customStyle="1" w:styleId="Casestudytitle">
    <w:name w:val="Case study title"/>
    <w:basedOn w:val="Sub-title"/>
    <w:link w:val="CasestudytitleChar"/>
    <w:autoRedefine/>
    <w:qFormat/>
    <w:rsid w:val="000D29E1"/>
    <w:pPr>
      <w:ind w:left="720"/>
    </w:pPr>
    <w:rPr>
      <w:sz w:val="36"/>
    </w:rPr>
  </w:style>
  <w:style w:type="character" w:customStyle="1" w:styleId="FronttitleChar">
    <w:name w:val="Front title Char"/>
    <w:basedOn w:val="Heading1Char"/>
    <w:link w:val="Fronttitle"/>
    <w:rsid w:val="000E37AC"/>
    <w:rPr>
      <w:rFonts w:ascii="Arial" w:hAnsi="Arial" w:cs="Arial"/>
      <w:b w:val="0"/>
      <w:color w:val="548DD4" w:themeColor="text2" w:themeTint="99"/>
      <w:sz w:val="56"/>
      <w:szCs w:val="26"/>
      <w:lang w:eastAsia="en-US"/>
    </w:rPr>
  </w:style>
  <w:style w:type="paragraph" w:customStyle="1" w:styleId="Casestudytext">
    <w:name w:val="Case study text"/>
    <w:basedOn w:val="Normal"/>
    <w:link w:val="CasestudytextChar"/>
    <w:qFormat/>
    <w:rsid w:val="00CF3B06"/>
    <w:pPr>
      <w:ind w:left="720"/>
    </w:pPr>
  </w:style>
  <w:style w:type="character" w:customStyle="1" w:styleId="CasestudytitleChar">
    <w:name w:val="Case study title Char"/>
    <w:basedOn w:val="Sub-titleChar"/>
    <w:link w:val="Casestudytitle"/>
    <w:rsid w:val="000D29E1"/>
    <w:rPr>
      <w:rFonts w:ascii="Helvetica" w:hAnsi="Helvetica" w:cs="Arial"/>
      <w:b w:val="0"/>
      <w:color w:val="0194A6"/>
      <w:sz w:val="36"/>
      <w:szCs w:val="28"/>
      <w:lang w:eastAsia="en-US"/>
    </w:rPr>
  </w:style>
  <w:style w:type="character" w:customStyle="1" w:styleId="CasestudytextChar">
    <w:name w:val="Case study text Char"/>
    <w:basedOn w:val="DefaultParagraphFont"/>
    <w:link w:val="Casestudytext"/>
    <w:rsid w:val="00CF3B06"/>
    <w:rPr>
      <w:rFonts w:ascii="Helvetica" w:hAnsi="Helvetica" w:cs="Arial"/>
      <w:sz w:val="22"/>
      <w:szCs w:val="24"/>
      <w:lang w:eastAsia="en-US"/>
    </w:rPr>
  </w:style>
  <w:style w:type="paragraph" w:customStyle="1" w:styleId="CoverReportTitle">
    <w:name w:val="Cover Report Title"/>
    <w:basedOn w:val="Normal"/>
    <w:autoRedefine/>
    <w:qFormat/>
    <w:rsid w:val="00602CBE"/>
    <w:pPr>
      <w:framePr w:w="4820" w:wrap="around" w:vAnchor="page" w:hAnchor="text" w:x="5388" w:y="795"/>
      <w:spacing w:before="4440" w:after="2400" w:line="480" w:lineRule="auto"/>
      <w:jc w:val="left"/>
    </w:pPr>
    <w:rPr>
      <w:rFonts w:eastAsiaTheme="minorHAnsi" w:cs="Times New Roman"/>
      <w:color w:val="FFFFFF" w:themeColor="background1"/>
      <w:sz w:val="60"/>
      <w:szCs w:val="22"/>
    </w:rPr>
  </w:style>
  <w:style w:type="paragraph" w:customStyle="1" w:styleId="CoverReportSubTitle">
    <w:name w:val="Cover Report Sub Title"/>
    <w:basedOn w:val="CoverReportTitle"/>
    <w:next w:val="Normal"/>
    <w:autoRedefine/>
    <w:qFormat/>
    <w:rsid w:val="00602CBE"/>
    <w:pPr>
      <w:framePr w:w="0" w:wrap="auto" w:vAnchor="margin" w:xAlign="left" w:yAlign="inline"/>
      <w:spacing w:before="113" w:after="57" w:line="400" w:lineRule="exact"/>
    </w:pPr>
    <w:rPr>
      <w:color w:val="auto"/>
      <w:sz w:val="36"/>
    </w:rPr>
  </w:style>
  <w:style w:type="paragraph" w:customStyle="1" w:styleId="Bullet">
    <w:name w:val="Bullet"/>
    <w:basedOn w:val="Normal"/>
    <w:autoRedefine/>
    <w:qFormat/>
    <w:rsid w:val="00A17607"/>
    <w:pPr>
      <w:spacing w:after="28"/>
      <w:jc w:val="left"/>
    </w:pPr>
    <w:rPr>
      <w:rFonts w:eastAsiaTheme="minorHAnsi" w:cs="Times New Roman"/>
      <w:szCs w:val="22"/>
    </w:rPr>
  </w:style>
  <w:style w:type="paragraph" w:customStyle="1" w:styleId="Calloutbox">
    <w:name w:val="Callout box"/>
    <w:basedOn w:val="Normal"/>
    <w:next w:val="Normal"/>
    <w:link w:val="CalloutboxChar"/>
    <w:autoRedefine/>
    <w:qFormat/>
    <w:rsid w:val="00357D51"/>
    <w:pPr>
      <w:pBdr>
        <w:top w:val="single" w:sz="48" w:space="3" w:color="DDDDDD"/>
        <w:left w:val="single" w:sz="48" w:space="8" w:color="DDDDDD"/>
        <w:bottom w:val="single" w:sz="48" w:space="6" w:color="DDDDDD"/>
        <w:right w:val="single" w:sz="48" w:space="8" w:color="DDDDDD"/>
      </w:pBdr>
      <w:shd w:val="clear" w:color="auto" w:fill="DDDDDD"/>
      <w:spacing w:before="240" w:after="113" w:line="320" w:lineRule="exact"/>
      <w:ind w:left="284" w:right="284"/>
      <w:contextualSpacing/>
      <w:jc w:val="left"/>
    </w:pPr>
    <w:rPr>
      <w:rFonts w:eastAsiaTheme="minorHAnsi" w:cs="Times New Roman"/>
      <w:szCs w:val="22"/>
    </w:rPr>
  </w:style>
  <w:style w:type="character" w:styleId="IntenseEmphasis">
    <w:name w:val="Intense Emphasis"/>
    <w:aliases w:val="Figure Heading"/>
    <w:basedOn w:val="DefaultParagraphFont"/>
    <w:uiPriority w:val="21"/>
    <w:rsid w:val="004B2104"/>
    <w:rPr>
      <w:rFonts w:ascii="Arial" w:hAnsi="Arial"/>
      <w:b/>
      <w:bCs/>
      <w:i w:val="0"/>
      <w:iCs/>
      <w:color w:val="000000" w:themeColor="text1"/>
      <w:sz w:val="22"/>
    </w:rPr>
  </w:style>
  <w:style w:type="paragraph" w:customStyle="1" w:styleId="GlanceYellowHeading">
    <w:name w:val="Glance Yellow Heading"/>
    <w:basedOn w:val="Normal"/>
    <w:next w:val="GlanceHeading"/>
    <w:autoRedefine/>
    <w:qFormat/>
    <w:rsid w:val="00A46F23"/>
    <w:pPr>
      <w:pBdr>
        <w:top w:val="single" w:sz="48" w:space="1" w:color="BFBFBF" w:themeColor="background1" w:themeShade="BF"/>
      </w:pBdr>
      <w:shd w:val="clear" w:color="auto" w:fill="FFFFFF" w:themeFill="background1"/>
      <w:spacing w:after="0"/>
      <w:contextualSpacing/>
      <w:jc w:val="center"/>
      <w:textboxTightWrap w:val="allLines"/>
    </w:pPr>
    <w:rPr>
      <w:rFonts w:eastAsiaTheme="minorHAnsi" w:cs="Times New Roman"/>
      <w:color w:val="0194A6"/>
      <w:spacing w:val="-10"/>
      <w:sz w:val="56"/>
      <w:szCs w:val="22"/>
    </w:rPr>
  </w:style>
  <w:style w:type="paragraph" w:customStyle="1" w:styleId="GlanceHeading">
    <w:name w:val="Glance Heading"/>
    <w:basedOn w:val="Normal"/>
    <w:next w:val="GlanceBody"/>
    <w:autoRedefine/>
    <w:qFormat/>
    <w:rsid w:val="00CF3B06"/>
    <w:pPr>
      <w:keepNext/>
      <w:keepLines/>
      <w:widowControl w:val="0"/>
      <w:spacing w:after="0" w:line="240" w:lineRule="auto"/>
      <w:jc w:val="center"/>
      <w:textboxTightWrap w:val="allLines"/>
    </w:pPr>
    <w:rPr>
      <w:rFonts w:eastAsiaTheme="minorHAnsi" w:cs="Times New Roman"/>
      <w:b/>
      <w:color w:val="0194A6"/>
      <w:sz w:val="96"/>
      <w:szCs w:val="22"/>
    </w:rPr>
  </w:style>
  <w:style w:type="paragraph" w:customStyle="1" w:styleId="GlanceBody">
    <w:name w:val="Glance Body"/>
    <w:basedOn w:val="Normal"/>
    <w:autoRedefine/>
    <w:qFormat/>
    <w:rsid w:val="00CF3B06"/>
    <w:pPr>
      <w:pBdr>
        <w:bottom w:val="single" w:sz="2" w:space="8" w:color="BFBFBF" w:themeColor="background1" w:themeShade="BF"/>
      </w:pBdr>
      <w:spacing w:after="113" w:line="240" w:lineRule="auto"/>
      <w:jc w:val="center"/>
    </w:pPr>
    <w:rPr>
      <w:rFonts w:eastAsiaTheme="minorHAnsi" w:cs="Times New Roman"/>
      <w:szCs w:val="22"/>
    </w:rPr>
  </w:style>
  <w:style w:type="paragraph" w:customStyle="1" w:styleId="CoverReportTitle1">
    <w:name w:val="Cover Report Title1"/>
    <w:basedOn w:val="Normal"/>
    <w:next w:val="CoverReportTitle"/>
    <w:rsid w:val="00205DBE"/>
    <w:pPr>
      <w:framePr w:w="4820" w:wrap="around" w:vAnchor="page" w:hAnchor="text" w:x="5388" w:y="795"/>
      <w:spacing w:after="0" w:line="560" w:lineRule="exact"/>
      <w:jc w:val="left"/>
    </w:pPr>
    <w:rPr>
      <w:rFonts w:ascii="Fair Work" w:eastAsiaTheme="minorHAnsi" w:hAnsi="Fair Work" w:cs="Times New Roman"/>
      <w:color w:val="007CBA"/>
      <w:sz w:val="60"/>
      <w:szCs w:val="22"/>
    </w:rPr>
  </w:style>
  <w:style w:type="paragraph" w:customStyle="1" w:styleId="GreyBubbleBox1">
    <w:name w:val="Grey  Bubble Box1"/>
    <w:basedOn w:val="Normal"/>
    <w:next w:val="Normal"/>
    <w:autoRedefine/>
    <w:qFormat/>
    <w:rsid w:val="00A46F23"/>
    <w:pPr>
      <w:pBdr>
        <w:top w:val="single" w:sz="48" w:space="3" w:color="E5E5E5"/>
        <w:left w:val="single" w:sz="48" w:space="8" w:color="E5E5E5"/>
        <w:bottom w:val="single" w:sz="48" w:space="6" w:color="E5E5E5"/>
        <w:right w:val="single" w:sz="48" w:space="8" w:color="E5E5E5"/>
      </w:pBdr>
      <w:shd w:val="clear" w:color="auto" w:fill="E5E5E5"/>
      <w:spacing w:before="240" w:after="113" w:line="320" w:lineRule="exact"/>
      <w:ind w:left="284" w:right="284"/>
      <w:contextualSpacing/>
      <w:jc w:val="left"/>
    </w:pPr>
    <w:rPr>
      <w:rFonts w:eastAsiaTheme="minorHAnsi" w:cs="Times New Roman"/>
      <w:szCs w:val="22"/>
    </w:rPr>
  </w:style>
  <w:style w:type="character" w:styleId="Emphasis">
    <w:name w:val="Emphasis"/>
    <w:basedOn w:val="DefaultParagraphFont"/>
    <w:rsid w:val="00CF3B06"/>
    <w:rPr>
      <w:i/>
      <w:iCs/>
    </w:rPr>
  </w:style>
  <w:style w:type="character" w:styleId="Strong">
    <w:name w:val="Strong"/>
    <w:basedOn w:val="DefaultParagraphFont"/>
    <w:rsid w:val="00CF3B06"/>
    <w:rPr>
      <w:b/>
      <w:bCs/>
    </w:rPr>
  </w:style>
  <w:style w:type="paragraph" w:styleId="Subtitle">
    <w:name w:val="Subtitle"/>
    <w:basedOn w:val="Normal"/>
    <w:next w:val="Normal"/>
    <w:link w:val="SubtitleChar"/>
    <w:rsid w:val="00CF3B0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F3B06"/>
    <w:rPr>
      <w:rFonts w:asciiTheme="majorHAnsi" w:eastAsiaTheme="majorEastAsia" w:hAnsiTheme="majorHAnsi" w:cstheme="majorBidi"/>
      <w:i/>
      <w:iCs/>
      <w:color w:val="4F81BD" w:themeColor="accent1"/>
      <w:spacing w:val="15"/>
      <w:sz w:val="24"/>
      <w:szCs w:val="24"/>
      <w:lang w:eastAsia="en-US"/>
    </w:rPr>
  </w:style>
  <w:style w:type="paragraph" w:styleId="NoSpacing">
    <w:name w:val="No Spacing"/>
    <w:uiPriority w:val="1"/>
    <w:rsid w:val="00CF3B06"/>
    <w:pPr>
      <w:jc w:val="both"/>
    </w:pPr>
    <w:rPr>
      <w:rFonts w:ascii="Arial" w:hAnsi="Arial" w:cs="Arial"/>
      <w:sz w:val="24"/>
      <w:szCs w:val="24"/>
      <w:lang w:eastAsia="en-US"/>
    </w:rPr>
  </w:style>
  <w:style w:type="paragraph" w:styleId="Quote">
    <w:name w:val="Quote"/>
    <w:basedOn w:val="Normal"/>
    <w:next w:val="Normal"/>
    <w:link w:val="QuoteChar"/>
    <w:uiPriority w:val="29"/>
    <w:qFormat/>
    <w:rsid w:val="00CF3B06"/>
    <w:rPr>
      <w:i/>
      <w:iCs/>
      <w:color w:val="000000" w:themeColor="text1"/>
    </w:rPr>
  </w:style>
  <w:style w:type="character" w:customStyle="1" w:styleId="QuoteChar">
    <w:name w:val="Quote Char"/>
    <w:basedOn w:val="DefaultParagraphFont"/>
    <w:link w:val="Quote"/>
    <w:uiPriority w:val="29"/>
    <w:rsid w:val="00CF3B06"/>
    <w:rPr>
      <w:rFonts w:ascii="Arial" w:hAnsi="Arial" w:cs="Arial"/>
      <w:i/>
      <w:iCs/>
      <w:color w:val="000000" w:themeColor="text1"/>
      <w:sz w:val="24"/>
      <w:szCs w:val="24"/>
      <w:lang w:eastAsia="en-US"/>
    </w:rPr>
  </w:style>
  <w:style w:type="paragraph" w:customStyle="1" w:styleId="CalloutBoxHeading">
    <w:name w:val="Callout Box Heading"/>
    <w:basedOn w:val="Calloutbox"/>
    <w:link w:val="CalloutBoxHeadingChar"/>
    <w:autoRedefine/>
    <w:qFormat/>
    <w:rsid w:val="003B62FE"/>
    <w:rPr>
      <w:b/>
      <w:sz w:val="24"/>
    </w:rPr>
  </w:style>
  <w:style w:type="character" w:customStyle="1" w:styleId="CalloutboxChar">
    <w:name w:val="Callout box Char"/>
    <w:basedOn w:val="DefaultParagraphFont"/>
    <w:link w:val="Calloutbox"/>
    <w:rsid w:val="00357D51"/>
    <w:rPr>
      <w:rFonts w:ascii="Helvetica" w:eastAsiaTheme="minorHAnsi" w:hAnsi="Helvetica"/>
      <w:sz w:val="22"/>
      <w:szCs w:val="22"/>
      <w:shd w:val="clear" w:color="auto" w:fill="DDDDDD"/>
      <w:lang w:eastAsia="en-US"/>
    </w:rPr>
  </w:style>
  <w:style w:type="character" w:customStyle="1" w:styleId="CalloutBoxHeadingChar">
    <w:name w:val="Callout Box Heading Char"/>
    <w:basedOn w:val="CalloutboxChar"/>
    <w:link w:val="CalloutBoxHeading"/>
    <w:rsid w:val="003B62FE"/>
    <w:rPr>
      <w:rFonts w:ascii="Helvetica" w:eastAsiaTheme="minorHAnsi" w:hAnsi="Helvetica"/>
      <w:b/>
      <w:color w:val="FFFFFF" w:themeColor="background1"/>
      <w:sz w:val="24"/>
      <w:szCs w:val="22"/>
      <w:shd w:val="clear" w:color="auto" w:fill="017F8F"/>
      <w:lang w:eastAsia="en-US"/>
    </w:rPr>
  </w:style>
  <w:style w:type="paragraph" w:customStyle="1" w:styleId="Calloutbox1">
    <w:name w:val="Callout box1"/>
    <w:basedOn w:val="Normal"/>
    <w:next w:val="Normal"/>
    <w:autoRedefine/>
    <w:qFormat/>
    <w:rsid w:val="00E73829"/>
    <w:pPr>
      <w:pBdr>
        <w:top w:val="single" w:sz="48" w:space="3" w:color="017F8F"/>
        <w:left w:val="single" w:sz="48" w:space="8" w:color="017F8F"/>
        <w:bottom w:val="single" w:sz="48" w:space="6" w:color="017F8F"/>
        <w:right w:val="single" w:sz="48" w:space="8" w:color="017F8F"/>
      </w:pBdr>
      <w:shd w:val="clear" w:color="auto" w:fill="000000" w:themeFill="text1"/>
      <w:spacing w:before="240" w:after="113" w:line="320" w:lineRule="exact"/>
      <w:ind w:left="284" w:right="284"/>
      <w:contextualSpacing/>
      <w:jc w:val="left"/>
    </w:pPr>
    <w:rPr>
      <w:rFonts w:eastAsiaTheme="minorHAnsi" w:cs="Times New Roman"/>
      <w:color w:val="FFFFFF" w:themeColor="background1"/>
      <w:szCs w:val="22"/>
    </w:rPr>
  </w:style>
  <w:style w:type="paragraph" w:customStyle="1" w:styleId="GlanceYellowHeading1">
    <w:name w:val="Glance Yellow Heading1"/>
    <w:basedOn w:val="Normal"/>
    <w:next w:val="GlanceHeading"/>
    <w:autoRedefine/>
    <w:rsid w:val="00CF3B06"/>
    <w:pPr>
      <w:pBdr>
        <w:top w:val="single" w:sz="48" w:space="1" w:color="BFBFBF" w:themeColor="background1" w:themeShade="BF"/>
      </w:pBdr>
      <w:shd w:val="clear" w:color="auto" w:fill="E5E5E5"/>
      <w:spacing w:after="0"/>
      <w:contextualSpacing/>
      <w:jc w:val="center"/>
      <w:textboxTightWrap w:val="allLines"/>
    </w:pPr>
    <w:rPr>
      <w:rFonts w:eastAsiaTheme="minorHAnsi" w:cs="Times New Roman"/>
      <w:color w:val="10C9DE"/>
      <w:spacing w:val="-10"/>
      <w:sz w:val="56"/>
      <w:szCs w:val="22"/>
    </w:rPr>
  </w:style>
  <w:style w:type="table" w:customStyle="1" w:styleId="TableGrid1">
    <w:name w:val="Table Grid1"/>
    <w:basedOn w:val="TableNormal"/>
    <w:next w:val="TableGrid"/>
    <w:rsid w:val="00431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87B86"/>
    <w:rPr>
      <w:rFonts w:ascii="Helvetica" w:hAnsi="Helvetica" w:cs="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toc 1" w:uiPriority="39"/>
    <w:lsdException w:name="toc 2" w:uiPriority="39"/>
    <w:lsdException w:name="toc 3" w:uiPriority="39"/>
    <w:lsdException w:name="annotation text" w:uiPriority="99"/>
    <w:lsdException w:name="header" w:uiPriority="99"/>
    <w:lsdException w:name="footer" w:uiPriority="99"/>
    <w:lsdException w:name="annotation reference" w:uiPriority="99"/>
    <w:lsdException w:name="Hyperlink"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aliases w:val="Paragraph"/>
    <w:qFormat/>
    <w:rsid w:val="00C32B02"/>
    <w:pPr>
      <w:spacing w:after="120" w:line="360" w:lineRule="auto"/>
      <w:jc w:val="both"/>
    </w:pPr>
    <w:rPr>
      <w:rFonts w:ascii="Helvetica" w:hAnsi="Helvetica" w:cs="Arial"/>
      <w:sz w:val="22"/>
      <w:szCs w:val="24"/>
      <w:lang w:eastAsia="en-US"/>
    </w:rPr>
  </w:style>
  <w:style w:type="paragraph" w:styleId="Heading1">
    <w:name w:val="heading 1"/>
    <w:basedOn w:val="Normal"/>
    <w:next w:val="Normal"/>
    <w:link w:val="Heading1Char"/>
    <w:autoRedefine/>
    <w:uiPriority w:val="9"/>
    <w:qFormat/>
    <w:rsid w:val="005239CB"/>
    <w:pPr>
      <w:keepNext/>
      <w:keepLines/>
      <w:spacing w:before="240" w:after="0"/>
      <w:jc w:val="left"/>
      <w:outlineLvl w:val="0"/>
    </w:pPr>
    <w:rPr>
      <w:color w:val="0194A6"/>
      <w:sz w:val="44"/>
      <w:szCs w:val="26"/>
    </w:rPr>
  </w:style>
  <w:style w:type="paragraph" w:styleId="Heading2">
    <w:name w:val="heading 2"/>
    <w:basedOn w:val="Heading1"/>
    <w:next w:val="Normal"/>
    <w:link w:val="Heading2Char"/>
    <w:autoRedefine/>
    <w:uiPriority w:val="9"/>
    <w:qFormat/>
    <w:rsid w:val="006C1F69"/>
    <w:pPr>
      <w:numPr>
        <w:ilvl w:val="1"/>
      </w:numPr>
      <w:spacing w:before="0"/>
      <w:outlineLvl w:val="1"/>
    </w:pPr>
    <w:rPr>
      <w:color w:val="01AFC7"/>
      <w:sz w:val="36"/>
      <w:szCs w:val="24"/>
    </w:rPr>
  </w:style>
  <w:style w:type="paragraph" w:styleId="Heading3">
    <w:name w:val="heading 3"/>
    <w:basedOn w:val="Heading2"/>
    <w:next w:val="Normal"/>
    <w:link w:val="Heading3Char"/>
    <w:autoRedefine/>
    <w:uiPriority w:val="9"/>
    <w:qFormat/>
    <w:rsid w:val="00B0570C"/>
    <w:pPr>
      <w:numPr>
        <w:ilvl w:val="2"/>
      </w:numPr>
      <w:spacing w:before="120"/>
      <w:outlineLvl w:val="2"/>
    </w:pPr>
    <w:rPr>
      <w:sz w:val="20"/>
      <w:szCs w:val="20"/>
      <w:lang w:eastAsia="en-AU"/>
    </w:rPr>
  </w:style>
  <w:style w:type="paragraph" w:styleId="Heading4">
    <w:name w:val="heading 4"/>
    <w:basedOn w:val="Heading3"/>
    <w:next w:val="Normal"/>
    <w:link w:val="Heading4Char"/>
    <w:uiPriority w:val="9"/>
    <w:qFormat/>
    <w:rsid w:val="00105CEF"/>
    <w:pPr>
      <w:numPr>
        <w:ilvl w:val="0"/>
      </w:numPr>
      <w:outlineLvl w:val="3"/>
    </w:pPr>
  </w:style>
  <w:style w:type="paragraph" w:styleId="Heading5">
    <w:name w:val="heading 5"/>
    <w:basedOn w:val="Normal"/>
    <w:next w:val="Normal"/>
    <w:link w:val="Heading5Char"/>
    <w:uiPriority w:val="9"/>
    <w:rsid w:val="00105CEF"/>
    <w:pPr>
      <w:keepNext/>
      <w:keepLines/>
      <w:spacing w:line="240" w:lineRule="atLeast"/>
      <w:outlineLvl w:val="4"/>
    </w:pPr>
    <w:rPr>
      <w:spacing w:val="-4"/>
      <w:kern w:val="28"/>
    </w:rPr>
  </w:style>
  <w:style w:type="paragraph" w:styleId="Heading6">
    <w:name w:val="heading 6"/>
    <w:basedOn w:val="Normal"/>
    <w:next w:val="Normal"/>
    <w:link w:val="Heading6Char"/>
    <w:uiPriority w:val="9"/>
    <w:rsid w:val="00105CEF"/>
    <w:pPr>
      <w:keepNext/>
      <w:keepLines/>
      <w:spacing w:before="140" w:line="220" w:lineRule="atLeast"/>
      <w:outlineLvl w:val="5"/>
    </w:pPr>
    <w:rPr>
      <w:i/>
      <w:spacing w:val="-4"/>
      <w:kern w:val="28"/>
    </w:rPr>
  </w:style>
  <w:style w:type="paragraph" w:styleId="Heading7">
    <w:name w:val="heading 7"/>
    <w:basedOn w:val="Normal"/>
    <w:next w:val="Normal"/>
    <w:link w:val="Heading7Char"/>
    <w:uiPriority w:val="9"/>
    <w:rsid w:val="00105CEF"/>
    <w:pPr>
      <w:keepNext/>
      <w:keepLines/>
      <w:spacing w:before="140" w:line="220" w:lineRule="atLeast"/>
      <w:outlineLvl w:val="6"/>
    </w:pPr>
    <w:rPr>
      <w:spacing w:val="-4"/>
      <w:kern w:val="28"/>
    </w:rPr>
  </w:style>
  <w:style w:type="paragraph" w:styleId="Heading8">
    <w:name w:val="heading 8"/>
    <w:basedOn w:val="Normal"/>
    <w:next w:val="Normal"/>
    <w:link w:val="Heading8Char"/>
    <w:uiPriority w:val="9"/>
    <w:rsid w:val="00105CEF"/>
    <w:pPr>
      <w:keepNext/>
      <w:keepLines/>
      <w:spacing w:before="140" w:line="220" w:lineRule="atLeast"/>
      <w:outlineLvl w:val="7"/>
    </w:pPr>
    <w:rPr>
      <w:i/>
      <w:spacing w:val="-4"/>
      <w:kern w:val="28"/>
      <w:sz w:val="18"/>
    </w:rPr>
  </w:style>
  <w:style w:type="paragraph" w:styleId="Heading9">
    <w:name w:val="heading 9"/>
    <w:basedOn w:val="Normal"/>
    <w:next w:val="Normal"/>
    <w:link w:val="Heading9Char"/>
    <w:uiPriority w:val="9"/>
    <w:rsid w:val="00105CEF"/>
    <w:pPr>
      <w:keepNext/>
      <w:keepLines/>
      <w:spacing w:before="140" w:line="220" w:lineRule="atLeast"/>
      <w:outlineLvl w:val="8"/>
    </w:pPr>
    <w:rPr>
      <w:spacing w:val="-4"/>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239CB"/>
    <w:rPr>
      <w:rFonts w:ascii="Helvetica" w:hAnsi="Helvetica" w:cs="Arial"/>
      <w:color w:val="0194A6"/>
      <w:sz w:val="44"/>
      <w:szCs w:val="26"/>
      <w:lang w:eastAsia="en-US"/>
    </w:rPr>
  </w:style>
  <w:style w:type="character" w:customStyle="1" w:styleId="Heading2Char">
    <w:name w:val="Heading 2 Char"/>
    <w:basedOn w:val="DefaultParagraphFont"/>
    <w:link w:val="Heading2"/>
    <w:uiPriority w:val="9"/>
    <w:locked/>
    <w:rsid w:val="006C1F69"/>
    <w:rPr>
      <w:rFonts w:ascii="Helvetica" w:hAnsi="Helvetica" w:cs="Arial"/>
      <w:color w:val="01AFC7"/>
      <w:sz w:val="36"/>
      <w:szCs w:val="24"/>
      <w:lang w:eastAsia="en-US"/>
    </w:rPr>
  </w:style>
  <w:style w:type="character" w:customStyle="1" w:styleId="Heading3Char">
    <w:name w:val="Heading 3 Char"/>
    <w:basedOn w:val="DefaultParagraphFont"/>
    <w:link w:val="Heading3"/>
    <w:uiPriority w:val="9"/>
    <w:locked/>
    <w:rsid w:val="00B0570C"/>
    <w:rPr>
      <w:rFonts w:ascii="Helvetica" w:hAnsi="Helvetica" w:cs="Arial"/>
      <w:color w:val="01AFC7"/>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lang w:val="x-none" w:eastAsia="en-US"/>
    </w:rPr>
  </w:style>
  <w:style w:type="paragraph" w:styleId="BodyText">
    <w:name w:val="Body Text"/>
    <w:basedOn w:val="Normal"/>
    <w:link w:val="BodyTextChar"/>
    <w:uiPriority w:val="99"/>
    <w:rsid w:val="00105CEF"/>
  </w:style>
  <w:style w:type="character" w:customStyle="1" w:styleId="BodyTextChar">
    <w:name w:val="Body Text Char"/>
    <w:basedOn w:val="DefaultParagraphFont"/>
    <w:link w:val="BodyText"/>
    <w:uiPriority w:val="99"/>
    <w:semiHidden/>
    <w:locked/>
    <w:rPr>
      <w:rFonts w:ascii="Arial" w:hAnsi="Arial" w:cs="Times New Roman"/>
      <w:lang w:val="x-none" w:eastAsia="en-US"/>
    </w:rPr>
  </w:style>
  <w:style w:type="paragraph" w:customStyle="1" w:styleId="Captiontext">
    <w:name w:val="Caption text"/>
    <w:basedOn w:val="BodyText"/>
    <w:rsid w:val="00105CEF"/>
    <w:rPr>
      <w:sz w:val="16"/>
    </w:rPr>
  </w:style>
  <w:style w:type="character" w:customStyle="1" w:styleId="FWOBlue">
    <w:name w:val="FWO Blue"/>
    <w:basedOn w:val="DefaultParagraphFont"/>
    <w:rsid w:val="00105CEF"/>
    <w:rPr>
      <w:rFonts w:ascii="Arial" w:hAnsi="Arial" w:cs="Times New Roman"/>
      <w:color w:val="0084C2"/>
    </w:rPr>
  </w:style>
  <w:style w:type="paragraph" w:styleId="Header">
    <w:name w:val="header"/>
    <w:basedOn w:val="Normal"/>
    <w:link w:val="HeaderChar"/>
    <w:uiPriority w:val="99"/>
    <w:rsid w:val="00105CEF"/>
    <w:pPr>
      <w:tabs>
        <w:tab w:val="center" w:pos="4153"/>
        <w:tab w:val="right" w:pos="8306"/>
      </w:tabs>
      <w:spacing w:before="360"/>
      <w:jc w:val="center"/>
    </w:pPr>
    <w:rPr>
      <w:sz w:val="40"/>
      <w:szCs w:val="40"/>
    </w:rPr>
  </w:style>
  <w:style w:type="character" w:customStyle="1" w:styleId="HeaderChar">
    <w:name w:val="Header Char"/>
    <w:basedOn w:val="DefaultParagraphFont"/>
    <w:link w:val="Header"/>
    <w:uiPriority w:val="99"/>
    <w:locked/>
    <w:rPr>
      <w:rFonts w:ascii="Arial" w:hAnsi="Arial" w:cs="Times New Roman"/>
      <w:lang w:val="x-none" w:eastAsia="en-US"/>
    </w:rPr>
  </w:style>
  <w:style w:type="paragraph" w:customStyle="1" w:styleId="Subheading">
    <w:name w:val="Subheading"/>
    <w:basedOn w:val="BodyText"/>
    <w:rsid w:val="00105CEF"/>
    <w:rPr>
      <w:b/>
      <w:bCs/>
    </w:rPr>
  </w:style>
  <w:style w:type="paragraph" w:styleId="BalloonText">
    <w:name w:val="Balloon Text"/>
    <w:basedOn w:val="Normal"/>
    <w:link w:val="BalloonTextChar"/>
    <w:uiPriority w:val="99"/>
    <w:rsid w:val="00524C21"/>
    <w:rPr>
      <w:rFonts w:ascii="Tahoma" w:hAnsi="Tahoma" w:cs="Tahoma"/>
      <w:sz w:val="16"/>
      <w:szCs w:val="16"/>
    </w:rPr>
  </w:style>
  <w:style w:type="character" w:customStyle="1" w:styleId="BalloonTextChar">
    <w:name w:val="Balloon Text Char"/>
    <w:basedOn w:val="DefaultParagraphFont"/>
    <w:link w:val="BalloonText"/>
    <w:uiPriority w:val="99"/>
    <w:locked/>
    <w:rsid w:val="00524C21"/>
    <w:rPr>
      <w:rFonts w:ascii="Tahoma" w:hAnsi="Tahoma" w:cs="Tahoma"/>
      <w:sz w:val="16"/>
      <w:szCs w:val="16"/>
      <w:lang w:val="x-none" w:eastAsia="en-US"/>
    </w:rPr>
  </w:style>
  <w:style w:type="paragraph" w:customStyle="1" w:styleId="TableText">
    <w:name w:val="TableText"/>
    <w:basedOn w:val="Normal"/>
    <w:rsid w:val="00105CEF"/>
    <w:pPr>
      <w:spacing w:before="40" w:after="40"/>
    </w:pPr>
    <w:rPr>
      <w:lang w:eastAsia="en-AU"/>
    </w:rPr>
  </w:style>
  <w:style w:type="paragraph" w:customStyle="1" w:styleId="Tabletextheading">
    <w:name w:val="Table text heading"/>
    <w:basedOn w:val="TableText"/>
    <w:rsid w:val="00105CEF"/>
    <w:rPr>
      <w:b/>
      <w:bCs/>
    </w:rPr>
  </w:style>
  <w:style w:type="paragraph" w:styleId="Title">
    <w:name w:val="Title"/>
    <w:basedOn w:val="Normal"/>
    <w:next w:val="Normal"/>
    <w:link w:val="TitleChar"/>
    <w:uiPriority w:val="10"/>
    <w:rsid w:val="00105CEF"/>
    <w:rPr>
      <w:noProof/>
      <w:color w:val="0084C2"/>
      <w:sz w:val="72"/>
      <w:szCs w:val="72"/>
      <w:lang w:eastAsia="en-AU"/>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TOC1">
    <w:name w:val="toc 1"/>
    <w:basedOn w:val="Normal"/>
    <w:autoRedefine/>
    <w:uiPriority w:val="39"/>
    <w:rsid w:val="00105CEF"/>
    <w:pPr>
      <w:tabs>
        <w:tab w:val="left" w:pos="1560"/>
        <w:tab w:val="right" w:leader="dot" w:pos="8789"/>
      </w:tabs>
      <w:ind w:left="851" w:right="814"/>
    </w:pPr>
    <w:rPr>
      <w:spacing w:val="-4"/>
    </w:rPr>
  </w:style>
  <w:style w:type="paragraph" w:styleId="TOC2">
    <w:name w:val="toc 2"/>
    <w:basedOn w:val="Normal"/>
    <w:autoRedefine/>
    <w:uiPriority w:val="39"/>
    <w:rsid w:val="00105CEF"/>
    <w:pPr>
      <w:tabs>
        <w:tab w:val="left" w:pos="1701"/>
        <w:tab w:val="right" w:leader="dot" w:pos="8789"/>
      </w:tabs>
      <w:ind w:left="992"/>
    </w:pPr>
  </w:style>
  <w:style w:type="paragraph" w:styleId="Caption">
    <w:name w:val="caption"/>
    <w:basedOn w:val="Normal"/>
    <w:next w:val="Normal"/>
    <w:uiPriority w:val="35"/>
    <w:rsid w:val="00105CEF"/>
    <w:pPr>
      <w:keepNext/>
      <w:numPr>
        <w:numId w:val="2"/>
      </w:numPr>
      <w:spacing w:before="60" w:after="240" w:line="220" w:lineRule="atLeast"/>
    </w:pPr>
    <w:rPr>
      <w:rFonts w:ascii="Arial Narrow" w:hAnsi="Arial Narrow"/>
      <w:sz w:val="18"/>
    </w:rPr>
  </w:style>
  <w:style w:type="paragraph" w:styleId="DocumentMap">
    <w:name w:val="Document Map"/>
    <w:basedOn w:val="Normal"/>
    <w:link w:val="DocumentMapChar"/>
    <w:uiPriority w:val="99"/>
    <w:semiHidden/>
    <w:rsid w:val="00105CE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paragraph" w:customStyle="1" w:styleId="Dotpoint">
    <w:name w:val="Dotpoint"/>
    <w:basedOn w:val="Normal"/>
    <w:semiHidden/>
    <w:locked/>
    <w:rsid w:val="00105CEF"/>
    <w:pPr>
      <w:numPr>
        <w:numId w:val="3"/>
      </w:numPr>
    </w:pPr>
  </w:style>
  <w:style w:type="paragraph" w:customStyle="1" w:styleId="Dotpointtable">
    <w:name w:val="Dotpoint table"/>
    <w:basedOn w:val="TableText"/>
    <w:semiHidden/>
    <w:locked/>
    <w:rsid w:val="00105CEF"/>
    <w:pPr>
      <w:numPr>
        <w:numId w:val="4"/>
      </w:numPr>
      <w:spacing w:before="60" w:after="60"/>
    </w:pPr>
    <w:rPr>
      <w:bCs/>
      <w:sz w:val="18"/>
      <w:szCs w:val="28"/>
    </w:rPr>
  </w:style>
  <w:style w:type="paragraph" w:customStyle="1" w:styleId="ExampleText">
    <w:name w:val="Example Text"/>
    <w:basedOn w:val="Normal"/>
    <w:semiHidden/>
    <w:locked/>
    <w:rsid w:val="00105CEF"/>
    <w:pPr>
      <w:spacing w:before="40" w:after="60"/>
    </w:pPr>
    <w:rPr>
      <w:i/>
      <w:vanish/>
      <w:color w:val="0000FF"/>
    </w:rPr>
  </w:style>
  <w:style w:type="paragraph" w:styleId="Footer">
    <w:name w:val="footer"/>
    <w:basedOn w:val="Normal"/>
    <w:link w:val="FooterChar"/>
    <w:uiPriority w:val="99"/>
    <w:rsid w:val="00105CEF"/>
    <w:pPr>
      <w:tabs>
        <w:tab w:val="center" w:pos="4153"/>
        <w:tab w:val="right" w:pos="8306"/>
      </w:tabs>
    </w:pPr>
  </w:style>
  <w:style w:type="character" w:customStyle="1" w:styleId="FooterChar">
    <w:name w:val="Footer Char"/>
    <w:basedOn w:val="DefaultParagraphFont"/>
    <w:link w:val="Footer"/>
    <w:uiPriority w:val="99"/>
    <w:locked/>
    <w:rPr>
      <w:rFonts w:ascii="Arial" w:hAnsi="Arial" w:cs="Times New Roman"/>
      <w:lang w:val="x-none" w:eastAsia="en-US"/>
    </w:rPr>
  </w:style>
  <w:style w:type="character" w:styleId="Hyperlink">
    <w:name w:val="Hyperlink"/>
    <w:basedOn w:val="DefaultParagraphFont"/>
    <w:uiPriority w:val="99"/>
    <w:rsid w:val="00105CEF"/>
    <w:rPr>
      <w:rFonts w:ascii="Arial" w:hAnsi="Arial" w:cs="Times New Roman"/>
      <w:color w:val="0000FF"/>
      <w:u w:val="single"/>
    </w:rPr>
  </w:style>
  <w:style w:type="table" w:styleId="TableGrid">
    <w:name w:val="Table Grid"/>
    <w:basedOn w:val="TableNormal"/>
    <w:uiPriority w:val="59"/>
    <w:rsid w:val="00105CE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autoRedefine/>
    <w:uiPriority w:val="39"/>
    <w:rsid w:val="00105CEF"/>
    <w:pPr>
      <w:tabs>
        <w:tab w:val="left" w:pos="1985"/>
        <w:tab w:val="right" w:leader="dot" w:pos="9629"/>
      </w:tabs>
      <w:ind w:left="360"/>
    </w:pPr>
  </w:style>
  <w:style w:type="paragraph" w:styleId="TOC4">
    <w:name w:val="toc 4"/>
    <w:basedOn w:val="Normal"/>
    <w:autoRedefine/>
    <w:uiPriority w:val="39"/>
    <w:semiHidden/>
    <w:rsid w:val="00105CEF"/>
    <w:pPr>
      <w:ind w:left="360"/>
    </w:pPr>
  </w:style>
  <w:style w:type="paragraph" w:styleId="TOC5">
    <w:name w:val="toc 5"/>
    <w:basedOn w:val="Normal"/>
    <w:autoRedefine/>
    <w:uiPriority w:val="39"/>
    <w:semiHidden/>
    <w:rsid w:val="00105CEF"/>
    <w:pPr>
      <w:ind w:left="360"/>
    </w:pPr>
  </w:style>
  <w:style w:type="character" w:customStyle="1" w:styleId="Subtitlered">
    <w:name w:val="Subtitle red"/>
    <w:basedOn w:val="DefaultParagraphFont"/>
    <w:rsid w:val="00E601F8"/>
    <w:rPr>
      <w:rFonts w:ascii="Arial" w:hAnsi="Arial" w:cs="Times New Roman"/>
      <w:color w:val="872434"/>
      <w:sz w:val="32"/>
    </w:rPr>
  </w:style>
  <w:style w:type="character" w:styleId="PageNumber">
    <w:name w:val="page number"/>
    <w:basedOn w:val="DefaultParagraphFont"/>
    <w:uiPriority w:val="99"/>
    <w:rsid w:val="00181475"/>
    <w:rPr>
      <w:rFonts w:ascii="Arial" w:hAnsi="Arial" w:cs="Times New Roman"/>
    </w:rPr>
  </w:style>
  <w:style w:type="paragraph" w:styleId="TOCHeading">
    <w:name w:val="TOC Heading"/>
    <w:basedOn w:val="Heading1"/>
    <w:next w:val="Normal"/>
    <w:uiPriority w:val="39"/>
    <w:unhideWhenUsed/>
    <w:rsid w:val="001F20C3"/>
    <w:pPr>
      <w:spacing w:before="480" w:line="276" w:lineRule="auto"/>
      <w:outlineLvl w:val="9"/>
    </w:pPr>
    <w:rPr>
      <w:rFonts w:asciiTheme="majorHAnsi" w:eastAsiaTheme="majorEastAsia" w:hAnsiTheme="majorHAnsi"/>
      <w:bCs/>
      <w:color w:val="365F91" w:themeColor="accent1" w:themeShade="BF"/>
      <w:szCs w:val="28"/>
      <w:lang w:val="en-US" w:eastAsia="ja-JP"/>
    </w:rPr>
  </w:style>
  <w:style w:type="character" w:styleId="CommentReference">
    <w:name w:val="annotation reference"/>
    <w:basedOn w:val="DefaultParagraphFont"/>
    <w:uiPriority w:val="99"/>
    <w:rsid w:val="00B0742B"/>
    <w:rPr>
      <w:rFonts w:cs="Times New Roman"/>
      <w:sz w:val="16"/>
      <w:szCs w:val="16"/>
    </w:rPr>
  </w:style>
  <w:style w:type="paragraph" w:styleId="CommentText">
    <w:name w:val="annotation text"/>
    <w:basedOn w:val="Normal"/>
    <w:link w:val="CommentTextChar"/>
    <w:uiPriority w:val="99"/>
    <w:rsid w:val="00B0742B"/>
  </w:style>
  <w:style w:type="character" w:customStyle="1" w:styleId="CommentTextChar">
    <w:name w:val="Comment Text Char"/>
    <w:basedOn w:val="DefaultParagraphFont"/>
    <w:link w:val="CommentText"/>
    <w:uiPriority w:val="99"/>
    <w:locked/>
    <w:rsid w:val="00B0742B"/>
    <w:rPr>
      <w:rFonts w:ascii="Arial" w:hAnsi="Arial" w:cs="Times New Roman"/>
      <w:lang w:val="x-none" w:eastAsia="en-US"/>
    </w:rPr>
  </w:style>
  <w:style w:type="paragraph" w:styleId="CommentSubject">
    <w:name w:val="annotation subject"/>
    <w:basedOn w:val="CommentText"/>
    <w:next w:val="CommentText"/>
    <w:link w:val="CommentSubjectChar"/>
    <w:uiPriority w:val="99"/>
    <w:rsid w:val="00B0742B"/>
    <w:rPr>
      <w:b/>
      <w:bCs/>
    </w:rPr>
  </w:style>
  <w:style w:type="character" w:customStyle="1" w:styleId="CommentSubjectChar">
    <w:name w:val="Comment Subject Char"/>
    <w:basedOn w:val="CommentTextChar"/>
    <w:link w:val="CommentSubject"/>
    <w:uiPriority w:val="99"/>
    <w:locked/>
    <w:rsid w:val="00B0742B"/>
    <w:rPr>
      <w:rFonts w:ascii="Arial" w:hAnsi="Arial" w:cs="Times New Roman"/>
      <w:b/>
      <w:bCs/>
      <w:lang w:val="x-none" w:eastAsia="en-US"/>
    </w:rPr>
  </w:style>
  <w:style w:type="paragraph" w:styleId="ListParagraph">
    <w:name w:val="List Paragraph"/>
    <w:basedOn w:val="Normal"/>
    <w:uiPriority w:val="34"/>
    <w:qFormat/>
    <w:rsid w:val="00057AE4"/>
    <w:pPr>
      <w:ind w:left="720"/>
      <w:contextualSpacing/>
    </w:pPr>
  </w:style>
  <w:style w:type="paragraph" w:styleId="FootnoteText">
    <w:name w:val="footnote text"/>
    <w:basedOn w:val="Normal"/>
    <w:link w:val="FootnoteTextChar"/>
    <w:uiPriority w:val="99"/>
    <w:rsid w:val="007B16EE"/>
  </w:style>
  <w:style w:type="character" w:customStyle="1" w:styleId="FootnoteTextChar">
    <w:name w:val="Footnote Text Char"/>
    <w:basedOn w:val="DefaultParagraphFont"/>
    <w:link w:val="FootnoteText"/>
    <w:uiPriority w:val="99"/>
    <w:locked/>
    <w:rsid w:val="007B16EE"/>
    <w:rPr>
      <w:rFonts w:ascii="Arial" w:hAnsi="Arial" w:cs="Times New Roman"/>
      <w:lang w:val="x-none" w:eastAsia="en-US"/>
    </w:rPr>
  </w:style>
  <w:style w:type="character" w:styleId="FootnoteReference">
    <w:name w:val="footnote reference"/>
    <w:basedOn w:val="DefaultParagraphFont"/>
    <w:uiPriority w:val="99"/>
    <w:rsid w:val="007B16EE"/>
    <w:rPr>
      <w:rFonts w:cs="Times New Roman"/>
      <w:vertAlign w:val="superscript"/>
    </w:rPr>
  </w:style>
  <w:style w:type="numbering" w:customStyle="1" w:styleId="Numberletterbullets">
    <w:name w:val="Number/letter bullets"/>
    <w:pPr>
      <w:numPr>
        <w:numId w:val="5"/>
      </w:numPr>
    </w:pPr>
  </w:style>
  <w:style w:type="numbering" w:customStyle="1" w:styleId="BulletLevel1">
    <w:name w:val="Bullet Level 1"/>
    <w:pPr>
      <w:numPr>
        <w:numId w:val="1"/>
      </w:numPr>
    </w:pPr>
  </w:style>
  <w:style w:type="paragraph" w:customStyle="1" w:styleId="Sub-title">
    <w:name w:val="Sub-title"/>
    <w:basedOn w:val="Heading1"/>
    <w:link w:val="Sub-titleChar"/>
    <w:rsid w:val="000E37AC"/>
    <w:rPr>
      <w:szCs w:val="28"/>
    </w:rPr>
  </w:style>
  <w:style w:type="paragraph" w:customStyle="1" w:styleId="Fronttitle">
    <w:name w:val="Front title"/>
    <w:basedOn w:val="Heading1"/>
    <w:link w:val="FronttitleChar"/>
    <w:rsid w:val="000E37AC"/>
    <w:pPr>
      <w:spacing w:before="3600"/>
    </w:pPr>
    <w:rPr>
      <w:sz w:val="56"/>
    </w:rPr>
  </w:style>
  <w:style w:type="character" w:customStyle="1" w:styleId="Sub-titleChar">
    <w:name w:val="Sub-title Char"/>
    <w:basedOn w:val="Heading1Char"/>
    <w:link w:val="Sub-title"/>
    <w:rsid w:val="000E37AC"/>
    <w:rPr>
      <w:rFonts w:ascii="Arial" w:hAnsi="Arial" w:cs="Arial"/>
      <w:b w:val="0"/>
      <w:color w:val="548DD4" w:themeColor="text2" w:themeTint="99"/>
      <w:sz w:val="28"/>
      <w:szCs w:val="28"/>
      <w:lang w:eastAsia="en-US"/>
    </w:rPr>
  </w:style>
  <w:style w:type="paragraph" w:customStyle="1" w:styleId="Casestudytitle">
    <w:name w:val="Case study title"/>
    <w:basedOn w:val="Sub-title"/>
    <w:link w:val="CasestudytitleChar"/>
    <w:autoRedefine/>
    <w:qFormat/>
    <w:rsid w:val="000D29E1"/>
    <w:pPr>
      <w:ind w:left="720"/>
    </w:pPr>
    <w:rPr>
      <w:sz w:val="36"/>
    </w:rPr>
  </w:style>
  <w:style w:type="character" w:customStyle="1" w:styleId="FronttitleChar">
    <w:name w:val="Front title Char"/>
    <w:basedOn w:val="Heading1Char"/>
    <w:link w:val="Fronttitle"/>
    <w:rsid w:val="000E37AC"/>
    <w:rPr>
      <w:rFonts w:ascii="Arial" w:hAnsi="Arial" w:cs="Arial"/>
      <w:b w:val="0"/>
      <w:color w:val="548DD4" w:themeColor="text2" w:themeTint="99"/>
      <w:sz w:val="56"/>
      <w:szCs w:val="26"/>
      <w:lang w:eastAsia="en-US"/>
    </w:rPr>
  </w:style>
  <w:style w:type="paragraph" w:customStyle="1" w:styleId="Casestudytext">
    <w:name w:val="Case study text"/>
    <w:basedOn w:val="Normal"/>
    <w:link w:val="CasestudytextChar"/>
    <w:qFormat/>
    <w:rsid w:val="00CF3B06"/>
    <w:pPr>
      <w:ind w:left="720"/>
    </w:pPr>
  </w:style>
  <w:style w:type="character" w:customStyle="1" w:styleId="CasestudytitleChar">
    <w:name w:val="Case study title Char"/>
    <w:basedOn w:val="Sub-titleChar"/>
    <w:link w:val="Casestudytitle"/>
    <w:rsid w:val="000D29E1"/>
    <w:rPr>
      <w:rFonts w:ascii="Helvetica" w:hAnsi="Helvetica" w:cs="Arial"/>
      <w:b w:val="0"/>
      <w:color w:val="0194A6"/>
      <w:sz w:val="36"/>
      <w:szCs w:val="28"/>
      <w:lang w:eastAsia="en-US"/>
    </w:rPr>
  </w:style>
  <w:style w:type="character" w:customStyle="1" w:styleId="CasestudytextChar">
    <w:name w:val="Case study text Char"/>
    <w:basedOn w:val="DefaultParagraphFont"/>
    <w:link w:val="Casestudytext"/>
    <w:rsid w:val="00CF3B06"/>
    <w:rPr>
      <w:rFonts w:ascii="Helvetica" w:hAnsi="Helvetica" w:cs="Arial"/>
      <w:sz w:val="22"/>
      <w:szCs w:val="24"/>
      <w:lang w:eastAsia="en-US"/>
    </w:rPr>
  </w:style>
  <w:style w:type="paragraph" w:customStyle="1" w:styleId="CoverReportTitle">
    <w:name w:val="Cover Report Title"/>
    <w:basedOn w:val="Normal"/>
    <w:autoRedefine/>
    <w:qFormat/>
    <w:rsid w:val="00602CBE"/>
    <w:pPr>
      <w:framePr w:w="4820" w:wrap="around" w:vAnchor="page" w:hAnchor="text" w:x="5388" w:y="795"/>
      <w:spacing w:before="4440" w:after="2400" w:line="480" w:lineRule="auto"/>
      <w:jc w:val="left"/>
    </w:pPr>
    <w:rPr>
      <w:rFonts w:eastAsiaTheme="minorHAnsi" w:cs="Times New Roman"/>
      <w:color w:val="FFFFFF" w:themeColor="background1"/>
      <w:sz w:val="60"/>
      <w:szCs w:val="22"/>
    </w:rPr>
  </w:style>
  <w:style w:type="paragraph" w:customStyle="1" w:styleId="CoverReportSubTitle">
    <w:name w:val="Cover Report Sub Title"/>
    <w:basedOn w:val="CoverReportTitle"/>
    <w:next w:val="Normal"/>
    <w:autoRedefine/>
    <w:qFormat/>
    <w:rsid w:val="00602CBE"/>
    <w:pPr>
      <w:framePr w:w="0" w:wrap="auto" w:vAnchor="margin" w:xAlign="left" w:yAlign="inline"/>
      <w:spacing w:before="113" w:after="57" w:line="400" w:lineRule="exact"/>
    </w:pPr>
    <w:rPr>
      <w:color w:val="auto"/>
      <w:sz w:val="36"/>
    </w:rPr>
  </w:style>
  <w:style w:type="paragraph" w:customStyle="1" w:styleId="Bullet">
    <w:name w:val="Bullet"/>
    <w:basedOn w:val="Normal"/>
    <w:autoRedefine/>
    <w:qFormat/>
    <w:rsid w:val="00A17607"/>
    <w:pPr>
      <w:spacing w:after="28"/>
      <w:jc w:val="left"/>
    </w:pPr>
    <w:rPr>
      <w:rFonts w:eastAsiaTheme="minorHAnsi" w:cs="Times New Roman"/>
      <w:szCs w:val="22"/>
    </w:rPr>
  </w:style>
  <w:style w:type="paragraph" w:customStyle="1" w:styleId="Calloutbox">
    <w:name w:val="Callout box"/>
    <w:basedOn w:val="Normal"/>
    <w:next w:val="Normal"/>
    <w:link w:val="CalloutboxChar"/>
    <w:autoRedefine/>
    <w:qFormat/>
    <w:rsid w:val="00357D51"/>
    <w:pPr>
      <w:pBdr>
        <w:top w:val="single" w:sz="48" w:space="3" w:color="DDDDDD"/>
        <w:left w:val="single" w:sz="48" w:space="8" w:color="DDDDDD"/>
        <w:bottom w:val="single" w:sz="48" w:space="6" w:color="DDDDDD"/>
        <w:right w:val="single" w:sz="48" w:space="8" w:color="DDDDDD"/>
      </w:pBdr>
      <w:shd w:val="clear" w:color="auto" w:fill="DDDDDD"/>
      <w:spacing w:before="240" w:after="113" w:line="320" w:lineRule="exact"/>
      <w:ind w:left="284" w:right="284"/>
      <w:contextualSpacing/>
      <w:jc w:val="left"/>
    </w:pPr>
    <w:rPr>
      <w:rFonts w:eastAsiaTheme="minorHAnsi" w:cs="Times New Roman"/>
      <w:szCs w:val="22"/>
    </w:rPr>
  </w:style>
  <w:style w:type="character" w:styleId="IntenseEmphasis">
    <w:name w:val="Intense Emphasis"/>
    <w:aliases w:val="Figure Heading"/>
    <w:basedOn w:val="DefaultParagraphFont"/>
    <w:uiPriority w:val="21"/>
    <w:rsid w:val="004B2104"/>
    <w:rPr>
      <w:rFonts w:ascii="Arial" w:hAnsi="Arial"/>
      <w:b/>
      <w:bCs/>
      <w:i w:val="0"/>
      <w:iCs/>
      <w:color w:val="000000" w:themeColor="text1"/>
      <w:sz w:val="22"/>
    </w:rPr>
  </w:style>
  <w:style w:type="paragraph" w:customStyle="1" w:styleId="GlanceYellowHeading">
    <w:name w:val="Glance Yellow Heading"/>
    <w:basedOn w:val="Normal"/>
    <w:next w:val="GlanceHeading"/>
    <w:autoRedefine/>
    <w:qFormat/>
    <w:rsid w:val="00A46F23"/>
    <w:pPr>
      <w:pBdr>
        <w:top w:val="single" w:sz="48" w:space="1" w:color="BFBFBF" w:themeColor="background1" w:themeShade="BF"/>
      </w:pBdr>
      <w:shd w:val="clear" w:color="auto" w:fill="FFFFFF" w:themeFill="background1"/>
      <w:spacing w:after="0"/>
      <w:contextualSpacing/>
      <w:jc w:val="center"/>
      <w:textboxTightWrap w:val="allLines"/>
    </w:pPr>
    <w:rPr>
      <w:rFonts w:eastAsiaTheme="minorHAnsi" w:cs="Times New Roman"/>
      <w:color w:val="0194A6"/>
      <w:spacing w:val="-10"/>
      <w:sz w:val="56"/>
      <w:szCs w:val="22"/>
    </w:rPr>
  </w:style>
  <w:style w:type="paragraph" w:customStyle="1" w:styleId="GlanceHeading">
    <w:name w:val="Glance Heading"/>
    <w:basedOn w:val="Normal"/>
    <w:next w:val="GlanceBody"/>
    <w:autoRedefine/>
    <w:qFormat/>
    <w:rsid w:val="00CF3B06"/>
    <w:pPr>
      <w:keepNext/>
      <w:keepLines/>
      <w:widowControl w:val="0"/>
      <w:spacing w:after="0" w:line="240" w:lineRule="auto"/>
      <w:jc w:val="center"/>
      <w:textboxTightWrap w:val="allLines"/>
    </w:pPr>
    <w:rPr>
      <w:rFonts w:eastAsiaTheme="minorHAnsi" w:cs="Times New Roman"/>
      <w:b/>
      <w:color w:val="0194A6"/>
      <w:sz w:val="96"/>
      <w:szCs w:val="22"/>
    </w:rPr>
  </w:style>
  <w:style w:type="paragraph" w:customStyle="1" w:styleId="GlanceBody">
    <w:name w:val="Glance Body"/>
    <w:basedOn w:val="Normal"/>
    <w:autoRedefine/>
    <w:qFormat/>
    <w:rsid w:val="00CF3B06"/>
    <w:pPr>
      <w:pBdr>
        <w:bottom w:val="single" w:sz="2" w:space="8" w:color="BFBFBF" w:themeColor="background1" w:themeShade="BF"/>
      </w:pBdr>
      <w:spacing w:after="113" w:line="240" w:lineRule="auto"/>
      <w:jc w:val="center"/>
    </w:pPr>
    <w:rPr>
      <w:rFonts w:eastAsiaTheme="minorHAnsi" w:cs="Times New Roman"/>
      <w:szCs w:val="22"/>
    </w:rPr>
  </w:style>
  <w:style w:type="paragraph" w:customStyle="1" w:styleId="CoverReportTitle1">
    <w:name w:val="Cover Report Title1"/>
    <w:basedOn w:val="Normal"/>
    <w:next w:val="CoverReportTitle"/>
    <w:rsid w:val="00205DBE"/>
    <w:pPr>
      <w:framePr w:w="4820" w:wrap="around" w:vAnchor="page" w:hAnchor="text" w:x="5388" w:y="795"/>
      <w:spacing w:after="0" w:line="560" w:lineRule="exact"/>
      <w:jc w:val="left"/>
    </w:pPr>
    <w:rPr>
      <w:rFonts w:ascii="Fair Work" w:eastAsiaTheme="minorHAnsi" w:hAnsi="Fair Work" w:cs="Times New Roman"/>
      <w:color w:val="007CBA"/>
      <w:sz w:val="60"/>
      <w:szCs w:val="22"/>
    </w:rPr>
  </w:style>
  <w:style w:type="paragraph" w:customStyle="1" w:styleId="GreyBubbleBox1">
    <w:name w:val="Grey  Bubble Box1"/>
    <w:basedOn w:val="Normal"/>
    <w:next w:val="Normal"/>
    <w:autoRedefine/>
    <w:qFormat/>
    <w:rsid w:val="00A46F23"/>
    <w:pPr>
      <w:pBdr>
        <w:top w:val="single" w:sz="48" w:space="3" w:color="E5E5E5"/>
        <w:left w:val="single" w:sz="48" w:space="8" w:color="E5E5E5"/>
        <w:bottom w:val="single" w:sz="48" w:space="6" w:color="E5E5E5"/>
        <w:right w:val="single" w:sz="48" w:space="8" w:color="E5E5E5"/>
      </w:pBdr>
      <w:shd w:val="clear" w:color="auto" w:fill="E5E5E5"/>
      <w:spacing w:before="240" w:after="113" w:line="320" w:lineRule="exact"/>
      <w:ind w:left="284" w:right="284"/>
      <w:contextualSpacing/>
      <w:jc w:val="left"/>
    </w:pPr>
    <w:rPr>
      <w:rFonts w:eastAsiaTheme="minorHAnsi" w:cs="Times New Roman"/>
      <w:szCs w:val="22"/>
    </w:rPr>
  </w:style>
  <w:style w:type="character" w:styleId="Emphasis">
    <w:name w:val="Emphasis"/>
    <w:basedOn w:val="DefaultParagraphFont"/>
    <w:rsid w:val="00CF3B06"/>
    <w:rPr>
      <w:i/>
      <w:iCs/>
    </w:rPr>
  </w:style>
  <w:style w:type="character" w:styleId="Strong">
    <w:name w:val="Strong"/>
    <w:basedOn w:val="DefaultParagraphFont"/>
    <w:rsid w:val="00CF3B06"/>
    <w:rPr>
      <w:b/>
      <w:bCs/>
    </w:rPr>
  </w:style>
  <w:style w:type="paragraph" w:styleId="Subtitle">
    <w:name w:val="Subtitle"/>
    <w:basedOn w:val="Normal"/>
    <w:next w:val="Normal"/>
    <w:link w:val="SubtitleChar"/>
    <w:rsid w:val="00CF3B0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F3B06"/>
    <w:rPr>
      <w:rFonts w:asciiTheme="majorHAnsi" w:eastAsiaTheme="majorEastAsia" w:hAnsiTheme="majorHAnsi" w:cstheme="majorBidi"/>
      <w:i/>
      <w:iCs/>
      <w:color w:val="4F81BD" w:themeColor="accent1"/>
      <w:spacing w:val="15"/>
      <w:sz w:val="24"/>
      <w:szCs w:val="24"/>
      <w:lang w:eastAsia="en-US"/>
    </w:rPr>
  </w:style>
  <w:style w:type="paragraph" w:styleId="NoSpacing">
    <w:name w:val="No Spacing"/>
    <w:uiPriority w:val="1"/>
    <w:rsid w:val="00CF3B06"/>
    <w:pPr>
      <w:jc w:val="both"/>
    </w:pPr>
    <w:rPr>
      <w:rFonts w:ascii="Arial" w:hAnsi="Arial" w:cs="Arial"/>
      <w:sz w:val="24"/>
      <w:szCs w:val="24"/>
      <w:lang w:eastAsia="en-US"/>
    </w:rPr>
  </w:style>
  <w:style w:type="paragraph" w:styleId="Quote">
    <w:name w:val="Quote"/>
    <w:basedOn w:val="Normal"/>
    <w:next w:val="Normal"/>
    <w:link w:val="QuoteChar"/>
    <w:uiPriority w:val="29"/>
    <w:qFormat/>
    <w:rsid w:val="00CF3B06"/>
    <w:rPr>
      <w:i/>
      <w:iCs/>
      <w:color w:val="000000" w:themeColor="text1"/>
    </w:rPr>
  </w:style>
  <w:style w:type="character" w:customStyle="1" w:styleId="QuoteChar">
    <w:name w:val="Quote Char"/>
    <w:basedOn w:val="DefaultParagraphFont"/>
    <w:link w:val="Quote"/>
    <w:uiPriority w:val="29"/>
    <w:rsid w:val="00CF3B06"/>
    <w:rPr>
      <w:rFonts w:ascii="Arial" w:hAnsi="Arial" w:cs="Arial"/>
      <w:i/>
      <w:iCs/>
      <w:color w:val="000000" w:themeColor="text1"/>
      <w:sz w:val="24"/>
      <w:szCs w:val="24"/>
      <w:lang w:eastAsia="en-US"/>
    </w:rPr>
  </w:style>
  <w:style w:type="paragraph" w:customStyle="1" w:styleId="CalloutBoxHeading">
    <w:name w:val="Callout Box Heading"/>
    <w:basedOn w:val="Calloutbox"/>
    <w:link w:val="CalloutBoxHeadingChar"/>
    <w:autoRedefine/>
    <w:qFormat/>
    <w:rsid w:val="003B62FE"/>
    <w:rPr>
      <w:b/>
      <w:sz w:val="24"/>
    </w:rPr>
  </w:style>
  <w:style w:type="character" w:customStyle="1" w:styleId="CalloutboxChar">
    <w:name w:val="Callout box Char"/>
    <w:basedOn w:val="DefaultParagraphFont"/>
    <w:link w:val="Calloutbox"/>
    <w:rsid w:val="00357D51"/>
    <w:rPr>
      <w:rFonts w:ascii="Helvetica" w:eastAsiaTheme="minorHAnsi" w:hAnsi="Helvetica"/>
      <w:sz w:val="22"/>
      <w:szCs w:val="22"/>
      <w:shd w:val="clear" w:color="auto" w:fill="DDDDDD"/>
      <w:lang w:eastAsia="en-US"/>
    </w:rPr>
  </w:style>
  <w:style w:type="character" w:customStyle="1" w:styleId="CalloutBoxHeadingChar">
    <w:name w:val="Callout Box Heading Char"/>
    <w:basedOn w:val="CalloutboxChar"/>
    <w:link w:val="CalloutBoxHeading"/>
    <w:rsid w:val="003B62FE"/>
    <w:rPr>
      <w:rFonts w:ascii="Helvetica" w:eastAsiaTheme="minorHAnsi" w:hAnsi="Helvetica"/>
      <w:b/>
      <w:color w:val="FFFFFF" w:themeColor="background1"/>
      <w:sz w:val="24"/>
      <w:szCs w:val="22"/>
      <w:shd w:val="clear" w:color="auto" w:fill="017F8F"/>
      <w:lang w:eastAsia="en-US"/>
    </w:rPr>
  </w:style>
  <w:style w:type="paragraph" w:customStyle="1" w:styleId="Calloutbox1">
    <w:name w:val="Callout box1"/>
    <w:basedOn w:val="Normal"/>
    <w:next w:val="Normal"/>
    <w:autoRedefine/>
    <w:qFormat/>
    <w:rsid w:val="00E73829"/>
    <w:pPr>
      <w:pBdr>
        <w:top w:val="single" w:sz="48" w:space="3" w:color="017F8F"/>
        <w:left w:val="single" w:sz="48" w:space="8" w:color="017F8F"/>
        <w:bottom w:val="single" w:sz="48" w:space="6" w:color="017F8F"/>
        <w:right w:val="single" w:sz="48" w:space="8" w:color="017F8F"/>
      </w:pBdr>
      <w:shd w:val="clear" w:color="auto" w:fill="000000" w:themeFill="text1"/>
      <w:spacing w:before="240" w:after="113" w:line="320" w:lineRule="exact"/>
      <w:ind w:left="284" w:right="284"/>
      <w:contextualSpacing/>
      <w:jc w:val="left"/>
    </w:pPr>
    <w:rPr>
      <w:rFonts w:eastAsiaTheme="minorHAnsi" w:cs="Times New Roman"/>
      <w:color w:val="FFFFFF" w:themeColor="background1"/>
      <w:szCs w:val="22"/>
    </w:rPr>
  </w:style>
  <w:style w:type="paragraph" w:customStyle="1" w:styleId="GlanceYellowHeading1">
    <w:name w:val="Glance Yellow Heading1"/>
    <w:basedOn w:val="Normal"/>
    <w:next w:val="GlanceHeading"/>
    <w:autoRedefine/>
    <w:rsid w:val="00CF3B06"/>
    <w:pPr>
      <w:pBdr>
        <w:top w:val="single" w:sz="48" w:space="1" w:color="BFBFBF" w:themeColor="background1" w:themeShade="BF"/>
      </w:pBdr>
      <w:shd w:val="clear" w:color="auto" w:fill="E5E5E5"/>
      <w:spacing w:after="0"/>
      <w:contextualSpacing/>
      <w:jc w:val="center"/>
      <w:textboxTightWrap w:val="allLines"/>
    </w:pPr>
    <w:rPr>
      <w:rFonts w:eastAsiaTheme="minorHAnsi" w:cs="Times New Roman"/>
      <w:color w:val="10C9DE"/>
      <w:spacing w:val="-10"/>
      <w:sz w:val="56"/>
      <w:szCs w:val="22"/>
    </w:rPr>
  </w:style>
  <w:style w:type="table" w:customStyle="1" w:styleId="TableGrid1">
    <w:name w:val="Table Grid1"/>
    <w:basedOn w:val="TableNormal"/>
    <w:next w:val="TableGrid"/>
    <w:rsid w:val="00431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87B86"/>
    <w:rPr>
      <w:rFonts w:ascii="Helvetica" w:hAnsi="Helvetica"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900048">
      <w:bodyDiv w:val="1"/>
      <w:marLeft w:val="0"/>
      <w:marRight w:val="0"/>
      <w:marTop w:val="0"/>
      <w:marBottom w:val="0"/>
      <w:divBdr>
        <w:top w:val="none" w:sz="0" w:space="0" w:color="auto"/>
        <w:left w:val="none" w:sz="0" w:space="0" w:color="auto"/>
        <w:bottom w:val="none" w:sz="0" w:space="0" w:color="auto"/>
        <w:right w:val="none" w:sz="0" w:space="0" w:color="auto"/>
      </w:divBdr>
    </w:div>
    <w:div w:id="614101292">
      <w:bodyDiv w:val="1"/>
      <w:marLeft w:val="0"/>
      <w:marRight w:val="0"/>
      <w:marTop w:val="0"/>
      <w:marBottom w:val="0"/>
      <w:divBdr>
        <w:top w:val="none" w:sz="0" w:space="0" w:color="auto"/>
        <w:left w:val="none" w:sz="0" w:space="0" w:color="auto"/>
        <w:bottom w:val="none" w:sz="0" w:space="0" w:color="auto"/>
        <w:right w:val="none" w:sz="0" w:space="0" w:color="auto"/>
      </w:divBdr>
    </w:div>
    <w:div w:id="1273704874">
      <w:bodyDiv w:val="1"/>
      <w:marLeft w:val="0"/>
      <w:marRight w:val="0"/>
      <w:marTop w:val="0"/>
      <w:marBottom w:val="0"/>
      <w:divBdr>
        <w:top w:val="none" w:sz="0" w:space="0" w:color="auto"/>
        <w:left w:val="none" w:sz="0" w:space="0" w:color="auto"/>
        <w:bottom w:val="none" w:sz="0" w:space="0" w:color="auto"/>
        <w:right w:val="none" w:sz="0" w:space="0" w:color="auto"/>
      </w:divBdr>
    </w:div>
    <w:div w:id="1411151422">
      <w:bodyDiv w:val="1"/>
      <w:marLeft w:val="0"/>
      <w:marRight w:val="0"/>
      <w:marTop w:val="0"/>
      <w:marBottom w:val="0"/>
      <w:divBdr>
        <w:top w:val="none" w:sz="0" w:space="0" w:color="auto"/>
        <w:left w:val="none" w:sz="0" w:space="0" w:color="auto"/>
        <w:bottom w:val="none" w:sz="0" w:space="0" w:color="auto"/>
        <w:right w:val="none" w:sz="0" w:space="0" w:color="auto"/>
      </w:divBdr>
    </w:div>
    <w:div w:id="1558855280">
      <w:bodyDiv w:val="1"/>
      <w:marLeft w:val="0"/>
      <w:marRight w:val="0"/>
      <w:marTop w:val="0"/>
      <w:marBottom w:val="0"/>
      <w:divBdr>
        <w:top w:val="none" w:sz="0" w:space="0" w:color="auto"/>
        <w:left w:val="none" w:sz="0" w:space="0" w:color="auto"/>
        <w:bottom w:val="none" w:sz="0" w:space="0" w:color="auto"/>
        <w:right w:val="none" w:sz="0" w:space="0" w:color="auto"/>
      </w:divBdr>
    </w:div>
    <w:div w:id="172158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yperlink" Target="mailto:Lynda.McAlary-Smith@fwo.gov.au" TargetMode="External"/><Relationship Id="rId3" Type="http://schemas.openxmlformats.org/officeDocument/2006/relationships/numbering" Target="numbering.xml"/><Relationship Id="rId21" Type="http://schemas.openxmlformats.org/officeDocument/2006/relationships/image" Target="media/image7.pn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fairwork.gov.au/" TargetMode="External"/><Relationship Id="rId25" Type="http://schemas.openxmlformats.org/officeDocument/2006/relationships/hyperlink" Target="mailto:media@fwo.gov.au" TargetMode="Externa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www.fairwork.gov.au/" TargetMode="Externa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yperlink" Target="http://www.fairwork.gov.au/"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4EF0B-D334-4C4E-826F-A36CFDDA2793}">
  <ds:schemaRefs>
    <ds:schemaRef ds:uri="http://schemas.microsoft.com/office/2006/metadata/longProperties"/>
  </ds:schemaRefs>
</ds:datastoreItem>
</file>

<file path=customXml/itemProps2.xml><?xml version="1.0" encoding="utf-8"?>
<ds:datastoreItem xmlns:ds="http://schemas.openxmlformats.org/officeDocument/2006/customXml" ds:itemID="{96C5E221-F307-4186-8E06-B7DAC17D0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2A7A0516.dotm</Template>
  <TotalTime>0</TotalTime>
  <Pages>12</Pages>
  <Words>1861</Words>
  <Characters>11357</Characters>
  <Application>Microsoft Office Word</Application>
  <DocSecurity>0</DocSecurity>
  <Lines>1419</Lines>
  <Paragraphs>1201</Paragraphs>
  <ScaleCrop>false</ScaleCrop>
  <HeadingPairs>
    <vt:vector size="2" baseType="variant">
      <vt:variant>
        <vt:lpstr>Title</vt:lpstr>
      </vt:variant>
      <vt:variant>
        <vt:i4>1</vt:i4>
      </vt:variant>
    </vt:vector>
  </HeadingPairs>
  <TitlesOfParts>
    <vt:vector size="1" baseType="lpstr">
      <vt:lpstr>Records and Resources Campaign Report</vt:lpstr>
    </vt:vector>
  </TitlesOfParts>
  <LinksUpToDate>false</LinksUpToDate>
  <CharactersWithSpaces>12017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Records and Resources Campaign Report</dc:title>
  <dc:subject>Records and Resources Campaign Report</dc:subject>
  <dc:creator/>
  <cp:keywords>Records and Resources Campaign Report</cp:keywords>
  <cp:lastModifiedBy/>
  <cp:revision>1</cp:revision>
  <dcterms:created xsi:type="dcterms:W3CDTF">2016-06-29T00:34:00Z</dcterms:created>
  <dcterms:modified xsi:type="dcterms:W3CDTF">2016-06-29T01:13:00Z</dcterms:modified>
</cp:coreProperties>
</file>