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D770E" w14:textId="77777777" w:rsidR="007D24BC" w:rsidRDefault="007D24BC" w:rsidP="00592AD0">
      <w:pPr>
        <w:pStyle w:val="CoverReportTitle"/>
        <w:framePr w:w="0" w:wrap="auto" w:vAnchor="margin" w:xAlign="left" w:yAlign="inline"/>
      </w:pPr>
    </w:p>
    <w:p w14:paraId="45BD770F" w14:textId="77777777" w:rsidR="00742D44" w:rsidRDefault="00742D44" w:rsidP="00592AD0">
      <w:pPr>
        <w:pStyle w:val="CoverReportTitle"/>
        <w:framePr w:w="0" w:wrap="auto" w:vAnchor="margin" w:xAlign="left" w:yAlign="inline"/>
      </w:pPr>
    </w:p>
    <w:p w14:paraId="45BD7710" w14:textId="77777777" w:rsidR="00205DBE" w:rsidRDefault="000651CE" w:rsidP="00592AD0">
      <w:pPr>
        <w:pStyle w:val="CoverReportTitle"/>
        <w:framePr w:w="0" w:wrap="auto" w:vAnchor="margin" w:xAlign="left" w:yAlign="inline"/>
      </w:pPr>
      <w:r>
        <w:t>The</w:t>
      </w:r>
      <w:r w:rsidR="003E42CA">
        <w:t xml:space="preserve"> Motor V</w:t>
      </w:r>
      <w:r w:rsidR="00DD43AA">
        <w:t>ehicle Retailing Campaign</w:t>
      </w:r>
    </w:p>
    <w:p w14:paraId="45BD7711" w14:textId="77777777" w:rsidR="003952ED" w:rsidRDefault="00205DBE" w:rsidP="00592AD0">
      <w:pPr>
        <w:pStyle w:val="CoverReportSubTitle"/>
        <w:framePr w:w="0" w:wrap="auto" w:vAnchor="margin" w:xAlign="left" w:yAlign="inline"/>
      </w:pPr>
      <w:r>
        <w:t xml:space="preserve">Report – </w:t>
      </w:r>
      <w:r w:rsidR="00DD43AA">
        <w:t>June</w:t>
      </w:r>
      <w:r w:rsidR="003E42CA">
        <w:t xml:space="preserve"> 2015</w:t>
      </w:r>
    </w:p>
    <w:p w14:paraId="45BD7712" w14:textId="77777777" w:rsidR="003952ED" w:rsidRDefault="003952ED" w:rsidP="00592AD0">
      <w:pPr>
        <w:pStyle w:val="CoverReportSubTitle"/>
        <w:framePr w:w="0" w:wrap="auto" w:vAnchor="margin" w:xAlign="left" w:yAlign="inline"/>
      </w:pPr>
    </w:p>
    <w:p w14:paraId="45BD7713" w14:textId="77777777" w:rsidR="003952ED" w:rsidRDefault="003952ED" w:rsidP="00592AD0">
      <w:pPr>
        <w:pStyle w:val="CoverReportSubTitle"/>
        <w:framePr w:w="0" w:wrap="auto" w:vAnchor="margin" w:xAlign="left" w:yAlign="inline"/>
      </w:pPr>
    </w:p>
    <w:p w14:paraId="45BD7714" w14:textId="77777777" w:rsidR="009629F3" w:rsidRPr="0045600E" w:rsidRDefault="009629F3" w:rsidP="00592AD0">
      <w:pPr>
        <w:jc w:val="left"/>
        <w:rPr>
          <w:sz w:val="36"/>
        </w:rPr>
      </w:pPr>
      <w:r w:rsidRPr="0045600E">
        <w:t>A report by the Fair Work Ombudsman under the Fair Work Act 2009</w:t>
      </w:r>
    </w:p>
    <w:p w14:paraId="45BD7715" w14:textId="77777777" w:rsidR="009629F3" w:rsidRPr="0045600E" w:rsidRDefault="003B121D" w:rsidP="00592AD0">
      <w:pPr>
        <w:jc w:val="left"/>
      </w:pPr>
      <w:r w:rsidRPr="0045600E">
        <w:t xml:space="preserve">Date of Publication </w:t>
      </w:r>
      <w:r w:rsidR="003E42CA">
        <w:t>–</w:t>
      </w:r>
      <w:r w:rsidRPr="0045600E">
        <w:t xml:space="preserve"> </w:t>
      </w:r>
      <w:r w:rsidR="00DD43AA">
        <w:t>June</w:t>
      </w:r>
      <w:r w:rsidR="003E42CA">
        <w:t xml:space="preserve"> 2015</w:t>
      </w:r>
    </w:p>
    <w:p w14:paraId="45BD7716" w14:textId="77777777" w:rsidR="00AB27F9" w:rsidRPr="0045600E" w:rsidRDefault="009629F3" w:rsidP="00592AD0">
      <w:pPr>
        <w:jc w:val="left"/>
      </w:pPr>
      <w:r w:rsidRPr="0045600E">
        <w:t>©</w:t>
      </w:r>
      <w:r w:rsidR="00CC7FFE" w:rsidRPr="0045600E">
        <w:t xml:space="preserve"> </w:t>
      </w:r>
      <w:r w:rsidRPr="0045600E">
        <w:t>Commonwealth of Australia, 201</w:t>
      </w:r>
      <w:r w:rsidR="003E42CA">
        <w:t>5</w:t>
      </w:r>
    </w:p>
    <w:p w14:paraId="45BD7717" w14:textId="77777777" w:rsidR="00AB27F9" w:rsidRDefault="00AB27F9" w:rsidP="00592AD0">
      <w:pPr>
        <w:jc w:val="left"/>
      </w:pPr>
      <w:r>
        <w:br w:type="page"/>
      </w:r>
    </w:p>
    <w:p w14:paraId="45BD7718" w14:textId="77777777" w:rsidR="004B2104" w:rsidRPr="00CF3B06" w:rsidRDefault="006878B3" w:rsidP="00592AD0">
      <w:pPr>
        <w:pStyle w:val="Heading1"/>
        <w:jc w:val="left"/>
      </w:pPr>
      <w:bookmarkStart w:id="0" w:name="_Toc410822199"/>
      <w:bookmarkStart w:id="1" w:name="_Toc421872752"/>
      <w:r w:rsidRPr="00CF3B06">
        <w:lastRenderedPageBreak/>
        <w:t>Contents</w:t>
      </w:r>
      <w:bookmarkEnd w:id="0"/>
      <w:bookmarkEnd w:id="1"/>
    </w:p>
    <w:p w14:paraId="7FB306FF" w14:textId="77777777" w:rsidR="00D42D45" w:rsidRDefault="000D29E1">
      <w:pPr>
        <w:pStyle w:val="TOC1"/>
        <w:rPr>
          <w:rFonts w:asciiTheme="minorHAnsi" w:eastAsiaTheme="minorEastAsia" w:hAnsiTheme="minorHAnsi" w:cstheme="minorBidi"/>
          <w:noProof/>
          <w:spacing w:val="0"/>
          <w:szCs w:val="22"/>
          <w:lang w:eastAsia="en-AU"/>
        </w:rPr>
      </w:pPr>
      <w:r w:rsidRPr="000D29E1">
        <w:fldChar w:fldCharType="begin"/>
      </w:r>
      <w:r w:rsidRPr="000D29E1">
        <w:instrText xml:space="preserve"> TOC \o "1-2" \h \z \u </w:instrText>
      </w:r>
      <w:r w:rsidRPr="000D29E1">
        <w:fldChar w:fldCharType="separate"/>
      </w:r>
      <w:hyperlink w:anchor="_Toc421872752" w:history="1">
        <w:r w:rsidR="00D42D45" w:rsidRPr="00A7777F">
          <w:rPr>
            <w:rStyle w:val="Hyperlink"/>
            <w:noProof/>
          </w:rPr>
          <w:t>Contents</w:t>
        </w:r>
        <w:r w:rsidR="00D42D45">
          <w:rPr>
            <w:noProof/>
            <w:webHidden/>
          </w:rPr>
          <w:tab/>
        </w:r>
        <w:r w:rsidR="00D42D45">
          <w:rPr>
            <w:noProof/>
            <w:webHidden/>
          </w:rPr>
          <w:fldChar w:fldCharType="begin"/>
        </w:r>
        <w:r w:rsidR="00D42D45">
          <w:rPr>
            <w:noProof/>
            <w:webHidden/>
          </w:rPr>
          <w:instrText xml:space="preserve"> PAGEREF _Toc421872752 \h </w:instrText>
        </w:r>
        <w:r w:rsidR="00D42D45">
          <w:rPr>
            <w:noProof/>
            <w:webHidden/>
          </w:rPr>
        </w:r>
        <w:r w:rsidR="00D42D45">
          <w:rPr>
            <w:noProof/>
            <w:webHidden/>
          </w:rPr>
          <w:fldChar w:fldCharType="separate"/>
        </w:r>
        <w:r w:rsidR="00D42D45">
          <w:rPr>
            <w:noProof/>
            <w:webHidden/>
          </w:rPr>
          <w:t>2</w:t>
        </w:r>
        <w:r w:rsidR="00D42D45">
          <w:rPr>
            <w:noProof/>
            <w:webHidden/>
          </w:rPr>
          <w:fldChar w:fldCharType="end"/>
        </w:r>
      </w:hyperlink>
    </w:p>
    <w:p w14:paraId="122054F5" w14:textId="77777777" w:rsidR="00D42D45" w:rsidRDefault="00953193">
      <w:pPr>
        <w:pStyle w:val="TOC1"/>
        <w:rPr>
          <w:rFonts w:asciiTheme="minorHAnsi" w:eastAsiaTheme="minorEastAsia" w:hAnsiTheme="minorHAnsi" w:cstheme="minorBidi"/>
          <w:noProof/>
          <w:spacing w:val="0"/>
          <w:szCs w:val="22"/>
          <w:lang w:eastAsia="en-AU"/>
        </w:rPr>
      </w:pPr>
      <w:hyperlink w:anchor="_Toc421872753" w:history="1">
        <w:r w:rsidR="00D42D45" w:rsidRPr="00A7777F">
          <w:rPr>
            <w:rStyle w:val="Hyperlink"/>
            <w:noProof/>
          </w:rPr>
          <w:t>Campaign Snapshot</w:t>
        </w:r>
        <w:r w:rsidR="00D42D45">
          <w:rPr>
            <w:noProof/>
            <w:webHidden/>
          </w:rPr>
          <w:tab/>
        </w:r>
        <w:r w:rsidR="00D42D45">
          <w:rPr>
            <w:noProof/>
            <w:webHidden/>
          </w:rPr>
          <w:fldChar w:fldCharType="begin"/>
        </w:r>
        <w:r w:rsidR="00D42D45">
          <w:rPr>
            <w:noProof/>
            <w:webHidden/>
          </w:rPr>
          <w:instrText xml:space="preserve"> PAGEREF _Toc421872753 \h </w:instrText>
        </w:r>
        <w:r w:rsidR="00D42D45">
          <w:rPr>
            <w:noProof/>
            <w:webHidden/>
          </w:rPr>
        </w:r>
        <w:r w:rsidR="00D42D45">
          <w:rPr>
            <w:noProof/>
            <w:webHidden/>
          </w:rPr>
          <w:fldChar w:fldCharType="separate"/>
        </w:r>
        <w:r w:rsidR="00D42D45">
          <w:rPr>
            <w:noProof/>
            <w:webHidden/>
          </w:rPr>
          <w:t>3</w:t>
        </w:r>
        <w:r w:rsidR="00D42D45">
          <w:rPr>
            <w:noProof/>
            <w:webHidden/>
          </w:rPr>
          <w:fldChar w:fldCharType="end"/>
        </w:r>
      </w:hyperlink>
    </w:p>
    <w:p w14:paraId="7D67F944" w14:textId="77777777" w:rsidR="00D42D45" w:rsidRDefault="00953193">
      <w:pPr>
        <w:pStyle w:val="TOC1"/>
        <w:rPr>
          <w:rFonts w:asciiTheme="minorHAnsi" w:eastAsiaTheme="minorEastAsia" w:hAnsiTheme="minorHAnsi" w:cstheme="minorBidi"/>
          <w:noProof/>
          <w:spacing w:val="0"/>
          <w:szCs w:val="22"/>
          <w:lang w:eastAsia="en-AU"/>
        </w:rPr>
      </w:pPr>
      <w:hyperlink w:anchor="_Toc421872754" w:history="1">
        <w:r w:rsidR="00D42D45" w:rsidRPr="00A7777F">
          <w:rPr>
            <w:rStyle w:val="Hyperlink"/>
            <w:noProof/>
          </w:rPr>
          <w:t>About Campaign</w:t>
        </w:r>
        <w:r w:rsidR="00D42D45">
          <w:rPr>
            <w:noProof/>
            <w:webHidden/>
          </w:rPr>
          <w:tab/>
        </w:r>
        <w:r w:rsidR="00D42D45">
          <w:rPr>
            <w:noProof/>
            <w:webHidden/>
          </w:rPr>
          <w:fldChar w:fldCharType="begin"/>
        </w:r>
        <w:r w:rsidR="00D42D45">
          <w:rPr>
            <w:noProof/>
            <w:webHidden/>
          </w:rPr>
          <w:instrText xml:space="preserve"> PAGEREF _Toc421872754 \h </w:instrText>
        </w:r>
        <w:r w:rsidR="00D42D45">
          <w:rPr>
            <w:noProof/>
            <w:webHidden/>
          </w:rPr>
        </w:r>
        <w:r w:rsidR="00D42D45">
          <w:rPr>
            <w:noProof/>
            <w:webHidden/>
          </w:rPr>
          <w:fldChar w:fldCharType="separate"/>
        </w:r>
        <w:r w:rsidR="00D42D45">
          <w:rPr>
            <w:noProof/>
            <w:webHidden/>
          </w:rPr>
          <w:t>4</w:t>
        </w:r>
        <w:r w:rsidR="00D42D45">
          <w:rPr>
            <w:noProof/>
            <w:webHidden/>
          </w:rPr>
          <w:fldChar w:fldCharType="end"/>
        </w:r>
      </w:hyperlink>
    </w:p>
    <w:p w14:paraId="18D2A3BC" w14:textId="77777777" w:rsidR="00D42D45" w:rsidRDefault="00953193">
      <w:pPr>
        <w:pStyle w:val="TOC1"/>
        <w:rPr>
          <w:rFonts w:asciiTheme="minorHAnsi" w:eastAsiaTheme="minorEastAsia" w:hAnsiTheme="minorHAnsi" w:cstheme="minorBidi"/>
          <w:noProof/>
          <w:spacing w:val="0"/>
          <w:szCs w:val="22"/>
          <w:lang w:eastAsia="en-AU"/>
        </w:rPr>
      </w:pPr>
      <w:hyperlink w:anchor="_Toc421872755" w:history="1">
        <w:r w:rsidR="00D42D45" w:rsidRPr="00A7777F">
          <w:rPr>
            <w:rStyle w:val="Hyperlink"/>
            <w:noProof/>
          </w:rPr>
          <w:t>Outcomes at a Glance</w:t>
        </w:r>
        <w:r w:rsidR="00D42D45">
          <w:rPr>
            <w:noProof/>
            <w:webHidden/>
          </w:rPr>
          <w:tab/>
        </w:r>
        <w:r w:rsidR="00D42D45">
          <w:rPr>
            <w:noProof/>
            <w:webHidden/>
          </w:rPr>
          <w:fldChar w:fldCharType="begin"/>
        </w:r>
        <w:r w:rsidR="00D42D45">
          <w:rPr>
            <w:noProof/>
            <w:webHidden/>
          </w:rPr>
          <w:instrText xml:space="preserve"> PAGEREF _Toc421872755 \h </w:instrText>
        </w:r>
        <w:r w:rsidR="00D42D45">
          <w:rPr>
            <w:noProof/>
            <w:webHidden/>
          </w:rPr>
        </w:r>
        <w:r w:rsidR="00D42D45">
          <w:rPr>
            <w:noProof/>
            <w:webHidden/>
          </w:rPr>
          <w:fldChar w:fldCharType="separate"/>
        </w:r>
        <w:r w:rsidR="00D42D45">
          <w:rPr>
            <w:noProof/>
            <w:webHidden/>
          </w:rPr>
          <w:t>4</w:t>
        </w:r>
        <w:r w:rsidR="00D42D45">
          <w:rPr>
            <w:noProof/>
            <w:webHidden/>
          </w:rPr>
          <w:fldChar w:fldCharType="end"/>
        </w:r>
      </w:hyperlink>
    </w:p>
    <w:p w14:paraId="63E02AB4" w14:textId="77777777" w:rsidR="00D42D45" w:rsidRDefault="00953193">
      <w:pPr>
        <w:pStyle w:val="TOC1"/>
        <w:rPr>
          <w:rFonts w:asciiTheme="minorHAnsi" w:eastAsiaTheme="minorEastAsia" w:hAnsiTheme="minorHAnsi" w:cstheme="minorBidi"/>
          <w:noProof/>
          <w:spacing w:val="0"/>
          <w:szCs w:val="22"/>
          <w:lang w:eastAsia="en-AU"/>
        </w:rPr>
      </w:pPr>
      <w:hyperlink w:anchor="_Toc421872756" w:history="1">
        <w:r w:rsidR="00D42D45" w:rsidRPr="00A7777F">
          <w:rPr>
            <w:rStyle w:val="Hyperlink"/>
            <w:noProof/>
          </w:rPr>
          <w:t>Industry Profile</w:t>
        </w:r>
        <w:r w:rsidR="00D42D45">
          <w:rPr>
            <w:noProof/>
            <w:webHidden/>
          </w:rPr>
          <w:tab/>
        </w:r>
        <w:r w:rsidR="00D42D45">
          <w:rPr>
            <w:noProof/>
            <w:webHidden/>
          </w:rPr>
          <w:fldChar w:fldCharType="begin"/>
        </w:r>
        <w:r w:rsidR="00D42D45">
          <w:rPr>
            <w:noProof/>
            <w:webHidden/>
          </w:rPr>
          <w:instrText xml:space="preserve"> PAGEREF _Toc421872756 \h </w:instrText>
        </w:r>
        <w:r w:rsidR="00D42D45">
          <w:rPr>
            <w:noProof/>
            <w:webHidden/>
          </w:rPr>
        </w:r>
        <w:r w:rsidR="00D42D45">
          <w:rPr>
            <w:noProof/>
            <w:webHidden/>
          </w:rPr>
          <w:fldChar w:fldCharType="separate"/>
        </w:r>
        <w:r w:rsidR="00D42D45">
          <w:rPr>
            <w:noProof/>
            <w:webHidden/>
          </w:rPr>
          <w:t>5</w:t>
        </w:r>
        <w:r w:rsidR="00D42D45">
          <w:rPr>
            <w:noProof/>
            <w:webHidden/>
          </w:rPr>
          <w:fldChar w:fldCharType="end"/>
        </w:r>
      </w:hyperlink>
    </w:p>
    <w:p w14:paraId="29D31934" w14:textId="77777777" w:rsidR="00D42D45" w:rsidRDefault="00953193">
      <w:pPr>
        <w:pStyle w:val="TOC1"/>
        <w:rPr>
          <w:rFonts w:asciiTheme="minorHAnsi" w:eastAsiaTheme="minorEastAsia" w:hAnsiTheme="minorHAnsi" w:cstheme="minorBidi"/>
          <w:noProof/>
          <w:spacing w:val="0"/>
          <w:szCs w:val="22"/>
          <w:lang w:eastAsia="en-AU"/>
        </w:rPr>
      </w:pPr>
      <w:hyperlink w:anchor="_Toc421872757" w:history="1">
        <w:r w:rsidR="00D42D45" w:rsidRPr="00A7777F">
          <w:rPr>
            <w:rStyle w:val="Hyperlink"/>
            <w:noProof/>
          </w:rPr>
          <w:t>Industry Stakeholders</w:t>
        </w:r>
        <w:r w:rsidR="00D42D45">
          <w:rPr>
            <w:noProof/>
            <w:webHidden/>
          </w:rPr>
          <w:tab/>
        </w:r>
        <w:r w:rsidR="00D42D45">
          <w:rPr>
            <w:noProof/>
            <w:webHidden/>
          </w:rPr>
          <w:fldChar w:fldCharType="begin"/>
        </w:r>
        <w:r w:rsidR="00D42D45">
          <w:rPr>
            <w:noProof/>
            <w:webHidden/>
          </w:rPr>
          <w:instrText xml:space="preserve"> PAGEREF _Toc421872757 \h </w:instrText>
        </w:r>
        <w:r w:rsidR="00D42D45">
          <w:rPr>
            <w:noProof/>
            <w:webHidden/>
          </w:rPr>
        </w:r>
        <w:r w:rsidR="00D42D45">
          <w:rPr>
            <w:noProof/>
            <w:webHidden/>
          </w:rPr>
          <w:fldChar w:fldCharType="separate"/>
        </w:r>
        <w:r w:rsidR="00D42D45">
          <w:rPr>
            <w:noProof/>
            <w:webHidden/>
          </w:rPr>
          <w:t>6</w:t>
        </w:r>
        <w:r w:rsidR="00D42D45">
          <w:rPr>
            <w:noProof/>
            <w:webHidden/>
          </w:rPr>
          <w:fldChar w:fldCharType="end"/>
        </w:r>
      </w:hyperlink>
    </w:p>
    <w:p w14:paraId="227AA341" w14:textId="77777777" w:rsidR="00D42D45" w:rsidRDefault="00953193">
      <w:pPr>
        <w:pStyle w:val="TOC1"/>
        <w:rPr>
          <w:rFonts w:asciiTheme="minorHAnsi" w:eastAsiaTheme="minorEastAsia" w:hAnsiTheme="minorHAnsi" w:cstheme="minorBidi"/>
          <w:noProof/>
          <w:spacing w:val="0"/>
          <w:szCs w:val="22"/>
          <w:lang w:eastAsia="en-AU"/>
        </w:rPr>
      </w:pPr>
      <w:hyperlink w:anchor="_Toc421872758" w:history="1">
        <w:r w:rsidR="00D42D45" w:rsidRPr="00A7777F">
          <w:rPr>
            <w:rStyle w:val="Hyperlink"/>
            <w:noProof/>
          </w:rPr>
          <w:t>Wages Audit</w:t>
        </w:r>
        <w:r w:rsidR="00D42D45">
          <w:rPr>
            <w:noProof/>
            <w:webHidden/>
          </w:rPr>
          <w:tab/>
        </w:r>
        <w:r w:rsidR="00D42D45">
          <w:rPr>
            <w:noProof/>
            <w:webHidden/>
          </w:rPr>
          <w:fldChar w:fldCharType="begin"/>
        </w:r>
        <w:r w:rsidR="00D42D45">
          <w:rPr>
            <w:noProof/>
            <w:webHidden/>
          </w:rPr>
          <w:instrText xml:space="preserve"> PAGEREF _Toc421872758 \h </w:instrText>
        </w:r>
        <w:r w:rsidR="00D42D45">
          <w:rPr>
            <w:noProof/>
            <w:webHidden/>
          </w:rPr>
        </w:r>
        <w:r w:rsidR="00D42D45">
          <w:rPr>
            <w:noProof/>
            <w:webHidden/>
          </w:rPr>
          <w:fldChar w:fldCharType="separate"/>
        </w:r>
        <w:r w:rsidR="00D42D45">
          <w:rPr>
            <w:noProof/>
            <w:webHidden/>
          </w:rPr>
          <w:t>6</w:t>
        </w:r>
        <w:r w:rsidR="00D42D45">
          <w:rPr>
            <w:noProof/>
            <w:webHidden/>
          </w:rPr>
          <w:fldChar w:fldCharType="end"/>
        </w:r>
      </w:hyperlink>
    </w:p>
    <w:p w14:paraId="55D5B367" w14:textId="77777777" w:rsidR="00D42D45" w:rsidRDefault="00953193">
      <w:pPr>
        <w:pStyle w:val="TOC1"/>
        <w:rPr>
          <w:rFonts w:asciiTheme="minorHAnsi" w:eastAsiaTheme="minorEastAsia" w:hAnsiTheme="minorHAnsi" w:cstheme="minorBidi"/>
          <w:noProof/>
          <w:spacing w:val="0"/>
          <w:szCs w:val="22"/>
          <w:lang w:eastAsia="en-AU"/>
        </w:rPr>
      </w:pPr>
      <w:hyperlink w:anchor="_Toc421872759" w:history="1">
        <w:r w:rsidR="00D42D45" w:rsidRPr="00A7777F">
          <w:rPr>
            <w:rStyle w:val="Hyperlink"/>
            <w:noProof/>
          </w:rPr>
          <w:t>Regional Findings</w:t>
        </w:r>
        <w:r w:rsidR="00D42D45">
          <w:rPr>
            <w:noProof/>
            <w:webHidden/>
          </w:rPr>
          <w:tab/>
        </w:r>
        <w:r w:rsidR="00D42D45">
          <w:rPr>
            <w:noProof/>
            <w:webHidden/>
          </w:rPr>
          <w:fldChar w:fldCharType="begin"/>
        </w:r>
        <w:r w:rsidR="00D42D45">
          <w:rPr>
            <w:noProof/>
            <w:webHidden/>
          </w:rPr>
          <w:instrText xml:space="preserve"> PAGEREF _Toc421872759 \h </w:instrText>
        </w:r>
        <w:r w:rsidR="00D42D45">
          <w:rPr>
            <w:noProof/>
            <w:webHidden/>
          </w:rPr>
        </w:r>
        <w:r w:rsidR="00D42D45">
          <w:rPr>
            <w:noProof/>
            <w:webHidden/>
          </w:rPr>
          <w:fldChar w:fldCharType="separate"/>
        </w:r>
        <w:r w:rsidR="00D42D45">
          <w:rPr>
            <w:noProof/>
            <w:webHidden/>
          </w:rPr>
          <w:t>7</w:t>
        </w:r>
        <w:r w:rsidR="00D42D45">
          <w:rPr>
            <w:noProof/>
            <w:webHidden/>
          </w:rPr>
          <w:fldChar w:fldCharType="end"/>
        </w:r>
      </w:hyperlink>
    </w:p>
    <w:p w14:paraId="02505881" w14:textId="77777777" w:rsidR="00D42D45" w:rsidRDefault="00953193">
      <w:pPr>
        <w:pStyle w:val="TOC2"/>
        <w:rPr>
          <w:rFonts w:asciiTheme="minorHAnsi" w:eastAsiaTheme="minorEastAsia" w:hAnsiTheme="minorHAnsi" w:cstheme="minorBidi"/>
          <w:noProof/>
          <w:szCs w:val="22"/>
          <w:lang w:eastAsia="en-AU"/>
        </w:rPr>
      </w:pPr>
      <w:hyperlink w:anchor="_Toc421872760" w:history="1">
        <w:r w:rsidR="00D42D45" w:rsidRPr="00A7777F">
          <w:rPr>
            <w:rStyle w:val="Hyperlink"/>
            <w:noProof/>
          </w:rPr>
          <w:t>New South Wales (NSW)</w:t>
        </w:r>
        <w:r w:rsidR="00D42D45">
          <w:rPr>
            <w:noProof/>
            <w:webHidden/>
          </w:rPr>
          <w:tab/>
        </w:r>
        <w:r w:rsidR="00D42D45">
          <w:rPr>
            <w:noProof/>
            <w:webHidden/>
          </w:rPr>
          <w:fldChar w:fldCharType="begin"/>
        </w:r>
        <w:r w:rsidR="00D42D45">
          <w:rPr>
            <w:noProof/>
            <w:webHidden/>
          </w:rPr>
          <w:instrText xml:space="preserve"> PAGEREF _Toc421872760 \h </w:instrText>
        </w:r>
        <w:r w:rsidR="00D42D45">
          <w:rPr>
            <w:noProof/>
            <w:webHidden/>
          </w:rPr>
        </w:r>
        <w:r w:rsidR="00D42D45">
          <w:rPr>
            <w:noProof/>
            <w:webHidden/>
          </w:rPr>
          <w:fldChar w:fldCharType="separate"/>
        </w:r>
        <w:r w:rsidR="00D42D45">
          <w:rPr>
            <w:noProof/>
            <w:webHidden/>
          </w:rPr>
          <w:t>7</w:t>
        </w:r>
        <w:r w:rsidR="00D42D45">
          <w:rPr>
            <w:noProof/>
            <w:webHidden/>
          </w:rPr>
          <w:fldChar w:fldCharType="end"/>
        </w:r>
      </w:hyperlink>
    </w:p>
    <w:p w14:paraId="5F5FF76C" w14:textId="77777777" w:rsidR="00D42D45" w:rsidRDefault="00953193">
      <w:pPr>
        <w:pStyle w:val="TOC2"/>
        <w:rPr>
          <w:rFonts w:asciiTheme="minorHAnsi" w:eastAsiaTheme="minorEastAsia" w:hAnsiTheme="minorHAnsi" w:cstheme="minorBidi"/>
          <w:noProof/>
          <w:szCs w:val="22"/>
          <w:lang w:eastAsia="en-AU"/>
        </w:rPr>
      </w:pPr>
      <w:hyperlink w:anchor="_Toc421872761" w:history="1">
        <w:r w:rsidR="00D42D45" w:rsidRPr="00A7777F">
          <w:rPr>
            <w:rStyle w:val="Hyperlink"/>
            <w:noProof/>
          </w:rPr>
          <w:t>Australian Capital Territory (ACT)</w:t>
        </w:r>
        <w:r w:rsidR="00D42D45">
          <w:rPr>
            <w:noProof/>
            <w:webHidden/>
          </w:rPr>
          <w:tab/>
        </w:r>
        <w:r w:rsidR="00D42D45">
          <w:rPr>
            <w:noProof/>
            <w:webHidden/>
          </w:rPr>
          <w:fldChar w:fldCharType="begin"/>
        </w:r>
        <w:r w:rsidR="00D42D45">
          <w:rPr>
            <w:noProof/>
            <w:webHidden/>
          </w:rPr>
          <w:instrText xml:space="preserve"> PAGEREF _Toc421872761 \h </w:instrText>
        </w:r>
        <w:r w:rsidR="00D42D45">
          <w:rPr>
            <w:noProof/>
            <w:webHidden/>
          </w:rPr>
        </w:r>
        <w:r w:rsidR="00D42D45">
          <w:rPr>
            <w:noProof/>
            <w:webHidden/>
          </w:rPr>
          <w:fldChar w:fldCharType="separate"/>
        </w:r>
        <w:r w:rsidR="00D42D45">
          <w:rPr>
            <w:noProof/>
            <w:webHidden/>
          </w:rPr>
          <w:t>8</w:t>
        </w:r>
        <w:r w:rsidR="00D42D45">
          <w:rPr>
            <w:noProof/>
            <w:webHidden/>
          </w:rPr>
          <w:fldChar w:fldCharType="end"/>
        </w:r>
      </w:hyperlink>
    </w:p>
    <w:p w14:paraId="7FA3CAAA" w14:textId="77777777" w:rsidR="00D42D45" w:rsidRDefault="00953193">
      <w:pPr>
        <w:pStyle w:val="TOC2"/>
        <w:rPr>
          <w:rFonts w:asciiTheme="minorHAnsi" w:eastAsiaTheme="minorEastAsia" w:hAnsiTheme="minorHAnsi" w:cstheme="minorBidi"/>
          <w:noProof/>
          <w:szCs w:val="22"/>
          <w:lang w:eastAsia="en-AU"/>
        </w:rPr>
      </w:pPr>
      <w:hyperlink w:anchor="_Toc421872762" w:history="1">
        <w:r w:rsidR="00D42D45" w:rsidRPr="00A7777F">
          <w:rPr>
            <w:rStyle w:val="Hyperlink"/>
            <w:noProof/>
          </w:rPr>
          <w:t>Queensland</w:t>
        </w:r>
        <w:r w:rsidR="00D42D45">
          <w:rPr>
            <w:noProof/>
            <w:webHidden/>
          </w:rPr>
          <w:tab/>
        </w:r>
        <w:r w:rsidR="00D42D45">
          <w:rPr>
            <w:noProof/>
            <w:webHidden/>
          </w:rPr>
          <w:fldChar w:fldCharType="begin"/>
        </w:r>
        <w:r w:rsidR="00D42D45">
          <w:rPr>
            <w:noProof/>
            <w:webHidden/>
          </w:rPr>
          <w:instrText xml:space="preserve"> PAGEREF _Toc421872762 \h </w:instrText>
        </w:r>
        <w:r w:rsidR="00D42D45">
          <w:rPr>
            <w:noProof/>
            <w:webHidden/>
          </w:rPr>
        </w:r>
        <w:r w:rsidR="00D42D45">
          <w:rPr>
            <w:noProof/>
            <w:webHidden/>
          </w:rPr>
          <w:fldChar w:fldCharType="separate"/>
        </w:r>
        <w:r w:rsidR="00D42D45">
          <w:rPr>
            <w:noProof/>
            <w:webHidden/>
          </w:rPr>
          <w:t>8</w:t>
        </w:r>
        <w:r w:rsidR="00D42D45">
          <w:rPr>
            <w:noProof/>
            <w:webHidden/>
          </w:rPr>
          <w:fldChar w:fldCharType="end"/>
        </w:r>
      </w:hyperlink>
    </w:p>
    <w:p w14:paraId="49A2EA32" w14:textId="77777777" w:rsidR="00D42D45" w:rsidRDefault="00953193">
      <w:pPr>
        <w:pStyle w:val="TOC1"/>
        <w:rPr>
          <w:rFonts w:asciiTheme="minorHAnsi" w:eastAsiaTheme="minorEastAsia" w:hAnsiTheme="minorHAnsi" w:cstheme="minorBidi"/>
          <w:noProof/>
          <w:spacing w:val="0"/>
          <w:szCs w:val="22"/>
          <w:lang w:eastAsia="en-AU"/>
        </w:rPr>
      </w:pPr>
      <w:hyperlink w:anchor="_Toc421872763" w:history="1">
        <w:r w:rsidR="00D42D45" w:rsidRPr="00A7777F">
          <w:rPr>
            <w:rStyle w:val="Hyperlink"/>
            <w:noProof/>
            <w:lang w:eastAsia="en-AU"/>
          </w:rPr>
          <w:t>About the Fair Work Ombudsman</w:t>
        </w:r>
        <w:r w:rsidR="00D42D45">
          <w:rPr>
            <w:noProof/>
            <w:webHidden/>
          </w:rPr>
          <w:tab/>
        </w:r>
        <w:r w:rsidR="00D42D45">
          <w:rPr>
            <w:noProof/>
            <w:webHidden/>
          </w:rPr>
          <w:fldChar w:fldCharType="begin"/>
        </w:r>
        <w:r w:rsidR="00D42D45">
          <w:rPr>
            <w:noProof/>
            <w:webHidden/>
          </w:rPr>
          <w:instrText xml:space="preserve"> PAGEREF _Toc421872763 \h </w:instrText>
        </w:r>
        <w:r w:rsidR="00D42D45">
          <w:rPr>
            <w:noProof/>
            <w:webHidden/>
          </w:rPr>
        </w:r>
        <w:r w:rsidR="00D42D45">
          <w:rPr>
            <w:noProof/>
            <w:webHidden/>
          </w:rPr>
          <w:fldChar w:fldCharType="separate"/>
        </w:r>
        <w:r w:rsidR="00D42D45">
          <w:rPr>
            <w:noProof/>
            <w:webHidden/>
          </w:rPr>
          <w:t>9</w:t>
        </w:r>
        <w:r w:rsidR="00D42D45">
          <w:rPr>
            <w:noProof/>
            <w:webHidden/>
          </w:rPr>
          <w:fldChar w:fldCharType="end"/>
        </w:r>
      </w:hyperlink>
    </w:p>
    <w:p w14:paraId="45BD7725" w14:textId="77777777" w:rsidR="001F20C3" w:rsidRDefault="000D29E1" w:rsidP="00592AD0">
      <w:pPr>
        <w:pStyle w:val="TOC1"/>
        <w:jc w:val="left"/>
        <w:rPr>
          <w:color w:val="548DD4" w:themeColor="text2" w:themeTint="99"/>
          <w:sz w:val="28"/>
          <w:szCs w:val="26"/>
        </w:rPr>
      </w:pPr>
      <w:r w:rsidRPr="000D29E1">
        <w:fldChar w:fldCharType="end"/>
      </w:r>
      <w:r w:rsidR="001F20C3">
        <w:br w:type="page"/>
      </w:r>
    </w:p>
    <w:p w14:paraId="45BD7726" w14:textId="77777777" w:rsidR="009629F3" w:rsidRDefault="00205DBE" w:rsidP="00592AD0">
      <w:pPr>
        <w:pStyle w:val="Heading1"/>
        <w:jc w:val="left"/>
      </w:pPr>
      <w:bookmarkStart w:id="2" w:name="_Toc410822200"/>
      <w:bookmarkStart w:id="3" w:name="_Toc421872753"/>
      <w:r>
        <w:lastRenderedPageBreak/>
        <w:t>Campaign Snapshot</w:t>
      </w:r>
      <w:bookmarkEnd w:id="2"/>
      <w:bookmarkEnd w:id="3"/>
      <w:r w:rsidR="009629F3" w:rsidRPr="009629F3">
        <w:t xml:space="preserve"> </w:t>
      </w:r>
    </w:p>
    <w:p w14:paraId="45BD7727" w14:textId="77777777" w:rsidR="004B2104" w:rsidRPr="004B2104" w:rsidRDefault="004B2104" w:rsidP="00592AD0">
      <w:pPr>
        <w:jc w:val="left"/>
      </w:pPr>
    </w:p>
    <w:p w14:paraId="45BD7728" w14:textId="77777777" w:rsidR="004B2104" w:rsidRDefault="004B2104" w:rsidP="00D37CED">
      <w:pPr>
        <w:pStyle w:val="GlanceYellowHeading"/>
        <w:sectPr w:rsidR="004B2104" w:rsidSect="00CF3B06">
          <w:headerReference w:type="default" r:id="rId14"/>
          <w:footerReference w:type="even" r:id="rId15"/>
          <w:footerReference w:type="default" r:id="rId16"/>
          <w:headerReference w:type="first" r:id="rId17"/>
          <w:type w:val="continuous"/>
          <w:pgSz w:w="11907" w:h="16840" w:code="9"/>
          <w:pgMar w:top="1276" w:right="992" w:bottom="1440" w:left="1276" w:header="0" w:footer="113" w:gutter="0"/>
          <w:cols w:space="720"/>
          <w:titlePg/>
          <w:docGrid w:linePitch="326"/>
        </w:sectPr>
      </w:pPr>
    </w:p>
    <w:p w14:paraId="45BD7729" w14:textId="77777777" w:rsidR="004B2104" w:rsidRPr="004B2104" w:rsidRDefault="004B2104" w:rsidP="00D37CED">
      <w:pPr>
        <w:pStyle w:val="GlanceYellowHeading"/>
      </w:pPr>
      <w:r w:rsidRPr="004B2104">
        <w:lastRenderedPageBreak/>
        <w:t>Total of</w:t>
      </w:r>
    </w:p>
    <w:p w14:paraId="45BD772A" w14:textId="77777777" w:rsidR="004B2104" w:rsidRPr="004B2104" w:rsidRDefault="003E42CA" w:rsidP="00D42D45">
      <w:pPr>
        <w:pStyle w:val="GlanceHeading"/>
      </w:pPr>
      <w:r>
        <w:t>462</w:t>
      </w:r>
    </w:p>
    <w:p w14:paraId="45BD772B" w14:textId="77777777" w:rsidR="004B2104" w:rsidRDefault="004B2104" w:rsidP="00D42D45">
      <w:pPr>
        <w:pStyle w:val="GlanceBody"/>
      </w:pPr>
      <w:r>
        <w:t>Businesses audited</w:t>
      </w:r>
    </w:p>
    <w:p w14:paraId="45BD772F" w14:textId="77777777" w:rsidR="00A8621D" w:rsidRDefault="00A8621D" w:rsidP="00D42D45">
      <w:pPr>
        <w:pStyle w:val="GlanceBody"/>
        <w:jc w:val="both"/>
        <w:rPr>
          <w:sz w:val="2"/>
          <w:szCs w:val="2"/>
        </w:rPr>
      </w:pPr>
    </w:p>
    <w:p w14:paraId="0F1C9D81" w14:textId="77777777" w:rsidR="00D42D45" w:rsidRDefault="00D42D45" w:rsidP="00D42D45">
      <w:pPr>
        <w:pStyle w:val="GlanceBody"/>
        <w:jc w:val="both"/>
        <w:rPr>
          <w:sz w:val="2"/>
          <w:szCs w:val="2"/>
        </w:rPr>
      </w:pPr>
    </w:p>
    <w:p w14:paraId="57D3292A" w14:textId="77777777" w:rsidR="00D42D45" w:rsidRDefault="00D42D45" w:rsidP="00D42D45">
      <w:pPr>
        <w:pStyle w:val="GlanceBody"/>
        <w:jc w:val="both"/>
        <w:rPr>
          <w:sz w:val="2"/>
          <w:szCs w:val="2"/>
        </w:rPr>
      </w:pPr>
    </w:p>
    <w:p w14:paraId="5ADF1F26" w14:textId="77777777" w:rsidR="00D42D45" w:rsidRPr="00D42D45" w:rsidRDefault="00D42D45" w:rsidP="00D42D45">
      <w:pPr>
        <w:pStyle w:val="GlanceBody"/>
        <w:jc w:val="both"/>
        <w:rPr>
          <w:sz w:val="2"/>
          <w:szCs w:val="2"/>
        </w:rPr>
      </w:pPr>
    </w:p>
    <w:p w14:paraId="45BD7730" w14:textId="77777777" w:rsidR="001E6512" w:rsidRPr="001E6512" w:rsidRDefault="001E6512" w:rsidP="00D42D45">
      <w:pPr>
        <w:pStyle w:val="GlanceBody"/>
      </w:pPr>
    </w:p>
    <w:p w14:paraId="45BD7731" w14:textId="77777777" w:rsidR="004B2104" w:rsidRPr="00BB59AA" w:rsidRDefault="004B2104" w:rsidP="00D37CED">
      <w:pPr>
        <w:pStyle w:val="GlanceYellowHeading"/>
      </w:pPr>
      <w:r w:rsidRPr="00CF3B06">
        <w:br w:type="column"/>
      </w:r>
      <w:r w:rsidRPr="004B2104">
        <w:lastRenderedPageBreak/>
        <w:t>Total of</w:t>
      </w:r>
    </w:p>
    <w:p w14:paraId="45BD7732" w14:textId="77777777" w:rsidR="004B2104" w:rsidRPr="004B2104" w:rsidRDefault="003E42CA" w:rsidP="00D42D45">
      <w:pPr>
        <w:pStyle w:val="GlanceHeading"/>
      </w:pPr>
      <w:r>
        <w:t>93%</w:t>
      </w:r>
    </w:p>
    <w:p w14:paraId="45BD7733" w14:textId="77777777" w:rsidR="00A72BF8" w:rsidRDefault="000651CE" w:rsidP="00D42D45">
      <w:pPr>
        <w:pStyle w:val="GlanceBody"/>
      </w:pPr>
      <w:r>
        <w:t xml:space="preserve">Of businesses </w:t>
      </w:r>
      <w:r w:rsidR="00A72BF8">
        <w:t xml:space="preserve">were </w:t>
      </w:r>
      <w:r w:rsidR="00083444">
        <w:t>found to</w:t>
      </w:r>
      <w:r w:rsidR="00CB03C2">
        <w:t xml:space="preserve"> be </w:t>
      </w:r>
      <w:r w:rsidR="00592AD0">
        <w:t xml:space="preserve">paying </w:t>
      </w:r>
      <w:r w:rsidR="00CB03C2">
        <w:t>in line</w:t>
      </w:r>
      <w:r w:rsidR="00A72BF8">
        <w:t xml:space="preserve"> with </w:t>
      </w:r>
      <w:r w:rsidR="001E6512">
        <w:t>i</w:t>
      </w:r>
      <w:r w:rsidR="00A72BF8">
        <w:t xml:space="preserve">ndustry </w:t>
      </w:r>
      <w:r w:rsidR="001E6512">
        <w:t>practice</w:t>
      </w:r>
    </w:p>
    <w:p w14:paraId="45BD7734" w14:textId="77777777" w:rsidR="001E6512" w:rsidRPr="001E6512" w:rsidRDefault="001E6512" w:rsidP="00D42D45">
      <w:pPr>
        <w:pStyle w:val="GlanceBody"/>
      </w:pPr>
    </w:p>
    <w:p w14:paraId="45BD7735" w14:textId="77777777" w:rsidR="004B2104" w:rsidRPr="004B2104" w:rsidRDefault="004B2104" w:rsidP="00D37CED">
      <w:pPr>
        <w:pStyle w:val="GlanceYellowHeading"/>
      </w:pPr>
      <w:r w:rsidRPr="00A74DB5">
        <w:br w:type="column"/>
      </w:r>
      <w:r w:rsidRPr="004B2104">
        <w:lastRenderedPageBreak/>
        <w:t>Total of</w:t>
      </w:r>
    </w:p>
    <w:p w14:paraId="45BD7736" w14:textId="77777777" w:rsidR="004B2104" w:rsidRPr="004B2104" w:rsidRDefault="003E42CA" w:rsidP="00D42D45">
      <w:pPr>
        <w:pStyle w:val="GlanceHeading"/>
      </w:pPr>
      <w:r>
        <w:t>$</w:t>
      </w:r>
      <w:proofErr w:type="spellStart"/>
      <w:r>
        <w:t>129k</w:t>
      </w:r>
      <w:proofErr w:type="spellEnd"/>
    </w:p>
    <w:p w14:paraId="45BD7737" w14:textId="77777777" w:rsidR="00BB59AA" w:rsidRDefault="000651CE" w:rsidP="00D42D45">
      <w:pPr>
        <w:pStyle w:val="GlanceBody"/>
      </w:pPr>
      <w:proofErr w:type="gramStart"/>
      <w:r>
        <w:t>R</w:t>
      </w:r>
      <w:r w:rsidR="003E42CA">
        <w:t>ecovered on behalf of 70</w:t>
      </w:r>
      <w:r>
        <w:t> </w:t>
      </w:r>
      <w:r w:rsidR="003E42CA">
        <w:t>employees.</w:t>
      </w:r>
      <w:proofErr w:type="gramEnd"/>
    </w:p>
    <w:p w14:paraId="45BD773A" w14:textId="77777777" w:rsidR="001E6512" w:rsidRDefault="001E6512" w:rsidP="00D42D45">
      <w:pPr>
        <w:pStyle w:val="GlanceBody"/>
        <w:jc w:val="both"/>
        <w:rPr>
          <w:sz w:val="2"/>
          <w:szCs w:val="2"/>
        </w:rPr>
      </w:pPr>
    </w:p>
    <w:p w14:paraId="3CBAEE6A" w14:textId="77777777" w:rsidR="00D42D45" w:rsidRPr="00D42D45" w:rsidRDefault="00D42D45" w:rsidP="00D42D45">
      <w:pPr>
        <w:pStyle w:val="GlanceBody"/>
        <w:jc w:val="both"/>
        <w:rPr>
          <w:sz w:val="2"/>
          <w:szCs w:val="2"/>
        </w:rPr>
      </w:pPr>
    </w:p>
    <w:p w14:paraId="45BD773B" w14:textId="77777777" w:rsidR="001E6512" w:rsidRPr="00A8621D" w:rsidRDefault="001E6512" w:rsidP="00D42D45">
      <w:pPr>
        <w:pStyle w:val="GlanceBody"/>
      </w:pPr>
    </w:p>
    <w:p w14:paraId="45BD773C" w14:textId="77777777" w:rsidR="004B2104" w:rsidRDefault="004B2104" w:rsidP="00592AD0">
      <w:pPr>
        <w:jc w:val="left"/>
      </w:pPr>
    </w:p>
    <w:p w14:paraId="45BD773D" w14:textId="77777777" w:rsidR="00A8621D" w:rsidRDefault="00A8621D" w:rsidP="00592AD0">
      <w:pPr>
        <w:jc w:val="left"/>
        <w:sectPr w:rsidR="00A8621D" w:rsidSect="003E42CA">
          <w:type w:val="continuous"/>
          <w:pgSz w:w="11907" w:h="16840" w:code="9"/>
          <w:pgMar w:top="1276" w:right="708" w:bottom="1440" w:left="1276" w:header="0" w:footer="850" w:gutter="0"/>
          <w:pgNumType w:start="1"/>
          <w:cols w:num="3" w:space="720"/>
          <w:titlePg/>
          <w:docGrid w:linePitch="326"/>
        </w:sectPr>
      </w:pPr>
    </w:p>
    <w:p w14:paraId="45BD773E" w14:textId="77777777" w:rsidR="004B2104" w:rsidRPr="00205DBE" w:rsidRDefault="004B2104" w:rsidP="00592AD0">
      <w:pPr>
        <w:jc w:val="left"/>
      </w:pPr>
      <w:r>
        <w:lastRenderedPageBreak/>
        <w:br w:type="page"/>
      </w:r>
      <w:bookmarkStart w:id="4" w:name="_GoBack"/>
      <w:bookmarkEnd w:id="4"/>
    </w:p>
    <w:p w14:paraId="45BD773F" w14:textId="77777777" w:rsidR="004B2104" w:rsidRPr="004B2104" w:rsidRDefault="00205DBE" w:rsidP="00592AD0">
      <w:pPr>
        <w:pStyle w:val="Heading1"/>
        <w:jc w:val="left"/>
      </w:pPr>
      <w:bookmarkStart w:id="5" w:name="_Toc410822201"/>
      <w:bookmarkStart w:id="6" w:name="_Toc421872754"/>
      <w:r>
        <w:lastRenderedPageBreak/>
        <w:t>About Campaign</w:t>
      </w:r>
      <w:bookmarkEnd w:id="5"/>
      <w:bookmarkEnd w:id="6"/>
    </w:p>
    <w:p w14:paraId="45BD7740" w14:textId="77777777" w:rsidR="003E42CA" w:rsidRDefault="003E42CA" w:rsidP="00592AD0">
      <w:pPr>
        <w:spacing w:before="120" w:after="0"/>
        <w:jc w:val="left"/>
      </w:pPr>
      <w:r>
        <w:t>In 2013 the Fair Work Ombudsman (FWO) undertook the Motor Vehicle Retailing Campaign (the campaign)</w:t>
      </w:r>
      <w:r w:rsidRPr="005108B4">
        <w:t xml:space="preserve"> </w:t>
      </w:r>
      <w:r>
        <w:t>in New South Wales (NSW), Queensland (Qld) and the Australian Capital Territory (ACT). The campaign was conducted</w:t>
      </w:r>
      <w:r w:rsidR="00014AF3">
        <w:t xml:space="preserve"> in response to the high number of complaints and high </w:t>
      </w:r>
      <w:r w:rsidR="00B8492A">
        <w:t>error</w:t>
      </w:r>
      <w:r w:rsidR="00014AF3">
        <w:t xml:space="preserve"> rate from the complaints re</w:t>
      </w:r>
      <w:r w:rsidR="004F1D87">
        <w:t>c</w:t>
      </w:r>
      <w:r w:rsidR="00014AF3">
        <w:t>eived by FWO</w:t>
      </w:r>
      <w:r w:rsidR="007D24BC">
        <w:t xml:space="preserve"> from the</w:t>
      </w:r>
      <w:r w:rsidR="007D24BC" w:rsidRPr="007D24BC">
        <w:t xml:space="preserve"> </w:t>
      </w:r>
      <w:r w:rsidR="007D24BC">
        <w:t>vehicle retailing industry (the industry)</w:t>
      </w:r>
      <w:r w:rsidR="00014AF3">
        <w:t>.</w:t>
      </w:r>
      <w:r>
        <w:t xml:space="preserve"> </w:t>
      </w:r>
    </w:p>
    <w:p w14:paraId="45BD7741" w14:textId="77777777" w:rsidR="003E42CA" w:rsidRDefault="00014AF3" w:rsidP="00592AD0">
      <w:pPr>
        <w:spacing w:before="120"/>
        <w:jc w:val="left"/>
      </w:pPr>
      <w:r>
        <w:t>In the 2010/11 financial year, FWO received 141 complaints from the Motor Vehicle Retailing Industry in Qld and NSW</w:t>
      </w:r>
      <w:r w:rsidR="00714E09">
        <w:t>, recording a</w:t>
      </w:r>
      <w:r w:rsidR="003E42CA">
        <w:t xml:space="preserve"> 60% </w:t>
      </w:r>
      <w:r w:rsidR="00B8492A">
        <w:t>error</w:t>
      </w:r>
      <w:r w:rsidR="003E42CA" w:rsidRPr="00CB1AD0">
        <w:t xml:space="preserve"> rate </w:t>
      </w:r>
      <w:r w:rsidR="00714E09">
        <w:t>in Qld (</w:t>
      </w:r>
      <w:r w:rsidR="00714E09" w:rsidRPr="00CB1AD0">
        <w:t>from 71 complaints</w:t>
      </w:r>
      <w:r w:rsidR="00714E09">
        <w:t xml:space="preserve">) </w:t>
      </w:r>
      <w:r w:rsidR="003E42CA">
        <w:t xml:space="preserve">and </w:t>
      </w:r>
      <w:r w:rsidR="00714E09">
        <w:t xml:space="preserve">a 70% </w:t>
      </w:r>
      <w:r w:rsidR="00B8492A">
        <w:t>error</w:t>
      </w:r>
      <w:r w:rsidR="003E42CA">
        <w:t xml:space="preserve"> rate</w:t>
      </w:r>
      <w:r w:rsidR="00714E09">
        <w:t xml:space="preserve"> in NSW</w:t>
      </w:r>
      <w:r w:rsidR="003E42CA" w:rsidRPr="00CB1AD0">
        <w:t xml:space="preserve"> </w:t>
      </w:r>
      <w:r w:rsidR="004F1D87">
        <w:t>(</w:t>
      </w:r>
      <w:r w:rsidR="003E42CA" w:rsidRPr="00CB1AD0">
        <w:t>from 70</w:t>
      </w:r>
      <w:r w:rsidR="003E42CA">
        <w:t> </w:t>
      </w:r>
      <w:r w:rsidR="003E42CA" w:rsidRPr="00CB1AD0">
        <w:t>complaints</w:t>
      </w:r>
      <w:r w:rsidR="004F1D87">
        <w:t>)</w:t>
      </w:r>
      <w:r w:rsidR="003E42CA" w:rsidRPr="00CB1AD0">
        <w:t>.</w:t>
      </w:r>
    </w:p>
    <w:p w14:paraId="45BD7742" w14:textId="77777777" w:rsidR="000651CE" w:rsidRDefault="00714E09" w:rsidP="00592AD0">
      <w:pPr>
        <w:pStyle w:val="Bullet"/>
        <w:jc w:val="left"/>
      </w:pPr>
      <w:r>
        <w:t xml:space="preserve">As part of this </w:t>
      </w:r>
      <w:r w:rsidR="000651CE">
        <w:t>campaign</w:t>
      </w:r>
      <w:r>
        <w:t xml:space="preserve">, we assessed time and wages records of </w:t>
      </w:r>
      <w:r w:rsidR="000651CE">
        <w:t>Motor Vehicle Retailing businesses located in Qld, NSW and ACT for compliance with the</w:t>
      </w:r>
      <w:r w:rsidR="000930BF">
        <w:t xml:space="preserve"> </w:t>
      </w:r>
      <w:r w:rsidR="000930BF" w:rsidRPr="000930BF">
        <w:rPr>
          <w:i/>
        </w:rPr>
        <w:t>Vehicle Manufacturing, Repair, Services and Retail Award 2010 (</w:t>
      </w:r>
      <w:proofErr w:type="spellStart"/>
      <w:r w:rsidR="000930BF" w:rsidRPr="000930BF">
        <w:rPr>
          <w:i/>
        </w:rPr>
        <w:t>MA000089</w:t>
      </w:r>
      <w:proofErr w:type="spellEnd"/>
      <w:r w:rsidR="000930BF" w:rsidRPr="000930BF">
        <w:rPr>
          <w:i/>
        </w:rPr>
        <w:t>)</w:t>
      </w:r>
      <w:r w:rsidR="007D24BC">
        <w:rPr>
          <w:i/>
        </w:rPr>
        <w:t xml:space="preserve"> </w:t>
      </w:r>
      <w:r w:rsidR="007D24BC" w:rsidRPr="005408C3">
        <w:t>(The Award)</w:t>
      </w:r>
      <w:r w:rsidR="000930BF" w:rsidRPr="005408C3">
        <w:t>,</w:t>
      </w:r>
      <w:r w:rsidR="000930BF">
        <w:rPr>
          <w:i/>
        </w:rPr>
        <w:t xml:space="preserve"> </w:t>
      </w:r>
      <w:r w:rsidR="000651CE" w:rsidRPr="00AB7D4C">
        <w:rPr>
          <w:i/>
        </w:rPr>
        <w:t>Fair Work Act 2009</w:t>
      </w:r>
      <w:r w:rsidR="007D24BC">
        <w:rPr>
          <w:i/>
        </w:rPr>
        <w:t xml:space="preserve"> </w:t>
      </w:r>
      <w:r w:rsidR="007D24BC" w:rsidRPr="005408C3">
        <w:t>(the Act)</w:t>
      </w:r>
      <w:r w:rsidR="000651CE">
        <w:t xml:space="preserve"> and the </w:t>
      </w:r>
      <w:r>
        <w:rPr>
          <w:i/>
        </w:rPr>
        <w:t>Fair </w:t>
      </w:r>
      <w:r w:rsidR="000930BF">
        <w:rPr>
          <w:i/>
        </w:rPr>
        <w:t>Work Regulations </w:t>
      </w:r>
      <w:r w:rsidR="000651CE" w:rsidRPr="00AB7D4C">
        <w:rPr>
          <w:i/>
        </w:rPr>
        <w:t>2009</w:t>
      </w:r>
      <w:r w:rsidR="007D24BC">
        <w:rPr>
          <w:i/>
        </w:rPr>
        <w:t xml:space="preserve"> </w:t>
      </w:r>
      <w:r w:rsidR="007D24BC" w:rsidRPr="005408C3">
        <w:t>(the Regulations)</w:t>
      </w:r>
      <w:r w:rsidR="000651CE" w:rsidRPr="005408C3">
        <w:t xml:space="preserve">. </w:t>
      </w:r>
    </w:p>
    <w:p w14:paraId="45BD7743" w14:textId="77777777" w:rsidR="009629F3" w:rsidRDefault="00205DBE" w:rsidP="00592AD0">
      <w:pPr>
        <w:pStyle w:val="Heading1"/>
        <w:jc w:val="left"/>
      </w:pPr>
      <w:bookmarkStart w:id="7" w:name="_Toc410822202"/>
      <w:bookmarkStart w:id="8" w:name="_Toc421872755"/>
      <w:r>
        <w:t>Outcomes at a Glance</w:t>
      </w:r>
      <w:bookmarkEnd w:id="7"/>
      <w:bookmarkEnd w:id="8"/>
    </w:p>
    <w:p w14:paraId="45BD7744" w14:textId="77777777" w:rsidR="003E42CA" w:rsidRDefault="003E42CA" w:rsidP="00592AD0">
      <w:pPr>
        <w:spacing w:before="120" w:after="0"/>
        <w:jc w:val="left"/>
      </w:pPr>
      <w:r w:rsidRPr="003E42CA">
        <w:t>Of the 462 businesses assessed we found:</w:t>
      </w:r>
    </w:p>
    <w:p w14:paraId="45BD7745" w14:textId="77777777" w:rsidR="003E42CA" w:rsidRPr="003E42CA" w:rsidRDefault="003E42CA" w:rsidP="00592AD0">
      <w:pPr>
        <w:pStyle w:val="Bullet"/>
        <w:numPr>
          <w:ilvl w:val="0"/>
          <w:numId w:val="14"/>
        </w:numPr>
        <w:jc w:val="left"/>
      </w:pPr>
      <w:r w:rsidRPr="003E42CA">
        <w:t xml:space="preserve">424 (92%) </w:t>
      </w:r>
      <w:r w:rsidR="003D47EC">
        <w:t xml:space="preserve">of </w:t>
      </w:r>
      <w:r w:rsidRPr="003E42CA">
        <w:t>employers compliant with all requirements</w:t>
      </w:r>
      <w:r w:rsidRPr="003E42CA">
        <w:tab/>
      </w:r>
    </w:p>
    <w:p w14:paraId="45BD7746" w14:textId="77777777" w:rsidR="003E42CA" w:rsidRPr="003E42CA" w:rsidRDefault="003E42CA" w:rsidP="00592AD0">
      <w:pPr>
        <w:pStyle w:val="Bullet"/>
        <w:numPr>
          <w:ilvl w:val="0"/>
          <w:numId w:val="14"/>
        </w:numPr>
        <w:jc w:val="left"/>
      </w:pPr>
      <w:r w:rsidRPr="003E42CA">
        <w:t xml:space="preserve">38 (8%) </w:t>
      </w:r>
      <w:r w:rsidR="003D47EC">
        <w:t xml:space="preserve">of </w:t>
      </w:r>
      <w:r w:rsidRPr="003E42CA">
        <w:t>employers had at least one</w:t>
      </w:r>
      <w:r w:rsidR="00B8492A">
        <w:t xml:space="preserve"> error</w:t>
      </w:r>
      <w:r w:rsidR="00302980" w:rsidRPr="003E42CA">
        <w:t xml:space="preserve"> </w:t>
      </w:r>
      <w:r w:rsidRPr="003E42CA">
        <w:t>of which:</w:t>
      </w:r>
    </w:p>
    <w:p w14:paraId="45BD7747" w14:textId="77777777" w:rsidR="003E42CA" w:rsidRPr="003E42CA" w:rsidRDefault="003E42CA" w:rsidP="00FE5EED">
      <w:pPr>
        <w:pStyle w:val="Bullet"/>
        <w:numPr>
          <w:ilvl w:val="1"/>
          <w:numId w:val="14"/>
        </w:numPr>
        <w:jc w:val="left"/>
      </w:pPr>
      <w:r w:rsidRPr="003E42CA">
        <w:t>6 (1%) had</w:t>
      </w:r>
      <w:r w:rsidR="00302980">
        <w:t xml:space="preserve"> </w:t>
      </w:r>
      <w:r w:rsidR="0067153F">
        <w:t>errors</w:t>
      </w:r>
      <w:r w:rsidR="0067153F" w:rsidRPr="003E42CA">
        <w:t xml:space="preserve"> </w:t>
      </w:r>
      <w:r w:rsidRPr="003E42CA">
        <w:t>relating to pay slips or record-keeping</w:t>
      </w:r>
      <w:r w:rsidR="00185356">
        <w:t>;</w:t>
      </w:r>
      <w:r w:rsidRPr="003E42CA">
        <w:t xml:space="preserve"> </w:t>
      </w:r>
    </w:p>
    <w:p w14:paraId="45BD7748" w14:textId="77777777" w:rsidR="003E42CA" w:rsidRPr="003E42CA" w:rsidRDefault="003E42CA" w:rsidP="00FE5EED">
      <w:pPr>
        <w:pStyle w:val="Bullet"/>
        <w:numPr>
          <w:ilvl w:val="1"/>
          <w:numId w:val="14"/>
        </w:numPr>
        <w:jc w:val="left"/>
      </w:pPr>
      <w:r w:rsidRPr="003E42CA">
        <w:t xml:space="preserve">30 (6.5%) had </w:t>
      </w:r>
      <w:r w:rsidR="0067153F">
        <w:t xml:space="preserve">errors </w:t>
      </w:r>
      <w:r w:rsidRPr="003E42CA">
        <w:t>relating to</w:t>
      </w:r>
      <w:r w:rsidR="00F13226">
        <w:t xml:space="preserve"> rates of pay</w:t>
      </w:r>
      <w:r w:rsidR="00185356">
        <w:t>; and</w:t>
      </w:r>
    </w:p>
    <w:p w14:paraId="45BD7749" w14:textId="77777777" w:rsidR="003E42CA" w:rsidRPr="003E42CA" w:rsidRDefault="003E42CA" w:rsidP="00FE5EED">
      <w:pPr>
        <w:pStyle w:val="Bullet"/>
        <w:numPr>
          <w:ilvl w:val="1"/>
          <w:numId w:val="14"/>
        </w:numPr>
        <w:jc w:val="left"/>
      </w:pPr>
      <w:r w:rsidRPr="003E42CA">
        <w:t xml:space="preserve">2 (0.5%) related to </w:t>
      </w:r>
      <w:r w:rsidR="00B8492A">
        <w:t>error</w:t>
      </w:r>
      <w:r w:rsidR="0067153F" w:rsidRPr="003E42CA">
        <w:t xml:space="preserve"> </w:t>
      </w:r>
      <w:r w:rsidR="00083444" w:rsidRPr="003E42CA">
        <w:t>of both</w:t>
      </w:r>
      <w:r w:rsidRPr="003E42CA">
        <w:t xml:space="preserve"> rates and pay slips</w:t>
      </w:r>
      <w:r w:rsidR="00F13226">
        <w:t>/</w:t>
      </w:r>
      <w:r w:rsidRPr="003E42CA">
        <w:t>record-keeping</w:t>
      </w:r>
      <w:r w:rsidR="00185356">
        <w:t>.</w:t>
      </w:r>
    </w:p>
    <w:p w14:paraId="45BD774A" w14:textId="77777777" w:rsidR="003E42CA" w:rsidRPr="003E42CA" w:rsidRDefault="003E42CA" w:rsidP="00592AD0">
      <w:pPr>
        <w:spacing w:after="0"/>
        <w:jc w:val="left"/>
      </w:pPr>
      <w:r w:rsidRPr="003E42CA">
        <w:t>This means that of the 462 businesses we assessed:</w:t>
      </w:r>
    </w:p>
    <w:p w14:paraId="45BD774B" w14:textId="77777777" w:rsidR="003E42CA" w:rsidRPr="003E42CA" w:rsidRDefault="00185356" w:rsidP="00592AD0">
      <w:pPr>
        <w:pStyle w:val="Bullet"/>
        <w:numPr>
          <w:ilvl w:val="0"/>
          <w:numId w:val="15"/>
        </w:numPr>
        <w:jc w:val="left"/>
      </w:pPr>
      <w:r>
        <w:t>430 (93%</w:t>
      </w:r>
      <w:r w:rsidR="00AB7D4C">
        <w:t>)</w:t>
      </w:r>
      <w:r>
        <w:t xml:space="preserve"> were paying their employees in line with current industry practices; and</w:t>
      </w:r>
    </w:p>
    <w:p w14:paraId="45BD774C" w14:textId="77777777" w:rsidR="006D0D3C" w:rsidRDefault="003E42CA" w:rsidP="00592AD0">
      <w:pPr>
        <w:pStyle w:val="Bullet"/>
        <w:numPr>
          <w:ilvl w:val="0"/>
          <w:numId w:val="15"/>
        </w:numPr>
        <w:jc w:val="left"/>
      </w:pPr>
      <w:r w:rsidRPr="003E42CA">
        <w:t>454 (98%) were compliant with record-keeping and pay slip requirements.</w:t>
      </w:r>
    </w:p>
    <w:p w14:paraId="45BD774D" w14:textId="77777777" w:rsidR="00A72BF8" w:rsidRDefault="00A72BF8" w:rsidP="00592AD0">
      <w:pPr>
        <w:pStyle w:val="Bullet"/>
        <w:jc w:val="left"/>
      </w:pPr>
      <w:r>
        <w:t>During this campaign we found m</w:t>
      </w:r>
      <w:r w:rsidR="00714E09">
        <w:t>os</w:t>
      </w:r>
      <w:r w:rsidR="00FE5351">
        <w:t xml:space="preserve">t </w:t>
      </w:r>
      <w:r>
        <w:t xml:space="preserve">employers </w:t>
      </w:r>
      <w:r w:rsidR="00FE5351">
        <w:t>were paying</w:t>
      </w:r>
      <w:r w:rsidR="00714E09">
        <w:t xml:space="preserve"> commission </w:t>
      </w:r>
      <w:r w:rsidR="009F4C83">
        <w:t xml:space="preserve">and bonus </w:t>
      </w:r>
      <w:r w:rsidR="00714E09">
        <w:t>payments</w:t>
      </w:r>
      <w:r w:rsidR="00FE5351">
        <w:t xml:space="preserve"> </w:t>
      </w:r>
      <w:r w:rsidR="00714E09">
        <w:t>in addi</w:t>
      </w:r>
      <w:r w:rsidR="00FE5351">
        <w:t>tion to the minimum weekly wage</w:t>
      </w:r>
      <w:r w:rsidR="00714E09">
        <w:t xml:space="preserve"> </w:t>
      </w:r>
      <w:r w:rsidR="009F4C83">
        <w:t>as part of the worker’s negotiated compensation</w:t>
      </w:r>
      <w:r>
        <w:t>. H</w:t>
      </w:r>
      <w:r w:rsidR="009F4C83">
        <w:t xml:space="preserve">ours worked </w:t>
      </w:r>
      <w:r>
        <w:t xml:space="preserve">in excess of 38 hours per week were generally not </w:t>
      </w:r>
      <w:r w:rsidR="005101F2">
        <w:t xml:space="preserve">paid, </w:t>
      </w:r>
      <w:r>
        <w:t>the view of the employers being that commission and bonuses compensate</w:t>
      </w:r>
      <w:r w:rsidR="00461B23">
        <w:t>d</w:t>
      </w:r>
      <w:r>
        <w:t xml:space="preserve"> the employee for the additional hours. </w:t>
      </w:r>
    </w:p>
    <w:p w14:paraId="45BD774E" w14:textId="77777777" w:rsidR="00A72BF8" w:rsidRDefault="00A72BF8" w:rsidP="00592AD0">
      <w:pPr>
        <w:pStyle w:val="Bullet"/>
        <w:jc w:val="left"/>
      </w:pPr>
      <w:r>
        <w:t xml:space="preserve">The industry associations </w:t>
      </w:r>
      <w:r w:rsidR="005101F2">
        <w:t>(</w:t>
      </w:r>
      <w:r>
        <w:t xml:space="preserve">the Motor Traders Associations in </w:t>
      </w:r>
      <w:r w:rsidR="00083444">
        <w:t>Queensland,</w:t>
      </w:r>
      <w:r>
        <w:t xml:space="preserve"> New South Wales and ACT</w:t>
      </w:r>
      <w:r w:rsidR="005101F2">
        <w:t>)</w:t>
      </w:r>
      <w:r>
        <w:t xml:space="preserve"> view this </w:t>
      </w:r>
      <w:r w:rsidR="003D47EC">
        <w:t>practice</w:t>
      </w:r>
      <w:r w:rsidR="005408C3">
        <w:t xml:space="preserve"> </w:t>
      </w:r>
      <w:r>
        <w:t>as consistent with the Award</w:t>
      </w:r>
      <w:r w:rsidR="005101F2">
        <w:t>.</w:t>
      </w:r>
      <w:r>
        <w:t xml:space="preserve"> </w:t>
      </w:r>
    </w:p>
    <w:p w14:paraId="45BD774F" w14:textId="77777777" w:rsidR="00592AD0" w:rsidRDefault="00592AD0" w:rsidP="00592AD0">
      <w:pPr>
        <w:pStyle w:val="Bullet"/>
        <w:jc w:val="left"/>
      </w:pPr>
    </w:p>
    <w:p w14:paraId="45BD7750" w14:textId="77777777" w:rsidR="00592AD0" w:rsidRDefault="00A72BF8" w:rsidP="00592AD0">
      <w:pPr>
        <w:pStyle w:val="Bullet"/>
        <w:jc w:val="left"/>
      </w:pPr>
      <w:r>
        <w:lastRenderedPageBreak/>
        <w:t xml:space="preserve">This differs from the </w:t>
      </w:r>
      <w:proofErr w:type="spellStart"/>
      <w:r>
        <w:t>FWO’s</w:t>
      </w:r>
      <w:proofErr w:type="spellEnd"/>
      <w:r>
        <w:t xml:space="preserve"> view</w:t>
      </w:r>
      <w:r w:rsidR="00592AD0">
        <w:t xml:space="preserve"> </w:t>
      </w:r>
      <w:r w:rsidR="00FE5EED">
        <w:t>which is:</w:t>
      </w:r>
    </w:p>
    <w:p w14:paraId="45BD7751" w14:textId="77777777" w:rsidR="00592AD0" w:rsidRDefault="00A72BF8" w:rsidP="00592AD0">
      <w:pPr>
        <w:pStyle w:val="Bullet"/>
        <w:numPr>
          <w:ilvl w:val="0"/>
          <w:numId w:val="26"/>
        </w:numPr>
        <w:jc w:val="left"/>
      </w:pPr>
      <w:r>
        <w:t>hours worked</w:t>
      </w:r>
      <w:r w:rsidR="00FE5EED">
        <w:t xml:space="preserve"> by vehicle </w:t>
      </w:r>
      <w:r w:rsidR="00083444">
        <w:t>salespersons</w:t>
      </w:r>
      <w:r>
        <w:t xml:space="preserve"> in excess of 38 hours per week must be paid at the ordinary rate of pay</w:t>
      </w:r>
    </w:p>
    <w:p w14:paraId="45BD7752" w14:textId="77777777" w:rsidR="00A72BF8" w:rsidRDefault="00592AD0" w:rsidP="00592AD0">
      <w:pPr>
        <w:pStyle w:val="Bullet"/>
        <w:numPr>
          <w:ilvl w:val="0"/>
          <w:numId w:val="26"/>
        </w:numPr>
        <w:jc w:val="left"/>
      </w:pPr>
      <w:proofErr w:type="gramStart"/>
      <w:r>
        <w:t>the</w:t>
      </w:r>
      <w:proofErr w:type="gramEnd"/>
      <w:r>
        <w:t xml:space="preserve"> award allows employers and employees to make an agreement for the payment of commission to vehicle </w:t>
      </w:r>
      <w:r w:rsidR="00FE5EED">
        <w:t xml:space="preserve">salespersons </w:t>
      </w:r>
      <w:r>
        <w:t xml:space="preserve">and that any sum payable under such an agreement is deemed to be payable under the award. Further, there is no express provision in the award that provides for the ability to offset entitlements against amounts of commission payable under a commission agreement. </w:t>
      </w:r>
    </w:p>
    <w:p w14:paraId="45BD7753" w14:textId="77777777" w:rsidR="00A72BF8" w:rsidRDefault="005101F2" w:rsidP="00592AD0">
      <w:pPr>
        <w:pStyle w:val="Bullet"/>
        <w:jc w:val="left"/>
      </w:pPr>
      <w:r>
        <w:t>In ligh</w:t>
      </w:r>
      <w:r w:rsidR="00592AD0">
        <w:t xml:space="preserve">t of these divergent views </w:t>
      </w:r>
      <w:r w:rsidR="00A72BF8">
        <w:t>we are seeking clarification of these award provisions as part of the Modern Award Review process currently being conducted by the Fair Work Commission (FWC). S</w:t>
      </w:r>
      <w:r w:rsidR="00A72BF8" w:rsidRPr="003D47EC">
        <w:t xml:space="preserve">ubmissions </w:t>
      </w:r>
      <w:r w:rsidR="00A72BF8">
        <w:t xml:space="preserve">on this issue were also made by the Motor Traders Associations of NSW, SA and WA and the Victorian </w:t>
      </w:r>
      <w:r w:rsidR="00083444">
        <w:t>Automobile</w:t>
      </w:r>
      <w:r w:rsidR="00A72BF8">
        <w:t xml:space="preserve"> Chamber of Commerce and also the Aust</w:t>
      </w:r>
      <w:r w:rsidR="00083444">
        <w:t>ralian Manufacturing Worker</w:t>
      </w:r>
      <w:r w:rsidR="00A72BF8">
        <w:t>s Union – Vehicle Division.</w:t>
      </w:r>
    </w:p>
    <w:p w14:paraId="45BD7754" w14:textId="77777777" w:rsidR="00A72BF8" w:rsidRDefault="00A72BF8" w:rsidP="00592AD0">
      <w:pPr>
        <w:pStyle w:val="Bullet"/>
        <w:jc w:val="left"/>
      </w:pPr>
      <w:r>
        <w:t>The audit disclosed that employers were relying and acting on the advice received from the industry associations in relation to commission and additional hours for vehicle salespeople and as such we took no further action in relation to th</w:t>
      </w:r>
      <w:r w:rsidR="00461B23">
        <w:t>o</w:t>
      </w:r>
      <w:r>
        <w:t xml:space="preserve">se employers. </w:t>
      </w:r>
    </w:p>
    <w:p w14:paraId="45BD7755" w14:textId="77777777" w:rsidR="00A72BF8" w:rsidRDefault="00A72BF8" w:rsidP="00592AD0">
      <w:pPr>
        <w:pStyle w:val="Bullet"/>
        <w:jc w:val="left"/>
      </w:pPr>
      <w:r>
        <w:t xml:space="preserve">The audit also found there was no evidence to conclude that these employees would have been better off receiving an hourly rate of pay for additional hours rather than the commission payments. </w:t>
      </w:r>
    </w:p>
    <w:p w14:paraId="45BD7756" w14:textId="77777777" w:rsidR="00A72BF8" w:rsidRDefault="00A72BF8" w:rsidP="00592AD0">
      <w:pPr>
        <w:pStyle w:val="Bullet"/>
        <w:jc w:val="left"/>
      </w:pPr>
      <w:r>
        <w:t xml:space="preserve">In the event the FWC determines the </w:t>
      </w:r>
      <w:proofErr w:type="spellStart"/>
      <w:r>
        <w:t>FWO’s</w:t>
      </w:r>
      <w:proofErr w:type="spellEnd"/>
      <w:r>
        <w:t xml:space="preserve"> view is the correct interpretation, we will work with the industry associations to educate employers on this issue. </w:t>
      </w:r>
    </w:p>
    <w:p w14:paraId="45BD7757" w14:textId="77777777" w:rsidR="003E42CA" w:rsidRDefault="00CF3B06" w:rsidP="00592AD0">
      <w:pPr>
        <w:pStyle w:val="Heading1"/>
        <w:jc w:val="left"/>
      </w:pPr>
      <w:bookmarkStart w:id="9" w:name="_Toc410822203"/>
      <w:bookmarkStart w:id="10" w:name="_Toc421872756"/>
      <w:r>
        <w:t>I</w:t>
      </w:r>
      <w:r w:rsidR="00205DBE">
        <w:t>ndustry Profile</w:t>
      </w:r>
      <w:bookmarkEnd w:id="9"/>
      <w:bookmarkEnd w:id="10"/>
    </w:p>
    <w:p w14:paraId="45BD7758" w14:textId="77777777" w:rsidR="003D47EC" w:rsidRDefault="003E42CA" w:rsidP="00592AD0">
      <w:pPr>
        <w:spacing w:before="120"/>
        <w:jc w:val="left"/>
        <w:rPr>
          <w:rFonts w:ascii="Arial" w:hAnsi="Arial"/>
          <w:szCs w:val="22"/>
        </w:rPr>
      </w:pPr>
      <w:r w:rsidRPr="003E42CA">
        <w:rPr>
          <w:rFonts w:ascii="Arial" w:hAnsi="Arial"/>
          <w:szCs w:val="22"/>
        </w:rPr>
        <w:t>The vehicle retailing industry (the industry) generally comprises the sale of cars,</w:t>
      </w:r>
      <w:r w:rsidR="00A8621D">
        <w:rPr>
          <w:rFonts w:ascii="Arial" w:hAnsi="Arial"/>
          <w:szCs w:val="22"/>
        </w:rPr>
        <w:t xml:space="preserve"> t</w:t>
      </w:r>
      <w:r w:rsidR="00714E09">
        <w:rPr>
          <w:rFonts w:ascii="Arial" w:hAnsi="Arial"/>
          <w:szCs w:val="22"/>
        </w:rPr>
        <w:t>rucks,</w:t>
      </w:r>
      <w:r w:rsidRPr="003E42CA">
        <w:rPr>
          <w:rFonts w:ascii="Arial" w:hAnsi="Arial"/>
          <w:szCs w:val="22"/>
        </w:rPr>
        <w:t xml:space="preserve"> bikes, scooters,</w:t>
      </w:r>
      <w:r w:rsidR="004C1B24">
        <w:rPr>
          <w:rFonts w:ascii="Arial" w:hAnsi="Arial"/>
          <w:szCs w:val="22"/>
        </w:rPr>
        <w:t xml:space="preserve"> caravans, boats and</w:t>
      </w:r>
      <w:r w:rsidR="003D47EC">
        <w:rPr>
          <w:rFonts w:ascii="Arial" w:hAnsi="Arial"/>
          <w:szCs w:val="22"/>
        </w:rPr>
        <w:t xml:space="preserve"> trailers</w:t>
      </w:r>
      <w:r w:rsidR="004C1B24">
        <w:rPr>
          <w:rFonts w:ascii="Arial" w:hAnsi="Arial"/>
          <w:szCs w:val="22"/>
        </w:rPr>
        <w:t>.</w:t>
      </w:r>
      <w:r w:rsidR="003D47EC">
        <w:rPr>
          <w:rFonts w:ascii="Arial" w:hAnsi="Arial"/>
          <w:szCs w:val="22"/>
        </w:rPr>
        <w:t xml:space="preserve"> </w:t>
      </w:r>
      <w:r w:rsidR="004C1B24">
        <w:rPr>
          <w:rFonts w:ascii="Arial" w:hAnsi="Arial"/>
          <w:szCs w:val="22"/>
        </w:rPr>
        <w:t>According</w:t>
      </w:r>
      <w:r w:rsidR="003D47EC">
        <w:rPr>
          <w:rFonts w:ascii="Arial" w:hAnsi="Arial"/>
          <w:szCs w:val="22"/>
        </w:rPr>
        <w:t xml:space="preserve"> to Ibis World (February 2015), there are approximately 4,500 businesses engaged in motor vehicle retailing in Australia, employing approximately 68,000 people</w:t>
      </w:r>
      <w:r w:rsidR="003D47EC">
        <w:rPr>
          <w:rStyle w:val="FootnoteReference"/>
          <w:rFonts w:ascii="Arial" w:hAnsi="Arial"/>
          <w:szCs w:val="22"/>
        </w:rPr>
        <w:footnoteReference w:id="1"/>
      </w:r>
      <w:r w:rsidR="003D47EC">
        <w:rPr>
          <w:rFonts w:ascii="Arial" w:hAnsi="Arial"/>
          <w:szCs w:val="22"/>
        </w:rPr>
        <w:t xml:space="preserve">.  </w:t>
      </w:r>
    </w:p>
    <w:p w14:paraId="45BD7759" w14:textId="77777777" w:rsidR="003E42CA" w:rsidRDefault="003E42CA" w:rsidP="00592AD0">
      <w:pPr>
        <w:spacing w:before="120"/>
        <w:jc w:val="left"/>
        <w:rPr>
          <w:rFonts w:ascii="Arial" w:hAnsi="Arial"/>
          <w:szCs w:val="22"/>
        </w:rPr>
      </w:pPr>
      <w:r w:rsidRPr="003E42CA">
        <w:rPr>
          <w:rFonts w:ascii="Arial" w:hAnsi="Arial"/>
          <w:szCs w:val="22"/>
        </w:rPr>
        <w:t xml:space="preserve">The industry </w:t>
      </w:r>
      <w:r w:rsidR="00A8621D">
        <w:rPr>
          <w:rFonts w:ascii="Arial" w:hAnsi="Arial"/>
          <w:szCs w:val="22"/>
        </w:rPr>
        <w:t xml:space="preserve">continues to have </w:t>
      </w:r>
      <w:r w:rsidRPr="003E42CA">
        <w:rPr>
          <w:rFonts w:ascii="Arial" w:hAnsi="Arial"/>
          <w:szCs w:val="22"/>
        </w:rPr>
        <w:t>a strong emphasis on the use of commission pay structures for salespersons</w:t>
      </w:r>
      <w:r w:rsidR="007D24BC">
        <w:rPr>
          <w:rFonts w:ascii="Arial" w:hAnsi="Arial"/>
          <w:szCs w:val="22"/>
        </w:rPr>
        <w:t>,</w:t>
      </w:r>
      <w:r w:rsidR="00014AF3">
        <w:rPr>
          <w:rFonts w:ascii="Arial" w:hAnsi="Arial"/>
          <w:szCs w:val="22"/>
        </w:rPr>
        <w:t xml:space="preserve"> </w:t>
      </w:r>
      <w:r w:rsidR="007D24BC">
        <w:rPr>
          <w:rFonts w:ascii="Arial" w:hAnsi="Arial"/>
          <w:szCs w:val="22"/>
        </w:rPr>
        <w:t>where</w:t>
      </w:r>
      <w:r w:rsidRPr="003E42CA">
        <w:rPr>
          <w:rFonts w:ascii="Arial" w:hAnsi="Arial"/>
          <w:szCs w:val="22"/>
        </w:rPr>
        <w:t xml:space="preserve"> </w:t>
      </w:r>
      <w:r w:rsidR="00714E09">
        <w:rPr>
          <w:rFonts w:ascii="Arial" w:hAnsi="Arial"/>
          <w:szCs w:val="22"/>
        </w:rPr>
        <w:t xml:space="preserve">many </w:t>
      </w:r>
      <w:r w:rsidR="00014AF3">
        <w:rPr>
          <w:rFonts w:ascii="Arial" w:hAnsi="Arial"/>
          <w:szCs w:val="22"/>
        </w:rPr>
        <w:t xml:space="preserve">vehicle salespersons </w:t>
      </w:r>
      <w:r w:rsidR="003D47EC">
        <w:rPr>
          <w:rFonts w:ascii="Arial" w:hAnsi="Arial"/>
          <w:szCs w:val="22"/>
        </w:rPr>
        <w:t>receive</w:t>
      </w:r>
      <w:r w:rsidRPr="003E42CA">
        <w:rPr>
          <w:rFonts w:ascii="Arial" w:hAnsi="Arial"/>
          <w:szCs w:val="22"/>
        </w:rPr>
        <w:t xml:space="preserve"> both a retainer and commission </w:t>
      </w:r>
      <w:r w:rsidR="00A8621D">
        <w:rPr>
          <w:rFonts w:ascii="Arial" w:hAnsi="Arial"/>
          <w:szCs w:val="22"/>
        </w:rPr>
        <w:t xml:space="preserve">which is </w:t>
      </w:r>
      <w:r w:rsidRPr="003E42CA">
        <w:rPr>
          <w:rFonts w:ascii="Arial" w:hAnsi="Arial"/>
          <w:szCs w:val="22"/>
        </w:rPr>
        <w:t xml:space="preserve">generally based upon the number of vehicles sold.  </w:t>
      </w:r>
    </w:p>
    <w:p w14:paraId="45BD775A" w14:textId="77777777" w:rsidR="003E42CA" w:rsidRDefault="003E42CA" w:rsidP="00592AD0">
      <w:pPr>
        <w:pStyle w:val="Heading1"/>
        <w:jc w:val="left"/>
      </w:pPr>
      <w:bookmarkStart w:id="11" w:name="_Toc421872757"/>
      <w:r>
        <w:lastRenderedPageBreak/>
        <w:t>Industry Stakeholders</w:t>
      </w:r>
      <w:bookmarkEnd w:id="11"/>
    </w:p>
    <w:p w14:paraId="45BD775B" w14:textId="77777777" w:rsidR="003E42CA" w:rsidRDefault="003E42CA" w:rsidP="00592AD0">
      <w:pPr>
        <w:pStyle w:val="Bullet"/>
        <w:jc w:val="left"/>
      </w:pPr>
      <w:r w:rsidRPr="00471195">
        <w:t xml:space="preserve">We </w:t>
      </w:r>
      <w:r w:rsidR="00EE21B8">
        <w:t xml:space="preserve">engaged with </w:t>
      </w:r>
      <w:r w:rsidRPr="00471195">
        <w:t xml:space="preserve">the following stakeholders to inform them of the </w:t>
      </w:r>
      <w:r>
        <w:t>campaign</w:t>
      </w:r>
      <w:r w:rsidRPr="00471195">
        <w:t xml:space="preserve"> and to seek their support in promoting it amongst their members</w:t>
      </w:r>
      <w:r w:rsidR="003D47EC">
        <w:t xml:space="preserve">; </w:t>
      </w:r>
    </w:p>
    <w:p w14:paraId="45BD775C" w14:textId="77777777" w:rsidR="003E42CA" w:rsidRPr="00471195" w:rsidRDefault="003E42CA" w:rsidP="00592AD0">
      <w:pPr>
        <w:pStyle w:val="Bullet"/>
        <w:numPr>
          <w:ilvl w:val="0"/>
          <w:numId w:val="16"/>
        </w:numPr>
        <w:jc w:val="left"/>
      </w:pPr>
      <w:r w:rsidRPr="00471195">
        <w:t xml:space="preserve">The Motor Trades Association of Queensland </w:t>
      </w:r>
      <w:r>
        <w:t>(</w:t>
      </w:r>
      <w:proofErr w:type="spellStart"/>
      <w:r>
        <w:t>MTAQ</w:t>
      </w:r>
      <w:proofErr w:type="spellEnd"/>
      <w:r>
        <w:t>)</w:t>
      </w:r>
      <w:r w:rsidR="00714E09">
        <w:t>;</w:t>
      </w:r>
    </w:p>
    <w:p w14:paraId="45BD775D" w14:textId="77777777" w:rsidR="003E42CA" w:rsidRPr="00471195" w:rsidRDefault="003E42CA" w:rsidP="00592AD0">
      <w:pPr>
        <w:pStyle w:val="Bullet"/>
        <w:numPr>
          <w:ilvl w:val="0"/>
          <w:numId w:val="16"/>
        </w:numPr>
        <w:jc w:val="left"/>
      </w:pPr>
      <w:r w:rsidRPr="00471195">
        <w:t>The Motor Trades Association of New South Wales (MTA NSW)</w:t>
      </w:r>
      <w:r w:rsidR="00714E09">
        <w:t>;</w:t>
      </w:r>
    </w:p>
    <w:p w14:paraId="45BD775E" w14:textId="77777777" w:rsidR="003E42CA" w:rsidRPr="00471195" w:rsidRDefault="003E42CA" w:rsidP="00592AD0">
      <w:pPr>
        <w:pStyle w:val="Bullet"/>
        <w:numPr>
          <w:ilvl w:val="0"/>
          <w:numId w:val="16"/>
        </w:numPr>
        <w:jc w:val="left"/>
      </w:pPr>
      <w:r w:rsidRPr="00471195">
        <w:t>The Motor Trades Association of the Austral</w:t>
      </w:r>
      <w:r w:rsidR="00714E09">
        <w:t>ian Capital Territory (MTA ACT);</w:t>
      </w:r>
    </w:p>
    <w:p w14:paraId="45BD775F" w14:textId="77777777" w:rsidR="003E42CA" w:rsidRPr="00471195" w:rsidRDefault="003E42CA" w:rsidP="00592AD0">
      <w:pPr>
        <w:pStyle w:val="Bullet"/>
        <w:numPr>
          <w:ilvl w:val="0"/>
          <w:numId w:val="16"/>
        </w:numPr>
        <w:jc w:val="left"/>
      </w:pPr>
      <w:r w:rsidRPr="00471195">
        <w:t>The Shop, Distributive and Allied Employees Association NSW</w:t>
      </w:r>
      <w:r w:rsidR="00714E09">
        <w:t>; and</w:t>
      </w:r>
    </w:p>
    <w:p w14:paraId="45BD7760" w14:textId="77777777" w:rsidR="003E42CA" w:rsidRDefault="003E42CA" w:rsidP="00592AD0">
      <w:pPr>
        <w:pStyle w:val="Bullet"/>
        <w:numPr>
          <w:ilvl w:val="0"/>
          <w:numId w:val="16"/>
        </w:numPr>
        <w:jc w:val="left"/>
      </w:pPr>
      <w:r w:rsidRPr="00471195">
        <w:t>The Shop, Distributive and Allied Employees Association Qld</w:t>
      </w:r>
      <w:r w:rsidR="00714E09">
        <w:t>.</w:t>
      </w:r>
    </w:p>
    <w:p w14:paraId="45BD7761" w14:textId="77777777" w:rsidR="003D47EC" w:rsidRDefault="003D47EC" w:rsidP="00592AD0">
      <w:pPr>
        <w:pStyle w:val="Bullet"/>
        <w:jc w:val="left"/>
      </w:pPr>
      <w:r>
        <w:t>We have had ongoing engagement with these stakeholders during the camp</w:t>
      </w:r>
      <w:r w:rsidR="00A8621D">
        <w:t xml:space="preserve">aign, </w:t>
      </w:r>
      <w:r>
        <w:t>particularly in r</w:t>
      </w:r>
      <w:r w:rsidR="00A8621D">
        <w:t>elation to award interpretation</w:t>
      </w:r>
      <w:r>
        <w:t xml:space="preserve"> and will continue to do so to achieve an agreed future compliance framework. </w:t>
      </w:r>
    </w:p>
    <w:p w14:paraId="45BD7762" w14:textId="77777777" w:rsidR="00714E09" w:rsidRDefault="007D24BC" w:rsidP="00592AD0">
      <w:pPr>
        <w:pStyle w:val="Bullet"/>
        <w:jc w:val="left"/>
      </w:pPr>
      <w:r>
        <w:t xml:space="preserve">Of interest, was the </w:t>
      </w:r>
      <w:r w:rsidR="003D47EC">
        <w:t>high</w:t>
      </w:r>
      <w:r w:rsidR="00714E09">
        <w:t xml:space="preserve"> industry association membership</w:t>
      </w:r>
      <w:r w:rsidR="004C1B24">
        <w:t xml:space="preserve"> identified</w:t>
      </w:r>
      <w:r w:rsidR="003D47EC">
        <w:t xml:space="preserve"> </w:t>
      </w:r>
      <w:r w:rsidR="004C1B24">
        <w:t xml:space="preserve">(75% or </w:t>
      </w:r>
      <w:r w:rsidR="003D47EC">
        <w:t>348/462</w:t>
      </w:r>
      <w:r w:rsidR="004C1B24">
        <w:t> businesses</w:t>
      </w:r>
      <w:r w:rsidR="003D47EC">
        <w:t>)</w:t>
      </w:r>
      <w:r>
        <w:t xml:space="preserve">, with 95% </w:t>
      </w:r>
      <w:r w:rsidR="00714E09">
        <w:t>of these</w:t>
      </w:r>
      <w:r>
        <w:t xml:space="preserve"> being </w:t>
      </w:r>
      <w:r w:rsidR="00714E09">
        <w:t>members of one of the three Motor Tra</w:t>
      </w:r>
      <w:r w:rsidR="004C1B24">
        <w:t>der’s Associations (Qld, NSW or </w:t>
      </w:r>
      <w:r w:rsidR="00714E09">
        <w:t xml:space="preserve">ACT). </w:t>
      </w:r>
    </w:p>
    <w:p w14:paraId="45BD7763" w14:textId="77777777" w:rsidR="004B2104" w:rsidRPr="004B2104" w:rsidRDefault="003E42CA" w:rsidP="00592AD0">
      <w:pPr>
        <w:pStyle w:val="Heading1"/>
        <w:jc w:val="left"/>
      </w:pPr>
      <w:bookmarkStart w:id="12" w:name="_Toc421872758"/>
      <w:r>
        <w:t>Wages Audit</w:t>
      </w:r>
      <w:bookmarkEnd w:id="12"/>
      <w:r>
        <w:t xml:space="preserve"> </w:t>
      </w:r>
    </w:p>
    <w:p w14:paraId="45BD7764" w14:textId="77777777" w:rsidR="003E42CA" w:rsidRPr="00471195" w:rsidRDefault="003E42CA" w:rsidP="00592AD0">
      <w:pPr>
        <w:spacing w:before="120" w:after="0"/>
        <w:jc w:val="left"/>
        <w:rPr>
          <w:b/>
          <w:bCs/>
        </w:rPr>
      </w:pPr>
      <w:r>
        <w:t xml:space="preserve">We randomly selected </w:t>
      </w:r>
      <w:r w:rsidR="007D24BC">
        <w:t xml:space="preserve">462 </w:t>
      </w:r>
      <w:r>
        <w:t xml:space="preserve">businesses from </w:t>
      </w:r>
      <w:r w:rsidR="007D24BC">
        <w:t xml:space="preserve">the industry </w:t>
      </w:r>
      <w:r w:rsidR="000930BF">
        <w:t xml:space="preserve">and </w:t>
      </w:r>
      <w:r>
        <w:t xml:space="preserve">notified them in writing </w:t>
      </w:r>
      <w:r w:rsidRPr="00471195">
        <w:t xml:space="preserve">of their </w:t>
      </w:r>
      <w:r>
        <w:t>inclusion in this campaign</w:t>
      </w:r>
      <w:r w:rsidR="007D24BC">
        <w:t xml:space="preserve">. </w:t>
      </w:r>
      <w:r w:rsidR="000930BF">
        <w:t xml:space="preserve">We </w:t>
      </w:r>
      <w:r>
        <w:t>requested time and wages records for assessment for a two week period</w:t>
      </w:r>
      <w:r w:rsidR="000930BF">
        <w:t>, assessing</w:t>
      </w:r>
      <w:r w:rsidRPr="00471195">
        <w:t xml:space="preserve"> </w:t>
      </w:r>
      <w:r w:rsidR="007D24BC">
        <w:t xml:space="preserve">these records against the </w:t>
      </w:r>
      <w:r w:rsidR="007D24BC" w:rsidRPr="007D24BC">
        <w:rPr>
          <w:i/>
        </w:rPr>
        <w:t>Award</w:t>
      </w:r>
      <w:r w:rsidR="007D24BC">
        <w:t xml:space="preserve">, </w:t>
      </w:r>
      <w:r w:rsidR="007D24BC" w:rsidRPr="007D24BC">
        <w:rPr>
          <w:i/>
        </w:rPr>
        <w:t>Act</w:t>
      </w:r>
      <w:r w:rsidR="007D24BC">
        <w:t xml:space="preserve"> and </w:t>
      </w:r>
      <w:r w:rsidR="007D24BC" w:rsidRPr="007D24BC">
        <w:rPr>
          <w:i/>
        </w:rPr>
        <w:t>Regulations</w:t>
      </w:r>
      <w:r w:rsidR="007D24BC">
        <w:t xml:space="preserve"> </w:t>
      </w:r>
      <w:r w:rsidRPr="00471195">
        <w:t>to ensure employers were meeting the</w:t>
      </w:r>
      <w:r>
        <w:t>ir</w:t>
      </w:r>
      <w:r w:rsidRPr="00471195">
        <w:t xml:space="preserve"> obligations</w:t>
      </w:r>
      <w:r>
        <w:t xml:space="preserve"> </w:t>
      </w:r>
      <w:r w:rsidR="007D24BC">
        <w:t>for</w:t>
      </w:r>
      <w:r w:rsidRPr="00471195">
        <w:t>:</w:t>
      </w:r>
    </w:p>
    <w:p w14:paraId="45BD7765" w14:textId="77777777" w:rsidR="003E42CA" w:rsidRPr="003E42CA" w:rsidRDefault="003E42CA" w:rsidP="00592AD0">
      <w:pPr>
        <w:pStyle w:val="Bullet"/>
        <w:numPr>
          <w:ilvl w:val="0"/>
          <w:numId w:val="18"/>
        </w:numPr>
        <w:jc w:val="left"/>
      </w:pPr>
      <w:r w:rsidRPr="00471195">
        <w:t>pay slips and record-keeping</w:t>
      </w:r>
      <w:r>
        <w:t>;</w:t>
      </w:r>
    </w:p>
    <w:p w14:paraId="45BD7766" w14:textId="77777777" w:rsidR="003E42CA" w:rsidRPr="00471195" w:rsidRDefault="003E42CA" w:rsidP="00592AD0">
      <w:pPr>
        <w:pStyle w:val="Bullet"/>
        <w:numPr>
          <w:ilvl w:val="0"/>
          <w:numId w:val="18"/>
        </w:numPr>
        <w:jc w:val="left"/>
      </w:pPr>
      <w:r>
        <w:t>minimum rates pay (including</w:t>
      </w:r>
      <w:r w:rsidRPr="00471195">
        <w:t xml:space="preserve"> </w:t>
      </w:r>
      <w:r>
        <w:t xml:space="preserve">penalties and </w:t>
      </w:r>
      <w:r w:rsidRPr="00471195">
        <w:t>loadings</w:t>
      </w:r>
      <w:r>
        <w:t>); and</w:t>
      </w:r>
    </w:p>
    <w:p w14:paraId="45BD7767" w14:textId="77777777" w:rsidR="003E42CA" w:rsidRPr="00471195" w:rsidRDefault="003E42CA" w:rsidP="00592AD0">
      <w:pPr>
        <w:pStyle w:val="Bullet"/>
        <w:numPr>
          <w:ilvl w:val="0"/>
          <w:numId w:val="18"/>
        </w:numPr>
        <w:jc w:val="left"/>
      </w:pPr>
      <w:proofErr w:type="gramStart"/>
      <w:r w:rsidRPr="00471195">
        <w:t>commission</w:t>
      </w:r>
      <w:proofErr w:type="gramEnd"/>
      <w:r w:rsidRPr="00471195">
        <w:t xml:space="preserve"> </w:t>
      </w:r>
      <w:r>
        <w:t>arrangements.</w:t>
      </w:r>
    </w:p>
    <w:p w14:paraId="45BD7768" w14:textId="77777777" w:rsidR="003E42CA" w:rsidRDefault="003E42CA" w:rsidP="00592AD0">
      <w:pPr>
        <w:spacing w:before="120" w:after="0"/>
        <w:jc w:val="left"/>
      </w:pPr>
      <w:r w:rsidRPr="003E42CA">
        <w:t>Of the 462 businesses assessed we found:</w:t>
      </w:r>
    </w:p>
    <w:p w14:paraId="45BD7769" w14:textId="77777777" w:rsidR="003E42CA" w:rsidRPr="003E42CA" w:rsidRDefault="003E42CA" w:rsidP="00592AD0">
      <w:pPr>
        <w:pStyle w:val="Bullet"/>
        <w:numPr>
          <w:ilvl w:val="0"/>
          <w:numId w:val="17"/>
        </w:numPr>
        <w:jc w:val="left"/>
      </w:pPr>
      <w:r w:rsidRPr="003E42CA">
        <w:t>424 (92%) employers compliant with all requirements</w:t>
      </w:r>
      <w:r w:rsidRPr="003E42CA">
        <w:tab/>
      </w:r>
    </w:p>
    <w:p w14:paraId="45BD776A" w14:textId="77777777" w:rsidR="003E42CA" w:rsidRPr="003E42CA" w:rsidRDefault="003E42CA" w:rsidP="00592AD0">
      <w:pPr>
        <w:pStyle w:val="Bullet"/>
        <w:numPr>
          <w:ilvl w:val="0"/>
          <w:numId w:val="17"/>
        </w:numPr>
        <w:jc w:val="left"/>
      </w:pPr>
      <w:r w:rsidRPr="003E42CA">
        <w:t xml:space="preserve">38 (8%) employers had at least one </w:t>
      </w:r>
      <w:r w:rsidR="00B8492A">
        <w:t>error</w:t>
      </w:r>
      <w:r w:rsidRPr="003E42CA">
        <w:t>, of which:</w:t>
      </w:r>
    </w:p>
    <w:p w14:paraId="45BD776B" w14:textId="77777777" w:rsidR="003E42CA" w:rsidRPr="003E42CA" w:rsidRDefault="003E42CA" w:rsidP="00592AD0">
      <w:pPr>
        <w:pStyle w:val="Bullet"/>
        <w:numPr>
          <w:ilvl w:val="1"/>
          <w:numId w:val="17"/>
        </w:numPr>
        <w:jc w:val="left"/>
      </w:pPr>
      <w:r w:rsidRPr="003E42CA">
        <w:t xml:space="preserve">6 (1%) had </w:t>
      </w:r>
      <w:r w:rsidR="00B8492A">
        <w:t>error</w:t>
      </w:r>
      <w:r w:rsidR="00AB7D4C">
        <w:t>s</w:t>
      </w:r>
      <w:r w:rsidRPr="003E42CA">
        <w:t xml:space="preserve"> relating to pay slips or record-keeping </w:t>
      </w:r>
    </w:p>
    <w:p w14:paraId="45BD776C" w14:textId="77777777" w:rsidR="00185356" w:rsidRDefault="00AB7D4C" w:rsidP="00592AD0">
      <w:pPr>
        <w:pStyle w:val="Bullet"/>
        <w:numPr>
          <w:ilvl w:val="1"/>
          <w:numId w:val="17"/>
        </w:numPr>
        <w:jc w:val="left"/>
      </w:pPr>
      <w:r>
        <w:t xml:space="preserve">30 (6.5%) had </w:t>
      </w:r>
      <w:r w:rsidR="00B8492A">
        <w:t>error</w:t>
      </w:r>
      <w:r>
        <w:t>s</w:t>
      </w:r>
      <w:r w:rsidR="003E42CA" w:rsidRPr="003E42CA">
        <w:t xml:space="preserve"> relating to</w:t>
      </w:r>
      <w:r w:rsidR="00302980">
        <w:t xml:space="preserve"> pay rates (base </w:t>
      </w:r>
      <w:r>
        <w:t xml:space="preserve">pay </w:t>
      </w:r>
      <w:r w:rsidR="00302980">
        <w:t>rates and shift loadings)</w:t>
      </w:r>
      <w:r>
        <w:t>; and</w:t>
      </w:r>
    </w:p>
    <w:p w14:paraId="45BD776D" w14:textId="77777777" w:rsidR="003E42CA" w:rsidRPr="003E42CA" w:rsidRDefault="00B8492A" w:rsidP="00592AD0">
      <w:pPr>
        <w:pStyle w:val="Bullet"/>
        <w:numPr>
          <w:ilvl w:val="1"/>
          <w:numId w:val="17"/>
        </w:numPr>
        <w:jc w:val="left"/>
      </w:pPr>
      <w:r>
        <w:t>2 (</w:t>
      </w:r>
      <w:r w:rsidR="003E42CA" w:rsidRPr="003E42CA">
        <w:t>0.5%</w:t>
      </w:r>
      <w:r>
        <w:t>)</w:t>
      </w:r>
      <w:r w:rsidR="003E42CA" w:rsidRPr="003E42CA">
        <w:t xml:space="preserve"> related to </w:t>
      </w:r>
      <w:r>
        <w:t>error</w:t>
      </w:r>
      <w:r w:rsidR="00AB7D4C">
        <w:t>s</w:t>
      </w:r>
      <w:r w:rsidR="003E42CA" w:rsidRPr="003E42CA">
        <w:t xml:space="preserve"> </w:t>
      </w:r>
      <w:r w:rsidR="00083444" w:rsidRPr="003E42CA">
        <w:t>of both</w:t>
      </w:r>
      <w:r w:rsidR="003E42CA" w:rsidRPr="003E42CA">
        <w:t xml:space="preserve"> underpayment of hourly rates and pay slips or </w:t>
      </w:r>
      <w:r w:rsidR="003E42CA" w:rsidRPr="003E42CA">
        <w:lastRenderedPageBreak/>
        <w:t>record-keeping</w:t>
      </w:r>
      <w:r w:rsidR="00302980">
        <w:t>.</w:t>
      </w:r>
    </w:p>
    <w:p w14:paraId="45BD776E" w14:textId="77777777" w:rsidR="003E42CA" w:rsidRPr="003E42CA" w:rsidRDefault="003E42CA" w:rsidP="00592AD0">
      <w:pPr>
        <w:spacing w:after="0"/>
        <w:jc w:val="left"/>
      </w:pPr>
      <w:r w:rsidRPr="003E42CA">
        <w:t>This means that of the 462 businesses we assessed:</w:t>
      </w:r>
    </w:p>
    <w:p w14:paraId="45BD776F" w14:textId="77777777" w:rsidR="003E42CA" w:rsidRPr="003E42CA" w:rsidRDefault="003E42CA" w:rsidP="00592AD0">
      <w:pPr>
        <w:pStyle w:val="Bullet"/>
        <w:numPr>
          <w:ilvl w:val="0"/>
          <w:numId w:val="19"/>
        </w:numPr>
        <w:jc w:val="left"/>
      </w:pPr>
      <w:r w:rsidRPr="003E42CA">
        <w:t xml:space="preserve">430 (93%) were paying their employees </w:t>
      </w:r>
      <w:r w:rsidR="00302980">
        <w:t xml:space="preserve">in line with current industry practices </w:t>
      </w:r>
      <w:r w:rsidR="00FE5EED">
        <w:t xml:space="preserve">regarding hours worked over 38 per week and </w:t>
      </w:r>
      <w:r w:rsidR="00AB7D4C">
        <w:t>commission</w:t>
      </w:r>
      <w:r w:rsidR="00FE5EED">
        <w:t xml:space="preserve"> payments</w:t>
      </w:r>
      <w:r w:rsidR="00AB7D4C">
        <w:t>; and</w:t>
      </w:r>
    </w:p>
    <w:p w14:paraId="45BD7770" w14:textId="77777777" w:rsidR="003E42CA" w:rsidRPr="003E42CA" w:rsidRDefault="003E42CA" w:rsidP="00592AD0">
      <w:pPr>
        <w:pStyle w:val="Bullet"/>
        <w:numPr>
          <w:ilvl w:val="0"/>
          <w:numId w:val="19"/>
        </w:numPr>
        <w:jc w:val="left"/>
      </w:pPr>
      <w:r w:rsidRPr="003E42CA">
        <w:t>454 (98%) were compliant with record-keeping and pay slip requirements.</w:t>
      </w:r>
    </w:p>
    <w:p w14:paraId="45BD7771" w14:textId="77777777" w:rsidR="00714E09" w:rsidRDefault="00714E09" w:rsidP="00592AD0">
      <w:pPr>
        <w:jc w:val="left"/>
      </w:pPr>
      <w:r>
        <w:t>Of t</w:t>
      </w:r>
      <w:r w:rsidR="003E42CA" w:rsidRPr="00004FE0">
        <w:t xml:space="preserve">he 38 businesses found </w:t>
      </w:r>
      <w:r>
        <w:t>with</w:t>
      </w:r>
      <w:r w:rsidR="003E42CA">
        <w:t xml:space="preserve"> </w:t>
      </w:r>
      <w:r w:rsidR="00B8492A">
        <w:t>error</w:t>
      </w:r>
      <w:r w:rsidR="00AB7D4C">
        <w:t>s</w:t>
      </w:r>
      <w:r>
        <w:t xml:space="preserve">, there </w:t>
      </w:r>
      <w:r w:rsidR="00083444">
        <w:t>were</w:t>
      </w:r>
      <w:r w:rsidR="003E42CA">
        <w:t xml:space="preserve"> </w:t>
      </w:r>
      <w:r w:rsidR="00083444" w:rsidRPr="00004FE0">
        <w:t xml:space="preserve">a </w:t>
      </w:r>
      <w:r w:rsidR="00083444">
        <w:t>total</w:t>
      </w:r>
      <w:r w:rsidR="00AB7D4C">
        <w:t xml:space="preserve"> of 40 individual </w:t>
      </w:r>
      <w:r w:rsidR="00B8492A">
        <w:t>error</w:t>
      </w:r>
      <w:r w:rsidR="00AB7D4C">
        <w:t>s</w:t>
      </w:r>
      <w:r w:rsidR="007D24BC">
        <w:t xml:space="preserve"> (</w:t>
      </w:r>
      <w:r w:rsidR="003E42CA" w:rsidRPr="00004FE0">
        <w:t xml:space="preserve">as outlined in </w:t>
      </w:r>
      <w:r w:rsidR="005408C3">
        <w:rPr>
          <w:i/>
        </w:rPr>
        <w:t>Chart </w:t>
      </w:r>
      <w:r w:rsidR="00AB7D4C">
        <w:rPr>
          <w:i/>
        </w:rPr>
        <w:t>1: </w:t>
      </w:r>
      <w:r w:rsidR="003E42CA" w:rsidRPr="009B7B3D">
        <w:rPr>
          <w:i/>
        </w:rPr>
        <w:t>Assessment findings</w:t>
      </w:r>
      <w:r w:rsidR="007D24BC">
        <w:rPr>
          <w:i/>
        </w:rPr>
        <w:t>)</w:t>
      </w:r>
      <w:r w:rsidR="003E42CA">
        <w:t xml:space="preserve">. Of the </w:t>
      </w:r>
      <w:r w:rsidR="00B8492A">
        <w:t>error</w:t>
      </w:r>
      <w:r w:rsidR="003E42CA">
        <w:t xml:space="preserve">s identified (as detailed in </w:t>
      </w:r>
      <w:r w:rsidR="003E42CA" w:rsidRPr="009B7B3D">
        <w:rPr>
          <w:i/>
        </w:rPr>
        <w:t xml:space="preserve">Chart 2: Breakdown of </w:t>
      </w:r>
      <w:r w:rsidR="00B8492A">
        <w:rPr>
          <w:i/>
        </w:rPr>
        <w:t>Error</w:t>
      </w:r>
      <w:r w:rsidR="003E42CA" w:rsidRPr="009B7B3D">
        <w:rPr>
          <w:i/>
        </w:rPr>
        <w:t>s)</w:t>
      </w:r>
      <w:r w:rsidR="000930BF">
        <w:t>; underpayment of hourly rate</w:t>
      </w:r>
      <w:r w:rsidR="003E42CA">
        <w:t xml:space="preserve"> and shift loadings </w:t>
      </w:r>
      <w:r w:rsidR="003E42CA" w:rsidRPr="009360D9">
        <w:t>account</w:t>
      </w:r>
      <w:r w:rsidR="003E42CA">
        <w:t>ed</w:t>
      </w:r>
      <w:r w:rsidR="003E42CA" w:rsidRPr="009360D9">
        <w:t xml:space="preserve"> for </w:t>
      </w:r>
      <w:r w:rsidR="003E42CA">
        <w:t>80</w:t>
      </w:r>
      <w:r w:rsidR="003E42CA" w:rsidRPr="009360D9">
        <w:t xml:space="preserve">% of all </w:t>
      </w:r>
      <w:r w:rsidR="00B8492A">
        <w:t>error</w:t>
      </w:r>
      <w:r w:rsidR="003E42CA">
        <w:t>s, with</w:t>
      </w:r>
      <w:r w:rsidR="003E42CA" w:rsidRPr="009360D9">
        <w:t xml:space="preserve"> </w:t>
      </w:r>
      <w:r w:rsidR="003E42CA">
        <w:t xml:space="preserve">pay slip or record-keeping </w:t>
      </w:r>
      <w:r w:rsidR="00B8492A">
        <w:t>error</w:t>
      </w:r>
      <w:r w:rsidR="003E42CA">
        <w:t>s making up the remaining 20%. In total, we recovered $129,811</w:t>
      </w:r>
      <w:r w:rsidR="003E42CA" w:rsidRPr="00EC7B9E">
        <w:t xml:space="preserve"> from 26 businesses</w:t>
      </w:r>
      <w:r w:rsidR="003E42CA">
        <w:t xml:space="preserve">, </w:t>
      </w:r>
      <w:r w:rsidR="003E42CA" w:rsidRPr="00EC7B9E">
        <w:t>on behalf of 70 employees</w:t>
      </w:r>
      <w:r w:rsidR="003E42CA">
        <w:t>.</w:t>
      </w:r>
    </w:p>
    <w:p w14:paraId="45BD7772" w14:textId="77777777" w:rsidR="003E42CA" w:rsidRPr="00136262" w:rsidRDefault="003E42CA" w:rsidP="00592AD0">
      <w:pPr>
        <w:jc w:val="left"/>
      </w:pPr>
      <w:r w:rsidRPr="003E42CA">
        <w:rPr>
          <w:b/>
        </w:rPr>
        <w:t>Chart 1: Assessment findings</w:t>
      </w:r>
      <w:r>
        <w:tab/>
      </w:r>
      <w:r>
        <w:tab/>
      </w:r>
      <w:r>
        <w:tab/>
      </w:r>
      <w:r w:rsidRPr="003E42CA">
        <w:rPr>
          <w:b/>
        </w:rPr>
        <w:t xml:space="preserve">Chart 2: Breakdown of </w:t>
      </w:r>
      <w:r w:rsidR="00B8492A">
        <w:rPr>
          <w:b/>
        </w:rPr>
        <w:t>error</w:t>
      </w:r>
      <w:r w:rsidRPr="003E42CA">
        <w:rPr>
          <w:b/>
        </w:rPr>
        <w:t>s</w:t>
      </w:r>
    </w:p>
    <w:p w14:paraId="45BD7773" w14:textId="77777777" w:rsidR="006D0D3C" w:rsidRDefault="00714E09" w:rsidP="00592AD0">
      <w:pPr>
        <w:jc w:val="left"/>
      </w:pPr>
      <w:r w:rsidRPr="007A64AF">
        <w:rPr>
          <w:noProof/>
          <w:color w:val="1F497D" w:themeColor="text2"/>
          <w:highlight w:val="yellow"/>
          <w:lang w:eastAsia="en-AU"/>
        </w:rPr>
        <w:drawing>
          <wp:inline distT="0" distB="0" distL="0" distR="0" wp14:anchorId="4EE7FFDC" wp14:editId="354F8C11">
            <wp:extent cx="3121660" cy="2232660"/>
            <wp:effectExtent l="0" t="0" r="2540" b="0"/>
            <wp:docPr id="16" name="Picture 16" descr="Findings of the Campaign overall including compliance and contravention rates and a breakdown of the specific contraventions." title="Assessment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21660" cy="2232660"/>
                    </a:xfrm>
                    <a:prstGeom prst="rect">
                      <a:avLst/>
                    </a:prstGeom>
                    <a:noFill/>
                    <a:ln>
                      <a:noFill/>
                    </a:ln>
                  </pic:spPr>
                </pic:pic>
              </a:graphicData>
            </a:graphic>
          </wp:inline>
        </w:drawing>
      </w:r>
      <w:r>
        <w:rPr>
          <w:noProof/>
          <w:lang w:eastAsia="en-AU"/>
        </w:rPr>
        <w:drawing>
          <wp:inline distT="0" distB="0" distL="0" distR="0" wp14:anchorId="45BD77A8" wp14:editId="07939195">
            <wp:extent cx="2880360" cy="2232660"/>
            <wp:effectExtent l="0" t="0" r="0" b="0"/>
            <wp:docPr id="1" name="Chart 1" title="Chart 2: Breakdown of erro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5BD7774" w14:textId="77777777" w:rsidR="003E42CA" w:rsidRDefault="003E42CA" w:rsidP="00592AD0">
      <w:pPr>
        <w:pStyle w:val="Heading1"/>
        <w:jc w:val="left"/>
      </w:pPr>
      <w:bookmarkStart w:id="13" w:name="_Toc412196682"/>
      <w:bookmarkStart w:id="14" w:name="_Toc421872759"/>
      <w:r w:rsidRPr="00205DBE">
        <w:t>Regional Findings</w:t>
      </w:r>
      <w:bookmarkEnd w:id="13"/>
      <w:bookmarkEnd w:id="14"/>
    </w:p>
    <w:p w14:paraId="45BD7775" w14:textId="77777777" w:rsidR="006D0D3C" w:rsidRDefault="006D0D3C" w:rsidP="00592AD0">
      <w:pPr>
        <w:pStyle w:val="Heading2"/>
        <w:jc w:val="left"/>
      </w:pPr>
      <w:bookmarkStart w:id="15" w:name="_Toc421872760"/>
      <w:bookmarkStart w:id="16" w:name="_Toc412196683"/>
      <w:r>
        <w:t>N</w:t>
      </w:r>
      <w:r w:rsidR="00185356">
        <w:t xml:space="preserve">ew </w:t>
      </w:r>
      <w:r>
        <w:t>S</w:t>
      </w:r>
      <w:r w:rsidR="00185356">
        <w:t xml:space="preserve">outh </w:t>
      </w:r>
      <w:r>
        <w:t>W</w:t>
      </w:r>
      <w:r w:rsidR="00185356">
        <w:t>ales</w:t>
      </w:r>
      <w:r>
        <w:t xml:space="preserve"> </w:t>
      </w:r>
      <w:r w:rsidR="00185356">
        <w:t>(NSW)</w:t>
      </w:r>
      <w:bookmarkEnd w:id="15"/>
    </w:p>
    <w:p w14:paraId="45BD7776" w14:textId="77777777" w:rsidR="006D0D3C" w:rsidRDefault="006D0D3C" w:rsidP="00592AD0">
      <w:pPr>
        <w:spacing w:after="0"/>
        <w:jc w:val="left"/>
        <w:rPr>
          <w:sz w:val="6"/>
          <w:szCs w:val="6"/>
        </w:rPr>
      </w:pPr>
      <w:r w:rsidRPr="003E42CA">
        <w:t xml:space="preserve">Of the 236 businesses assessed in </w:t>
      </w:r>
      <w:r w:rsidR="00185356">
        <w:t>NSW</w:t>
      </w:r>
      <w:r w:rsidR="00185356" w:rsidRPr="003E42CA">
        <w:t xml:space="preserve"> </w:t>
      </w:r>
      <w:r w:rsidRPr="003E42CA">
        <w:t>we found:</w:t>
      </w:r>
    </w:p>
    <w:p w14:paraId="45BD7777" w14:textId="77777777" w:rsidR="00B72EFC" w:rsidRPr="00B72EFC" w:rsidRDefault="00B72EFC" w:rsidP="00592AD0">
      <w:pPr>
        <w:spacing w:after="0"/>
        <w:jc w:val="left"/>
        <w:rPr>
          <w:sz w:val="6"/>
          <w:szCs w:val="6"/>
        </w:rPr>
      </w:pPr>
    </w:p>
    <w:p w14:paraId="45BD7778" w14:textId="77777777" w:rsidR="006D0D3C" w:rsidRPr="00562211" w:rsidRDefault="006D0D3C" w:rsidP="00592AD0">
      <w:pPr>
        <w:pStyle w:val="Bullet"/>
        <w:numPr>
          <w:ilvl w:val="0"/>
          <w:numId w:val="20"/>
        </w:numPr>
        <w:jc w:val="left"/>
      </w:pPr>
      <w:r w:rsidRPr="00562211">
        <w:t>205</w:t>
      </w:r>
      <w:r w:rsidRPr="003E42CA">
        <w:t xml:space="preserve"> </w:t>
      </w:r>
      <w:r w:rsidRPr="00562211">
        <w:t xml:space="preserve">(87%) employers </w:t>
      </w:r>
      <w:r>
        <w:t xml:space="preserve">were </w:t>
      </w:r>
      <w:r w:rsidRPr="00562211">
        <w:t>compliant with all requirements</w:t>
      </w:r>
      <w:r w:rsidRPr="00562211">
        <w:tab/>
      </w:r>
    </w:p>
    <w:p w14:paraId="45BD7779" w14:textId="77777777" w:rsidR="006D0D3C" w:rsidRPr="00562211" w:rsidRDefault="006D0D3C" w:rsidP="00592AD0">
      <w:pPr>
        <w:pStyle w:val="Bullet"/>
        <w:numPr>
          <w:ilvl w:val="0"/>
          <w:numId w:val="20"/>
        </w:numPr>
        <w:jc w:val="left"/>
      </w:pPr>
      <w:r w:rsidRPr="00562211">
        <w:t xml:space="preserve">31 (13%) employers had at least one </w:t>
      </w:r>
      <w:r w:rsidR="00B8492A">
        <w:t>error</w:t>
      </w:r>
      <w:r w:rsidRPr="00562211">
        <w:t>, of which:</w:t>
      </w:r>
    </w:p>
    <w:p w14:paraId="45BD777A" w14:textId="77777777" w:rsidR="006D0D3C" w:rsidRPr="003E42CA" w:rsidRDefault="006D0D3C" w:rsidP="00592AD0">
      <w:pPr>
        <w:pStyle w:val="Bullet"/>
        <w:numPr>
          <w:ilvl w:val="0"/>
          <w:numId w:val="20"/>
        </w:numPr>
        <w:jc w:val="left"/>
      </w:pPr>
      <w:r>
        <w:t>5</w:t>
      </w:r>
      <w:r w:rsidRPr="003E42CA">
        <w:t xml:space="preserve"> had </w:t>
      </w:r>
      <w:r w:rsidR="00B8492A">
        <w:t>error</w:t>
      </w:r>
      <w:r>
        <w:t>s</w:t>
      </w:r>
      <w:r w:rsidRPr="003E42CA">
        <w:t xml:space="preserve"> relating to pay slips or record-keeping</w:t>
      </w:r>
    </w:p>
    <w:p w14:paraId="45BD777B" w14:textId="77777777" w:rsidR="006D0D3C" w:rsidRPr="003E42CA" w:rsidRDefault="006D0D3C" w:rsidP="00592AD0">
      <w:pPr>
        <w:pStyle w:val="Bullet"/>
        <w:numPr>
          <w:ilvl w:val="0"/>
          <w:numId w:val="20"/>
        </w:numPr>
        <w:jc w:val="left"/>
        <w:rPr>
          <w:rFonts w:cs="Arial"/>
        </w:rPr>
      </w:pPr>
      <w:r w:rsidRPr="003E42CA">
        <w:t xml:space="preserve">25  had </w:t>
      </w:r>
      <w:r w:rsidR="00B8492A">
        <w:t>error</w:t>
      </w:r>
      <w:r>
        <w:t>s</w:t>
      </w:r>
      <w:r w:rsidRPr="003E42CA">
        <w:t xml:space="preserve"> relating to</w:t>
      </w:r>
      <w:r>
        <w:t xml:space="preserve"> base rates of pay and shift loadings; and</w:t>
      </w:r>
    </w:p>
    <w:p w14:paraId="45BD777C" w14:textId="77777777" w:rsidR="006D0D3C" w:rsidRPr="003E42CA" w:rsidRDefault="00714E09" w:rsidP="00592AD0">
      <w:pPr>
        <w:pStyle w:val="Bullet"/>
        <w:numPr>
          <w:ilvl w:val="0"/>
          <w:numId w:val="20"/>
        </w:numPr>
        <w:jc w:val="left"/>
      </w:pPr>
      <w:r>
        <w:t>1</w:t>
      </w:r>
      <w:r w:rsidR="006D0D3C" w:rsidRPr="003E42CA">
        <w:t xml:space="preserve"> had </w:t>
      </w:r>
      <w:proofErr w:type="spellStart"/>
      <w:proofErr w:type="gramStart"/>
      <w:r w:rsidR="003D47EC">
        <w:t>a</w:t>
      </w:r>
      <w:proofErr w:type="spellEnd"/>
      <w:proofErr w:type="gramEnd"/>
      <w:r w:rsidR="003D47EC">
        <w:t xml:space="preserve"> </w:t>
      </w:r>
      <w:r w:rsidR="00B8492A">
        <w:t>error</w:t>
      </w:r>
      <w:r w:rsidR="006D0D3C" w:rsidRPr="003E42CA">
        <w:t xml:space="preserve"> relating to both</w:t>
      </w:r>
      <w:r w:rsidR="006D0D3C">
        <w:t xml:space="preserve"> pay rates and</w:t>
      </w:r>
      <w:r w:rsidR="006D0D3C" w:rsidRPr="003E42CA">
        <w:t xml:space="preserve"> pay slip</w:t>
      </w:r>
      <w:r w:rsidR="003D47EC">
        <w:t>s</w:t>
      </w:r>
      <w:r w:rsidR="006D0D3C" w:rsidRPr="003E42CA">
        <w:t xml:space="preserve"> or record</w:t>
      </w:r>
      <w:r w:rsidR="00AB7D4C">
        <w:t>-</w:t>
      </w:r>
      <w:r w:rsidR="006D0D3C" w:rsidRPr="003E42CA">
        <w:t>keeping</w:t>
      </w:r>
      <w:r w:rsidR="006D0D3C">
        <w:t>.</w:t>
      </w:r>
      <w:r w:rsidR="006D0D3C" w:rsidRPr="003E42CA">
        <w:t xml:space="preserve"> </w:t>
      </w:r>
    </w:p>
    <w:p w14:paraId="45BD777D" w14:textId="77777777" w:rsidR="00FE5EED" w:rsidRDefault="00FE5EED" w:rsidP="00592AD0">
      <w:pPr>
        <w:pStyle w:val="Bullet"/>
        <w:jc w:val="left"/>
      </w:pPr>
    </w:p>
    <w:p w14:paraId="45BD777E" w14:textId="77777777" w:rsidR="006D0D3C" w:rsidRPr="003E42CA" w:rsidRDefault="006D0D3C" w:rsidP="00592AD0">
      <w:pPr>
        <w:pStyle w:val="Bullet"/>
        <w:jc w:val="left"/>
      </w:pPr>
      <w:r w:rsidRPr="003E42CA">
        <w:lastRenderedPageBreak/>
        <w:t>This means that of the 236 businesses we assessed:</w:t>
      </w:r>
    </w:p>
    <w:p w14:paraId="45BD777F" w14:textId="77777777" w:rsidR="006D0D3C" w:rsidRDefault="006D0D3C" w:rsidP="00592AD0">
      <w:pPr>
        <w:pStyle w:val="Bullet"/>
        <w:numPr>
          <w:ilvl w:val="0"/>
          <w:numId w:val="21"/>
        </w:numPr>
        <w:jc w:val="left"/>
      </w:pPr>
      <w:r w:rsidRPr="00562211">
        <w:t xml:space="preserve">210 (89%) were paying their employees </w:t>
      </w:r>
      <w:r w:rsidR="00461B23">
        <w:t>in line with current industry practices regarding hours worked over 38 per week and commission payments</w:t>
      </w:r>
      <w:r w:rsidR="008020D9">
        <w:t>; and</w:t>
      </w:r>
    </w:p>
    <w:p w14:paraId="45BD7780" w14:textId="77777777" w:rsidR="006D0D3C" w:rsidRPr="00562211" w:rsidRDefault="006D0D3C" w:rsidP="00592AD0">
      <w:pPr>
        <w:pStyle w:val="Bullet"/>
        <w:numPr>
          <w:ilvl w:val="0"/>
          <w:numId w:val="21"/>
        </w:numPr>
        <w:jc w:val="left"/>
      </w:pPr>
      <w:r w:rsidRPr="00562211">
        <w:t>230 (97%) were compliant with record-keeping and pay slip requirements.</w:t>
      </w:r>
    </w:p>
    <w:p w14:paraId="45BD7781" w14:textId="77777777" w:rsidR="006D0D3C" w:rsidRDefault="006D0D3C" w:rsidP="00592AD0">
      <w:pPr>
        <w:jc w:val="left"/>
      </w:pPr>
      <w:r>
        <w:t>In total, w</w:t>
      </w:r>
      <w:r w:rsidRPr="00562211">
        <w:t>e recovered $42,683 from 25 employers on behalf of 32 employees.</w:t>
      </w:r>
    </w:p>
    <w:p w14:paraId="45BD7782" w14:textId="77777777" w:rsidR="009B7B3D" w:rsidRPr="003E42CA" w:rsidRDefault="009B7B3D" w:rsidP="00592AD0">
      <w:pPr>
        <w:pStyle w:val="Heading2"/>
        <w:jc w:val="left"/>
      </w:pPr>
      <w:bookmarkStart w:id="17" w:name="_Toc421872761"/>
      <w:r>
        <w:t>A</w:t>
      </w:r>
      <w:r w:rsidR="00185356">
        <w:t xml:space="preserve">ustralian </w:t>
      </w:r>
      <w:r>
        <w:t>C</w:t>
      </w:r>
      <w:r w:rsidR="00185356">
        <w:t xml:space="preserve">apital </w:t>
      </w:r>
      <w:r>
        <w:t>T</w:t>
      </w:r>
      <w:r w:rsidR="00185356">
        <w:t>erritory (ACT)</w:t>
      </w:r>
      <w:bookmarkEnd w:id="17"/>
    </w:p>
    <w:p w14:paraId="45BD7783" w14:textId="77777777" w:rsidR="009B7B3D" w:rsidRDefault="009B7B3D" w:rsidP="00592AD0">
      <w:pPr>
        <w:spacing w:after="0"/>
        <w:jc w:val="left"/>
        <w:rPr>
          <w:sz w:val="6"/>
          <w:szCs w:val="6"/>
        </w:rPr>
      </w:pPr>
      <w:r w:rsidRPr="003E42CA">
        <w:t>Of the 23 businesses assessed in the ACT we found:</w:t>
      </w:r>
    </w:p>
    <w:p w14:paraId="45BD7784" w14:textId="77777777" w:rsidR="00B72EFC" w:rsidRPr="00B72EFC" w:rsidRDefault="00B72EFC" w:rsidP="00592AD0">
      <w:pPr>
        <w:spacing w:after="0"/>
        <w:jc w:val="left"/>
        <w:rPr>
          <w:sz w:val="6"/>
          <w:szCs w:val="6"/>
        </w:rPr>
      </w:pPr>
    </w:p>
    <w:p w14:paraId="45BD7785" w14:textId="77777777" w:rsidR="009B7B3D" w:rsidRPr="00562211" w:rsidRDefault="009B7B3D" w:rsidP="00592AD0">
      <w:pPr>
        <w:pStyle w:val="Bullet"/>
        <w:numPr>
          <w:ilvl w:val="0"/>
          <w:numId w:val="22"/>
        </w:numPr>
        <w:jc w:val="left"/>
      </w:pPr>
      <w:r w:rsidRPr="00562211">
        <w:t>20</w:t>
      </w:r>
      <w:r w:rsidRPr="003E42CA">
        <w:t xml:space="preserve"> </w:t>
      </w:r>
      <w:r w:rsidRPr="00562211">
        <w:t xml:space="preserve">(87%) employers </w:t>
      </w:r>
      <w:r>
        <w:t>were</w:t>
      </w:r>
      <w:r w:rsidR="008020D9">
        <w:t xml:space="preserve"> </w:t>
      </w:r>
      <w:r w:rsidRPr="00562211">
        <w:t>compliant with all requirements</w:t>
      </w:r>
      <w:r w:rsidRPr="00562211">
        <w:tab/>
      </w:r>
    </w:p>
    <w:p w14:paraId="45BD7786" w14:textId="77777777" w:rsidR="009B7B3D" w:rsidRPr="00562211" w:rsidRDefault="00714E09" w:rsidP="00592AD0">
      <w:pPr>
        <w:pStyle w:val="Bullet"/>
        <w:numPr>
          <w:ilvl w:val="0"/>
          <w:numId w:val="22"/>
        </w:numPr>
        <w:jc w:val="left"/>
      </w:pPr>
      <w:r>
        <w:t>3</w:t>
      </w:r>
      <w:r w:rsidR="009B7B3D" w:rsidRPr="00562211">
        <w:t xml:space="preserve"> (17%) employers had at least one </w:t>
      </w:r>
      <w:r w:rsidR="00B8492A">
        <w:t>error</w:t>
      </w:r>
      <w:r w:rsidR="009B7B3D" w:rsidRPr="00562211">
        <w:t>, of which:</w:t>
      </w:r>
    </w:p>
    <w:p w14:paraId="45BD7787" w14:textId="77777777" w:rsidR="009B7B3D" w:rsidRDefault="00714E09" w:rsidP="00592AD0">
      <w:pPr>
        <w:pStyle w:val="Bullet"/>
        <w:numPr>
          <w:ilvl w:val="0"/>
          <w:numId w:val="22"/>
        </w:numPr>
        <w:jc w:val="left"/>
      </w:pPr>
      <w:r>
        <w:t>2</w:t>
      </w:r>
      <w:r w:rsidR="009B7B3D" w:rsidRPr="003E42CA">
        <w:t xml:space="preserve">  had </w:t>
      </w:r>
      <w:r w:rsidR="00B8492A">
        <w:t>error</w:t>
      </w:r>
      <w:r w:rsidR="009B7B3D">
        <w:t xml:space="preserve">s </w:t>
      </w:r>
      <w:r w:rsidR="009B7B3D" w:rsidRPr="003E42CA">
        <w:t>related to</w:t>
      </w:r>
      <w:r w:rsidR="009B7B3D">
        <w:t xml:space="preserve"> base rates of pay; and </w:t>
      </w:r>
    </w:p>
    <w:p w14:paraId="45BD7788" w14:textId="77777777" w:rsidR="009B7B3D" w:rsidRPr="003E42CA" w:rsidRDefault="00714E09" w:rsidP="00592AD0">
      <w:pPr>
        <w:pStyle w:val="Bullet"/>
        <w:numPr>
          <w:ilvl w:val="0"/>
          <w:numId w:val="22"/>
        </w:numPr>
        <w:jc w:val="left"/>
      </w:pPr>
      <w:r>
        <w:t>1</w:t>
      </w:r>
      <w:r w:rsidR="009B7B3D" w:rsidRPr="003E42CA">
        <w:t xml:space="preserve"> had </w:t>
      </w:r>
      <w:r w:rsidR="00B8492A">
        <w:t>error</w:t>
      </w:r>
      <w:r w:rsidR="009B7B3D">
        <w:t>s</w:t>
      </w:r>
      <w:r w:rsidR="009B7B3D" w:rsidRPr="003E42CA">
        <w:t xml:space="preserve"> relating to</w:t>
      </w:r>
      <w:r w:rsidR="009B7B3D">
        <w:t xml:space="preserve"> </w:t>
      </w:r>
      <w:r w:rsidR="009B7B3D" w:rsidRPr="003E42CA">
        <w:t>both</w:t>
      </w:r>
      <w:r w:rsidR="009B7B3D">
        <w:t xml:space="preserve"> base rates of pay an</w:t>
      </w:r>
      <w:r w:rsidR="009B7B3D" w:rsidRPr="003E42CA">
        <w:t>d pay slip or record keeping</w:t>
      </w:r>
      <w:r w:rsidR="009B7B3D">
        <w:t>.</w:t>
      </w:r>
      <w:r w:rsidR="009B7B3D" w:rsidRPr="003E42CA">
        <w:t xml:space="preserve"> </w:t>
      </w:r>
    </w:p>
    <w:p w14:paraId="45BD7789" w14:textId="77777777" w:rsidR="009B7B3D" w:rsidRDefault="009B7B3D" w:rsidP="00592AD0">
      <w:pPr>
        <w:spacing w:after="0"/>
        <w:jc w:val="left"/>
        <w:rPr>
          <w:sz w:val="6"/>
          <w:szCs w:val="6"/>
        </w:rPr>
      </w:pPr>
      <w:r w:rsidRPr="003E42CA">
        <w:t>This means that of the 23 businesses we assessed:</w:t>
      </w:r>
    </w:p>
    <w:p w14:paraId="45BD778A" w14:textId="77777777" w:rsidR="00B72EFC" w:rsidRPr="00B72EFC" w:rsidRDefault="00B72EFC" w:rsidP="00592AD0">
      <w:pPr>
        <w:spacing w:after="0"/>
        <w:jc w:val="left"/>
        <w:rPr>
          <w:sz w:val="6"/>
          <w:szCs w:val="6"/>
        </w:rPr>
      </w:pPr>
    </w:p>
    <w:p w14:paraId="45BD778B" w14:textId="77777777" w:rsidR="009B7B3D" w:rsidRPr="00562211" w:rsidRDefault="009B7B3D" w:rsidP="00592AD0">
      <w:pPr>
        <w:pStyle w:val="Bullet"/>
        <w:numPr>
          <w:ilvl w:val="0"/>
          <w:numId w:val="23"/>
        </w:numPr>
        <w:jc w:val="left"/>
      </w:pPr>
      <w:r w:rsidRPr="00562211">
        <w:t xml:space="preserve">20 (87%) were paying their employees </w:t>
      </w:r>
      <w:r w:rsidR="00461B23">
        <w:t>in line with current industry practices regarding hours worked over 38 per week and commission payments</w:t>
      </w:r>
      <w:r w:rsidRPr="00562211">
        <w:t xml:space="preserve"> </w:t>
      </w:r>
    </w:p>
    <w:p w14:paraId="45BD778C" w14:textId="77777777" w:rsidR="009B7B3D" w:rsidRPr="00562211" w:rsidRDefault="009B7B3D" w:rsidP="00592AD0">
      <w:pPr>
        <w:pStyle w:val="Bullet"/>
        <w:numPr>
          <w:ilvl w:val="0"/>
          <w:numId w:val="23"/>
        </w:numPr>
        <w:jc w:val="left"/>
      </w:pPr>
      <w:r w:rsidRPr="00562211">
        <w:t>22 (96%) were compliant with record</w:t>
      </w:r>
      <w:r>
        <w:t xml:space="preserve"> </w:t>
      </w:r>
      <w:r w:rsidRPr="00562211">
        <w:t>keeping and pay slip requirements.</w:t>
      </w:r>
    </w:p>
    <w:p w14:paraId="45BD778D" w14:textId="77777777" w:rsidR="009B7B3D" w:rsidRPr="003E42CA" w:rsidRDefault="008020D9" w:rsidP="00592AD0">
      <w:pPr>
        <w:spacing w:after="0"/>
        <w:jc w:val="left"/>
      </w:pPr>
      <w:r>
        <w:t xml:space="preserve">In total, we recovered </w:t>
      </w:r>
      <w:r w:rsidR="009B7B3D" w:rsidRPr="00562211">
        <w:t xml:space="preserve">$3,194 from three employers on behalf of </w:t>
      </w:r>
      <w:r w:rsidR="009B7B3D">
        <w:t>five</w:t>
      </w:r>
      <w:r w:rsidR="009B7B3D" w:rsidRPr="00562211">
        <w:t xml:space="preserve"> employees.</w:t>
      </w:r>
    </w:p>
    <w:p w14:paraId="45BD778E" w14:textId="77777777" w:rsidR="003E42CA" w:rsidRDefault="003E42CA" w:rsidP="00592AD0">
      <w:pPr>
        <w:pStyle w:val="Heading2"/>
        <w:jc w:val="left"/>
      </w:pPr>
      <w:bookmarkStart w:id="18" w:name="_Toc421872762"/>
      <w:r>
        <w:t>Queensland</w:t>
      </w:r>
      <w:bookmarkEnd w:id="18"/>
    </w:p>
    <w:p w14:paraId="45BD778F" w14:textId="77777777" w:rsidR="00B72EFC" w:rsidRDefault="003E42CA" w:rsidP="00592AD0">
      <w:pPr>
        <w:spacing w:before="120" w:after="0"/>
        <w:jc w:val="left"/>
        <w:rPr>
          <w:sz w:val="6"/>
          <w:szCs w:val="6"/>
        </w:rPr>
      </w:pPr>
      <w:r w:rsidRPr="003E42CA">
        <w:t>Of the 203 businesses assessed in Q</w:t>
      </w:r>
      <w:r w:rsidR="008020D9">
        <w:t>ueensland</w:t>
      </w:r>
      <w:r w:rsidRPr="003E42CA">
        <w:t>, we foun</w:t>
      </w:r>
      <w:r w:rsidR="00302980">
        <w:t>d</w:t>
      </w:r>
      <w:r w:rsidR="00B72EFC">
        <w:t>:</w:t>
      </w:r>
    </w:p>
    <w:p w14:paraId="45BD7790" w14:textId="77777777" w:rsidR="00B72EFC" w:rsidRPr="00B72EFC" w:rsidRDefault="00B72EFC" w:rsidP="00592AD0">
      <w:pPr>
        <w:spacing w:before="120" w:after="0"/>
        <w:jc w:val="left"/>
        <w:rPr>
          <w:sz w:val="2"/>
          <w:szCs w:val="2"/>
        </w:rPr>
      </w:pPr>
    </w:p>
    <w:p w14:paraId="45BD7791" w14:textId="77777777" w:rsidR="003E42CA" w:rsidRPr="00562211" w:rsidRDefault="003E42CA" w:rsidP="00592AD0">
      <w:pPr>
        <w:pStyle w:val="Bullet"/>
        <w:numPr>
          <w:ilvl w:val="0"/>
          <w:numId w:val="24"/>
        </w:numPr>
        <w:jc w:val="left"/>
      </w:pPr>
      <w:r w:rsidRPr="00562211">
        <w:t>199</w:t>
      </w:r>
      <w:r w:rsidRPr="003E42CA">
        <w:t xml:space="preserve"> </w:t>
      </w:r>
      <w:r w:rsidRPr="00562211">
        <w:t>(98%) employers compliant with all requirements</w:t>
      </w:r>
      <w:r w:rsidRPr="00562211">
        <w:tab/>
      </w:r>
    </w:p>
    <w:p w14:paraId="45BD7792" w14:textId="77777777" w:rsidR="003E42CA" w:rsidRPr="00562211" w:rsidRDefault="00F13226" w:rsidP="00592AD0">
      <w:pPr>
        <w:pStyle w:val="Bullet"/>
        <w:numPr>
          <w:ilvl w:val="0"/>
          <w:numId w:val="24"/>
        </w:numPr>
        <w:jc w:val="left"/>
      </w:pPr>
      <w:r>
        <w:t xml:space="preserve">4 </w:t>
      </w:r>
      <w:r w:rsidR="003E42CA" w:rsidRPr="00562211">
        <w:t>(2%) employers had at least one</w:t>
      </w:r>
      <w:r w:rsidR="008020D9">
        <w:rPr>
          <w:rFonts w:cs="Arial"/>
        </w:rPr>
        <w:t xml:space="preserve"> </w:t>
      </w:r>
      <w:r w:rsidR="00B8492A">
        <w:rPr>
          <w:rFonts w:cs="Arial"/>
        </w:rPr>
        <w:t>error</w:t>
      </w:r>
      <w:r w:rsidR="003E42CA" w:rsidRPr="00562211">
        <w:t>, of which:</w:t>
      </w:r>
    </w:p>
    <w:p w14:paraId="45BD7793" w14:textId="77777777" w:rsidR="003E42CA" w:rsidRPr="003E42CA" w:rsidRDefault="00714E09" w:rsidP="00592AD0">
      <w:pPr>
        <w:pStyle w:val="Bullet"/>
        <w:numPr>
          <w:ilvl w:val="0"/>
          <w:numId w:val="24"/>
        </w:numPr>
        <w:jc w:val="left"/>
      </w:pPr>
      <w:r>
        <w:t>1</w:t>
      </w:r>
      <w:r w:rsidR="008020D9">
        <w:t xml:space="preserve"> had </w:t>
      </w:r>
      <w:r w:rsidR="00B8492A">
        <w:t>error</w:t>
      </w:r>
      <w:r w:rsidR="008020D9">
        <w:t>s</w:t>
      </w:r>
      <w:r w:rsidR="003E42CA" w:rsidRPr="003E42CA">
        <w:t xml:space="preserve"> relating to pay slips or record keeping </w:t>
      </w:r>
    </w:p>
    <w:p w14:paraId="45BD7794" w14:textId="77777777" w:rsidR="00302980" w:rsidRPr="00302980" w:rsidRDefault="00714E09" w:rsidP="00592AD0">
      <w:pPr>
        <w:pStyle w:val="Bullet"/>
        <w:numPr>
          <w:ilvl w:val="0"/>
          <w:numId w:val="24"/>
        </w:numPr>
        <w:jc w:val="left"/>
        <w:rPr>
          <w:rFonts w:cs="Arial"/>
        </w:rPr>
      </w:pPr>
      <w:r>
        <w:t>3</w:t>
      </w:r>
      <w:r w:rsidR="003E42CA" w:rsidRPr="003E42CA">
        <w:t xml:space="preserve"> had </w:t>
      </w:r>
      <w:r w:rsidR="00B8492A">
        <w:t>error</w:t>
      </w:r>
      <w:r w:rsidR="00302980">
        <w:t>s</w:t>
      </w:r>
      <w:r w:rsidR="003E42CA" w:rsidRPr="003E42CA">
        <w:t xml:space="preserve"> relating to</w:t>
      </w:r>
      <w:r w:rsidR="00302980">
        <w:t xml:space="preserve"> base rates of pay.</w:t>
      </w:r>
    </w:p>
    <w:p w14:paraId="45BD7795" w14:textId="77777777" w:rsidR="003E42CA" w:rsidRPr="003E42CA" w:rsidRDefault="00302980" w:rsidP="00592AD0">
      <w:pPr>
        <w:pStyle w:val="Bullet"/>
        <w:jc w:val="left"/>
      </w:pPr>
      <w:r>
        <w:rPr>
          <w:szCs w:val="24"/>
        </w:rPr>
        <w:t>Th</w:t>
      </w:r>
      <w:r w:rsidR="003E42CA" w:rsidRPr="003E42CA">
        <w:t>is means that of the 203 businesses we assessed:</w:t>
      </w:r>
    </w:p>
    <w:p w14:paraId="45BD7796" w14:textId="77777777" w:rsidR="003E42CA" w:rsidRPr="00562211" w:rsidRDefault="00AB7D4C" w:rsidP="00592AD0">
      <w:pPr>
        <w:pStyle w:val="Bullet"/>
        <w:numPr>
          <w:ilvl w:val="0"/>
          <w:numId w:val="25"/>
        </w:numPr>
        <w:jc w:val="left"/>
      </w:pPr>
      <w:r>
        <w:t>200 (98.5</w:t>
      </w:r>
      <w:r w:rsidR="003E42CA" w:rsidRPr="00562211">
        <w:t xml:space="preserve">%) were paying their employees </w:t>
      </w:r>
      <w:r w:rsidR="00461B23">
        <w:t>in line with current industry practices regarding hours worked over 38 per week and commission payments</w:t>
      </w:r>
      <w:r w:rsidR="003E42CA" w:rsidRPr="00562211">
        <w:t xml:space="preserve"> </w:t>
      </w:r>
    </w:p>
    <w:p w14:paraId="45BD7797" w14:textId="77777777" w:rsidR="003E42CA" w:rsidRPr="00562211" w:rsidRDefault="003E42CA" w:rsidP="00592AD0">
      <w:pPr>
        <w:pStyle w:val="Bullet"/>
        <w:numPr>
          <w:ilvl w:val="0"/>
          <w:numId w:val="25"/>
        </w:numPr>
        <w:jc w:val="left"/>
      </w:pPr>
      <w:r w:rsidRPr="00562211">
        <w:t>202 (</w:t>
      </w:r>
      <w:r w:rsidR="00302980">
        <w:t>99%) w</w:t>
      </w:r>
      <w:r w:rsidRPr="00562211">
        <w:t>ere compliant with record</w:t>
      </w:r>
      <w:r>
        <w:t xml:space="preserve"> </w:t>
      </w:r>
      <w:r w:rsidRPr="00562211">
        <w:t>keeping and pay slip requirements.</w:t>
      </w:r>
    </w:p>
    <w:p w14:paraId="45BD7798" w14:textId="77777777" w:rsidR="00461B23" w:rsidRDefault="003E42CA" w:rsidP="00592AD0">
      <w:pPr>
        <w:spacing w:before="120" w:after="0"/>
        <w:jc w:val="left"/>
      </w:pPr>
      <w:r>
        <w:t>In total, w</w:t>
      </w:r>
      <w:r w:rsidRPr="003E42CA">
        <w:t>e recovered a total of $83,934 from two employers on behalf of 33 employees</w:t>
      </w:r>
      <w:r w:rsidR="00302980">
        <w:t xml:space="preserve"> (including </w:t>
      </w:r>
      <w:r w:rsidR="00302980">
        <w:lastRenderedPageBreak/>
        <w:t>a recovery from one employer for the sum of $81,614 on behalf of 32 employees).</w:t>
      </w:r>
    </w:p>
    <w:p w14:paraId="45BD7799" w14:textId="77777777" w:rsidR="00461B23" w:rsidRDefault="00461B23" w:rsidP="00592AD0">
      <w:pPr>
        <w:spacing w:before="120" w:after="0"/>
        <w:jc w:val="left"/>
      </w:pPr>
    </w:p>
    <w:p w14:paraId="45BD779A" w14:textId="77777777" w:rsidR="00205DBE" w:rsidRDefault="00C2298B" w:rsidP="00592AD0">
      <w:pPr>
        <w:spacing w:after="0" w:line="240" w:lineRule="auto"/>
        <w:jc w:val="left"/>
        <w:rPr>
          <w:color w:val="10C9DE"/>
          <w:sz w:val="40"/>
        </w:rPr>
      </w:pPr>
      <w:bookmarkStart w:id="19" w:name="_Toc410822210"/>
      <w:bookmarkEnd w:id="16"/>
      <w:r w:rsidRPr="00A8621D">
        <w:rPr>
          <w:color w:val="10C9DE"/>
          <w:sz w:val="40"/>
        </w:rPr>
        <w:t>Conclusion</w:t>
      </w:r>
      <w:bookmarkEnd w:id="19"/>
    </w:p>
    <w:p w14:paraId="45BD779B" w14:textId="77777777" w:rsidR="00B72EFC" w:rsidRPr="00B72EFC" w:rsidRDefault="00B72EFC" w:rsidP="00592AD0">
      <w:pPr>
        <w:spacing w:after="0" w:line="240" w:lineRule="auto"/>
        <w:jc w:val="left"/>
        <w:rPr>
          <w:sz w:val="6"/>
          <w:szCs w:val="6"/>
        </w:rPr>
      </w:pPr>
    </w:p>
    <w:p w14:paraId="45BD779C" w14:textId="77777777" w:rsidR="00A8621D" w:rsidRDefault="00A8621D" w:rsidP="00592AD0">
      <w:pPr>
        <w:spacing w:after="0" w:line="240" w:lineRule="auto"/>
        <w:jc w:val="left"/>
      </w:pPr>
    </w:p>
    <w:p w14:paraId="45BD779D" w14:textId="77777777" w:rsidR="00B942A9" w:rsidRPr="003D47EC" w:rsidRDefault="00DD43AA" w:rsidP="00592AD0">
      <w:pPr>
        <w:jc w:val="left"/>
      </w:pPr>
      <w:r>
        <w:t xml:space="preserve">This campaign disclosed differing applications of the award. The view of the industry associations regarding commission payments and hours in excess of 38 per week differs to the </w:t>
      </w:r>
      <w:proofErr w:type="spellStart"/>
      <w:r>
        <w:t>FWO’s</w:t>
      </w:r>
      <w:proofErr w:type="spellEnd"/>
      <w:r>
        <w:t xml:space="preserve"> position.</w:t>
      </w:r>
    </w:p>
    <w:p w14:paraId="45BD779E" w14:textId="77777777" w:rsidR="00014AF3" w:rsidRPr="003D47EC" w:rsidRDefault="00DD43AA" w:rsidP="00592AD0">
      <w:pPr>
        <w:pStyle w:val="Bullet"/>
        <w:jc w:val="left"/>
      </w:pPr>
      <w:proofErr w:type="gramStart"/>
      <w:r>
        <w:t>At present submissions</w:t>
      </w:r>
      <w:r w:rsidR="00185356" w:rsidRPr="003D47EC">
        <w:t xml:space="preserve"> </w:t>
      </w:r>
      <w:r>
        <w:t xml:space="preserve">on these issues have been made </w:t>
      </w:r>
      <w:r w:rsidR="00185356" w:rsidRPr="003D47EC">
        <w:t>as part of the Modern Award Review process</w:t>
      </w:r>
      <w:r w:rsidR="00083444">
        <w:t>,</w:t>
      </w:r>
      <w:r w:rsidR="00185356" w:rsidRPr="003D47EC">
        <w:t xml:space="preserve"> currently being conduc</w:t>
      </w:r>
      <w:r w:rsidR="002B7691">
        <w:t>t</w:t>
      </w:r>
      <w:r w:rsidR="00A8621D">
        <w:t>ed by the Fair Work Commission.</w:t>
      </w:r>
      <w:proofErr w:type="gramEnd"/>
    </w:p>
    <w:p w14:paraId="45BD779F" w14:textId="77777777" w:rsidR="00185356" w:rsidRPr="003D47EC" w:rsidRDefault="00014AF3" w:rsidP="00592AD0">
      <w:pPr>
        <w:pStyle w:val="Bullet"/>
        <w:jc w:val="left"/>
      </w:pPr>
      <w:r w:rsidRPr="003D47EC">
        <w:t xml:space="preserve">On clarification of these award provisions, we will liaise further with key industry stakeholders </w:t>
      </w:r>
      <w:r w:rsidR="00A8621D">
        <w:t>on this issue</w:t>
      </w:r>
      <w:r w:rsidR="00DD43AA">
        <w:t xml:space="preserve"> and consider education activities with employers. </w:t>
      </w:r>
    </w:p>
    <w:p w14:paraId="45BD77A0" w14:textId="77777777" w:rsidR="009629F3" w:rsidRPr="009629F3" w:rsidRDefault="009629F3" w:rsidP="00592AD0">
      <w:pPr>
        <w:pStyle w:val="Heading1"/>
        <w:jc w:val="left"/>
        <w:rPr>
          <w:lang w:eastAsia="en-AU"/>
        </w:rPr>
      </w:pPr>
      <w:bookmarkStart w:id="20" w:name="_Toc354148740"/>
      <w:bookmarkStart w:id="21" w:name="_Toc410822211"/>
      <w:bookmarkStart w:id="22" w:name="_Toc421872763"/>
      <w:r w:rsidRPr="009629F3">
        <w:rPr>
          <w:lang w:eastAsia="en-AU"/>
        </w:rPr>
        <w:t>About the Fair Work Ombudsman</w:t>
      </w:r>
      <w:bookmarkEnd w:id="20"/>
      <w:bookmarkEnd w:id="21"/>
      <w:bookmarkEnd w:id="22"/>
    </w:p>
    <w:p w14:paraId="45BD77A1" w14:textId="77777777" w:rsidR="004B2104" w:rsidRPr="004B2104" w:rsidRDefault="004B2104" w:rsidP="00592AD0">
      <w:pPr>
        <w:jc w:val="left"/>
        <w:rPr>
          <w:lang w:eastAsia="en-AU"/>
        </w:rPr>
      </w:pPr>
      <w:r w:rsidRPr="004B2104">
        <w:rPr>
          <w:lang w:eastAsia="en-AU"/>
        </w:rPr>
        <w:t>The Fair Work Ombudsman is an independent agency created by t</w:t>
      </w:r>
      <w:r w:rsidR="000651CE">
        <w:rPr>
          <w:lang w:eastAsia="en-AU"/>
        </w:rPr>
        <w:t xml:space="preserve">he </w:t>
      </w:r>
      <w:r w:rsidR="000651CE" w:rsidRPr="00AB7D4C">
        <w:rPr>
          <w:i/>
          <w:lang w:eastAsia="en-AU"/>
        </w:rPr>
        <w:t>Fair Work Act 2009</w:t>
      </w:r>
      <w:r w:rsidR="000651CE">
        <w:rPr>
          <w:lang w:eastAsia="en-AU"/>
        </w:rPr>
        <w:t xml:space="preserve"> on 1 July </w:t>
      </w:r>
      <w:r w:rsidRPr="004B2104">
        <w:rPr>
          <w:lang w:eastAsia="en-AU"/>
        </w:rPr>
        <w:t xml:space="preserve">2009. Our </w:t>
      </w:r>
      <w:r w:rsidR="00C21864">
        <w:rPr>
          <w:lang w:eastAsia="en-AU"/>
        </w:rPr>
        <w:t xml:space="preserve">main role </w:t>
      </w:r>
      <w:r w:rsidRPr="004B2104">
        <w:rPr>
          <w:lang w:eastAsia="en-AU"/>
        </w:rPr>
        <w:t>is to</w:t>
      </w:r>
      <w:r w:rsidR="00C21864">
        <w:rPr>
          <w:lang w:eastAsia="en-AU"/>
        </w:rPr>
        <w:t xml:space="preserve"> promote harmonious, productive and cooperative workplace relations</w:t>
      </w:r>
      <w:r w:rsidRPr="004B2104">
        <w:rPr>
          <w:lang w:eastAsia="en-AU"/>
        </w:rPr>
        <w:t>.</w:t>
      </w:r>
    </w:p>
    <w:p w14:paraId="45BD77A2" w14:textId="77777777" w:rsidR="00C21864" w:rsidRDefault="00C21864" w:rsidP="00592AD0">
      <w:pPr>
        <w:pStyle w:val="Bullet"/>
        <w:jc w:val="left"/>
      </w:pPr>
      <w:r>
        <w:t xml:space="preserve">Each year the Fair Work Ombudsman (FWO) runs proactive campaigns to assist employers and employees understand their rights and obligations under Commonwealth workplace relations laws. </w:t>
      </w:r>
    </w:p>
    <w:p w14:paraId="45BD77A3" w14:textId="77777777" w:rsidR="00C21864" w:rsidRDefault="00C21864" w:rsidP="00592AD0">
      <w:pPr>
        <w:jc w:val="left"/>
      </w:pPr>
      <w:r>
        <w:t>These campaigns can focus on particular industries, regions and/or labour market issues and are conducted on a national and state level.</w:t>
      </w:r>
    </w:p>
    <w:p w14:paraId="45BD77A4" w14:textId="77777777" w:rsidR="004B2104" w:rsidRPr="004B2104" w:rsidRDefault="004B2104" w:rsidP="00592AD0">
      <w:pPr>
        <w:jc w:val="left"/>
        <w:rPr>
          <w:lang w:eastAsia="en-AU"/>
        </w:rPr>
      </w:pPr>
      <w:r w:rsidRPr="004B2104">
        <w:rPr>
          <w:lang w:eastAsia="en-AU"/>
        </w:rPr>
        <w:t xml:space="preserve">This report covers the background, method and findings of the </w:t>
      </w:r>
      <w:r w:rsidR="000651CE">
        <w:rPr>
          <w:lang w:eastAsia="en-AU"/>
        </w:rPr>
        <w:t>Motor Vehicle Retailing Campaign 2013</w:t>
      </w:r>
      <w:r w:rsidRPr="004B2104">
        <w:rPr>
          <w:lang w:eastAsia="en-AU"/>
        </w:rPr>
        <w:t>. For further information and media enquiries please contact the media team at</w:t>
      </w:r>
      <w:r w:rsidR="00AB7D4C">
        <w:rPr>
          <w:lang w:eastAsia="en-AU"/>
        </w:rPr>
        <w:t xml:space="preserve"> </w:t>
      </w:r>
      <w:hyperlink r:id="rId20" w:history="1">
        <w:r w:rsidR="00AB7D4C" w:rsidRPr="00B154EA">
          <w:rPr>
            <w:rStyle w:val="Hyperlink"/>
            <w:rFonts w:ascii="Helvetica" w:hAnsi="Helvetica" w:cs="Arial"/>
            <w:lang w:eastAsia="en-AU"/>
          </w:rPr>
          <w:t>media@fwo.gov.au</w:t>
        </w:r>
      </w:hyperlink>
      <w:r>
        <w:rPr>
          <w:lang w:eastAsia="en-AU"/>
        </w:rPr>
        <w:t xml:space="preserve"> </w:t>
      </w:r>
      <w:r w:rsidRPr="004B2104">
        <w:rPr>
          <w:lang w:eastAsia="en-AU"/>
        </w:rPr>
        <w:t xml:space="preserve"> </w:t>
      </w:r>
    </w:p>
    <w:p w14:paraId="45BD77A5" w14:textId="77777777" w:rsidR="00CF3B06" w:rsidRPr="00CF3B06" w:rsidRDefault="004B2104" w:rsidP="00592AD0">
      <w:pPr>
        <w:jc w:val="left"/>
        <w:rPr>
          <w:lang w:eastAsia="en-AU"/>
        </w:rPr>
      </w:pPr>
      <w:r w:rsidRPr="004B2104">
        <w:rPr>
          <w:lang w:eastAsia="en-AU"/>
        </w:rPr>
        <w:t xml:space="preserve">If you would like further information about the Fair Work Ombudsman’s campaigns please contact Lynda </w:t>
      </w:r>
      <w:proofErr w:type="spellStart"/>
      <w:r w:rsidRPr="004B2104">
        <w:rPr>
          <w:lang w:eastAsia="en-AU"/>
        </w:rPr>
        <w:t>McAlary</w:t>
      </w:r>
      <w:proofErr w:type="spellEnd"/>
      <w:r w:rsidRPr="004B2104">
        <w:rPr>
          <w:lang w:eastAsia="en-AU"/>
        </w:rPr>
        <w:t>-Smith, Executive Director - Proactive Compliance and Education</w:t>
      </w:r>
      <w:r>
        <w:rPr>
          <w:lang w:eastAsia="en-AU"/>
        </w:rPr>
        <w:t xml:space="preserve"> at</w:t>
      </w:r>
      <w:r w:rsidRPr="004B2104">
        <w:rPr>
          <w:lang w:eastAsia="en-AU"/>
        </w:rPr>
        <w:t xml:space="preserve"> </w:t>
      </w:r>
      <w:hyperlink r:id="rId21" w:history="1">
        <w:r w:rsidRPr="00AB7D4C">
          <w:rPr>
            <w:rStyle w:val="Hyperlink"/>
            <w:rFonts w:ascii="Helvetica" w:hAnsi="Helvetica" w:cstheme="minorHAnsi"/>
            <w:szCs w:val="22"/>
            <w:lang w:eastAsia="en-AU"/>
          </w:rPr>
          <w:t>Lynda.McAlary-Smith@fwo.gov.au</w:t>
        </w:r>
      </w:hyperlink>
      <w:r w:rsidRPr="00AB7D4C">
        <w:rPr>
          <w:rFonts w:cstheme="minorHAnsi"/>
          <w:lang w:eastAsia="en-AU"/>
        </w:rPr>
        <w:t xml:space="preserve"> </w:t>
      </w:r>
    </w:p>
    <w:sectPr w:rsidR="00CF3B06" w:rsidRPr="00CF3B06" w:rsidSect="00D42D45">
      <w:type w:val="continuous"/>
      <w:pgSz w:w="11907" w:h="16840" w:code="9"/>
      <w:pgMar w:top="1276" w:right="992" w:bottom="1440" w:left="1276" w:header="0" w:footer="0" w:gutter="0"/>
      <w:pgNumType w:start="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D77AC" w14:textId="77777777" w:rsidR="00807885" w:rsidRDefault="00807885" w:rsidP="00AB27F9">
      <w:r>
        <w:separator/>
      </w:r>
    </w:p>
  </w:endnote>
  <w:endnote w:type="continuationSeparator" w:id="0">
    <w:p w14:paraId="45BD77AD" w14:textId="77777777" w:rsidR="00807885" w:rsidRDefault="00807885" w:rsidP="00AB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air Work">
    <w:altName w:val="Times New Roman"/>
    <w:panose1 w:val="00000000000000000000"/>
    <w:charset w:val="00"/>
    <w:family w:val="roman"/>
    <w:notTrueType/>
    <w:pitch w:val="variable"/>
    <w:sig w:usb0="00000001" w:usb1="5000204A" w:usb2="00000000" w:usb3="00000000" w:csb0="00000009" w:csb1="00000000"/>
  </w:font>
  <w:font w:name="Myriad Pro Light">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D77AF" w14:textId="77777777" w:rsidR="006E34AE" w:rsidRDefault="006E34AE" w:rsidP="00AB27F9">
    <w:r>
      <w:fldChar w:fldCharType="begin"/>
    </w:r>
    <w:r>
      <w:instrText xml:space="preserve">PAGE  </w:instrText>
    </w:r>
    <w:r>
      <w:fldChar w:fldCharType="separate"/>
    </w:r>
    <w:r>
      <w:rPr>
        <w:noProof/>
      </w:rPr>
      <w:t>2</w:t>
    </w:r>
    <w:r>
      <w:fldChar w:fldCharType="end"/>
    </w:r>
  </w:p>
  <w:p w14:paraId="45BD77B0" w14:textId="77777777" w:rsidR="006E34AE" w:rsidRDefault="006E34AE" w:rsidP="00AB27F9"/>
  <w:p w14:paraId="45BD77B1" w14:textId="77777777" w:rsidR="00AC229B" w:rsidRDefault="00AC229B"/>
  <w:p w14:paraId="45BD77B2" w14:textId="77777777" w:rsidR="00AC229B" w:rsidRDefault="00AC229B"/>
  <w:p w14:paraId="45BD77B3" w14:textId="77777777" w:rsidR="00AC229B" w:rsidRDefault="00AC22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D77B4" w14:textId="77777777" w:rsidR="00C2298B" w:rsidRPr="0045600E" w:rsidRDefault="0045600E">
    <w:pPr>
      <w:pStyle w:val="Footer"/>
      <w:jc w:val="right"/>
      <w:rPr>
        <w:color w:val="FFFFFF" w:themeColor="background1"/>
      </w:rPr>
    </w:pPr>
    <w:r w:rsidRPr="0045600E">
      <w:rPr>
        <w:noProof/>
        <w:color w:val="FFFFFF" w:themeColor="background1"/>
        <w:sz w:val="18"/>
        <w:szCs w:val="18"/>
        <w:lang w:eastAsia="en-AU"/>
      </w:rPr>
      <w:drawing>
        <wp:anchor distT="0" distB="0" distL="114300" distR="114300" simplePos="0" relativeHeight="251658240" behindDoc="1" locked="0" layoutInCell="1" allowOverlap="1" wp14:anchorId="45BD77B7" wp14:editId="45BD77B8">
          <wp:simplePos x="0" y="0"/>
          <wp:positionH relativeFrom="column">
            <wp:posOffset>-441770</wp:posOffset>
          </wp:positionH>
          <wp:positionV relativeFrom="paragraph">
            <wp:posOffset>-292299</wp:posOffset>
          </wp:positionV>
          <wp:extent cx="7500594" cy="1005840"/>
          <wp:effectExtent l="0" t="0" r="5715" b="3810"/>
          <wp:wrapTopAndBottom/>
          <wp:docPr id="7" name="Picture 7"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500594" cy="1005840"/>
                  </a:xfrm>
                  <a:prstGeom prst="rect">
                    <a:avLst/>
                  </a:prstGeom>
                </pic:spPr>
              </pic:pic>
            </a:graphicData>
          </a:graphic>
          <wp14:sizeRelH relativeFrom="margin">
            <wp14:pctWidth>0</wp14:pctWidth>
          </wp14:sizeRelH>
          <wp14:sizeRelV relativeFrom="margin">
            <wp14:pctHeight>0</wp14:pctHeight>
          </wp14:sizeRelV>
        </wp:anchor>
      </w:drawing>
    </w:r>
    <w:r w:rsidR="00083444">
      <w:rPr>
        <w:color w:val="FFFFFF" w:themeColor="background1"/>
        <w:sz w:val="18"/>
        <w:szCs w:val="18"/>
        <w:lang w:val="en-US"/>
      </w:rPr>
      <w:t>Motor Vehicle Retailing</w:t>
    </w:r>
    <w:r w:rsidR="00C2298B" w:rsidRPr="0045600E">
      <w:rPr>
        <w:color w:val="FFFFFF" w:themeColor="background1"/>
        <w:sz w:val="18"/>
        <w:szCs w:val="18"/>
        <w:lang w:val="en-US"/>
      </w:rPr>
      <w:t xml:space="preserve"> Campaign Report</w:t>
    </w:r>
    <w:r w:rsidR="00C2298B" w:rsidRPr="0045600E">
      <w:rPr>
        <w:color w:val="FFFFFF" w:themeColor="background1"/>
        <w:sz w:val="18"/>
        <w:szCs w:val="18"/>
      </w:rPr>
      <w:tab/>
    </w:r>
    <w:sdt>
      <w:sdtPr>
        <w:rPr>
          <w:color w:val="FFFFFF" w:themeColor="background1"/>
        </w:rPr>
        <w:id w:val="-1505813797"/>
        <w:docPartObj>
          <w:docPartGallery w:val="Page Numbers (Bottom of Page)"/>
          <w:docPartUnique/>
        </w:docPartObj>
      </w:sdtPr>
      <w:sdtEndPr>
        <w:rPr>
          <w:noProof/>
        </w:rPr>
      </w:sdtEndPr>
      <w:sdtContent>
        <w:r w:rsidR="00C2298B" w:rsidRPr="0045600E">
          <w:rPr>
            <w:color w:val="FFFFFF" w:themeColor="background1"/>
            <w:sz w:val="20"/>
            <w:szCs w:val="20"/>
          </w:rPr>
          <w:fldChar w:fldCharType="begin"/>
        </w:r>
        <w:r w:rsidR="00C2298B" w:rsidRPr="0045600E">
          <w:rPr>
            <w:color w:val="FFFFFF" w:themeColor="background1"/>
            <w:sz w:val="20"/>
            <w:szCs w:val="20"/>
          </w:rPr>
          <w:instrText xml:space="preserve"> PAGE   \* MERGEFORMAT </w:instrText>
        </w:r>
        <w:r w:rsidR="00C2298B" w:rsidRPr="0045600E">
          <w:rPr>
            <w:color w:val="FFFFFF" w:themeColor="background1"/>
            <w:sz w:val="20"/>
            <w:szCs w:val="20"/>
          </w:rPr>
          <w:fldChar w:fldCharType="separate"/>
        </w:r>
        <w:r w:rsidR="00953193">
          <w:rPr>
            <w:noProof/>
            <w:color w:val="FFFFFF" w:themeColor="background1"/>
            <w:sz w:val="20"/>
            <w:szCs w:val="20"/>
          </w:rPr>
          <w:t>2</w:t>
        </w:r>
        <w:r w:rsidR="00C2298B" w:rsidRPr="0045600E">
          <w:rPr>
            <w:noProof/>
            <w:color w:val="FFFFFF" w:themeColor="background1"/>
            <w:sz w:val="20"/>
            <w:szCs w:val="20"/>
          </w:rPr>
          <w:fldChar w:fldCharType="end"/>
        </w:r>
      </w:sdtContent>
    </w:sdt>
  </w:p>
  <w:p w14:paraId="45BD77B5" w14:textId="77777777" w:rsidR="00AC229B" w:rsidRDefault="00AC229B" w:rsidP="004B2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D77AA" w14:textId="77777777" w:rsidR="00807885" w:rsidRDefault="00807885" w:rsidP="00AB27F9">
      <w:r>
        <w:separator/>
      </w:r>
    </w:p>
  </w:footnote>
  <w:footnote w:type="continuationSeparator" w:id="0">
    <w:p w14:paraId="45BD77AB" w14:textId="77777777" w:rsidR="00807885" w:rsidRDefault="00807885" w:rsidP="00AB27F9">
      <w:r>
        <w:continuationSeparator/>
      </w:r>
    </w:p>
  </w:footnote>
  <w:footnote w:id="1">
    <w:p w14:paraId="45BD77BB" w14:textId="77777777" w:rsidR="003D47EC" w:rsidRDefault="003D47EC" w:rsidP="003D47EC">
      <w:pPr>
        <w:pStyle w:val="FootnoteText"/>
      </w:pPr>
      <w:r>
        <w:rPr>
          <w:rStyle w:val="FootnoteReference"/>
        </w:rPr>
        <w:footnoteRef/>
      </w:r>
      <w:r>
        <w:t xml:space="preserve"> </w:t>
      </w:r>
      <w:r w:rsidRPr="006D0D3C">
        <w:rPr>
          <w:sz w:val="18"/>
        </w:rPr>
        <w:t xml:space="preserve">Ibis World – </w:t>
      </w:r>
      <w:hyperlink r:id="rId1" w:history="1">
        <w:r w:rsidRPr="006D0D3C">
          <w:rPr>
            <w:rStyle w:val="Hyperlink"/>
            <w:rFonts w:ascii="Helvetica" w:hAnsi="Helvetica" w:cs="Arial"/>
            <w:sz w:val="18"/>
          </w:rPr>
          <w:t>Motor Vehicle Dealers in Australia: Market Research Report</w:t>
        </w:r>
      </w:hyperlink>
      <w:r w:rsidRPr="006D0D3C">
        <w:rPr>
          <w:sz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D77AE" w14:textId="77777777" w:rsidR="00AC229B" w:rsidRDefault="00AC229B" w:rsidP="00A8621D">
    <w:pPr>
      <w:spacing w:before="100" w:beforeAutospacing="1" w:after="100" w:afterAutospacing="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D77B6" w14:textId="77777777" w:rsidR="006E34AE" w:rsidRPr="003952ED" w:rsidRDefault="006E34AE" w:rsidP="00AB27F9">
    <w:pPr>
      <w:rPr>
        <w:u w:val="single"/>
      </w:rPr>
    </w:pPr>
    <w:r w:rsidRPr="003952ED">
      <w:rPr>
        <w:noProof/>
        <w:u w:val="single"/>
        <w:lang w:eastAsia="en-AU"/>
      </w:rPr>
      <w:drawing>
        <wp:anchor distT="0" distB="0" distL="114300" distR="114300" simplePos="0" relativeHeight="251656192" behindDoc="1" locked="0" layoutInCell="1" allowOverlap="1" wp14:anchorId="45BD77B9" wp14:editId="45BD77BA">
          <wp:simplePos x="0" y="0"/>
          <wp:positionH relativeFrom="column">
            <wp:posOffset>-833755</wp:posOffset>
          </wp:positionH>
          <wp:positionV relativeFrom="paragraph">
            <wp:posOffset>2042605</wp:posOffset>
          </wp:positionV>
          <wp:extent cx="7592060" cy="8418614"/>
          <wp:effectExtent l="0" t="0" r="8890" b="1905"/>
          <wp:wrapNone/>
          <wp:docPr id="8" name="Picture 32"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84186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rPr>
        <w:rFonts w:cs="Times New Roman"/>
      </w:rPr>
    </w:lvl>
  </w:abstractNum>
  <w:abstractNum w:abstractNumId="1">
    <w:nsid w:val="11680594"/>
    <w:multiLevelType w:val="hybridMultilevel"/>
    <w:tmpl w:val="63C25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083344"/>
    <w:multiLevelType w:val="hybridMultilevel"/>
    <w:tmpl w:val="0B9A8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BD0C0E"/>
    <w:multiLevelType w:val="hybridMultilevel"/>
    <w:tmpl w:val="5B7CF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5">
    <w:nsid w:val="2E1C22E2"/>
    <w:multiLevelType w:val="hybridMultilevel"/>
    <w:tmpl w:val="F59CF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D976D0"/>
    <w:multiLevelType w:val="hybridMultilevel"/>
    <w:tmpl w:val="B694C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716465"/>
    <w:multiLevelType w:val="hybridMultilevel"/>
    <w:tmpl w:val="74823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8FF48D4"/>
    <w:multiLevelType w:val="hybridMultilevel"/>
    <w:tmpl w:val="3BF0A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950743"/>
    <w:multiLevelType w:val="hybridMultilevel"/>
    <w:tmpl w:val="5726B138"/>
    <w:lvl w:ilvl="0" w:tplc="5EDECCEC">
      <w:start w:val="1"/>
      <w:numFmt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69B62A5"/>
    <w:multiLevelType w:val="hybridMultilevel"/>
    <w:tmpl w:val="498A8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740310D"/>
    <w:multiLevelType w:val="hybridMultilevel"/>
    <w:tmpl w:val="075CB3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E666556"/>
    <w:multiLevelType w:val="hybridMultilevel"/>
    <w:tmpl w:val="DD9C2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B023519"/>
    <w:multiLevelType w:val="hybridMultilevel"/>
    <w:tmpl w:val="0646091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5B726A5A"/>
    <w:multiLevelType w:val="hybridMultilevel"/>
    <w:tmpl w:val="7C4C1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FEC24A5"/>
    <w:multiLevelType w:val="hybridMultilevel"/>
    <w:tmpl w:val="347A9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7">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BCE1144"/>
    <w:multiLevelType w:val="hybridMultilevel"/>
    <w:tmpl w:val="3722768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72D5752"/>
    <w:multiLevelType w:val="hybridMultilevel"/>
    <w:tmpl w:val="5B506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4"/>
  </w:num>
  <w:num w:numId="4">
    <w:abstractNumId w:val="16"/>
  </w:num>
  <w:num w:numId="5">
    <w:abstractNumId w:val="17"/>
  </w:num>
  <w:num w:numId="6">
    <w:abstractNumId w:val="9"/>
  </w:num>
  <w:num w:numId="7">
    <w:abstractNumId w:val="13"/>
  </w:num>
  <w:num w:numId="8">
    <w:abstractNumId w:val="18"/>
  </w:num>
  <w:num w:numId="9">
    <w:abstractNumId w:val="9"/>
  </w:num>
  <w:num w:numId="10">
    <w:abstractNumId w:val="9"/>
  </w:num>
  <w:num w:numId="11">
    <w:abstractNumId w:val="9"/>
  </w:num>
  <w:num w:numId="12">
    <w:abstractNumId w:val="9"/>
  </w:num>
  <w:num w:numId="13">
    <w:abstractNumId w:val="9"/>
  </w:num>
  <w:num w:numId="14">
    <w:abstractNumId w:val="7"/>
  </w:num>
  <w:num w:numId="15">
    <w:abstractNumId w:val="1"/>
  </w:num>
  <w:num w:numId="16">
    <w:abstractNumId w:val="3"/>
  </w:num>
  <w:num w:numId="17">
    <w:abstractNumId w:val="11"/>
  </w:num>
  <w:num w:numId="18">
    <w:abstractNumId w:val="8"/>
  </w:num>
  <w:num w:numId="19">
    <w:abstractNumId w:val="12"/>
  </w:num>
  <w:num w:numId="20">
    <w:abstractNumId w:val="10"/>
  </w:num>
  <w:num w:numId="21">
    <w:abstractNumId w:val="15"/>
  </w:num>
  <w:num w:numId="22">
    <w:abstractNumId w:val="20"/>
  </w:num>
  <w:num w:numId="23">
    <w:abstractNumId w:val="14"/>
  </w:num>
  <w:num w:numId="24">
    <w:abstractNumId w:val="5"/>
  </w:num>
  <w:num w:numId="25">
    <w:abstractNumId w:val="6"/>
  </w:num>
  <w:num w:numId="2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63"/>
    <w:rsid w:val="0000366A"/>
    <w:rsid w:val="00003FF8"/>
    <w:rsid w:val="00006D48"/>
    <w:rsid w:val="00014AF3"/>
    <w:rsid w:val="00020ED9"/>
    <w:rsid w:val="00043D63"/>
    <w:rsid w:val="00044A07"/>
    <w:rsid w:val="00057AE4"/>
    <w:rsid w:val="00064562"/>
    <w:rsid w:val="000651CE"/>
    <w:rsid w:val="000652ED"/>
    <w:rsid w:val="00067031"/>
    <w:rsid w:val="00070178"/>
    <w:rsid w:val="00083444"/>
    <w:rsid w:val="00090047"/>
    <w:rsid w:val="000930BF"/>
    <w:rsid w:val="0009727F"/>
    <w:rsid w:val="000A5AE6"/>
    <w:rsid w:val="000A5FE4"/>
    <w:rsid w:val="000B04DA"/>
    <w:rsid w:val="000C1DF4"/>
    <w:rsid w:val="000C359C"/>
    <w:rsid w:val="000C409A"/>
    <w:rsid w:val="000C63F1"/>
    <w:rsid w:val="000C6A5F"/>
    <w:rsid w:val="000D29E1"/>
    <w:rsid w:val="000E08E4"/>
    <w:rsid w:val="000E2601"/>
    <w:rsid w:val="000E362E"/>
    <w:rsid w:val="000E37AC"/>
    <w:rsid w:val="000F0FBA"/>
    <w:rsid w:val="000F2720"/>
    <w:rsid w:val="000F4B5B"/>
    <w:rsid w:val="001014A0"/>
    <w:rsid w:val="00105CEF"/>
    <w:rsid w:val="00106B77"/>
    <w:rsid w:val="00111949"/>
    <w:rsid w:val="00125A38"/>
    <w:rsid w:val="00127C72"/>
    <w:rsid w:val="00133B21"/>
    <w:rsid w:val="0013580F"/>
    <w:rsid w:val="0014113D"/>
    <w:rsid w:val="00142043"/>
    <w:rsid w:val="001506E4"/>
    <w:rsid w:val="001516B2"/>
    <w:rsid w:val="001607FB"/>
    <w:rsid w:val="0016101D"/>
    <w:rsid w:val="0016465A"/>
    <w:rsid w:val="001676B6"/>
    <w:rsid w:val="00181475"/>
    <w:rsid w:val="001850B4"/>
    <w:rsid w:val="00185356"/>
    <w:rsid w:val="00190392"/>
    <w:rsid w:val="0019080C"/>
    <w:rsid w:val="00194A0D"/>
    <w:rsid w:val="001A4525"/>
    <w:rsid w:val="001B2781"/>
    <w:rsid w:val="001B2A68"/>
    <w:rsid w:val="001D6D36"/>
    <w:rsid w:val="001D75B0"/>
    <w:rsid w:val="001E47B4"/>
    <w:rsid w:val="001E6512"/>
    <w:rsid w:val="001F20C3"/>
    <w:rsid w:val="001F3149"/>
    <w:rsid w:val="001F3169"/>
    <w:rsid w:val="001F3B8D"/>
    <w:rsid w:val="00202975"/>
    <w:rsid w:val="00202E5C"/>
    <w:rsid w:val="00205DBE"/>
    <w:rsid w:val="00214011"/>
    <w:rsid w:val="00237A85"/>
    <w:rsid w:val="00244EEE"/>
    <w:rsid w:val="002450DA"/>
    <w:rsid w:val="00252709"/>
    <w:rsid w:val="002533F0"/>
    <w:rsid w:val="0025534A"/>
    <w:rsid w:val="00274039"/>
    <w:rsid w:val="00274AEF"/>
    <w:rsid w:val="0028208F"/>
    <w:rsid w:val="00292AAB"/>
    <w:rsid w:val="002958C4"/>
    <w:rsid w:val="002A3A4B"/>
    <w:rsid w:val="002A4276"/>
    <w:rsid w:val="002B5FAD"/>
    <w:rsid w:val="002B621B"/>
    <w:rsid w:val="002B7691"/>
    <w:rsid w:val="002C4986"/>
    <w:rsid w:val="002C769D"/>
    <w:rsid w:val="002D4156"/>
    <w:rsid w:val="002D7B33"/>
    <w:rsid w:val="002E23E2"/>
    <w:rsid w:val="002E6E0C"/>
    <w:rsid w:val="002F0DF6"/>
    <w:rsid w:val="002F61D0"/>
    <w:rsid w:val="00302980"/>
    <w:rsid w:val="00315AB8"/>
    <w:rsid w:val="0032006D"/>
    <w:rsid w:val="003215C7"/>
    <w:rsid w:val="00330F14"/>
    <w:rsid w:val="00332317"/>
    <w:rsid w:val="0033684C"/>
    <w:rsid w:val="00340E0D"/>
    <w:rsid w:val="00341A80"/>
    <w:rsid w:val="0034403B"/>
    <w:rsid w:val="00345AD1"/>
    <w:rsid w:val="00357D51"/>
    <w:rsid w:val="00363634"/>
    <w:rsid w:val="00371258"/>
    <w:rsid w:val="003749B1"/>
    <w:rsid w:val="00374EF9"/>
    <w:rsid w:val="0038439E"/>
    <w:rsid w:val="003861B5"/>
    <w:rsid w:val="003952ED"/>
    <w:rsid w:val="003A2061"/>
    <w:rsid w:val="003B121D"/>
    <w:rsid w:val="003B25F9"/>
    <w:rsid w:val="003B2808"/>
    <w:rsid w:val="003B35B1"/>
    <w:rsid w:val="003B62FE"/>
    <w:rsid w:val="003C6D5B"/>
    <w:rsid w:val="003D18E2"/>
    <w:rsid w:val="003D2933"/>
    <w:rsid w:val="003D47EC"/>
    <w:rsid w:val="003E0FDA"/>
    <w:rsid w:val="003E2FB5"/>
    <w:rsid w:val="003E42CA"/>
    <w:rsid w:val="00400743"/>
    <w:rsid w:val="0040294F"/>
    <w:rsid w:val="00403015"/>
    <w:rsid w:val="004033BF"/>
    <w:rsid w:val="004044C1"/>
    <w:rsid w:val="004046AC"/>
    <w:rsid w:val="0040543F"/>
    <w:rsid w:val="00405844"/>
    <w:rsid w:val="00410018"/>
    <w:rsid w:val="004171B5"/>
    <w:rsid w:val="00433812"/>
    <w:rsid w:val="00436CD6"/>
    <w:rsid w:val="00451CB0"/>
    <w:rsid w:val="0045285F"/>
    <w:rsid w:val="0045600E"/>
    <w:rsid w:val="00461B23"/>
    <w:rsid w:val="00463F3A"/>
    <w:rsid w:val="004650C3"/>
    <w:rsid w:val="00467B47"/>
    <w:rsid w:val="00475F07"/>
    <w:rsid w:val="004947D1"/>
    <w:rsid w:val="00494BAC"/>
    <w:rsid w:val="00495DA8"/>
    <w:rsid w:val="00497F76"/>
    <w:rsid w:val="004A29A2"/>
    <w:rsid w:val="004B2104"/>
    <w:rsid w:val="004B22F3"/>
    <w:rsid w:val="004C0B58"/>
    <w:rsid w:val="004C1B24"/>
    <w:rsid w:val="004C33F0"/>
    <w:rsid w:val="004C6B22"/>
    <w:rsid w:val="004D111F"/>
    <w:rsid w:val="004E2431"/>
    <w:rsid w:val="004E3470"/>
    <w:rsid w:val="004E36F6"/>
    <w:rsid w:val="004E7102"/>
    <w:rsid w:val="004E7C5C"/>
    <w:rsid w:val="004F15FA"/>
    <w:rsid w:val="004F1D87"/>
    <w:rsid w:val="004F3284"/>
    <w:rsid w:val="004F4518"/>
    <w:rsid w:val="00501D43"/>
    <w:rsid w:val="00502485"/>
    <w:rsid w:val="00503E04"/>
    <w:rsid w:val="005101F2"/>
    <w:rsid w:val="005103EE"/>
    <w:rsid w:val="00512B40"/>
    <w:rsid w:val="00523F90"/>
    <w:rsid w:val="00524C21"/>
    <w:rsid w:val="00533528"/>
    <w:rsid w:val="0053650D"/>
    <w:rsid w:val="005408C3"/>
    <w:rsid w:val="0054474D"/>
    <w:rsid w:val="00546C2E"/>
    <w:rsid w:val="00551512"/>
    <w:rsid w:val="00587007"/>
    <w:rsid w:val="00587A9D"/>
    <w:rsid w:val="00592A13"/>
    <w:rsid w:val="00592AD0"/>
    <w:rsid w:val="00593E35"/>
    <w:rsid w:val="00596451"/>
    <w:rsid w:val="005A543D"/>
    <w:rsid w:val="005B3334"/>
    <w:rsid w:val="005B3A17"/>
    <w:rsid w:val="005B513C"/>
    <w:rsid w:val="005C390A"/>
    <w:rsid w:val="005D107E"/>
    <w:rsid w:val="005E3ED5"/>
    <w:rsid w:val="0060649A"/>
    <w:rsid w:val="00607993"/>
    <w:rsid w:val="00612257"/>
    <w:rsid w:val="00616148"/>
    <w:rsid w:val="00624A88"/>
    <w:rsid w:val="0062705E"/>
    <w:rsid w:val="00631685"/>
    <w:rsid w:val="00635BD6"/>
    <w:rsid w:val="00637381"/>
    <w:rsid w:val="00637D93"/>
    <w:rsid w:val="006615E0"/>
    <w:rsid w:val="00663F9B"/>
    <w:rsid w:val="00666A7E"/>
    <w:rsid w:val="00666FD1"/>
    <w:rsid w:val="0067153F"/>
    <w:rsid w:val="00681844"/>
    <w:rsid w:val="006824E7"/>
    <w:rsid w:val="006836FC"/>
    <w:rsid w:val="006878B3"/>
    <w:rsid w:val="0069564F"/>
    <w:rsid w:val="006A3313"/>
    <w:rsid w:val="006B7D36"/>
    <w:rsid w:val="006C2BEE"/>
    <w:rsid w:val="006D0D3C"/>
    <w:rsid w:val="006E34AE"/>
    <w:rsid w:val="006E4D7E"/>
    <w:rsid w:val="006E7D24"/>
    <w:rsid w:val="007013DD"/>
    <w:rsid w:val="00714E09"/>
    <w:rsid w:val="00717C75"/>
    <w:rsid w:val="00736C10"/>
    <w:rsid w:val="00742D44"/>
    <w:rsid w:val="00743B2F"/>
    <w:rsid w:val="00774166"/>
    <w:rsid w:val="00791818"/>
    <w:rsid w:val="007A1F85"/>
    <w:rsid w:val="007A2082"/>
    <w:rsid w:val="007A2D49"/>
    <w:rsid w:val="007A6309"/>
    <w:rsid w:val="007B12A5"/>
    <w:rsid w:val="007B16EE"/>
    <w:rsid w:val="007D24BC"/>
    <w:rsid w:val="007D66FA"/>
    <w:rsid w:val="007E1B5B"/>
    <w:rsid w:val="007E3190"/>
    <w:rsid w:val="007E4C63"/>
    <w:rsid w:val="007E6493"/>
    <w:rsid w:val="008020D9"/>
    <w:rsid w:val="00807885"/>
    <w:rsid w:val="00813552"/>
    <w:rsid w:val="008205AC"/>
    <w:rsid w:val="008217E4"/>
    <w:rsid w:val="008324C6"/>
    <w:rsid w:val="008340F6"/>
    <w:rsid w:val="00840399"/>
    <w:rsid w:val="008566EB"/>
    <w:rsid w:val="00856E98"/>
    <w:rsid w:val="00860091"/>
    <w:rsid w:val="00872779"/>
    <w:rsid w:val="008770CF"/>
    <w:rsid w:val="00877300"/>
    <w:rsid w:val="008850A2"/>
    <w:rsid w:val="0088737E"/>
    <w:rsid w:val="00892902"/>
    <w:rsid w:val="008967E4"/>
    <w:rsid w:val="008A6906"/>
    <w:rsid w:val="008B4B17"/>
    <w:rsid w:val="008B64FB"/>
    <w:rsid w:val="008B7934"/>
    <w:rsid w:val="008C494F"/>
    <w:rsid w:val="008C68B5"/>
    <w:rsid w:val="008D7319"/>
    <w:rsid w:val="008E46F0"/>
    <w:rsid w:val="008E5CCA"/>
    <w:rsid w:val="008F22E5"/>
    <w:rsid w:val="008F2CC1"/>
    <w:rsid w:val="008F5354"/>
    <w:rsid w:val="008F5E6D"/>
    <w:rsid w:val="008F7AFC"/>
    <w:rsid w:val="009034EC"/>
    <w:rsid w:val="00911CB2"/>
    <w:rsid w:val="00911D94"/>
    <w:rsid w:val="0091246E"/>
    <w:rsid w:val="009137A7"/>
    <w:rsid w:val="00925B42"/>
    <w:rsid w:val="009344C6"/>
    <w:rsid w:val="0093542C"/>
    <w:rsid w:val="00936511"/>
    <w:rsid w:val="009401AC"/>
    <w:rsid w:val="00953193"/>
    <w:rsid w:val="00960B57"/>
    <w:rsid w:val="009629F3"/>
    <w:rsid w:val="00972C87"/>
    <w:rsid w:val="00973C4D"/>
    <w:rsid w:val="009741DA"/>
    <w:rsid w:val="009742D2"/>
    <w:rsid w:val="009943AB"/>
    <w:rsid w:val="009B0B6A"/>
    <w:rsid w:val="009B7B3D"/>
    <w:rsid w:val="009C10C3"/>
    <w:rsid w:val="009C14E2"/>
    <w:rsid w:val="009C7228"/>
    <w:rsid w:val="009D2725"/>
    <w:rsid w:val="009D7631"/>
    <w:rsid w:val="009E226F"/>
    <w:rsid w:val="009F0C25"/>
    <w:rsid w:val="009F4C83"/>
    <w:rsid w:val="00A05A24"/>
    <w:rsid w:val="00A07A1B"/>
    <w:rsid w:val="00A12742"/>
    <w:rsid w:val="00A15574"/>
    <w:rsid w:val="00A31EED"/>
    <w:rsid w:val="00A32E18"/>
    <w:rsid w:val="00A40015"/>
    <w:rsid w:val="00A50448"/>
    <w:rsid w:val="00A62252"/>
    <w:rsid w:val="00A7186B"/>
    <w:rsid w:val="00A71FA8"/>
    <w:rsid w:val="00A72BF8"/>
    <w:rsid w:val="00A7323F"/>
    <w:rsid w:val="00A73C8E"/>
    <w:rsid w:val="00A8008F"/>
    <w:rsid w:val="00A82E86"/>
    <w:rsid w:val="00A8621D"/>
    <w:rsid w:val="00A9000B"/>
    <w:rsid w:val="00A946A9"/>
    <w:rsid w:val="00A95312"/>
    <w:rsid w:val="00AA0A3E"/>
    <w:rsid w:val="00AB098D"/>
    <w:rsid w:val="00AB27F9"/>
    <w:rsid w:val="00AB7D4C"/>
    <w:rsid w:val="00AC17ED"/>
    <w:rsid w:val="00AC229B"/>
    <w:rsid w:val="00AC7EC8"/>
    <w:rsid w:val="00AD0B0A"/>
    <w:rsid w:val="00AD3FD7"/>
    <w:rsid w:val="00AD5F7F"/>
    <w:rsid w:val="00AD7ACB"/>
    <w:rsid w:val="00AE0C8C"/>
    <w:rsid w:val="00AF0936"/>
    <w:rsid w:val="00B0049B"/>
    <w:rsid w:val="00B00BC8"/>
    <w:rsid w:val="00B0742B"/>
    <w:rsid w:val="00B11DDC"/>
    <w:rsid w:val="00B13C89"/>
    <w:rsid w:val="00B148E4"/>
    <w:rsid w:val="00B14AD9"/>
    <w:rsid w:val="00B206C4"/>
    <w:rsid w:val="00B26E4B"/>
    <w:rsid w:val="00B33C57"/>
    <w:rsid w:val="00B67D04"/>
    <w:rsid w:val="00B72EFC"/>
    <w:rsid w:val="00B82CB1"/>
    <w:rsid w:val="00B842F5"/>
    <w:rsid w:val="00B8492A"/>
    <w:rsid w:val="00B8655E"/>
    <w:rsid w:val="00B90991"/>
    <w:rsid w:val="00B9339B"/>
    <w:rsid w:val="00B942A9"/>
    <w:rsid w:val="00B94A6B"/>
    <w:rsid w:val="00B97961"/>
    <w:rsid w:val="00BA1ACC"/>
    <w:rsid w:val="00BA4FF9"/>
    <w:rsid w:val="00BA602C"/>
    <w:rsid w:val="00BB25C4"/>
    <w:rsid w:val="00BB26EF"/>
    <w:rsid w:val="00BB59AA"/>
    <w:rsid w:val="00BC0280"/>
    <w:rsid w:val="00BD0563"/>
    <w:rsid w:val="00BD79E5"/>
    <w:rsid w:val="00C00C46"/>
    <w:rsid w:val="00C02BFF"/>
    <w:rsid w:val="00C11D0C"/>
    <w:rsid w:val="00C14135"/>
    <w:rsid w:val="00C21864"/>
    <w:rsid w:val="00C2298B"/>
    <w:rsid w:val="00C24A7A"/>
    <w:rsid w:val="00C36E87"/>
    <w:rsid w:val="00C423F4"/>
    <w:rsid w:val="00C46495"/>
    <w:rsid w:val="00C46A9A"/>
    <w:rsid w:val="00C51199"/>
    <w:rsid w:val="00C538CC"/>
    <w:rsid w:val="00C56962"/>
    <w:rsid w:val="00C62ACD"/>
    <w:rsid w:val="00C6446B"/>
    <w:rsid w:val="00C72D97"/>
    <w:rsid w:val="00C81AF7"/>
    <w:rsid w:val="00C9231F"/>
    <w:rsid w:val="00CB03C2"/>
    <w:rsid w:val="00CC3FFC"/>
    <w:rsid w:val="00CC7FFE"/>
    <w:rsid w:val="00CD404B"/>
    <w:rsid w:val="00CD6F15"/>
    <w:rsid w:val="00CE3D01"/>
    <w:rsid w:val="00CE60A1"/>
    <w:rsid w:val="00CE63BE"/>
    <w:rsid w:val="00CF3B06"/>
    <w:rsid w:val="00D048A5"/>
    <w:rsid w:val="00D13A87"/>
    <w:rsid w:val="00D27F43"/>
    <w:rsid w:val="00D32399"/>
    <w:rsid w:val="00D3277B"/>
    <w:rsid w:val="00D32828"/>
    <w:rsid w:val="00D363DC"/>
    <w:rsid w:val="00D37CED"/>
    <w:rsid w:val="00D42D45"/>
    <w:rsid w:val="00D6528F"/>
    <w:rsid w:val="00D7342F"/>
    <w:rsid w:val="00D8198B"/>
    <w:rsid w:val="00D964E9"/>
    <w:rsid w:val="00DA0189"/>
    <w:rsid w:val="00DA096D"/>
    <w:rsid w:val="00DA57D3"/>
    <w:rsid w:val="00DA7E1A"/>
    <w:rsid w:val="00DB2A3D"/>
    <w:rsid w:val="00DB5915"/>
    <w:rsid w:val="00DC0961"/>
    <w:rsid w:val="00DC1F8D"/>
    <w:rsid w:val="00DC5A09"/>
    <w:rsid w:val="00DC6E83"/>
    <w:rsid w:val="00DC7AC2"/>
    <w:rsid w:val="00DD43AA"/>
    <w:rsid w:val="00DE7C28"/>
    <w:rsid w:val="00DF4831"/>
    <w:rsid w:val="00DF6D17"/>
    <w:rsid w:val="00E10583"/>
    <w:rsid w:val="00E151A0"/>
    <w:rsid w:val="00E22203"/>
    <w:rsid w:val="00E2399E"/>
    <w:rsid w:val="00E25829"/>
    <w:rsid w:val="00E32352"/>
    <w:rsid w:val="00E402C2"/>
    <w:rsid w:val="00E403BA"/>
    <w:rsid w:val="00E417C0"/>
    <w:rsid w:val="00E46CCA"/>
    <w:rsid w:val="00E47350"/>
    <w:rsid w:val="00E601F8"/>
    <w:rsid w:val="00E64EE0"/>
    <w:rsid w:val="00E65E59"/>
    <w:rsid w:val="00E73829"/>
    <w:rsid w:val="00E81B19"/>
    <w:rsid w:val="00E8678A"/>
    <w:rsid w:val="00E944DC"/>
    <w:rsid w:val="00E974A6"/>
    <w:rsid w:val="00EA5329"/>
    <w:rsid w:val="00EA6181"/>
    <w:rsid w:val="00EB1522"/>
    <w:rsid w:val="00EB2C3E"/>
    <w:rsid w:val="00EC55E6"/>
    <w:rsid w:val="00ED0D64"/>
    <w:rsid w:val="00ED295F"/>
    <w:rsid w:val="00ED4AEB"/>
    <w:rsid w:val="00ED60EC"/>
    <w:rsid w:val="00EE21B8"/>
    <w:rsid w:val="00EE2EF8"/>
    <w:rsid w:val="00EE3963"/>
    <w:rsid w:val="00EE3A19"/>
    <w:rsid w:val="00EE573C"/>
    <w:rsid w:val="00EF394B"/>
    <w:rsid w:val="00EF6D72"/>
    <w:rsid w:val="00F105AC"/>
    <w:rsid w:val="00F13226"/>
    <w:rsid w:val="00F23488"/>
    <w:rsid w:val="00F2588C"/>
    <w:rsid w:val="00F26590"/>
    <w:rsid w:val="00F31E30"/>
    <w:rsid w:val="00F51A80"/>
    <w:rsid w:val="00F55653"/>
    <w:rsid w:val="00F557CB"/>
    <w:rsid w:val="00F573B5"/>
    <w:rsid w:val="00F66106"/>
    <w:rsid w:val="00F77208"/>
    <w:rsid w:val="00F77D9C"/>
    <w:rsid w:val="00F8218D"/>
    <w:rsid w:val="00F94F7D"/>
    <w:rsid w:val="00FA1039"/>
    <w:rsid w:val="00FA137B"/>
    <w:rsid w:val="00FA37A8"/>
    <w:rsid w:val="00FA64BA"/>
    <w:rsid w:val="00FB1516"/>
    <w:rsid w:val="00FB48B9"/>
    <w:rsid w:val="00FC11E0"/>
    <w:rsid w:val="00FD21CA"/>
    <w:rsid w:val="00FD519C"/>
    <w:rsid w:val="00FE2A0E"/>
    <w:rsid w:val="00FE5351"/>
    <w:rsid w:val="00FE5EED"/>
    <w:rsid w:val="00FE6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5BD770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aliases w:val="Paragraph"/>
    <w:qFormat/>
    <w:rsid w:val="00CF3B06"/>
    <w:pPr>
      <w:spacing w:after="120" w:line="360" w:lineRule="auto"/>
      <w:jc w:val="both"/>
    </w:pPr>
    <w:rPr>
      <w:rFonts w:ascii="Helvetica" w:hAnsi="Helvetica" w:cs="Arial"/>
      <w:sz w:val="22"/>
      <w:szCs w:val="24"/>
      <w:lang w:eastAsia="en-US"/>
    </w:rPr>
  </w:style>
  <w:style w:type="paragraph" w:styleId="Heading1">
    <w:name w:val="heading 1"/>
    <w:basedOn w:val="Normal"/>
    <w:next w:val="Normal"/>
    <w:link w:val="Heading1Char"/>
    <w:autoRedefine/>
    <w:uiPriority w:val="9"/>
    <w:qFormat/>
    <w:rsid w:val="003B62FE"/>
    <w:pPr>
      <w:keepNext/>
      <w:keepLines/>
      <w:spacing w:before="240" w:after="60"/>
      <w:outlineLvl w:val="0"/>
    </w:pPr>
    <w:rPr>
      <w:color w:val="0194A6"/>
      <w:sz w:val="44"/>
      <w:szCs w:val="26"/>
    </w:rPr>
  </w:style>
  <w:style w:type="paragraph" w:styleId="Heading2">
    <w:name w:val="heading 2"/>
    <w:basedOn w:val="Heading1"/>
    <w:next w:val="Normal"/>
    <w:link w:val="Heading2Char"/>
    <w:autoRedefine/>
    <w:uiPriority w:val="9"/>
    <w:qFormat/>
    <w:rsid w:val="00CF3B06"/>
    <w:pPr>
      <w:numPr>
        <w:ilvl w:val="1"/>
      </w:numPr>
      <w:spacing w:before="180"/>
      <w:outlineLvl w:val="1"/>
    </w:pPr>
    <w:rPr>
      <w:color w:val="10C9DE"/>
      <w:sz w:val="40"/>
      <w:szCs w:val="24"/>
    </w:rPr>
  </w:style>
  <w:style w:type="paragraph" w:styleId="Heading3">
    <w:name w:val="heading 3"/>
    <w:basedOn w:val="Heading2"/>
    <w:next w:val="Normal"/>
    <w:link w:val="Heading3Char"/>
    <w:autoRedefine/>
    <w:uiPriority w:val="9"/>
    <w:qFormat/>
    <w:rsid w:val="00CF3B06"/>
    <w:pPr>
      <w:numPr>
        <w:ilvl w:val="2"/>
      </w:numPr>
      <w:spacing w:before="120" w:after="0"/>
      <w:outlineLvl w:val="2"/>
    </w:pPr>
    <w:rPr>
      <w:color w:val="0194A6"/>
      <w:sz w:val="24"/>
      <w:szCs w:val="20"/>
    </w:rPr>
  </w:style>
  <w:style w:type="paragraph" w:styleId="Heading4">
    <w:name w:val="heading 4"/>
    <w:basedOn w:val="Heading3"/>
    <w:next w:val="Normal"/>
    <w:link w:val="Heading4Char"/>
    <w:uiPriority w:val="9"/>
    <w:qFormat/>
    <w:rsid w:val="00105CEF"/>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62FE"/>
    <w:rPr>
      <w:rFonts w:ascii="Helvetica" w:hAnsi="Helvetica" w:cs="Arial"/>
      <w:color w:val="0194A6"/>
      <w:sz w:val="44"/>
      <w:szCs w:val="26"/>
      <w:lang w:eastAsia="en-US"/>
    </w:rPr>
  </w:style>
  <w:style w:type="character" w:customStyle="1" w:styleId="Heading2Char">
    <w:name w:val="Heading 2 Char"/>
    <w:basedOn w:val="DefaultParagraphFont"/>
    <w:link w:val="Heading2"/>
    <w:uiPriority w:val="9"/>
    <w:locked/>
    <w:rsid w:val="00CF3B06"/>
    <w:rPr>
      <w:rFonts w:ascii="Helvetica" w:hAnsi="Helvetica" w:cs="Arial"/>
      <w:color w:val="10C9DE"/>
      <w:sz w:val="40"/>
      <w:szCs w:val="24"/>
      <w:lang w:eastAsia="en-US"/>
    </w:rPr>
  </w:style>
  <w:style w:type="character" w:customStyle="1" w:styleId="Heading3Char">
    <w:name w:val="Heading 3 Char"/>
    <w:basedOn w:val="DefaultParagraphFont"/>
    <w:link w:val="Heading3"/>
    <w:uiPriority w:val="9"/>
    <w:locked/>
    <w:rsid w:val="00CF3B06"/>
    <w:rPr>
      <w:rFonts w:ascii="Helvetica" w:hAnsi="Helvetica" w:cs="Arial"/>
      <w:color w:val="0194A6"/>
      <w:sz w:val="24"/>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uiPriority w:val="99"/>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jc w:val="left"/>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3952ED"/>
    <w:pPr>
      <w:framePr w:w="4820" w:wrap="around" w:vAnchor="page" w:hAnchor="text" w:x="5388" w:y="795"/>
      <w:spacing w:after="0" w:line="480" w:lineRule="auto"/>
      <w:jc w:val="left"/>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E22203"/>
    <w:pPr>
      <w:framePr w:wrap="around"/>
      <w:spacing w:before="113" w:after="57" w:line="400" w:lineRule="exact"/>
    </w:pPr>
    <w:rPr>
      <w:sz w:val="36"/>
    </w:rPr>
  </w:style>
  <w:style w:type="paragraph" w:customStyle="1" w:styleId="Bullet">
    <w:name w:val="Bullet"/>
    <w:basedOn w:val="Normal"/>
    <w:autoRedefine/>
    <w:qFormat/>
    <w:rsid w:val="00C21864"/>
    <w:rPr>
      <w:rFonts w:eastAsiaTheme="minorHAnsi" w:cs="Times New Roman"/>
      <w:szCs w:val="22"/>
    </w:rPr>
  </w:style>
  <w:style w:type="paragraph" w:customStyle="1" w:styleId="Calloutbox">
    <w:name w:val="Callout box"/>
    <w:basedOn w:val="Normal"/>
    <w:next w:val="Normal"/>
    <w:link w:val="CalloutboxChar"/>
    <w:autoRedefine/>
    <w:qFormat/>
    <w:rsid w:val="00357D51"/>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jc w:val="left"/>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D37CED"/>
    <w:pPr>
      <w:pBdr>
        <w:top w:val="single" w:sz="48" w:space="1" w:color="BFBFBF" w:themeColor="background1" w:themeShade="BF"/>
      </w:pBdr>
      <w:spacing w:after="0"/>
      <w:contextualSpacing/>
      <w:jc w:val="center"/>
      <w:textboxTightWrap w:val="allLines"/>
    </w:pPr>
    <w:rPr>
      <w:rFonts w:eastAsiaTheme="minorHAnsi" w:cs="Times New Roman"/>
      <w:color w:val="10C9DE"/>
      <w:spacing w:val="-10"/>
      <w:sz w:val="56"/>
      <w:szCs w:val="22"/>
    </w:rPr>
  </w:style>
  <w:style w:type="paragraph" w:customStyle="1" w:styleId="GlanceHeading">
    <w:name w:val="Glance Heading"/>
    <w:basedOn w:val="Normal"/>
    <w:next w:val="GlanceBody"/>
    <w:autoRedefine/>
    <w:qFormat/>
    <w:rsid w:val="00D42D45"/>
    <w:pPr>
      <w:keepNext/>
      <w:keepLines/>
      <w:widowControl w:val="0"/>
      <w:spacing w:after="0" w:line="240" w:lineRule="auto"/>
      <w:ind w:left="-142" w:firstLine="142"/>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D42D45"/>
    <w:pPr>
      <w:pBdr>
        <w:bottom w:val="single" w:sz="2" w:space="13"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jc w:val="lef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CF3B06"/>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jc w:val="left"/>
    </w:pPr>
    <w:rPr>
      <w:rFonts w:eastAsiaTheme="minorHAnsi" w:cs="Times New Roman"/>
      <w:color w:val="0194A6"/>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57D51"/>
    <w:rPr>
      <w:rFonts w:ascii="Helvetica" w:eastAsiaTheme="minorHAnsi" w:hAnsi="Helvetica"/>
      <w:sz w:val="22"/>
      <w:szCs w:val="22"/>
      <w:shd w:val="clear" w:color="auto" w:fill="DDDDDD"/>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qFormat/>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jc w:val="left"/>
    </w:pPr>
    <w:rPr>
      <w:rFonts w:eastAsiaTheme="minorHAnsi" w:cs="Times New Roman"/>
      <w:color w:val="FFFFFF" w:themeColor="background1"/>
      <w:szCs w:val="22"/>
    </w:rPr>
  </w:style>
  <w:style w:type="paragraph" w:customStyle="1" w:styleId="YellowBubbleBox">
    <w:name w:val="Yellow Bubble Box"/>
    <w:basedOn w:val="Normal"/>
    <w:next w:val="Normal"/>
    <w:qFormat/>
    <w:rsid w:val="008566EB"/>
    <w:pPr>
      <w:pBdr>
        <w:top w:val="single" w:sz="48" w:space="3" w:color="FBB040"/>
        <w:left w:val="single" w:sz="48" w:space="8" w:color="FBB040"/>
        <w:bottom w:val="single" w:sz="48" w:space="6" w:color="FBB040"/>
        <w:right w:val="single" w:sz="48" w:space="8" w:color="FBB040"/>
      </w:pBdr>
      <w:shd w:val="clear" w:color="auto" w:fill="FBB040"/>
      <w:spacing w:before="240" w:after="113" w:line="320" w:lineRule="exact"/>
      <w:ind w:left="284" w:right="284"/>
      <w:contextualSpacing/>
      <w:jc w:val="left"/>
    </w:pPr>
    <w:rPr>
      <w:rFonts w:ascii="Myriad Pro Light" w:eastAsiaTheme="minorHAnsi" w:hAnsi="Myriad Pro Light"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aliases w:val="Paragraph"/>
    <w:qFormat/>
    <w:rsid w:val="00CF3B06"/>
    <w:pPr>
      <w:spacing w:after="120" w:line="360" w:lineRule="auto"/>
      <w:jc w:val="both"/>
    </w:pPr>
    <w:rPr>
      <w:rFonts w:ascii="Helvetica" w:hAnsi="Helvetica" w:cs="Arial"/>
      <w:sz w:val="22"/>
      <w:szCs w:val="24"/>
      <w:lang w:eastAsia="en-US"/>
    </w:rPr>
  </w:style>
  <w:style w:type="paragraph" w:styleId="Heading1">
    <w:name w:val="heading 1"/>
    <w:basedOn w:val="Normal"/>
    <w:next w:val="Normal"/>
    <w:link w:val="Heading1Char"/>
    <w:autoRedefine/>
    <w:uiPriority w:val="9"/>
    <w:qFormat/>
    <w:rsid w:val="003B62FE"/>
    <w:pPr>
      <w:keepNext/>
      <w:keepLines/>
      <w:spacing w:before="240" w:after="60"/>
      <w:outlineLvl w:val="0"/>
    </w:pPr>
    <w:rPr>
      <w:color w:val="0194A6"/>
      <w:sz w:val="44"/>
      <w:szCs w:val="26"/>
    </w:rPr>
  </w:style>
  <w:style w:type="paragraph" w:styleId="Heading2">
    <w:name w:val="heading 2"/>
    <w:basedOn w:val="Heading1"/>
    <w:next w:val="Normal"/>
    <w:link w:val="Heading2Char"/>
    <w:autoRedefine/>
    <w:uiPriority w:val="9"/>
    <w:qFormat/>
    <w:rsid w:val="00CF3B06"/>
    <w:pPr>
      <w:numPr>
        <w:ilvl w:val="1"/>
      </w:numPr>
      <w:spacing w:before="180"/>
      <w:outlineLvl w:val="1"/>
    </w:pPr>
    <w:rPr>
      <w:color w:val="10C9DE"/>
      <w:sz w:val="40"/>
      <w:szCs w:val="24"/>
    </w:rPr>
  </w:style>
  <w:style w:type="paragraph" w:styleId="Heading3">
    <w:name w:val="heading 3"/>
    <w:basedOn w:val="Heading2"/>
    <w:next w:val="Normal"/>
    <w:link w:val="Heading3Char"/>
    <w:autoRedefine/>
    <w:uiPriority w:val="9"/>
    <w:qFormat/>
    <w:rsid w:val="00CF3B06"/>
    <w:pPr>
      <w:numPr>
        <w:ilvl w:val="2"/>
      </w:numPr>
      <w:spacing w:before="120" w:after="0"/>
      <w:outlineLvl w:val="2"/>
    </w:pPr>
    <w:rPr>
      <w:color w:val="0194A6"/>
      <w:sz w:val="24"/>
      <w:szCs w:val="20"/>
    </w:rPr>
  </w:style>
  <w:style w:type="paragraph" w:styleId="Heading4">
    <w:name w:val="heading 4"/>
    <w:basedOn w:val="Heading3"/>
    <w:next w:val="Normal"/>
    <w:link w:val="Heading4Char"/>
    <w:uiPriority w:val="9"/>
    <w:qFormat/>
    <w:rsid w:val="00105CEF"/>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62FE"/>
    <w:rPr>
      <w:rFonts w:ascii="Helvetica" w:hAnsi="Helvetica" w:cs="Arial"/>
      <w:color w:val="0194A6"/>
      <w:sz w:val="44"/>
      <w:szCs w:val="26"/>
      <w:lang w:eastAsia="en-US"/>
    </w:rPr>
  </w:style>
  <w:style w:type="character" w:customStyle="1" w:styleId="Heading2Char">
    <w:name w:val="Heading 2 Char"/>
    <w:basedOn w:val="DefaultParagraphFont"/>
    <w:link w:val="Heading2"/>
    <w:uiPriority w:val="9"/>
    <w:locked/>
    <w:rsid w:val="00CF3B06"/>
    <w:rPr>
      <w:rFonts w:ascii="Helvetica" w:hAnsi="Helvetica" w:cs="Arial"/>
      <w:color w:val="10C9DE"/>
      <w:sz w:val="40"/>
      <w:szCs w:val="24"/>
      <w:lang w:eastAsia="en-US"/>
    </w:rPr>
  </w:style>
  <w:style w:type="character" w:customStyle="1" w:styleId="Heading3Char">
    <w:name w:val="Heading 3 Char"/>
    <w:basedOn w:val="DefaultParagraphFont"/>
    <w:link w:val="Heading3"/>
    <w:uiPriority w:val="9"/>
    <w:locked/>
    <w:rsid w:val="00CF3B06"/>
    <w:rPr>
      <w:rFonts w:ascii="Helvetica" w:hAnsi="Helvetica" w:cs="Arial"/>
      <w:color w:val="0194A6"/>
      <w:sz w:val="24"/>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uiPriority w:val="99"/>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jc w:val="left"/>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3952ED"/>
    <w:pPr>
      <w:framePr w:w="4820" w:wrap="around" w:vAnchor="page" w:hAnchor="text" w:x="5388" w:y="795"/>
      <w:spacing w:after="0" w:line="480" w:lineRule="auto"/>
      <w:jc w:val="left"/>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E22203"/>
    <w:pPr>
      <w:framePr w:wrap="around"/>
      <w:spacing w:before="113" w:after="57" w:line="400" w:lineRule="exact"/>
    </w:pPr>
    <w:rPr>
      <w:sz w:val="36"/>
    </w:rPr>
  </w:style>
  <w:style w:type="paragraph" w:customStyle="1" w:styleId="Bullet">
    <w:name w:val="Bullet"/>
    <w:basedOn w:val="Normal"/>
    <w:autoRedefine/>
    <w:qFormat/>
    <w:rsid w:val="00C21864"/>
    <w:rPr>
      <w:rFonts w:eastAsiaTheme="minorHAnsi" w:cs="Times New Roman"/>
      <w:szCs w:val="22"/>
    </w:rPr>
  </w:style>
  <w:style w:type="paragraph" w:customStyle="1" w:styleId="Calloutbox">
    <w:name w:val="Callout box"/>
    <w:basedOn w:val="Normal"/>
    <w:next w:val="Normal"/>
    <w:link w:val="CalloutboxChar"/>
    <w:autoRedefine/>
    <w:qFormat/>
    <w:rsid w:val="00357D51"/>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jc w:val="left"/>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D37CED"/>
    <w:pPr>
      <w:pBdr>
        <w:top w:val="single" w:sz="48" w:space="1" w:color="BFBFBF" w:themeColor="background1" w:themeShade="BF"/>
      </w:pBdr>
      <w:spacing w:after="0"/>
      <w:contextualSpacing/>
      <w:jc w:val="center"/>
      <w:textboxTightWrap w:val="allLines"/>
    </w:pPr>
    <w:rPr>
      <w:rFonts w:eastAsiaTheme="minorHAnsi" w:cs="Times New Roman"/>
      <w:color w:val="10C9DE"/>
      <w:spacing w:val="-10"/>
      <w:sz w:val="56"/>
      <w:szCs w:val="22"/>
    </w:rPr>
  </w:style>
  <w:style w:type="paragraph" w:customStyle="1" w:styleId="GlanceHeading">
    <w:name w:val="Glance Heading"/>
    <w:basedOn w:val="Normal"/>
    <w:next w:val="GlanceBody"/>
    <w:autoRedefine/>
    <w:qFormat/>
    <w:rsid w:val="00D42D45"/>
    <w:pPr>
      <w:keepNext/>
      <w:keepLines/>
      <w:widowControl w:val="0"/>
      <w:spacing w:after="0" w:line="240" w:lineRule="auto"/>
      <w:ind w:left="-142" w:firstLine="142"/>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D42D45"/>
    <w:pPr>
      <w:pBdr>
        <w:bottom w:val="single" w:sz="2" w:space="13"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jc w:val="lef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CF3B06"/>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jc w:val="left"/>
    </w:pPr>
    <w:rPr>
      <w:rFonts w:eastAsiaTheme="minorHAnsi" w:cs="Times New Roman"/>
      <w:color w:val="0194A6"/>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57D51"/>
    <w:rPr>
      <w:rFonts w:ascii="Helvetica" w:eastAsiaTheme="minorHAnsi" w:hAnsi="Helvetica"/>
      <w:sz w:val="22"/>
      <w:szCs w:val="22"/>
      <w:shd w:val="clear" w:color="auto" w:fill="DDDDDD"/>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qFormat/>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jc w:val="left"/>
    </w:pPr>
    <w:rPr>
      <w:rFonts w:eastAsiaTheme="minorHAnsi" w:cs="Times New Roman"/>
      <w:color w:val="FFFFFF" w:themeColor="background1"/>
      <w:szCs w:val="22"/>
    </w:rPr>
  </w:style>
  <w:style w:type="paragraph" w:customStyle="1" w:styleId="YellowBubbleBox">
    <w:name w:val="Yellow Bubble Box"/>
    <w:basedOn w:val="Normal"/>
    <w:next w:val="Normal"/>
    <w:qFormat/>
    <w:rsid w:val="008566EB"/>
    <w:pPr>
      <w:pBdr>
        <w:top w:val="single" w:sz="48" w:space="3" w:color="FBB040"/>
        <w:left w:val="single" w:sz="48" w:space="8" w:color="FBB040"/>
        <w:bottom w:val="single" w:sz="48" w:space="6" w:color="FBB040"/>
        <w:right w:val="single" w:sz="48" w:space="8" w:color="FBB040"/>
      </w:pBdr>
      <w:shd w:val="clear" w:color="auto" w:fill="FBB040"/>
      <w:spacing w:before="240" w:after="113" w:line="320" w:lineRule="exact"/>
      <w:ind w:left="284" w:right="284"/>
      <w:contextualSpacing/>
      <w:jc w:val="left"/>
    </w:pPr>
    <w:rPr>
      <w:rFonts w:ascii="Myriad Pro Light" w:eastAsiaTheme="minorHAnsi" w:hAnsi="Myriad Pro Light"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15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mailto:Lynda.McAlary-Smith@fwo.gov.a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media@fwo.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hart" Target="charts/chart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ibisworld.com.au/industry/default.aspx?indid=4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003069060811845"/>
          <c:y val="0.16481775102344293"/>
          <c:w val="0.58123915066172283"/>
          <c:h val="0.74985801689464582"/>
        </c:manualLayout>
      </c:layout>
      <c:pieChart>
        <c:varyColors val="1"/>
        <c:ser>
          <c:idx val="0"/>
          <c:order val="0"/>
          <c:dPt>
            <c:idx val="0"/>
            <c:bubble3D val="0"/>
            <c:explosion val="16"/>
          </c:dPt>
          <c:dLbls>
            <c:dLbl>
              <c:idx val="0"/>
              <c:layout>
                <c:manualLayout>
                  <c:x val="-0.69681602299712542"/>
                  <c:y val="-7.2533659401789796E-2"/>
                </c:manualLayout>
              </c:layout>
              <c:tx>
                <c:rich>
                  <a:bodyPr/>
                  <a:lstStyle/>
                  <a:p>
                    <a:r>
                      <a:rPr lang="en-US" sz="900" b="1">
                        <a:latin typeface="+mn-lt"/>
                      </a:rPr>
                      <a:t>Underpayment of hourly rate, 77%</a:t>
                    </a:r>
                    <a:endParaRPr lang="en-US"/>
                  </a:p>
                </c:rich>
              </c:tx>
              <c:showLegendKey val="0"/>
              <c:showVal val="1"/>
              <c:showCatName val="1"/>
              <c:showSerName val="0"/>
              <c:showPercent val="0"/>
              <c:showBubbleSize val="0"/>
            </c:dLbl>
            <c:dLbl>
              <c:idx val="1"/>
              <c:layout>
                <c:manualLayout>
                  <c:x val="-2.3791817689455486E-2"/>
                  <c:y val="8.7546566759800187E-2"/>
                </c:manualLayout>
              </c:layout>
              <c:showLegendKey val="0"/>
              <c:showVal val="1"/>
              <c:showCatName val="1"/>
              <c:showSerName val="0"/>
              <c:showPercent val="0"/>
              <c:showBubbleSize val="0"/>
            </c:dLbl>
            <c:dLbl>
              <c:idx val="2"/>
              <c:layout>
                <c:manualLayout>
                  <c:x val="3.0701023483175713E-3"/>
                  <c:y val="0"/>
                </c:manualLayout>
              </c:layout>
              <c:showLegendKey val="0"/>
              <c:showVal val="1"/>
              <c:showCatName val="1"/>
              <c:showSerName val="0"/>
              <c:showPercent val="0"/>
              <c:showBubbleSize val="0"/>
            </c:dLbl>
            <c:dLbl>
              <c:idx val="3"/>
              <c:layout>
                <c:manualLayout>
                  <c:x val="0.18619860017497813"/>
                  <c:y val="8.4697177357949708E-4"/>
                </c:manualLayout>
              </c:layout>
              <c:showLegendKey val="0"/>
              <c:showVal val="1"/>
              <c:showCatName val="1"/>
              <c:showSerName val="0"/>
              <c:showPercent val="0"/>
              <c:showBubbleSize val="0"/>
            </c:dLbl>
            <c:txPr>
              <a:bodyPr/>
              <a:lstStyle/>
              <a:p>
                <a:pPr>
                  <a:defRPr sz="900" b="1">
                    <a:latin typeface="+mn-lt"/>
                  </a:defRPr>
                </a:pPr>
                <a:endParaRPr lang="en-US"/>
              </a:p>
            </c:txPr>
            <c:showLegendKey val="0"/>
            <c:showVal val="1"/>
            <c:showCatName val="1"/>
            <c:showSerName val="0"/>
            <c:showPercent val="0"/>
            <c:showBubbleSize val="0"/>
            <c:showLeaderLines val="1"/>
          </c:dLbls>
          <c:cat>
            <c:strRef>
              <c:f>Sheet1!$B$3:$E$3</c:f>
              <c:strCache>
                <c:ptCount val="4"/>
                <c:pt idx="0">
                  <c:v>Underpayment of hourly rate</c:v>
                </c:pt>
                <c:pt idx="1">
                  <c:v>Payslips</c:v>
                </c:pt>
                <c:pt idx="2">
                  <c:v>Shift loadings</c:v>
                </c:pt>
                <c:pt idx="3">
                  <c:v>Record Keeping</c:v>
                </c:pt>
              </c:strCache>
            </c:strRef>
          </c:cat>
          <c:val>
            <c:numRef>
              <c:f>Sheet1!$B$4:$E$4</c:f>
              <c:numCache>
                <c:formatCode>0%</c:formatCode>
                <c:ptCount val="4"/>
                <c:pt idx="0">
                  <c:v>0.77</c:v>
                </c:pt>
                <c:pt idx="1">
                  <c:v>0.15</c:v>
                </c:pt>
                <c:pt idx="2">
                  <c:v>0.03</c:v>
                </c:pt>
                <c:pt idx="3">
                  <c:v>0.05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WO_DocumentTopicTaxHTField0 xmlns="61C20887-13C9-4F82-A905-E8D16A07A3A3">
      <Terms xmlns="http://schemas.microsoft.com/office/infopath/2007/PartnerControls">
        <TermInfo xmlns="http://schemas.microsoft.com/office/infopath/2007/PartnerControls">
          <TermName xmlns="http://schemas.microsoft.com/office/infopath/2007/PartnerControls">Campaigns</TermName>
          <TermId xmlns="http://schemas.microsoft.com/office/infopath/2007/PartnerControls">68f4a1f1-6e89-4d03-8c35-8aafa779a6d4</TermId>
        </TermInfo>
      </Terms>
    </FWO_DocumentTopicTaxHTField0>
    <FWO_BCSTaxHTField0 xmlns="61C20887-13C9-4F82-A905-E8D16A07A3A3">
      <Terms xmlns="http://schemas.microsoft.com/office/infopath/2007/PartnerControls">
        <TermInfo xmlns="http://schemas.microsoft.com/office/infopath/2007/PartnerControls">
          <TermName xmlns="http://schemas.microsoft.com/office/infopath/2007/PartnerControls">Monitoring</TermName>
          <TermId xmlns="http://schemas.microsoft.com/office/infopath/2007/PartnerControls">d5c12385-bbff-466e-91f0-7746ec9f00a8</TermId>
        </TermInfo>
      </Terms>
    </FWO_BCSTaxHTField0>
    <FWO_EnterpriseKeywordTaxHTField0 xmlns="61C20887-13C9-4F82-A905-E8D16A07A3A3">
      <Terms xmlns="http://schemas.microsoft.com/office/infopath/2007/PartnerControls">
        <TermInfo xmlns="http://schemas.microsoft.com/office/infopath/2007/PartnerControls">
          <TermName xmlns="http://schemas.microsoft.com/office/infopath/2007/PartnerControls">Reports</TermName>
          <TermId xmlns="http://schemas.microsoft.com/office/infopath/2007/PartnerControls">8e4ecdf7-ed95-415a-92c8-f83aeb2e9895</TermId>
        </TermInfo>
      </Terms>
    </FWO_EnterpriseKeywordTaxHTField0>
    <FWO_DOCStatus xmlns="61C20887-13C9-4F82-A905-E8D16A07A3A3">Draft</FWO_DOCStatus>
    <FWO_DocSecurityClassification xmlns="61C20887-13C9-4F82-A905-E8D16A07A3A3">Unclassified</FWO_DocSecurityClassification>
    <TaxCatchAll xmlns="289aa9ee-b1f4-4122-a062-0e87d672a6e7">
      <Value>18</Value>
      <Value>260</Value>
      <Value>80</Value>
    </TaxCatchAll>
    <FWO_TRIM_SecurityClassification xmlns="61C20887-13C9-4F82-A905-E8D16A07A3A3">Unclassified</FWO_TRIM_SecurityClassification>
    <FWO_TRIM_DLM xmlns="61C20887-13C9-4F82-A905-E8D16A07A3A3" xsi:nil="true"/>
    <_dlc_DocId xmlns="289aa9ee-b1f4-4122-a062-0e87d672a6e7">DB-673515</_dlc_DocId>
    <_dlc_DocIdUrl xmlns="289aa9ee-b1f4-4122-a062-0e87d672a6e7">
      <Url>http://fwocollaboration.hosts.network/sites/b4/targeted-campaigns/_layouts/DocIdRedir.aspx?ID=DB-673515</Url>
      <Description>DB-673515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28BA1C288C69E34BA78DE38578726EDD" ma:contentTypeVersion="21" ma:contentTypeDescription="Document with BCS Classification" ma:contentTypeScope="" ma:versionID="e46608e20338ef8ba70a515289c258fe">
  <xsd:schema xmlns:xsd="http://www.w3.org/2001/XMLSchema" xmlns:xs="http://www.w3.org/2001/XMLSchema" xmlns:p="http://schemas.microsoft.com/office/2006/metadata/properties" xmlns:ns2="61C20887-13C9-4F82-A905-E8D16A07A3A3" xmlns:ns3="289aa9ee-b1f4-4122-a062-0e87d672a6e7" targetNamespace="http://schemas.microsoft.com/office/2006/metadata/properties" ma:root="true" ma:fieldsID="0b4a75978c565a0a358bbe2217d9cd7a" ns2:_="" ns3:_="">
    <xsd:import namespace="61C20887-13C9-4F82-A905-E8D16A07A3A3"/>
    <xsd:import namespace="289aa9ee-b1f4-4122-a062-0e87d672a6e7"/>
    <xsd:element name="properties">
      <xsd:complexType>
        <xsd:sequence>
          <xsd:element name="documentManagement">
            <xsd:complexType>
              <xsd:all>
                <xsd:element ref="ns2:FWO_DOCStatus" minOccurs="0"/>
                <xsd:element ref="ns2:FWO_DocSecurityClassification" minOccurs="0"/>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3:TaxCatchAll" minOccurs="0"/>
                <xsd:element ref="ns2:FWO_TRIM_SecurityClassification"/>
                <xsd:element ref="ns2:FWO_TRIM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20887-13C9-4F82-A905-E8D16A07A3A3"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nillable="true"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80a8c21a-f2a9-4a94-82fb-f66d377005c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b5435847-22cd-4561-8763-4fe4f6b04950"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20"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1"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289aa9ee-b1f4-4122-a062-0e87d672a6e7"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description="" ma:hidden="true" ma:list="{3785dbf3-3b31-41fb-98ae-0f5cc8e2e666}" ma:internalName="TaxCatchAll" ma:showField="CatchAllData" ma:web="289aa9ee-b1f4-4122-a062-0e87d672a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EF0B-D334-4C4E-826F-A36CFDDA2793}">
  <ds:schemaRefs>
    <ds:schemaRef ds:uri="http://schemas.microsoft.com/office/2006/metadata/longProperties"/>
  </ds:schemaRefs>
</ds:datastoreItem>
</file>

<file path=customXml/itemProps2.xml><?xml version="1.0" encoding="utf-8"?>
<ds:datastoreItem xmlns:ds="http://schemas.openxmlformats.org/officeDocument/2006/customXml" ds:itemID="{DB57E567-8A69-4FD1-858F-812D73805FB5}">
  <ds:schemaRefs>
    <ds:schemaRef ds:uri="61C20887-13C9-4F82-A905-E8D16A07A3A3"/>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 ds:uri="289aa9ee-b1f4-4122-a062-0e87d672a6e7"/>
    <ds:schemaRef ds:uri="http://schemas.openxmlformats.org/package/2006/metadata/core-propertie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17A244F1-A96D-4FAD-973B-AE33869F0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20887-13C9-4F82-A905-E8D16A07A3A3"/>
    <ds:schemaRef ds:uri="289aa9ee-b1f4-4122-a062-0e87d672a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746041-1760-4A2D-A5B8-6A4331AABBBB}">
  <ds:schemaRefs>
    <ds:schemaRef ds:uri="http://schemas.microsoft.com/sharepoint/events"/>
  </ds:schemaRefs>
</ds:datastoreItem>
</file>

<file path=customXml/itemProps5.xml><?xml version="1.0" encoding="utf-8"?>
<ds:datastoreItem xmlns:ds="http://schemas.openxmlformats.org/officeDocument/2006/customXml" ds:itemID="{72A39EF9-7815-47FD-89D2-78CEA5131154}">
  <ds:schemaRefs>
    <ds:schemaRef ds:uri="http://schemas.microsoft.com/sharepoint/v3/contenttype/forms"/>
  </ds:schemaRefs>
</ds:datastoreItem>
</file>

<file path=customXml/itemProps6.xml><?xml version="1.0" encoding="utf-8"?>
<ds:datastoreItem xmlns:ds="http://schemas.openxmlformats.org/officeDocument/2006/customXml" ds:itemID="{9B09BEAD-6A54-405A-9759-7F33801D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1720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QND Motor Vehicle Report</vt:lpstr>
    </vt:vector>
  </TitlesOfParts>
  <Company>Australian Government</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QND Motor Vehicle Report</dc:title>
  <dc:subject>QND Motor Vehicle Report</dc:subject>
  <dc:creator>Fair Work Ombudsman</dc:creator>
  <cp:keywords>QND Motor Vehicle Report</cp:keywords>
  <cp:lastModifiedBy>Freda Moloney</cp:lastModifiedBy>
  <cp:revision>7</cp:revision>
  <cp:lastPrinted>2015-06-04T23:20:00Z</cp:lastPrinted>
  <dcterms:created xsi:type="dcterms:W3CDTF">2015-06-12T05:48:00Z</dcterms:created>
  <dcterms:modified xsi:type="dcterms:W3CDTF">2015-06-12T06:07:00Z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
    <vt:lpwstr>Document</vt:lpwstr>
  </property>
  <property fmtid="{D5CDD505-2E9C-101B-9397-08002B2CF9AE}" pid="6" name="ContentTypeId">
    <vt:lpwstr>0x010100B2AA788ECC3F4F3EBCB0F00CED0A3A700028BA1C288C69E34BA78DE38578726EDD</vt:lpwstr>
  </property>
  <property fmtid="{D5CDD505-2E9C-101B-9397-08002B2CF9AE}" pid="7" name="Order">
    <vt:r8>61500</vt:r8>
  </property>
  <property fmtid="{D5CDD505-2E9C-101B-9397-08002B2CF9AE}" pid="8" name="Topic">
    <vt:lpwstr>Other</vt:lpwstr>
  </property>
  <property fmtid="{D5CDD505-2E9C-101B-9397-08002B2CF9AE}" pid="9" name="Document Type">
    <vt:lpwstr>Other</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Title">
    <vt:lpwstr>QLD-Clothing-Manufacturers-Audit-Program-2011-report</vt:lpwstr>
  </property>
  <property fmtid="{D5CDD505-2E9C-101B-9397-08002B2CF9AE}" pid="14" name="FWO_DocumentTopicTaxHTField0">
    <vt:lpwstr>Campaign report|9500137e-a308-4ee0-813c-0512049884a9</vt:lpwstr>
  </property>
  <property fmtid="{D5CDD505-2E9C-101B-9397-08002B2CF9AE}" pid="15" name="FWO_DocumentTopic">
    <vt:lpwstr>260;#Campaigns|68f4a1f1-6e89-4d03-8c35-8aafa779a6d4</vt:lpwstr>
  </property>
  <property fmtid="{D5CDD505-2E9C-101B-9397-08002B2CF9AE}" pid="16" name="FWO_BCSTaxHTField0">
    <vt:lpwstr>Projects|aee93119-2e00-4848-a07d-951554e11976</vt:lpwstr>
  </property>
  <property fmtid="{D5CDD505-2E9C-101B-9397-08002B2CF9AE}" pid="17" name="FWO_BCS">
    <vt:lpwstr>18;#Monitoring|d5c12385-bbff-466e-91f0-7746ec9f00a8</vt:lpwstr>
  </property>
  <property fmtid="{D5CDD505-2E9C-101B-9397-08002B2CF9AE}" pid="18" name="FWO_EnterpriseKeywordTaxHTField0">
    <vt:lpwstr/>
  </property>
  <property fmtid="{D5CDD505-2E9C-101B-9397-08002B2CF9AE}" pid="19" name="FWO_EnterpriseKeyword">
    <vt:lpwstr>80;#Reports|8e4ecdf7-ed95-415a-92c8-f83aeb2e9895</vt:lpwstr>
  </property>
  <property fmtid="{D5CDD505-2E9C-101B-9397-08002B2CF9AE}" pid="20" name="FWO_DOCStatus">
    <vt:lpwstr>Draft</vt:lpwstr>
  </property>
  <property fmtid="{D5CDD505-2E9C-101B-9397-08002B2CF9AE}" pid="21" name="FWO_DocSecurityClassification">
    <vt:lpwstr>Unclassified</vt:lpwstr>
  </property>
  <property fmtid="{D5CDD505-2E9C-101B-9397-08002B2CF9AE}" pid="22" name="TaxCatchAll">
    <vt:lpwstr/>
  </property>
  <property fmtid="{D5CDD505-2E9C-101B-9397-08002B2CF9AE}" pid="23" name="FWO_TRIM_SecurityClassification">
    <vt:lpwstr>Unclassified</vt:lpwstr>
  </property>
  <property fmtid="{D5CDD505-2E9C-101B-9397-08002B2CF9AE}" pid="24" name="FWO_TRIM_DLM">
    <vt:lpwstr/>
  </property>
  <property fmtid="{D5CDD505-2E9C-101B-9397-08002B2CF9AE}" pid="25" name="mvRef">
    <vt:lpwstr>QLD/NSW/ACT:DB-673515/2.0</vt:lpwstr>
  </property>
  <property fmtid="{D5CDD505-2E9C-101B-9397-08002B2CF9AE}" pid="26" name="_dlc_DocIdItemGuid">
    <vt:lpwstr>8f57bc58-b17d-4518-b3e3-c39716339b9d</vt:lpwstr>
  </property>
</Properties>
</file>