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88BB0" w14:textId="77777777" w:rsidR="003A09DF" w:rsidRPr="005F329E" w:rsidRDefault="003A09DF" w:rsidP="003A09DF">
      <w:pPr>
        <w:pStyle w:val="CoverReportTitle"/>
        <w:framePr w:w="0" w:wrap="auto" w:vAnchor="margin" w:xAlign="left" w:yAlign="inline"/>
        <w:rPr>
          <w:rFonts w:cs="Arial"/>
        </w:rPr>
      </w:pPr>
      <w:r w:rsidRPr="005F329E">
        <w:rPr>
          <w:rFonts w:cs="Arial"/>
        </w:rPr>
        <w:t>Northern ACT Regional Campaign</w:t>
      </w:r>
    </w:p>
    <w:p w14:paraId="63D88BB1" w14:textId="77777777" w:rsidR="003A09DF" w:rsidRPr="005F329E" w:rsidRDefault="003A09DF" w:rsidP="003A09DF">
      <w:pPr>
        <w:pStyle w:val="CoverReportSubTitle"/>
        <w:rPr>
          <w:rFonts w:cs="Arial"/>
        </w:rPr>
      </w:pPr>
      <w:r w:rsidRPr="005F329E">
        <w:rPr>
          <w:rFonts w:cs="Arial"/>
        </w:rPr>
        <w:t xml:space="preserve">Report </w:t>
      </w:r>
      <w:r w:rsidR="00FB114E">
        <w:rPr>
          <w:rFonts w:cs="Arial"/>
        </w:rPr>
        <w:t>–</w:t>
      </w:r>
      <w:r w:rsidRPr="005F329E">
        <w:rPr>
          <w:rFonts w:cs="Arial"/>
        </w:rPr>
        <w:t xml:space="preserve"> </w:t>
      </w:r>
      <w:r w:rsidR="00044BCF">
        <w:rPr>
          <w:rFonts w:cs="Arial"/>
        </w:rPr>
        <w:t xml:space="preserve">May </w:t>
      </w:r>
      <w:r w:rsidRPr="005F329E">
        <w:rPr>
          <w:rFonts w:cs="Arial"/>
        </w:rPr>
        <w:t>2016</w:t>
      </w:r>
    </w:p>
    <w:p w14:paraId="63D88BB2" w14:textId="77777777" w:rsidR="003A09DF" w:rsidRPr="005F329E" w:rsidRDefault="003A09DF" w:rsidP="003A09DF"/>
    <w:p w14:paraId="63D88BB3" w14:textId="77777777" w:rsidR="003A09DF" w:rsidRPr="005F329E" w:rsidRDefault="003A09DF" w:rsidP="003A09DF">
      <w:r w:rsidRPr="005F329E">
        <w:t xml:space="preserve">A report prepared by the Fair Work Ombudsman under the </w:t>
      </w:r>
      <w:r w:rsidRPr="005F329E">
        <w:rPr>
          <w:i/>
        </w:rPr>
        <w:t>Fair Work Act 2009</w:t>
      </w:r>
    </w:p>
    <w:p w14:paraId="63D88BB4" w14:textId="77777777" w:rsidR="003A09DF" w:rsidRPr="005F329E" w:rsidRDefault="003A09DF" w:rsidP="00D631B0">
      <w:r w:rsidRPr="005F329E">
        <w:t>© Commonwealth of Australia, 2016</w:t>
      </w:r>
      <w:r w:rsidRPr="005F329E">
        <w:br w:type="page"/>
      </w:r>
    </w:p>
    <w:p w14:paraId="63D88BB5" w14:textId="77777777" w:rsidR="003A09DF" w:rsidRPr="005F329E" w:rsidRDefault="003A09DF" w:rsidP="000A6EB4">
      <w:pPr>
        <w:pStyle w:val="Heading1"/>
      </w:pPr>
      <w:bookmarkStart w:id="0" w:name="_Toc428272492"/>
      <w:bookmarkStart w:id="1" w:name="_Toc447527879"/>
      <w:r w:rsidRPr="005F329E">
        <w:lastRenderedPageBreak/>
        <w:t>Table of Contents</w:t>
      </w:r>
      <w:bookmarkEnd w:id="0"/>
      <w:bookmarkEnd w:id="1"/>
    </w:p>
    <w:p w14:paraId="63D88BB6" w14:textId="77777777" w:rsidR="003A09DF" w:rsidRPr="005F329E" w:rsidRDefault="003A09DF" w:rsidP="003A09DF"/>
    <w:p w14:paraId="63D88BB7" w14:textId="77777777" w:rsidR="00794995" w:rsidRDefault="003A09DF" w:rsidP="003A09DF">
      <w:pPr>
        <w:pStyle w:val="TOC2"/>
        <w:ind w:left="0"/>
        <w:rPr>
          <w:noProof/>
        </w:rPr>
      </w:pPr>
      <w:r w:rsidRPr="005F329E">
        <w:rPr>
          <w:b/>
          <w:spacing w:val="-4"/>
        </w:rPr>
        <w:tab/>
      </w:r>
      <w:r w:rsidRPr="005F329E">
        <w:rPr>
          <w:b/>
          <w:spacing w:val="-4"/>
        </w:rPr>
        <w:fldChar w:fldCharType="begin"/>
      </w:r>
      <w:r w:rsidRPr="005F329E">
        <w:rPr>
          <w:b/>
        </w:rPr>
        <w:instrText xml:space="preserve"> TOC \o "1-2" \h \z \u </w:instrText>
      </w:r>
      <w:r w:rsidRPr="005F329E">
        <w:rPr>
          <w:b/>
          <w:spacing w:val="-4"/>
        </w:rPr>
        <w:fldChar w:fldCharType="separate"/>
      </w:r>
    </w:p>
    <w:p w14:paraId="63D88BB8" w14:textId="77777777" w:rsidR="00794995" w:rsidRDefault="00D21903">
      <w:pPr>
        <w:pStyle w:val="TOC1"/>
        <w:rPr>
          <w:rFonts w:asciiTheme="minorHAnsi" w:eastAsiaTheme="minorEastAsia" w:hAnsiTheme="minorHAnsi" w:cstheme="minorBidi"/>
          <w:noProof/>
          <w:spacing w:val="0"/>
          <w:szCs w:val="22"/>
          <w:lang w:eastAsia="en-AU"/>
        </w:rPr>
      </w:pPr>
      <w:hyperlink w:anchor="_Toc447527879" w:history="1">
        <w:r w:rsidR="00794995" w:rsidRPr="00EE401F">
          <w:rPr>
            <w:rStyle w:val="Hyperlink"/>
            <w:noProof/>
          </w:rPr>
          <w:t>Table of Contents</w:t>
        </w:r>
        <w:r w:rsidR="00794995">
          <w:rPr>
            <w:noProof/>
            <w:webHidden/>
          </w:rPr>
          <w:tab/>
        </w:r>
        <w:r w:rsidR="00794995">
          <w:rPr>
            <w:noProof/>
            <w:webHidden/>
          </w:rPr>
          <w:fldChar w:fldCharType="begin"/>
        </w:r>
        <w:r w:rsidR="00794995">
          <w:rPr>
            <w:noProof/>
            <w:webHidden/>
          </w:rPr>
          <w:instrText xml:space="preserve"> PAGEREF _Toc447527879 \h </w:instrText>
        </w:r>
        <w:r w:rsidR="00794995">
          <w:rPr>
            <w:noProof/>
            <w:webHidden/>
          </w:rPr>
        </w:r>
        <w:r w:rsidR="00794995">
          <w:rPr>
            <w:noProof/>
            <w:webHidden/>
          </w:rPr>
          <w:fldChar w:fldCharType="separate"/>
        </w:r>
        <w:r w:rsidR="00794995">
          <w:rPr>
            <w:noProof/>
            <w:webHidden/>
          </w:rPr>
          <w:t>2</w:t>
        </w:r>
        <w:r w:rsidR="00794995">
          <w:rPr>
            <w:noProof/>
            <w:webHidden/>
          </w:rPr>
          <w:fldChar w:fldCharType="end"/>
        </w:r>
      </w:hyperlink>
    </w:p>
    <w:p w14:paraId="63D88BB9" w14:textId="77777777" w:rsidR="00794995" w:rsidRDefault="00D21903">
      <w:pPr>
        <w:pStyle w:val="TOC1"/>
        <w:rPr>
          <w:rFonts w:asciiTheme="minorHAnsi" w:eastAsiaTheme="minorEastAsia" w:hAnsiTheme="minorHAnsi" w:cstheme="minorBidi"/>
          <w:noProof/>
          <w:spacing w:val="0"/>
          <w:szCs w:val="22"/>
          <w:lang w:eastAsia="en-AU"/>
        </w:rPr>
      </w:pPr>
      <w:hyperlink w:anchor="_Toc447527880" w:history="1">
        <w:r w:rsidR="00794995" w:rsidRPr="00EE401F">
          <w:rPr>
            <w:rStyle w:val="Hyperlink"/>
            <w:noProof/>
            <w:lang w:eastAsia="en-AU"/>
          </w:rPr>
          <w:t>Infographic</w:t>
        </w:r>
        <w:r w:rsidR="00794995">
          <w:rPr>
            <w:noProof/>
            <w:webHidden/>
          </w:rPr>
          <w:tab/>
        </w:r>
        <w:r w:rsidR="00794995">
          <w:rPr>
            <w:noProof/>
            <w:webHidden/>
          </w:rPr>
          <w:fldChar w:fldCharType="begin"/>
        </w:r>
        <w:r w:rsidR="00794995">
          <w:rPr>
            <w:noProof/>
            <w:webHidden/>
          </w:rPr>
          <w:instrText xml:space="preserve"> PAGEREF _Toc447527880 \h </w:instrText>
        </w:r>
        <w:r w:rsidR="00794995">
          <w:rPr>
            <w:noProof/>
            <w:webHidden/>
          </w:rPr>
        </w:r>
        <w:r w:rsidR="00794995">
          <w:rPr>
            <w:noProof/>
            <w:webHidden/>
          </w:rPr>
          <w:fldChar w:fldCharType="separate"/>
        </w:r>
        <w:r w:rsidR="00794995">
          <w:rPr>
            <w:noProof/>
            <w:webHidden/>
          </w:rPr>
          <w:t>3</w:t>
        </w:r>
        <w:r w:rsidR="00794995">
          <w:rPr>
            <w:noProof/>
            <w:webHidden/>
          </w:rPr>
          <w:fldChar w:fldCharType="end"/>
        </w:r>
      </w:hyperlink>
    </w:p>
    <w:p w14:paraId="63D88BBA" w14:textId="77777777" w:rsidR="00794995" w:rsidRDefault="00D21903">
      <w:pPr>
        <w:pStyle w:val="TOC1"/>
        <w:rPr>
          <w:rFonts w:asciiTheme="minorHAnsi" w:eastAsiaTheme="minorEastAsia" w:hAnsiTheme="minorHAnsi" w:cstheme="minorBidi"/>
          <w:noProof/>
          <w:spacing w:val="0"/>
          <w:szCs w:val="22"/>
          <w:lang w:eastAsia="en-AU"/>
        </w:rPr>
      </w:pPr>
      <w:hyperlink w:anchor="_Toc447527881" w:history="1">
        <w:r w:rsidR="00794995" w:rsidRPr="00EE401F">
          <w:rPr>
            <w:rStyle w:val="Hyperlink"/>
            <w:noProof/>
          </w:rPr>
          <w:t>Summary</w:t>
        </w:r>
        <w:r w:rsidR="00794995">
          <w:rPr>
            <w:noProof/>
            <w:webHidden/>
          </w:rPr>
          <w:tab/>
        </w:r>
        <w:r w:rsidR="00794995">
          <w:rPr>
            <w:noProof/>
            <w:webHidden/>
          </w:rPr>
          <w:fldChar w:fldCharType="begin"/>
        </w:r>
        <w:r w:rsidR="00794995">
          <w:rPr>
            <w:noProof/>
            <w:webHidden/>
          </w:rPr>
          <w:instrText xml:space="preserve"> PAGEREF _Toc447527881 \h </w:instrText>
        </w:r>
        <w:r w:rsidR="00794995">
          <w:rPr>
            <w:noProof/>
            <w:webHidden/>
          </w:rPr>
        </w:r>
        <w:r w:rsidR="00794995">
          <w:rPr>
            <w:noProof/>
            <w:webHidden/>
          </w:rPr>
          <w:fldChar w:fldCharType="separate"/>
        </w:r>
        <w:r w:rsidR="00794995">
          <w:rPr>
            <w:noProof/>
            <w:webHidden/>
          </w:rPr>
          <w:t>4</w:t>
        </w:r>
        <w:r w:rsidR="00794995">
          <w:rPr>
            <w:noProof/>
            <w:webHidden/>
          </w:rPr>
          <w:fldChar w:fldCharType="end"/>
        </w:r>
      </w:hyperlink>
    </w:p>
    <w:p w14:paraId="63D88BBB" w14:textId="77777777" w:rsidR="00794995" w:rsidRDefault="00D21903">
      <w:pPr>
        <w:pStyle w:val="TOC1"/>
        <w:rPr>
          <w:rFonts w:asciiTheme="minorHAnsi" w:eastAsiaTheme="minorEastAsia" w:hAnsiTheme="minorHAnsi" w:cstheme="minorBidi"/>
          <w:noProof/>
          <w:spacing w:val="0"/>
          <w:szCs w:val="22"/>
          <w:lang w:eastAsia="en-AU"/>
        </w:rPr>
      </w:pPr>
      <w:hyperlink w:anchor="_Toc447527882" w:history="1">
        <w:r w:rsidR="00794995" w:rsidRPr="00EE401F">
          <w:rPr>
            <w:rStyle w:val="Hyperlink"/>
            <w:rFonts w:eastAsiaTheme="minorHAnsi"/>
            <w:noProof/>
          </w:rPr>
          <w:t>What we did</w:t>
        </w:r>
        <w:r w:rsidR="00794995">
          <w:rPr>
            <w:noProof/>
            <w:webHidden/>
          </w:rPr>
          <w:tab/>
        </w:r>
        <w:r w:rsidR="00794995">
          <w:rPr>
            <w:noProof/>
            <w:webHidden/>
          </w:rPr>
          <w:fldChar w:fldCharType="begin"/>
        </w:r>
        <w:r w:rsidR="00794995">
          <w:rPr>
            <w:noProof/>
            <w:webHidden/>
          </w:rPr>
          <w:instrText xml:space="preserve"> PAGEREF _Toc447527882 \h </w:instrText>
        </w:r>
        <w:r w:rsidR="00794995">
          <w:rPr>
            <w:noProof/>
            <w:webHidden/>
          </w:rPr>
        </w:r>
        <w:r w:rsidR="00794995">
          <w:rPr>
            <w:noProof/>
            <w:webHidden/>
          </w:rPr>
          <w:fldChar w:fldCharType="separate"/>
        </w:r>
        <w:r w:rsidR="00794995">
          <w:rPr>
            <w:noProof/>
            <w:webHidden/>
          </w:rPr>
          <w:t>4</w:t>
        </w:r>
        <w:r w:rsidR="00794995">
          <w:rPr>
            <w:noProof/>
            <w:webHidden/>
          </w:rPr>
          <w:fldChar w:fldCharType="end"/>
        </w:r>
      </w:hyperlink>
    </w:p>
    <w:p w14:paraId="63D88BBC" w14:textId="77777777" w:rsidR="00794995" w:rsidRDefault="00D21903">
      <w:pPr>
        <w:pStyle w:val="TOC1"/>
        <w:rPr>
          <w:rFonts w:asciiTheme="minorHAnsi" w:eastAsiaTheme="minorEastAsia" w:hAnsiTheme="minorHAnsi" w:cstheme="minorBidi"/>
          <w:noProof/>
          <w:spacing w:val="0"/>
          <w:szCs w:val="22"/>
          <w:lang w:eastAsia="en-AU"/>
        </w:rPr>
      </w:pPr>
      <w:hyperlink w:anchor="_Toc447527883" w:history="1">
        <w:r w:rsidR="00794995" w:rsidRPr="00EE401F">
          <w:rPr>
            <w:rStyle w:val="Hyperlink"/>
            <w:noProof/>
          </w:rPr>
          <w:t>Outcomes</w:t>
        </w:r>
        <w:r w:rsidR="00794995">
          <w:rPr>
            <w:noProof/>
            <w:webHidden/>
          </w:rPr>
          <w:tab/>
        </w:r>
        <w:r w:rsidR="00794995">
          <w:rPr>
            <w:noProof/>
            <w:webHidden/>
          </w:rPr>
          <w:fldChar w:fldCharType="begin"/>
        </w:r>
        <w:r w:rsidR="00794995">
          <w:rPr>
            <w:noProof/>
            <w:webHidden/>
          </w:rPr>
          <w:instrText xml:space="preserve"> PAGEREF _Toc447527883 \h </w:instrText>
        </w:r>
        <w:r w:rsidR="00794995">
          <w:rPr>
            <w:noProof/>
            <w:webHidden/>
          </w:rPr>
        </w:r>
        <w:r w:rsidR="00794995">
          <w:rPr>
            <w:noProof/>
            <w:webHidden/>
          </w:rPr>
          <w:fldChar w:fldCharType="separate"/>
        </w:r>
        <w:r w:rsidR="00794995">
          <w:rPr>
            <w:noProof/>
            <w:webHidden/>
          </w:rPr>
          <w:t>5</w:t>
        </w:r>
        <w:r w:rsidR="00794995">
          <w:rPr>
            <w:noProof/>
            <w:webHidden/>
          </w:rPr>
          <w:fldChar w:fldCharType="end"/>
        </w:r>
      </w:hyperlink>
    </w:p>
    <w:p w14:paraId="63D88BBD" w14:textId="77777777" w:rsidR="00794995" w:rsidRDefault="00D21903">
      <w:pPr>
        <w:pStyle w:val="TOC2"/>
        <w:rPr>
          <w:rFonts w:asciiTheme="minorHAnsi" w:eastAsiaTheme="minorEastAsia" w:hAnsiTheme="minorHAnsi" w:cstheme="minorBidi"/>
          <w:noProof/>
          <w:szCs w:val="22"/>
          <w:lang w:eastAsia="en-AU"/>
        </w:rPr>
      </w:pPr>
      <w:hyperlink w:anchor="_Toc447527884" w:history="1">
        <w:r w:rsidR="00794995" w:rsidRPr="00EE401F">
          <w:rPr>
            <w:rStyle w:val="Hyperlink"/>
            <w:noProof/>
          </w:rPr>
          <w:t>Individual Errors</w:t>
        </w:r>
        <w:r w:rsidR="00794995">
          <w:rPr>
            <w:noProof/>
            <w:webHidden/>
          </w:rPr>
          <w:tab/>
        </w:r>
        <w:r w:rsidR="00794995">
          <w:rPr>
            <w:noProof/>
            <w:webHidden/>
          </w:rPr>
          <w:fldChar w:fldCharType="begin"/>
        </w:r>
        <w:r w:rsidR="00794995">
          <w:rPr>
            <w:noProof/>
            <w:webHidden/>
          </w:rPr>
          <w:instrText xml:space="preserve"> PAGEREF _Toc447527884 \h </w:instrText>
        </w:r>
        <w:r w:rsidR="00794995">
          <w:rPr>
            <w:noProof/>
            <w:webHidden/>
          </w:rPr>
        </w:r>
        <w:r w:rsidR="00794995">
          <w:rPr>
            <w:noProof/>
            <w:webHidden/>
          </w:rPr>
          <w:fldChar w:fldCharType="separate"/>
        </w:r>
        <w:r w:rsidR="00794995">
          <w:rPr>
            <w:noProof/>
            <w:webHidden/>
          </w:rPr>
          <w:t>6</w:t>
        </w:r>
        <w:r w:rsidR="00794995">
          <w:rPr>
            <w:noProof/>
            <w:webHidden/>
          </w:rPr>
          <w:fldChar w:fldCharType="end"/>
        </w:r>
      </w:hyperlink>
    </w:p>
    <w:p w14:paraId="63D88BBE" w14:textId="77777777" w:rsidR="00794995" w:rsidRDefault="00D21903">
      <w:pPr>
        <w:pStyle w:val="TOC2"/>
        <w:rPr>
          <w:rFonts w:asciiTheme="minorHAnsi" w:eastAsiaTheme="minorEastAsia" w:hAnsiTheme="minorHAnsi" w:cstheme="minorBidi"/>
          <w:noProof/>
          <w:szCs w:val="22"/>
          <w:lang w:eastAsia="en-AU"/>
        </w:rPr>
      </w:pPr>
      <w:hyperlink w:anchor="_Toc447527885" w:history="1">
        <w:r w:rsidR="00794995" w:rsidRPr="00EE401F">
          <w:rPr>
            <w:rStyle w:val="Hyperlink"/>
            <w:rFonts w:eastAsia="Calibri"/>
            <w:noProof/>
          </w:rPr>
          <w:t xml:space="preserve">Employer Association Membership and </w:t>
        </w:r>
        <w:r w:rsidR="00794995" w:rsidRPr="00EE401F">
          <w:rPr>
            <w:rStyle w:val="Hyperlink"/>
            <w:noProof/>
          </w:rPr>
          <w:t>Business Size</w:t>
        </w:r>
        <w:r w:rsidR="00794995">
          <w:rPr>
            <w:noProof/>
            <w:webHidden/>
          </w:rPr>
          <w:tab/>
        </w:r>
        <w:r w:rsidR="00794995">
          <w:rPr>
            <w:noProof/>
            <w:webHidden/>
          </w:rPr>
          <w:fldChar w:fldCharType="begin"/>
        </w:r>
        <w:r w:rsidR="00794995">
          <w:rPr>
            <w:noProof/>
            <w:webHidden/>
          </w:rPr>
          <w:instrText xml:space="preserve"> PAGEREF _Toc447527885 \h </w:instrText>
        </w:r>
        <w:r w:rsidR="00794995">
          <w:rPr>
            <w:noProof/>
            <w:webHidden/>
          </w:rPr>
        </w:r>
        <w:r w:rsidR="00794995">
          <w:rPr>
            <w:noProof/>
            <w:webHidden/>
          </w:rPr>
          <w:fldChar w:fldCharType="separate"/>
        </w:r>
        <w:r w:rsidR="00794995">
          <w:rPr>
            <w:noProof/>
            <w:webHidden/>
          </w:rPr>
          <w:t>7</w:t>
        </w:r>
        <w:r w:rsidR="00794995">
          <w:rPr>
            <w:noProof/>
            <w:webHidden/>
          </w:rPr>
          <w:fldChar w:fldCharType="end"/>
        </w:r>
      </w:hyperlink>
    </w:p>
    <w:p w14:paraId="63D88BBF" w14:textId="77777777" w:rsidR="00794995" w:rsidRDefault="00D21903">
      <w:pPr>
        <w:pStyle w:val="TOC1"/>
        <w:rPr>
          <w:rFonts w:asciiTheme="minorHAnsi" w:eastAsiaTheme="minorEastAsia" w:hAnsiTheme="minorHAnsi" w:cstheme="minorBidi"/>
          <w:noProof/>
          <w:spacing w:val="0"/>
          <w:szCs w:val="22"/>
          <w:lang w:eastAsia="en-AU"/>
        </w:rPr>
      </w:pPr>
      <w:hyperlink w:anchor="_Toc447527886" w:history="1">
        <w:r w:rsidR="00794995" w:rsidRPr="00EE401F">
          <w:rPr>
            <w:rStyle w:val="Hyperlink"/>
            <w:noProof/>
          </w:rPr>
          <w:t>Conclusion</w:t>
        </w:r>
        <w:r w:rsidR="00794995">
          <w:rPr>
            <w:noProof/>
            <w:webHidden/>
          </w:rPr>
          <w:tab/>
        </w:r>
        <w:r w:rsidR="00794995">
          <w:rPr>
            <w:noProof/>
            <w:webHidden/>
          </w:rPr>
          <w:fldChar w:fldCharType="begin"/>
        </w:r>
        <w:r w:rsidR="00794995">
          <w:rPr>
            <w:noProof/>
            <w:webHidden/>
          </w:rPr>
          <w:instrText xml:space="preserve"> PAGEREF _Toc447527886 \h </w:instrText>
        </w:r>
        <w:r w:rsidR="00794995">
          <w:rPr>
            <w:noProof/>
            <w:webHidden/>
          </w:rPr>
        </w:r>
        <w:r w:rsidR="00794995">
          <w:rPr>
            <w:noProof/>
            <w:webHidden/>
          </w:rPr>
          <w:fldChar w:fldCharType="separate"/>
        </w:r>
        <w:r w:rsidR="00794995">
          <w:rPr>
            <w:noProof/>
            <w:webHidden/>
          </w:rPr>
          <w:t>8</w:t>
        </w:r>
        <w:r w:rsidR="00794995">
          <w:rPr>
            <w:noProof/>
            <w:webHidden/>
          </w:rPr>
          <w:fldChar w:fldCharType="end"/>
        </w:r>
      </w:hyperlink>
    </w:p>
    <w:p w14:paraId="63D88BC0" w14:textId="77777777" w:rsidR="003A09DF" w:rsidRPr="005F329E" w:rsidRDefault="003A09DF" w:rsidP="003A09DF">
      <w:r w:rsidRPr="005F329E">
        <w:fldChar w:fldCharType="end"/>
      </w:r>
    </w:p>
    <w:p w14:paraId="63D88BC1" w14:textId="77777777" w:rsidR="003A09DF" w:rsidRPr="005F329E" w:rsidRDefault="003A09DF" w:rsidP="000A6EB4">
      <w:pPr>
        <w:pStyle w:val="Heading1"/>
        <w:rPr>
          <w:lang w:eastAsia="en-AU"/>
        </w:rPr>
      </w:pPr>
      <w:r w:rsidRPr="005F329E">
        <w:rPr>
          <w:lang w:eastAsia="en-AU"/>
        </w:rPr>
        <w:br w:type="page"/>
      </w:r>
      <w:bookmarkStart w:id="2" w:name="_Toc447527880"/>
      <w:r w:rsidRPr="005F329E">
        <w:rPr>
          <w:lang w:eastAsia="en-AU"/>
        </w:rPr>
        <w:lastRenderedPageBreak/>
        <w:t>Infographic</w:t>
      </w:r>
      <w:bookmarkEnd w:id="2"/>
      <w:r w:rsidRPr="005F329E">
        <w:rPr>
          <w:lang w:eastAsia="en-AU"/>
        </w:rPr>
        <w:t xml:space="preserve"> </w:t>
      </w:r>
    </w:p>
    <w:p w14:paraId="63D88BC2" w14:textId="77777777" w:rsidR="003A09DF" w:rsidRPr="005F329E" w:rsidRDefault="00533785" w:rsidP="003A09DF">
      <w:pPr>
        <w:spacing w:after="0" w:line="240" w:lineRule="auto"/>
        <w:rPr>
          <w:sz w:val="48"/>
          <w:szCs w:val="48"/>
          <w:lang w:eastAsia="en-AU"/>
        </w:rPr>
      </w:pPr>
      <w:r>
        <w:rPr>
          <w:noProof/>
          <w:lang w:eastAsia="en-AU"/>
        </w:rPr>
        <w:drawing>
          <wp:anchor distT="0" distB="0" distL="114300" distR="114300" simplePos="0" relativeHeight="251661312" behindDoc="0" locked="0" layoutInCell="1" allowOverlap="1" wp14:anchorId="63D88C16" wp14:editId="451672FF">
            <wp:simplePos x="0" y="0"/>
            <wp:positionH relativeFrom="margin">
              <wp:posOffset>-810260</wp:posOffset>
            </wp:positionH>
            <wp:positionV relativeFrom="paragraph">
              <wp:posOffset>-1282700</wp:posOffset>
            </wp:positionV>
            <wp:extent cx="7553325" cy="10753725"/>
            <wp:effectExtent l="0" t="0" r="9525" b="9525"/>
            <wp:wrapNone/>
            <wp:docPr id="2" name="Picture 2" title="Campaign results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 ACT Regional Campaign DRAFT V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3867" cy="10754497"/>
                    </a:xfrm>
                    <a:prstGeom prst="rect">
                      <a:avLst/>
                    </a:prstGeom>
                  </pic:spPr>
                </pic:pic>
              </a:graphicData>
            </a:graphic>
            <wp14:sizeRelH relativeFrom="page">
              <wp14:pctWidth>0</wp14:pctWidth>
            </wp14:sizeRelH>
            <wp14:sizeRelV relativeFrom="page">
              <wp14:pctHeight>0</wp14:pctHeight>
            </wp14:sizeRelV>
          </wp:anchor>
        </w:drawing>
      </w:r>
    </w:p>
    <w:p w14:paraId="63D88BC3" w14:textId="77777777" w:rsidR="003A09DF" w:rsidRPr="005F329E" w:rsidRDefault="003A09DF" w:rsidP="003A09DF">
      <w:pPr>
        <w:rPr>
          <w:lang w:eastAsia="en-AU"/>
        </w:rPr>
      </w:pPr>
      <w:r w:rsidRPr="005F329E">
        <w:rPr>
          <w:lang w:eastAsia="en-AU"/>
        </w:rPr>
        <w:br w:type="page"/>
      </w:r>
    </w:p>
    <w:p w14:paraId="63D88BC4" w14:textId="77777777" w:rsidR="003A09DF" w:rsidRPr="005F329E" w:rsidRDefault="003A09DF" w:rsidP="000716DE">
      <w:pPr>
        <w:pStyle w:val="Heading1"/>
        <w:spacing w:line="276" w:lineRule="auto"/>
      </w:pPr>
      <w:bookmarkStart w:id="3" w:name="_Toc447527881"/>
      <w:r w:rsidRPr="005F329E">
        <w:lastRenderedPageBreak/>
        <w:t>Summary</w:t>
      </w:r>
      <w:bookmarkEnd w:id="3"/>
    </w:p>
    <w:p w14:paraId="63D88BC5" w14:textId="77777777" w:rsidR="00FB114E" w:rsidRDefault="003A09DF" w:rsidP="000716DE">
      <w:pPr>
        <w:spacing w:after="0"/>
      </w:pPr>
      <w:r w:rsidRPr="005F329E">
        <w:t>In April 2015, the Fair Work Ombudsman</w:t>
      </w:r>
      <w:r w:rsidR="00E25BCA" w:rsidRPr="005F329E">
        <w:t xml:space="preserve"> (FWO)</w:t>
      </w:r>
      <w:r w:rsidRPr="005F329E">
        <w:t xml:space="preserve"> commenced</w:t>
      </w:r>
      <w:r w:rsidR="00FB114E">
        <w:t xml:space="preserve"> the Northern ACT Regional Campaign (the campaign).  The campaign was an education and compliance campaign conducted in the northern region (the region) of the Australian Capital Territory (ACT).  The campaign was undertaken in response to a number of factors</w:t>
      </w:r>
      <w:r w:rsidR="00DB7FEB">
        <w:t>,</w:t>
      </w:r>
      <w:r w:rsidR="00FB114E">
        <w:t xml:space="preserve"> including</w:t>
      </w:r>
      <w:r w:rsidR="00533785">
        <w:t xml:space="preserve"> high violation rates in</w:t>
      </w:r>
      <w:r w:rsidR="00FB114E">
        <w:t xml:space="preserve"> Requests for Assistance (</w:t>
      </w:r>
      <w:proofErr w:type="spellStart"/>
      <w:r w:rsidR="00FB114E">
        <w:t>RfA’s</w:t>
      </w:r>
      <w:proofErr w:type="spellEnd"/>
      <w:r w:rsidR="00FB114E">
        <w:t>) received</w:t>
      </w:r>
      <w:r w:rsidR="00533785">
        <w:t xml:space="preserve"> </w:t>
      </w:r>
      <w:r w:rsidR="00DB7FEB">
        <w:t xml:space="preserve">by the FWO.  The region also has </w:t>
      </w:r>
      <w:r w:rsidR="00533785">
        <w:t xml:space="preserve">higher than average </w:t>
      </w:r>
      <w:r w:rsidR="00DB7FEB">
        <w:t xml:space="preserve">numbers of vulnerable employees, </w:t>
      </w:r>
      <w:r w:rsidR="00533785">
        <w:t>such as young workers and individuals from culturally and linguistically diverse</w:t>
      </w:r>
      <w:r w:rsidR="002038E5">
        <w:t xml:space="preserve"> (</w:t>
      </w:r>
      <w:proofErr w:type="spellStart"/>
      <w:r w:rsidR="002038E5">
        <w:t>CALD</w:t>
      </w:r>
      <w:proofErr w:type="spellEnd"/>
      <w:r w:rsidR="002038E5">
        <w:t>)</w:t>
      </w:r>
      <w:r w:rsidR="00533785">
        <w:t xml:space="preserve"> backgrounds</w:t>
      </w:r>
      <w:r w:rsidR="00DB7FEB">
        <w:t xml:space="preserve">.  </w:t>
      </w:r>
    </w:p>
    <w:p w14:paraId="63D88BC6" w14:textId="77777777" w:rsidR="00284BE1" w:rsidRPr="00FB114E" w:rsidRDefault="00284BE1" w:rsidP="00794995">
      <w:pPr>
        <w:spacing w:before="240" w:after="0"/>
      </w:pPr>
      <w:r w:rsidRPr="00FB114E">
        <w:t>The campaign was specifically conducted to:</w:t>
      </w:r>
    </w:p>
    <w:p w14:paraId="63D88BC7" w14:textId="77777777" w:rsidR="003A09DF" w:rsidRPr="00FB114E" w:rsidRDefault="00284BE1" w:rsidP="003A09DF">
      <w:pPr>
        <w:pStyle w:val="ListParagraph"/>
        <w:numPr>
          <w:ilvl w:val="0"/>
          <w:numId w:val="5"/>
        </w:numPr>
      </w:pPr>
      <w:r w:rsidRPr="00FB114E">
        <w:t>p</w:t>
      </w:r>
      <w:r w:rsidR="003A09DF" w:rsidRPr="00FB114E">
        <w:t xml:space="preserve">romote a culture of ongoing compliance by ensuring businesses are well informed about their employment obligations; </w:t>
      </w:r>
    </w:p>
    <w:p w14:paraId="63D88BC8" w14:textId="77777777" w:rsidR="00FB114E" w:rsidRPr="00FB114E" w:rsidRDefault="00FB114E" w:rsidP="003A09DF">
      <w:pPr>
        <w:pStyle w:val="ListParagraph"/>
        <w:numPr>
          <w:ilvl w:val="0"/>
          <w:numId w:val="5"/>
        </w:numPr>
      </w:pPr>
      <w:r w:rsidRPr="00FB114E">
        <w:t xml:space="preserve">assist businesses to comply with their workplace obligations by promoting the FWO educational tools and resources such as My Account, the Online Learning Centre, downloadable templates and Best Practice Guides; </w:t>
      </w:r>
      <w:r w:rsidR="005E1F23">
        <w:t>and</w:t>
      </w:r>
    </w:p>
    <w:p w14:paraId="63D88BC9" w14:textId="77777777" w:rsidR="007C491D" w:rsidRDefault="00FB114E" w:rsidP="003A09DF">
      <w:pPr>
        <w:pStyle w:val="ListParagraph"/>
        <w:numPr>
          <w:ilvl w:val="0"/>
          <w:numId w:val="5"/>
        </w:numPr>
      </w:pPr>
      <w:proofErr w:type="gramStart"/>
      <w:r w:rsidRPr="00FB114E">
        <w:t>conduct</w:t>
      </w:r>
      <w:proofErr w:type="gramEnd"/>
      <w:r w:rsidRPr="00FB114E">
        <w:t xml:space="preserve"> assessments of time and wages records </w:t>
      </w:r>
      <w:r w:rsidR="007C491D">
        <w:t xml:space="preserve">against the relevant award/agreement to ensure compliance with Commonwealth workplace laws.  </w:t>
      </w:r>
    </w:p>
    <w:p w14:paraId="63D88BCA" w14:textId="77777777" w:rsidR="003A09DF" w:rsidRPr="006B4660" w:rsidRDefault="00095CAE" w:rsidP="00FB114E">
      <w:pPr>
        <w:spacing w:after="0"/>
      </w:pPr>
      <w:r w:rsidRPr="006B4660">
        <w:t>From the 76 businesses audited:</w:t>
      </w:r>
    </w:p>
    <w:p w14:paraId="63D88BCB" w14:textId="77777777" w:rsidR="003A09DF" w:rsidRPr="006B4660" w:rsidRDefault="003A09DF" w:rsidP="003A09DF">
      <w:pPr>
        <w:pStyle w:val="ListParagraph"/>
        <w:numPr>
          <w:ilvl w:val="0"/>
          <w:numId w:val="4"/>
        </w:numPr>
        <w:spacing w:after="0"/>
        <w:ind w:left="714" w:hanging="357"/>
        <w:rPr>
          <w:rFonts w:eastAsiaTheme="minorHAnsi"/>
          <w:szCs w:val="22"/>
        </w:rPr>
      </w:pPr>
      <w:r w:rsidRPr="006B4660">
        <w:rPr>
          <w:rFonts w:eastAsiaTheme="minorHAnsi"/>
          <w:szCs w:val="22"/>
        </w:rPr>
        <w:t>43 (57%) were compliant with all requirements;</w:t>
      </w:r>
    </w:p>
    <w:p w14:paraId="63D88BCC" w14:textId="77777777" w:rsidR="003A09DF" w:rsidRPr="006B4660" w:rsidRDefault="003A09DF" w:rsidP="003A09DF">
      <w:pPr>
        <w:pStyle w:val="ListParagraph"/>
        <w:numPr>
          <w:ilvl w:val="0"/>
          <w:numId w:val="4"/>
        </w:numPr>
        <w:spacing w:after="0"/>
        <w:ind w:left="714" w:hanging="357"/>
        <w:rPr>
          <w:rFonts w:eastAsiaTheme="minorHAnsi"/>
          <w:szCs w:val="22"/>
        </w:rPr>
      </w:pPr>
      <w:r w:rsidRPr="006B4660">
        <w:rPr>
          <w:rFonts w:eastAsiaTheme="minorHAnsi"/>
          <w:szCs w:val="22"/>
        </w:rPr>
        <w:t>57 (75%) were payin</w:t>
      </w:r>
      <w:r w:rsidR="00095CAE" w:rsidRPr="006B4660">
        <w:rPr>
          <w:rFonts w:eastAsiaTheme="minorHAnsi"/>
          <w:szCs w:val="22"/>
        </w:rPr>
        <w:t xml:space="preserve">g their employees correctly; </w:t>
      </w:r>
    </w:p>
    <w:p w14:paraId="63D88BCD" w14:textId="77777777" w:rsidR="00095CAE" w:rsidRPr="006B4660" w:rsidRDefault="003A09DF" w:rsidP="003A09DF">
      <w:pPr>
        <w:pStyle w:val="ListParagraph"/>
        <w:numPr>
          <w:ilvl w:val="0"/>
          <w:numId w:val="4"/>
        </w:numPr>
        <w:spacing w:after="0"/>
        <w:ind w:left="714" w:hanging="357"/>
        <w:rPr>
          <w:rFonts w:eastAsiaTheme="minorHAnsi"/>
          <w:szCs w:val="22"/>
        </w:rPr>
      </w:pPr>
      <w:r w:rsidRPr="006B4660">
        <w:rPr>
          <w:rFonts w:eastAsiaTheme="minorHAnsi"/>
          <w:szCs w:val="22"/>
        </w:rPr>
        <w:t>58 (76%) were compliant with record-keeping and pay slip requirements</w:t>
      </w:r>
      <w:r w:rsidR="00095CAE" w:rsidRPr="006B4660">
        <w:rPr>
          <w:rFonts w:eastAsiaTheme="minorHAnsi"/>
          <w:szCs w:val="22"/>
        </w:rPr>
        <w:t>;</w:t>
      </w:r>
    </w:p>
    <w:p w14:paraId="63D88BCE" w14:textId="77777777" w:rsidR="00095CAE" w:rsidRPr="006B4660" w:rsidRDefault="003A09DF" w:rsidP="003A09DF">
      <w:pPr>
        <w:pStyle w:val="ListParagraph"/>
        <w:numPr>
          <w:ilvl w:val="0"/>
          <w:numId w:val="4"/>
        </w:numPr>
        <w:spacing w:after="0"/>
        <w:ind w:left="714" w:hanging="357"/>
        <w:rPr>
          <w:rFonts w:eastAsiaTheme="minorHAnsi"/>
          <w:szCs w:val="22"/>
        </w:rPr>
      </w:pPr>
      <w:r w:rsidRPr="006B4660">
        <w:rPr>
          <w:rFonts w:eastAsiaTheme="minorHAnsi"/>
        </w:rPr>
        <w:t>$16 385 was recovered from 19 businesses on behalf of 24 employees</w:t>
      </w:r>
      <w:r w:rsidR="006B4660" w:rsidRPr="006B4660">
        <w:rPr>
          <w:rFonts w:eastAsiaTheme="minorHAnsi"/>
        </w:rPr>
        <w:t xml:space="preserve">; </w:t>
      </w:r>
      <w:r w:rsidR="00164ABA" w:rsidRPr="006B4660">
        <w:rPr>
          <w:rFonts w:eastAsiaTheme="minorHAnsi"/>
        </w:rPr>
        <w:t xml:space="preserve">and </w:t>
      </w:r>
    </w:p>
    <w:p w14:paraId="63D88BCF" w14:textId="77777777" w:rsidR="003A09DF" w:rsidRPr="006B4660" w:rsidRDefault="00095CAE" w:rsidP="003A09DF">
      <w:pPr>
        <w:pStyle w:val="ListParagraph"/>
        <w:numPr>
          <w:ilvl w:val="0"/>
          <w:numId w:val="4"/>
        </w:numPr>
        <w:spacing w:after="0"/>
        <w:ind w:left="714" w:hanging="357"/>
        <w:rPr>
          <w:rFonts w:eastAsiaTheme="minorHAnsi"/>
          <w:szCs w:val="22"/>
        </w:rPr>
      </w:pPr>
      <w:r w:rsidRPr="006B4660">
        <w:rPr>
          <w:rFonts w:eastAsiaTheme="minorHAnsi"/>
        </w:rPr>
        <w:t xml:space="preserve">1 Enforceable Undertaking </w:t>
      </w:r>
      <w:r w:rsidR="00FB114E" w:rsidRPr="006B4660">
        <w:rPr>
          <w:rFonts w:eastAsiaTheme="minorHAnsi"/>
        </w:rPr>
        <w:t xml:space="preserve">was </w:t>
      </w:r>
      <w:r w:rsidRPr="006B4660">
        <w:rPr>
          <w:rFonts w:eastAsiaTheme="minorHAnsi"/>
        </w:rPr>
        <w:t>executed and 1</w:t>
      </w:r>
      <w:r w:rsidR="00164ABA" w:rsidRPr="006B4660">
        <w:rPr>
          <w:rFonts w:eastAsiaTheme="minorHAnsi"/>
        </w:rPr>
        <w:t xml:space="preserve"> formal </w:t>
      </w:r>
      <w:r w:rsidR="003A09DF" w:rsidRPr="006B4660">
        <w:rPr>
          <w:rFonts w:eastAsiaTheme="minorHAnsi"/>
        </w:rPr>
        <w:t xml:space="preserve">caution was issued. </w:t>
      </w:r>
    </w:p>
    <w:p w14:paraId="63D88BD0" w14:textId="77777777" w:rsidR="003A09DF" w:rsidRPr="005F329E" w:rsidRDefault="003A09DF" w:rsidP="000716DE">
      <w:pPr>
        <w:pStyle w:val="Heading1"/>
        <w:spacing w:line="276" w:lineRule="auto"/>
        <w:rPr>
          <w:rFonts w:eastAsiaTheme="minorHAnsi"/>
        </w:rPr>
      </w:pPr>
      <w:bookmarkStart w:id="4" w:name="_Toc445802395"/>
      <w:bookmarkStart w:id="5" w:name="_Toc447527882"/>
      <w:r w:rsidRPr="005F329E">
        <w:rPr>
          <w:rFonts w:eastAsiaTheme="minorHAnsi"/>
        </w:rPr>
        <w:t>What we did</w:t>
      </w:r>
      <w:bookmarkEnd w:id="4"/>
      <w:bookmarkEnd w:id="5"/>
    </w:p>
    <w:p w14:paraId="63D88BD1" w14:textId="77777777" w:rsidR="006B4660" w:rsidRDefault="00DB7FEB" w:rsidP="00794995">
      <w:r>
        <w:t>The</w:t>
      </w:r>
      <w:r w:rsidR="006B4660">
        <w:t xml:space="preserve"> FWO contacted various</w:t>
      </w:r>
      <w:r w:rsidR="00DD6DD2" w:rsidRPr="005F329E">
        <w:t xml:space="preserve"> stakeholders in the region to </w:t>
      </w:r>
      <w:r w:rsidR="006B4660">
        <w:t>advise them of the campaign and to assist with the promotion of the campaign.  These included:</w:t>
      </w:r>
    </w:p>
    <w:p w14:paraId="63D88BD2" w14:textId="77777777" w:rsidR="003A09DF" w:rsidRPr="005F329E" w:rsidRDefault="003A09DF" w:rsidP="00794995">
      <w:pPr>
        <w:pStyle w:val="Bullet"/>
      </w:pPr>
      <w:r w:rsidRPr="005F329E">
        <w:t>Canberra Business Chamber</w:t>
      </w:r>
      <w:r w:rsidR="006B4660">
        <w:t>;</w:t>
      </w:r>
    </w:p>
    <w:p w14:paraId="63D88BD3" w14:textId="77777777" w:rsidR="003A09DF" w:rsidRPr="005F329E" w:rsidRDefault="003A09DF" w:rsidP="00794995">
      <w:pPr>
        <w:pStyle w:val="Bullet"/>
      </w:pPr>
      <w:r w:rsidRPr="005F329E">
        <w:t>North Canberra Community Council</w:t>
      </w:r>
      <w:r w:rsidR="006B4660">
        <w:t>;</w:t>
      </w:r>
    </w:p>
    <w:p w14:paraId="63D88BD4" w14:textId="77777777" w:rsidR="003A09DF" w:rsidRPr="005F329E" w:rsidRDefault="003A09DF" w:rsidP="00794995">
      <w:pPr>
        <w:pStyle w:val="Bullet"/>
      </w:pPr>
      <w:r w:rsidRPr="005F329E">
        <w:t>Belconnen Community Council</w:t>
      </w:r>
      <w:r w:rsidR="006B4660">
        <w:t>; and</w:t>
      </w:r>
    </w:p>
    <w:p w14:paraId="63D88BD5" w14:textId="77777777" w:rsidR="003A09DF" w:rsidRPr="005F329E" w:rsidRDefault="003A09DF" w:rsidP="00794995">
      <w:pPr>
        <w:pStyle w:val="Bullet"/>
      </w:pPr>
      <w:r w:rsidRPr="005F329E">
        <w:t>Gungahlin Community Council</w:t>
      </w:r>
      <w:r w:rsidR="006B4660">
        <w:t>.</w:t>
      </w:r>
    </w:p>
    <w:p w14:paraId="63D88BD6" w14:textId="77777777" w:rsidR="00095CAE" w:rsidRPr="006B4660" w:rsidRDefault="003A09DF" w:rsidP="00794995">
      <w:pPr>
        <w:spacing w:before="240" w:after="0"/>
      </w:pPr>
      <w:r w:rsidRPr="005F329E">
        <w:t xml:space="preserve">The campaign was also promoted in </w:t>
      </w:r>
      <w:r w:rsidR="006B4660">
        <w:t>the</w:t>
      </w:r>
      <w:r w:rsidRPr="005F329E">
        <w:t xml:space="preserve"> media (both traditional and social media) to inform businesses in the region that the campaign was occurring, and to more widely publicise the resources that FWO makes available to assist businesses. </w:t>
      </w:r>
      <w:r w:rsidR="006B4660">
        <w:t>F</w:t>
      </w:r>
      <w:r w:rsidR="00826C18">
        <w:t>air Work Inspectors (</w:t>
      </w:r>
      <w:proofErr w:type="spellStart"/>
      <w:r w:rsidR="00826C18">
        <w:t>FWI’s</w:t>
      </w:r>
      <w:proofErr w:type="spellEnd"/>
      <w:r w:rsidR="00826C18">
        <w:t xml:space="preserve">) </w:t>
      </w:r>
      <w:r w:rsidR="00095CAE" w:rsidRPr="005F329E">
        <w:t xml:space="preserve">audited businesses in suburbs </w:t>
      </w:r>
      <w:r w:rsidR="006B4660">
        <w:t xml:space="preserve">including </w:t>
      </w:r>
      <w:r w:rsidR="00095CAE" w:rsidRPr="006C5891">
        <w:t xml:space="preserve">Macquarie, Gungahlin, </w:t>
      </w:r>
      <w:r w:rsidR="0068550D">
        <w:t>Dickson and</w:t>
      </w:r>
      <w:r w:rsidR="00095CAE" w:rsidRPr="006C5891">
        <w:t xml:space="preserve"> Braddon.</w:t>
      </w:r>
      <w:r w:rsidR="006B4660" w:rsidRPr="006C5891">
        <w:t xml:space="preserve">  </w:t>
      </w:r>
      <w:r w:rsidR="00095CAE" w:rsidRPr="006C5891">
        <w:t>Bu</w:t>
      </w:r>
      <w:r w:rsidR="006B4660" w:rsidRPr="006C5891">
        <w:t>sinesses were selected randomly</w:t>
      </w:r>
      <w:r w:rsidR="006B4660" w:rsidRPr="006B4660">
        <w:t xml:space="preserve"> however</w:t>
      </w:r>
      <w:r w:rsidR="00095CAE" w:rsidRPr="006B4660">
        <w:t xml:space="preserve"> the Retail</w:t>
      </w:r>
      <w:r w:rsidR="00DD6DD2" w:rsidRPr="006B4660">
        <w:t>, Hairdressing</w:t>
      </w:r>
      <w:r w:rsidR="00095CAE" w:rsidRPr="006B4660">
        <w:t xml:space="preserve"> and </w:t>
      </w:r>
      <w:r w:rsidR="00095CAE" w:rsidRPr="006B4660">
        <w:rPr>
          <w:rFonts w:eastAsia="Calibri"/>
        </w:rPr>
        <w:t>Accommodation and Food Services i</w:t>
      </w:r>
      <w:r w:rsidR="00095CAE" w:rsidRPr="006B4660">
        <w:t xml:space="preserve">ndustries </w:t>
      </w:r>
      <w:r w:rsidR="00095CAE" w:rsidRPr="006B4660">
        <w:rPr>
          <w:rFonts w:eastAsia="Calibri"/>
        </w:rPr>
        <w:t>were assigned a higher priority b</w:t>
      </w:r>
      <w:r w:rsidR="00095CAE" w:rsidRPr="006B4660">
        <w:t xml:space="preserve">ased </w:t>
      </w:r>
      <w:r w:rsidR="006B4660" w:rsidRPr="006B4660">
        <w:t xml:space="preserve">on the </w:t>
      </w:r>
      <w:proofErr w:type="spellStart"/>
      <w:r w:rsidR="00095CAE" w:rsidRPr="006B4660">
        <w:t>RfA</w:t>
      </w:r>
      <w:r w:rsidR="002038E5">
        <w:t>’</w:t>
      </w:r>
      <w:r w:rsidR="00095CAE" w:rsidRPr="006B4660">
        <w:t>s</w:t>
      </w:r>
      <w:proofErr w:type="spellEnd"/>
      <w:r w:rsidR="00095CAE" w:rsidRPr="006B4660">
        <w:t xml:space="preserve"> received from those industries in the region</w:t>
      </w:r>
      <w:r w:rsidR="00095CAE" w:rsidRPr="006B4660">
        <w:rPr>
          <w:rFonts w:eastAsia="Calibri"/>
        </w:rPr>
        <w:t>.</w:t>
      </w:r>
    </w:p>
    <w:p w14:paraId="63D88BD7" w14:textId="77777777" w:rsidR="00095CAE" w:rsidRPr="00A71BBC" w:rsidRDefault="00095CAE" w:rsidP="00095CAE">
      <w:r w:rsidRPr="00A71BBC">
        <w:t xml:space="preserve">A sample of time and wage records was requested and </w:t>
      </w:r>
      <w:proofErr w:type="spellStart"/>
      <w:r w:rsidRPr="00A71BBC">
        <w:t>FWI</w:t>
      </w:r>
      <w:r w:rsidR="00A71BBC" w:rsidRPr="00A71BBC">
        <w:t>’</w:t>
      </w:r>
      <w:r w:rsidRPr="00A71BBC">
        <w:t>s</w:t>
      </w:r>
      <w:proofErr w:type="spellEnd"/>
      <w:r w:rsidRPr="00A71BBC">
        <w:t xml:space="preserve"> assessed compliance with the </w:t>
      </w:r>
      <w:r w:rsidRPr="00A71BBC">
        <w:rPr>
          <w:i/>
        </w:rPr>
        <w:t xml:space="preserve">Fair Work Act 2009 </w:t>
      </w:r>
      <w:r w:rsidRPr="00A71BBC">
        <w:t xml:space="preserve">(the Act), the </w:t>
      </w:r>
      <w:r w:rsidRPr="00A71BBC">
        <w:rPr>
          <w:i/>
        </w:rPr>
        <w:t>Fair Work Regulations 2009</w:t>
      </w:r>
      <w:r w:rsidRPr="00A71BBC">
        <w:t xml:space="preserve"> (the Regulations) and the applicable award/agreement.  Where businesses had errors, the FWO required them to rectify the issue and provide proof of having done so (including back-paying underpaid employees).  </w:t>
      </w:r>
    </w:p>
    <w:p w14:paraId="63D88BD8" w14:textId="77777777" w:rsidR="003A09DF" w:rsidRPr="00A71BBC" w:rsidRDefault="00095CAE" w:rsidP="00A31612">
      <w:pPr>
        <w:spacing w:after="0"/>
      </w:pPr>
      <w:proofErr w:type="spellStart"/>
      <w:r w:rsidRPr="00A71BBC">
        <w:t>FWI</w:t>
      </w:r>
      <w:r w:rsidR="002038E5">
        <w:t>’</w:t>
      </w:r>
      <w:r w:rsidRPr="00A71BBC">
        <w:t>s</w:t>
      </w:r>
      <w:proofErr w:type="spellEnd"/>
      <w:r w:rsidRPr="00A71BBC">
        <w:t xml:space="preserve"> also provided businesses with information and resources to help them comply with their obligations under Commonwealth workplace laws. </w:t>
      </w:r>
      <w:r w:rsidR="003A09DF" w:rsidRPr="00A71BBC">
        <w:t>The</w:t>
      </w:r>
      <w:r w:rsidR="00A71BBC">
        <w:t xml:space="preserve">se </w:t>
      </w:r>
      <w:r w:rsidR="003A09DF" w:rsidRPr="00A71BBC">
        <w:t xml:space="preserve">resources </w:t>
      </w:r>
      <w:r w:rsidR="00A71BBC">
        <w:t xml:space="preserve">included:  </w:t>
      </w:r>
    </w:p>
    <w:p w14:paraId="63D88BD9" w14:textId="77777777" w:rsidR="003A09DF" w:rsidRPr="005F329E" w:rsidRDefault="00D21903" w:rsidP="003A09DF">
      <w:pPr>
        <w:pStyle w:val="ListParagraph"/>
        <w:numPr>
          <w:ilvl w:val="0"/>
          <w:numId w:val="7"/>
        </w:numPr>
      </w:pPr>
      <w:hyperlink r:id="rId10" w:history="1">
        <w:r w:rsidR="00DD6DD2" w:rsidRPr="005F329E">
          <w:rPr>
            <w:rStyle w:val="Hyperlink"/>
            <w:rFonts w:cs="Arial"/>
          </w:rPr>
          <w:t xml:space="preserve">My </w:t>
        </w:r>
        <w:r w:rsidR="003A09DF" w:rsidRPr="005F329E">
          <w:rPr>
            <w:rStyle w:val="Hyperlink"/>
            <w:rFonts w:cs="Arial"/>
          </w:rPr>
          <w:t>Account</w:t>
        </w:r>
      </w:hyperlink>
      <w:r w:rsidR="003A09DF" w:rsidRPr="005F329E">
        <w:t xml:space="preserve"> (and how to register);</w:t>
      </w:r>
    </w:p>
    <w:p w14:paraId="63D88BDA" w14:textId="77777777" w:rsidR="003A09DF" w:rsidRPr="005F329E" w:rsidRDefault="003A09DF" w:rsidP="003A09DF">
      <w:pPr>
        <w:pStyle w:val="ListParagraph"/>
        <w:numPr>
          <w:ilvl w:val="0"/>
          <w:numId w:val="7"/>
        </w:numPr>
      </w:pPr>
      <w:r w:rsidRPr="005F329E">
        <w:t xml:space="preserve">FWO </w:t>
      </w:r>
      <w:hyperlink r:id="rId11" w:history="1">
        <w:r w:rsidR="00DD6DD2" w:rsidRPr="005F329E">
          <w:rPr>
            <w:rStyle w:val="Hyperlink"/>
            <w:rFonts w:cs="Arial"/>
          </w:rPr>
          <w:t>online training</w:t>
        </w:r>
        <w:r w:rsidRPr="005F329E">
          <w:rPr>
            <w:rStyle w:val="Hyperlink"/>
            <w:rFonts w:cs="Arial"/>
          </w:rPr>
          <w:t xml:space="preserve"> </w:t>
        </w:r>
      </w:hyperlink>
      <w:r w:rsidRPr="005F329E">
        <w:t>courses;</w:t>
      </w:r>
    </w:p>
    <w:p w14:paraId="63D88BDB" w14:textId="77777777" w:rsidR="003A09DF" w:rsidRPr="005F329E" w:rsidRDefault="00DD6DD2" w:rsidP="003A09DF">
      <w:pPr>
        <w:pStyle w:val="ListParagraph"/>
        <w:numPr>
          <w:ilvl w:val="0"/>
          <w:numId w:val="7"/>
        </w:numPr>
      </w:pPr>
      <w:r w:rsidRPr="005F329E">
        <w:t>Pay and Conditions Tool (</w:t>
      </w:r>
      <w:hyperlink r:id="rId12" w:history="1">
        <w:r w:rsidRPr="005F329E">
          <w:rPr>
            <w:rStyle w:val="Hyperlink"/>
            <w:rFonts w:cs="Arial"/>
          </w:rPr>
          <w:t>PACT</w:t>
        </w:r>
      </w:hyperlink>
      <w:r w:rsidRPr="005F329E">
        <w:t>)</w:t>
      </w:r>
      <w:r w:rsidR="003A09DF" w:rsidRPr="005F329E">
        <w:t>; and</w:t>
      </w:r>
    </w:p>
    <w:p w14:paraId="63D88BDC" w14:textId="77777777" w:rsidR="003A09DF" w:rsidRPr="005F329E" w:rsidRDefault="0041666A" w:rsidP="000A6EB4">
      <w:pPr>
        <w:pStyle w:val="ListParagraph"/>
        <w:numPr>
          <w:ilvl w:val="0"/>
          <w:numId w:val="7"/>
        </w:numPr>
        <w:spacing w:after="0"/>
      </w:pPr>
      <w:r w:rsidRPr="005F329E">
        <w:t>Downloadable</w:t>
      </w:r>
      <w:r w:rsidR="003A09DF" w:rsidRPr="005F329E">
        <w:t xml:space="preserve"> best practice </w:t>
      </w:r>
      <w:hyperlink r:id="rId13" w:history="1">
        <w:r w:rsidR="003A09DF" w:rsidRPr="005F329E">
          <w:rPr>
            <w:rStyle w:val="Hyperlink"/>
            <w:rFonts w:cs="Arial"/>
          </w:rPr>
          <w:t>templates</w:t>
        </w:r>
      </w:hyperlink>
      <w:r w:rsidR="003A09DF" w:rsidRPr="005F329E">
        <w:t xml:space="preserve"> such as record-keeping and pay slips.</w:t>
      </w:r>
      <w:bookmarkStart w:id="6" w:name="_Toc445802396"/>
      <w:bookmarkStart w:id="7" w:name="_Toc410822215"/>
    </w:p>
    <w:p w14:paraId="63D88BDD" w14:textId="77777777" w:rsidR="000716DE" w:rsidRDefault="003A09DF" w:rsidP="000716DE">
      <w:pPr>
        <w:pStyle w:val="Heading1"/>
        <w:spacing w:line="276" w:lineRule="auto"/>
      </w:pPr>
      <w:bookmarkStart w:id="8" w:name="_Toc447527883"/>
      <w:r w:rsidRPr="005F329E">
        <w:t>Outcomes</w:t>
      </w:r>
      <w:bookmarkEnd w:id="6"/>
      <w:bookmarkEnd w:id="8"/>
    </w:p>
    <w:p w14:paraId="63D88BDE" w14:textId="77777777" w:rsidR="003A09DF" w:rsidRPr="00A71BBC" w:rsidRDefault="003A09DF" w:rsidP="000716DE">
      <w:pPr>
        <w:spacing w:line="276" w:lineRule="auto"/>
        <w:rPr>
          <w:rFonts w:eastAsia="Calibri"/>
        </w:rPr>
      </w:pPr>
      <w:r w:rsidRPr="00A71BBC">
        <w:rPr>
          <w:rFonts w:eastAsia="Calibri"/>
        </w:rPr>
        <w:t>Of the 76 businesses audited during the campaign:</w:t>
      </w:r>
    </w:p>
    <w:p w14:paraId="63D88BDF" w14:textId="77777777" w:rsidR="003A09DF" w:rsidRPr="00A71BBC" w:rsidRDefault="003A09DF" w:rsidP="000716DE">
      <w:pPr>
        <w:numPr>
          <w:ilvl w:val="0"/>
          <w:numId w:val="2"/>
        </w:numPr>
        <w:spacing w:after="53"/>
        <w:jc w:val="both"/>
        <w:rPr>
          <w:rFonts w:eastAsia="Calibri"/>
        </w:rPr>
      </w:pPr>
      <w:r w:rsidRPr="00A71BBC">
        <w:rPr>
          <w:rFonts w:eastAsia="Calibri"/>
        </w:rPr>
        <w:t>43 (57%) were compliant with all requirements; and</w:t>
      </w:r>
    </w:p>
    <w:p w14:paraId="63D88BE0" w14:textId="77777777" w:rsidR="003A09DF" w:rsidRPr="00A71BBC" w:rsidRDefault="003A09DF" w:rsidP="000716DE">
      <w:pPr>
        <w:numPr>
          <w:ilvl w:val="0"/>
          <w:numId w:val="2"/>
        </w:numPr>
        <w:spacing w:after="53"/>
        <w:jc w:val="both"/>
        <w:rPr>
          <w:rFonts w:eastAsia="Calibri"/>
        </w:rPr>
      </w:pPr>
      <w:r w:rsidRPr="00A71BBC">
        <w:rPr>
          <w:rFonts w:eastAsia="Calibri"/>
        </w:rPr>
        <w:t>33 (43%) had at least one error:</w:t>
      </w:r>
    </w:p>
    <w:p w14:paraId="63D88BE1" w14:textId="77777777" w:rsidR="000716DE" w:rsidRPr="00794995" w:rsidRDefault="000716DE" w:rsidP="000716DE">
      <w:pPr>
        <w:numPr>
          <w:ilvl w:val="1"/>
          <w:numId w:val="2"/>
        </w:numPr>
        <w:spacing w:after="53"/>
        <w:jc w:val="both"/>
        <w:rPr>
          <w:rFonts w:eastAsia="Calibri"/>
        </w:rPr>
      </w:pPr>
      <w:r w:rsidRPr="00794995">
        <w:rPr>
          <w:rFonts w:eastAsia="Calibri"/>
        </w:rPr>
        <w:t>15 (20%) related to pay rates;</w:t>
      </w:r>
    </w:p>
    <w:p w14:paraId="63D88BE2" w14:textId="77777777" w:rsidR="003A09DF" w:rsidRPr="00794995" w:rsidRDefault="003A09DF" w:rsidP="000716DE">
      <w:pPr>
        <w:numPr>
          <w:ilvl w:val="1"/>
          <w:numId w:val="2"/>
        </w:numPr>
        <w:spacing w:after="53"/>
        <w:jc w:val="both"/>
        <w:rPr>
          <w:rFonts w:eastAsia="Calibri"/>
        </w:rPr>
      </w:pPr>
      <w:r w:rsidRPr="00794995">
        <w:rPr>
          <w:rFonts w:eastAsia="Calibri"/>
        </w:rPr>
        <w:t>1</w:t>
      </w:r>
      <w:r w:rsidR="000716DE" w:rsidRPr="00794995">
        <w:rPr>
          <w:rFonts w:eastAsia="Calibri"/>
        </w:rPr>
        <w:t>4 (18</w:t>
      </w:r>
      <w:r w:rsidRPr="00794995">
        <w:rPr>
          <w:rFonts w:eastAsia="Calibri"/>
        </w:rPr>
        <w:t>%) related to pay slips/records;</w:t>
      </w:r>
      <w:r w:rsidR="000716DE" w:rsidRPr="00794995">
        <w:rPr>
          <w:rFonts w:eastAsia="Calibri"/>
        </w:rPr>
        <w:t xml:space="preserve"> and</w:t>
      </w:r>
    </w:p>
    <w:p w14:paraId="63D88BE3" w14:textId="77777777" w:rsidR="00A31612" w:rsidRPr="00794995" w:rsidRDefault="000716DE" w:rsidP="000716DE">
      <w:pPr>
        <w:numPr>
          <w:ilvl w:val="1"/>
          <w:numId w:val="2"/>
        </w:numPr>
        <w:jc w:val="both"/>
        <w:rPr>
          <w:rFonts w:eastAsia="Calibri"/>
        </w:rPr>
      </w:pPr>
      <w:r w:rsidRPr="00794995">
        <w:rPr>
          <w:rFonts w:eastAsia="Calibri"/>
        </w:rPr>
        <w:t>4 (5</w:t>
      </w:r>
      <w:r w:rsidR="003A09DF" w:rsidRPr="00794995">
        <w:rPr>
          <w:rFonts w:eastAsia="Calibri"/>
        </w:rPr>
        <w:t>%) related to both pay rates and pay slips/records</w:t>
      </w:r>
      <w:r w:rsidR="00A71BBC" w:rsidRPr="00794995">
        <w:rPr>
          <w:rFonts w:eastAsia="Calibri"/>
        </w:rPr>
        <w:t>.</w:t>
      </w:r>
    </w:p>
    <w:p w14:paraId="63D88BE4" w14:textId="77777777" w:rsidR="000716DE" w:rsidRPr="000716DE" w:rsidRDefault="00794995" w:rsidP="000716DE">
      <w:pPr>
        <w:spacing w:before="240" w:after="0"/>
        <w:rPr>
          <w:color w:val="0194A6"/>
        </w:rPr>
      </w:pPr>
      <w:r w:rsidRPr="00794995">
        <w:rPr>
          <w:noProof/>
          <w:color w:val="0194A6"/>
          <w:lang w:eastAsia="en-AU"/>
        </w:rPr>
        <w:drawing>
          <wp:anchor distT="0" distB="0" distL="114300" distR="114300" simplePos="0" relativeHeight="251662336" behindDoc="1" locked="0" layoutInCell="1" allowOverlap="1" wp14:anchorId="63D88C18" wp14:editId="63D88C19">
            <wp:simplePos x="0" y="0"/>
            <wp:positionH relativeFrom="column">
              <wp:posOffset>-55880</wp:posOffset>
            </wp:positionH>
            <wp:positionV relativeFrom="paragraph">
              <wp:posOffset>323215</wp:posOffset>
            </wp:positionV>
            <wp:extent cx="4975860" cy="3051175"/>
            <wp:effectExtent l="0" t="0" r="0" b="0"/>
            <wp:wrapTopAndBottom/>
            <wp:docPr id="9" name="Picture 9" descr="A pie chart outlining the campaign results, specifically 57% compliant, 43% non-compliant, 19% pay rate errors, 18% records/Pay slips errors, 6% had both type of errors" title="Campaign results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5860" cy="3051175"/>
                    </a:xfrm>
                    <a:prstGeom prst="rect">
                      <a:avLst/>
                    </a:prstGeom>
                    <a:noFill/>
                  </pic:spPr>
                </pic:pic>
              </a:graphicData>
            </a:graphic>
            <wp14:sizeRelH relativeFrom="page">
              <wp14:pctWidth>0</wp14:pctWidth>
            </wp14:sizeRelH>
            <wp14:sizeRelV relativeFrom="page">
              <wp14:pctHeight>0</wp14:pctHeight>
            </wp14:sizeRelV>
          </wp:anchor>
        </w:drawing>
      </w:r>
      <w:r w:rsidR="000716DE" w:rsidRPr="000716DE">
        <w:rPr>
          <w:color w:val="0194A6"/>
        </w:rPr>
        <w:t>Figure 1 – Campaign results</w:t>
      </w:r>
    </w:p>
    <w:p w14:paraId="63D88BE5" w14:textId="77777777" w:rsidR="003A09DF" w:rsidRPr="00C316EF" w:rsidRDefault="00DD6DD2" w:rsidP="003A09DF">
      <w:pPr>
        <w:spacing w:before="240" w:after="53" w:line="320" w:lineRule="exact"/>
        <w:rPr>
          <w:rFonts w:eastAsia="Calibri"/>
        </w:rPr>
      </w:pPr>
      <w:bookmarkStart w:id="9" w:name="_Toc445802398"/>
      <w:r w:rsidRPr="00C316EF">
        <w:rPr>
          <w:rFonts w:eastAsia="Calibri"/>
        </w:rPr>
        <w:t xml:space="preserve">Therefore: </w:t>
      </w:r>
    </w:p>
    <w:p w14:paraId="63D88BE6" w14:textId="77777777" w:rsidR="003A09DF" w:rsidRPr="00C316EF" w:rsidRDefault="003A09DF" w:rsidP="000716DE">
      <w:pPr>
        <w:numPr>
          <w:ilvl w:val="0"/>
          <w:numId w:val="3"/>
        </w:numPr>
        <w:spacing w:after="53"/>
        <w:jc w:val="both"/>
        <w:rPr>
          <w:rFonts w:eastAsia="Calibri"/>
        </w:rPr>
      </w:pPr>
      <w:r w:rsidRPr="00C316EF">
        <w:rPr>
          <w:rFonts w:eastAsia="Calibri"/>
        </w:rPr>
        <w:t xml:space="preserve">57 (75%) businesses were paying their employees correctly; </w:t>
      </w:r>
    </w:p>
    <w:p w14:paraId="63D88BE7" w14:textId="77777777" w:rsidR="003A09DF" w:rsidRPr="00C316EF" w:rsidRDefault="003A09DF" w:rsidP="000716DE">
      <w:pPr>
        <w:numPr>
          <w:ilvl w:val="0"/>
          <w:numId w:val="3"/>
        </w:numPr>
        <w:spacing w:after="53"/>
        <w:jc w:val="both"/>
        <w:rPr>
          <w:rFonts w:eastAsia="Calibri"/>
        </w:rPr>
      </w:pPr>
      <w:r w:rsidRPr="00C316EF">
        <w:rPr>
          <w:rFonts w:eastAsia="Calibri"/>
        </w:rPr>
        <w:t>58 (76%) businesses were compliant with record-keeping and pay slip requirements</w:t>
      </w:r>
      <w:r w:rsidR="00A31612" w:rsidRPr="00C316EF">
        <w:rPr>
          <w:rFonts w:eastAsia="Calibri"/>
        </w:rPr>
        <w:t>;</w:t>
      </w:r>
    </w:p>
    <w:p w14:paraId="63D88BE8" w14:textId="77777777" w:rsidR="00DD6DD2" w:rsidRPr="00C316EF" w:rsidRDefault="00DD6DD2" w:rsidP="000716DE">
      <w:pPr>
        <w:pStyle w:val="ListParagraph"/>
        <w:numPr>
          <w:ilvl w:val="0"/>
          <w:numId w:val="3"/>
        </w:numPr>
        <w:rPr>
          <w:rFonts w:eastAsia="Calibri"/>
        </w:rPr>
      </w:pPr>
      <w:r w:rsidRPr="00C316EF">
        <w:rPr>
          <w:rFonts w:eastAsia="Calibri"/>
        </w:rPr>
        <w:t>$16 385 was recovered from 19 businesses on behalf of 24 employees</w:t>
      </w:r>
      <w:r w:rsidR="00A31612" w:rsidRPr="00C316EF">
        <w:rPr>
          <w:rFonts w:eastAsia="Calibri"/>
        </w:rPr>
        <w:t>;</w:t>
      </w:r>
      <w:r w:rsidRPr="00C316EF">
        <w:rPr>
          <w:rFonts w:eastAsia="Calibri"/>
        </w:rPr>
        <w:t xml:space="preserve"> </w:t>
      </w:r>
    </w:p>
    <w:p w14:paraId="63D88BE9" w14:textId="77777777" w:rsidR="00DD6DD2" w:rsidRPr="00821498" w:rsidRDefault="002038E5" w:rsidP="000716DE">
      <w:pPr>
        <w:pStyle w:val="ListParagraph"/>
        <w:numPr>
          <w:ilvl w:val="0"/>
          <w:numId w:val="3"/>
        </w:numPr>
        <w:rPr>
          <w:rFonts w:eastAsia="Calibri"/>
        </w:rPr>
      </w:pPr>
      <w:r>
        <w:rPr>
          <w:rFonts w:eastAsia="Calibri"/>
        </w:rPr>
        <w:t>1</w:t>
      </w:r>
      <w:r w:rsidR="00DD6DD2" w:rsidRPr="00C316EF">
        <w:rPr>
          <w:rFonts w:eastAsia="Calibri"/>
        </w:rPr>
        <w:t xml:space="preserve"> formal </w:t>
      </w:r>
      <w:r w:rsidR="0044177E">
        <w:rPr>
          <w:rFonts w:eastAsia="Calibri"/>
        </w:rPr>
        <w:t>caution</w:t>
      </w:r>
      <w:r w:rsidR="00DD6DD2" w:rsidRPr="00C316EF">
        <w:rPr>
          <w:rFonts w:eastAsia="Calibri"/>
        </w:rPr>
        <w:t xml:space="preserve"> was issued</w:t>
      </w:r>
      <w:r w:rsidR="00E63739" w:rsidRPr="00C316EF">
        <w:rPr>
          <w:rFonts w:eastAsia="Calibri"/>
        </w:rPr>
        <w:t xml:space="preserve">. </w:t>
      </w:r>
      <w:r w:rsidR="00E63739" w:rsidRPr="00C316EF">
        <w:t xml:space="preserve">Formal cautions are a written warning when the FWO has found non-compliance and wants to put a business on notice that future non-compliance </w:t>
      </w:r>
      <w:r w:rsidR="00E63739" w:rsidRPr="00821498">
        <w:t xml:space="preserve">could result in the </w:t>
      </w:r>
      <w:r w:rsidR="00A31612" w:rsidRPr="00821498">
        <w:t>FWO seeking financial penalties; and</w:t>
      </w:r>
    </w:p>
    <w:p w14:paraId="63D88BEA" w14:textId="77777777" w:rsidR="0048222E" w:rsidRPr="00821498" w:rsidRDefault="002038E5" w:rsidP="000716DE">
      <w:pPr>
        <w:pStyle w:val="ListParagraph"/>
        <w:numPr>
          <w:ilvl w:val="0"/>
          <w:numId w:val="3"/>
        </w:numPr>
        <w:rPr>
          <w:szCs w:val="22"/>
        </w:rPr>
      </w:pPr>
      <w:r>
        <w:rPr>
          <w:rFonts w:eastAsia="Calibri"/>
        </w:rPr>
        <w:t>1</w:t>
      </w:r>
      <w:r w:rsidR="00A31612" w:rsidRPr="00821498">
        <w:rPr>
          <w:rFonts w:eastAsia="Calibri"/>
        </w:rPr>
        <w:t xml:space="preserve"> </w:t>
      </w:r>
      <w:r w:rsidR="00E63739" w:rsidRPr="00821498">
        <w:rPr>
          <w:rFonts w:eastAsia="Calibri"/>
        </w:rPr>
        <w:t xml:space="preserve">Enforceable Undertaking was executed </w:t>
      </w:r>
      <w:r w:rsidR="0048222E" w:rsidRPr="00821498">
        <w:rPr>
          <w:rFonts w:eastAsia="Calibri"/>
        </w:rPr>
        <w:t>(</w:t>
      </w:r>
      <w:r w:rsidR="00E63739" w:rsidRPr="00821498">
        <w:rPr>
          <w:rFonts w:eastAsia="Calibri"/>
        </w:rPr>
        <w:t>outlined in the case study below</w:t>
      </w:r>
      <w:r w:rsidR="0048222E" w:rsidRPr="00821498">
        <w:rPr>
          <w:rFonts w:eastAsia="Calibri"/>
        </w:rPr>
        <w:t>)</w:t>
      </w:r>
      <w:r w:rsidR="00E63739" w:rsidRPr="00821498">
        <w:rPr>
          <w:rFonts w:eastAsia="Calibri"/>
        </w:rPr>
        <w:t xml:space="preserve">. </w:t>
      </w:r>
      <w:r w:rsidR="0048222E" w:rsidRPr="00821498">
        <w:rPr>
          <w:rFonts w:eastAsia="Calibri"/>
        </w:rPr>
        <w:t xml:space="preserve">An Enforceable Undertaking is a </w:t>
      </w:r>
      <w:r w:rsidR="00C316EF" w:rsidRPr="00821498">
        <w:rPr>
          <w:rFonts w:eastAsia="Calibri"/>
        </w:rPr>
        <w:t xml:space="preserve">legally binding and publically available </w:t>
      </w:r>
      <w:r w:rsidR="0048222E" w:rsidRPr="00821498">
        <w:rPr>
          <w:rFonts w:eastAsia="Calibri"/>
        </w:rPr>
        <w:t xml:space="preserve">document </w:t>
      </w:r>
      <w:r w:rsidR="0048222E" w:rsidRPr="00821498">
        <w:t>where a business has acknowledged they’ve seriously breached the law, accepted responsibility and agreed to cooperate with the FWO</w:t>
      </w:r>
      <w:r w:rsidR="0092118F" w:rsidRPr="00821498">
        <w:t xml:space="preserve"> to</w:t>
      </w:r>
      <w:r w:rsidR="0048222E" w:rsidRPr="00821498">
        <w:t xml:space="preserve"> fix the </w:t>
      </w:r>
      <w:r w:rsidR="0092118F" w:rsidRPr="00821498">
        <w:t>error</w:t>
      </w:r>
      <w:r w:rsidR="00821498" w:rsidRPr="00821498">
        <w:t xml:space="preserve"> and ensure ongoing compliance</w:t>
      </w:r>
      <w:r w:rsidR="0048222E" w:rsidRPr="00821498">
        <w:t>.</w:t>
      </w:r>
    </w:p>
    <w:p w14:paraId="63D88BEB" w14:textId="77777777" w:rsidR="00A31612" w:rsidRPr="005F329E" w:rsidRDefault="00A31612" w:rsidP="000A6EB4">
      <w:pPr>
        <w:pStyle w:val="Heading2"/>
      </w:pPr>
      <w:bookmarkStart w:id="10" w:name="_Toc447527884"/>
      <w:r w:rsidRPr="005F329E">
        <w:t>Individual Errors</w:t>
      </w:r>
      <w:bookmarkEnd w:id="10"/>
    </w:p>
    <w:p w14:paraId="63D88BEC" w14:textId="77777777" w:rsidR="000716DE" w:rsidRDefault="00A31612" w:rsidP="000716DE">
      <w:pPr>
        <w:rPr>
          <w:rFonts w:eastAsia="Calibri"/>
        </w:rPr>
      </w:pPr>
      <w:r w:rsidRPr="00606CC5">
        <w:rPr>
          <w:rFonts w:eastAsia="Calibri"/>
        </w:rPr>
        <w:t>The 33 businesses with errors had total of 50 individual errors. The errors most frequently identified were underpayment of base rate</w:t>
      </w:r>
      <w:r w:rsidR="00C316EF" w:rsidRPr="00606CC5">
        <w:rPr>
          <w:rFonts w:eastAsia="Calibri"/>
        </w:rPr>
        <w:t>s</w:t>
      </w:r>
      <w:r w:rsidRPr="00606CC5">
        <w:rPr>
          <w:rFonts w:eastAsia="Calibri"/>
        </w:rPr>
        <w:t xml:space="preserve"> of pay (32%), pay slip errors (30%) and penalty rates (26%).  Record-keeping and </w:t>
      </w:r>
      <w:r w:rsidR="00C316EF" w:rsidRPr="00606CC5">
        <w:rPr>
          <w:rFonts w:eastAsia="Calibri"/>
        </w:rPr>
        <w:t xml:space="preserve">unpaid or incorrect </w:t>
      </w:r>
      <w:r w:rsidRPr="00606CC5">
        <w:rPr>
          <w:rFonts w:eastAsia="Calibri"/>
        </w:rPr>
        <w:t>overtime</w:t>
      </w:r>
      <w:r w:rsidR="00C316EF" w:rsidRPr="00606CC5">
        <w:rPr>
          <w:rFonts w:eastAsia="Calibri"/>
        </w:rPr>
        <w:t xml:space="preserve"> rates </w:t>
      </w:r>
      <w:r w:rsidRPr="00606CC5">
        <w:rPr>
          <w:rFonts w:eastAsia="Calibri"/>
        </w:rPr>
        <w:t xml:space="preserve">made up the remaining 12% of errors, as outlined in </w:t>
      </w:r>
      <w:r w:rsidRPr="00606CC5">
        <w:rPr>
          <w:rFonts w:eastAsia="Calibri"/>
          <w:i/>
        </w:rPr>
        <w:t>Figure 2</w:t>
      </w:r>
      <w:r w:rsidRPr="00606CC5">
        <w:rPr>
          <w:rFonts w:eastAsia="Calibri"/>
        </w:rPr>
        <w:t>.</w:t>
      </w:r>
      <w:r w:rsidRPr="00C316EF">
        <w:rPr>
          <w:rFonts w:eastAsia="Calibri"/>
        </w:rPr>
        <w:t xml:space="preserve"> </w:t>
      </w:r>
    </w:p>
    <w:p w14:paraId="63D88BED" w14:textId="77777777" w:rsidR="000716DE" w:rsidRPr="000716DE" w:rsidRDefault="000716DE" w:rsidP="000716DE">
      <w:pPr>
        <w:spacing w:before="240" w:after="0"/>
        <w:rPr>
          <w:color w:val="0194A6"/>
        </w:rPr>
      </w:pPr>
      <w:r>
        <w:rPr>
          <w:noProof/>
          <w:color w:val="0194A6"/>
          <w:lang w:eastAsia="en-AU"/>
        </w:rPr>
        <w:drawing>
          <wp:anchor distT="0" distB="0" distL="114300" distR="114300" simplePos="0" relativeHeight="251663360" behindDoc="0" locked="0" layoutInCell="1" allowOverlap="1" wp14:anchorId="63D88C1A" wp14:editId="63D88C1B">
            <wp:simplePos x="0" y="0"/>
            <wp:positionH relativeFrom="column">
              <wp:posOffset>6350</wp:posOffset>
            </wp:positionH>
            <wp:positionV relativeFrom="paragraph">
              <wp:posOffset>342900</wp:posOffset>
            </wp:positionV>
            <wp:extent cx="5428615" cy="3402330"/>
            <wp:effectExtent l="0" t="0" r="635" b="7620"/>
            <wp:wrapTopAndBottom/>
            <wp:docPr id="7" name="Picture 7" descr="Chart showing the individual errors identified and the proportion of errors they represented" title="Individual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8615" cy="3402330"/>
                    </a:xfrm>
                    <a:prstGeom prst="rect">
                      <a:avLst/>
                    </a:prstGeom>
                    <a:noFill/>
                  </pic:spPr>
                </pic:pic>
              </a:graphicData>
            </a:graphic>
            <wp14:sizeRelH relativeFrom="page">
              <wp14:pctWidth>0</wp14:pctWidth>
            </wp14:sizeRelH>
            <wp14:sizeRelV relativeFrom="page">
              <wp14:pctHeight>0</wp14:pctHeight>
            </wp14:sizeRelV>
          </wp:anchor>
        </w:drawing>
      </w:r>
      <w:r w:rsidRPr="00C316EF">
        <w:rPr>
          <w:color w:val="0194A6"/>
        </w:rPr>
        <w:t>Figure 2 - Individual errors</w:t>
      </w:r>
    </w:p>
    <w:p w14:paraId="6914F075" w14:textId="77777777" w:rsidR="00D21903" w:rsidRDefault="00D21903">
      <w:pPr>
        <w:spacing w:after="200" w:line="276" w:lineRule="auto"/>
        <w:rPr>
          <w:color w:val="0194A6"/>
        </w:rPr>
      </w:pPr>
      <w:r>
        <w:rPr>
          <w:color w:val="0194A6"/>
        </w:rPr>
        <w:br w:type="page"/>
      </w:r>
    </w:p>
    <w:p w14:paraId="63D88BF1" w14:textId="5FE180BE" w:rsidR="0048222E" w:rsidRPr="00AB1897" w:rsidRDefault="0048222E" w:rsidP="00AB1897">
      <w:pPr>
        <w:spacing w:after="0"/>
        <w:rPr>
          <w:color w:val="0194A6"/>
        </w:rPr>
      </w:pPr>
      <w:r w:rsidRPr="00AB1897">
        <w:rPr>
          <w:color w:val="0194A6"/>
        </w:rPr>
        <w:t xml:space="preserve">Case Study </w:t>
      </w:r>
      <w:r w:rsidR="00D631B0" w:rsidRPr="00AB1897">
        <w:rPr>
          <w:color w:val="0194A6"/>
        </w:rPr>
        <w:t>–</w:t>
      </w:r>
      <w:r w:rsidRPr="00AB1897">
        <w:rPr>
          <w:color w:val="0194A6"/>
        </w:rPr>
        <w:t xml:space="preserve"> </w:t>
      </w:r>
      <w:r w:rsidR="00D631B0" w:rsidRPr="00AB1897">
        <w:rPr>
          <w:color w:val="0194A6"/>
        </w:rPr>
        <w:t>Enforceable Undertaking</w:t>
      </w:r>
    </w:p>
    <w:p w14:paraId="63D88BFD" w14:textId="178FF8E0" w:rsidR="00AB1897" w:rsidRDefault="0048222E" w:rsidP="00D21903">
      <w:pPr>
        <w:rPr>
          <w:rFonts w:eastAsia="Calibri"/>
        </w:rPr>
      </w:pPr>
      <w:r w:rsidRPr="005F329E">
        <w:rPr>
          <w:noProof/>
          <w:lang w:eastAsia="en-AU"/>
        </w:rPr>
        <mc:AlternateContent>
          <mc:Choice Requires="wps">
            <w:drawing>
              <wp:anchor distT="0" distB="0" distL="114300" distR="114300" simplePos="0" relativeHeight="251659264" behindDoc="1" locked="0" layoutInCell="1" allowOverlap="1" wp14:anchorId="63D88C1C" wp14:editId="63D88C1D">
                <wp:simplePos x="0" y="0"/>
                <wp:positionH relativeFrom="column">
                  <wp:posOffset>29210</wp:posOffset>
                </wp:positionH>
                <wp:positionV relativeFrom="paragraph">
                  <wp:posOffset>28575</wp:posOffset>
                </wp:positionV>
                <wp:extent cx="5810250" cy="4805680"/>
                <wp:effectExtent l="0" t="0" r="19050" b="13970"/>
                <wp:wrapTight wrapText="bothSides">
                  <wp:wrapPolygon edited="0">
                    <wp:start x="0" y="0"/>
                    <wp:lineTo x="0" y="21577"/>
                    <wp:lineTo x="21600" y="21577"/>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805680"/>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63D88C31" w14:textId="77777777" w:rsidR="00AA1CBD" w:rsidRPr="00A31612" w:rsidRDefault="0038013D" w:rsidP="00A31612">
                            <w:pPr>
                              <w:spacing w:before="240"/>
                              <w:rPr>
                                <w:szCs w:val="22"/>
                              </w:rPr>
                            </w:pPr>
                            <w:r w:rsidRPr="00A31612">
                              <w:rPr>
                                <w:szCs w:val="22"/>
                              </w:rPr>
                              <w:t xml:space="preserve">C &amp; JT Pty Ltd operates </w:t>
                            </w:r>
                            <w:proofErr w:type="spellStart"/>
                            <w:r w:rsidRPr="00A31612">
                              <w:rPr>
                                <w:szCs w:val="22"/>
                              </w:rPr>
                              <w:t>Nando’s</w:t>
                            </w:r>
                            <w:proofErr w:type="spellEnd"/>
                            <w:r w:rsidRPr="00A31612">
                              <w:rPr>
                                <w:szCs w:val="22"/>
                              </w:rPr>
                              <w:t xml:space="preserve"> Canberra City, which was audited as part of the Campaign.</w:t>
                            </w:r>
                            <w:r w:rsidR="005E1F23">
                              <w:rPr>
                                <w:szCs w:val="22"/>
                              </w:rPr>
                              <w:t xml:space="preserve">  </w:t>
                            </w:r>
                            <w:r w:rsidRPr="00A31612">
                              <w:rPr>
                                <w:szCs w:val="22"/>
                              </w:rPr>
                              <w:t xml:space="preserve">Fair Work Inspectors found the </w:t>
                            </w:r>
                            <w:r w:rsidR="00AA1CBD" w:rsidRPr="00A31612">
                              <w:rPr>
                                <w:szCs w:val="22"/>
                              </w:rPr>
                              <w:t>business was</w:t>
                            </w:r>
                            <w:r w:rsidRPr="00A31612">
                              <w:rPr>
                                <w:szCs w:val="22"/>
                              </w:rPr>
                              <w:t xml:space="preserve"> not meeting its workplace relations obligations for 13 casual employees aged between 16 and 25 years of age. Most were paid a flat rate of $18 an hour for all hours worked, including weekends and public holidays. </w:t>
                            </w:r>
                          </w:p>
                          <w:p w14:paraId="63D88C32" w14:textId="77777777" w:rsidR="00D5255A" w:rsidRDefault="00AA1CBD" w:rsidP="00EF6118">
                            <w:pPr>
                              <w:rPr>
                                <w:szCs w:val="22"/>
                              </w:rPr>
                            </w:pPr>
                            <w:r w:rsidRPr="00A31612">
                              <w:rPr>
                                <w:szCs w:val="22"/>
                              </w:rPr>
                              <w:t xml:space="preserve">Under the </w:t>
                            </w:r>
                            <w:r w:rsidRPr="00A31612">
                              <w:rPr>
                                <w:i/>
                                <w:szCs w:val="22"/>
                              </w:rPr>
                              <w:t>Restaurant Industry Award</w:t>
                            </w:r>
                            <w:r w:rsidRPr="00A31612">
                              <w:rPr>
                                <w:szCs w:val="22"/>
                              </w:rPr>
                              <w:t xml:space="preserve">, they should have been paid at least $17.35 for a Level 1 adult for ordinary hours worked, up to $26.03 on weekends and $43.38 on public holidays. </w:t>
                            </w:r>
                            <w:r w:rsidR="00357227">
                              <w:rPr>
                                <w:szCs w:val="22"/>
                              </w:rPr>
                              <w:t>The underpayments</w:t>
                            </w:r>
                            <w:r w:rsidRPr="00A31612">
                              <w:rPr>
                                <w:szCs w:val="22"/>
                              </w:rPr>
                              <w:t xml:space="preserve"> occurred</w:t>
                            </w:r>
                            <w:r w:rsidR="00357227">
                              <w:rPr>
                                <w:szCs w:val="22"/>
                              </w:rPr>
                              <w:t xml:space="preserve"> over a 12 month period and </w:t>
                            </w:r>
                            <w:r w:rsidR="0038013D" w:rsidRPr="00A31612">
                              <w:rPr>
                                <w:szCs w:val="22"/>
                              </w:rPr>
                              <w:t>totalled $27,495</w:t>
                            </w:r>
                            <w:r w:rsidR="00357227">
                              <w:rPr>
                                <w:szCs w:val="22"/>
                              </w:rPr>
                              <w:t xml:space="preserve">.69. </w:t>
                            </w:r>
                          </w:p>
                          <w:p w14:paraId="63D88C33" w14:textId="77777777" w:rsidR="00AA1CBD" w:rsidRPr="00A31612" w:rsidRDefault="00D5255A" w:rsidP="00D5255A">
                            <w:pPr>
                              <w:rPr>
                                <w:szCs w:val="22"/>
                              </w:rPr>
                            </w:pPr>
                            <w:r>
                              <w:rPr>
                                <w:szCs w:val="22"/>
                              </w:rPr>
                              <w:t xml:space="preserve">As an alternative to litigation, the company entered into an Enforceable Undertaking with the FWO.  The Enforceable </w:t>
                            </w:r>
                            <w:r w:rsidR="00AA1CBD" w:rsidRPr="00A31612">
                              <w:rPr>
                                <w:szCs w:val="22"/>
                              </w:rPr>
                              <w:t xml:space="preserve">Undertaking requires: </w:t>
                            </w:r>
                          </w:p>
                          <w:p w14:paraId="63D88C34" w14:textId="77777777" w:rsidR="00AA1CBD" w:rsidRPr="00A31612" w:rsidRDefault="00AA1CBD" w:rsidP="00EF6118">
                            <w:pPr>
                              <w:pStyle w:val="ListParagraph"/>
                              <w:numPr>
                                <w:ilvl w:val="0"/>
                                <w:numId w:val="9"/>
                              </w:numPr>
                              <w:spacing w:after="0"/>
                              <w:rPr>
                                <w:szCs w:val="22"/>
                              </w:rPr>
                            </w:pPr>
                            <w:r w:rsidRPr="00A31612">
                              <w:rPr>
                                <w:szCs w:val="22"/>
                              </w:rPr>
                              <w:t xml:space="preserve">back-payment of all outstanding wages </w:t>
                            </w:r>
                            <w:r w:rsidR="00D5255A">
                              <w:rPr>
                                <w:szCs w:val="22"/>
                              </w:rPr>
                              <w:t>and entitlements;</w:t>
                            </w:r>
                          </w:p>
                          <w:p w14:paraId="63D88C35" w14:textId="77777777" w:rsidR="00AA1CBD" w:rsidRPr="00A31612" w:rsidRDefault="00AA1CBD" w:rsidP="00EF6118">
                            <w:pPr>
                              <w:pStyle w:val="ListParagraph"/>
                              <w:numPr>
                                <w:ilvl w:val="0"/>
                                <w:numId w:val="9"/>
                              </w:numPr>
                              <w:spacing w:after="0"/>
                              <w:rPr>
                                <w:szCs w:val="22"/>
                              </w:rPr>
                            </w:pPr>
                            <w:r w:rsidRPr="00A31612">
                              <w:rPr>
                                <w:szCs w:val="22"/>
                              </w:rPr>
                              <w:t>an apology for the co</w:t>
                            </w:r>
                            <w:r w:rsidR="00D5255A">
                              <w:rPr>
                                <w:szCs w:val="22"/>
                              </w:rPr>
                              <w:t>nduct to the affected employees;</w:t>
                            </w:r>
                          </w:p>
                          <w:p w14:paraId="63D88C36" w14:textId="77777777" w:rsidR="00B61E44" w:rsidRPr="00A31612" w:rsidRDefault="00B61E44" w:rsidP="00EF6118">
                            <w:pPr>
                              <w:pStyle w:val="ListParagraph"/>
                              <w:numPr>
                                <w:ilvl w:val="0"/>
                                <w:numId w:val="9"/>
                              </w:numPr>
                              <w:spacing w:after="0"/>
                              <w:rPr>
                                <w:szCs w:val="22"/>
                              </w:rPr>
                            </w:pPr>
                            <w:r w:rsidRPr="00A31612">
                              <w:rPr>
                                <w:szCs w:val="22"/>
                              </w:rPr>
                              <w:t>display</w:t>
                            </w:r>
                            <w:r w:rsidR="00BB280F">
                              <w:rPr>
                                <w:szCs w:val="22"/>
                              </w:rPr>
                              <w:t>ing a</w:t>
                            </w:r>
                            <w:r w:rsidRPr="00A31612">
                              <w:rPr>
                                <w:szCs w:val="22"/>
                              </w:rPr>
                              <w:t xml:space="preserve"> notice visible to all employees outlining the non-compliance;</w:t>
                            </w:r>
                          </w:p>
                          <w:p w14:paraId="63D88C37" w14:textId="77777777" w:rsidR="00AA1CBD" w:rsidRPr="00A31612" w:rsidRDefault="00AA1CBD" w:rsidP="00EF6118">
                            <w:pPr>
                              <w:pStyle w:val="ListParagraph"/>
                              <w:numPr>
                                <w:ilvl w:val="0"/>
                                <w:numId w:val="9"/>
                              </w:numPr>
                              <w:spacing w:after="0"/>
                              <w:rPr>
                                <w:szCs w:val="22"/>
                              </w:rPr>
                            </w:pPr>
                            <w:r w:rsidRPr="00A31612">
                              <w:rPr>
                                <w:szCs w:val="22"/>
                              </w:rPr>
                              <w:t>registration with the Fair Work Omb</w:t>
                            </w:r>
                            <w:r w:rsidR="00BB280F">
                              <w:rPr>
                                <w:szCs w:val="22"/>
                              </w:rPr>
                              <w:t>udsman’s o</w:t>
                            </w:r>
                            <w:r w:rsidR="00D5255A">
                              <w:rPr>
                                <w:szCs w:val="22"/>
                              </w:rPr>
                              <w:t>nline tool My Account;</w:t>
                            </w:r>
                          </w:p>
                          <w:p w14:paraId="63D88C38" w14:textId="77777777" w:rsidR="00AA1CBD" w:rsidRPr="00A31612" w:rsidRDefault="00AA1CBD" w:rsidP="00EF6118">
                            <w:pPr>
                              <w:pStyle w:val="ListParagraph"/>
                              <w:numPr>
                                <w:ilvl w:val="0"/>
                                <w:numId w:val="9"/>
                              </w:numPr>
                              <w:spacing w:after="0"/>
                              <w:rPr>
                                <w:szCs w:val="22"/>
                              </w:rPr>
                            </w:pPr>
                            <w:r w:rsidRPr="00A31612">
                              <w:rPr>
                                <w:szCs w:val="22"/>
                              </w:rPr>
                              <w:t xml:space="preserve">a commitment to future compliance </w:t>
                            </w:r>
                            <w:r w:rsidR="00D5255A">
                              <w:rPr>
                                <w:szCs w:val="22"/>
                              </w:rPr>
                              <w:t>with</w:t>
                            </w:r>
                            <w:r w:rsidR="005E1F23">
                              <w:rPr>
                                <w:szCs w:val="22"/>
                              </w:rPr>
                              <w:t xml:space="preserve"> Commonwealth</w:t>
                            </w:r>
                            <w:r w:rsidR="00D5255A">
                              <w:rPr>
                                <w:szCs w:val="22"/>
                              </w:rPr>
                              <w:t xml:space="preserve"> workplace laws;</w:t>
                            </w:r>
                            <w:r w:rsidRPr="00A31612">
                              <w:rPr>
                                <w:szCs w:val="22"/>
                              </w:rPr>
                              <w:t xml:space="preserve"> and</w:t>
                            </w:r>
                          </w:p>
                          <w:p w14:paraId="63D88C39" w14:textId="77777777" w:rsidR="0048222E" w:rsidRPr="00A31612" w:rsidRDefault="00AA1CBD" w:rsidP="00EF6118">
                            <w:pPr>
                              <w:pStyle w:val="ListParagraph"/>
                              <w:numPr>
                                <w:ilvl w:val="0"/>
                                <w:numId w:val="9"/>
                              </w:numPr>
                              <w:rPr>
                                <w:szCs w:val="22"/>
                              </w:rPr>
                            </w:pPr>
                            <w:proofErr w:type="gramStart"/>
                            <w:r w:rsidRPr="00A31612">
                              <w:rPr>
                                <w:szCs w:val="22"/>
                              </w:rPr>
                              <w:t>the</w:t>
                            </w:r>
                            <w:proofErr w:type="gramEnd"/>
                            <w:r w:rsidRPr="00A31612">
                              <w:rPr>
                                <w:szCs w:val="22"/>
                              </w:rPr>
                              <w:t xml:space="preserve"> appointment of an external professional to audit the business’s compliance with workplace laws for the next three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pt;margin-top:2.25pt;width:457.5pt;height:37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" fillcolor="#d8d8d8 [2732]" strokecolor="black [3200]" strokeweight="2pt">
                <v:textbox>
                  <w:txbxContent>
                    <w:p w14:paraId="63D88C31" w14:textId="77777777" w:rsidR="00AA1CBD" w:rsidRPr="00A31612" w:rsidRDefault="0038013D" w:rsidP="00A31612">
                      <w:pPr>
                        <w:spacing w:before="240"/>
                        <w:rPr>
                          <w:szCs w:val="22"/>
                        </w:rPr>
                      </w:pPr>
                      <w:r w:rsidRPr="00A31612">
                        <w:rPr>
                          <w:szCs w:val="22"/>
                        </w:rPr>
                        <w:t xml:space="preserve">C &amp; JT Pty Ltd operates </w:t>
                      </w:r>
                      <w:proofErr w:type="spellStart"/>
                      <w:r w:rsidRPr="00A31612">
                        <w:rPr>
                          <w:szCs w:val="22"/>
                        </w:rPr>
                        <w:t>Nando’s</w:t>
                      </w:r>
                      <w:proofErr w:type="spellEnd"/>
                      <w:r w:rsidRPr="00A31612">
                        <w:rPr>
                          <w:szCs w:val="22"/>
                        </w:rPr>
                        <w:t xml:space="preserve"> Canberra City, which was audited as part of the Campaign.</w:t>
                      </w:r>
                      <w:r w:rsidR="005E1F23">
                        <w:rPr>
                          <w:szCs w:val="22"/>
                        </w:rPr>
                        <w:t xml:space="preserve">  </w:t>
                      </w:r>
                      <w:r w:rsidRPr="00A31612">
                        <w:rPr>
                          <w:szCs w:val="22"/>
                        </w:rPr>
                        <w:t xml:space="preserve">Fair Work Inspectors found the </w:t>
                      </w:r>
                      <w:r w:rsidR="00AA1CBD" w:rsidRPr="00A31612">
                        <w:rPr>
                          <w:szCs w:val="22"/>
                        </w:rPr>
                        <w:t>business was</w:t>
                      </w:r>
                      <w:r w:rsidRPr="00A31612">
                        <w:rPr>
                          <w:szCs w:val="22"/>
                        </w:rPr>
                        <w:t xml:space="preserve"> not meeting its workplace relations obligations for 13 casual employees aged between 16 and 25 years of age. Most were paid a flat rate of $18 an hour for all hours worked, including weekends and public holidays. </w:t>
                      </w:r>
                    </w:p>
                    <w:p w14:paraId="63D88C32" w14:textId="77777777" w:rsidR="00D5255A" w:rsidRDefault="00AA1CBD" w:rsidP="00EF6118">
                      <w:pPr>
                        <w:rPr>
                          <w:szCs w:val="22"/>
                        </w:rPr>
                      </w:pPr>
                      <w:r w:rsidRPr="00A31612">
                        <w:rPr>
                          <w:szCs w:val="22"/>
                        </w:rPr>
                        <w:t xml:space="preserve">Under the </w:t>
                      </w:r>
                      <w:r w:rsidRPr="00A31612">
                        <w:rPr>
                          <w:i/>
                          <w:szCs w:val="22"/>
                        </w:rPr>
                        <w:t>Restaurant Industry Award</w:t>
                      </w:r>
                      <w:r w:rsidRPr="00A31612">
                        <w:rPr>
                          <w:szCs w:val="22"/>
                        </w:rPr>
                        <w:t xml:space="preserve">, they should have been paid at least $17.35 for a Level 1 adult for ordinary hours worked, up to $26.03 on weekends and $43.38 on public holidays. </w:t>
                      </w:r>
                      <w:r w:rsidR="00357227">
                        <w:rPr>
                          <w:szCs w:val="22"/>
                        </w:rPr>
                        <w:t>The underpayments</w:t>
                      </w:r>
                      <w:r w:rsidRPr="00A31612">
                        <w:rPr>
                          <w:szCs w:val="22"/>
                        </w:rPr>
                        <w:t xml:space="preserve"> occurred</w:t>
                      </w:r>
                      <w:r w:rsidR="00357227">
                        <w:rPr>
                          <w:szCs w:val="22"/>
                        </w:rPr>
                        <w:t xml:space="preserve"> over a 12 month period and </w:t>
                      </w:r>
                      <w:r w:rsidR="0038013D" w:rsidRPr="00A31612">
                        <w:rPr>
                          <w:szCs w:val="22"/>
                        </w:rPr>
                        <w:t>totalled $27,495</w:t>
                      </w:r>
                      <w:r w:rsidR="00357227">
                        <w:rPr>
                          <w:szCs w:val="22"/>
                        </w:rPr>
                        <w:t xml:space="preserve">.69. </w:t>
                      </w:r>
                    </w:p>
                    <w:p w14:paraId="63D88C33" w14:textId="77777777" w:rsidR="00AA1CBD" w:rsidRPr="00A31612" w:rsidRDefault="00D5255A" w:rsidP="00D5255A">
                      <w:pPr>
                        <w:rPr>
                          <w:szCs w:val="22"/>
                        </w:rPr>
                      </w:pPr>
                      <w:r>
                        <w:rPr>
                          <w:szCs w:val="22"/>
                        </w:rPr>
                        <w:t xml:space="preserve">As an alternative to litigation, the company entered into an Enforceable Undertaking with the FWO.  The Enforceable </w:t>
                      </w:r>
                      <w:r w:rsidR="00AA1CBD" w:rsidRPr="00A31612">
                        <w:rPr>
                          <w:szCs w:val="22"/>
                        </w:rPr>
                        <w:t xml:space="preserve">Undertaking requires: </w:t>
                      </w:r>
                    </w:p>
                    <w:p w14:paraId="63D88C34" w14:textId="77777777" w:rsidR="00AA1CBD" w:rsidRPr="00A31612" w:rsidRDefault="00AA1CBD" w:rsidP="00EF6118">
                      <w:pPr>
                        <w:pStyle w:val="ListParagraph"/>
                        <w:numPr>
                          <w:ilvl w:val="0"/>
                          <w:numId w:val="9"/>
                        </w:numPr>
                        <w:spacing w:after="0"/>
                        <w:rPr>
                          <w:szCs w:val="22"/>
                        </w:rPr>
                      </w:pPr>
                      <w:r w:rsidRPr="00A31612">
                        <w:rPr>
                          <w:szCs w:val="22"/>
                        </w:rPr>
                        <w:t xml:space="preserve">back-payment of all outstanding wages </w:t>
                      </w:r>
                      <w:r w:rsidR="00D5255A">
                        <w:rPr>
                          <w:szCs w:val="22"/>
                        </w:rPr>
                        <w:t>and entitlements;</w:t>
                      </w:r>
                    </w:p>
                    <w:p w14:paraId="63D88C35" w14:textId="77777777" w:rsidR="00AA1CBD" w:rsidRPr="00A31612" w:rsidRDefault="00AA1CBD" w:rsidP="00EF6118">
                      <w:pPr>
                        <w:pStyle w:val="ListParagraph"/>
                        <w:numPr>
                          <w:ilvl w:val="0"/>
                          <w:numId w:val="9"/>
                        </w:numPr>
                        <w:spacing w:after="0"/>
                        <w:rPr>
                          <w:szCs w:val="22"/>
                        </w:rPr>
                      </w:pPr>
                      <w:r w:rsidRPr="00A31612">
                        <w:rPr>
                          <w:szCs w:val="22"/>
                        </w:rPr>
                        <w:t>an apology for the co</w:t>
                      </w:r>
                      <w:r w:rsidR="00D5255A">
                        <w:rPr>
                          <w:szCs w:val="22"/>
                        </w:rPr>
                        <w:t>nduct to the affected employees;</w:t>
                      </w:r>
                    </w:p>
                    <w:p w14:paraId="63D88C36" w14:textId="77777777" w:rsidR="00B61E44" w:rsidRPr="00A31612" w:rsidRDefault="00B61E44" w:rsidP="00EF6118">
                      <w:pPr>
                        <w:pStyle w:val="ListParagraph"/>
                        <w:numPr>
                          <w:ilvl w:val="0"/>
                          <w:numId w:val="9"/>
                        </w:numPr>
                        <w:spacing w:after="0"/>
                        <w:rPr>
                          <w:szCs w:val="22"/>
                        </w:rPr>
                      </w:pPr>
                      <w:r w:rsidRPr="00A31612">
                        <w:rPr>
                          <w:szCs w:val="22"/>
                        </w:rPr>
                        <w:t>display</w:t>
                      </w:r>
                      <w:r w:rsidR="00BB280F">
                        <w:rPr>
                          <w:szCs w:val="22"/>
                        </w:rPr>
                        <w:t>ing a</w:t>
                      </w:r>
                      <w:r w:rsidRPr="00A31612">
                        <w:rPr>
                          <w:szCs w:val="22"/>
                        </w:rPr>
                        <w:t xml:space="preserve"> notice visible to all employees outlining the non-compliance;</w:t>
                      </w:r>
                    </w:p>
                    <w:p w14:paraId="63D88C37" w14:textId="77777777" w:rsidR="00AA1CBD" w:rsidRPr="00A31612" w:rsidRDefault="00AA1CBD" w:rsidP="00EF6118">
                      <w:pPr>
                        <w:pStyle w:val="ListParagraph"/>
                        <w:numPr>
                          <w:ilvl w:val="0"/>
                          <w:numId w:val="9"/>
                        </w:numPr>
                        <w:spacing w:after="0"/>
                        <w:rPr>
                          <w:szCs w:val="22"/>
                        </w:rPr>
                      </w:pPr>
                      <w:r w:rsidRPr="00A31612">
                        <w:rPr>
                          <w:szCs w:val="22"/>
                        </w:rPr>
                        <w:t>registration with the Fair Work Omb</w:t>
                      </w:r>
                      <w:r w:rsidR="00BB280F">
                        <w:rPr>
                          <w:szCs w:val="22"/>
                        </w:rPr>
                        <w:t>udsman’s o</w:t>
                      </w:r>
                      <w:r w:rsidR="00D5255A">
                        <w:rPr>
                          <w:szCs w:val="22"/>
                        </w:rPr>
                        <w:t>nline tool My Account;</w:t>
                      </w:r>
                    </w:p>
                    <w:p w14:paraId="63D88C38" w14:textId="77777777" w:rsidR="00AA1CBD" w:rsidRPr="00A31612" w:rsidRDefault="00AA1CBD" w:rsidP="00EF6118">
                      <w:pPr>
                        <w:pStyle w:val="ListParagraph"/>
                        <w:numPr>
                          <w:ilvl w:val="0"/>
                          <w:numId w:val="9"/>
                        </w:numPr>
                        <w:spacing w:after="0"/>
                        <w:rPr>
                          <w:szCs w:val="22"/>
                        </w:rPr>
                      </w:pPr>
                      <w:r w:rsidRPr="00A31612">
                        <w:rPr>
                          <w:szCs w:val="22"/>
                        </w:rPr>
                        <w:t xml:space="preserve">a commitment to future compliance </w:t>
                      </w:r>
                      <w:r w:rsidR="00D5255A">
                        <w:rPr>
                          <w:szCs w:val="22"/>
                        </w:rPr>
                        <w:t>with</w:t>
                      </w:r>
                      <w:r w:rsidR="005E1F23">
                        <w:rPr>
                          <w:szCs w:val="22"/>
                        </w:rPr>
                        <w:t xml:space="preserve"> Commonwealth</w:t>
                      </w:r>
                      <w:r w:rsidR="00D5255A">
                        <w:rPr>
                          <w:szCs w:val="22"/>
                        </w:rPr>
                        <w:t xml:space="preserve"> workplace laws;</w:t>
                      </w:r>
                      <w:r w:rsidRPr="00A31612">
                        <w:rPr>
                          <w:szCs w:val="22"/>
                        </w:rPr>
                        <w:t xml:space="preserve"> and</w:t>
                      </w:r>
                    </w:p>
                    <w:p w14:paraId="63D88C39" w14:textId="77777777" w:rsidR="0048222E" w:rsidRPr="00A31612" w:rsidRDefault="00AA1CBD" w:rsidP="00EF6118">
                      <w:pPr>
                        <w:pStyle w:val="ListParagraph"/>
                        <w:numPr>
                          <w:ilvl w:val="0"/>
                          <w:numId w:val="9"/>
                        </w:numPr>
                        <w:rPr>
                          <w:szCs w:val="22"/>
                        </w:rPr>
                      </w:pPr>
                      <w:proofErr w:type="gramStart"/>
                      <w:r w:rsidRPr="00A31612">
                        <w:rPr>
                          <w:szCs w:val="22"/>
                        </w:rPr>
                        <w:t>the</w:t>
                      </w:r>
                      <w:proofErr w:type="gramEnd"/>
                      <w:r w:rsidRPr="00A31612">
                        <w:rPr>
                          <w:szCs w:val="22"/>
                        </w:rPr>
                        <w:t xml:space="preserve"> appointment of an external professional to audit the business’s compliance with workplace laws for the next three years.</w:t>
                      </w:r>
                    </w:p>
                  </w:txbxContent>
                </v:textbox>
                <w10:wrap type="tight"/>
              </v:shape>
            </w:pict>
          </mc:Fallback>
        </mc:AlternateContent>
      </w:r>
      <w:bookmarkStart w:id="11" w:name="_Toc421872763"/>
      <w:bookmarkStart w:id="12" w:name="_Toc410822211"/>
      <w:bookmarkStart w:id="13" w:name="_Toc354148740"/>
      <w:bookmarkStart w:id="14" w:name="_Toc423945779"/>
      <w:bookmarkEnd w:id="7"/>
      <w:bookmarkEnd w:id="9"/>
    </w:p>
    <w:p w14:paraId="63D88BFE" w14:textId="77777777" w:rsidR="00AB1897" w:rsidRDefault="00AB1897" w:rsidP="000A6EB4">
      <w:pPr>
        <w:pStyle w:val="Heading2"/>
        <w:rPr>
          <w:rFonts w:eastAsia="Calibri"/>
        </w:rPr>
      </w:pPr>
    </w:p>
    <w:p w14:paraId="63D88BFF" w14:textId="77777777" w:rsidR="00AB1897" w:rsidRDefault="00AB1897" w:rsidP="000A6EB4">
      <w:pPr>
        <w:pStyle w:val="Heading2"/>
        <w:rPr>
          <w:rFonts w:eastAsia="Calibri"/>
        </w:rPr>
      </w:pPr>
    </w:p>
    <w:p w14:paraId="63D88C00" w14:textId="77777777" w:rsidR="00AB1897" w:rsidRDefault="00AB1897" w:rsidP="000A6EB4">
      <w:pPr>
        <w:pStyle w:val="Heading2"/>
        <w:rPr>
          <w:rFonts w:eastAsia="Calibri"/>
        </w:rPr>
      </w:pPr>
      <w:bookmarkStart w:id="15" w:name="_Toc445802401"/>
    </w:p>
    <w:p w14:paraId="63D88C01" w14:textId="77777777" w:rsidR="003A09DF" w:rsidRPr="005F329E" w:rsidRDefault="003A09DF" w:rsidP="000A6EB4">
      <w:pPr>
        <w:pStyle w:val="Heading2"/>
      </w:pPr>
      <w:bookmarkStart w:id="16" w:name="_Toc447527885"/>
      <w:r w:rsidRPr="005F329E">
        <w:rPr>
          <w:rFonts w:eastAsia="Calibri"/>
        </w:rPr>
        <w:t>Employer Association Membership</w:t>
      </w:r>
      <w:bookmarkEnd w:id="15"/>
      <w:r w:rsidR="00204016" w:rsidRPr="005F329E">
        <w:rPr>
          <w:rFonts w:eastAsia="Calibri"/>
        </w:rPr>
        <w:t xml:space="preserve"> and </w:t>
      </w:r>
      <w:r w:rsidR="00204016" w:rsidRPr="005F329E">
        <w:t>Business Size</w:t>
      </w:r>
      <w:bookmarkEnd w:id="16"/>
    </w:p>
    <w:p w14:paraId="63D88C02" w14:textId="77777777" w:rsidR="005F5A7A" w:rsidRPr="00004D03" w:rsidRDefault="00004D03" w:rsidP="003A09DF">
      <w:r>
        <w:rPr>
          <w:rFonts w:eastAsia="Calibri"/>
        </w:rPr>
        <w:t>B</w:t>
      </w:r>
      <w:r w:rsidR="005F5A7A" w:rsidRPr="00004D03">
        <w:rPr>
          <w:rFonts w:eastAsia="Calibri"/>
        </w:rPr>
        <w:t xml:space="preserve">usinesses </w:t>
      </w:r>
      <w:r>
        <w:rPr>
          <w:rFonts w:eastAsia="Calibri"/>
        </w:rPr>
        <w:t>that</w:t>
      </w:r>
      <w:r w:rsidR="005F5A7A" w:rsidRPr="00004D03">
        <w:rPr>
          <w:rFonts w:eastAsia="Calibri"/>
        </w:rPr>
        <w:t xml:space="preserve"> were members of an employer or industry association were more likely to be compliant than those who were not.  69% of businesses who were members of an association were compliant, compared with a compliance rate of 54% for b</w:t>
      </w:r>
      <w:r w:rsidRPr="00004D03">
        <w:rPr>
          <w:rFonts w:eastAsia="Calibri"/>
        </w:rPr>
        <w:t>usinesses who were</w:t>
      </w:r>
      <w:bookmarkStart w:id="17" w:name="_GoBack"/>
      <w:bookmarkEnd w:id="17"/>
      <w:r w:rsidRPr="00004D03">
        <w:rPr>
          <w:rFonts w:eastAsia="Calibri"/>
        </w:rPr>
        <w:t xml:space="preserve"> not members.  </w:t>
      </w:r>
    </w:p>
    <w:p w14:paraId="63D88C03" w14:textId="77777777" w:rsidR="003A09DF" w:rsidRPr="00FD3AFF" w:rsidRDefault="003A09DF" w:rsidP="003A09DF">
      <w:r w:rsidRPr="00FD3AFF">
        <w:t xml:space="preserve">Of </w:t>
      </w:r>
      <w:r w:rsidR="005F5A7A" w:rsidRPr="00FD3AFF">
        <w:t xml:space="preserve">the 76 businesses audited, 13 were members of an </w:t>
      </w:r>
      <w:r w:rsidRPr="00FD3AFF">
        <w:t>employer</w:t>
      </w:r>
      <w:r w:rsidR="005F5A7A" w:rsidRPr="00FD3AFF">
        <w:t xml:space="preserve"> or industry association. </w:t>
      </w:r>
      <w:r w:rsidRPr="00FD3AFF">
        <w:t xml:space="preserve">Of those, </w:t>
      </w:r>
      <w:r w:rsidR="005F5A7A" w:rsidRPr="00FD3AFF">
        <w:t>4</w:t>
      </w:r>
      <w:r w:rsidRPr="00FD3AFF">
        <w:t xml:space="preserve"> (31%) </w:t>
      </w:r>
      <w:r w:rsidR="00FD3AFF" w:rsidRPr="00FD3AFF">
        <w:t xml:space="preserve">had errors. All of those errors </w:t>
      </w:r>
      <w:r w:rsidRPr="00FD3AFF">
        <w:t>re</w:t>
      </w:r>
      <w:r w:rsidR="005F5A7A" w:rsidRPr="00FD3AFF">
        <w:t>lated to pay slips and record-</w:t>
      </w:r>
      <w:r w:rsidRPr="00FD3AFF">
        <w:t>keeping.</w:t>
      </w:r>
    </w:p>
    <w:p w14:paraId="63D88C04" w14:textId="77777777" w:rsidR="003A09DF" w:rsidRPr="00FD3AFF" w:rsidRDefault="003A09DF" w:rsidP="003A09DF">
      <w:r w:rsidRPr="00FD3AFF">
        <w:t>Of the 63 businesses that were not members of an association, 29 (46%) had errors. The most common e</w:t>
      </w:r>
      <w:r w:rsidR="00FD3AFF" w:rsidRPr="00FD3AFF">
        <w:t xml:space="preserve">rror </w:t>
      </w:r>
      <w:r w:rsidR="00204016" w:rsidRPr="00FD3AFF">
        <w:t>related to pay slips</w:t>
      </w:r>
      <w:r w:rsidR="005F5A7A" w:rsidRPr="00FD3AFF">
        <w:t xml:space="preserve"> (9</w:t>
      </w:r>
      <w:r w:rsidR="00204016" w:rsidRPr="00FD3AFF">
        <w:t>), followed by pe</w:t>
      </w:r>
      <w:r w:rsidRPr="00FD3AFF">
        <w:t>nalty rates</w:t>
      </w:r>
      <w:r w:rsidR="00204016" w:rsidRPr="00FD3AFF">
        <w:t xml:space="preserve"> (7) and u</w:t>
      </w:r>
      <w:r w:rsidRPr="00FD3AFF">
        <w:t>nde</w:t>
      </w:r>
      <w:r w:rsidR="00204016" w:rsidRPr="00FD3AFF">
        <w:t>rpayment of the hourly rate (4</w:t>
      </w:r>
      <w:r w:rsidRPr="00FD3AFF">
        <w:t>).</w:t>
      </w:r>
    </w:p>
    <w:p w14:paraId="63D88C05" w14:textId="77777777" w:rsidR="00204016" w:rsidRPr="00F05467" w:rsidRDefault="00204016" w:rsidP="003A09DF">
      <w:r w:rsidRPr="00F05467">
        <w:rPr>
          <w:rFonts w:eastAsia="Calibri"/>
        </w:rPr>
        <w:t xml:space="preserve">Larger businesses (those with 15 </w:t>
      </w:r>
      <w:r w:rsidR="00FD3AFF" w:rsidRPr="00F05467">
        <w:rPr>
          <w:rFonts w:eastAsia="Calibri"/>
        </w:rPr>
        <w:t xml:space="preserve">or </w:t>
      </w:r>
      <w:r w:rsidRPr="00F05467">
        <w:rPr>
          <w:rFonts w:eastAsia="Calibri"/>
        </w:rPr>
        <w:t xml:space="preserve">more employees) had a higher compliance rate than smaller businesses (those with less than 15 employees). The compliance rate for larger businesses was 81% compared with a compliance rate of 50% for smaller businesses.  </w:t>
      </w:r>
    </w:p>
    <w:p w14:paraId="63D88C06" w14:textId="77777777" w:rsidR="005F329E" w:rsidRPr="00F05467" w:rsidRDefault="00F05467" w:rsidP="003A09DF">
      <w:r w:rsidRPr="00F05467">
        <w:t>Of those smaller businesses, b</w:t>
      </w:r>
      <w:r w:rsidR="00FD3AFF" w:rsidRPr="00F05467">
        <w:t>usinesses with 1</w:t>
      </w:r>
      <w:r w:rsidR="003A09DF" w:rsidRPr="00F05467">
        <w:t xml:space="preserve"> - </w:t>
      </w:r>
      <w:r w:rsidR="00204016" w:rsidRPr="00F05467">
        <w:t xml:space="preserve">4 </w:t>
      </w:r>
      <w:r w:rsidR="00FD3AFF" w:rsidRPr="00F05467">
        <w:t>employees</w:t>
      </w:r>
      <w:r w:rsidR="00204016" w:rsidRPr="00F05467">
        <w:t xml:space="preserve"> were </w:t>
      </w:r>
      <w:r w:rsidR="003A09DF" w:rsidRPr="00F05467">
        <w:t>more likely to have made errors than</w:t>
      </w:r>
      <w:r w:rsidR="00FD3AFF" w:rsidRPr="00F05467">
        <w:t xml:space="preserve"> b</w:t>
      </w:r>
      <w:r w:rsidR="003A09DF" w:rsidRPr="00F05467">
        <w:t>usinesses with 5 – 14 employees.</w:t>
      </w:r>
      <w:r w:rsidRPr="00F05467">
        <w:t xml:space="preserve">  </w:t>
      </w:r>
      <w:r w:rsidR="003A09DF" w:rsidRPr="00F05467">
        <w:t xml:space="preserve">Businesses with 1 – 4 employees </w:t>
      </w:r>
      <w:r w:rsidRPr="00F05467">
        <w:t>had</w:t>
      </w:r>
      <w:r w:rsidR="003A09DF" w:rsidRPr="00F05467">
        <w:t xml:space="preserve"> a compliance rate of 32%, compared to a compliance rate of 66% for businesses with 5 – 14 employees. </w:t>
      </w:r>
    </w:p>
    <w:p w14:paraId="63D88C07" w14:textId="77777777" w:rsidR="005F329E" w:rsidRDefault="005F329E" w:rsidP="00AB1897">
      <w:pPr>
        <w:spacing w:after="0"/>
        <w:rPr>
          <w:color w:val="0194A6"/>
        </w:rPr>
      </w:pPr>
      <w:r w:rsidRPr="00AB1897">
        <w:rPr>
          <w:color w:val="0194A6"/>
        </w:rPr>
        <w:t>Figure 3 – Compliance by association membership and size</w:t>
      </w:r>
    </w:p>
    <w:p w14:paraId="63D88C08" w14:textId="77777777" w:rsidR="00204016" w:rsidRPr="005F329E" w:rsidRDefault="000716DE" w:rsidP="00794995">
      <w:pPr>
        <w:spacing w:after="0"/>
        <w:rPr>
          <w:rStyle w:val="Heading2Char"/>
        </w:rPr>
      </w:pPr>
      <w:r>
        <w:rPr>
          <w:noProof/>
          <w:color w:val="0194A6"/>
          <w:lang w:eastAsia="en-AU"/>
        </w:rPr>
        <w:drawing>
          <wp:inline distT="0" distB="0" distL="0" distR="0" wp14:anchorId="63D88C1E" wp14:editId="63D88C1F">
            <wp:extent cx="5859506" cy="3423684"/>
            <wp:effectExtent l="0" t="0" r="8255" b="5715"/>
            <wp:docPr id="11" name="Picture 11" descr="A bar graph showing the differences in compliance for association members (69%), non-members (54%), businesses with less than 15 employees (50%) and with more than 15 employees (81%)" title="Compliance by association membership and business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3278" cy="3425888"/>
                    </a:xfrm>
                    <a:prstGeom prst="rect">
                      <a:avLst/>
                    </a:prstGeom>
                    <a:noFill/>
                  </pic:spPr>
                </pic:pic>
              </a:graphicData>
            </a:graphic>
          </wp:inline>
        </w:drawing>
      </w:r>
    </w:p>
    <w:p w14:paraId="63D88C09" w14:textId="77777777" w:rsidR="003A09DF" w:rsidRPr="005F329E" w:rsidRDefault="003A09DF" w:rsidP="000A6EB4">
      <w:pPr>
        <w:pStyle w:val="Heading1"/>
      </w:pPr>
      <w:bookmarkStart w:id="18" w:name="_Toc447527886"/>
      <w:r w:rsidRPr="005F329E">
        <w:rPr>
          <w:rStyle w:val="Heading2Char"/>
        </w:rPr>
        <w:t>Conclusion</w:t>
      </w:r>
      <w:bookmarkEnd w:id="18"/>
      <w:r w:rsidRPr="005F329E">
        <w:rPr>
          <w:rStyle w:val="Heading2Char"/>
        </w:rPr>
        <w:t xml:space="preserve"> </w:t>
      </w:r>
    </w:p>
    <w:p w14:paraId="63D88C0A" w14:textId="77777777" w:rsidR="0044177E" w:rsidRPr="0044177E" w:rsidRDefault="0044177E" w:rsidP="00FE242B">
      <w:r w:rsidRPr="0044177E">
        <w:t xml:space="preserve">The campaign revealed that most businesses were paying the correct rates of pay and keeping the required records and pay slips, though many had not consciously sought out the specific information to be certain they were compliant.  </w:t>
      </w:r>
    </w:p>
    <w:p w14:paraId="63D88C0B" w14:textId="77777777" w:rsidR="00FE242B" w:rsidRPr="0044177E" w:rsidRDefault="0044177E" w:rsidP="00FE242B">
      <w:r w:rsidRPr="0044177E">
        <w:t>Businesses</w:t>
      </w:r>
      <w:r w:rsidR="00FE242B" w:rsidRPr="0044177E">
        <w:t xml:space="preserve"> are now aware that the FWO can provide the tools and information they need to comply with their obligations; and that these freely available resources are both an efficient and reliable means of maintaining ongoing compliance. </w:t>
      </w:r>
    </w:p>
    <w:p w14:paraId="63D88C0C" w14:textId="77777777" w:rsidR="00A31612" w:rsidRPr="0044177E" w:rsidRDefault="00A31612" w:rsidP="00FE242B">
      <w:r w:rsidRPr="0044177E">
        <w:t>The FWO will use the results of this campaign to inform our future education and audit activities. This may involve the development of future national or regional campaigns that also include businesses from the region.</w:t>
      </w:r>
    </w:p>
    <w:p w14:paraId="63D88C0D" w14:textId="77777777" w:rsidR="00FE242B" w:rsidRPr="0044177E" w:rsidRDefault="00FE242B" w:rsidP="00FE242B">
      <w:pPr>
        <w:rPr>
          <w:rFonts w:eastAsiaTheme="minorHAnsi"/>
          <w:szCs w:val="22"/>
        </w:rPr>
      </w:pPr>
      <w:r w:rsidRPr="0044177E">
        <w:t>B</w:t>
      </w:r>
      <w:r w:rsidRPr="0044177E">
        <w:rPr>
          <w:rFonts w:eastAsiaTheme="minorHAnsi"/>
          <w:szCs w:val="22"/>
        </w:rPr>
        <w:t xml:space="preserve">usinesses </w:t>
      </w:r>
      <w:r w:rsidR="000F7EFE" w:rsidRPr="0044177E">
        <w:rPr>
          <w:rFonts w:eastAsiaTheme="minorHAnsi"/>
          <w:szCs w:val="22"/>
        </w:rPr>
        <w:t xml:space="preserve">with </w:t>
      </w:r>
      <w:r w:rsidRPr="0044177E">
        <w:rPr>
          <w:rFonts w:eastAsiaTheme="minorHAnsi"/>
          <w:szCs w:val="22"/>
        </w:rPr>
        <w:t xml:space="preserve">errors </w:t>
      </w:r>
      <w:r w:rsidR="000F7EFE" w:rsidRPr="0044177E">
        <w:rPr>
          <w:rFonts w:eastAsiaTheme="minorHAnsi"/>
          <w:szCs w:val="22"/>
        </w:rPr>
        <w:t>will</w:t>
      </w:r>
      <w:r w:rsidRPr="0044177E">
        <w:rPr>
          <w:rFonts w:eastAsiaTheme="minorHAnsi"/>
          <w:szCs w:val="22"/>
        </w:rPr>
        <w:t xml:space="preserve"> be </w:t>
      </w:r>
      <w:r w:rsidR="000F7EFE" w:rsidRPr="0044177E">
        <w:rPr>
          <w:rFonts w:eastAsiaTheme="minorHAnsi"/>
          <w:szCs w:val="22"/>
        </w:rPr>
        <w:t>re-audited as part of the</w:t>
      </w:r>
      <w:r w:rsidRPr="0044177E">
        <w:rPr>
          <w:rFonts w:eastAsiaTheme="minorHAnsi"/>
          <w:szCs w:val="22"/>
        </w:rPr>
        <w:t xml:space="preserve"> National Com</w:t>
      </w:r>
      <w:r w:rsidR="0044177E" w:rsidRPr="0044177E">
        <w:rPr>
          <w:rFonts w:eastAsiaTheme="minorHAnsi"/>
          <w:szCs w:val="22"/>
        </w:rPr>
        <w:t>pliance Monitoring Campaign</w:t>
      </w:r>
      <w:r w:rsidRPr="0044177E">
        <w:rPr>
          <w:rFonts w:eastAsiaTheme="minorHAnsi"/>
          <w:szCs w:val="22"/>
        </w:rPr>
        <w:t xml:space="preserve"> which is an initiative of the FWO aimed at ensuring that businesses previously identified as non-compliant, subsequently achieve ongoing compliance.</w:t>
      </w:r>
    </w:p>
    <w:p w14:paraId="63D88C0E" w14:textId="77777777" w:rsidR="003A09DF" w:rsidRPr="005F329E" w:rsidRDefault="003A09DF" w:rsidP="003A09DF">
      <w:pPr>
        <w:rPr>
          <w:color w:val="0194A6"/>
          <w:sz w:val="44"/>
          <w:szCs w:val="26"/>
          <w:lang w:eastAsia="en-AU"/>
        </w:rPr>
      </w:pPr>
      <w:r w:rsidRPr="005F329E">
        <w:rPr>
          <w:color w:val="0194A6"/>
          <w:sz w:val="44"/>
          <w:szCs w:val="26"/>
          <w:lang w:eastAsia="en-AU"/>
        </w:rPr>
        <w:t>About the Fair Work Ombudsman</w:t>
      </w:r>
      <w:bookmarkEnd w:id="11"/>
      <w:bookmarkEnd w:id="12"/>
      <w:bookmarkEnd w:id="13"/>
      <w:bookmarkEnd w:id="14"/>
    </w:p>
    <w:p w14:paraId="63D88C0F" w14:textId="77777777" w:rsidR="003A09DF" w:rsidRPr="005F329E" w:rsidRDefault="003A09DF" w:rsidP="003A09DF">
      <w:pPr>
        <w:rPr>
          <w:lang w:eastAsia="en-AU"/>
        </w:rPr>
      </w:pPr>
      <w:r w:rsidRPr="005F329E">
        <w:rPr>
          <w:lang w:eastAsia="en-AU"/>
        </w:rPr>
        <w:t xml:space="preserve">The Fair Work Ombudsman is an independent agency created by the </w:t>
      </w:r>
      <w:r w:rsidRPr="005F329E">
        <w:rPr>
          <w:i/>
          <w:lang w:eastAsia="en-AU"/>
        </w:rPr>
        <w:t>Fair Work Act 2009</w:t>
      </w:r>
      <w:r w:rsidRPr="005F329E">
        <w:rPr>
          <w:lang w:eastAsia="en-AU"/>
        </w:rPr>
        <w:t xml:space="preserve"> on 1 July 2009. Our main role is to promote harmonious, productive and cooperative workplace relations.</w:t>
      </w:r>
    </w:p>
    <w:p w14:paraId="63D88C10" w14:textId="77777777" w:rsidR="003A09DF" w:rsidRPr="005F329E" w:rsidRDefault="003A09DF" w:rsidP="003A09DF">
      <w:pPr>
        <w:rPr>
          <w:rFonts w:eastAsia="Calibri"/>
          <w:szCs w:val="22"/>
        </w:rPr>
      </w:pPr>
      <w:r w:rsidRPr="005F329E">
        <w:rPr>
          <w:rFonts w:eastAsia="Calibri"/>
          <w:szCs w:val="22"/>
        </w:rPr>
        <w:t xml:space="preserve">Each year the Fair Work Ombudsman (FWO) runs proactive campaigns to assist employers and employees understand their rights and obligations under Commonwealth workplace relations laws. </w:t>
      </w:r>
    </w:p>
    <w:p w14:paraId="63D88C11" w14:textId="77777777" w:rsidR="003A09DF" w:rsidRPr="005F329E" w:rsidRDefault="003A09DF" w:rsidP="003A09DF">
      <w:r w:rsidRPr="005F329E">
        <w:t>These campaigns can focus on particular industries, regions and/or labour market issues and are conducted on a national and state level.</w:t>
      </w:r>
    </w:p>
    <w:p w14:paraId="63D88C12" w14:textId="77777777" w:rsidR="003A09DF" w:rsidRPr="005F329E" w:rsidRDefault="003A09DF" w:rsidP="003A09DF">
      <w:pPr>
        <w:rPr>
          <w:lang w:eastAsia="en-AU"/>
        </w:rPr>
      </w:pPr>
      <w:r w:rsidRPr="005F329E">
        <w:rPr>
          <w:lang w:eastAsia="en-AU"/>
        </w:rPr>
        <w:t xml:space="preserve">This report covers the background, method and findings of the Northern ACT Regional Campaign. For further information and media enquiries please contact the media team at </w:t>
      </w:r>
      <w:hyperlink r:id="rId17" w:history="1">
        <w:r w:rsidRPr="005F329E">
          <w:rPr>
            <w:color w:val="0000FF"/>
            <w:u w:val="single"/>
            <w:lang w:eastAsia="en-AU"/>
          </w:rPr>
          <w:t>media@fwo.gov.au</w:t>
        </w:r>
      </w:hyperlink>
      <w:r w:rsidRPr="005F329E">
        <w:rPr>
          <w:lang w:eastAsia="en-AU"/>
        </w:rPr>
        <w:t xml:space="preserve">  </w:t>
      </w:r>
    </w:p>
    <w:p w14:paraId="63D88C15" w14:textId="6738C202" w:rsidR="004D4BF2" w:rsidRPr="005F329E" w:rsidRDefault="003A09DF" w:rsidP="004D4BF2">
      <w:pPr>
        <w:rPr>
          <w:lang w:eastAsia="en-AU"/>
        </w:rPr>
      </w:pPr>
      <w:r w:rsidRPr="005F329E">
        <w:rPr>
          <w:lang w:eastAsia="en-AU"/>
        </w:rPr>
        <w:t xml:space="preserve">If you would like further information about the Fair Work Ombudsman’s campaigns please contact Lynda </w:t>
      </w:r>
      <w:proofErr w:type="spellStart"/>
      <w:r w:rsidRPr="005F329E">
        <w:rPr>
          <w:lang w:eastAsia="en-AU"/>
        </w:rPr>
        <w:t>McAlary</w:t>
      </w:r>
      <w:proofErr w:type="spellEnd"/>
      <w:r w:rsidRPr="005F329E">
        <w:rPr>
          <w:lang w:eastAsia="en-AU"/>
        </w:rPr>
        <w:t xml:space="preserve">-Smith, Executive Director - Proactive Compliance and Education at </w:t>
      </w:r>
      <w:hyperlink r:id="rId18" w:history="1">
        <w:r w:rsidRPr="005F329E">
          <w:rPr>
            <w:color w:val="0000FF"/>
            <w:szCs w:val="22"/>
            <w:u w:val="single"/>
            <w:lang w:eastAsia="en-AU"/>
          </w:rPr>
          <w:t>Lynda.McAlary-Smith@fwo.gov.au</w:t>
        </w:r>
      </w:hyperlink>
      <w:r w:rsidRPr="005F329E">
        <w:rPr>
          <w:lang w:eastAsia="en-AU"/>
        </w:rPr>
        <w:t xml:space="preserve"> </w:t>
      </w:r>
    </w:p>
    <w:sectPr w:rsidR="004D4BF2" w:rsidRPr="005F329E" w:rsidSect="00242CE1">
      <w:headerReference w:type="default" r:id="rId19"/>
      <w:footerReference w:type="even" r:id="rId20"/>
      <w:footerReference w:type="default" r:id="rId21"/>
      <w:headerReference w:type="first" r:id="rId22"/>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88C22" w14:textId="77777777" w:rsidR="005537F6" w:rsidRDefault="005537F6">
      <w:pPr>
        <w:spacing w:after="0" w:line="240" w:lineRule="auto"/>
      </w:pPr>
      <w:r>
        <w:separator/>
      </w:r>
    </w:p>
  </w:endnote>
  <w:endnote w:type="continuationSeparator" w:id="0">
    <w:p w14:paraId="63D88C23" w14:textId="77777777" w:rsidR="005537F6" w:rsidRDefault="0055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8C25" w14:textId="77777777" w:rsidR="006E34AE" w:rsidRDefault="00406676" w:rsidP="00AB27F9">
    <w:r>
      <w:fldChar w:fldCharType="begin"/>
    </w:r>
    <w:r>
      <w:instrText xml:space="preserve">PAGE  </w:instrText>
    </w:r>
    <w:r>
      <w:fldChar w:fldCharType="separate"/>
    </w:r>
    <w:r>
      <w:rPr>
        <w:noProof/>
      </w:rPr>
      <w:t>2</w:t>
    </w:r>
    <w:r>
      <w:fldChar w:fldCharType="end"/>
    </w:r>
  </w:p>
  <w:p w14:paraId="63D88C26" w14:textId="77777777" w:rsidR="006E34AE" w:rsidRDefault="00D21903" w:rsidP="00AB27F9"/>
  <w:p w14:paraId="63D88C27" w14:textId="77777777" w:rsidR="00AC229B" w:rsidRDefault="00D21903"/>
  <w:p w14:paraId="63D88C28" w14:textId="77777777" w:rsidR="00AC229B" w:rsidRDefault="00D21903"/>
  <w:p w14:paraId="63D88C29" w14:textId="77777777" w:rsidR="00AC229B" w:rsidRDefault="00D219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8C2A" w14:textId="72E09F65" w:rsidR="00C2298B" w:rsidRPr="0045600E" w:rsidRDefault="00406676" w:rsidP="00D21903">
    <w:pPr>
      <w:pStyle w:val="Footer"/>
      <w:ind w:left="6521"/>
      <w:jc w:val="right"/>
      <w:rPr>
        <w:color w:val="FFFFFF" w:themeColor="background1"/>
      </w:rPr>
    </w:pPr>
    <w:r w:rsidRPr="00E86F40">
      <w:rPr>
        <w:noProof/>
        <w:color w:val="FFFFFF" w:themeColor="background1"/>
        <w:lang w:eastAsia="en-AU"/>
      </w:rPr>
      <w:drawing>
        <wp:anchor distT="0" distB="0" distL="114300" distR="114300" simplePos="0" relativeHeight="251660288" behindDoc="1" locked="0" layoutInCell="1" allowOverlap="1" wp14:anchorId="63D88C2D" wp14:editId="63D88C2E">
          <wp:simplePos x="0" y="0"/>
          <wp:positionH relativeFrom="column">
            <wp:posOffset>-810260</wp:posOffset>
          </wp:positionH>
          <wp:positionV relativeFrom="paragraph">
            <wp:posOffset>-564515</wp:posOffset>
          </wp:positionV>
          <wp:extent cx="7658100" cy="1176655"/>
          <wp:effectExtent l="0" t="0" r="0" b="4445"/>
          <wp:wrapTopAndBottom/>
          <wp:docPr id="10" name="Picture 10"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176655"/>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18"/>
        <w:szCs w:val="18"/>
      </w:rPr>
      <w:t xml:space="preserve">Northern ACT Regional Campaign </w:t>
    </w:r>
    <w:r w:rsidRPr="0045600E">
      <w:rPr>
        <w:color w:val="FFFFFF" w:themeColor="background1"/>
        <w:sz w:val="18"/>
        <w:szCs w:val="18"/>
      </w:rPr>
      <w:tab/>
    </w:r>
    <w:sdt>
      <w:sdtPr>
        <w:rPr>
          <w:color w:val="FFFFFF" w:themeColor="background1"/>
        </w:rPr>
        <w:id w:val="-1505813797"/>
        <w:docPartObj>
          <w:docPartGallery w:val="Page Numbers (Bottom of Page)"/>
          <w:docPartUnique/>
        </w:docPartObj>
      </w:sdtPr>
      <w:sdtEndPr>
        <w:rPr>
          <w:noProof/>
        </w:rPr>
      </w:sdtEndPr>
      <w:sdtContent>
        <w:r w:rsidRPr="00E86F40">
          <w:rPr>
            <w:color w:val="FFFFFF" w:themeColor="background1"/>
            <w:sz w:val="20"/>
            <w:szCs w:val="20"/>
          </w:rPr>
          <w:fldChar w:fldCharType="begin"/>
        </w:r>
        <w:r w:rsidRPr="00E86F40">
          <w:rPr>
            <w:color w:val="FFFFFF" w:themeColor="background1"/>
            <w:sz w:val="20"/>
            <w:szCs w:val="20"/>
          </w:rPr>
          <w:instrText xml:space="preserve"> PAGE   \* MERGEFORMAT </w:instrText>
        </w:r>
        <w:r w:rsidRPr="00E86F40">
          <w:rPr>
            <w:color w:val="FFFFFF" w:themeColor="background1"/>
            <w:sz w:val="20"/>
            <w:szCs w:val="20"/>
          </w:rPr>
          <w:fldChar w:fldCharType="separate"/>
        </w:r>
        <w:r w:rsidR="00D21903">
          <w:rPr>
            <w:noProof/>
            <w:color w:val="FFFFFF" w:themeColor="background1"/>
            <w:sz w:val="20"/>
            <w:szCs w:val="20"/>
          </w:rPr>
          <w:t>2</w:t>
        </w:r>
        <w:r w:rsidRPr="00E86F40">
          <w:rPr>
            <w:noProof/>
            <w:color w:val="FFFFFF" w:themeColor="background1"/>
            <w:sz w:val="20"/>
            <w:szCs w:val="20"/>
          </w:rPr>
          <w:fldChar w:fldCharType="end"/>
        </w:r>
      </w:sdtContent>
    </w:sdt>
  </w:p>
  <w:p w14:paraId="63D88C2B" w14:textId="77777777" w:rsidR="00AC229B" w:rsidRDefault="00D21903" w:rsidP="004B2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88C20" w14:textId="77777777" w:rsidR="005537F6" w:rsidRDefault="005537F6">
      <w:pPr>
        <w:spacing w:after="0" w:line="240" w:lineRule="auto"/>
      </w:pPr>
      <w:r>
        <w:separator/>
      </w:r>
    </w:p>
  </w:footnote>
  <w:footnote w:type="continuationSeparator" w:id="0">
    <w:p w14:paraId="63D88C21" w14:textId="77777777" w:rsidR="005537F6" w:rsidRDefault="00553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8C24" w14:textId="77777777" w:rsidR="00AC229B" w:rsidRDefault="00D21903" w:rsidP="00E86F40">
    <w:pPr>
      <w:spacing w:before="100" w:beforeAutospacing="1" w:after="100" w:afterAutospacing="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8C2C" w14:textId="77777777" w:rsidR="006E34AE" w:rsidRPr="003952ED" w:rsidRDefault="00406676" w:rsidP="00AB27F9">
    <w:pPr>
      <w:rPr>
        <w:u w:val="single"/>
      </w:rPr>
    </w:pPr>
    <w:r w:rsidRPr="003952ED">
      <w:rPr>
        <w:noProof/>
        <w:u w:val="single"/>
        <w:lang w:eastAsia="en-AU"/>
      </w:rPr>
      <w:drawing>
        <wp:anchor distT="0" distB="0" distL="114300" distR="114300" simplePos="0" relativeHeight="251659264" behindDoc="1" locked="0" layoutInCell="1" allowOverlap="1" wp14:anchorId="63D88C2F" wp14:editId="63D88C30">
          <wp:simplePos x="0" y="0"/>
          <wp:positionH relativeFrom="column">
            <wp:posOffset>-833755</wp:posOffset>
          </wp:positionH>
          <wp:positionV relativeFrom="paragraph">
            <wp:posOffset>2042605</wp:posOffset>
          </wp:positionV>
          <wp:extent cx="7592060" cy="8418614"/>
          <wp:effectExtent l="0" t="0" r="8890" b="1905"/>
          <wp:wrapNone/>
          <wp:docPr id="8" name="Picture 32"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778D"/>
    <w:multiLevelType w:val="hybridMultilevel"/>
    <w:tmpl w:val="60004AEC"/>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105B05"/>
    <w:multiLevelType w:val="hybridMultilevel"/>
    <w:tmpl w:val="FF92201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FA52F5"/>
    <w:multiLevelType w:val="hybridMultilevel"/>
    <w:tmpl w:val="BCFEE87C"/>
    <w:lvl w:ilvl="0" w:tplc="0780F86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A13E98"/>
    <w:multiLevelType w:val="hybridMultilevel"/>
    <w:tmpl w:val="10980602"/>
    <w:lvl w:ilvl="0" w:tplc="CF1ACB52">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950743"/>
    <w:multiLevelType w:val="hybridMultilevel"/>
    <w:tmpl w:val="FCBC7160"/>
    <w:lvl w:ilvl="0" w:tplc="CF1ACB52">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82E40BD"/>
    <w:multiLevelType w:val="hybridMultilevel"/>
    <w:tmpl w:val="82DA51E6"/>
    <w:lvl w:ilvl="0" w:tplc="CF1ACB52">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D5F0D5C"/>
    <w:multiLevelType w:val="hybridMultilevel"/>
    <w:tmpl w:val="89168772"/>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E57475"/>
    <w:multiLevelType w:val="hybridMultilevel"/>
    <w:tmpl w:val="AC301A6A"/>
    <w:lvl w:ilvl="0" w:tplc="B68C90CE">
      <w:start w:val="1"/>
      <w:numFmt w:val="bullet"/>
      <w:pStyle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A60D33"/>
    <w:multiLevelType w:val="hybridMultilevel"/>
    <w:tmpl w:val="5C7434DE"/>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DF"/>
    <w:rsid w:val="00004D03"/>
    <w:rsid w:val="00022E1B"/>
    <w:rsid w:val="00041CF0"/>
    <w:rsid w:val="00044BCF"/>
    <w:rsid w:val="000716DE"/>
    <w:rsid w:val="00075D20"/>
    <w:rsid w:val="00080CC6"/>
    <w:rsid w:val="00083075"/>
    <w:rsid w:val="00084666"/>
    <w:rsid w:val="00095CAE"/>
    <w:rsid w:val="000A6EB4"/>
    <w:rsid w:val="000F77DF"/>
    <w:rsid w:val="000F7EFE"/>
    <w:rsid w:val="001234A6"/>
    <w:rsid w:val="00164ABA"/>
    <w:rsid w:val="00170FBC"/>
    <w:rsid w:val="00174933"/>
    <w:rsid w:val="00180ACE"/>
    <w:rsid w:val="001B65F6"/>
    <w:rsid w:val="001D78CC"/>
    <w:rsid w:val="001E5CD6"/>
    <w:rsid w:val="001E726C"/>
    <w:rsid w:val="001F3FCF"/>
    <w:rsid w:val="002038E5"/>
    <w:rsid w:val="00204016"/>
    <w:rsid w:val="00263A43"/>
    <w:rsid w:val="00284BE1"/>
    <w:rsid w:val="002A65A3"/>
    <w:rsid w:val="002B2990"/>
    <w:rsid w:val="002C7B7B"/>
    <w:rsid w:val="002D52A7"/>
    <w:rsid w:val="00333CBC"/>
    <w:rsid w:val="00343051"/>
    <w:rsid w:val="00346EDC"/>
    <w:rsid w:val="00357227"/>
    <w:rsid w:val="0038013D"/>
    <w:rsid w:val="003A09DF"/>
    <w:rsid w:val="003A58AC"/>
    <w:rsid w:val="003D2723"/>
    <w:rsid w:val="003E35B4"/>
    <w:rsid w:val="00405C13"/>
    <w:rsid w:val="00406676"/>
    <w:rsid w:val="0041287D"/>
    <w:rsid w:val="0041666A"/>
    <w:rsid w:val="0042686F"/>
    <w:rsid w:val="004271B8"/>
    <w:rsid w:val="0044177E"/>
    <w:rsid w:val="00476C0C"/>
    <w:rsid w:val="0048222E"/>
    <w:rsid w:val="004C7CF6"/>
    <w:rsid w:val="004D0D69"/>
    <w:rsid w:val="004D4BF2"/>
    <w:rsid w:val="00533785"/>
    <w:rsid w:val="00550B1C"/>
    <w:rsid w:val="005537F6"/>
    <w:rsid w:val="005667EB"/>
    <w:rsid w:val="00582BBF"/>
    <w:rsid w:val="005E1F23"/>
    <w:rsid w:val="005E5ADE"/>
    <w:rsid w:val="005F0CFE"/>
    <w:rsid w:val="005F329E"/>
    <w:rsid w:val="005F5A7A"/>
    <w:rsid w:val="005F716B"/>
    <w:rsid w:val="00606CC5"/>
    <w:rsid w:val="006761B1"/>
    <w:rsid w:val="006835C1"/>
    <w:rsid w:val="0068550D"/>
    <w:rsid w:val="006B4660"/>
    <w:rsid w:val="006C5891"/>
    <w:rsid w:val="00715708"/>
    <w:rsid w:val="00726E89"/>
    <w:rsid w:val="007618D2"/>
    <w:rsid w:val="00794995"/>
    <w:rsid w:val="007B07B8"/>
    <w:rsid w:val="007B3343"/>
    <w:rsid w:val="007B71D1"/>
    <w:rsid w:val="007C491D"/>
    <w:rsid w:val="007D2D73"/>
    <w:rsid w:val="007D5036"/>
    <w:rsid w:val="007F78C7"/>
    <w:rsid w:val="00805EAE"/>
    <w:rsid w:val="00814575"/>
    <w:rsid w:val="00817C85"/>
    <w:rsid w:val="00821498"/>
    <w:rsid w:val="00826C18"/>
    <w:rsid w:val="00836A29"/>
    <w:rsid w:val="00866A27"/>
    <w:rsid w:val="008734A9"/>
    <w:rsid w:val="008775A0"/>
    <w:rsid w:val="00885525"/>
    <w:rsid w:val="008A436E"/>
    <w:rsid w:val="008B05FE"/>
    <w:rsid w:val="008C19BB"/>
    <w:rsid w:val="008E4D6E"/>
    <w:rsid w:val="009014EA"/>
    <w:rsid w:val="009109CC"/>
    <w:rsid w:val="0092118F"/>
    <w:rsid w:val="00951CB5"/>
    <w:rsid w:val="00952847"/>
    <w:rsid w:val="009A3AA1"/>
    <w:rsid w:val="009A3E55"/>
    <w:rsid w:val="009E6C0C"/>
    <w:rsid w:val="009F2B6E"/>
    <w:rsid w:val="00A05E19"/>
    <w:rsid w:val="00A31612"/>
    <w:rsid w:val="00A37AE5"/>
    <w:rsid w:val="00A425C8"/>
    <w:rsid w:val="00A44E8F"/>
    <w:rsid w:val="00A67390"/>
    <w:rsid w:val="00A71BBC"/>
    <w:rsid w:val="00AA1CBD"/>
    <w:rsid w:val="00AB1897"/>
    <w:rsid w:val="00AC7602"/>
    <w:rsid w:val="00AE2F61"/>
    <w:rsid w:val="00B50290"/>
    <w:rsid w:val="00B51AE1"/>
    <w:rsid w:val="00B559F1"/>
    <w:rsid w:val="00B61E44"/>
    <w:rsid w:val="00B82BA4"/>
    <w:rsid w:val="00B91E7A"/>
    <w:rsid w:val="00BB280F"/>
    <w:rsid w:val="00BD1D92"/>
    <w:rsid w:val="00BF5F22"/>
    <w:rsid w:val="00C15CB7"/>
    <w:rsid w:val="00C316EF"/>
    <w:rsid w:val="00C5118D"/>
    <w:rsid w:val="00C570D4"/>
    <w:rsid w:val="00C82807"/>
    <w:rsid w:val="00C83A15"/>
    <w:rsid w:val="00C83F2F"/>
    <w:rsid w:val="00C969D8"/>
    <w:rsid w:val="00CE30D6"/>
    <w:rsid w:val="00CF11F5"/>
    <w:rsid w:val="00D075A5"/>
    <w:rsid w:val="00D21903"/>
    <w:rsid w:val="00D5255A"/>
    <w:rsid w:val="00D5707B"/>
    <w:rsid w:val="00D57FDD"/>
    <w:rsid w:val="00D631B0"/>
    <w:rsid w:val="00D64E0B"/>
    <w:rsid w:val="00D73258"/>
    <w:rsid w:val="00D84D35"/>
    <w:rsid w:val="00DA0775"/>
    <w:rsid w:val="00DB7DA9"/>
    <w:rsid w:val="00DB7FEB"/>
    <w:rsid w:val="00DD46D0"/>
    <w:rsid w:val="00DD6DD2"/>
    <w:rsid w:val="00E154E3"/>
    <w:rsid w:val="00E25BCA"/>
    <w:rsid w:val="00E321DB"/>
    <w:rsid w:val="00E42FC9"/>
    <w:rsid w:val="00E63739"/>
    <w:rsid w:val="00E81FA8"/>
    <w:rsid w:val="00E90FFB"/>
    <w:rsid w:val="00E9591E"/>
    <w:rsid w:val="00EF6118"/>
    <w:rsid w:val="00F05467"/>
    <w:rsid w:val="00F337EC"/>
    <w:rsid w:val="00F3561C"/>
    <w:rsid w:val="00F86892"/>
    <w:rsid w:val="00FB114E"/>
    <w:rsid w:val="00FD179E"/>
    <w:rsid w:val="00FD3AFF"/>
    <w:rsid w:val="00FE2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D8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3A09DF"/>
    <w:pPr>
      <w:spacing w:after="120" w:line="360" w:lineRule="auto"/>
    </w:pPr>
    <w:rPr>
      <w:rFonts w:ascii="Arial" w:eastAsia="Times New Roman" w:hAnsi="Arial" w:cs="Arial"/>
      <w:szCs w:val="24"/>
    </w:rPr>
  </w:style>
  <w:style w:type="paragraph" w:styleId="Heading1">
    <w:name w:val="heading 1"/>
    <w:basedOn w:val="Normal"/>
    <w:next w:val="Normal"/>
    <w:link w:val="Heading1Char"/>
    <w:autoRedefine/>
    <w:uiPriority w:val="9"/>
    <w:qFormat/>
    <w:rsid w:val="000A6EB4"/>
    <w:pPr>
      <w:keepNext/>
      <w:keepLines/>
      <w:spacing w:after="0"/>
      <w:outlineLvl w:val="0"/>
    </w:pPr>
    <w:rPr>
      <w:color w:val="0194A6"/>
      <w:sz w:val="44"/>
      <w:szCs w:val="26"/>
    </w:rPr>
  </w:style>
  <w:style w:type="paragraph" w:styleId="Heading2">
    <w:name w:val="heading 2"/>
    <w:basedOn w:val="Heading1"/>
    <w:next w:val="Normal"/>
    <w:link w:val="Heading2Char"/>
    <w:autoRedefine/>
    <w:uiPriority w:val="9"/>
    <w:qFormat/>
    <w:rsid w:val="0048222E"/>
    <w:pPr>
      <w:numPr>
        <w:ilvl w:val="1"/>
      </w:numPr>
      <w:spacing w:before="180"/>
      <w:outlineLvl w:val="1"/>
    </w:pPr>
    <w:rPr>
      <w:sz w:val="22"/>
      <w:szCs w:val="22"/>
    </w:rPr>
  </w:style>
  <w:style w:type="paragraph" w:styleId="Heading3">
    <w:name w:val="heading 3"/>
    <w:basedOn w:val="Normal"/>
    <w:next w:val="Normal"/>
    <w:link w:val="Heading3Char"/>
    <w:uiPriority w:val="9"/>
    <w:unhideWhenUsed/>
    <w:qFormat/>
    <w:rsid w:val="00AB1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37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EB4"/>
    <w:rPr>
      <w:rFonts w:ascii="Arial" w:eastAsia="Times New Roman" w:hAnsi="Arial" w:cs="Arial"/>
      <w:color w:val="0194A6"/>
      <w:sz w:val="44"/>
      <w:szCs w:val="26"/>
    </w:rPr>
  </w:style>
  <w:style w:type="character" w:customStyle="1" w:styleId="Heading2Char">
    <w:name w:val="Heading 2 Char"/>
    <w:basedOn w:val="DefaultParagraphFont"/>
    <w:link w:val="Heading2"/>
    <w:uiPriority w:val="9"/>
    <w:rsid w:val="0048222E"/>
    <w:rPr>
      <w:rFonts w:ascii="Arial" w:eastAsia="Times New Roman" w:hAnsi="Arial" w:cs="Arial"/>
      <w:color w:val="0194A6"/>
    </w:rPr>
  </w:style>
  <w:style w:type="paragraph" w:styleId="Header">
    <w:name w:val="header"/>
    <w:basedOn w:val="Normal"/>
    <w:link w:val="HeaderChar"/>
    <w:rsid w:val="003A09DF"/>
    <w:pPr>
      <w:tabs>
        <w:tab w:val="center" w:pos="4153"/>
        <w:tab w:val="right" w:pos="8306"/>
      </w:tabs>
      <w:spacing w:before="360"/>
      <w:jc w:val="center"/>
    </w:pPr>
    <w:rPr>
      <w:sz w:val="40"/>
      <w:szCs w:val="40"/>
    </w:rPr>
  </w:style>
  <w:style w:type="character" w:customStyle="1" w:styleId="HeaderChar">
    <w:name w:val="Header Char"/>
    <w:basedOn w:val="DefaultParagraphFont"/>
    <w:link w:val="Header"/>
    <w:rsid w:val="003A09DF"/>
    <w:rPr>
      <w:rFonts w:ascii="Arial" w:eastAsia="Times New Roman" w:hAnsi="Arial" w:cs="Arial"/>
      <w:sz w:val="40"/>
      <w:szCs w:val="40"/>
    </w:rPr>
  </w:style>
  <w:style w:type="paragraph" w:customStyle="1" w:styleId="Tabletextheading">
    <w:name w:val="Table text heading"/>
    <w:basedOn w:val="Normal"/>
    <w:rsid w:val="003A09DF"/>
    <w:pPr>
      <w:spacing w:before="40" w:after="40"/>
    </w:pPr>
    <w:rPr>
      <w:b/>
      <w:bCs/>
      <w:lang w:eastAsia="en-AU"/>
    </w:rPr>
  </w:style>
  <w:style w:type="paragraph" w:styleId="TOC1">
    <w:name w:val="toc 1"/>
    <w:basedOn w:val="Normal"/>
    <w:autoRedefine/>
    <w:uiPriority w:val="39"/>
    <w:rsid w:val="003A09DF"/>
    <w:pPr>
      <w:tabs>
        <w:tab w:val="left" w:pos="1560"/>
        <w:tab w:val="right" w:leader="dot" w:pos="8789"/>
      </w:tabs>
      <w:ind w:left="851" w:right="814"/>
    </w:pPr>
    <w:rPr>
      <w:spacing w:val="-4"/>
    </w:rPr>
  </w:style>
  <w:style w:type="paragraph" w:styleId="TOC2">
    <w:name w:val="toc 2"/>
    <w:basedOn w:val="Normal"/>
    <w:autoRedefine/>
    <w:uiPriority w:val="39"/>
    <w:rsid w:val="003A09DF"/>
    <w:pPr>
      <w:tabs>
        <w:tab w:val="left" w:pos="1701"/>
        <w:tab w:val="right" w:leader="dot" w:pos="8789"/>
      </w:tabs>
      <w:ind w:left="992"/>
    </w:pPr>
  </w:style>
  <w:style w:type="paragraph" w:styleId="Footer">
    <w:name w:val="footer"/>
    <w:basedOn w:val="Normal"/>
    <w:link w:val="FooterChar"/>
    <w:uiPriority w:val="99"/>
    <w:rsid w:val="003A09DF"/>
    <w:pPr>
      <w:tabs>
        <w:tab w:val="center" w:pos="4153"/>
        <w:tab w:val="right" w:pos="8306"/>
      </w:tabs>
    </w:pPr>
  </w:style>
  <w:style w:type="character" w:customStyle="1" w:styleId="FooterChar">
    <w:name w:val="Footer Char"/>
    <w:basedOn w:val="DefaultParagraphFont"/>
    <w:link w:val="Footer"/>
    <w:uiPriority w:val="99"/>
    <w:rsid w:val="003A09DF"/>
    <w:rPr>
      <w:rFonts w:ascii="Arial" w:eastAsia="Times New Roman" w:hAnsi="Arial" w:cs="Arial"/>
      <w:szCs w:val="24"/>
    </w:rPr>
  </w:style>
  <w:style w:type="character" w:styleId="Hyperlink">
    <w:name w:val="Hyperlink"/>
    <w:basedOn w:val="DefaultParagraphFont"/>
    <w:uiPriority w:val="99"/>
    <w:rsid w:val="003A09DF"/>
    <w:rPr>
      <w:rFonts w:ascii="Arial" w:hAnsi="Arial" w:cs="Times New Roman"/>
      <w:color w:val="0000FF"/>
      <w:u w:val="single"/>
    </w:rPr>
  </w:style>
  <w:style w:type="character" w:styleId="CommentReference">
    <w:name w:val="annotation reference"/>
    <w:basedOn w:val="DefaultParagraphFont"/>
    <w:uiPriority w:val="99"/>
    <w:rsid w:val="003A09DF"/>
    <w:rPr>
      <w:rFonts w:cs="Times New Roman"/>
      <w:sz w:val="16"/>
      <w:szCs w:val="16"/>
    </w:rPr>
  </w:style>
  <w:style w:type="paragraph" w:styleId="CommentText">
    <w:name w:val="annotation text"/>
    <w:basedOn w:val="Normal"/>
    <w:link w:val="CommentTextChar"/>
    <w:uiPriority w:val="99"/>
    <w:rsid w:val="003A09DF"/>
  </w:style>
  <w:style w:type="character" w:customStyle="1" w:styleId="CommentTextChar">
    <w:name w:val="Comment Text Char"/>
    <w:basedOn w:val="DefaultParagraphFont"/>
    <w:link w:val="CommentText"/>
    <w:uiPriority w:val="99"/>
    <w:rsid w:val="003A09DF"/>
    <w:rPr>
      <w:rFonts w:ascii="Arial" w:eastAsia="Times New Roman" w:hAnsi="Arial" w:cs="Arial"/>
      <w:szCs w:val="24"/>
    </w:rPr>
  </w:style>
  <w:style w:type="paragraph" w:styleId="ListParagraph">
    <w:name w:val="List Paragraph"/>
    <w:basedOn w:val="Normal"/>
    <w:uiPriority w:val="34"/>
    <w:qFormat/>
    <w:rsid w:val="003A09DF"/>
    <w:pPr>
      <w:ind w:left="720"/>
      <w:contextualSpacing/>
    </w:pPr>
  </w:style>
  <w:style w:type="paragraph" w:customStyle="1" w:styleId="CoverReportTitle">
    <w:name w:val="Cover Report Title"/>
    <w:basedOn w:val="Normal"/>
    <w:autoRedefine/>
    <w:qFormat/>
    <w:rsid w:val="003A09DF"/>
    <w:pPr>
      <w:framePr w:w="4820" w:wrap="around" w:vAnchor="page" w:hAnchor="text" w:x="5388" w:y="795"/>
      <w:spacing w:before="4440" w:after="2400" w:line="480" w:lineRule="auto"/>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3A09DF"/>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794995"/>
    <w:pPr>
      <w:numPr>
        <w:numId w:val="6"/>
      </w:numPr>
      <w:spacing w:after="0"/>
    </w:pPr>
    <w:rPr>
      <w:rFonts w:eastAsiaTheme="minorHAnsi" w:cs="Times New Roman"/>
      <w:szCs w:val="22"/>
    </w:rPr>
  </w:style>
  <w:style w:type="paragraph" w:styleId="BalloonText">
    <w:name w:val="Balloon Text"/>
    <w:basedOn w:val="Normal"/>
    <w:link w:val="BalloonTextChar"/>
    <w:uiPriority w:val="99"/>
    <w:semiHidden/>
    <w:unhideWhenUsed/>
    <w:rsid w:val="003A0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9D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25BCA"/>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E25BCA"/>
    <w:rPr>
      <w:rFonts w:ascii="Arial" w:eastAsia="Times New Roman" w:hAnsi="Arial" w:cs="Arial"/>
      <w:b/>
      <w:bCs/>
      <w:sz w:val="20"/>
      <w:szCs w:val="20"/>
    </w:rPr>
  </w:style>
  <w:style w:type="character" w:customStyle="1" w:styleId="Heading4Char">
    <w:name w:val="Heading 4 Char"/>
    <w:basedOn w:val="DefaultParagraphFont"/>
    <w:link w:val="Heading4"/>
    <w:uiPriority w:val="9"/>
    <w:semiHidden/>
    <w:rsid w:val="00E63739"/>
    <w:rPr>
      <w:rFonts w:asciiTheme="majorHAnsi" w:eastAsiaTheme="majorEastAsia" w:hAnsiTheme="majorHAnsi" w:cstheme="majorBidi"/>
      <w:b/>
      <w:bCs/>
      <w:i/>
      <w:iCs/>
      <w:color w:val="4F81BD" w:themeColor="accent1"/>
      <w:szCs w:val="24"/>
    </w:rPr>
  </w:style>
  <w:style w:type="paragraph" w:customStyle="1" w:styleId="Calloutbox">
    <w:name w:val="Callout box"/>
    <w:basedOn w:val="Normal"/>
    <w:next w:val="Normal"/>
    <w:link w:val="CalloutboxChar"/>
    <w:autoRedefine/>
    <w:qFormat/>
    <w:rsid w:val="0038013D"/>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ascii="Helvetica" w:eastAsiaTheme="minorHAnsi" w:hAnsi="Helvetica" w:cs="Times New Roman"/>
      <w:szCs w:val="22"/>
    </w:rPr>
  </w:style>
  <w:style w:type="character" w:customStyle="1" w:styleId="CalloutboxChar">
    <w:name w:val="Callout box Char"/>
    <w:basedOn w:val="DefaultParagraphFont"/>
    <w:link w:val="Calloutbox"/>
    <w:rsid w:val="0038013D"/>
    <w:rPr>
      <w:rFonts w:ascii="Helvetica" w:hAnsi="Helvetica" w:cs="Times New Roman"/>
      <w:shd w:val="clear" w:color="auto" w:fill="DDDDDD"/>
    </w:rPr>
  </w:style>
  <w:style w:type="character" w:customStyle="1" w:styleId="Heading3Char">
    <w:name w:val="Heading 3 Char"/>
    <w:basedOn w:val="DefaultParagraphFont"/>
    <w:link w:val="Heading3"/>
    <w:uiPriority w:val="9"/>
    <w:rsid w:val="00AB1897"/>
    <w:rPr>
      <w:rFonts w:asciiTheme="majorHAnsi" w:eastAsiaTheme="majorEastAsia" w:hAnsiTheme="majorHAnsi" w:cstheme="majorBidi"/>
      <w:b/>
      <w:bCs/>
      <w:color w:val="4F81BD" w:themeColor="accen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3A09DF"/>
    <w:pPr>
      <w:spacing w:after="120" w:line="360" w:lineRule="auto"/>
    </w:pPr>
    <w:rPr>
      <w:rFonts w:ascii="Arial" w:eastAsia="Times New Roman" w:hAnsi="Arial" w:cs="Arial"/>
      <w:szCs w:val="24"/>
    </w:rPr>
  </w:style>
  <w:style w:type="paragraph" w:styleId="Heading1">
    <w:name w:val="heading 1"/>
    <w:basedOn w:val="Normal"/>
    <w:next w:val="Normal"/>
    <w:link w:val="Heading1Char"/>
    <w:autoRedefine/>
    <w:uiPriority w:val="9"/>
    <w:qFormat/>
    <w:rsid w:val="000A6EB4"/>
    <w:pPr>
      <w:keepNext/>
      <w:keepLines/>
      <w:spacing w:after="0"/>
      <w:outlineLvl w:val="0"/>
    </w:pPr>
    <w:rPr>
      <w:color w:val="0194A6"/>
      <w:sz w:val="44"/>
      <w:szCs w:val="26"/>
    </w:rPr>
  </w:style>
  <w:style w:type="paragraph" w:styleId="Heading2">
    <w:name w:val="heading 2"/>
    <w:basedOn w:val="Heading1"/>
    <w:next w:val="Normal"/>
    <w:link w:val="Heading2Char"/>
    <w:autoRedefine/>
    <w:uiPriority w:val="9"/>
    <w:qFormat/>
    <w:rsid w:val="0048222E"/>
    <w:pPr>
      <w:numPr>
        <w:ilvl w:val="1"/>
      </w:numPr>
      <w:spacing w:before="180"/>
      <w:outlineLvl w:val="1"/>
    </w:pPr>
    <w:rPr>
      <w:sz w:val="22"/>
      <w:szCs w:val="22"/>
    </w:rPr>
  </w:style>
  <w:style w:type="paragraph" w:styleId="Heading3">
    <w:name w:val="heading 3"/>
    <w:basedOn w:val="Normal"/>
    <w:next w:val="Normal"/>
    <w:link w:val="Heading3Char"/>
    <w:uiPriority w:val="9"/>
    <w:unhideWhenUsed/>
    <w:qFormat/>
    <w:rsid w:val="00AB1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37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EB4"/>
    <w:rPr>
      <w:rFonts w:ascii="Arial" w:eastAsia="Times New Roman" w:hAnsi="Arial" w:cs="Arial"/>
      <w:color w:val="0194A6"/>
      <w:sz w:val="44"/>
      <w:szCs w:val="26"/>
    </w:rPr>
  </w:style>
  <w:style w:type="character" w:customStyle="1" w:styleId="Heading2Char">
    <w:name w:val="Heading 2 Char"/>
    <w:basedOn w:val="DefaultParagraphFont"/>
    <w:link w:val="Heading2"/>
    <w:uiPriority w:val="9"/>
    <w:rsid w:val="0048222E"/>
    <w:rPr>
      <w:rFonts w:ascii="Arial" w:eastAsia="Times New Roman" w:hAnsi="Arial" w:cs="Arial"/>
      <w:color w:val="0194A6"/>
    </w:rPr>
  </w:style>
  <w:style w:type="paragraph" w:styleId="Header">
    <w:name w:val="header"/>
    <w:basedOn w:val="Normal"/>
    <w:link w:val="HeaderChar"/>
    <w:rsid w:val="003A09DF"/>
    <w:pPr>
      <w:tabs>
        <w:tab w:val="center" w:pos="4153"/>
        <w:tab w:val="right" w:pos="8306"/>
      </w:tabs>
      <w:spacing w:before="360"/>
      <w:jc w:val="center"/>
    </w:pPr>
    <w:rPr>
      <w:sz w:val="40"/>
      <w:szCs w:val="40"/>
    </w:rPr>
  </w:style>
  <w:style w:type="character" w:customStyle="1" w:styleId="HeaderChar">
    <w:name w:val="Header Char"/>
    <w:basedOn w:val="DefaultParagraphFont"/>
    <w:link w:val="Header"/>
    <w:rsid w:val="003A09DF"/>
    <w:rPr>
      <w:rFonts w:ascii="Arial" w:eastAsia="Times New Roman" w:hAnsi="Arial" w:cs="Arial"/>
      <w:sz w:val="40"/>
      <w:szCs w:val="40"/>
    </w:rPr>
  </w:style>
  <w:style w:type="paragraph" w:customStyle="1" w:styleId="Tabletextheading">
    <w:name w:val="Table text heading"/>
    <w:basedOn w:val="Normal"/>
    <w:rsid w:val="003A09DF"/>
    <w:pPr>
      <w:spacing w:before="40" w:after="40"/>
    </w:pPr>
    <w:rPr>
      <w:b/>
      <w:bCs/>
      <w:lang w:eastAsia="en-AU"/>
    </w:rPr>
  </w:style>
  <w:style w:type="paragraph" w:styleId="TOC1">
    <w:name w:val="toc 1"/>
    <w:basedOn w:val="Normal"/>
    <w:autoRedefine/>
    <w:uiPriority w:val="39"/>
    <w:rsid w:val="003A09DF"/>
    <w:pPr>
      <w:tabs>
        <w:tab w:val="left" w:pos="1560"/>
        <w:tab w:val="right" w:leader="dot" w:pos="8789"/>
      </w:tabs>
      <w:ind w:left="851" w:right="814"/>
    </w:pPr>
    <w:rPr>
      <w:spacing w:val="-4"/>
    </w:rPr>
  </w:style>
  <w:style w:type="paragraph" w:styleId="TOC2">
    <w:name w:val="toc 2"/>
    <w:basedOn w:val="Normal"/>
    <w:autoRedefine/>
    <w:uiPriority w:val="39"/>
    <w:rsid w:val="003A09DF"/>
    <w:pPr>
      <w:tabs>
        <w:tab w:val="left" w:pos="1701"/>
        <w:tab w:val="right" w:leader="dot" w:pos="8789"/>
      </w:tabs>
      <w:ind w:left="992"/>
    </w:pPr>
  </w:style>
  <w:style w:type="paragraph" w:styleId="Footer">
    <w:name w:val="footer"/>
    <w:basedOn w:val="Normal"/>
    <w:link w:val="FooterChar"/>
    <w:uiPriority w:val="99"/>
    <w:rsid w:val="003A09DF"/>
    <w:pPr>
      <w:tabs>
        <w:tab w:val="center" w:pos="4153"/>
        <w:tab w:val="right" w:pos="8306"/>
      </w:tabs>
    </w:pPr>
  </w:style>
  <w:style w:type="character" w:customStyle="1" w:styleId="FooterChar">
    <w:name w:val="Footer Char"/>
    <w:basedOn w:val="DefaultParagraphFont"/>
    <w:link w:val="Footer"/>
    <w:uiPriority w:val="99"/>
    <w:rsid w:val="003A09DF"/>
    <w:rPr>
      <w:rFonts w:ascii="Arial" w:eastAsia="Times New Roman" w:hAnsi="Arial" w:cs="Arial"/>
      <w:szCs w:val="24"/>
    </w:rPr>
  </w:style>
  <w:style w:type="character" w:styleId="Hyperlink">
    <w:name w:val="Hyperlink"/>
    <w:basedOn w:val="DefaultParagraphFont"/>
    <w:uiPriority w:val="99"/>
    <w:rsid w:val="003A09DF"/>
    <w:rPr>
      <w:rFonts w:ascii="Arial" w:hAnsi="Arial" w:cs="Times New Roman"/>
      <w:color w:val="0000FF"/>
      <w:u w:val="single"/>
    </w:rPr>
  </w:style>
  <w:style w:type="character" w:styleId="CommentReference">
    <w:name w:val="annotation reference"/>
    <w:basedOn w:val="DefaultParagraphFont"/>
    <w:uiPriority w:val="99"/>
    <w:rsid w:val="003A09DF"/>
    <w:rPr>
      <w:rFonts w:cs="Times New Roman"/>
      <w:sz w:val="16"/>
      <w:szCs w:val="16"/>
    </w:rPr>
  </w:style>
  <w:style w:type="paragraph" w:styleId="CommentText">
    <w:name w:val="annotation text"/>
    <w:basedOn w:val="Normal"/>
    <w:link w:val="CommentTextChar"/>
    <w:uiPriority w:val="99"/>
    <w:rsid w:val="003A09DF"/>
  </w:style>
  <w:style w:type="character" w:customStyle="1" w:styleId="CommentTextChar">
    <w:name w:val="Comment Text Char"/>
    <w:basedOn w:val="DefaultParagraphFont"/>
    <w:link w:val="CommentText"/>
    <w:uiPriority w:val="99"/>
    <w:rsid w:val="003A09DF"/>
    <w:rPr>
      <w:rFonts w:ascii="Arial" w:eastAsia="Times New Roman" w:hAnsi="Arial" w:cs="Arial"/>
      <w:szCs w:val="24"/>
    </w:rPr>
  </w:style>
  <w:style w:type="paragraph" w:styleId="ListParagraph">
    <w:name w:val="List Paragraph"/>
    <w:basedOn w:val="Normal"/>
    <w:uiPriority w:val="34"/>
    <w:qFormat/>
    <w:rsid w:val="003A09DF"/>
    <w:pPr>
      <w:ind w:left="720"/>
      <w:contextualSpacing/>
    </w:pPr>
  </w:style>
  <w:style w:type="paragraph" w:customStyle="1" w:styleId="CoverReportTitle">
    <w:name w:val="Cover Report Title"/>
    <w:basedOn w:val="Normal"/>
    <w:autoRedefine/>
    <w:qFormat/>
    <w:rsid w:val="003A09DF"/>
    <w:pPr>
      <w:framePr w:w="4820" w:wrap="around" w:vAnchor="page" w:hAnchor="text" w:x="5388" w:y="795"/>
      <w:spacing w:before="4440" w:after="2400" w:line="480" w:lineRule="auto"/>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3A09DF"/>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794995"/>
    <w:pPr>
      <w:numPr>
        <w:numId w:val="6"/>
      </w:numPr>
      <w:spacing w:after="0"/>
    </w:pPr>
    <w:rPr>
      <w:rFonts w:eastAsiaTheme="minorHAnsi" w:cs="Times New Roman"/>
      <w:szCs w:val="22"/>
    </w:rPr>
  </w:style>
  <w:style w:type="paragraph" w:styleId="BalloonText">
    <w:name w:val="Balloon Text"/>
    <w:basedOn w:val="Normal"/>
    <w:link w:val="BalloonTextChar"/>
    <w:uiPriority w:val="99"/>
    <w:semiHidden/>
    <w:unhideWhenUsed/>
    <w:rsid w:val="003A0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9D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25BCA"/>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E25BCA"/>
    <w:rPr>
      <w:rFonts w:ascii="Arial" w:eastAsia="Times New Roman" w:hAnsi="Arial" w:cs="Arial"/>
      <w:b/>
      <w:bCs/>
      <w:sz w:val="20"/>
      <w:szCs w:val="20"/>
    </w:rPr>
  </w:style>
  <w:style w:type="character" w:customStyle="1" w:styleId="Heading4Char">
    <w:name w:val="Heading 4 Char"/>
    <w:basedOn w:val="DefaultParagraphFont"/>
    <w:link w:val="Heading4"/>
    <w:uiPriority w:val="9"/>
    <w:semiHidden/>
    <w:rsid w:val="00E63739"/>
    <w:rPr>
      <w:rFonts w:asciiTheme="majorHAnsi" w:eastAsiaTheme="majorEastAsia" w:hAnsiTheme="majorHAnsi" w:cstheme="majorBidi"/>
      <w:b/>
      <w:bCs/>
      <w:i/>
      <w:iCs/>
      <w:color w:val="4F81BD" w:themeColor="accent1"/>
      <w:szCs w:val="24"/>
    </w:rPr>
  </w:style>
  <w:style w:type="paragraph" w:customStyle="1" w:styleId="Calloutbox">
    <w:name w:val="Callout box"/>
    <w:basedOn w:val="Normal"/>
    <w:next w:val="Normal"/>
    <w:link w:val="CalloutboxChar"/>
    <w:autoRedefine/>
    <w:qFormat/>
    <w:rsid w:val="0038013D"/>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ascii="Helvetica" w:eastAsiaTheme="minorHAnsi" w:hAnsi="Helvetica" w:cs="Times New Roman"/>
      <w:szCs w:val="22"/>
    </w:rPr>
  </w:style>
  <w:style w:type="character" w:customStyle="1" w:styleId="CalloutboxChar">
    <w:name w:val="Callout box Char"/>
    <w:basedOn w:val="DefaultParagraphFont"/>
    <w:link w:val="Calloutbox"/>
    <w:rsid w:val="0038013D"/>
    <w:rPr>
      <w:rFonts w:ascii="Helvetica" w:hAnsi="Helvetica" w:cs="Times New Roman"/>
      <w:shd w:val="clear" w:color="auto" w:fill="DDDDDD"/>
    </w:rPr>
  </w:style>
  <w:style w:type="character" w:customStyle="1" w:styleId="Heading3Char">
    <w:name w:val="Heading 3 Char"/>
    <w:basedOn w:val="DefaultParagraphFont"/>
    <w:link w:val="Heading3"/>
    <w:uiPriority w:val="9"/>
    <w:rsid w:val="00AB1897"/>
    <w:rPr>
      <w:rFonts w:asciiTheme="majorHAnsi" w:eastAsiaTheme="majorEastAsia" w:hAnsiTheme="majorHAnsi" w:cstheme="majorBidi"/>
      <w:b/>
      <w:b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irwork.gov.au/how-we-will-help/templates-and-guides" TargetMode="External"/><Relationship Id="rId18" Type="http://schemas.openxmlformats.org/officeDocument/2006/relationships/hyperlink" Target="mailto:Lynda.McAlary-Smith@fwo.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calculate.fairwork.gov.au/findyouraward" TargetMode="External"/><Relationship Id="rId17" Type="http://schemas.openxmlformats.org/officeDocument/2006/relationships/hyperlink" Target="mailto:media@fwo.gov.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irwork.gov.au/how-we-will-help/online-trainin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fairwork.gov.au/my-account/registerpage.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0CFA-BA77-439B-A985-FAFCD30A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19769F42.dotm</Template>
  <TotalTime>0</TotalTime>
  <Pages>9</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Northern ACT Regional Campaign Report</vt:lpstr>
    </vt:vector>
  </TitlesOfParts>
  <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ACT Regional Campaign Report</dc:title>
  <dc:subject>Northern ACT Regional Campaign Report</dc:subject>
  <dc:creator/>
  <cp:keywords>Northern ACT Regional Campaign Report</cp:keywords>
  <cp:lastModifiedBy/>
  <cp:revision>1</cp:revision>
  <dcterms:created xsi:type="dcterms:W3CDTF">2016-06-30T23:03:00Z</dcterms:created>
  <dcterms:modified xsi:type="dcterms:W3CDTF">2016-06-30T23:07:00Z</dcterms:modified>
</cp:coreProperties>
</file>