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99871" w14:textId="77777777" w:rsidR="009629F3" w:rsidRDefault="009629F3" w:rsidP="00205DBE">
      <w:pPr>
        <w:pStyle w:val="Fronttitle"/>
      </w:pPr>
    </w:p>
    <w:p w14:paraId="2A0A0EAE" w14:textId="77777777" w:rsidR="00205DBE" w:rsidRDefault="00205DBE" w:rsidP="00205DBE">
      <w:pPr>
        <w:pStyle w:val="CoverReportTitle"/>
        <w:framePr w:w="0" w:wrap="auto" w:vAnchor="margin" w:xAlign="left" w:yAlign="inline"/>
      </w:pPr>
      <w:r>
        <w:t>National Cleaning Industry Follow Up Campaign 2012 - 2013</w:t>
      </w:r>
    </w:p>
    <w:p w14:paraId="5EE1E4C7" w14:textId="7B1817A3" w:rsidR="00205DBE" w:rsidRDefault="00205DBE" w:rsidP="00205DBE">
      <w:pPr>
        <w:pStyle w:val="CoverReportSubTitle"/>
        <w:framePr w:w="0" w:wrap="auto" w:vAnchor="margin" w:xAlign="left" w:yAlign="inline"/>
      </w:pPr>
      <w:r>
        <w:t xml:space="preserve">Report – </w:t>
      </w:r>
      <w:r w:rsidR="008E032D">
        <w:t>February</w:t>
      </w:r>
      <w:r w:rsidR="003E3A84">
        <w:t xml:space="preserve"> 2015</w:t>
      </w:r>
    </w:p>
    <w:p w14:paraId="1B128FA5" w14:textId="77777777" w:rsidR="009629F3" w:rsidRPr="00205DBE" w:rsidRDefault="009629F3" w:rsidP="00AB27F9">
      <w:pPr>
        <w:spacing w:before="4800"/>
        <w:rPr>
          <w:sz w:val="20"/>
          <w:szCs w:val="20"/>
        </w:rPr>
      </w:pPr>
      <w:r w:rsidRPr="00205DBE">
        <w:rPr>
          <w:sz w:val="20"/>
          <w:szCs w:val="20"/>
        </w:rPr>
        <w:t>A report by the Fair Work Ombudsman under the Fair Work Act 2009</w:t>
      </w:r>
    </w:p>
    <w:p w14:paraId="321D6F41" w14:textId="4A9A126C" w:rsidR="009629F3" w:rsidRPr="00205DBE" w:rsidRDefault="003B121D" w:rsidP="00AB27F9">
      <w:pPr>
        <w:rPr>
          <w:sz w:val="20"/>
          <w:szCs w:val="20"/>
        </w:rPr>
      </w:pPr>
      <w:r w:rsidRPr="00205DBE">
        <w:rPr>
          <w:sz w:val="20"/>
          <w:szCs w:val="20"/>
        </w:rPr>
        <w:t xml:space="preserve">Date of Publication - </w:t>
      </w:r>
      <w:r w:rsidR="006861D7">
        <w:rPr>
          <w:sz w:val="20"/>
          <w:szCs w:val="20"/>
        </w:rPr>
        <w:t>February</w:t>
      </w:r>
      <w:r w:rsidR="009629F3" w:rsidRPr="00205DBE">
        <w:rPr>
          <w:sz w:val="20"/>
          <w:szCs w:val="20"/>
        </w:rPr>
        <w:t xml:space="preserve"> 201</w:t>
      </w:r>
      <w:r w:rsidR="004E287C">
        <w:rPr>
          <w:sz w:val="20"/>
          <w:szCs w:val="20"/>
        </w:rPr>
        <w:t>5</w:t>
      </w:r>
    </w:p>
    <w:p w14:paraId="2E41E0F0" w14:textId="0259C6EB" w:rsidR="00AB27F9" w:rsidRPr="00205DBE" w:rsidRDefault="009629F3" w:rsidP="00AB27F9">
      <w:pPr>
        <w:rPr>
          <w:sz w:val="20"/>
          <w:szCs w:val="20"/>
        </w:rPr>
      </w:pPr>
      <w:r w:rsidRPr="00205DBE">
        <w:rPr>
          <w:sz w:val="20"/>
          <w:szCs w:val="20"/>
        </w:rPr>
        <w:t>©</w:t>
      </w:r>
      <w:r w:rsidR="00CC7FFE" w:rsidRPr="00205DBE">
        <w:rPr>
          <w:sz w:val="20"/>
          <w:szCs w:val="20"/>
        </w:rPr>
        <w:t xml:space="preserve"> </w:t>
      </w:r>
      <w:r w:rsidRPr="00205DBE">
        <w:rPr>
          <w:sz w:val="20"/>
          <w:szCs w:val="20"/>
        </w:rPr>
        <w:t>Commonwealth of Australia, 201</w:t>
      </w:r>
      <w:r w:rsidR="004E287C">
        <w:rPr>
          <w:sz w:val="20"/>
          <w:szCs w:val="20"/>
        </w:rPr>
        <w:t>5</w:t>
      </w:r>
    </w:p>
    <w:p w14:paraId="305F263D" w14:textId="77777777" w:rsidR="00AB27F9" w:rsidRDefault="00AB27F9">
      <w:pPr>
        <w:spacing w:after="0"/>
        <w:jc w:val="left"/>
      </w:pPr>
      <w:r>
        <w:br w:type="page"/>
      </w:r>
    </w:p>
    <w:p w14:paraId="4D4ABDD6" w14:textId="77777777" w:rsidR="004B2104" w:rsidRDefault="004B2104">
      <w:pPr>
        <w:pStyle w:val="TOC1"/>
        <w:rPr>
          <w:rFonts w:asciiTheme="minorHAnsi" w:hAnsiTheme="minorHAnsi" w:cstheme="minorHAnsi"/>
          <w:b/>
          <w:sz w:val="20"/>
          <w:szCs w:val="20"/>
        </w:rPr>
      </w:pPr>
      <w:r w:rsidRPr="004B2104">
        <w:rPr>
          <w:rFonts w:asciiTheme="minorHAnsi" w:hAnsiTheme="minorHAnsi" w:cstheme="minorHAnsi"/>
          <w:b/>
          <w:sz w:val="20"/>
          <w:szCs w:val="20"/>
        </w:rPr>
        <w:lastRenderedPageBreak/>
        <w:t>CONTENTS</w:t>
      </w:r>
    </w:p>
    <w:p w14:paraId="4761A61D" w14:textId="77777777" w:rsidR="00205DBE" w:rsidRPr="004B2104" w:rsidRDefault="001F20C3">
      <w:pPr>
        <w:pStyle w:val="TOC1"/>
        <w:rPr>
          <w:rFonts w:asciiTheme="minorHAnsi" w:eastAsiaTheme="minorEastAsia" w:hAnsiTheme="minorHAnsi" w:cstheme="minorHAnsi"/>
          <w:b/>
          <w:noProof/>
          <w:spacing w:val="0"/>
          <w:sz w:val="20"/>
          <w:szCs w:val="20"/>
          <w:lang w:eastAsia="en-AU"/>
        </w:rPr>
      </w:pPr>
      <w:r w:rsidRPr="004B2104">
        <w:rPr>
          <w:rFonts w:asciiTheme="minorHAnsi" w:hAnsiTheme="minorHAnsi" w:cstheme="minorHAnsi"/>
          <w:b/>
          <w:sz w:val="20"/>
          <w:szCs w:val="20"/>
        </w:rPr>
        <w:fldChar w:fldCharType="begin"/>
      </w:r>
      <w:r w:rsidRPr="004B2104">
        <w:rPr>
          <w:rFonts w:asciiTheme="minorHAnsi" w:hAnsiTheme="minorHAnsi" w:cstheme="minorHAnsi"/>
          <w:b/>
          <w:sz w:val="20"/>
          <w:szCs w:val="20"/>
        </w:rPr>
        <w:instrText xml:space="preserve"> TOC \o "1-3" \h \z \u </w:instrText>
      </w:r>
      <w:r w:rsidRPr="004B2104">
        <w:rPr>
          <w:rFonts w:asciiTheme="minorHAnsi" w:hAnsiTheme="minorHAnsi" w:cstheme="minorHAnsi"/>
          <w:b/>
          <w:sz w:val="20"/>
          <w:szCs w:val="20"/>
        </w:rPr>
        <w:fldChar w:fldCharType="separate"/>
      </w:r>
      <w:hyperlink w:anchor="_Toc408498466" w:history="1">
        <w:r w:rsidR="00205DBE" w:rsidRPr="004B2104">
          <w:rPr>
            <w:rStyle w:val="Hyperlink"/>
            <w:rFonts w:asciiTheme="minorHAnsi" w:hAnsiTheme="minorHAnsi" w:cstheme="minorHAnsi"/>
            <w:b/>
            <w:noProof/>
            <w:sz w:val="20"/>
            <w:szCs w:val="20"/>
          </w:rPr>
          <w:t>Campaign Snapshot</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_Toc408498466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3</w:t>
        </w:r>
        <w:r w:rsidR="00205DBE" w:rsidRPr="004B2104">
          <w:rPr>
            <w:rFonts w:asciiTheme="minorHAnsi" w:hAnsiTheme="minorHAnsi" w:cstheme="minorHAnsi"/>
            <w:b/>
            <w:noProof/>
            <w:webHidden/>
            <w:sz w:val="20"/>
            <w:szCs w:val="20"/>
          </w:rPr>
          <w:fldChar w:fldCharType="end"/>
        </w:r>
      </w:hyperlink>
    </w:p>
    <w:p w14:paraId="082E8B8B" w14:textId="77777777" w:rsidR="00205DBE" w:rsidRPr="004B2104" w:rsidRDefault="00E01DAD">
      <w:pPr>
        <w:pStyle w:val="TOC1"/>
        <w:rPr>
          <w:rFonts w:asciiTheme="minorHAnsi" w:eastAsiaTheme="minorEastAsia" w:hAnsiTheme="minorHAnsi" w:cstheme="minorHAnsi"/>
          <w:b/>
          <w:noProof/>
          <w:spacing w:val="0"/>
          <w:sz w:val="20"/>
          <w:szCs w:val="20"/>
          <w:lang w:eastAsia="en-AU"/>
        </w:rPr>
      </w:pPr>
      <w:hyperlink w:anchor="_Toc408498467" w:history="1">
        <w:r w:rsidR="00205DBE" w:rsidRPr="004B2104">
          <w:rPr>
            <w:rStyle w:val="Hyperlink"/>
            <w:rFonts w:asciiTheme="minorHAnsi" w:hAnsiTheme="minorHAnsi" w:cstheme="minorHAnsi"/>
            <w:b/>
            <w:noProof/>
            <w:sz w:val="20"/>
            <w:szCs w:val="20"/>
          </w:rPr>
          <w:t>About Campaign</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_Toc408498467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2</w:t>
        </w:r>
        <w:r w:rsidR="00205DBE" w:rsidRPr="004B2104">
          <w:rPr>
            <w:rFonts w:asciiTheme="minorHAnsi" w:hAnsiTheme="minorHAnsi" w:cstheme="minorHAnsi"/>
            <w:b/>
            <w:noProof/>
            <w:webHidden/>
            <w:sz w:val="20"/>
            <w:szCs w:val="20"/>
          </w:rPr>
          <w:fldChar w:fldCharType="end"/>
        </w:r>
      </w:hyperlink>
    </w:p>
    <w:p w14:paraId="7CAC0146" w14:textId="77777777" w:rsidR="00205DBE" w:rsidRPr="004B2104" w:rsidRDefault="00E01DAD">
      <w:pPr>
        <w:pStyle w:val="TOC1"/>
        <w:rPr>
          <w:rFonts w:asciiTheme="minorHAnsi" w:eastAsiaTheme="minorEastAsia" w:hAnsiTheme="minorHAnsi" w:cstheme="minorHAnsi"/>
          <w:b/>
          <w:noProof/>
          <w:spacing w:val="0"/>
          <w:sz w:val="20"/>
          <w:szCs w:val="20"/>
          <w:lang w:eastAsia="en-AU"/>
        </w:rPr>
      </w:pPr>
      <w:hyperlink w:anchor="_Toc408498468" w:history="1">
        <w:r w:rsidR="00205DBE" w:rsidRPr="004B2104">
          <w:rPr>
            <w:rStyle w:val="Hyperlink"/>
            <w:rFonts w:asciiTheme="minorHAnsi" w:hAnsiTheme="minorHAnsi" w:cstheme="minorHAnsi"/>
            <w:b/>
            <w:noProof/>
            <w:sz w:val="20"/>
            <w:szCs w:val="20"/>
          </w:rPr>
          <w:t>Outcomes at a Glance</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_Toc408498468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2</w:t>
        </w:r>
        <w:r w:rsidR="00205DBE" w:rsidRPr="004B2104">
          <w:rPr>
            <w:rFonts w:asciiTheme="minorHAnsi" w:hAnsiTheme="minorHAnsi" w:cstheme="minorHAnsi"/>
            <w:b/>
            <w:noProof/>
            <w:webHidden/>
            <w:sz w:val="20"/>
            <w:szCs w:val="20"/>
          </w:rPr>
          <w:fldChar w:fldCharType="end"/>
        </w:r>
      </w:hyperlink>
    </w:p>
    <w:p w14:paraId="6DB9D9F5" w14:textId="77777777" w:rsidR="00205DBE" w:rsidRPr="004B2104" w:rsidRDefault="00E01DAD">
      <w:pPr>
        <w:pStyle w:val="TOC1"/>
        <w:rPr>
          <w:rFonts w:asciiTheme="minorHAnsi" w:eastAsiaTheme="minorEastAsia" w:hAnsiTheme="minorHAnsi" w:cstheme="minorHAnsi"/>
          <w:b/>
          <w:noProof/>
          <w:spacing w:val="0"/>
          <w:sz w:val="20"/>
          <w:szCs w:val="20"/>
          <w:lang w:eastAsia="en-AU"/>
        </w:rPr>
      </w:pPr>
      <w:hyperlink w:anchor="_Toc408498469" w:history="1">
        <w:r w:rsidR="00205DBE" w:rsidRPr="004B2104">
          <w:rPr>
            <w:rStyle w:val="Hyperlink"/>
            <w:rFonts w:asciiTheme="minorHAnsi" w:hAnsiTheme="minorHAnsi" w:cstheme="minorHAnsi"/>
            <w:b/>
            <w:noProof/>
            <w:sz w:val="20"/>
            <w:szCs w:val="20"/>
          </w:rPr>
          <w:t>Why we conducted the campaign</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_Toc408498469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2</w:t>
        </w:r>
        <w:r w:rsidR="00205DBE" w:rsidRPr="004B2104">
          <w:rPr>
            <w:rFonts w:asciiTheme="minorHAnsi" w:hAnsiTheme="minorHAnsi" w:cstheme="minorHAnsi"/>
            <w:b/>
            <w:noProof/>
            <w:webHidden/>
            <w:sz w:val="20"/>
            <w:szCs w:val="20"/>
          </w:rPr>
          <w:fldChar w:fldCharType="end"/>
        </w:r>
      </w:hyperlink>
    </w:p>
    <w:p w14:paraId="0DEB6BB1" w14:textId="77777777" w:rsidR="00205DBE" w:rsidRPr="004B2104" w:rsidRDefault="00E01DAD">
      <w:pPr>
        <w:pStyle w:val="TOC1"/>
        <w:rPr>
          <w:rFonts w:asciiTheme="minorHAnsi" w:eastAsiaTheme="minorEastAsia" w:hAnsiTheme="minorHAnsi" w:cstheme="minorHAnsi"/>
          <w:b/>
          <w:noProof/>
          <w:spacing w:val="0"/>
          <w:sz w:val="20"/>
          <w:szCs w:val="20"/>
          <w:lang w:eastAsia="en-AU"/>
        </w:rPr>
      </w:pPr>
      <w:hyperlink w:anchor="_Toc408498470" w:history="1">
        <w:r w:rsidR="00205DBE" w:rsidRPr="004B2104">
          <w:rPr>
            <w:rStyle w:val="Hyperlink"/>
            <w:rFonts w:asciiTheme="minorHAnsi" w:hAnsiTheme="minorHAnsi" w:cstheme="minorHAnsi"/>
            <w:b/>
            <w:noProof/>
            <w:sz w:val="20"/>
            <w:szCs w:val="20"/>
          </w:rPr>
          <w:t>Industry Profile</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_Toc408498470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2</w:t>
        </w:r>
        <w:r w:rsidR="00205DBE" w:rsidRPr="004B2104">
          <w:rPr>
            <w:rFonts w:asciiTheme="minorHAnsi" w:hAnsiTheme="minorHAnsi" w:cstheme="minorHAnsi"/>
            <w:b/>
            <w:noProof/>
            <w:webHidden/>
            <w:sz w:val="20"/>
            <w:szCs w:val="20"/>
          </w:rPr>
          <w:fldChar w:fldCharType="end"/>
        </w:r>
      </w:hyperlink>
    </w:p>
    <w:p w14:paraId="1B8F1721" w14:textId="77777777" w:rsidR="00205DBE" w:rsidRPr="004B2104" w:rsidRDefault="00E01DAD">
      <w:pPr>
        <w:pStyle w:val="TOC1"/>
        <w:rPr>
          <w:rFonts w:asciiTheme="minorHAnsi" w:eastAsiaTheme="minorEastAsia" w:hAnsiTheme="minorHAnsi" w:cstheme="minorHAnsi"/>
          <w:b/>
          <w:noProof/>
          <w:spacing w:val="0"/>
          <w:sz w:val="20"/>
          <w:szCs w:val="20"/>
          <w:lang w:eastAsia="en-AU"/>
        </w:rPr>
      </w:pPr>
      <w:hyperlink w:anchor="_Toc408498471" w:history="1">
        <w:r w:rsidR="00205DBE" w:rsidRPr="004B2104">
          <w:rPr>
            <w:rStyle w:val="Hyperlink"/>
            <w:rFonts w:asciiTheme="minorHAnsi" w:hAnsiTheme="minorHAnsi" w:cstheme="minorHAnsi"/>
            <w:b/>
            <w:noProof/>
            <w:sz w:val="20"/>
            <w:szCs w:val="20"/>
          </w:rPr>
          <w:t>Industry stakeholders</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_Toc408498471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3</w:t>
        </w:r>
        <w:r w:rsidR="00205DBE" w:rsidRPr="004B2104">
          <w:rPr>
            <w:rFonts w:asciiTheme="minorHAnsi" w:hAnsiTheme="minorHAnsi" w:cstheme="minorHAnsi"/>
            <w:b/>
            <w:noProof/>
            <w:webHidden/>
            <w:sz w:val="20"/>
            <w:szCs w:val="20"/>
          </w:rPr>
          <w:fldChar w:fldCharType="end"/>
        </w:r>
      </w:hyperlink>
    </w:p>
    <w:p w14:paraId="5B771ECF" w14:textId="77777777" w:rsidR="00205DBE" w:rsidRPr="004B2104" w:rsidRDefault="00E01DAD">
      <w:pPr>
        <w:pStyle w:val="TOC1"/>
        <w:rPr>
          <w:rFonts w:asciiTheme="minorHAnsi" w:eastAsiaTheme="minorEastAsia" w:hAnsiTheme="minorHAnsi" w:cstheme="minorHAnsi"/>
          <w:b/>
          <w:noProof/>
          <w:spacing w:val="0"/>
          <w:sz w:val="20"/>
          <w:szCs w:val="20"/>
          <w:lang w:eastAsia="en-AU"/>
        </w:rPr>
      </w:pPr>
      <w:hyperlink w:anchor="_Toc408498472" w:history="1">
        <w:r w:rsidR="00205DBE" w:rsidRPr="004B2104">
          <w:rPr>
            <w:rStyle w:val="Hyperlink"/>
            <w:rFonts w:asciiTheme="minorHAnsi" w:hAnsiTheme="minorHAnsi" w:cstheme="minorHAnsi"/>
            <w:b/>
            <w:noProof/>
            <w:sz w:val="20"/>
            <w:szCs w:val="20"/>
          </w:rPr>
          <w:t>Campaign Delivery</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_Toc408498472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3</w:t>
        </w:r>
        <w:r w:rsidR="00205DBE" w:rsidRPr="004B2104">
          <w:rPr>
            <w:rFonts w:asciiTheme="minorHAnsi" w:hAnsiTheme="minorHAnsi" w:cstheme="minorHAnsi"/>
            <w:b/>
            <w:noProof/>
            <w:webHidden/>
            <w:sz w:val="20"/>
            <w:szCs w:val="20"/>
          </w:rPr>
          <w:fldChar w:fldCharType="end"/>
        </w:r>
      </w:hyperlink>
    </w:p>
    <w:p w14:paraId="03E5D288" w14:textId="77777777" w:rsidR="00205DBE" w:rsidRPr="004B2104" w:rsidRDefault="00E01DAD">
      <w:pPr>
        <w:pStyle w:val="TOC2"/>
        <w:rPr>
          <w:rFonts w:asciiTheme="minorHAnsi" w:eastAsiaTheme="minorEastAsia" w:hAnsiTheme="minorHAnsi" w:cstheme="minorHAnsi"/>
          <w:b/>
          <w:noProof/>
          <w:sz w:val="20"/>
          <w:szCs w:val="20"/>
          <w:lang w:eastAsia="en-AU"/>
        </w:rPr>
      </w:pPr>
      <w:hyperlink w:anchor="_Toc408498473" w:history="1">
        <w:r w:rsidR="00205DBE" w:rsidRPr="004B2104">
          <w:rPr>
            <w:rStyle w:val="Hyperlink"/>
            <w:rFonts w:asciiTheme="minorHAnsi" w:hAnsiTheme="minorHAnsi" w:cstheme="minorHAnsi"/>
            <w:b/>
            <w:noProof/>
            <w:sz w:val="20"/>
            <w:szCs w:val="20"/>
          </w:rPr>
          <w:t>Communication and Public Awareness</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_Toc408498473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3</w:t>
        </w:r>
        <w:r w:rsidR="00205DBE" w:rsidRPr="004B2104">
          <w:rPr>
            <w:rFonts w:asciiTheme="minorHAnsi" w:hAnsiTheme="minorHAnsi" w:cstheme="minorHAnsi"/>
            <w:b/>
            <w:noProof/>
            <w:webHidden/>
            <w:sz w:val="20"/>
            <w:szCs w:val="20"/>
          </w:rPr>
          <w:fldChar w:fldCharType="end"/>
        </w:r>
      </w:hyperlink>
    </w:p>
    <w:p w14:paraId="22CA4B07" w14:textId="77777777" w:rsidR="00205DBE" w:rsidRPr="004B2104" w:rsidRDefault="00E01DAD">
      <w:pPr>
        <w:pStyle w:val="TOC2"/>
        <w:rPr>
          <w:rFonts w:asciiTheme="minorHAnsi" w:eastAsiaTheme="minorEastAsia" w:hAnsiTheme="minorHAnsi" w:cstheme="minorHAnsi"/>
          <w:b/>
          <w:noProof/>
          <w:sz w:val="20"/>
          <w:szCs w:val="20"/>
          <w:lang w:eastAsia="en-AU"/>
        </w:rPr>
      </w:pPr>
      <w:hyperlink w:anchor="_Toc408498474" w:history="1">
        <w:r w:rsidR="00205DBE" w:rsidRPr="004B2104">
          <w:rPr>
            <w:rStyle w:val="Hyperlink"/>
            <w:rFonts w:asciiTheme="minorHAnsi" w:hAnsiTheme="minorHAnsi" w:cstheme="minorHAnsi"/>
            <w:b/>
            <w:noProof/>
            <w:sz w:val="20"/>
            <w:szCs w:val="20"/>
          </w:rPr>
          <w:t>Procurement compliance assessment</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_Toc408498474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4</w:t>
        </w:r>
        <w:r w:rsidR="00205DBE" w:rsidRPr="004B2104">
          <w:rPr>
            <w:rFonts w:asciiTheme="minorHAnsi" w:hAnsiTheme="minorHAnsi" w:cstheme="minorHAnsi"/>
            <w:b/>
            <w:noProof/>
            <w:webHidden/>
            <w:sz w:val="20"/>
            <w:szCs w:val="20"/>
          </w:rPr>
          <w:fldChar w:fldCharType="end"/>
        </w:r>
      </w:hyperlink>
    </w:p>
    <w:p w14:paraId="45AD180B" w14:textId="77777777" w:rsidR="00205DBE" w:rsidRPr="004B2104" w:rsidRDefault="00E01DAD">
      <w:pPr>
        <w:pStyle w:val="TOC2"/>
        <w:rPr>
          <w:rFonts w:asciiTheme="minorHAnsi" w:eastAsiaTheme="minorEastAsia" w:hAnsiTheme="minorHAnsi" w:cstheme="minorHAnsi"/>
          <w:b/>
          <w:noProof/>
          <w:sz w:val="20"/>
          <w:szCs w:val="20"/>
          <w:lang w:eastAsia="en-AU"/>
        </w:rPr>
      </w:pPr>
      <w:hyperlink w:anchor="_Toc408498475" w:history="1">
        <w:r w:rsidR="00205DBE" w:rsidRPr="004B2104">
          <w:rPr>
            <w:rStyle w:val="Hyperlink"/>
            <w:rFonts w:asciiTheme="minorHAnsi" w:hAnsiTheme="minorHAnsi" w:cstheme="minorHAnsi"/>
            <w:b/>
            <w:noProof/>
            <w:sz w:val="20"/>
            <w:szCs w:val="20"/>
          </w:rPr>
          <w:t>Wage Audit</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_Toc408498475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5</w:t>
        </w:r>
        <w:r w:rsidR="00205DBE" w:rsidRPr="004B2104">
          <w:rPr>
            <w:rFonts w:asciiTheme="minorHAnsi" w:hAnsiTheme="minorHAnsi" w:cstheme="minorHAnsi"/>
            <w:b/>
            <w:noProof/>
            <w:webHidden/>
            <w:sz w:val="20"/>
            <w:szCs w:val="20"/>
          </w:rPr>
          <w:fldChar w:fldCharType="end"/>
        </w:r>
      </w:hyperlink>
    </w:p>
    <w:p w14:paraId="1C80494C" w14:textId="77777777" w:rsidR="00205DBE" w:rsidRPr="004B2104" w:rsidRDefault="00E01DAD">
      <w:pPr>
        <w:pStyle w:val="TOC2"/>
        <w:rPr>
          <w:rFonts w:asciiTheme="minorHAnsi" w:eastAsiaTheme="minorEastAsia" w:hAnsiTheme="minorHAnsi" w:cstheme="minorHAnsi"/>
          <w:b/>
          <w:noProof/>
          <w:sz w:val="20"/>
          <w:szCs w:val="20"/>
          <w:lang w:eastAsia="en-AU"/>
        </w:rPr>
      </w:pPr>
      <w:hyperlink w:anchor="_Toc408498476" w:history="1">
        <w:r w:rsidR="00205DBE" w:rsidRPr="004B2104">
          <w:rPr>
            <w:rStyle w:val="Hyperlink"/>
            <w:rFonts w:asciiTheme="minorHAnsi" w:hAnsiTheme="minorHAnsi" w:cstheme="minorHAnsi"/>
            <w:b/>
            <w:bCs/>
            <w:iCs/>
            <w:noProof/>
            <w:sz w:val="20"/>
            <w:szCs w:val="20"/>
          </w:rPr>
          <w:t>Figure 2: Money recovered by region</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_Toc408498476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6</w:t>
        </w:r>
        <w:r w:rsidR="00205DBE" w:rsidRPr="004B2104">
          <w:rPr>
            <w:rFonts w:asciiTheme="minorHAnsi" w:hAnsiTheme="minorHAnsi" w:cstheme="minorHAnsi"/>
            <w:b/>
            <w:noProof/>
            <w:webHidden/>
            <w:sz w:val="20"/>
            <w:szCs w:val="20"/>
          </w:rPr>
          <w:fldChar w:fldCharType="end"/>
        </w:r>
      </w:hyperlink>
    </w:p>
    <w:p w14:paraId="0088A049" w14:textId="77777777" w:rsidR="00205DBE" w:rsidRPr="004B2104" w:rsidRDefault="00E01DAD">
      <w:pPr>
        <w:pStyle w:val="TOC1"/>
        <w:rPr>
          <w:rFonts w:asciiTheme="minorHAnsi" w:eastAsiaTheme="minorEastAsia" w:hAnsiTheme="minorHAnsi" w:cstheme="minorHAnsi"/>
          <w:b/>
          <w:noProof/>
          <w:spacing w:val="0"/>
          <w:sz w:val="20"/>
          <w:szCs w:val="20"/>
          <w:lang w:eastAsia="en-AU"/>
        </w:rPr>
      </w:pPr>
      <w:hyperlink w:anchor="_Toc408498477" w:history="1">
        <w:r w:rsidR="00205DBE" w:rsidRPr="004B2104">
          <w:rPr>
            <w:rStyle w:val="Hyperlink"/>
            <w:rFonts w:asciiTheme="minorHAnsi" w:hAnsiTheme="minorHAnsi" w:cstheme="minorHAnsi"/>
            <w:b/>
            <w:noProof/>
            <w:sz w:val="20"/>
            <w:szCs w:val="20"/>
          </w:rPr>
          <w:t>Follow- up findings</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_Toc408498477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7</w:t>
        </w:r>
        <w:r w:rsidR="00205DBE" w:rsidRPr="004B2104">
          <w:rPr>
            <w:rFonts w:asciiTheme="minorHAnsi" w:hAnsiTheme="minorHAnsi" w:cstheme="minorHAnsi"/>
            <w:b/>
            <w:noProof/>
            <w:webHidden/>
            <w:sz w:val="20"/>
            <w:szCs w:val="20"/>
          </w:rPr>
          <w:fldChar w:fldCharType="end"/>
        </w:r>
      </w:hyperlink>
    </w:p>
    <w:p w14:paraId="1479C26D" w14:textId="77777777" w:rsidR="00205DBE" w:rsidRPr="004B2104" w:rsidRDefault="00E01DAD">
      <w:pPr>
        <w:pStyle w:val="TOC1"/>
        <w:rPr>
          <w:rFonts w:asciiTheme="minorHAnsi" w:eastAsiaTheme="minorEastAsia" w:hAnsiTheme="minorHAnsi" w:cstheme="minorHAnsi"/>
          <w:b/>
          <w:noProof/>
          <w:spacing w:val="0"/>
          <w:sz w:val="20"/>
          <w:szCs w:val="20"/>
          <w:lang w:eastAsia="en-AU"/>
        </w:rPr>
      </w:pPr>
      <w:hyperlink w:anchor="_Toc408498478" w:history="1">
        <w:r w:rsidR="00205DBE" w:rsidRPr="004B2104">
          <w:rPr>
            <w:rStyle w:val="Hyperlink"/>
            <w:rFonts w:asciiTheme="minorHAnsi" w:hAnsiTheme="minorHAnsi" w:cstheme="minorHAnsi"/>
            <w:b/>
            <w:noProof/>
            <w:sz w:val="20"/>
            <w:szCs w:val="20"/>
          </w:rPr>
          <w:t>Regional Findings</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_Toc408498478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9</w:t>
        </w:r>
        <w:r w:rsidR="00205DBE" w:rsidRPr="004B2104">
          <w:rPr>
            <w:rFonts w:asciiTheme="minorHAnsi" w:hAnsiTheme="minorHAnsi" w:cstheme="minorHAnsi"/>
            <w:b/>
            <w:noProof/>
            <w:webHidden/>
            <w:sz w:val="20"/>
            <w:szCs w:val="20"/>
          </w:rPr>
          <w:fldChar w:fldCharType="end"/>
        </w:r>
      </w:hyperlink>
    </w:p>
    <w:p w14:paraId="1E248207" w14:textId="77777777" w:rsidR="00205DBE" w:rsidRPr="004B2104" w:rsidRDefault="00E01DAD">
      <w:pPr>
        <w:pStyle w:val="TOC2"/>
        <w:rPr>
          <w:rFonts w:asciiTheme="minorHAnsi" w:eastAsiaTheme="minorEastAsia" w:hAnsiTheme="minorHAnsi" w:cstheme="minorHAnsi"/>
          <w:b/>
          <w:noProof/>
          <w:sz w:val="20"/>
          <w:szCs w:val="20"/>
          <w:lang w:eastAsia="en-AU"/>
        </w:rPr>
      </w:pPr>
      <w:hyperlink w:anchor="_Toc408498479" w:history="1">
        <w:r w:rsidR="00205DBE" w:rsidRPr="004B2104">
          <w:rPr>
            <w:rStyle w:val="Hyperlink"/>
            <w:rFonts w:asciiTheme="minorHAnsi" w:hAnsiTheme="minorHAnsi" w:cstheme="minorHAnsi"/>
            <w:b/>
            <w:noProof/>
            <w:sz w:val="20"/>
            <w:szCs w:val="20"/>
          </w:rPr>
          <w:t>Victoria/Tasmania</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_Toc408498479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9</w:t>
        </w:r>
        <w:r w:rsidR="00205DBE" w:rsidRPr="004B2104">
          <w:rPr>
            <w:rFonts w:asciiTheme="minorHAnsi" w:hAnsiTheme="minorHAnsi" w:cstheme="minorHAnsi"/>
            <w:b/>
            <w:noProof/>
            <w:webHidden/>
            <w:sz w:val="20"/>
            <w:szCs w:val="20"/>
          </w:rPr>
          <w:fldChar w:fldCharType="end"/>
        </w:r>
      </w:hyperlink>
    </w:p>
    <w:p w14:paraId="799D0EE2" w14:textId="77777777" w:rsidR="00205DBE" w:rsidRPr="004B2104" w:rsidRDefault="00E01DAD">
      <w:pPr>
        <w:pStyle w:val="TOC2"/>
        <w:rPr>
          <w:rFonts w:asciiTheme="minorHAnsi" w:eastAsiaTheme="minorEastAsia" w:hAnsiTheme="minorHAnsi" w:cstheme="minorHAnsi"/>
          <w:b/>
          <w:noProof/>
          <w:sz w:val="20"/>
          <w:szCs w:val="20"/>
          <w:lang w:eastAsia="en-AU"/>
        </w:rPr>
      </w:pPr>
      <w:hyperlink w:anchor="_Toc408498480" w:history="1">
        <w:r w:rsidR="00205DBE" w:rsidRPr="004B2104">
          <w:rPr>
            <w:rStyle w:val="Hyperlink"/>
            <w:rFonts w:asciiTheme="minorHAnsi" w:hAnsiTheme="minorHAnsi" w:cstheme="minorHAnsi"/>
            <w:b/>
            <w:noProof/>
            <w:sz w:val="20"/>
            <w:szCs w:val="20"/>
          </w:rPr>
          <w:t>New South Wales/Australian Capital Territory</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_Toc408498480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9</w:t>
        </w:r>
        <w:r w:rsidR="00205DBE" w:rsidRPr="004B2104">
          <w:rPr>
            <w:rFonts w:asciiTheme="minorHAnsi" w:hAnsiTheme="minorHAnsi" w:cstheme="minorHAnsi"/>
            <w:b/>
            <w:noProof/>
            <w:webHidden/>
            <w:sz w:val="20"/>
            <w:szCs w:val="20"/>
          </w:rPr>
          <w:fldChar w:fldCharType="end"/>
        </w:r>
      </w:hyperlink>
    </w:p>
    <w:p w14:paraId="1950EF79" w14:textId="77777777" w:rsidR="00205DBE" w:rsidRPr="004B2104" w:rsidRDefault="00E01DAD">
      <w:pPr>
        <w:pStyle w:val="TOC2"/>
        <w:rPr>
          <w:rFonts w:asciiTheme="minorHAnsi" w:eastAsiaTheme="minorEastAsia" w:hAnsiTheme="minorHAnsi" w:cstheme="minorHAnsi"/>
          <w:b/>
          <w:noProof/>
          <w:sz w:val="20"/>
          <w:szCs w:val="20"/>
          <w:lang w:eastAsia="en-AU"/>
        </w:rPr>
      </w:pPr>
      <w:hyperlink w:anchor="_Toc408498481" w:history="1">
        <w:r w:rsidR="00205DBE" w:rsidRPr="004B2104">
          <w:rPr>
            <w:rStyle w:val="Hyperlink"/>
            <w:rFonts w:asciiTheme="minorHAnsi" w:hAnsiTheme="minorHAnsi" w:cstheme="minorHAnsi"/>
            <w:b/>
            <w:noProof/>
            <w:sz w:val="20"/>
            <w:szCs w:val="20"/>
          </w:rPr>
          <w:t>Queensland</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_Toc408498481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10</w:t>
        </w:r>
        <w:r w:rsidR="00205DBE" w:rsidRPr="004B2104">
          <w:rPr>
            <w:rFonts w:asciiTheme="minorHAnsi" w:hAnsiTheme="minorHAnsi" w:cstheme="minorHAnsi"/>
            <w:b/>
            <w:noProof/>
            <w:webHidden/>
            <w:sz w:val="20"/>
            <w:szCs w:val="20"/>
          </w:rPr>
          <w:fldChar w:fldCharType="end"/>
        </w:r>
      </w:hyperlink>
    </w:p>
    <w:p w14:paraId="50FFBE50" w14:textId="77777777" w:rsidR="00205DBE" w:rsidRPr="004B2104" w:rsidRDefault="00E01DAD">
      <w:pPr>
        <w:pStyle w:val="TOC2"/>
        <w:rPr>
          <w:rFonts w:asciiTheme="minorHAnsi" w:eastAsiaTheme="minorEastAsia" w:hAnsiTheme="minorHAnsi" w:cstheme="minorHAnsi"/>
          <w:b/>
          <w:noProof/>
          <w:sz w:val="20"/>
          <w:szCs w:val="20"/>
          <w:lang w:eastAsia="en-AU"/>
        </w:rPr>
      </w:pPr>
      <w:hyperlink w:anchor="_Toc408498482" w:history="1">
        <w:r w:rsidR="00205DBE" w:rsidRPr="004B2104">
          <w:rPr>
            <w:rStyle w:val="Hyperlink"/>
            <w:rFonts w:asciiTheme="minorHAnsi" w:hAnsiTheme="minorHAnsi" w:cstheme="minorHAnsi"/>
            <w:b/>
            <w:noProof/>
            <w:sz w:val="20"/>
            <w:szCs w:val="20"/>
          </w:rPr>
          <w:t>Western Australia</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_Toc408498482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10</w:t>
        </w:r>
        <w:r w:rsidR="00205DBE" w:rsidRPr="004B2104">
          <w:rPr>
            <w:rFonts w:asciiTheme="minorHAnsi" w:hAnsiTheme="minorHAnsi" w:cstheme="minorHAnsi"/>
            <w:b/>
            <w:noProof/>
            <w:webHidden/>
            <w:sz w:val="20"/>
            <w:szCs w:val="20"/>
          </w:rPr>
          <w:fldChar w:fldCharType="end"/>
        </w:r>
      </w:hyperlink>
    </w:p>
    <w:p w14:paraId="7E34D63B" w14:textId="77777777" w:rsidR="00205DBE" w:rsidRPr="004B2104" w:rsidRDefault="00E01DAD">
      <w:pPr>
        <w:pStyle w:val="TOC2"/>
        <w:rPr>
          <w:rFonts w:asciiTheme="minorHAnsi" w:eastAsiaTheme="minorEastAsia" w:hAnsiTheme="minorHAnsi" w:cstheme="minorHAnsi"/>
          <w:b/>
          <w:noProof/>
          <w:sz w:val="20"/>
          <w:szCs w:val="20"/>
          <w:lang w:eastAsia="en-AU"/>
        </w:rPr>
      </w:pPr>
      <w:hyperlink w:anchor="_Toc408498483" w:history="1">
        <w:r w:rsidR="00205DBE" w:rsidRPr="004B2104">
          <w:rPr>
            <w:rStyle w:val="Hyperlink"/>
            <w:rFonts w:asciiTheme="minorHAnsi" w:hAnsiTheme="minorHAnsi" w:cstheme="minorHAnsi"/>
            <w:b/>
            <w:noProof/>
            <w:sz w:val="20"/>
            <w:szCs w:val="20"/>
          </w:rPr>
          <w:t>South Australia</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_Toc408498483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10</w:t>
        </w:r>
        <w:r w:rsidR="00205DBE" w:rsidRPr="004B2104">
          <w:rPr>
            <w:rFonts w:asciiTheme="minorHAnsi" w:hAnsiTheme="minorHAnsi" w:cstheme="minorHAnsi"/>
            <w:b/>
            <w:noProof/>
            <w:webHidden/>
            <w:sz w:val="20"/>
            <w:szCs w:val="20"/>
          </w:rPr>
          <w:fldChar w:fldCharType="end"/>
        </w:r>
      </w:hyperlink>
    </w:p>
    <w:p w14:paraId="4C0B8719" w14:textId="77777777" w:rsidR="00205DBE" w:rsidRPr="004B2104" w:rsidRDefault="00E01DAD">
      <w:pPr>
        <w:pStyle w:val="TOC2"/>
        <w:rPr>
          <w:rFonts w:asciiTheme="minorHAnsi" w:eastAsiaTheme="minorEastAsia" w:hAnsiTheme="minorHAnsi" w:cstheme="minorHAnsi"/>
          <w:b/>
          <w:noProof/>
          <w:sz w:val="20"/>
          <w:szCs w:val="20"/>
          <w:lang w:eastAsia="en-AU"/>
        </w:rPr>
      </w:pPr>
      <w:hyperlink w:anchor="_Toc408498484" w:history="1">
        <w:r w:rsidR="00205DBE" w:rsidRPr="004B2104">
          <w:rPr>
            <w:rStyle w:val="Hyperlink"/>
            <w:rFonts w:asciiTheme="minorHAnsi" w:hAnsiTheme="minorHAnsi" w:cstheme="minorHAnsi"/>
            <w:b/>
            <w:noProof/>
            <w:sz w:val="20"/>
            <w:szCs w:val="20"/>
          </w:rPr>
          <w:t>Northern Territory</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_Toc408498484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11</w:t>
        </w:r>
        <w:r w:rsidR="00205DBE" w:rsidRPr="004B2104">
          <w:rPr>
            <w:rFonts w:asciiTheme="minorHAnsi" w:hAnsiTheme="minorHAnsi" w:cstheme="minorHAnsi"/>
            <w:b/>
            <w:noProof/>
            <w:webHidden/>
            <w:sz w:val="20"/>
            <w:szCs w:val="20"/>
          </w:rPr>
          <w:fldChar w:fldCharType="end"/>
        </w:r>
      </w:hyperlink>
    </w:p>
    <w:p w14:paraId="714AB90C" w14:textId="77777777" w:rsidR="00205DBE" w:rsidRPr="004B2104" w:rsidRDefault="00E01DAD">
      <w:pPr>
        <w:pStyle w:val="TOC1"/>
        <w:rPr>
          <w:rFonts w:asciiTheme="minorHAnsi" w:eastAsiaTheme="minorEastAsia" w:hAnsiTheme="minorHAnsi" w:cstheme="minorHAnsi"/>
          <w:b/>
          <w:noProof/>
          <w:spacing w:val="0"/>
          <w:sz w:val="20"/>
          <w:szCs w:val="20"/>
          <w:lang w:eastAsia="en-AU"/>
        </w:rPr>
      </w:pPr>
      <w:hyperlink w:anchor="_Toc408498485" w:history="1">
        <w:r w:rsidR="00205DBE" w:rsidRPr="004B2104">
          <w:rPr>
            <w:rStyle w:val="Hyperlink"/>
            <w:rFonts w:asciiTheme="minorHAnsi" w:hAnsiTheme="minorHAnsi" w:cstheme="minorHAnsi"/>
            <w:b/>
            <w:noProof/>
            <w:sz w:val="20"/>
            <w:szCs w:val="20"/>
            <w:lang w:eastAsia="en-AU"/>
          </w:rPr>
          <w:t>About the Fair Work Ombudsman</w:t>
        </w:r>
        <w:r w:rsidR="00205DBE" w:rsidRPr="004B2104">
          <w:rPr>
            <w:rFonts w:asciiTheme="minorHAnsi" w:hAnsiTheme="minorHAnsi" w:cstheme="minorHAnsi"/>
            <w:b/>
            <w:noProof/>
            <w:webHidden/>
            <w:sz w:val="20"/>
            <w:szCs w:val="20"/>
          </w:rPr>
          <w:tab/>
        </w:r>
        <w:r w:rsidR="00205DBE" w:rsidRPr="004B2104">
          <w:rPr>
            <w:rFonts w:asciiTheme="minorHAnsi" w:hAnsiTheme="minorHAnsi" w:cstheme="minorHAnsi"/>
            <w:b/>
            <w:noProof/>
            <w:webHidden/>
            <w:sz w:val="20"/>
            <w:szCs w:val="20"/>
          </w:rPr>
          <w:fldChar w:fldCharType="begin"/>
        </w:r>
        <w:r w:rsidR="00205DBE" w:rsidRPr="004B2104">
          <w:rPr>
            <w:rFonts w:asciiTheme="minorHAnsi" w:hAnsiTheme="minorHAnsi" w:cstheme="minorHAnsi"/>
            <w:b/>
            <w:noProof/>
            <w:webHidden/>
            <w:sz w:val="20"/>
            <w:szCs w:val="20"/>
          </w:rPr>
          <w:instrText xml:space="preserve"> PAGEREF _Toc408498485 \h </w:instrText>
        </w:r>
        <w:r w:rsidR="00205DBE" w:rsidRPr="004B2104">
          <w:rPr>
            <w:rFonts w:asciiTheme="minorHAnsi" w:hAnsiTheme="minorHAnsi" w:cstheme="minorHAnsi"/>
            <w:b/>
            <w:noProof/>
            <w:webHidden/>
            <w:sz w:val="20"/>
            <w:szCs w:val="20"/>
          </w:rPr>
        </w:r>
        <w:r w:rsidR="00205DBE" w:rsidRPr="004B2104">
          <w:rPr>
            <w:rFonts w:asciiTheme="minorHAnsi" w:hAnsiTheme="minorHAnsi" w:cstheme="minorHAnsi"/>
            <w:b/>
            <w:noProof/>
            <w:webHidden/>
            <w:sz w:val="20"/>
            <w:szCs w:val="20"/>
          </w:rPr>
          <w:fldChar w:fldCharType="separate"/>
        </w:r>
        <w:r w:rsidR="00FA137B">
          <w:rPr>
            <w:rFonts w:asciiTheme="minorHAnsi" w:hAnsiTheme="minorHAnsi" w:cstheme="minorHAnsi"/>
            <w:b/>
            <w:noProof/>
            <w:webHidden/>
            <w:sz w:val="20"/>
            <w:szCs w:val="20"/>
          </w:rPr>
          <w:t>12</w:t>
        </w:r>
        <w:r w:rsidR="00205DBE" w:rsidRPr="004B2104">
          <w:rPr>
            <w:rFonts w:asciiTheme="minorHAnsi" w:hAnsiTheme="minorHAnsi" w:cstheme="minorHAnsi"/>
            <w:b/>
            <w:noProof/>
            <w:webHidden/>
            <w:sz w:val="20"/>
            <w:szCs w:val="20"/>
          </w:rPr>
          <w:fldChar w:fldCharType="end"/>
        </w:r>
      </w:hyperlink>
    </w:p>
    <w:p w14:paraId="5AAA01EF" w14:textId="77777777" w:rsidR="001F20C3" w:rsidRDefault="001F20C3" w:rsidP="000E37AC">
      <w:pPr>
        <w:pStyle w:val="TOC1"/>
        <w:rPr>
          <w:color w:val="548DD4" w:themeColor="text2" w:themeTint="99"/>
          <w:sz w:val="28"/>
          <w:szCs w:val="26"/>
        </w:rPr>
      </w:pPr>
      <w:r w:rsidRPr="004B2104">
        <w:rPr>
          <w:rFonts w:asciiTheme="minorHAnsi" w:hAnsiTheme="minorHAnsi" w:cstheme="minorHAnsi"/>
          <w:b/>
          <w:sz w:val="20"/>
          <w:szCs w:val="20"/>
        </w:rPr>
        <w:fldChar w:fldCharType="end"/>
      </w:r>
      <w:r>
        <w:br w:type="page"/>
      </w:r>
    </w:p>
    <w:p w14:paraId="47192256" w14:textId="77777777" w:rsidR="009629F3" w:rsidRDefault="00205DBE" w:rsidP="00AB27F9">
      <w:pPr>
        <w:pStyle w:val="Heading1"/>
      </w:pPr>
      <w:bookmarkStart w:id="0" w:name="_Toc408498466"/>
      <w:r>
        <w:lastRenderedPageBreak/>
        <w:t>Campaign Snapshot</w:t>
      </w:r>
      <w:bookmarkEnd w:id="0"/>
      <w:r w:rsidR="009629F3" w:rsidRPr="009629F3">
        <w:t xml:space="preserve"> </w:t>
      </w:r>
    </w:p>
    <w:p w14:paraId="2A472864" w14:textId="77777777" w:rsidR="004B2104" w:rsidRPr="004B2104" w:rsidRDefault="004B2104" w:rsidP="004B2104"/>
    <w:p w14:paraId="06E5546E" w14:textId="77777777" w:rsidR="004B2104" w:rsidRDefault="004B2104" w:rsidP="004B2104">
      <w:pPr>
        <w:pStyle w:val="GlanceYellowHeading"/>
        <w:pBdr>
          <w:top w:val="single" w:sz="48" w:space="0" w:color="BFBFBF" w:themeColor="background1" w:themeShade="BF"/>
        </w:pBdr>
        <w:sectPr w:rsidR="004B2104" w:rsidSect="00C2298B">
          <w:headerReference w:type="default" r:id="rId14"/>
          <w:footerReference w:type="even" r:id="rId15"/>
          <w:footerReference w:type="default" r:id="rId16"/>
          <w:headerReference w:type="first" r:id="rId17"/>
          <w:type w:val="continuous"/>
          <w:pgSz w:w="11907" w:h="16840" w:code="9"/>
          <w:pgMar w:top="1276" w:right="992" w:bottom="1440" w:left="1276" w:header="0" w:footer="113" w:gutter="0"/>
          <w:cols w:space="720"/>
          <w:titlePg/>
          <w:docGrid w:linePitch="326"/>
        </w:sectPr>
      </w:pPr>
    </w:p>
    <w:p w14:paraId="26E4BA1B" w14:textId="77777777" w:rsidR="004B2104" w:rsidRPr="004B2104" w:rsidRDefault="004B2104" w:rsidP="004B2104">
      <w:pPr>
        <w:pStyle w:val="GlanceYellowHeading"/>
        <w:pBdr>
          <w:top w:val="single" w:sz="48" w:space="0" w:color="BFBFBF" w:themeColor="background1" w:themeShade="BF"/>
        </w:pBdr>
        <w:rPr>
          <w:sz w:val="52"/>
          <w:szCs w:val="52"/>
        </w:rPr>
      </w:pPr>
      <w:r w:rsidRPr="004B2104">
        <w:rPr>
          <w:sz w:val="52"/>
          <w:szCs w:val="52"/>
        </w:rPr>
        <w:lastRenderedPageBreak/>
        <w:t>Total of</w:t>
      </w:r>
    </w:p>
    <w:p w14:paraId="2FC475DA" w14:textId="77777777" w:rsidR="004B2104" w:rsidRPr="004B2104" w:rsidRDefault="004B2104" w:rsidP="004B2104">
      <w:pPr>
        <w:pStyle w:val="GlanceRedHeading"/>
        <w:rPr>
          <w:sz w:val="80"/>
          <w:szCs w:val="80"/>
        </w:rPr>
      </w:pPr>
      <w:r w:rsidRPr="004B2104">
        <w:rPr>
          <w:sz w:val="80"/>
          <w:szCs w:val="80"/>
        </w:rPr>
        <w:t>578</w:t>
      </w:r>
    </w:p>
    <w:p w14:paraId="1EE9F015" w14:textId="41139447" w:rsidR="004B2104" w:rsidRDefault="004B2104" w:rsidP="0091246E">
      <w:pPr>
        <w:pStyle w:val="GlanceBody"/>
        <w:pBdr>
          <w:bottom w:val="single" w:sz="2" w:space="10" w:color="BFBFBF" w:themeColor="background1" w:themeShade="BF"/>
        </w:pBdr>
        <w:spacing w:line="240" w:lineRule="auto"/>
      </w:pPr>
      <w:r>
        <w:t>Businesses audited for the National Cleaning Services Follow-Up Campaign 2012-13.</w:t>
      </w:r>
    </w:p>
    <w:p w14:paraId="272C3280" w14:textId="1FA9110F" w:rsidR="0091246E" w:rsidRPr="00410018" w:rsidRDefault="0091246E" w:rsidP="0091246E">
      <w:pPr>
        <w:pStyle w:val="GlanceBody"/>
        <w:pBdr>
          <w:bottom w:val="single" w:sz="2" w:space="10" w:color="BFBFBF" w:themeColor="background1" w:themeShade="BF"/>
        </w:pBdr>
        <w:spacing w:line="240" w:lineRule="auto"/>
        <w:rPr>
          <w:sz w:val="14"/>
        </w:rPr>
      </w:pPr>
    </w:p>
    <w:p w14:paraId="0FAC1ED6" w14:textId="77777777" w:rsidR="004B2104" w:rsidRPr="004B2104" w:rsidRDefault="004B2104" w:rsidP="0091246E">
      <w:pPr>
        <w:pStyle w:val="GlanceYellowHeading"/>
        <w:rPr>
          <w:sz w:val="52"/>
          <w:szCs w:val="52"/>
        </w:rPr>
      </w:pPr>
      <w:r w:rsidRPr="004B2104">
        <w:rPr>
          <w:sz w:val="52"/>
          <w:szCs w:val="52"/>
        </w:rPr>
        <w:t>Total of</w:t>
      </w:r>
    </w:p>
    <w:p w14:paraId="5927BCFA" w14:textId="77777777" w:rsidR="004B2104" w:rsidRPr="004B2104" w:rsidRDefault="004B2104" w:rsidP="004B2104">
      <w:pPr>
        <w:pStyle w:val="GlanceRedHeading"/>
        <w:rPr>
          <w:sz w:val="80"/>
          <w:szCs w:val="80"/>
        </w:rPr>
      </w:pPr>
      <w:r w:rsidRPr="004B2104">
        <w:rPr>
          <w:sz w:val="80"/>
          <w:szCs w:val="80"/>
        </w:rPr>
        <w:t>$</w:t>
      </w:r>
      <w:proofErr w:type="spellStart"/>
      <w:r w:rsidRPr="004B2104">
        <w:rPr>
          <w:sz w:val="80"/>
          <w:szCs w:val="80"/>
        </w:rPr>
        <w:t>763k</w:t>
      </w:r>
      <w:proofErr w:type="spellEnd"/>
    </w:p>
    <w:p w14:paraId="6489965D" w14:textId="77777777" w:rsidR="004B2104" w:rsidRPr="00C87936" w:rsidRDefault="004B2104" w:rsidP="00925B42">
      <w:pPr>
        <w:pStyle w:val="GlanceBody"/>
        <w:spacing w:line="240" w:lineRule="auto"/>
      </w:pPr>
      <w:proofErr w:type="gramStart"/>
      <w:r>
        <w:t>Was recovered for 1,212 employees.</w:t>
      </w:r>
      <w:proofErr w:type="gramEnd"/>
    </w:p>
    <w:p w14:paraId="0D5A5BEF" w14:textId="77777777" w:rsidR="004B2104" w:rsidRPr="004B2104" w:rsidRDefault="004B2104" w:rsidP="004B2104">
      <w:pPr>
        <w:pStyle w:val="GlanceYellowHeading"/>
        <w:rPr>
          <w:sz w:val="52"/>
          <w:szCs w:val="52"/>
        </w:rPr>
      </w:pPr>
      <w:r>
        <w:br w:type="column"/>
      </w:r>
      <w:r w:rsidRPr="004B2104">
        <w:rPr>
          <w:sz w:val="52"/>
          <w:szCs w:val="52"/>
        </w:rPr>
        <w:lastRenderedPageBreak/>
        <w:t>Total of</w:t>
      </w:r>
    </w:p>
    <w:p w14:paraId="5E8593BF" w14:textId="77777777" w:rsidR="004B2104" w:rsidRPr="004B2104" w:rsidRDefault="004B2104" w:rsidP="004B2104">
      <w:pPr>
        <w:pStyle w:val="GlanceRedHeading"/>
        <w:rPr>
          <w:sz w:val="80"/>
          <w:szCs w:val="80"/>
        </w:rPr>
      </w:pPr>
      <w:r w:rsidRPr="004B2104">
        <w:rPr>
          <w:sz w:val="80"/>
          <w:szCs w:val="80"/>
        </w:rPr>
        <w:t>8</w:t>
      </w:r>
    </w:p>
    <w:p w14:paraId="534BBA6B" w14:textId="1B3B7FE1" w:rsidR="003861B5" w:rsidRDefault="004B2104" w:rsidP="003861B5">
      <w:pPr>
        <w:pStyle w:val="GlanceBody"/>
        <w:spacing w:line="240" w:lineRule="auto"/>
      </w:pPr>
      <w:r>
        <w:t>Shopping Centres had their cleaning contract procurement practices reviewed.</w:t>
      </w:r>
    </w:p>
    <w:p w14:paraId="488780D4" w14:textId="77777777" w:rsidR="003861B5" w:rsidRPr="003861B5" w:rsidRDefault="003861B5" w:rsidP="003861B5">
      <w:pPr>
        <w:pStyle w:val="GlanceBody"/>
        <w:spacing w:line="240" w:lineRule="auto"/>
        <w:rPr>
          <w:sz w:val="14"/>
        </w:rPr>
      </w:pPr>
    </w:p>
    <w:p w14:paraId="278E88AD" w14:textId="77777777" w:rsidR="004B2104" w:rsidRPr="004B2104" w:rsidRDefault="004B2104" w:rsidP="004B2104">
      <w:pPr>
        <w:pStyle w:val="GlanceYellowHeading"/>
        <w:rPr>
          <w:sz w:val="52"/>
          <w:szCs w:val="52"/>
        </w:rPr>
      </w:pPr>
      <w:r w:rsidRPr="004B2104">
        <w:rPr>
          <w:sz w:val="52"/>
          <w:szCs w:val="52"/>
        </w:rPr>
        <w:t>A total of</w:t>
      </w:r>
    </w:p>
    <w:p w14:paraId="221E2553" w14:textId="77777777" w:rsidR="004B2104" w:rsidRPr="004B2104" w:rsidRDefault="004B2104" w:rsidP="004B2104">
      <w:pPr>
        <w:pStyle w:val="GlanceRedHeading"/>
        <w:rPr>
          <w:sz w:val="80"/>
          <w:szCs w:val="80"/>
        </w:rPr>
      </w:pPr>
      <w:r w:rsidRPr="004B2104">
        <w:rPr>
          <w:sz w:val="80"/>
          <w:szCs w:val="80"/>
        </w:rPr>
        <w:t>62%</w:t>
      </w:r>
    </w:p>
    <w:p w14:paraId="798A97C6" w14:textId="77777777" w:rsidR="004B2104" w:rsidRPr="00A74DB5" w:rsidRDefault="004B2104" w:rsidP="00925B42">
      <w:pPr>
        <w:pStyle w:val="GlanceBody"/>
        <w:spacing w:line="240" w:lineRule="auto"/>
      </w:pPr>
      <w:r>
        <w:t>Of businesses were meeting their minimum rates of pay, record keeping and pay-slip obligations.</w:t>
      </w:r>
    </w:p>
    <w:p w14:paraId="54ED70BA" w14:textId="77777777" w:rsidR="004B2104" w:rsidRPr="004B2104" w:rsidRDefault="004B2104" w:rsidP="004B2104">
      <w:pPr>
        <w:pStyle w:val="GlanceYellowHeading"/>
        <w:rPr>
          <w:sz w:val="52"/>
          <w:szCs w:val="52"/>
        </w:rPr>
      </w:pPr>
      <w:r w:rsidRPr="00A74DB5">
        <w:br w:type="column"/>
      </w:r>
      <w:r w:rsidRPr="004B2104">
        <w:rPr>
          <w:sz w:val="52"/>
          <w:szCs w:val="52"/>
        </w:rPr>
        <w:lastRenderedPageBreak/>
        <w:t>Total of</w:t>
      </w:r>
    </w:p>
    <w:p w14:paraId="340A7BB1" w14:textId="77777777" w:rsidR="004B2104" w:rsidRPr="004B2104" w:rsidRDefault="004B2104" w:rsidP="004B2104">
      <w:pPr>
        <w:pStyle w:val="GlanceRedHeading"/>
        <w:rPr>
          <w:sz w:val="80"/>
          <w:szCs w:val="80"/>
        </w:rPr>
      </w:pPr>
      <w:r w:rsidRPr="004B2104">
        <w:rPr>
          <w:sz w:val="80"/>
          <w:szCs w:val="80"/>
        </w:rPr>
        <w:t>169</w:t>
      </w:r>
    </w:p>
    <w:p w14:paraId="1EFEDE63" w14:textId="32A6336A" w:rsidR="00503E04" w:rsidRDefault="004B2104" w:rsidP="00925B42">
      <w:pPr>
        <w:pStyle w:val="GlanceBody"/>
        <w:pBdr>
          <w:bottom w:val="single" w:sz="2" w:space="16" w:color="BFBFBF" w:themeColor="background1" w:themeShade="BF"/>
        </w:pBdr>
        <w:spacing w:line="240" w:lineRule="auto"/>
      </w:pPr>
      <w:r w:rsidRPr="00A74DB5">
        <w:t>Businesses from the 2010 National Cleaning Industry Campaign were re-audited.</w:t>
      </w:r>
    </w:p>
    <w:p w14:paraId="2D0F2CDF" w14:textId="77777777" w:rsidR="00503E04" w:rsidRPr="00925B42" w:rsidRDefault="00503E04" w:rsidP="00925B42">
      <w:pPr>
        <w:pStyle w:val="GlanceBody"/>
        <w:pBdr>
          <w:bottom w:val="single" w:sz="2" w:space="16" w:color="BFBFBF" w:themeColor="background1" w:themeShade="BF"/>
        </w:pBdr>
        <w:spacing w:line="240" w:lineRule="auto"/>
      </w:pPr>
    </w:p>
    <w:p w14:paraId="2F47C2A3" w14:textId="77777777" w:rsidR="004B2104" w:rsidRPr="004B2104" w:rsidRDefault="004B2104" w:rsidP="004B2104">
      <w:pPr>
        <w:pStyle w:val="GlanceYellowHeading"/>
        <w:rPr>
          <w:sz w:val="52"/>
          <w:szCs w:val="52"/>
        </w:rPr>
      </w:pPr>
      <w:r w:rsidRPr="004B2104">
        <w:rPr>
          <w:sz w:val="52"/>
          <w:szCs w:val="52"/>
        </w:rPr>
        <w:t>Total of</w:t>
      </w:r>
    </w:p>
    <w:p w14:paraId="6F02C420" w14:textId="77777777" w:rsidR="004B2104" w:rsidRPr="004B2104" w:rsidRDefault="004B2104" w:rsidP="004B2104">
      <w:pPr>
        <w:pStyle w:val="GlanceRedHeading"/>
        <w:rPr>
          <w:sz w:val="80"/>
          <w:szCs w:val="80"/>
        </w:rPr>
      </w:pPr>
      <w:r w:rsidRPr="004B2104">
        <w:rPr>
          <w:sz w:val="80"/>
          <w:szCs w:val="80"/>
        </w:rPr>
        <w:t>63%</w:t>
      </w:r>
    </w:p>
    <w:p w14:paraId="582AE274" w14:textId="77777777" w:rsidR="004B2104" w:rsidRPr="00A74DB5" w:rsidRDefault="004B2104" w:rsidP="00925B42">
      <w:pPr>
        <w:pStyle w:val="GlanceBody"/>
        <w:spacing w:line="240" w:lineRule="auto"/>
      </w:pPr>
      <w:r w:rsidRPr="00A74DB5">
        <w:t xml:space="preserve">Of businesses re-audited were </w:t>
      </w:r>
      <w:r>
        <w:t>meeting their obligations</w:t>
      </w:r>
    </w:p>
    <w:p w14:paraId="003E6C76" w14:textId="77777777" w:rsidR="004B2104" w:rsidRDefault="004B2104" w:rsidP="00205DBE">
      <w:pPr>
        <w:sectPr w:rsidR="004B2104" w:rsidSect="004B2104">
          <w:type w:val="continuous"/>
          <w:pgSz w:w="11907" w:h="16840" w:code="9"/>
          <w:pgMar w:top="1276" w:right="992" w:bottom="1440" w:left="1276" w:header="0" w:footer="850" w:gutter="0"/>
          <w:pgNumType w:start="1"/>
          <w:cols w:num="3" w:space="720"/>
          <w:titlePg/>
          <w:docGrid w:linePitch="326"/>
        </w:sectPr>
      </w:pPr>
    </w:p>
    <w:p w14:paraId="75D3A90E" w14:textId="77777777" w:rsidR="004B2104" w:rsidRPr="00205DBE" w:rsidRDefault="004B2104" w:rsidP="00205DBE">
      <w:r>
        <w:lastRenderedPageBreak/>
        <w:br w:type="page"/>
      </w:r>
    </w:p>
    <w:p w14:paraId="54097526" w14:textId="77777777" w:rsidR="004B2104" w:rsidRPr="004B2104" w:rsidRDefault="00205DBE" w:rsidP="004B2104">
      <w:pPr>
        <w:pStyle w:val="Heading1"/>
      </w:pPr>
      <w:bookmarkStart w:id="1" w:name="_Toc408498467"/>
      <w:r>
        <w:lastRenderedPageBreak/>
        <w:t>About Campaign</w:t>
      </w:r>
      <w:bookmarkEnd w:id="1"/>
    </w:p>
    <w:p w14:paraId="09E00CA6" w14:textId="77777777" w:rsidR="004B2104" w:rsidRPr="004B2104" w:rsidRDefault="00205DBE" w:rsidP="00205DBE">
      <w:pPr>
        <w:rPr>
          <w:rFonts w:asciiTheme="minorHAnsi" w:hAnsiTheme="minorHAnsi" w:cstheme="minorHAnsi"/>
          <w:sz w:val="22"/>
          <w:szCs w:val="22"/>
        </w:rPr>
      </w:pPr>
      <w:r w:rsidRPr="004B2104">
        <w:rPr>
          <w:rFonts w:asciiTheme="minorHAnsi" w:hAnsiTheme="minorHAnsi" w:cstheme="minorHAnsi"/>
          <w:sz w:val="22"/>
          <w:szCs w:val="22"/>
        </w:rPr>
        <w:t xml:space="preserve">The </w:t>
      </w:r>
      <w:r w:rsidR="004B2104">
        <w:rPr>
          <w:rFonts w:asciiTheme="minorHAnsi" w:hAnsiTheme="minorHAnsi" w:cstheme="minorHAnsi"/>
          <w:sz w:val="22"/>
          <w:szCs w:val="22"/>
        </w:rPr>
        <w:t xml:space="preserve">National Cleaning Industry Follow </w:t>
      </w:r>
      <w:proofErr w:type="gramStart"/>
      <w:r w:rsidR="004B2104">
        <w:rPr>
          <w:rFonts w:asciiTheme="minorHAnsi" w:hAnsiTheme="minorHAnsi" w:cstheme="minorHAnsi"/>
          <w:sz w:val="22"/>
          <w:szCs w:val="22"/>
        </w:rPr>
        <w:t>Up</w:t>
      </w:r>
      <w:proofErr w:type="gramEnd"/>
      <w:r w:rsidR="004B2104">
        <w:rPr>
          <w:rFonts w:asciiTheme="minorHAnsi" w:hAnsiTheme="minorHAnsi" w:cstheme="minorHAnsi"/>
          <w:sz w:val="22"/>
          <w:szCs w:val="22"/>
        </w:rPr>
        <w:t xml:space="preserve"> C</w:t>
      </w:r>
      <w:r w:rsidRPr="004B2104">
        <w:rPr>
          <w:rFonts w:asciiTheme="minorHAnsi" w:hAnsiTheme="minorHAnsi" w:cstheme="minorHAnsi"/>
          <w:sz w:val="22"/>
          <w:szCs w:val="22"/>
        </w:rPr>
        <w:t xml:space="preserve">ampaign </w:t>
      </w:r>
      <w:r w:rsidR="004B2104">
        <w:rPr>
          <w:rFonts w:asciiTheme="minorHAnsi" w:hAnsiTheme="minorHAnsi" w:cstheme="minorHAnsi"/>
          <w:sz w:val="22"/>
          <w:szCs w:val="22"/>
        </w:rPr>
        <w:t xml:space="preserve">2012- 2013 (the Campaign) </w:t>
      </w:r>
      <w:r w:rsidRPr="004B2104">
        <w:rPr>
          <w:rFonts w:asciiTheme="minorHAnsi" w:hAnsiTheme="minorHAnsi" w:cstheme="minorHAnsi"/>
          <w:sz w:val="22"/>
          <w:szCs w:val="22"/>
        </w:rPr>
        <w:t>commenced in November 2012 and assessed compliance with m</w:t>
      </w:r>
      <w:r w:rsidR="004B2104">
        <w:rPr>
          <w:rFonts w:asciiTheme="minorHAnsi" w:hAnsiTheme="minorHAnsi" w:cstheme="minorHAnsi"/>
          <w:sz w:val="22"/>
          <w:szCs w:val="22"/>
        </w:rPr>
        <w:t>onetary entitlements and record-</w:t>
      </w:r>
      <w:r w:rsidRPr="004B2104">
        <w:rPr>
          <w:rFonts w:asciiTheme="minorHAnsi" w:hAnsiTheme="minorHAnsi" w:cstheme="minorHAnsi"/>
          <w:sz w:val="22"/>
          <w:szCs w:val="22"/>
        </w:rPr>
        <w:t>keepin</w:t>
      </w:r>
      <w:r w:rsidR="004B2104">
        <w:rPr>
          <w:rFonts w:asciiTheme="minorHAnsi" w:hAnsiTheme="minorHAnsi" w:cstheme="minorHAnsi"/>
          <w:sz w:val="22"/>
          <w:szCs w:val="22"/>
        </w:rPr>
        <w:t>g obligations. The C</w:t>
      </w:r>
      <w:r w:rsidRPr="004B2104">
        <w:rPr>
          <w:rFonts w:asciiTheme="minorHAnsi" w:hAnsiTheme="minorHAnsi" w:cstheme="minorHAnsi"/>
          <w:sz w:val="22"/>
          <w:szCs w:val="22"/>
        </w:rPr>
        <w:t xml:space="preserve">ampaign also examined sub-contracting arrangements across eight large shopping centres to assess the effects of competitive tendering on compliance rates for workers engaged in the supply chain. </w:t>
      </w:r>
    </w:p>
    <w:p w14:paraId="7351E79C" w14:textId="77777777" w:rsidR="009629F3" w:rsidRDefault="00205DBE" w:rsidP="00AB27F9">
      <w:pPr>
        <w:pStyle w:val="Heading1"/>
      </w:pPr>
      <w:bookmarkStart w:id="2" w:name="_Toc408498468"/>
      <w:r>
        <w:t>Outcomes at a Glance</w:t>
      </w:r>
      <w:bookmarkEnd w:id="2"/>
    </w:p>
    <w:p w14:paraId="282F4B6D" w14:textId="77777777" w:rsidR="00205DBE" w:rsidRPr="004B2104" w:rsidRDefault="004B2104" w:rsidP="00205DBE">
      <w:pPr>
        <w:rPr>
          <w:rFonts w:asciiTheme="minorHAnsi" w:hAnsiTheme="minorHAnsi" w:cstheme="minorHAnsi"/>
          <w:sz w:val="22"/>
          <w:szCs w:val="22"/>
          <w:lang w:val="en-US"/>
        </w:rPr>
      </w:pPr>
      <w:r>
        <w:rPr>
          <w:rFonts w:asciiTheme="minorHAnsi" w:hAnsiTheme="minorHAnsi" w:cstheme="minorHAnsi"/>
          <w:sz w:val="22"/>
          <w:szCs w:val="22"/>
        </w:rPr>
        <w:t>During the Campaign</w:t>
      </w:r>
      <w:r w:rsidR="00064562">
        <w:rPr>
          <w:rFonts w:asciiTheme="minorHAnsi" w:hAnsiTheme="minorHAnsi" w:cstheme="minorHAnsi"/>
          <w:sz w:val="22"/>
          <w:szCs w:val="22"/>
        </w:rPr>
        <w:t>,</w:t>
      </w:r>
      <w:r>
        <w:rPr>
          <w:rFonts w:asciiTheme="minorHAnsi" w:hAnsiTheme="minorHAnsi" w:cstheme="minorHAnsi"/>
          <w:sz w:val="22"/>
          <w:szCs w:val="22"/>
        </w:rPr>
        <w:t xml:space="preserve"> </w:t>
      </w:r>
      <w:r w:rsidR="00205DBE" w:rsidRPr="004B2104">
        <w:rPr>
          <w:rFonts w:asciiTheme="minorHAnsi" w:hAnsiTheme="minorHAnsi" w:cstheme="minorHAnsi"/>
          <w:sz w:val="22"/>
          <w:szCs w:val="22"/>
        </w:rPr>
        <w:t xml:space="preserve">578 businesses were audited for compliance with wages and record-keeping obligations. Of these, 356 (62%) were compliant and 222 (38%) employers had not met all their </w:t>
      </w:r>
      <w:r w:rsidR="00064562">
        <w:rPr>
          <w:rFonts w:asciiTheme="minorHAnsi" w:hAnsiTheme="minorHAnsi" w:cstheme="minorHAnsi"/>
          <w:sz w:val="22"/>
          <w:szCs w:val="22"/>
        </w:rPr>
        <w:t xml:space="preserve">workplace relations </w:t>
      </w:r>
      <w:r w:rsidR="00205DBE" w:rsidRPr="004B2104">
        <w:rPr>
          <w:rFonts w:asciiTheme="minorHAnsi" w:hAnsiTheme="minorHAnsi" w:cstheme="minorHAnsi"/>
          <w:sz w:val="22"/>
          <w:szCs w:val="22"/>
        </w:rPr>
        <w:t>obligations. The majority of contravent</w:t>
      </w:r>
      <w:r w:rsidR="00064562">
        <w:rPr>
          <w:rFonts w:asciiTheme="minorHAnsi" w:hAnsiTheme="minorHAnsi" w:cstheme="minorHAnsi"/>
          <w:sz w:val="22"/>
          <w:szCs w:val="22"/>
        </w:rPr>
        <w:t>ions identified related to wage</w:t>
      </w:r>
      <w:r w:rsidR="00205DBE" w:rsidRPr="004B2104">
        <w:rPr>
          <w:rFonts w:asciiTheme="minorHAnsi" w:hAnsiTheme="minorHAnsi" w:cstheme="minorHAnsi"/>
          <w:sz w:val="22"/>
          <w:szCs w:val="22"/>
        </w:rPr>
        <w:t xml:space="preserve"> entitlements.</w:t>
      </w:r>
      <w:r w:rsidR="00205DBE" w:rsidRPr="004B2104">
        <w:rPr>
          <w:rFonts w:asciiTheme="minorHAnsi" w:hAnsiTheme="minorHAnsi" w:cstheme="minorHAnsi"/>
          <w:sz w:val="22"/>
          <w:szCs w:val="22"/>
          <w:lang w:val="en-US"/>
        </w:rPr>
        <w:t xml:space="preserve"> </w:t>
      </w:r>
    </w:p>
    <w:p w14:paraId="396D62E6" w14:textId="77777777" w:rsidR="00205DBE" w:rsidRPr="004B2104" w:rsidRDefault="004B2104" w:rsidP="00205DBE">
      <w:pPr>
        <w:rPr>
          <w:rFonts w:asciiTheme="minorHAnsi" w:hAnsiTheme="minorHAnsi" w:cstheme="minorHAnsi"/>
          <w:sz w:val="22"/>
          <w:szCs w:val="22"/>
        </w:rPr>
      </w:pPr>
      <w:r>
        <w:rPr>
          <w:rFonts w:asciiTheme="minorHAnsi" w:hAnsiTheme="minorHAnsi" w:cstheme="minorHAnsi"/>
          <w:sz w:val="22"/>
          <w:szCs w:val="22"/>
        </w:rPr>
        <w:t>The outcomes of the C</w:t>
      </w:r>
      <w:r w:rsidR="00205DBE" w:rsidRPr="004B2104">
        <w:rPr>
          <w:rFonts w:asciiTheme="minorHAnsi" w:hAnsiTheme="minorHAnsi" w:cstheme="minorHAnsi"/>
          <w:sz w:val="22"/>
          <w:szCs w:val="22"/>
        </w:rPr>
        <w:t>ampaign were:</w:t>
      </w:r>
    </w:p>
    <w:p w14:paraId="3477E447" w14:textId="77777777" w:rsidR="00205DBE" w:rsidRPr="004B2104" w:rsidRDefault="00205DBE" w:rsidP="004B2104">
      <w:pPr>
        <w:pStyle w:val="Bullet"/>
        <w:jc w:val="both"/>
        <w:rPr>
          <w:rFonts w:asciiTheme="minorHAnsi" w:hAnsiTheme="minorHAnsi" w:cstheme="minorHAnsi"/>
        </w:rPr>
      </w:pPr>
      <w:r w:rsidRPr="004B2104">
        <w:rPr>
          <w:rFonts w:asciiTheme="minorHAnsi" w:hAnsiTheme="minorHAnsi" w:cstheme="minorHAnsi"/>
        </w:rPr>
        <w:t>$762,766 in underpayments was recovered for 1,212 employees</w:t>
      </w:r>
    </w:p>
    <w:p w14:paraId="767D3FA5" w14:textId="77777777" w:rsidR="00205DBE" w:rsidRPr="004B2104" w:rsidRDefault="00205DBE" w:rsidP="004B2104">
      <w:pPr>
        <w:pStyle w:val="Bullet"/>
        <w:jc w:val="both"/>
        <w:rPr>
          <w:rFonts w:asciiTheme="minorHAnsi" w:hAnsiTheme="minorHAnsi" w:cstheme="minorHAnsi"/>
        </w:rPr>
      </w:pPr>
      <w:r w:rsidRPr="004B2104">
        <w:rPr>
          <w:rFonts w:asciiTheme="minorHAnsi" w:hAnsiTheme="minorHAnsi" w:cstheme="minorHAnsi"/>
        </w:rPr>
        <w:t>8 Letters of Caution were issued to employers</w:t>
      </w:r>
    </w:p>
    <w:p w14:paraId="3DFFA490" w14:textId="77777777" w:rsidR="00205DBE" w:rsidRPr="004B2104" w:rsidRDefault="00205DBE" w:rsidP="004B2104">
      <w:pPr>
        <w:pStyle w:val="Bullet"/>
        <w:jc w:val="both"/>
        <w:rPr>
          <w:rFonts w:asciiTheme="minorHAnsi" w:hAnsiTheme="minorHAnsi" w:cstheme="minorHAnsi"/>
        </w:rPr>
      </w:pPr>
      <w:r w:rsidRPr="004B2104">
        <w:rPr>
          <w:rFonts w:asciiTheme="minorHAnsi" w:hAnsiTheme="minorHAnsi" w:cstheme="minorHAnsi"/>
        </w:rPr>
        <w:t xml:space="preserve">3 Enforceable Undertakings were entered into </w:t>
      </w:r>
    </w:p>
    <w:p w14:paraId="1358F950" w14:textId="77777777" w:rsidR="004B2104" w:rsidRPr="004B2104" w:rsidRDefault="00205DBE" w:rsidP="004B2104">
      <w:pPr>
        <w:pStyle w:val="Heading1"/>
      </w:pPr>
      <w:bookmarkStart w:id="3" w:name="_Toc408498469"/>
      <w:r w:rsidRPr="00205DBE">
        <w:t>Why we conducted the campaign</w:t>
      </w:r>
      <w:bookmarkEnd w:id="3"/>
    </w:p>
    <w:p w14:paraId="57613319" w14:textId="77777777" w:rsidR="00205DBE" w:rsidRPr="004B2104" w:rsidRDefault="00205DBE" w:rsidP="00205DBE">
      <w:pPr>
        <w:rPr>
          <w:rFonts w:asciiTheme="minorHAnsi" w:hAnsiTheme="minorHAnsi" w:cstheme="minorHAnsi"/>
          <w:sz w:val="22"/>
          <w:szCs w:val="22"/>
        </w:rPr>
      </w:pPr>
      <w:r w:rsidRPr="004B2104">
        <w:rPr>
          <w:rFonts w:asciiTheme="minorHAnsi" w:hAnsiTheme="minorHAnsi" w:cstheme="minorHAnsi"/>
          <w:sz w:val="22"/>
          <w:szCs w:val="22"/>
        </w:rPr>
        <w:t>The decision to co</w:t>
      </w:r>
      <w:r w:rsidR="00064562">
        <w:rPr>
          <w:rFonts w:asciiTheme="minorHAnsi" w:hAnsiTheme="minorHAnsi" w:cstheme="minorHAnsi"/>
          <w:sz w:val="22"/>
          <w:szCs w:val="22"/>
        </w:rPr>
        <w:t xml:space="preserve">nduct a second campaign in the cleaning services </w:t>
      </w:r>
      <w:r w:rsidRPr="004B2104">
        <w:rPr>
          <w:rFonts w:asciiTheme="minorHAnsi" w:hAnsiTheme="minorHAnsi" w:cstheme="minorHAnsi"/>
          <w:sz w:val="22"/>
          <w:szCs w:val="22"/>
        </w:rPr>
        <w:t>industry was based on four factors:</w:t>
      </w:r>
    </w:p>
    <w:p w14:paraId="46F23966" w14:textId="77777777" w:rsidR="00205DBE" w:rsidRPr="004B2104" w:rsidRDefault="00064562" w:rsidP="004B2104">
      <w:pPr>
        <w:pStyle w:val="Bullet"/>
        <w:jc w:val="both"/>
        <w:rPr>
          <w:rFonts w:asciiTheme="minorHAnsi" w:hAnsiTheme="minorHAnsi" w:cstheme="minorHAnsi"/>
        </w:rPr>
      </w:pPr>
      <w:r>
        <w:rPr>
          <w:rFonts w:asciiTheme="minorHAnsi" w:hAnsiTheme="minorHAnsi" w:cstheme="minorHAnsi"/>
        </w:rPr>
        <w:t>R</w:t>
      </w:r>
      <w:r w:rsidR="00205DBE" w:rsidRPr="004B2104">
        <w:rPr>
          <w:rFonts w:asciiTheme="minorHAnsi" w:hAnsiTheme="minorHAnsi" w:cstheme="minorHAnsi"/>
        </w:rPr>
        <w:t xml:space="preserve">esults from the National Cleaning Campaign 2010 which reported 40% of employers were not meeting all their </w:t>
      </w:r>
      <w:r>
        <w:rPr>
          <w:rFonts w:asciiTheme="minorHAnsi" w:hAnsiTheme="minorHAnsi" w:cstheme="minorHAnsi"/>
        </w:rPr>
        <w:t xml:space="preserve">workplace relation </w:t>
      </w:r>
      <w:r w:rsidR="00205DBE" w:rsidRPr="004B2104">
        <w:rPr>
          <w:rFonts w:asciiTheme="minorHAnsi" w:hAnsiTheme="minorHAnsi" w:cstheme="minorHAnsi"/>
        </w:rPr>
        <w:t>obligations</w:t>
      </w:r>
      <w:r w:rsidR="00C423F4">
        <w:rPr>
          <w:rFonts w:asciiTheme="minorHAnsi" w:hAnsiTheme="minorHAnsi" w:cstheme="minorHAnsi"/>
        </w:rPr>
        <w:t>.</w:t>
      </w:r>
      <w:r w:rsidR="00205DBE" w:rsidRPr="004B2104">
        <w:rPr>
          <w:rFonts w:asciiTheme="minorHAnsi" w:hAnsiTheme="minorHAnsi" w:cstheme="minorHAnsi"/>
        </w:rPr>
        <w:t xml:space="preserve"> </w:t>
      </w:r>
    </w:p>
    <w:p w14:paraId="5590C66F" w14:textId="77777777" w:rsidR="00205DBE" w:rsidRPr="004B2104" w:rsidRDefault="00064562" w:rsidP="004B2104">
      <w:pPr>
        <w:pStyle w:val="Bullet"/>
        <w:jc w:val="both"/>
        <w:rPr>
          <w:rFonts w:asciiTheme="minorHAnsi" w:hAnsiTheme="minorHAnsi" w:cstheme="minorHAnsi"/>
        </w:rPr>
      </w:pPr>
      <w:r>
        <w:rPr>
          <w:rFonts w:asciiTheme="minorHAnsi" w:hAnsiTheme="minorHAnsi" w:cstheme="minorHAnsi"/>
        </w:rPr>
        <w:t>I</w:t>
      </w:r>
      <w:r w:rsidR="00205DBE" w:rsidRPr="004B2104">
        <w:rPr>
          <w:rFonts w:asciiTheme="minorHAnsi" w:hAnsiTheme="minorHAnsi" w:cstheme="minorHAnsi"/>
        </w:rPr>
        <w:t xml:space="preserve">nternal </w:t>
      </w:r>
      <w:r w:rsidR="00C423F4">
        <w:rPr>
          <w:rFonts w:asciiTheme="minorHAnsi" w:hAnsiTheme="minorHAnsi" w:cstheme="minorHAnsi"/>
        </w:rPr>
        <w:t xml:space="preserve">Fair Work Ombudsman (FWO) </w:t>
      </w:r>
      <w:r w:rsidR="00205DBE" w:rsidRPr="004B2104">
        <w:rPr>
          <w:rFonts w:asciiTheme="minorHAnsi" w:hAnsiTheme="minorHAnsi" w:cstheme="minorHAnsi"/>
        </w:rPr>
        <w:t>complaint data from 2010 to 2012 showing more than half of the complaints received from the cleaning services industry had resulted in monetary contraventions</w:t>
      </w:r>
      <w:r w:rsidR="00C423F4">
        <w:rPr>
          <w:rFonts w:asciiTheme="minorHAnsi" w:hAnsiTheme="minorHAnsi" w:cstheme="minorHAnsi"/>
        </w:rPr>
        <w:t>.</w:t>
      </w:r>
    </w:p>
    <w:p w14:paraId="2E197BFF" w14:textId="3A3925CD" w:rsidR="00205DBE" w:rsidRPr="004B2104" w:rsidRDefault="00064562" w:rsidP="004B2104">
      <w:pPr>
        <w:pStyle w:val="Bullet"/>
        <w:jc w:val="both"/>
        <w:rPr>
          <w:rFonts w:asciiTheme="minorHAnsi" w:hAnsiTheme="minorHAnsi" w:cstheme="minorHAnsi"/>
        </w:rPr>
      </w:pPr>
      <w:r>
        <w:rPr>
          <w:rFonts w:asciiTheme="minorHAnsi" w:hAnsiTheme="minorHAnsi" w:cstheme="minorHAnsi"/>
        </w:rPr>
        <w:t>F</w:t>
      </w:r>
      <w:r w:rsidR="00205DBE" w:rsidRPr="004B2104">
        <w:rPr>
          <w:rFonts w:asciiTheme="minorHAnsi" w:hAnsiTheme="minorHAnsi" w:cstheme="minorHAnsi"/>
        </w:rPr>
        <w:t>indings from a Sham Contracting operation conducted by the F</w:t>
      </w:r>
      <w:r>
        <w:rPr>
          <w:rFonts w:asciiTheme="minorHAnsi" w:hAnsiTheme="minorHAnsi" w:cstheme="minorHAnsi"/>
        </w:rPr>
        <w:t>WO</w:t>
      </w:r>
      <w:r w:rsidR="00205DBE" w:rsidRPr="004B2104">
        <w:rPr>
          <w:rFonts w:asciiTheme="minorHAnsi" w:hAnsiTheme="minorHAnsi" w:cstheme="minorHAnsi"/>
        </w:rPr>
        <w:t xml:space="preserve"> in 2011. The operation focussed on contract for service arrangements in the cleaning industry and disclosed contracting issues in the cleaning industry. </w:t>
      </w:r>
    </w:p>
    <w:p w14:paraId="22B6C027" w14:textId="77777777" w:rsidR="00205DBE" w:rsidRPr="004B2104" w:rsidRDefault="00064562" w:rsidP="004B2104">
      <w:pPr>
        <w:pStyle w:val="Bullet"/>
        <w:jc w:val="both"/>
        <w:rPr>
          <w:rFonts w:asciiTheme="minorHAnsi" w:hAnsiTheme="minorHAnsi" w:cstheme="minorHAnsi"/>
        </w:rPr>
      </w:pPr>
      <w:r>
        <w:rPr>
          <w:rFonts w:asciiTheme="minorHAnsi" w:hAnsiTheme="minorHAnsi" w:cstheme="minorHAnsi"/>
        </w:rPr>
        <w:t>O</w:t>
      </w:r>
      <w:r w:rsidR="00205DBE" w:rsidRPr="004B2104">
        <w:rPr>
          <w:rFonts w:asciiTheme="minorHAnsi" w:hAnsiTheme="minorHAnsi" w:cstheme="minorHAnsi"/>
        </w:rPr>
        <w:t>ngoing media reports regarding exploitation of workers in the</w:t>
      </w:r>
      <w:r>
        <w:rPr>
          <w:rFonts w:asciiTheme="minorHAnsi" w:hAnsiTheme="minorHAnsi" w:cstheme="minorHAnsi"/>
        </w:rPr>
        <w:t xml:space="preserve"> cleaning services</w:t>
      </w:r>
      <w:r w:rsidR="00205DBE" w:rsidRPr="004B2104">
        <w:rPr>
          <w:rFonts w:asciiTheme="minorHAnsi" w:hAnsiTheme="minorHAnsi" w:cstheme="minorHAnsi"/>
        </w:rPr>
        <w:t xml:space="preserve"> industry</w:t>
      </w:r>
      <w:r w:rsidR="00C423F4">
        <w:rPr>
          <w:rFonts w:asciiTheme="minorHAnsi" w:hAnsiTheme="minorHAnsi" w:cstheme="minorHAnsi"/>
        </w:rPr>
        <w:t>.</w:t>
      </w:r>
    </w:p>
    <w:p w14:paraId="57F65BD4" w14:textId="77777777" w:rsidR="004B2104" w:rsidRPr="004B2104" w:rsidRDefault="00205DBE" w:rsidP="004B2104">
      <w:pPr>
        <w:pStyle w:val="Heading1"/>
      </w:pPr>
      <w:bookmarkStart w:id="4" w:name="_Toc408498470"/>
      <w:r>
        <w:t>Industry Profile</w:t>
      </w:r>
      <w:bookmarkEnd w:id="4"/>
      <w:r>
        <w:t xml:space="preserve"> </w:t>
      </w:r>
    </w:p>
    <w:p w14:paraId="212DAEAE" w14:textId="77777777" w:rsidR="00205DBE" w:rsidRPr="004B2104" w:rsidRDefault="00205DBE" w:rsidP="00C2298B">
      <w:pPr>
        <w:rPr>
          <w:rFonts w:asciiTheme="minorHAnsi" w:hAnsiTheme="minorHAnsi" w:cstheme="minorHAnsi"/>
          <w:sz w:val="22"/>
          <w:szCs w:val="22"/>
        </w:rPr>
      </w:pPr>
      <w:r w:rsidRPr="004B2104">
        <w:rPr>
          <w:rFonts w:asciiTheme="minorHAnsi" w:hAnsiTheme="minorHAnsi" w:cstheme="minorHAnsi"/>
          <w:sz w:val="22"/>
          <w:szCs w:val="22"/>
        </w:rPr>
        <w:t>Data from the Australian Business Register (</w:t>
      </w:r>
      <w:proofErr w:type="spellStart"/>
      <w:r w:rsidRPr="004B2104">
        <w:rPr>
          <w:rFonts w:asciiTheme="minorHAnsi" w:hAnsiTheme="minorHAnsi" w:cstheme="minorHAnsi"/>
          <w:sz w:val="22"/>
          <w:szCs w:val="22"/>
        </w:rPr>
        <w:t>ABR</w:t>
      </w:r>
      <w:proofErr w:type="spellEnd"/>
      <w:r w:rsidRPr="004B2104">
        <w:rPr>
          <w:rFonts w:asciiTheme="minorHAnsi" w:hAnsiTheme="minorHAnsi" w:cstheme="minorHAnsi"/>
          <w:sz w:val="22"/>
          <w:szCs w:val="22"/>
        </w:rPr>
        <w:t xml:space="preserve">) suggests there were 24,765 businesses operating in the cleaning </w:t>
      </w:r>
      <w:r w:rsidR="00064562">
        <w:rPr>
          <w:rFonts w:asciiTheme="minorHAnsi" w:hAnsiTheme="minorHAnsi" w:cstheme="minorHAnsi"/>
          <w:sz w:val="22"/>
          <w:szCs w:val="22"/>
        </w:rPr>
        <w:t xml:space="preserve">services </w:t>
      </w:r>
      <w:r w:rsidRPr="004B2104">
        <w:rPr>
          <w:rFonts w:asciiTheme="minorHAnsi" w:hAnsiTheme="minorHAnsi" w:cstheme="minorHAnsi"/>
          <w:sz w:val="22"/>
          <w:szCs w:val="22"/>
        </w:rPr>
        <w:t xml:space="preserve">industry as at January 2013. </w:t>
      </w:r>
    </w:p>
    <w:p w14:paraId="70931ACE" w14:textId="77777777" w:rsidR="00205DBE" w:rsidRPr="004B2104" w:rsidRDefault="00205DBE" w:rsidP="00C2298B">
      <w:pPr>
        <w:rPr>
          <w:rFonts w:asciiTheme="minorHAnsi" w:hAnsiTheme="minorHAnsi" w:cstheme="minorHAnsi"/>
          <w:sz w:val="22"/>
          <w:szCs w:val="22"/>
        </w:rPr>
      </w:pPr>
      <w:r w:rsidRPr="004B2104">
        <w:rPr>
          <w:rFonts w:asciiTheme="minorHAnsi" w:hAnsiTheme="minorHAnsi" w:cstheme="minorHAnsi"/>
          <w:sz w:val="22"/>
          <w:szCs w:val="22"/>
        </w:rPr>
        <w:t>Census data shows that of the 99,164 workers in the industry:</w:t>
      </w:r>
    </w:p>
    <w:p w14:paraId="5678499F"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55% were female</w:t>
      </w:r>
    </w:p>
    <w:p w14:paraId="5FAD2B1B"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64% were over 40 years of age</w:t>
      </w:r>
    </w:p>
    <w:p w14:paraId="115B9C8E"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47% were born in countries other than Australia</w:t>
      </w:r>
    </w:p>
    <w:p w14:paraId="2554D55E" w14:textId="244158EA" w:rsidR="00503E04" w:rsidRPr="00503E04" w:rsidRDefault="00205DBE" w:rsidP="00503E04">
      <w:pPr>
        <w:pStyle w:val="Bullet"/>
        <w:jc w:val="both"/>
        <w:rPr>
          <w:rFonts w:asciiTheme="minorHAnsi" w:hAnsiTheme="minorHAnsi" w:cstheme="minorHAnsi"/>
        </w:rPr>
      </w:pPr>
      <w:r w:rsidRPr="0096008C">
        <w:rPr>
          <w:rFonts w:asciiTheme="minorHAnsi" w:hAnsiTheme="minorHAnsi" w:cstheme="minorHAnsi"/>
        </w:rPr>
        <w:t>10% are students</w:t>
      </w:r>
    </w:p>
    <w:p w14:paraId="2760EFAB" w14:textId="79FCD3C8" w:rsidR="00503E04" w:rsidRPr="0096008C" w:rsidRDefault="00205DBE" w:rsidP="00C2298B">
      <w:pPr>
        <w:pStyle w:val="Bullet"/>
        <w:numPr>
          <w:ilvl w:val="0"/>
          <w:numId w:val="0"/>
        </w:numPr>
        <w:jc w:val="both"/>
        <w:rPr>
          <w:rFonts w:asciiTheme="minorHAnsi" w:hAnsiTheme="minorHAnsi" w:cstheme="minorHAnsi"/>
        </w:rPr>
      </w:pPr>
      <w:r w:rsidRPr="0096008C">
        <w:rPr>
          <w:rFonts w:asciiTheme="minorHAnsi" w:hAnsiTheme="minorHAnsi" w:cstheme="minorHAnsi"/>
        </w:rPr>
        <w:t>Further, the cleaning</w:t>
      </w:r>
      <w:r w:rsidR="00064562">
        <w:rPr>
          <w:rFonts w:asciiTheme="minorHAnsi" w:hAnsiTheme="minorHAnsi" w:cstheme="minorHAnsi"/>
        </w:rPr>
        <w:t xml:space="preserve"> services</w:t>
      </w:r>
      <w:r w:rsidRPr="0096008C">
        <w:rPr>
          <w:rFonts w:asciiTheme="minorHAnsi" w:hAnsiTheme="minorHAnsi" w:cstheme="minorHAnsi"/>
        </w:rPr>
        <w:t xml:space="preserve"> industry is characterised by layers of subcontracting, tight margins and </w:t>
      </w:r>
      <w:r w:rsidR="00064562">
        <w:rPr>
          <w:rFonts w:asciiTheme="minorHAnsi" w:hAnsiTheme="minorHAnsi" w:cstheme="minorHAnsi"/>
        </w:rPr>
        <w:t xml:space="preserve">a </w:t>
      </w:r>
      <w:r w:rsidRPr="0096008C">
        <w:rPr>
          <w:rFonts w:asciiTheme="minorHAnsi" w:hAnsiTheme="minorHAnsi" w:cstheme="minorHAnsi"/>
        </w:rPr>
        <w:t xml:space="preserve">competitive tendering processes. </w:t>
      </w:r>
    </w:p>
    <w:p w14:paraId="2E338223" w14:textId="4C781C98" w:rsidR="00205DBE" w:rsidRPr="004B2104" w:rsidRDefault="00205DBE" w:rsidP="00C2298B">
      <w:pPr>
        <w:pStyle w:val="Bullet"/>
        <w:numPr>
          <w:ilvl w:val="0"/>
          <w:numId w:val="0"/>
        </w:numPr>
        <w:jc w:val="both"/>
        <w:rPr>
          <w:rFonts w:asciiTheme="minorHAnsi" w:hAnsiTheme="minorHAnsi" w:cstheme="minorHAnsi"/>
        </w:rPr>
      </w:pPr>
      <w:r w:rsidRPr="0096008C">
        <w:rPr>
          <w:rFonts w:asciiTheme="minorHAnsi" w:hAnsiTheme="minorHAnsi" w:cstheme="minorHAnsi"/>
        </w:rPr>
        <w:t xml:space="preserve">In some circumstances intense competition between businesses to secure contracts can result in </w:t>
      </w:r>
      <w:r w:rsidR="00064562">
        <w:rPr>
          <w:rFonts w:asciiTheme="minorHAnsi" w:hAnsiTheme="minorHAnsi" w:cstheme="minorHAnsi"/>
        </w:rPr>
        <w:t xml:space="preserve">the </w:t>
      </w:r>
      <w:r w:rsidRPr="0096008C">
        <w:rPr>
          <w:rFonts w:asciiTheme="minorHAnsi" w:hAnsiTheme="minorHAnsi" w:cstheme="minorHAnsi"/>
        </w:rPr>
        <w:t xml:space="preserve">undercutting </w:t>
      </w:r>
      <w:r w:rsidR="00064562">
        <w:rPr>
          <w:rFonts w:asciiTheme="minorHAnsi" w:hAnsiTheme="minorHAnsi" w:cstheme="minorHAnsi"/>
        </w:rPr>
        <w:t xml:space="preserve">of </w:t>
      </w:r>
      <w:r w:rsidRPr="0096008C">
        <w:rPr>
          <w:rFonts w:asciiTheme="minorHAnsi" w:hAnsiTheme="minorHAnsi" w:cstheme="minorHAnsi"/>
        </w:rPr>
        <w:t xml:space="preserve">minimum wages to present the lowest cost tender. It is the FWO’s </w:t>
      </w:r>
      <w:proofErr w:type="gramStart"/>
      <w:r w:rsidRPr="0096008C">
        <w:rPr>
          <w:rFonts w:asciiTheme="minorHAnsi" w:hAnsiTheme="minorHAnsi" w:cstheme="minorHAnsi"/>
        </w:rPr>
        <w:t xml:space="preserve">view that the tenderer bears </w:t>
      </w:r>
      <w:r w:rsidR="00064562">
        <w:rPr>
          <w:rFonts w:asciiTheme="minorHAnsi" w:hAnsiTheme="minorHAnsi" w:cstheme="minorHAnsi"/>
        </w:rPr>
        <w:t xml:space="preserve">the </w:t>
      </w:r>
      <w:r w:rsidRPr="0096008C">
        <w:rPr>
          <w:rFonts w:asciiTheme="minorHAnsi" w:hAnsiTheme="minorHAnsi" w:cstheme="minorHAnsi"/>
        </w:rPr>
        <w:t>responsibility to ensure their procurement arrangements do</w:t>
      </w:r>
      <w:proofErr w:type="gramEnd"/>
      <w:r w:rsidRPr="0096008C">
        <w:rPr>
          <w:rFonts w:asciiTheme="minorHAnsi" w:hAnsiTheme="minorHAnsi" w:cstheme="minorHAnsi"/>
        </w:rPr>
        <w:t xml:space="preserve"> not create circumstances where compliance with workplace laws is unachievable. </w:t>
      </w:r>
    </w:p>
    <w:p w14:paraId="09144A2A" w14:textId="77777777" w:rsidR="00205DBE" w:rsidRDefault="00205DBE" w:rsidP="00205DBE">
      <w:pPr>
        <w:pStyle w:val="Heading1"/>
      </w:pPr>
      <w:bookmarkStart w:id="5" w:name="_Toc408498471"/>
      <w:r w:rsidRPr="00205DBE">
        <w:lastRenderedPageBreak/>
        <w:t>Industry stakeholders</w:t>
      </w:r>
      <w:bookmarkEnd w:id="5"/>
    </w:p>
    <w:p w14:paraId="6A6DF1BD"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 xml:space="preserve">Briefings were held with stakeholders between December 2012 and February 2013 to share information and explore opportunities to work collaboratively on the campaign. These stakeholders were: </w:t>
      </w:r>
    </w:p>
    <w:p w14:paraId="16DFE09D"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Facility Management Association of Australia</w:t>
      </w:r>
    </w:p>
    <w:p w14:paraId="25B8B1AA"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Building Services and Cleaning Association of Australia</w:t>
      </w:r>
    </w:p>
    <w:p w14:paraId="39849D4D"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United Voice</w:t>
      </w:r>
    </w:p>
    <w:p w14:paraId="2F9364F2" w14:textId="77777777" w:rsidR="00205DBE" w:rsidRPr="004B2104" w:rsidRDefault="00205DBE" w:rsidP="00205DBE">
      <w:pPr>
        <w:pStyle w:val="Bullet"/>
        <w:spacing w:after="120"/>
        <w:ind w:left="357" w:hanging="357"/>
        <w:jc w:val="both"/>
        <w:rPr>
          <w:rFonts w:asciiTheme="minorHAnsi" w:hAnsiTheme="minorHAnsi" w:cstheme="minorHAnsi"/>
        </w:rPr>
      </w:pPr>
      <w:r w:rsidRPr="0096008C">
        <w:rPr>
          <w:rFonts w:asciiTheme="minorHAnsi" w:hAnsiTheme="minorHAnsi" w:cstheme="minorHAnsi"/>
        </w:rPr>
        <w:t xml:space="preserve">Australian Cleaning Contractors Association of Australia </w:t>
      </w:r>
    </w:p>
    <w:p w14:paraId="449466D0" w14:textId="77777777" w:rsidR="00205DBE" w:rsidRDefault="00205DBE" w:rsidP="00205DBE">
      <w:pPr>
        <w:pStyle w:val="Heading1"/>
      </w:pPr>
      <w:bookmarkStart w:id="6" w:name="_Toc408498472"/>
      <w:r w:rsidRPr="00205DBE">
        <w:t>Campaign Delivery</w:t>
      </w:r>
      <w:bookmarkEnd w:id="6"/>
    </w:p>
    <w:p w14:paraId="0C391DAC"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There were three components to the campaign:</w:t>
      </w:r>
    </w:p>
    <w:p w14:paraId="0633F660" w14:textId="77777777" w:rsidR="00205DBE" w:rsidRPr="00064562" w:rsidRDefault="00205DBE" w:rsidP="00064562">
      <w:pPr>
        <w:pStyle w:val="Bullet"/>
        <w:jc w:val="both"/>
        <w:rPr>
          <w:rFonts w:asciiTheme="minorHAnsi" w:hAnsiTheme="minorHAnsi" w:cstheme="minorHAnsi"/>
        </w:rPr>
      </w:pPr>
      <w:r w:rsidRPr="00064562">
        <w:rPr>
          <w:rFonts w:asciiTheme="minorHAnsi" w:hAnsiTheme="minorHAnsi" w:cstheme="minorHAnsi"/>
        </w:rPr>
        <w:t>Communication and Public Awareness</w:t>
      </w:r>
    </w:p>
    <w:p w14:paraId="127F7EC5" w14:textId="77777777" w:rsidR="00205DBE" w:rsidRPr="00064562" w:rsidRDefault="00205DBE" w:rsidP="00064562">
      <w:pPr>
        <w:pStyle w:val="Bullet"/>
        <w:jc w:val="both"/>
        <w:rPr>
          <w:rFonts w:asciiTheme="minorHAnsi" w:hAnsiTheme="minorHAnsi" w:cstheme="minorHAnsi"/>
        </w:rPr>
      </w:pPr>
      <w:r w:rsidRPr="00064562">
        <w:rPr>
          <w:rFonts w:asciiTheme="minorHAnsi" w:hAnsiTheme="minorHAnsi" w:cstheme="minorHAnsi"/>
        </w:rPr>
        <w:t>Procurement Compliance Assessment</w:t>
      </w:r>
      <w:r w:rsidR="00064562">
        <w:rPr>
          <w:rFonts w:asciiTheme="minorHAnsi" w:hAnsiTheme="minorHAnsi" w:cstheme="minorHAnsi"/>
        </w:rPr>
        <w:t>, and;</w:t>
      </w:r>
    </w:p>
    <w:p w14:paraId="402F0064" w14:textId="77777777" w:rsidR="00205DBE" w:rsidRPr="00064562" w:rsidRDefault="00205DBE" w:rsidP="00064562">
      <w:pPr>
        <w:pStyle w:val="Bullet"/>
        <w:jc w:val="both"/>
        <w:rPr>
          <w:rFonts w:asciiTheme="minorHAnsi" w:hAnsiTheme="minorHAnsi" w:cstheme="minorHAnsi"/>
        </w:rPr>
      </w:pPr>
      <w:r w:rsidRPr="00064562">
        <w:rPr>
          <w:rFonts w:asciiTheme="minorHAnsi" w:hAnsiTheme="minorHAnsi" w:cstheme="minorHAnsi"/>
        </w:rPr>
        <w:t xml:space="preserve">Wage Audit </w:t>
      </w:r>
    </w:p>
    <w:p w14:paraId="662ED857" w14:textId="77777777" w:rsidR="00205DBE" w:rsidRDefault="00205DBE" w:rsidP="00205DBE">
      <w:pPr>
        <w:pStyle w:val="Heading2"/>
        <w:jc w:val="left"/>
      </w:pPr>
      <w:bookmarkStart w:id="7" w:name="_Toc408498473"/>
      <w:r w:rsidRPr="00205DBE">
        <w:t>Communication and Public Awareness</w:t>
      </w:r>
      <w:bookmarkEnd w:id="7"/>
    </w:p>
    <w:p w14:paraId="2E2E5D8B" w14:textId="77777777" w:rsidR="00205DBE" w:rsidRPr="00064562" w:rsidRDefault="00205DBE" w:rsidP="00C2298B">
      <w:pPr>
        <w:rPr>
          <w:rFonts w:asciiTheme="minorHAnsi" w:hAnsiTheme="minorHAnsi" w:cstheme="minorHAnsi"/>
          <w:sz w:val="22"/>
          <w:szCs w:val="22"/>
        </w:rPr>
      </w:pPr>
      <w:r w:rsidRPr="00064562">
        <w:rPr>
          <w:rFonts w:asciiTheme="minorHAnsi" w:hAnsiTheme="minorHAnsi" w:cstheme="minorHAnsi"/>
          <w:sz w:val="22"/>
          <w:szCs w:val="22"/>
        </w:rPr>
        <w:t>In April 2013, 28,215 businesses were notified of the upcoming campaign. The businesses were directed to our self-help</w:t>
      </w:r>
      <w:r w:rsidR="00064562">
        <w:rPr>
          <w:rFonts w:asciiTheme="minorHAnsi" w:hAnsiTheme="minorHAnsi" w:cstheme="minorHAnsi"/>
          <w:sz w:val="22"/>
          <w:szCs w:val="22"/>
        </w:rPr>
        <w:t xml:space="preserve"> resources on our dedicated Cleaning I</w:t>
      </w:r>
      <w:r w:rsidRPr="00064562">
        <w:rPr>
          <w:rFonts w:asciiTheme="minorHAnsi" w:hAnsiTheme="minorHAnsi" w:cstheme="minorHAnsi"/>
          <w:sz w:val="22"/>
          <w:szCs w:val="22"/>
        </w:rPr>
        <w:t xml:space="preserve">ndustry page </w:t>
      </w:r>
      <w:hyperlink r:id="rId18" w:history="1">
        <w:r w:rsidRPr="00064562">
          <w:rPr>
            <w:rStyle w:val="Hyperlink"/>
            <w:rFonts w:asciiTheme="minorHAnsi" w:eastAsiaTheme="majorEastAsia" w:hAnsiTheme="minorHAnsi" w:cstheme="minorHAnsi"/>
            <w:sz w:val="22"/>
            <w:szCs w:val="22"/>
          </w:rPr>
          <w:t>fairwork.gov.au/cleaning</w:t>
        </w:r>
      </w:hyperlink>
      <w:r w:rsidRPr="00064562">
        <w:rPr>
          <w:rFonts w:asciiTheme="minorHAnsi" w:hAnsiTheme="minorHAnsi" w:cstheme="minorHAnsi"/>
          <w:sz w:val="22"/>
          <w:szCs w:val="22"/>
        </w:rPr>
        <w:t xml:space="preserve"> and invited to attend a webinar held on 14 May 2013. </w:t>
      </w:r>
    </w:p>
    <w:p w14:paraId="43C77277" w14:textId="77777777" w:rsidR="00205DBE" w:rsidRPr="00064562" w:rsidRDefault="00205DBE" w:rsidP="00C2298B">
      <w:pPr>
        <w:rPr>
          <w:rFonts w:asciiTheme="minorHAnsi" w:hAnsiTheme="minorHAnsi" w:cstheme="minorHAnsi"/>
          <w:sz w:val="22"/>
          <w:szCs w:val="22"/>
        </w:rPr>
      </w:pPr>
      <w:r w:rsidRPr="00064562">
        <w:rPr>
          <w:rFonts w:asciiTheme="minorHAnsi" w:hAnsiTheme="minorHAnsi" w:cstheme="minorHAnsi"/>
          <w:sz w:val="22"/>
          <w:szCs w:val="22"/>
        </w:rPr>
        <w:t>The campaign was also promoted through</w:t>
      </w:r>
      <w:r w:rsidR="00064562">
        <w:rPr>
          <w:rStyle w:val="Hyperlink"/>
          <w:rFonts w:asciiTheme="minorHAnsi" w:eastAsiaTheme="majorEastAsia" w:hAnsiTheme="minorHAnsi" w:cstheme="minorHAnsi"/>
          <w:sz w:val="22"/>
          <w:szCs w:val="22"/>
          <w:u w:val="none"/>
        </w:rPr>
        <w:t xml:space="preserve"> </w:t>
      </w:r>
      <w:r w:rsidRPr="00064562">
        <w:rPr>
          <w:rFonts w:asciiTheme="minorHAnsi" w:hAnsiTheme="minorHAnsi" w:cstheme="minorHAnsi"/>
          <w:sz w:val="22"/>
          <w:szCs w:val="22"/>
        </w:rPr>
        <w:t>digital advertising on Google and Facebook with the following results:</w:t>
      </w:r>
    </w:p>
    <w:p w14:paraId="557F1852"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 xml:space="preserve">3,025 views of the dedicated webpage between 1 April 2013 – 29 July 2013 </w:t>
      </w:r>
    </w:p>
    <w:p w14:paraId="07D4DA82"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170 views of the webinar as at 29 July 2013</w:t>
      </w:r>
    </w:p>
    <w:p w14:paraId="0BCF631B"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209,315 views by Google users searching “cleaning”  (with 980 hits on the dedicated webpage from this advertising medium), and</w:t>
      </w:r>
    </w:p>
    <w:p w14:paraId="2E19A6ED" w14:textId="77777777" w:rsidR="00064562" w:rsidRPr="00064562" w:rsidRDefault="00205DBE" w:rsidP="00C2298B">
      <w:pPr>
        <w:pStyle w:val="Bullet"/>
        <w:jc w:val="both"/>
        <w:rPr>
          <w:rFonts w:asciiTheme="minorHAnsi" w:hAnsiTheme="minorHAnsi" w:cstheme="minorHAnsi"/>
        </w:rPr>
      </w:pPr>
      <w:r w:rsidRPr="0096008C">
        <w:rPr>
          <w:rFonts w:asciiTheme="minorHAnsi" w:hAnsiTheme="minorHAnsi" w:cstheme="minorHAnsi"/>
        </w:rPr>
        <w:t>Facebook advertising reaching 152,994 users</w:t>
      </w:r>
    </w:p>
    <w:p w14:paraId="29259AB4" w14:textId="77777777" w:rsidR="00064562" w:rsidRDefault="00064562" w:rsidP="00C2298B">
      <w:pPr>
        <w:spacing w:after="0"/>
        <w:rPr>
          <w:rFonts w:asciiTheme="minorHAnsi" w:hAnsiTheme="minorHAnsi" w:cstheme="minorHAnsi"/>
          <w:sz w:val="22"/>
          <w:szCs w:val="22"/>
        </w:rPr>
      </w:pPr>
    </w:p>
    <w:p w14:paraId="22ACC59B" w14:textId="77777777" w:rsidR="00205DBE" w:rsidRPr="00064562" w:rsidRDefault="00205DBE" w:rsidP="00C2298B">
      <w:pPr>
        <w:rPr>
          <w:rFonts w:asciiTheme="minorHAnsi" w:hAnsiTheme="minorHAnsi" w:cstheme="minorHAnsi"/>
          <w:sz w:val="22"/>
          <w:szCs w:val="22"/>
        </w:rPr>
      </w:pPr>
      <w:r w:rsidRPr="00064562">
        <w:rPr>
          <w:rFonts w:asciiTheme="minorHAnsi" w:hAnsiTheme="minorHAnsi" w:cstheme="minorHAnsi"/>
          <w:sz w:val="22"/>
          <w:szCs w:val="22"/>
        </w:rPr>
        <w:t>The campaign also received extensive coverage through traditional media channels including an article in the industry publication “</w:t>
      </w:r>
      <w:proofErr w:type="spellStart"/>
      <w:r w:rsidRPr="00064562">
        <w:rPr>
          <w:rFonts w:asciiTheme="minorHAnsi" w:hAnsiTheme="minorHAnsi" w:cstheme="minorHAnsi"/>
          <w:sz w:val="22"/>
          <w:szCs w:val="22"/>
        </w:rPr>
        <w:t>inClean</w:t>
      </w:r>
      <w:proofErr w:type="spellEnd"/>
      <w:r w:rsidRPr="00064562">
        <w:rPr>
          <w:rFonts w:asciiTheme="minorHAnsi" w:hAnsiTheme="minorHAnsi" w:cstheme="minorHAnsi"/>
          <w:sz w:val="22"/>
          <w:szCs w:val="22"/>
        </w:rPr>
        <w:t xml:space="preserve">”. </w:t>
      </w:r>
    </w:p>
    <w:p w14:paraId="59259975" w14:textId="77777777" w:rsidR="00064562" w:rsidRDefault="00064562">
      <w:pPr>
        <w:spacing w:after="0"/>
        <w:jc w:val="left"/>
        <w:rPr>
          <w:rFonts w:asciiTheme="minorHAnsi" w:hAnsiTheme="minorHAnsi" w:cstheme="minorHAnsi"/>
          <w:sz w:val="22"/>
          <w:szCs w:val="22"/>
        </w:rPr>
      </w:pPr>
      <w:r>
        <w:rPr>
          <w:rFonts w:asciiTheme="minorHAnsi" w:hAnsiTheme="minorHAnsi" w:cstheme="minorHAnsi"/>
          <w:sz w:val="22"/>
          <w:szCs w:val="22"/>
        </w:rPr>
        <w:br w:type="page"/>
      </w:r>
    </w:p>
    <w:p w14:paraId="127D08A8"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lastRenderedPageBreak/>
        <w:t>FWO media releases were picked up by:</w:t>
      </w:r>
    </w:p>
    <w:p w14:paraId="61C1BEC4"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14 regional newspapers, including the Geelong Independent, Tasmania’s Burnie Advocate and Queensland’s Toowoomba Chronicle</w:t>
      </w:r>
    </w:p>
    <w:p w14:paraId="60C045B6"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Over 100 radio stations (mentioned more than 185 times) including ABC News Radio</w:t>
      </w:r>
    </w:p>
    <w:p w14:paraId="4B3F2F28"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Southern Cross TV in Canberra, Shepparton and SA which covered the campaign launch including an interview with the Media Director</w:t>
      </w:r>
    </w:p>
    <w:p w14:paraId="5200FBC7"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Approximately 50 websites, including selected APN websites, covered the campaign’s launch</w:t>
      </w:r>
    </w:p>
    <w:p w14:paraId="0AC7F0DD" w14:textId="77777777" w:rsidR="00205DBE" w:rsidRPr="00205DBE" w:rsidRDefault="00205DBE" w:rsidP="00205DBE"/>
    <w:p w14:paraId="33701385" w14:textId="77777777" w:rsidR="00205DBE" w:rsidRDefault="00205DBE" w:rsidP="00205DBE">
      <w:pPr>
        <w:pStyle w:val="Heading2"/>
        <w:jc w:val="left"/>
      </w:pPr>
      <w:bookmarkStart w:id="8" w:name="_Toc408498474"/>
      <w:r w:rsidRPr="00205DBE">
        <w:t>Procurement compliance assessment</w:t>
      </w:r>
      <w:bookmarkEnd w:id="8"/>
    </w:p>
    <w:p w14:paraId="6DA9A8DC"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The 2010 campaign disclosed a common practice of paying workers a ‘market rate’ or ‘competitor rate’ of pay.  This often occurred due to the intense competitive nature of businesses</w:t>
      </w:r>
      <w:r w:rsidR="00064562">
        <w:rPr>
          <w:rFonts w:asciiTheme="minorHAnsi" w:hAnsiTheme="minorHAnsi" w:cstheme="minorHAnsi"/>
          <w:sz w:val="22"/>
          <w:szCs w:val="22"/>
        </w:rPr>
        <w:t xml:space="preserve"> trying</w:t>
      </w:r>
      <w:r w:rsidRPr="00064562">
        <w:rPr>
          <w:rFonts w:asciiTheme="minorHAnsi" w:hAnsiTheme="minorHAnsi" w:cstheme="minorHAnsi"/>
          <w:sz w:val="22"/>
          <w:szCs w:val="22"/>
        </w:rPr>
        <w:t xml:space="preserve"> to secure cleaning contracts, resulting in contracts being so low that minimum wages were unable to be paid to workers.</w:t>
      </w:r>
    </w:p>
    <w:p w14:paraId="20BFEE12"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Th</w:t>
      </w:r>
      <w:r w:rsidR="00C423F4">
        <w:rPr>
          <w:rFonts w:asciiTheme="minorHAnsi" w:hAnsiTheme="minorHAnsi" w:cstheme="minorHAnsi"/>
          <w:sz w:val="22"/>
          <w:szCs w:val="22"/>
        </w:rPr>
        <w:t>e current</w:t>
      </w:r>
      <w:r w:rsidRPr="00064562">
        <w:rPr>
          <w:rFonts w:asciiTheme="minorHAnsi" w:hAnsiTheme="minorHAnsi" w:cstheme="minorHAnsi"/>
          <w:sz w:val="22"/>
          <w:szCs w:val="22"/>
        </w:rPr>
        <w:t xml:space="preserve"> campaign examined the flow-on consequences of</w:t>
      </w:r>
      <w:r w:rsidR="00064562">
        <w:rPr>
          <w:rFonts w:asciiTheme="minorHAnsi" w:hAnsiTheme="minorHAnsi" w:cstheme="minorHAnsi"/>
          <w:sz w:val="22"/>
          <w:szCs w:val="22"/>
        </w:rPr>
        <w:t xml:space="preserve"> the</w:t>
      </w:r>
      <w:r w:rsidRPr="00064562">
        <w:rPr>
          <w:rFonts w:asciiTheme="minorHAnsi" w:hAnsiTheme="minorHAnsi" w:cstheme="minorHAnsi"/>
          <w:sz w:val="22"/>
          <w:szCs w:val="22"/>
        </w:rPr>
        <w:t xml:space="preserve"> competitive tendering and procurement processes for cleaners across eight major metropolitan shopping centres. The shopping centres were located in New South Wales, South Australia, Queensland and Victoria and each was owned by one of five different companies.</w:t>
      </w:r>
    </w:p>
    <w:p w14:paraId="7E1CDC76" w14:textId="72E814EF"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 xml:space="preserve">A review </w:t>
      </w:r>
      <w:r w:rsidR="00503E04">
        <w:rPr>
          <w:rFonts w:asciiTheme="minorHAnsi" w:hAnsiTheme="minorHAnsi" w:cstheme="minorHAnsi"/>
          <w:sz w:val="22"/>
          <w:szCs w:val="22"/>
        </w:rPr>
        <w:t xml:space="preserve">of </w:t>
      </w:r>
      <w:r w:rsidR="004C0B58">
        <w:rPr>
          <w:rFonts w:asciiTheme="minorHAnsi" w:hAnsiTheme="minorHAnsi" w:cstheme="minorHAnsi"/>
          <w:sz w:val="22"/>
          <w:szCs w:val="22"/>
        </w:rPr>
        <w:t>these</w:t>
      </w:r>
      <w:r w:rsidR="004046AC">
        <w:rPr>
          <w:rFonts w:asciiTheme="minorHAnsi" w:hAnsiTheme="minorHAnsi" w:cstheme="minorHAnsi"/>
          <w:sz w:val="22"/>
          <w:szCs w:val="22"/>
        </w:rPr>
        <w:t xml:space="preserve"> sub-contracting arrangements</w:t>
      </w:r>
      <w:r w:rsidRPr="00064562">
        <w:rPr>
          <w:rFonts w:asciiTheme="minorHAnsi" w:hAnsiTheme="minorHAnsi" w:cstheme="minorHAnsi"/>
          <w:sz w:val="22"/>
          <w:szCs w:val="22"/>
        </w:rPr>
        <w:t xml:space="preserve"> disclosed the contract price </w:t>
      </w:r>
      <w:r w:rsidR="004046AC">
        <w:rPr>
          <w:rFonts w:asciiTheme="minorHAnsi" w:hAnsiTheme="minorHAnsi" w:cstheme="minorHAnsi"/>
          <w:sz w:val="22"/>
          <w:szCs w:val="22"/>
        </w:rPr>
        <w:t>was sufficient to allow</w:t>
      </w:r>
      <w:r w:rsidRPr="00064562">
        <w:rPr>
          <w:rFonts w:asciiTheme="minorHAnsi" w:hAnsiTheme="minorHAnsi" w:cstheme="minorHAnsi"/>
          <w:sz w:val="22"/>
          <w:szCs w:val="22"/>
        </w:rPr>
        <w:t xml:space="preserve"> contractors to meet minimum wage obligations for their employees. </w:t>
      </w:r>
    </w:p>
    <w:p w14:paraId="3442965A"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The su</w:t>
      </w:r>
      <w:r w:rsidR="004046AC">
        <w:rPr>
          <w:rFonts w:asciiTheme="minorHAnsi" w:hAnsiTheme="minorHAnsi" w:cstheme="minorHAnsi"/>
          <w:sz w:val="22"/>
          <w:szCs w:val="22"/>
        </w:rPr>
        <w:t xml:space="preserve">b-contracting arrangements </w:t>
      </w:r>
      <w:r w:rsidRPr="00064562">
        <w:rPr>
          <w:rFonts w:asciiTheme="minorHAnsi" w:hAnsiTheme="minorHAnsi" w:cstheme="minorHAnsi"/>
          <w:sz w:val="22"/>
          <w:szCs w:val="22"/>
        </w:rPr>
        <w:t>contained protections for the shopping centres to ensure contractors were meeting their workplace relations obligations.</w:t>
      </w:r>
    </w:p>
    <w:p w14:paraId="798EBB5B"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Specifically, three of the five companies had conditions in their cleaning contracts relating to compliance with workplace relations laws. These varied from an initial undertaking from the contractor at commencement of the contract to more involved protections, including:</w:t>
      </w:r>
    </w:p>
    <w:p w14:paraId="73B688E4" w14:textId="77777777" w:rsidR="00205DBE" w:rsidRPr="00064562" w:rsidRDefault="00205DBE" w:rsidP="00205DBE">
      <w:pPr>
        <w:pStyle w:val="Bullet"/>
        <w:jc w:val="both"/>
        <w:rPr>
          <w:rFonts w:asciiTheme="minorHAnsi" w:hAnsiTheme="minorHAnsi" w:cstheme="minorHAnsi"/>
        </w:rPr>
      </w:pPr>
      <w:r w:rsidRPr="00064562">
        <w:rPr>
          <w:rFonts w:asciiTheme="minorHAnsi" w:hAnsiTheme="minorHAnsi" w:cstheme="minorHAnsi"/>
        </w:rPr>
        <w:t>Regular monitoring/review of records confirming compliance with workplace laws</w:t>
      </w:r>
      <w:r w:rsidR="00C423F4">
        <w:rPr>
          <w:rFonts w:asciiTheme="minorHAnsi" w:hAnsiTheme="minorHAnsi" w:cstheme="minorHAnsi"/>
        </w:rPr>
        <w:t>;</w:t>
      </w:r>
    </w:p>
    <w:p w14:paraId="3CAE962E" w14:textId="77777777" w:rsidR="00205DBE" w:rsidRPr="00064562" w:rsidRDefault="00205DBE" w:rsidP="00205DBE">
      <w:pPr>
        <w:pStyle w:val="Bullet"/>
        <w:jc w:val="both"/>
        <w:rPr>
          <w:rFonts w:asciiTheme="minorHAnsi" w:hAnsiTheme="minorHAnsi" w:cstheme="minorHAnsi"/>
        </w:rPr>
      </w:pPr>
      <w:r w:rsidRPr="00064562">
        <w:rPr>
          <w:rFonts w:asciiTheme="minorHAnsi" w:hAnsiTheme="minorHAnsi" w:cstheme="minorHAnsi"/>
        </w:rPr>
        <w:t>Service agreement clauses, where if the contractor failed to pay employees, the entitlements would be paid to the employees directly, deducting monies from the contractor; and</w:t>
      </w:r>
    </w:p>
    <w:p w14:paraId="10C42639" w14:textId="77777777" w:rsidR="00205DBE" w:rsidRPr="00064562" w:rsidRDefault="00205DBE" w:rsidP="00205DBE">
      <w:pPr>
        <w:pStyle w:val="Bullet"/>
        <w:spacing w:after="120"/>
        <w:ind w:left="357" w:hanging="357"/>
        <w:jc w:val="both"/>
        <w:rPr>
          <w:rFonts w:asciiTheme="minorHAnsi" w:hAnsiTheme="minorHAnsi" w:cstheme="minorHAnsi"/>
        </w:rPr>
      </w:pPr>
      <w:r w:rsidRPr="00064562">
        <w:rPr>
          <w:rFonts w:asciiTheme="minorHAnsi" w:hAnsiTheme="minorHAnsi" w:cstheme="minorHAnsi"/>
        </w:rPr>
        <w:t>A requirement that written requests be submitted for the use sub-contractors.</w:t>
      </w:r>
    </w:p>
    <w:p w14:paraId="4FFB256F"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 xml:space="preserve">The remaining two companies, whilst not directly undertaking monitoring activities or stipulating clauses in their service agreements, performed a general supervisory role of their cleaning contractors and engagement of their staff. </w:t>
      </w:r>
    </w:p>
    <w:p w14:paraId="70D7ED29" w14:textId="77777777" w:rsid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Investigation revealed that six of the seven principal contractors engaged to provide cleaning services to the eight shopping centres were paying their employees correctly. One of the principle contractors underpaid eight employees more than $14,000. The FWO entered</w:t>
      </w:r>
      <w:r w:rsidR="00064562">
        <w:rPr>
          <w:rFonts w:asciiTheme="minorHAnsi" w:hAnsiTheme="minorHAnsi" w:cstheme="minorHAnsi"/>
          <w:sz w:val="22"/>
          <w:szCs w:val="22"/>
        </w:rPr>
        <w:t xml:space="preserve"> into</w:t>
      </w:r>
      <w:r w:rsidRPr="00064562">
        <w:rPr>
          <w:rFonts w:asciiTheme="minorHAnsi" w:hAnsiTheme="minorHAnsi" w:cstheme="minorHAnsi"/>
          <w:sz w:val="22"/>
          <w:szCs w:val="22"/>
        </w:rPr>
        <w:t xml:space="preserve"> an Enforceable Undertaking with this employer. </w:t>
      </w:r>
    </w:p>
    <w:p w14:paraId="26B235EE" w14:textId="77777777" w:rsidR="00064562" w:rsidRDefault="00064562">
      <w:pPr>
        <w:spacing w:after="0"/>
        <w:jc w:val="left"/>
        <w:rPr>
          <w:rFonts w:asciiTheme="minorHAnsi" w:eastAsiaTheme="minorHAnsi" w:hAnsiTheme="minorHAnsi" w:cstheme="minorHAnsi"/>
          <w:b/>
          <w:sz w:val="22"/>
          <w:szCs w:val="22"/>
        </w:rPr>
      </w:pPr>
      <w:r>
        <w:rPr>
          <w:rFonts w:asciiTheme="minorHAnsi" w:hAnsiTheme="minorHAnsi" w:cstheme="minorHAnsi"/>
          <w:b/>
        </w:rPr>
        <w:br w:type="page"/>
      </w:r>
    </w:p>
    <w:p w14:paraId="1DCBC4DA" w14:textId="77777777" w:rsidR="00205DBE" w:rsidRPr="00064562" w:rsidRDefault="00205DBE" w:rsidP="00064562">
      <w:pPr>
        <w:pStyle w:val="YellowBubbleBox"/>
        <w:jc w:val="both"/>
        <w:rPr>
          <w:rFonts w:asciiTheme="minorHAnsi" w:hAnsiTheme="minorHAnsi" w:cstheme="minorHAnsi"/>
          <w:b/>
        </w:rPr>
      </w:pPr>
      <w:r w:rsidRPr="00064562">
        <w:rPr>
          <w:rFonts w:asciiTheme="minorHAnsi" w:hAnsiTheme="minorHAnsi" w:cstheme="minorHAnsi"/>
          <w:b/>
        </w:rPr>
        <w:lastRenderedPageBreak/>
        <w:t>Principal contractor enters into an enforceable undertaking with FWO</w:t>
      </w:r>
    </w:p>
    <w:p w14:paraId="2D4BAD6C" w14:textId="77777777" w:rsidR="00205DBE" w:rsidRPr="0096008C" w:rsidRDefault="00205DBE" w:rsidP="00064562">
      <w:pPr>
        <w:pStyle w:val="YellowBubbleBox"/>
        <w:jc w:val="both"/>
        <w:rPr>
          <w:rFonts w:asciiTheme="minorHAnsi" w:hAnsiTheme="minorHAnsi" w:cstheme="minorHAnsi"/>
        </w:rPr>
      </w:pPr>
      <w:r w:rsidRPr="0096008C">
        <w:rPr>
          <w:rFonts w:asciiTheme="minorHAnsi" w:hAnsiTheme="minorHAnsi" w:cstheme="minorHAnsi"/>
        </w:rPr>
        <w:t xml:space="preserve">NewKlean Management Services is a principal cleaning contractor for a shopping centre in Adelaide. </w:t>
      </w:r>
      <w:r w:rsidR="00064562" w:rsidRPr="0096008C">
        <w:rPr>
          <w:rFonts w:asciiTheme="minorHAnsi" w:hAnsiTheme="minorHAnsi" w:cstheme="minorHAnsi"/>
        </w:rPr>
        <w:t>During the</w:t>
      </w:r>
      <w:r w:rsidRPr="0096008C">
        <w:rPr>
          <w:rFonts w:asciiTheme="minorHAnsi" w:hAnsiTheme="minorHAnsi" w:cstheme="minorHAnsi"/>
        </w:rPr>
        <w:t xml:space="preserve"> National Cleaning Campaign 2012, Fair Work Inspectors found that the company was not meeting its workplace relations obligations regarding wages, casual loading, overtime, penalty rates and shift allowances. </w:t>
      </w:r>
    </w:p>
    <w:p w14:paraId="4B48D3FD" w14:textId="32508D37" w:rsidR="00205DBE" w:rsidRPr="0096008C" w:rsidRDefault="00205DBE" w:rsidP="00205DBE">
      <w:pPr>
        <w:pStyle w:val="YellowBubbleBox"/>
        <w:jc w:val="both"/>
        <w:rPr>
          <w:rFonts w:asciiTheme="minorHAnsi" w:hAnsiTheme="minorHAnsi" w:cstheme="minorHAnsi"/>
        </w:rPr>
      </w:pPr>
      <w:r w:rsidRPr="0096008C">
        <w:rPr>
          <w:rFonts w:asciiTheme="minorHAnsi" w:hAnsiTheme="minorHAnsi" w:cstheme="minorHAnsi"/>
        </w:rPr>
        <w:t xml:space="preserve">The </w:t>
      </w:r>
      <w:r w:rsidR="00064562">
        <w:rPr>
          <w:rFonts w:asciiTheme="minorHAnsi" w:hAnsiTheme="minorHAnsi" w:cstheme="minorHAnsi"/>
        </w:rPr>
        <w:t>company’s employees (seven part-</w:t>
      </w:r>
      <w:r w:rsidRPr="0096008C">
        <w:rPr>
          <w:rFonts w:asciiTheme="minorHAnsi" w:hAnsiTheme="minorHAnsi" w:cstheme="minorHAnsi"/>
        </w:rPr>
        <w:t>time and one casual) were paid a flat hourly rate of pay ranging from $17.00 to $20.00 for all hours worked, including work performed at weekends. Their primary duties were sweeping and mopping floors, cleaning toilets, rubbish collection and dusting hard surfaces.</w:t>
      </w:r>
    </w:p>
    <w:p w14:paraId="43F95CE3" w14:textId="77777777" w:rsidR="00205DBE" w:rsidRPr="0096008C" w:rsidRDefault="00205DBE" w:rsidP="00205DBE">
      <w:pPr>
        <w:pStyle w:val="YellowBubbleBox"/>
        <w:jc w:val="both"/>
        <w:rPr>
          <w:rFonts w:asciiTheme="minorHAnsi" w:hAnsiTheme="minorHAnsi" w:cstheme="minorHAnsi"/>
        </w:rPr>
      </w:pPr>
      <w:r w:rsidRPr="0096008C">
        <w:rPr>
          <w:rFonts w:asciiTheme="minorHAnsi" w:hAnsiTheme="minorHAnsi" w:cstheme="minorHAnsi"/>
        </w:rPr>
        <w:t>Under the</w:t>
      </w:r>
      <w:r w:rsidR="00064562">
        <w:rPr>
          <w:rFonts w:asciiTheme="minorHAnsi" w:hAnsiTheme="minorHAnsi" w:cstheme="minorHAnsi"/>
        </w:rPr>
        <w:t xml:space="preserve"> Modern A</w:t>
      </w:r>
      <w:r w:rsidRPr="0096008C">
        <w:rPr>
          <w:rFonts w:asciiTheme="minorHAnsi" w:hAnsiTheme="minorHAnsi" w:cstheme="minorHAnsi"/>
        </w:rPr>
        <w:t>ward, employees were entitled to $19.16 to $34.10 per hour, subject to the shift worked. The underpayments which occurred over a nine month period totalled more than $14,000.</w:t>
      </w:r>
    </w:p>
    <w:p w14:paraId="506D5159" w14:textId="77777777" w:rsidR="00205DBE" w:rsidRPr="004B2104" w:rsidRDefault="00205DBE" w:rsidP="004B2104">
      <w:pPr>
        <w:pStyle w:val="YellowBubbleBox"/>
        <w:jc w:val="both"/>
        <w:rPr>
          <w:rFonts w:asciiTheme="minorHAnsi" w:hAnsiTheme="minorHAnsi" w:cstheme="minorHAnsi"/>
        </w:rPr>
      </w:pPr>
      <w:r w:rsidRPr="0096008C">
        <w:rPr>
          <w:rFonts w:asciiTheme="minorHAnsi" w:hAnsiTheme="minorHAnsi" w:cstheme="minorHAnsi"/>
        </w:rPr>
        <w:t>The employer entered into an Enforceable Undertaking with the FWO requiring them to pay all outstanding amounts to employees and to regularly conduct self-audits of their time and wage records, reporting back to FWO with the outcomes.</w:t>
      </w:r>
    </w:p>
    <w:p w14:paraId="0CD697DB" w14:textId="77777777" w:rsidR="00205DBE" w:rsidRDefault="00205DBE" w:rsidP="00205DBE">
      <w:pPr>
        <w:pStyle w:val="Heading2"/>
        <w:jc w:val="left"/>
      </w:pPr>
      <w:bookmarkStart w:id="9" w:name="_Toc408498475"/>
      <w:r w:rsidRPr="00205DBE">
        <w:t>Wage Audit</w:t>
      </w:r>
      <w:bookmarkEnd w:id="9"/>
    </w:p>
    <w:p w14:paraId="1F8C5BD7" w14:textId="77777777" w:rsidR="00205DBE" w:rsidRPr="00064562" w:rsidRDefault="00205DBE" w:rsidP="00C2298B">
      <w:pPr>
        <w:spacing w:after="120"/>
        <w:ind w:left="357" w:hanging="357"/>
        <w:rPr>
          <w:rFonts w:asciiTheme="minorHAnsi" w:hAnsiTheme="minorHAnsi" w:cstheme="minorHAnsi"/>
          <w:sz w:val="22"/>
          <w:szCs w:val="22"/>
        </w:rPr>
      </w:pPr>
      <w:r w:rsidRPr="00064562">
        <w:rPr>
          <w:rFonts w:asciiTheme="minorHAnsi" w:hAnsiTheme="minorHAnsi" w:cstheme="minorHAnsi"/>
          <w:sz w:val="22"/>
          <w:szCs w:val="22"/>
        </w:rPr>
        <w:t>Of the 578 businesses assessed found:</w:t>
      </w:r>
    </w:p>
    <w:p w14:paraId="66AC122E"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356 (62%) employers were compliant with all requirements</w:t>
      </w:r>
    </w:p>
    <w:p w14:paraId="72426F0F"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222 (38%) employers had at least one contravention, of which:</w:t>
      </w:r>
    </w:p>
    <w:p w14:paraId="79AB986B" w14:textId="77777777" w:rsidR="00205DBE" w:rsidRPr="0096008C" w:rsidRDefault="00205DBE" w:rsidP="00C2298B">
      <w:pPr>
        <w:pStyle w:val="Bullet"/>
        <w:numPr>
          <w:ilvl w:val="1"/>
          <w:numId w:val="23"/>
        </w:numPr>
        <w:jc w:val="both"/>
        <w:rPr>
          <w:rFonts w:asciiTheme="minorHAnsi" w:hAnsiTheme="minorHAnsi" w:cstheme="minorHAnsi"/>
        </w:rPr>
      </w:pPr>
      <w:r w:rsidRPr="0096008C">
        <w:rPr>
          <w:rFonts w:asciiTheme="minorHAnsi" w:hAnsiTheme="minorHAnsi" w:cstheme="minorHAnsi"/>
        </w:rPr>
        <w:t>63 (11%) had contraventions relating to pay slips and record keeping  or other non-monetary contraventions</w:t>
      </w:r>
    </w:p>
    <w:p w14:paraId="47033862" w14:textId="77777777" w:rsidR="00205DBE" w:rsidRPr="0096008C" w:rsidRDefault="00205DBE" w:rsidP="00C2298B">
      <w:pPr>
        <w:pStyle w:val="Bullet"/>
        <w:numPr>
          <w:ilvl w:val="1"/>
          <w:numId w:val="23"/>
        </w:numPr>
        <w:jc w:val="both"/>
        <w:rPr>
          <w:rFonts w:asciiTheme="minorHAnsi" w:hAnsiTheme="minorHAnsi" w:cstheme="minorHAnsi"/>
        </w:rPr>
      </w:pPr>
      <w:r w:rsidRPr="0096008C">
        <w:rPr>
          <w:rFonts w:asciiTheme="minorHAnsi" w:hAnsiTheme="minorHAnsi" w:cstheme="minorHAnsi"/>
        </w:rPr>
        <w:t>116 (20%) were paying incorrect rates of pay</w:t>
      </w:r>
    </w:p>
    <w:p w14:paraId="6196D6A6" w14:textId="77777777" w:rsidR="00205DBE" w:rsidRPr="0096008C" w:rsidRDefault="00205DBE" w:rsidP="00C2298B">
      <w:pPr>
        <w:pStyle w:val="Bullet"/>
        <w:numPr>
          <w:ilvl w:val="1"/>
          <w:numId w:val="23"/>
        </w:numPr>
        <w:jc w:val="both"/>
        <w:rPr>
          <w:rFonts w:asciiTheme="minorHAnsi" w:hAnsiTheme="minorHAnsi" w:cstheme="minorHAnsi"/>
        </w:rPr>
      </w:pPr>
      <w:r w:rsidRPr="0096008C">
        <w:rPr>
          <w:rFonts w:asciiTheme="minorHAnsi" w:hAnsiTheme="minorHAnsi" w:cstheme="minorHAnsi"/>
        </w:rPr>
        <w:t>43 (7%) related to both wages and pay slip, record keeping or other non- monetary contraventions</w:t>
      </w:r>
    </w:p>
    <w:p w14:paraId="72B59058" w14:textId="77777777" w:rsidR="00205DBE" w:rsidRPr="0096008C" w:rsidRDefault="00205DBE" w:rsidP="00C2298B">
      <w:pPr>
        <w:pStyle w:val="Bullet"/>
        <w:spacing w:after="120"/>
        <w:ind w:left="357" w:hanging="357"/>
        <w:jc w:val="both"/>
        <w:rPr>
          <w:rFonts w:asciiTheme="minorHAnsi" w:hAnsiTheme="minorHAnsi" w:cstheme="minorHAnsi"/>
        </w:rPr>
      </w:pPr>
      <w:r w:rsidRPr="0096008C">
        <w:rPr>
          <w:rFonts w:asciiTheme="minorHAnsi" w:hAnsiTheme="minorHAnsi" w:cstheme="minorHAnsi"/>
        </w:rPr>
        <w:t>$762,766 was recovered for 1,212 employees from 141 employers.</w:t>
      </w:r>
    </w:p>
    <w:p w14:paraId="3A6F6B57" w14:textId="77777777" w:rsidR="00205DBE" w:rsidRPr="00064562" w:rsidRDefault="00205DBE" w:rsidP="00C2298B">
      <w:pPr>
        <w:rPr>
          <w:rFonts w:asciiTheme="minorHAnsi" w:hAnsiTheme="minorHAnsi" w:cstheme="minorHAnsi"/>
          <w:sz w:val="22"/>
          <w:szCs w:val="22"/>
        </w:rPr>
      </w:pPr>
      <w:r w:rsidRPr="00064562">
        <w:rPr>
          <w:rFonts w:asciiTheme="minorHAnsi" w:hAnsiTheme="minorHAnsi" w:cstheme="minorHAnsi"/>
          <w:sz w:val="22"/>
          <w:szCs w:val="22"/>
        </w:rPr>
        <w:t>In summary, of the 578 businesses audited:</w:t>
      </w:r>
    </w:p>
    <w:p w14:paraId="5F75CDAF"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 xml:space="preserve">356 (62%) employers were found to be compliant with all requirements </w:t>
      </w:r>
    </w:p>
    <w:p w14:paraId="45608DB0"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 xml:space="preserve">419 (73%) were paying their employees correctly  </w:t>
      </w:r>
    </w:p>
    <w:p w14:paraId="24286DFC" w14:textId="77777777" w:rsidR="00205DBE" w:rsidRPr="0096008C" w:rsidRDefault="00205DBE" w:rsidP="00C2298B">
      <w:pPr>
        <w:pStyle w:val="Bullet"/>
        <w:spacing w:after="120"/>
        <w:ind w:left="357" w:hanging="357"/>
        <w:jc w:val="both"/>
        <w:rPr>
          <w:rFonts w:asciiTheme="minorHAnsi" w:hAnsiTheme="minorHAnsi" w:cstheme="minorHAnsi"/>
        </w:rPr>
      </w:pPr>
      <w:r w:rsidRPr="0096008C">
        <w:rPr>
          <w:rFonts w:asciiTheme="minorHAnsi" w:hAnsiTheme="minorHAnsi" w:cstheme="minorHAnsi"/>
        </w:rPr>
        <w:t>472 (82%) were compliant with record-keeping, pay slip and other non-monetary requirements.</w:t>
      </w:r>
    </w:p>
    <w:p w14:paraId="3E10163E" w14:textId="77777777" w:rsidR="00205DBE" w:rsidRPr="0096008C" w:rsidRDefault="00205DBE" w:rsidP="00C2298B">
      <w:pPr>
        <w:pStyle w:val="Bullet"/>
        <w:spacing w:after="120"/>
        <w:ind w:left="357" w:hanging="357"/>
        <w:jc w:val="both"/>
        <w:rPr>
          <w:rFonts w:asciiTheme="minorHAnsi" w:hAnsiTheme="minorHAnsi" w:cstheme="minorHAnsi"/>
        </w:rPr>
      </w:pPr>
      <w:r w:rsidRPr="0096008C">
        <w:rPr>
          <w:rFonts w:asciiTheme="minorHAnsi" w:eastAsia="Calibri" w:hAnsiTheme="minorHAnsi" w:cstheme="minorHAnsi"/>
        </w:rPr>
        <w:t>The 222 businesses found to have contraventions had a collective total of 354 individual contraventions.</w:t>
      </w:r>
    </w:p>
    <w:p w14:paraId="0A321D1F" w14:textId="77777777" w:rsidR="00205DBE" w:rsidRDefault="00205DBE" w:rsidP="00C2298B">
      <w:pPr>
        <w:pStyle w:val="Bullet"/>
        <w:numPr>
          <w:ilvl w:val="0"/>
          <w:numId w:val="0"/>
        </w:numPr>
        <w:spacing w:after="120"/>
        <w:jc w:val="both"/>
        <w:rPr>
          <w:rFonts w:asciiTheme="minorHAnsi" w:hAnsiTheme="minorHAnsi" w:cstheme="minorHAnsi"/>
        </w:rPr>
      </w:pPr>
      <w:r w:rsidRPr="00064562">
        <w:rPr>
          <w:rFonts w:asciiTheme="minorHAnsi" w:hAnsiTheme="minorHAnsi" w:cstheme="minorHAnsi"/>
        </w:rPr>
        <w:t xml:space="preserve">Figure 1 </w:t>
      </w:r>
      <w:r w:rsidRPr="0096008C">
        <w:rPr>
          <w:rFonts w:asciiTheme="minorHAnsi" w:hAnsiTheme="minorHAnsi" w:cstheme="minorHAnsi"/>
        </w:rPr>
        <w:t>provides a detailed overview o</w:t>
      </w:r>
      <w:r w:rsidR="00064562">
        <w:rPr>
          <w:rFonts w:asciiTheme="minorHAnsi" w:hAnsiTheme="minorHAnsi" w:cstheme="minorHAnsi"/>
        </w:rPr>
        <w:t>f the specific contraventions that were</w:t>
      </w:r>
      <w:r w:rsidRPr="0096008C">
        <w:rPr>
          <w:rFonts w:asciiTheme="minorHAnsi" w:hAnsiTheme="minorHAnsi" w:cstheme="minorHAnsi"/>
        </w:rPr>
        <w:t xml:space="preserve"> found. The majority of which, related to underpayment of the hourly rate (1</w:t>
      </w:r>
      <w:r w:rsidR="00064562">
        <w:rPr>
          <w:rFonts w:asciiTheme="minorHAnsi" w:hAnsiTheme="minorHAnsi" w:cstheme="minorHAnsi"/>
        </w:rPr>
        <w:t>08 or 31%) followed by pay slip obligations</w:t>
      </w:r>
      <w:r w:rsidRPr="0096008C">
        <w:rPr>
          <w:rFonts w:asciiTheme="minorHAnsi" w:hAnsiTheme="minorHAnsi" w:cstheme="minorHAnsi"/>
        </w:rPr>
        <w:t xml:space="preserve"> (96 or 27%). Four (1%) of all contraventions identified were grouped under ‘other’ and they included contraventions relating to public holidays, classification (non-monetary), leave loading and annual leave.</w:t>
      </w:r>
    </w:p>
    <w:p w14:paraId="27B23C8C" w14:textId="3E6856B4" w:rsidR="004B2104" w:rsidRPr="00503E04" w:rsidRDefault="00503E04" w:rsidP="00503E04">
      <w:pPr>
        <w:spacing w:after="0"/>
        <w:jc w:val="left"/>
        <w:rPr>
          <w:rStyle w:val="IntenseEmphasis"/>
          <w:rFonts w:asciiTheme="minorHAnsi" w:eastAsiaTheme="minorHAnsi" w:hAnsiTheme="minorHAnsi" w:cstheme="minorHAnsi"/>
          <w:b w:val="0"/>
          <w:bCs w:val="0"/>
          <w:iCs w:val="0"/>
          <w:color w:val="auto"/>
          <w:szCs w:val="22"/>
        </w:rPr>
      </w:pPr>
      <w:r>
        <w:rPr>
          <w:rFonts w:asciiTheme="minorHAnsi" w:hAnsiTheme="minorHAnsi" w:cstheme="minorHAnsi"/>
        </w:rPr>
        <w:br w:type="page"/>
      </w:r>
      <w:r w:rsidR="004B2104" w:rsidRPr="004B2104">
        <w:rPr>
          <w:rStyle w:val="IntenseEmphasis"/>
        </w:rPr>
        <w:lastRenderedPageBreak/>
        <w:t xml:space="preserve">Figure 1: Contraventions identified </w:t>
      </w:r>
      <w:bookmarkStart w:id="10" w:name="_Toc408498476"/>
    </w:p>
    <w:p w14:paraId="4CABAE81" w14:textId="377AB31A" w:rsidR="004650C3" w:rsidRDefault="004B2104" w:rsidP="004B2104">
      <w:pPr>
        <w:pStyle w:val="Bullet"/>
        <w:numPr>
          <w:ilvl w:val="0"/>
          <w:numId w:val="0"/>
        </w:numPr>
        <w:rPr>
          <w:rStyle w:val="IntenseEmphasis"/>
        </w:rPr>
      </w:pPr>
      <w:r w:rsidRPr="0096008C">
        <w:rPr>
          <w:rFonts w:asciiTheme="minorHAnsi" w:hAnsiTheme="minorHAnsi" w:cstheme="minorHAnsi"/>
          <w:noProof/>
          <w:color w:val="1F497D"/>
          <w:lang w:eastAsia="en-AU"/>
        </w:rPr>
        <w:drawing>
          <wp:anchor distT="0" distB="0" distL="114300" distR="114300" simplePos="0" relativeHeight="251659264" behindDoc="0" locked="0" layoutInCell="1" allowOverlap="1" wp14:anchorId="398B594F" wp14:editId="540F7E1E">
            <wp:simplePos x="0" y="0"/>
            <wp:positionH relativeFrom="column">
              <wp:posOffset>24626</wp:posOffset>
            </wp:positionH>
            <wp:positionV relativeFrom="paragraph">
              <wp:posOffset>150052</wp:posOffset>
            </wp:positionV>
            <wp:extent cx="4150581" cy="2827929"/>
            <wp:effectExtent l="0" t="0" r="0" b="0"/>
            <wp:wrapNone/>
            <wp:docPr id="5" name="Picture 5" descr="This image is a pie chart of errors identified.Other errors identified related to casual loading (2%), overtime (8%), records (7%), penalty rates (19%) and not paid for time work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CF9F7C.8A44CEC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163774" cy="28369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5B2CD" w14:textId="77777777" w:rsidR="00E01DAD" w:rsidRDefault="00E01DAD" w:rsidP="004B2104">
      <w:pPr>
        <w:pStyle w:val="Bullet"/>
        <w:numPr>
          <w:ilvl w:val="0"/>
          <w:numId w:val="0"/>
        </w:numPr>
        <w:rPr>
          <w:rStyle w:val="IntenseEmphasis"/>
        </w:rPr>
      </w:pPr>
    </w:p>
    <w:p w14:paraId="54F93CC6" w14:textId="77777777" w:rsidR="004B2104" w:rsidRPr="004B2104" w:rsidRDefault="004B2104" w:rsidP="00E01DAD">
      <w:pPr>
        <w:pStyle w:val="Bullet"/>
        <w:numPr>
          <w:ilvl w:val="0"/>
          <w:numId w:val="0"/>
        </w:numPr>
        <w:spacing w:before="4400"/>
        <w:rPr>
          <w:rStyle w:val="IntenseEmphasis"/>
        </w:rPr>
      </w:pPr>
      <w:r w:rsidRPr="004B2104">
        <w:rPr>
          <w:rStyle w:val="IntenseEmphasis"/>
        </w:rPr>
        <w:t>Figure 2: Money recovered by region</w:t>
      </w:r>
      <w:bookmarkEnd w:id="10"/>
    </w:p>
    <w:p w14:paraId="789D4853" w14:textId="77777777" w:rsidR="00205DBE" w:rsidRPr="0096008C" w:rsidRDefault="00205DBE" w:rsidP="004B2104">
      <w:pPr>
        <w:pStyle w:val="Bullet"/>
        <w:numPr>
          <w:ilvl w:val="0"/>
          <w:numId w:val="0"/>
        </w:numPr>
        <w:rPr>
          <w:rStyle w:val="IntenseEmphasis"/>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01"/>
        <w:gridCol w:w="2268"/>
      </w:tblGrid>
      <w:tr w:rsidR="00205DBE" w:rsidRPr="004B2104" w14:paraId="059E662D" w14:textId="77777777" w:rsidTr="00064562">
        <w:trPr>
          <w:trHeight w:val="643"/>
        </w:trPr>
        <w:tc>
          <w:tcPr>
            <w:tcW w:w="959" w:type="dxa"/>
            <w:shd w:val="clear" w:color="auto" w:fill="B8CCE4" w:themeFill="accent1" w:themeFillTint="66"/>
            <w:noWrap/>
            <w:vAlign w:val="bottom"/>
            <w:hideMark/>
          </w:tcPr>
          <w:p w14:paraId="44EC9489" w14:textId="77777777" w:rsidR="00205DBE" w:rsidRPr="00064562" w:rsidRDefault="00205DBE" w:rsidP="004B2104">
            <w:pPr>
              <w:jc w:val="left"/>
              <w:rPr>
                <w:rFonts w:asciiTheme="minorHAnsi" w:hAnsiTheme="minorHAnsi" w:cstheme="minorHAnsi"/>
                <w:b/>
                <w:sz w:val="22"/>
                <w:szCs w:val="22"/>
                <w:lang w:eastAsia="en-AU"/>
              </w:rPr>
            </w:pPr>
            <w:r w:rsidRPr="00064562">
              <w:rPr>
                <w:rFonts w:asciiTheme="minorHAnsi" w:hAnsiTheme="minorHAnsi" w:cstheme="minorHAnsi"/>
                <w:b/>
                <w:sz w:val="22"/>
                <w:szCs w:val="22"/>
                <w:lang w:eastAsia="en-AU"/>
              </w:rPr>
              <w:t>Region</w:t>
            </w:r>
          </w:p>
        </w:tc>
        <w:tc>
          <w:tcPr>
            <w:tcW w:w="1701" w:type="dxa"/>
            <w:shd w:val="clear" w:color="auto" w:fill="B8CCE4" w:themeFill="accent1" w:themeFillTint="66"/>
            <w:noWrap/>
            <w:vAlign w:val="bottom"/>
            <w:hideMark/>
          </w:tcPr>
          <w:p w14:paraId="430B1354" w14:textId="77777777" w:rsidR="00205DBE" w:rsidRPr="00064562" w:rsidRDefault="00205DBE" w:rsidP="004B2104">
            <w:pPr>
              <w:jc w:val="left"/>
              <w:rPr>
                <w:rFonts w:asciiTheme="minorHAnsi" w:hAnsiTheme="minorHAnsi" w:cstheme="minorHAnsi"/>
                <w:b/>
                <w:sz w:val="22"/>
                <w:szCs w:val="22"/>
                <w:lang w:eastAsia="en-AU"/>
              </w:rPr>
            </w:pPr>
            <w:r w:rsidRPr="00064562">
              <w:rPr>
                <w:rFonts w:asciiTheme="minorHAnsi" w:hAnsiTheme="minorHAnsi" w:cstheme="minorHAnsi"/>
                <w:b/>
                <w:sz w:val="22"/>
                <w:szCs w:val="22"/>
                <w:lang w:eastAsia="en-AU"/>
              </w:rPr>
              <w:t>Sum of Recovery</w:t>
            </w:r>
          </w:p>
        </w:tc>
        <w:tc>
          <w:tcPr>
            <w:tcW w:w="1701" w:type="dxa"/>
            <w:shd w:val="clear" w:color="auto" w:fill="B8CCE4" w:themeFill="accent1" w:themeFillTint="66"/>
            <w:noWrap/>
            <w:vAlign w:val="bottom"/>
            <w:hideMark/>
          </w:tcPr>
          <w:p w14:paraId="1AF142E7" w14:textId="77777777" w:rsidR="00205DBE" w:rsidRPr="00064562" w:rsidRDefault="00205DBE" w:rsidP="004B2104">
            <w:pPr>
              <w:jc w:val="left"/>
              <w:rPr>
                <w:rFonts w:asciiTheme="minorHAnsi" w:hAnsiTheme="minorHAnsi" w:cstheme="minorHAnsi"/>
                <w:b/>
                <w:sz w:val="22"/>
                <w:szCs w:val="22"/>
                <w:lang w:eastAsia="en-AU"/>
              </w:rPr>
            </w:pPr>
            <w:r w:rsidRPr="00064562">
              <w:rPr>
                <w:rFonts w:asciiTheme="minorHAnsi" w:hAnsiTheme="minorHAnsi" w:cstheme="minorHAnsi"/>
                <w:b/>
                <w:sz w:val="22"/>
                <w:szCs w:val="22"/>
                <w:lang w:eastAsia="en-AU"/>
              </w:rPr>
              <w:t>Employees paid</w:t>
            </w:r>
          </w:p>
        </w:tc>
        <w:tc>
          <w:tcPr>
            <w:tcW w:w="2268" w:type="dxa"/>
            <w:shd w:val="clear" w:color="auto" w:fill="B8CCE4" w:themeFill="accent1" w:themeFillTint="66"/>
            <w:noWrap/>
            <w:vAlign w:val="bottom"/>
            <w:hideMark/>
          </w:tcPr>
          <w:p w14:paraId="34A0530A" w14:textId="77777777" w:rsidR="00205DBE" w:rsidRPr="00064562" w:rsidRDefault="00205DBE" w:rsidP="004B2104">
            <w:pPr>
              <w:jc w:val="left"/>
              <w:rPr>
                <w:rFonts w:asciiTheme="minorHAnsi" w:hAnsiTheme="minorHAnsi" w:cstheme="minorHAnsi"/>
                <w:b/>
                <w:sz w:val="22"/>
                <w:szCs w:val="22"/>
                <w:lang w:eastAsia="en-AU"/>
              </w:rPr>
            </w:pPr>
            <w:r w:rsidRPr="00064562">
              <w:rPr>
                <w:rFonts w:asciiTheme="minorHAnsi" w:hAnsiTheme="minorHAnsi" w:cstheme="minorHAnsi"/>
                <w:b/>
                <w:sz w:val="22"/>
                <w:szCs w:val="22"/>
                <w:lang w:eastAsia="en-AU"/>
              </w:rPr>
              <w:t>Number of businesses with errors</w:t>
            </w:r>
          </w:p>
        </w:tc>
      </w:tr>
      <w:tr w:rsidR="00205DBE" w:rsidRPr="004B2104" w14:paraId="3E7A04DD" w14:textId="77777777" w:rsidTr="00064562">
        <w:trPr>
          <w:trHeight w:val="170"/>
        </w:trPr>
        <w:tc>
          <w:tcPr>
            <w:tcW w:w="959" w:type="dxa"/>
            <w:shd w:val="clear" w:color="auto" w:fill="B8CCE4" w:themeFill="accent1" w:themeFillTint="66"/>
            <w:noWrap/>
            <w:vAlign w:val="bottom"/>
            <w:hideMark/>
          </w:tcPr>
          <w:p w14:paraId="28C28106"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 xml:space="preserve"> ACT</w:t>
            </w:r>
          </w:p>
        </w:tc>
        <w:tc>
          <w:tcPr>
            <w:tcW w:w="1701" w:type="dxa"/>
            <w:shd w:val="clear" w:color="auto" w:fill="auto"/>
            <w:noWrap/>
            <w:vAlign w:val="bottom"/>
            <w:hideMark/>
          </w:tcPr>
          <w:p w14:paraId="48DC9141"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$ 2 659</w:t>
            </w:r>
          </w:p>
        </w:tc>
        <w:tc>
          <w:tcPr>
            <w:tcW w:w="1701" w:type="dxa"/>
            <w:shd w:val="clear" w:color="auto" w:fill="auto"/>
            <w:noWrap/>
            <w:vAlign w:val="bottom"/>
            <w:hideMark/>
          </w:tcPr>
          <w:p w14:paraId="50BD4ECB"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3</w:t>
            </w:r>
          </w:p>
        </w:tc>
        <w:tc>
          <w:tcPr>
            <w:tcW w:w="2268" w:type="dxa"/>
            <w:shd w:val="clear" w:color="auto" w:fill="auto"/>
            <w:noWrap/>
            <w:vAlign w:val="bottom"/>
            <w:hideMark/>
          </w:tcPr>
          <w:p w14:paraId="098495F8"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2</w:t>
            </w:r>
          </w:p>
        </w:tc>
      </w:tr>
      <w:tr w:rsidR="00205DBE" w:rsidRPr="004B2104" w14:paraId="2609CE50" w14:textId="77777777" w:rsidTr="00064562">
        <w:trPr>
          <w:trHeight w:val="170"/>
        </w:trPr>
        <w:tc>
          <w:tcPr>
            <w:tcW w:w="959" w:type="dxa"/>
            <w:shd w:val="clear" w:color="auto" w:fill="B8CCE4" w:themeFill="accent1" w:themeFillTint="66"/>
            <w:noWrap/>
            <w:vAlign w:val="bottom"/>
            <w:hideMark/>
          </w:tcPr>
          <w:p w14:paraId="6A196DD8"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NSW</w:t>
            </w:r>
          </w:p>
        </w:tc>
        <w:tc>
          <w:tcPr>
            <w:tcW w:w="1701" w:type="dxa"/>
            <w:shd w:val="clear" w:color="auto" w:fill="auto"/>
            <w:noWrap/>
            <w:vAlign w:val="bottom"/>
            <w:hideMark/>
          </w:tcPr>
          <w:p w14:paraId="6C97F652"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$215 278</w:t>
            </w:r>
          </w:p>
        </w:tc>
        <w:tc>
          <w:tcPr>
            <w:tcW w:w="1701" w:type="dxa"/>
            <w:shd w:val="clear" w:color="auto" w:fill="auto"/>
            <w:noWrap/>
            <w:vAlign w:val="bottom"/>
            <w:hideMark/>
          </w:tcPr>
          <w:p w14:paraId="1CD1957D"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294</w:t>
            </w:r>
          </w:p>
        </w:tc>
        <w:tc>
          <w:tcPr>
            <w:tcW w:w="2268" w:type="dxa"/>
            <w:shd w:val="clear" w:color="auto" w:fill="auto"/>
            <w:noWrap/>
            <w:vAlign w:val="bottom"/>
            <w:hideMark/>
          </w:tcPr>
          <w:p w14:paraId="2F608CE4"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40</w:t>
            </w:r>
          </w:p>
        </w:tc>
      </w:tr>
      <w:tr w:rsidR="00205DBE" w:rsidRPr="004B2104" w14:paraId="2ADD5F1C" w14:textId="77777777" w:rsidTr="00064562">
        <w:trPr>
          <w:trHeight w:val="170"/>
        </w:trPr>
        <w:tc>
          <w:tcPr>
            <w:tcW w:w="959" w:type="dxa"/>
            <w:shd w:val="clear" w:color="auto" w:fill="B8CCE4" w:themeFill="accent1" w:themeFillTint="66"/>
            <w:noWrap/>
            <w:vAlign w:val="bottom"/>
            <w:hideMark/>
          </w:tcPr>
          <w:p w14:paraId="613C917A"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NT</w:t>
            </w:r>
          </w:p>
        </w:tc>
        <w:tc>
          <w:tcPr>
            <w:tcW w:w="1701" w:type="dxa"/>
            <w:shd w:val="clear" w:color="auto" w:fill="auto"/>
            <w:noWrap/>
            <w:vAlign w:val="bottom"/>
            <w:hideMark/>
          </w:tcPr>
          <w:p w14:paraId="6BA5DAEC"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 xml:space="preserve">$34 624 </w:t>
            </w:r>
          </w:p>
        </w:tc>
        <w:tc>
          <w:tcPr>
            <w:tcW w:w="1701" w:type="dxa"/>
            <w:shd w:val="clear" w:color="auto" w:fill="auto"/>
            <w:noWrap/>
            <w:vAlign w:val="bottom"/>
            <w:hideMark/>
          </w:tcPr>
          <w:p w14:paraId="54CC7543"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22</w:t>
            </w:r>
          </w:p>
        </w:tc>
        <w:tc>
          <w:tcPr>
            <w:tcW w:w="2268" w:type="dxa"/>
            <w:shd w:val="clear" w:color="auto" w:fill="auto"/>
            <w:noWrap/>
            <w:vAlign w:val="bottom"/>
            <w:hideMark/>
          </w:tcPr>
          <w:p w14:paraId="42BB69F9"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2</w:t>
            </w:r>
          </w:p>
        </w:tc>
      </w:tr>
      <w:tr w:rsidR="00205DBE" w:rsidRPr="004B2104" w14:paraId="706E337E" w14:textId="77777777" w:rsidTr="00064562">
        <w:trPr>
          <w:trHeight w:val="170"/>
        </w:trPr>
        <w:tc>
          <w:tcPr>
            <w:tcW w:w="959" w:type="dxa"/>
            <w:shd w:val="clear" w:color="auto" w:fill="B8CCE4" w:themeFill="accent1" w:themeFillTint="66"/>
            <w:noWrap/>
            <w:vAlign w:val="bottom"/>
            <w:hideMark/>
          </w:tcPr>
          <w:p w14:paraId="09966CFF"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QLD</w:t>
            </w:r>
          </w:p>
        </w:tc>
        <w:tc>
          <w:tcPr>
            <w:tcW w:w="1701" w:type="dxa"/>
            <w:shd w:val="clear" w:color="auto" w:fill="auto"/>
            <w:noWrap/>
            <w:vAlign w:val="bottom"/>
            <w:hideMark/>
          </w:tcPr>
          <w:p w14:paraId="6AE03279"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$111 206</w:t>
            </w:r>
          </w:p>
        </w:tc>
        <w:tc>
          <w:tcPr>
            <w:tcW w:w="1701" w:type="dxa"/>
            <w:shd w:val="clear" w:color="auto" w:fill="auto"/>
            <w:noWrap/>
            <w:vAlign w:val="bottom"/>
            <w:hideMark/>
          </w:tcPr>
          <w:p w14:paraId="35FD42DF"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163</w:t>
            </w:r>
          </w:p>
        </w:tc>
        <w:tc>
          <w:tcPr>
            <w:tcW w:w="2268" w:type="dxa"/>
            <w:shd w:val="clear" w:color="auto" w:fill="auto"/>
            <w:noWrap/>
            <w:vAlign w:val="bottom"/>
            <w:hideMark/>
          </w:tcPr>
          <w:p w14:paraId="4FFB22AD"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32</w:t>
            </w:r>
          </w:p>
        </w:tc>
      </w:tr>
      <w:tr w:rsidR="00205DBE" w:rsidRPr="004B2104" w14:paraId="3A8161BD" w14:textId="77777777" w:rsidTr="00064562">
        <w:trPr>
          <w:trHeight w:val="170"/>
        </w:trPr>
        <w:tc>
          <w:tcPr>
            <w:tcW w:w="959" w:type="dxa"/>
            <w:shd w:val="clear" w:color="auto" w:fill="B8CCE4" w:themeFill="accent1" w:themeFillTint="66"/>
            <w:noWrap/>
            <w:vAlign w:val="bottom"/>
            <w:hideMark/>
          </w:tcPr>
          <w:p w14:paraId="4EBA5126"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SA</w:t>
            </w:r>
          </w:p>
        </w:tc>
        <w:tc>
          <w:tcPr>
            <w:tcW w:w="1701" w:type="dxa"/>
            <w:shd w:val="clear" w:color="auto" w:fill="auto"/>
            <w:noWrap/>
            <w:vAlign w:val="bottom"/>
            <w:hideMark/>
          </w:tcPr>
          <w:p w14:paraId="5CC7F9B1"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$68 418</w:t>
            </w:r>
          </w:p>
        </w:tc>
        <w:tc>
          <w:tcPr>
            <w:tcW w:w="1701" w:type="dxa"/>
            <w:shd w:val="clear" w:color="auto" w:fill="auto"/>
            <w:noWrap/>
            <w:vAlign w:val="bottom"/>
            <w:hideMark/>
          </w:tcPr>
          <w:p w14:paraId="7EC2E1CD"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288</w:t>
            </w:r>
          </w:p>
        </w:tc>
        <w:tc>
          <w:tcPr>
            <w:tcW w:w="2268" w:type="dxa"/>
            <w:shd w:val="clear" w:color="auto" w:fill="auto"/>
            <w:noWrap/>
            <w:vAlign w:val="bottom"/>
            <w:hideMark/>
          </w:tcPr>
          <w:p w14:paraId="155D61E6"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14</w:t>
            </w:r>
          </w:p>
        </w:tc>
      </w:tr>
      <w:tr w:rsidR="00205DBE" w:rsidRPr="004B2104" w14:paraId="0B713046" w14:textId="77777777" w:rsidTr="00064562">
        <w:trPr>
          <w:trHeight w:val="170"/>
        </w:trPr>
        <w:tc>
          <w:tcPr>
            <w:tcW w:w="959" w:type="dxa"/>
            <w:shd w:val="clear" w:color="auto" w:fill="B8CCE4" w:themeFill="accent1" w:themeFillTint="66"/>
            <w:noWrap/>
            <w:vAlign w:val="bottom"/>
            <w:hideMark/>
          </w:tcPr>
          <w:p w14:paraId="108F5772"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TAS</w:t>
            </w:r>
          </w:p>
        </w:tc>
        <w:tc>
          <w:tcPr>
            <w:tcW w:w="1701" w:type="dxa"/>
            <w:shd w:val="clear" w:color="auto" w:fill="auto"/>
            <w:noWrap/>
            <w:vAlign w:val="bottom"/>
            <w:hideMark/>
          </w:tcPr>
          <w:p w14:paraId="661A6456"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$2 668</w:t>
            </w:r>
          </w:p>
        </w:tc>
        <w:tc>
          <w:tcPr>
            <w:tcW w:w="1701" w:type="dxa"/>
            <w:shd w:val="clear" w:color="auto" w:fill="auto"/>
            <w:noWrap/>
            <w:vAlign w:val="bottom"/>
            <w:hideMark/>
          </w:tcPr>
          <w:p w14:paraId="1D8832BA"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5</w:t>
            </w:r>
          </w:p>
        </w:tc>
        <w:tc>
          <w:tcPr>
            <w:tcW w:w="2268" w:type="dxa"/>
            <w:shd w:val="clear" w:color="auto" w:fill="auto"/>
            <w:noWrap/>
            <w:vAlign w:val="bottom"/>
            <w:hideMark/>
          </w:tcPr>
          <w:p w14:paraId="0D0ECA3D"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1</w:t>
            </w:r>
          </w:p>
        </w:tc>
      </w:tr>
      <w:tr w:rsidR="00205DBE" w:rsidRPr="004B2104" w14:paraId="515D599A" w14:textId="77777777" w:rsidTr="00064562">
        <w:trPr>
          <w:trHeight w:val="227"/>
        </w:trPr>
        <w:tc>
          <w:tcPr>
            <w:tcW w:w="959" w:type="dxa"/>
            <w:shd w:val="clear" w:color="auto" w:fill="B8CCE4" w:themeFill="accent1" w:themeFillTint="66"/>
            <w:noWrap/>
            <w:vAlign w:val="bottom"/>
            <w:hideMark/>
          </w:tcPr>
          <w:p w14:paraId="1055A40E"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VIC</w:t>
            </w:r>
          </w:p>
        </w:tc>
        <w:tc>
          <w:tcPr>
            <w:tcW w:w="1701" w:type="dxa"/>
            <w:shd w:val="clear" w:color="auto" w:fill="auto"/>
            <w:noWrap/>
            <w:vAlign w:val="bottom"/>
            <w:hideMark/>
          </w:tcPr>
          <w:p w14:paraId="40837086"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$246 206</w:t>
            </w:r>
          </w:p>
        </w:tc>
        <w:tc>
          <w:tcPr>
            <w:tcW w:w="1701" w:type="dxa"/>
            <w:shd w:val="clear" w:color="auto" w:fill="auto"/>
            <w:noWrap/>
            <w:vAlign w:val="bottom"/>
            <w:hideMark/>
          </w:tcPr>
          <w:p w14:paraId="0D808A71"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268</w:t>
            </w:r>
          </w:p>
        </w:tc>
        <w:tc>
          <w:tcPr>
            <w:tcW w:w="2268" w:type="dxa"/>
            <w:shd w:val="clear" w:color="auto" w:fill="auto"/>
            <w:noWrap/>
            <w:vAlign w:val="bottom"/>
            <w:hideMark/>
          </w:tcPr>
          <w:p w14:paraId="174BC8A6"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36</w:t>
            </w:r>
          </w:p>
        </w:tc>
      </w:tr>
      <w:tr w:rsidR="00205DBE" w:rsidRPr="004B2104" w14:paraId="217F3D6E" w14:textId="77777777" w:rsidTr="00064562">
        <w:trPr>
          <w:trHeight w:val="170"/>
        </w:trPr>
        <w:tc>
          <w:tcPr>
            <w:tcW w:w="959" w:type="dxa"/>
            <w:tcBorders>
              <w:bottom w:val="single" w:sz="12" w:space="0" w:color="auto"/>
            </w:tcBorders>
            <w:shd w:val="clear" w:color="auto" w:fill="B8CCE4" w:themeFill="accent1" w:themeFillTint="66"/>
            <w:noWrap/>
            <w:vAlign w:val="bottom"/>
            <w:hideMark/>
          </w:tcPr>
          <w:p w14:paraId="054345DC"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WA</w:t>
            </w:r>
          </w:p>
        </w:tc>
        <w:tc>
          <w:tcPr>
            <w:tcW w:w="1701" w:type="dxa"/>
            <w:tcBorders>
              <w:bottom w:val="single" w:sz="12" w:space="0" w:color="auto"/>
            </w:tcBorders>
            <w:shd w:val="clear" w:color="auto" w:fill="auto"/>
            <w:noWrap/>
            <w:vAlign w:val="bottom"/>
            <w:hideMark/>
          </w:tcPr>
          <w:p w14:paraId="00DBC565"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$81 707</w:t>
            </w:r>
          </w:p>
        </w:tc>
        <w:tc>
          <w:tcPr>
            <w:tcW w:w="1701" w:type="dxa"/>
            <w:tcBorders>
              <w:bottom w:val="single" w:sz="12" w:space="0" w:color="auto"/>
            </w:tcBorders>
            <w:shd w:val="clear" w:color="auto" w:fill="auto"/>
            <w:noWrap/>
            <w:vAlign w:val="bottom"/>
            <w:hideMark/>
          </w:tcPr>
          <w:p w14:paraId="0A305736"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169</w:t>
            </w:r>
          </w:p>
        </w:tc>
        <w:tc>
          <w:tcPr>
            <w:tcW w:w="2268" w:type="dxa"/>
            <w:tcBorders>
              <w:bottom w:val="single" w:sz="12" w:space="0" w:color="auto"/>
            </w:tcBorders>
            <w:shd w:val="clear" w:color="auto" w:fill="auto"/>
            <w:noWrap/>
            <w:vAlign w:val="bottom"/>
            <w:hideMark/>
          </w:tcPr>
          <w:p w14:paraId="7B8E69D6" w14:textId="77777777" w:rsidR="00205DBE" w:rsidRPr="00064562" w:rsidRDefault="00205DBE" w:rsidP="00436C9C">
            <w:pPr>
              <w:rPr>
                <w:rFonts w:asciiTheme="minorHAnsi" w:hAnsiTheme="minorHAnsi" w:cstheme="minorHAnsi"/>
                <w:sz w:val="22"/>
                <w:szCs w:val="22"/>
                <w:lang w:eastAsia="en-AU"/>
              </w:rPr>
            </w:pPr>
            <w:r w:rsidRPr="00064562">
              <w:rPr>
                <w:rFonts w:asciiTheme="minorHAnsi" w:hAnsiTheme="minorHAnsi" w:cstheme="minorHAnsi"/>
                <w:sz w:val="22"/>
                <w:szCs w:val="22"/>
                <w:lang w:eastAsia="en-AU"/>
              </w:rPr>
              <w:t>14</w:t>
            </w:r>
          </w:p>
        </w:tc>
      </w:tr>
      <w:tr w:rsidR="00205DBE" w:rsidRPr="004B2104" w14:paraId="10D59223" w14:textId="77777777" w:rsidTr="00064562">
        <w:trPr>
          <w:trHeight w:val="626"/>
        </w:trPr>
        <w:tc>
          <w:tcPr>
            <w:tcW w:w="959" w:type="dxa"/>
            <w:tcBorders>
              <w:top w:val="single" w:sz="12" w:space="0" w:color="auto"/>
            </w:tcBorders>
            <w:shd w:val="clear" w:color="auto" w:fill="B8CCE4" w:themeFill="accent1" w:themeFillTint="66"/>
            <w:noWrap/>
            <w:vAlign w:val="bottom"/>
            <w:hideMark/>
          </w:tcPr>
          <w:p w14:paraId="29645870" w14:textId="77777777" w:rsidR="00205DBE" w:rsidRPr="00064562" w:rsidRDefault="00205DBE" w:rsidP="00436C9C">
            <w:pPr>
              <w:rPr>
                <w:rFonts w:asciiTheme="minorHAnsi" w:hAnsiTheme="minorHAnsi" w:cstheme="minorHAnsi"/>
                <w:b/>
                <w:bCs/>
                <w:sz w:val="22"/>
                <w:szCs w:val="22"/>
                <w:lang w:eastAsia="en-AU"/>
              </w:rPr>
            </w:pPr>
            <w:r w:rsidRPr="00064562">
              <w:rPr>
                <w:rFonts w:asciiTheme="minorHAnsi" w:hAnsiTheme="minorHAnsi" w:cstheme="minorHAnsi"/>
                <w:b/>
                <w:bCs/>
                <w:sz w:val="22"/>
                <w:szCs w:val="22"/>
                <w:lang w:eastAsia="en-AU"/>
              </w:rPr>
              <w:t>Grand Total</w:t>
            </w:r>
          </w:p>
        </w:tc>
        <w:tc>
          <w:tcPr>
            <w:tcW w:w="1701" w:type="dxa"/>
            <w:tcBorders>
              <w:top w:val="single" w:sz="12" w:space="0" w:color="auto"/>
            </w:tcBorders>
            <w:shd w:val="clear" w:color="auto" w:fill="auto"/>
            <w:noWrap/>
            <w:vAlign w:val="bottom"/>
            <w:hideMark/>
          </w:tcPr>
          <w:p w14:paraId="09A1925D" w14:textId="77777777" w:rsidR="00205DBE" w:rsidRPr="00064562" w:rsidRDefault="00205DBE" w:rsidP="00436C9C">
            <w:pPr>
              <w:rPr>
                <w:rFonts w:asciiTheme="minorHAnsi" w:hAnsiTheme="minorHAnsi" w:cstheme="minorHAnsi"/>
                <w:b/>
                <w:bCs/>
                <w:sz w:val="22"/>
                <w:szCs w:val="22"/>
                <w:lang w:eastAsia="en-AU"/>
              </w:rPr>
            </w:pPr>
            <w:r w:rsidRPr="00064562">
              <w:rPr>
                <w:rFonts w:asciiTheme="minorHAnsi" w:hAnsiTheme="minorHAnsi" w:cstheme="minorHAnsi"/>
                <w:b/>
                <w:bCs/>
                <w:sz w:val="22"/>
                <w:szCs w:val="22"/>
                <w:lang w:eastAsia="en-AU"/>
              </w:rPr>
              <w:t>$762 766</w:t>
            </w:r>
          </w:p>
        </w:tc>
        <w:tc>
          <w:tcPr>
            <w:tcW w:w="1701" w:type="dxa"/>
            <w:tcBorders>
              <w:top w:val="single" w:sz="12" w:space="0" w:color="auto"/>
            </w:tcBorders>
            <w:shd w:val="clear" w:color="auto" w:fill="auto"/>
            <w:noWrap/>
            <w:vAlign w:val="bottom"/>
            <w:hideMark/>
          </w:tcPr>
          <w:p w14:paraId="1678ACD0" w14:textId="77777777" w:rsidR="00205DBE" w:rsidRPr="00064562" w:rsidRDefault="00205DBE" w:rsidP="00436C9C">
            <w:pPr>
              <w:rPr>
                <w:rFonts w:asciiTheme="minorHAnsi" w:hAnsiTheme="minorHAnsi" w:cstheme="minorHAnsi"/>
                <w:b/>
                <w:bCs/>
                <w:sz w:val="22"/>
                <w:szCs w:val="22"/>
                <w:lang w:eastAsia="en-AU"/>
              </w:rPr>
            </w:pPr>
            <w:r w:rsidRPr="00064562">
              <w:rPr>
                <w:rFonts w:asciiTheme="minorHAnsi" w:hAnsiTheme="minorHAnsi" w:cstheme="minorHAnsi"/>
                <w:b/>
                <w:bCs/>
                <w:sz w:val="22"/>
                <w:szCs w:val="22"/>
                <w:lang w:eastAsia="en-AU"/>
              </w:rPr>
              <w:t>1212</w:t>
            </w:r>
          </w:p>
        </w:tc>
        <w:tc>
          <w:tcPr>
            <w:tcW w:w="2268" w:type="dxa"/>
            <w:tcBorders>
              <w:top w:val="single" w:sz="12" w:space="0" w:color="auto"/>
            </w:tcBorders>
            <w:shd w:val="clear" w:color="auto" w:fill="auto"/>
            <w:noWrap/>
            <w:vAlign w:val="bottom"/>
            <w:hideMark/>
          </w:tcPr>
          <w:p w14:paraId="2E8A75CA" w14:textId="77777777" w:rsidR="00205DBE" w:rsidRPr="00064562" w:rsidRDefault="00205DBE" w:rsidP="00436C9C">
            <w:pPr>
              <w:rPr>
                <w:rFonts w:asciiTheme="minorHAnsi" w:hAnsiTheme="minorHAnsi" w:cstheme="minorHAnsi"/>
                <w:b/>
                <w:bCs/>
                <w:sz w:val="22"/>
                <w:szCs w:val="22"/>
                <w:lang w:eastAsia="en-AU"/>
              </w:rPr>
            </w:pPr>
            <w:r w:rsidRPr="00064562">
              <w:rPr>
                <w:rFonts w:asciiTheme="minorHAnsi" w:hAnsiTheme="minorHAnsi" w:cstheme="minorHAnsi"/>
                <w:b/>
                <w:bCs/>
                <w:sz w:val="22"/>
                <w:szCs w:val="22"/>
                <w:lang w:eastAsia="en-AU"/>
              </w:rPr>
              <w:t>141</w:t>
            </w:r>
          </w:p>
        </w:tc>
      </w:tr>
    </w:tbl>
    <w:p w14:paraId="6C5414B1" w14:textId="77777777" w:rsidR="00C2298B" w:rsidRDefault="00C2298B" w:rsidP="00205DBE">
      <w:pPr>
        <w:rPr>
          <w:rFonts w:asciiTheme="minorHAnsi" w:hAnsiTheme="minorHAnsi" w:cstheme="minorHAnsi"/>
          <w:sz w:val="22"/>
          <w:szCs w:val="22"/>
        </w:rPr>
      </w:pPr>
    </w:p>
    <w:p w14:paraId="70AAAB2E" w14:textId="77777777" w:rsidR="00205DBE" w:rsidRPr="004B2104"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Figure 2</w:t>
      </w:r>
      <w:r w:rsidRPr="004B2104">
        <w:rPr>
          <w:rFonts w:asciiTheme="minorHAnsi" w:hAnsiTheme="minorHAnsi" w:cstheme="minorHAnsi"/>
          <w:sz w:val="22"/>
          <w:szCs w:val="22"/>
        </w:rPr>
        <w:t xml:space="preserve"> provides an overview of the monies recovered in each state or territory. The underpayments per business ranged from $30 to $50,000. A breakdown of the findings of each state has been included in the regional findings.</w:t>
      </w:r>
    </w:p>
    <w:p w14:paraId="5E75FEAB" w14:textId="77777777" w:rsidR="00205DBE" w:rsidRDefault="00205DBE" w:rsidP="00205DBE">
      <w:pPr>
        <w:pStyle w:val="Heading1"/>
      </w:pPr>
      <w:bookmarkStart w:id="11" w:name="_Toc408498477"/>
      <w:r w:rsidRPr="00205DBE">
        <w:lastRenderedPageBreak/>
        <w:t>Follow- up findings</w:t>
      </w:r>
      <w:bookmarkEnd w:id="11"/>
    </w:p>
    <w:p w14:paraId="6FB7C2CE" w14:textId="77777777" w:rsidR="00205DBE" w:rsidRPr="004B2104" w:rsidRDefault="00205DBE" w:rsidP="00205DBE">
      <w:pPr>
        <w:rPr>
          <w:rFonts w:asciiTheme="minorHAnsi" w:hAnsiTheme="minorHAnsi" w:cstheme="minorHAnsi"/>
          <w:sz w:val="22"/>
          <w:szCs w:val="22"/>
        </w:rPr>
      </w:pPr>
      <w:r w:rsidRPr="004B2104">
        <w:rPr>
          <w:rFonts w:asciiTheme="minorHAnsi" w:hAnsiTheme="minorHAnsi" w:cstheme="minorHAnsi"/>
          <w:sz w:val="22"/>
          <w:szCs w:val="22"/>
        </w:rPr>
        <w:t xml:space="preserve">Of the 578 businesses assessed, 169 of those were previously audited in the </w:t>
      </w:r>
      <w:r w:rsidR="00C423F4">
        <w:rPr>
          <w:rFonts w:asciiTheme="minorHAnsi" w:hAnsiTheme="minorHAnsi" w:cstheme="minorHAnsi"/>
          <w:sz w:val="22"/>
          <w:szCs w:val="22"/>
        </w:rPr>
        <w:t>2010 c</w:t>
      </w:r>
      <w:r w:rsidRPr="004B2104">
        <w:rPr>
          <w:rFonts w:asciiTheme="minorHAnsi" w:hAnsiTheme="minorHAnsi" w:cstheme="minorHAnsi"/>
          <w:sz w:val="22"/>
          <w:szCs w:val="22"/>
        </w:rPr>
        <w:t>ampaign. As illustrated in Figure 3, the majority of employers who were compliant in 2010 were once again compliant. The results also demonstrate more than half of the businesses with contraventions in 2010 were now meeting all of their obligations.</w:t>
      </w:r>
    </w:p>
    <w:p w14:paraId="77B94D1F" w14:textId="77777777" w:rsidR="00205DBE" w:rsidRPr="004B2104" w:rsidRDefault="00205DBE" w:rsidP="00205DBE">
      <w:pPr>
        <w:rPr>
          <w:rFonts w:asciiTheme="minorHAnsi" w:hAnsiTheme="minorHAnsi" w:cstheme="minorHAnsi"/>
          <w:sz w:val="22"/>
          <w:szCs w:val="22"/>
        </w:rPr>
      </w:pPr>
      <w:r w:rsidRPr="004B2104">
        <w:rPr>
          <w:rFonts w:asciiTheme="minorHAnsi" w:hAnsiTheme="minorHAnsi" w:cstheme="minorHAnsi"/>
          <w:sz w:val="22"/>
          <w:szCs w:val="22"/>
        </w:rPr>
        <w:t xml:space="preserve">There were 27 businesses compliant in 2010 but who had contraventions in this campaign. These contraventions either occurred accidentally or as a result of misunderstanding specific obligations. </w:t>
      </w:r>
    </w:p>
    <w:p w14:paraId="1AD09ADF" w14:textId="77777777" w:rsidR="00205DBE" w:rsidRPr="004B2104" w:rsidRDefault="00205DBE" w:rsidP="00205DBE">
      <w:pPr>
        <w:rPr>
          <w:rFonts w:asciiTheme="minorHAnsi" w:hAnsiTheme="minorHAnsi" w:cstheme="minorHAnsi"/>
          <w:sz w:val="22"/>
          <w:szCs w:val="22"/>
        </w:rPr>
      </w:pPr>
      <w:r w:rsidRPr="004B2104">
        <w:rPr>
          <w:rFonts w:asciiTheme="minorHAnsi" w:hAnsiTheme="minorHAnsi" w:cstheme="minorHAnsi"/>
          <w:sz w:val="22"/>
          <w:szCs w:val="22"/>
        </w:rPr>
        <w:t xml:space="preserve">There were also 35 businesses </w:t>
      </w:r>
      <w:proofErr w:type="gramStart"/>
      <w:r w:rsidRPr="004B2104">
        <w:rPr>
          <w:rFonts w:asciiTheme="minorHAnsi" w:hAnsiTheme="minorHAnsi" w:cstheme="minorHAnsi"/>
          <w:sz w:val="22"/>
          <w:szCs w:val="22"/>
        </w:rPr>
        <w:t>who</w:t>
      </w:r>
      <w:proofErr w:type="gramEnd"/>
      <w:r w:rsidRPr="004B2104">
        <w:rPr>
          <w:rFonts w:asciiTheme="minorHAnsi" w:hAnsiTheme="minorHAnsi" w:cstheme="minorHAnsi"/>
          <w:sz w:val="22"/>
          <w:szCs w:val="22"/>
        </w:rPr>
        <w:t xml:space="preserve"> were not meeting all of their obligations in the 2010 campaign and were still not meeting all of their obligations in the 2013 campaign.  In both campaigns these employers voluntarily rectified their contraventions. However, continued non-compliance indicates this group of employers have not taken steps toward ongoing compliance despite intervention on two occasions.</w:t>
      </w:r>
    </w:p>
    <w:p w14:paraId="4FD2132F" w14:textId="77777777" w:rsidR="004B2104" w:rsidRPr="004B2104" w:rsidRDefault="00205DBE" w:rsidP="00205DBE">
      <w:pPr>
        <w:rPr>
          <w:rStyle w:val="IntenseEmphasis"/>
          <w:rFonts w:asciiTheme="minorHAnsi" w:hAnsiTheme="minorHAnsi" w:cstheme="minorHAnsi"/>
          <w:b w:val="0"/>
          <w:bCs w:val="0"/>
          <w:iCs w:val="0"/>
          <w:color w:val="auto"/>
          <w:szCs w:val="22"/>
        </w:rPr>
      </w:pPr>
      <w:r w:rsidRPr="004B2104">
        <w:rPr>
          <w:rFonts w:asciiTheme="minorHAnsi" w:hAnsiTheme="minorHAnsi" w:cstheme="minorHAnsi"/>
          <w:sz w:val="22"/>
          <w:szCs w:val="22"/>
        </w:rPr>
        <w:t>As such, further auditing of this group of employers will occur in 2014-15 with a view to detecting and acting upon deliberate and wilful non-compliance</w:t>
      </w:r>
      <w:r w:rsidR="00C423F4">
        <w:rPr>
          <w:rFonts w:asciiTheme="minorHAnsi" w:hAnsiTheme="minorHAnsi" w:cstheme="minorHAnsi"/>
          <w:sz w:val="22"/>
          <w:szCs w:val="22"/>
        </w:rPr>
        <w:t xml:space="preserve"> with a view to taking enforcement action where appropriate</w:t>
      </w:r>
      <w:r w:rsidRPr="004B2104">
        <w:rPr>
          <w:rFonts w:asciiTheme="minorHAnsi" w:hAnsiTheme="minorHAnsi" w:cstheme="minorHAnsi"/>
          <w:sz w:val="22"/>
          <w:szCs w:val="22"/>
        </w:rPr>
        <w:t xml:space="preserve">. </w:t>
      </w:r>
    </w:p>
    <w:p w14:paraId="4936D86D" w14:textId="77777777" w:rsidR="00205DBE" w:rsidRPr="004B2104" w:rsidRDefault="00205DBE" w:rsidP="00205DBE">
      <w:pPr>
        <w:rPr>
          <w:rStyle w:val="IntenseEmphasis"/>
        </w:rPr>
      </w:pPr>
      <w:r w:rsidRPr="004B2104">
        <w:rPr>
          <w:rStyle w:val="IntenseEmphasis"/>
        </w:rPr>
        <w:t>Figure 3: Compliance matrix</w:t>
      </w:r>
    </w:p>
    <w:tbl>
      <w:tblPr>
        <w:tblStyle w:val="TableGrid"/>
        <w:tblW w:w="0" w:type="auto"/>
        <w:tblLook w:val="04A0" w:firstRow="1" w:lastRow="0" w:firstColumn="1" w:lastColumn="0" w:noHBand="0" w:noVBand="1"/>
      </w:tblPr>
      <w:tblGrid>
        <w:gridCol w:w="1640"/>
        <w:gridCol w:w="2154"/>
        <w:gridCol w:w="2268"/>
      </w:tblGrid>
      <w:tr w:rsidR="00205DBE" w:rsidRPr="0096008C" w14:paraId="27486D70" w14:textId="77777777" w:rsidTr="00797D79">
        <w:trPr>
          <w:tblHeader/>
        </w:trPr>
        <w:tc>
          <w:tcPr>
            <w:tcW w:w="1640" w:type="dxa"/>
            <w:shd w:val="clear" w:color="auto" w:fill="B8CCE4" w:themeFill="accent1" w:themeFillTint="66"/>
          </w:tcPr>
          <w:p w14:paraId="5819AC15" w14:textId="77777777" w:rsidR="00205DBE" w:rsidRPr="00064562" w:rsidRDefault="00205DBE" w:rsidP="004B2104">
            <w:pPr>
              <w:jc w:val="left"/>
              <w:rPr>
                <w:rFonts w:asciiTheme="minorHAnsi" w:hAnsiTheme="minorHAnsi" w:cstheme="minorHAnsi"/>
                <w:b/>
                <w:sz w:val="20"/>
                <w:szCs w:val="20"/>
              </w:rPr>
            </w:pPr>
            <w:r w:rsidRPr="00064562">
              <w:rPr>
                <w:rFonts w:asciiTheme="minorHAnsi" w:hAnsiTheme="minorHAnsi" w:cstheme="minorHAnsi"/>
                <w:b/>
                <w:sz w:val="20"/>
                <w:szCs w:val="20"/>
              </w:rPr>
              <w:t>2010 Campaign result</w:t>
            </w:r>
          </w:p>
        </w:tc>
        <w:tc>
          <w:tcPr>
            <w:tcW w:w="2154" w:type="dxa"/>
            <w:shd w:val="clear" w:color="auto" w:fill="B8CCE4" w:themeFill="accent1" w:themeFillTint="66"/>
          </w:tcPr>
          <w:p w14:paraId="6BEB7D57" w14:textId="77777777" w:rsidR="00205DBE" w:rsidRPr="00064562" w:rsidRDefault="00205DBE" w:rsidP="004B2104">
            <w:pPr>
              <w:jc w:val="left"/>
              <w:rPr>
                <w:rFonts w:asciiTheme="minorHAnsi" w:hAnsiTheme="minorHAnsi" w:cstheme="minorHAnsi"/>
                <w:b/>
                <w:sz w:val="20"/>
                <w:szCs w:val="20"/>
              </w:rPr>
            </w:pPr>
            <w:r w:rsidRPr="00064562">
              <w:rPr>
                <w:rFonts w:asciiTheme="minorHAnsi" w:hAnsiTheme="minorHAnsi" w:cstheme="minorHAnsi"/>
                <w:b/>
                <w:sz w:val="20"/>
                <w:szCs w:val="20"/>
              </w:rPr>
              <w:t>Follow-up campaign result</w:t>
            </w:r>
          </w:p>
        </w:tc>
        <w:tc>
          <w:tcPr>
            <w:tcW w:w="2268" w:type="dxa"/>
            <w:shd w:val="clear" w:color="auto" w:fill="B8CCE4" w:themeFill="accent1" w:themeFillTint="66"/>
          </w:tcPr>
          <w:p w14:paraId="44345908" w14:textId="77777777" w:rsidR="00205DBE" w:rsidRPr="00064562" w:rsidRDefault="00205DBE" w:rsidP="004B2104">
            <w:pPr>
              <w:jc w:val="left"/>
              <w:rPr>
                <w:rFonts w:asciiTheme="minorHAnsi" w:hAnsiTheme="minorHAnsi" w:cstheme="minorHAnsi"/>
                <w:b/>
                <w:sz w:val="20"/>
                <w:szCs w:val="20"/>
              </w:rPr>
            </w:pPr>
            <w:r w:rsidRPr="00064562">
              <w:rPr>
                <w:rFonts w:asciiTheme="minorHAnsi" w:hAnsiTheme="minorHAnsi" w:cstheme="minorHAnsi"/>
                <w:b/>
                <w:sz w:val="20"/>
                <w:szCs w:val="20"/>
              </w:rPr>
              <w:t>Number of businesses</w:t>
            </w:r>
          </w:p>
        </w:tc>
      </w:tr>
      <w:tr w:rsidR="00205DBE" w:rsidRPr="0096008C" w14:paraId="5B233232" w14:textId="77777777" w:rsidTr="004B2104">
        <w:trPr>
          <w:trHeight w:val="351"/>
        </w:trPr>
        <w:tc>
          <w:tcPr>
            <w:tcW w:w="1640" w:type="dxa"/>
          </w:tcPr>
          <w:p w14:paraId="209B19E3"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Compliant</w:t>
            </w:r>
          </w:p>
        </w:tc>
        <w:tc>
          <w:tcPr>
            <w:tcW w:w="2154" w:type="dxa"/>
          </w:tcPr>
          <w:p w14:paraId="793CD5C7"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Compliant</w:t>
            </w:r>
          </w:p>
        </w:tc>
        <w:tc>
          <w:tcPr>
            <w:tcW w:w="2268" w:type="dxa"/>
          </w:tcPr>
          <w:p w14:paraId="2DE23BF7"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64 (38%)</w:t>
            </w:r>
          </w:p>
        </w:tc>
      </w:tr>
      <w:tr w:rsidR="00205DBE" w:rsidRPr="0096008C" w14:paraId="2A0F4DE1" w14:textId="77777777" w:rsidTr="004B2104">
        <w:trPr>
          <w:trHeight w:val="560"/>
        </w:trPr>
        <w:tc>
          <w:tcPr>
            <w:tcW w:w="1640" w:type="dxa"/>
          </w:tcPr>
          <w:p w14:paraId="70497C3B"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Compliant</w:t>
            </w:r>
          </w:p>
        </w:tc>
        <w:tc>
          <w:tcPr>
            <w:tcW w:w="2154" w:type="dxa"/>
          </w:tcPr>
          <w:p w14:paraId="4E2FDBFE"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Contravention</w:t>
            </w:r>
          </w:p>
        </w:tc>
        <w:tc>
          <w:tcPr>
            <w:tcW w:w="2268" w:type="dxa"/>
          </w:tcPr>
          <w:p w14:paraId="1D178328"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27 (16%)</w:t>
            </w:r>
          </w:p>
        </w:tc>
      </w:tr>
      <w:tr w:rsidR="00205DBE" w:rsidRPr="0096008C" w14:paraId="1D456651" w14:textId="77777777" w:rsidTr="004B2104">
        <w:trPr>
          <w:trHeight w:val="554"/>
        </w:trPr>
        <w:tc>
          <w:tcPr>
            <w:tcW w:w="1640" w:type="dxa"/>
          </w:tcPr>
          <w:p w14:paraId="282B7AFE"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Contravention</w:t>
            </w:r>
          </w:p>
        </w:tc>
        <w:tc>
          <w:tcPr>
            <w:tcW w:w="2154" w:type="dxa"/>
          </w:tcPr>
          <w:p w14:paraId="271A3C57"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Compliant</w:t>
            </w:r>
          </w:p>
        </w:tc>
        <w:tc>
          <w:tcPr>
            <w:tcW w:w="2268" w:type="dxa"/>
          </w:tcPr>
          <w:p w14:paraId="348995D2"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43 (25%)</w:t>
            </w:r>
          </w:p>
        </w:tc>
      </w:tr>
      <w:tr w:rsidR="00205DBE" w:rsidRPr="0096008C" w14:paraId="1689B79E" w14:textId="77777777" w:rsidTr="00064562">
        <w:trPr>
          <w:trHeight w:val="560"/>
        </w:trPr>
        <w:tc>
          <w:tcPr>
            <w:tcW w:w="1640" w:type="dxa"/>
            <w:tcBorders>
              <w:bottom w:val="single" w:sz="12" w:space="0" w:color="auto"/>
            </w:tcBorders>
          </w:tcPr>
          <w:p w14:paraId="0A7300C7"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Contravention</w:t>
            </w:r>
          </w:p>
        </w:tc>
        <w:tc>
          <w:tcPr>
            <w:tcW w:w="2154" w:type="dxa"/>
            <w:tcBorders>
              <w:bottom w:val="single" w:sz="12" w:space="0" w:color="auto"/>
            </w:tcBorders>
          </w:tcPr>
          <w:p w14:paraId="78F1937A"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Contravention</w:t>
            </w:r>
          </w:p>
        </w:tc>
        <w:tc>
          <w:tcPr>
            <w:tcW w:w="2268" w:type="dxa"/>
            <w:tcBorders>
              <w:bottom w:val="single" w:sz="12" w:space="0" w:color="auto"/>
            </w:tcBorders>
          </w:tcPr>
          <w:p w14:paraId="66B3B092"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35 (21%)</w:t>
            </w:r>
          </w:p>
        </w:tc>
      </w:tr>
      <w:tr w:rsidR="00205DBE" w:rsidRPr="0096008C" w14:paraId="35E85C1F" w14:textId="77777777" w:rsidTr="00064562">
        <w:trPr>
          <w:trHeight w:val="542"/>
        </w:trPr>
        <w:tc>
          <w:tcPr>
            <w:tcW w:w="1640" w:type="dxa"/>
            <w:tcBorders>
              <w:top w:val="single" w:sz="12" w:space="0" w:color="auto"/>
            </w:tcBorders>
          </w:tcPr>
          <w:p w14:paraId="3C55F56D" w14:textId="77777777" w:rsidR="00205DBE" w:rsidRPr="00064562" w:rsidRDefault="00205DBE" w:rsidP="00436C9C">
            <w:pPr>
              <w:rPr>
                <w:rFonts w:asciiTheme="minorHAnsi" w:hAnsiTheme="minorHAnsi" w:cstheme="minorHAnsi"/>
                <w:b/>
                <w:sz w:val="20"/>
                <w:szCs w:val="20"/>
              </w:rPr>
            </w:pPr>
            <w:r w:rsidRPr="00064562">
              <w:rPr>
                <w:rFonts w:asciiTheme="minorHAnsi" w:hAnsiTheme="minorHAnsi" w:cstheme="minorHAnsi"/>
                <w:b/>
                <w:sz w:val="20"/>
                <w:szCs w:val="20"/>
              </w:rPr>
              <w:t>Total</w:t>
            </w:r>
          </w:p>
        </w:tc>
        <w:tc>
          <w:tcPr>
            <w:tcW w:w="2154" w:type="dxa"/>
            <w:tcBorders>
              <w:top w:val="single" w:sz="12" w:space="0" w:color="auto"/>
            </w:tcBorders>
          </w:tcPr>
          <w:p w14:paraId="48B525F2" w14:textId="77777777" w:rsidR="00205DBE" w:rsidRPr="00064562" w:rsidRDefault="00205DBE" w:rsidP="00436C9C">
            <w:pPr>
              <w:rPr>
                <w:rFonts w:asciiTheme="minorHAnsi" w:hAnsiTheme="minorHAnsi" w:cstheme="minorHAnsi"/>
                <w:sz w:val="20"/>
                <w:szCs w:val="20"/>
              </w:rPr>
            </w:pPr>
          </w:p>
        </w:tc>
        <w:tc>
          <w:tcPr>
            <w:tcW w:w="2268" w:type="dxa"/>
            <w:tcBorders>
              <w:top w:val="single" w:sz="12" w:space="0" w:color="auto"/>
            </w:tcBorders>
          </w:tcPr>
          <w:p w14:paraId="687D9C76" w14:textId="77777777" w:rsidR="00205DBE" w:rsidRPr="00064562" w:rsidRDefault="00205DBE" w:rsidP="00436C9C">
            <w:pPr>
              <w:rPr>
                <w:rFonts w:asciiTheme="minorHAnsi" w:hAnsiTheme="minorHAnsi" w:cstheme="minorHAnsi"/>
                <w:sz w:val="20"/>
                <w:szCs w:val="20"/>
              </w:rPr>
            </w:pPr>
            <w:r w:rsidRPr="00064562">
              <w:rPr>
                <w:rFonts w:asciiTheme="minorHAnsi" w:hAnsiTheme="minorHAnsi" w:cstheme="minorHAnsi"/>
                <w:sz w:val="20"/>
                <w:szCs w:val="20"/>
              </w:rPr>
              <w:t>169</w:t>
            </w:r>
          </w:p>
        </w:tc>
      </w:tr>
    </w:tbl>
    <w:p w14:paraId="2E22D167" w14:textId="77777777" w:rsidR="004B2104" w:rsidRPr="004B2104" w:rsidRDefault="00205DBE" w:rsidP="00064562">
      <w:pPr>
        <w:spacing w:before="240"/>
        <w:rPr>
          <w:rStyle w:val="IntenseEmphasis"/>
          <w:rFonts w:asciiTheme="minorHAnsi" w:hAnsiTheme="minorHAnsi" w:cstheme="minorHAnsi"/>
          <w:b w:val="0"/>
          <w:bCs w:val="0"/>
          <w:iCs w:val="0"/>
          <w:color w:val="auto"/>
          <w:szCs w:val="22"/>
        </w:rPr>
      </w:pPr>
      <w:r w:rsidRPr="004B2104">
        <w:rPr>
          <w:rFonts w:asciiTheme="minorHAnsi" w:hAnsiTheme="minorHAnsi" w:cstheme="minorHAnsi"/>
          <w:sz w:val="22"/>
          <w:szCs w:val="22"/>
        </w:rPr>
        <w:t>A further breakdown of the results is detailed in Figure 4.</w:t>
      </w:r>
    </w:p>
    <w:p w14:paraId="08C8227B" w14:textId="77777777" w:rsidR="00205DBE" w:rsidRPr="004B2104" w:rsidRDefault="00205DBE" w:rsidP="00205DBE">
      <w:pPr>
        <w:rPr>
          <w:rStyle w:val="IntenseEmphasis"/>
        </w:rPr>
      </w:pPr>
      <w:r w:rsidRPr="004B2104">
        <w:rPr>
          <w:rStyle w:val="IntenseEmphasis"/>
        </w:rPr>
        <w:t>Figure 4: Follow - up audit findings</w:t>
      </w:r>
    </w:p>
    <w:tbl>
      <w:tblPr>
        <w:tblStyle w:val="TableGrid"/>
        <w:tblW w:w="6062" w:type="dxa"/>
        <w:tblLayout w:type="fixed"/>
        <w:tblLook w:val="04A0" w:firstRow="1" w:lastRow="0" w:firstColumn="1" w:lastColumn="0" w:noHBand="0" w:noVBand="1"/>
      </w:tblPr>
      <w:tblGrid>
        <w:gridCol w:w="1668"/>
        <w:gridCol w:w="2126"/>
        <w:gridCol w:w="2268"/>
      </w:tblGrid>
      <w:tr w:rsidR="00205DBE" w:rsidRPr="0096008C" w14:paraId="1CFF1AAB" w14:textId="77777777" w:rsidTr="00797D79">
        <w:trPr>
          <w:trHeight w:val="567"/>
          <w:tblHeader/>
        </w:trPr>
        <w:tc>
          <w:tcPr>
            <w:tcW w:w="1668" w:type="dxa"/>
            <w:shd w:val="clear" w:color="auto" w:fill="B8CCE4" w:themeFill="accent1" w:themeFillTint="66"/>
          </w:tcPr>
          <w:p w14:paraId="00DF75CB" w14:textId="77777777" w:rsidR="00205DBE" w:rsidRPr="004B2104" w:rsidRDefault="00205DBE" w:rsidP="004B2104">
            <w:pPr>
              <w:jc w:val="left"/>
              <w:rPr>
                <w:rFonts w:asciiTheme="minorHAnsi" w:hAnsiTheme="minorHAnsi" w:cstheme="minorHAnsi"/>
                <w:b/>
                <w:sz w:val="20"/>
                <w:szCs w:val="20"/>
              </w:rPr>
            </w:pPr>
            <w:r w:rsidRPr="004B2104">
              <w:rPr>
                <w:rFonts w:asciiTheme="minorHAnsi" w:hAnsiTheme="minorHAnsi" w:cstheme="minorHAnsi"/>
                <w:b/>
                <w:sz w:val="20"/>
                <w:szCs w:val="20"/>
              </w:rPr>
              <w:t>Audit finding</w:t>
            </w:r>
          </w:p>
        </w:tc>
        <w:tc>
          <w:tcPr>
            <w:tcW w:w="2126" w:type="dxa"/>
            <w:shd w:val="clear" w:color="auto" w:fill="B8CCE4" w:themeFill="accent1" w:themeFillTint="66"/>
          </w:tcPr>
          <w:p w14:paraId="17B6AD90" w14:textId="77777777" w:rsidR="00205DBE" w:rsidRPr="004B2104" w:rsidRDefault="00205DBE" w:rsidP="004B2104">
            <w:pPr>
              <w:jc w:val="left"/>
              <w:rPr>
                <w:rFonts w:asciiTheme="minorHAnsi" w:hAnsiTheme="minorHAnsi" w:cstheme="minorHAnsi"/>
                <w:b/>
                <w:sz w:val="20"/>
                <w:szCs w:val="20"/>
              </w:rPr>
            </w:pPr>
            <w:r w:rsidRPr="004B2104">
              <w:rPr>
                <w:rFonts w:asciiTheme="minorHAnsi" w:hAnsiTheme="minorHAnsi" w:cstheme="minorHAnsi"/>
                <w:b/>
                <w:sz w:val="20"/>
                <w:szCs w:val="20"/>
              </w:rPr>
              <w:t>2010 campaign result</w:t>
            </w:r>
          </w:p>
        </w:tc>
        <w:tc>
          <w:tcPr>
            <w:tcW w:w="2268" w:type="dxa"/>
            <w:shd w:val="clear" w:color="auto" w:fill="B8CCE4" w:themeFill="accent1" w:themeFillTint="66"/>
          </w:tcPr>
          <w:p w14:paraId="562D255C" w14:textId="77777777" w:rsidR="00205DBE" w:rsidRPr="004B2104" w:rsidRDefault="00205DBE" w:rsidP="004B2104">
            <w:pPr>
              <w:jc w:val="left"/>
              <w:rPr>
                <w:rFonts w:asciiTheme="minorHAnsi" w:hAnsiTheme="minorHAnsi" w:cstheme="minorHAnsi"/>
                <w:b/>
                <w:sz w:val="20"/>
                <w:szCs w:val="20"/>
              </w:rPr>
            </w:pPr>
            <w:r w:rsidRPr="004B2104">
              <w:rPr>
                <w:rFonts w:asciiTheme="minorHAnsi" w:hAnsiTheme="minorHAnsi" w:cstheme="minorHAnsi"/>
                <w:b/>
                <w:sz w:val="20"/>
                <w:szCs w:val="20"/>
              </w:rPr>
              <w:t>Current campaign result</w:t>
            </w:r>
          </w:p>
        </w:tc>
      </w:tr>
      <w:tr w:rsidR="00205DBE" w:rsidRPr="0096008C" w14:paraId="57F8FB8D" w14:textId="77777777" w:rsidTr="00523F90">
        <w:trPr>
          <w:trHeight w:val="567"/>
        </w:trPr>
        <w:tc>
          <w:tcPr>
            <w:tcW w:w="1668" w:type="dxa"/>
          </w:tcPr>
          <w:p w14:paraId="01AEE4FF"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Compliant</w:t>
            </w:r>
          </w:p>
        </w:tc>
        <w:tc>
          <w:tcPr>
            <w:tcW w:w="2126" w:type="dxa"/>
          </w:tcPr>
          <w:p w14:paraId="2D93BA11"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91 (54%)</w:t>
            </w:r>
          </w:p>
        </w:tc>
        <w:tc>
          <w:tcPr>
            <w:tcW w:w="2268" w:type="dxa"/>
          </w:tcPr>
          <w:p w14:paraId="1755F732" w14:textId="5D574518" w:rsidR="00205DBE" w:rsidRPr="004B2104" w:rsidRDefault="00797D79" w:rsidP="00436C9C">
            <w:pPr>
              <w:rPr>
                <w:rFonts w:asciiTheme="minorHAnsi" w:hAnsiTheme="minorHAnsi" w:cstheme="minorHAnsi"/>
                <w:sz w:val="20"/>
                <w:szCs w:val="20"/>
              </w:rPr>
            </w:pPr>
            <w:r>
              <w:rPr>
                <w:noProof/>
                <w:sz w:val="20"/>
                <w:szCs w:val="20"/>
                <w:lang w:eastAsia="en-AU"/>
              </w:rPr>
              <mc:AlternateContent>
                <mc:Choice Requires="wps">
                  <w:drawing>
                    <wp:anchor distT="0" distB="0" distL="114300" distR="114300" simplePos="0" relativeHeight="251662336" behindDoc="0" locked="0" layoutInCell="1" allowOverlap="1" wp14:anchorId="12829A61" wp14:editId="56A6CAFD">
                      <wp:simplePos x="0" y="0"/>
                      <wp:positionH relativeFrom="column">
                        <wp:posOffset>749935</wp:posOffset>
                      </wp:positionH>
                      <wp:positionV relativeFrom="paragraph">
                        <wp:posOffset>97155</wp:posOffset>
                      </wp:positionV>
                      <wp:extent cx="128905" cy="129540"/>
                      <wp:effectExtent l="19050" t="19050" r="23495" b="3810"/>
                      <wp:wrapNone/>
                      <wp:docPr id="16" name="Up Arrow 16" title="Arrow u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6" o:spid="_x0000_s1026" type="#_x0000_t68" alt="Title: Arrow up" style="position:absolute;margin-left:59.05pt;margin-top:7.65pt;width:10.1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" adj="10747" fillcolor="#4f81bd [3204]" strokecolor="#243f60 [1604]" strokeweight="2pt">
                      <v:path arrowok="t"/>
                    </v:shape>
                  </w:pict>
                </mc:Fallback>
              </mc:AlternateContent>
            </w:r>
            <w:r w:rsidR="00205DBE" w:rsidRPr="004B2104">
              <w:rPr>
                <w:rFonts w:asciiTheme="minorHAnsi" w:hAnsiTheme="minorHAnsi" w:cstheme="minorHAnsi"/>
                <w:sz w:val="20"/>
                <w:szCs w:val="20"/>
              </w:rPr>
              <w:t>107 (63%)</w:t>
            </w:r>
          </w:p>
        </w:tc>
      </w:tr>
      <w:tr w:rsidR="00205DBE" w:rsidRPr="0096008C" w14:paraId="074AE706" w14:textId="77777777" w:rsidTr="00523F90">
        <w:trPr>
          <w:trHeight w:val="567"/>
        </w:trPr>
        <w:tc>
          <w:tcPr>
            <w:tcW w:w="1668" w:type="dxa"/>
          </w:tcPr>
          <w:p w14:paraId="05D72785"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Contravention</w:t>
            </w:r>
          </w:p>
        </w:tc>
        <w:tc>
          <w:tcPr>
            <w:tcW w:w="2126" w:type="dxa"/>
          </w:tcPr>
          <w:p w14:paraId="2A13BDE2"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78 (46%)</w:t>
            </w:r>
          </w:p>
        </w:tc>
        <w:tc>
          <w:tcPr>
            <w:tcW w:w="2268" w:type="dxa"/>
          </w:tcPr>
          <w:p w14:paraId="52685327" w14:textId="5BAC5180" w:rsidR="00205DBE" w:rsidRPr="004B2104" w:rsidRDefault="00797D79" w:rsidP="00436C9C">
            <w:pPr>
              <w:rPr>
                <w:rFonts w:asciiTheme="minorHAnsi" w:hAnsiTheme="minorHAnsi" w:cstheme="minorHAnsi"/>
                <w:sz w:val="20"/>
                <w:szCs w:val="20"/>
              </w:rPr>
            </w:pPr>
            <w:r>
              <w:rPr>
                <w:noProof/>
                <w:sz w:val="20"/>
                <w:szCs w:val="20"/>
                <w:lang w:eastAsia="en-AU"/>
              </w:rPr>
              <mc:AlternateContent>
                <mc:Choice Requires="wps">
                  <w:drawing>
                    <wp:anchor distT="0" distB="0" distL="114300" distR="114300" simplePos="0" relativeHeight="251661312" behindDoc="0" locked="0" layoutInCell="1" allowOverlap="1" wp14:anchorId="37692C51" wp14:editId="40D4FA59">
                      <wp:simplePos x="0" y="0"/>
                      <wp:positionH relativeFrom="column">
                        <wp:posOffset>734060</wp:posOffset>
                      </wp:positionH>
                      <wp:positionV relativeFrom="paragraph">
                        <wp:posOffset>128270</wp:posOffset>
                      </wp:positionV>
                      <wp:extent cx="128905" cy="129540"/>
                      <wp:effectExtent l="48260" t="13970" r="51435" b="37465"/>
                      <wp:wrapNone/>
                      <wp:docPr id="2" name="Down Arrow 14" title="Arrow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9540"/>
                              </a:xfrm>
                              <a:prstGeom prst="downArrow">
                                <a:avLst>
                                  <a:gd name="adj1" fmla="val 50000"/>
                                  <a:gd name="adj2" fmla="val 5024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alt="Title: Arrow down" style="position:absolute;margin-left:57.8pt;margin-top:10.1pt;width:10.1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" adj="10800" fillcolor="#4f81bd" strokecolor="#385d8a" strokeweight="2pt"/>
                  </w:pict>
                </mc:Fallback>
              </mc:AlternateContent>
            </w:r>
            <w:r w:rsidR="00205DBE" w:rsidRPr="004B2104">
              <w:rPr>
                <w:rFonts w:asciiTheme="minorHAnsi" w:hAnsiTheme="minorHAnsi" w:cstheme="minorHAnsi"/>
                <w:sz w:val="20"/>
                <w:szCs w:val="20"/>
              </w:rPr>
              <w:t>62 (37%)</w:t>
            </w:r>
          </w:p>
        </w:tc>
      </w:tr>
      <w:tr w:rsidR="00205DBE" w:rsidRPr="0096008C" w14:paraId="5A7C9955" w14:textId="77777777" w:rsidTr="00523F90">
        <w:trPr>
          <w:trHeight w:val="567"/>
        </w:trPr>
        <w:tc>
          <w:tcPr>
            <w:tcW w:w="1668" w:type="dxa"/>
          </w:tcPr>
          <w:p w14:paraId="5F8D7B36"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 xml:space="preserve">  -monetary</w:t>
            </w:r>
          </w:p>
        </w:tc>
        <w:tc>
          <w:tcPr>
            <w:tcW w:w="2126" w:type="dxa"/>
          </w:tcPr>
          <w:p w14:paraId="51BCC2FF"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45 (27%)</w:t>
            </w:r>
          </w:p>
        </w:tc>
        <w:tc>
          <w:tcPr>
            <w:tcW w:w="2268" w:type="dxa"/>
          </w:tcPr>
          <w:p w14:paraId="51919E8E" w14:textId="7F9F67D5" w:rsidR="00205DBE" w:rsidRPr="004B2104" w:rsidRDefault="00797D79" w:rsidP="00436C9C">
            <w:pPr>
              <w:rPr>
                <w:rFonts w:asciiTheme="minorHAnsi" w:hAnsiTheme="minorHAnsi" w:cstheme="minorHAnsi"/>
                <w:sz w:val="20"/>
                <w:szCs w:val="20"/>
              </w:rPr>
            </w:pPr>
            <w:r>
              <w:rPr>
                <w:noProof/>
                <w:sz w:val="20"/>
                <w:szCs w:val="20"/>
                <w:lang w:eastAsia="en-AU"/>
              </w:rPr>
              <mc:AlternateContent>
                <mc:Choice Requires="wps">
                  <w:drawing>
                    <wp:anchor distT="0" distB="0" distL="114300" distR="114300" simplePos="0" relativeHeight="251665408" behindDoc="0" locked="0" layoutInCell="1" allowOverlap="1" wp14:anchorId="58D5F84A" wp14:editId="2BC08800">
                      <wp:simplePos x="0" y="0"/>
                      <wp:positionH relativeFrom="column">
                        <wp:posOffset>734060</wp:posOffset>
                      </wp:positionH>
                      <wp:positionV relativeFrom="paragraph">
                        <wp:posOffset>123825</wp:posOffset>
                      </wp:positionV>
                      <wp:extent cx="129540" cy="129540"/>
                      <wp:effectExtent l="19050" t="0" r="22860" b="22860"/>
                      <wp:wrapNone/>
                      <wp:docPr id="1" name="Down Arrow 19" title="Arrow dow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95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9" o:spid="_x0000_s1026" type="#_x0000_t67" alt="Title: Arrow down" style="position:absolute;margin-left:57.8pt;margin-top:9.75pt;width:10.2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" adj="10800" fillcolor="#4f81bd" strokecolor="#385d8a" strokeweight="2pt">
                      <v:path arrowok="t"/>
                    </v:shape>
                  </w:pict>
                </mc:Fallback>
              </mc:AlternateContent>
            </w:r>
            <w:r w:rsidR="00205DBE" w:rsidRPr="004B2104">
              <w:rPr>
                <w:rFonts w:asciiTheme="minorHAnsi" w:hAnsiTheme="minorHAnsi" w:cstheme="minorHAnsi"/>
                <w:sz w:val="20"/>
                <w:szCs w:val="20"/>
              </w:rPr>
              <w:t>31 (18%)</w:t>
            </w:r>
          </w:p>
        </w:tc>
      </w:tr>
      <w:tr w:rsidR="00205DBE" w:rsidRPr="0096008C" w14:paraId="26C4CAF4" w14:textId="77777777" w:rsidTr="00523F90">
        <w:trPr>
          <w:trHeight w:val="567"/>
        </w:trPr>
        <w:tc>
          <w:tcPr>
            <w:tcW w:w="1668" w:type="dxa"/>
          </w:tcPr>
          <w:p w14:paraId="7913335C"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 xml:space="preserve"> -non-monetary</w:t>
            </w:r>
          </w:p>
        </w:tc>
        <w:tc>
          <w:tcPr>
            <w:tcW w:w="2126" w:type="dxa"/>
          </w:tcPr>
          <w:p w14:paraId="70A63652"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19 (11%)</w:t>
            </w:r>
          </w:p>
        </w:tc>
        <w:tc>
          <w:tcPr>
            <w:tcW w:w="2268" w:type="dxa"/>
          </w:tcPr>
          <w:p w14:paraId="337EE931" w14:textId="7C248E4D" w:rsidR="00205DBE" w:rsidRPr="004B2104" w:rsidRDefault="00797D79" w:rsidP="00436C9C">
            <w:pPr>
              <w:rPr>
                <w:rFonts w:asciiTheme="minorHAnsi" w:hAnsiTheme="minorHAnsi" w:cstheme="minorHAnsi"/>
                <w:sz w:val="20"/>
                <w:szCs w:val="20"/>
              </w:rPr>
            </w:pPr>
            <w:r>
              <w:rPr>
                <w:noProof/>
                <w:sz w:val="20"/>
                <w:szCs w:val="20"/>
                <w:lang w:eastAsia="en-AU"/>
              </w:rPr>
              <mc:AlternateContent>
                <mc:Choice Requires="wps">
                  <w:drawing>
                    <wp:anchor distT="0" distB="0" distL="114300" distR="114300" simplePos="0" relativeHeight="251666432" behindDoc="0" locked="0" layoutInCell="1" allowOverlap="1" wp14:anchorId="23A3190F" wp14:editId="760F5456">
                      <wp:simplePos x="0" y="0"/>
                      <wp:positionH relativeFrom="margin">
                        <wp:posOffset>729615</wp:posOffset>
                      </wp:positionH>
                      <wp:positionV relativeFrom="margin">
                        <wp:posOffset>94615</wp:posOffset>
                      </wp:positionV>
                      <wp:extent cx="129540" cy="129540"/>
                      <wp:effectExtent l="19050" t="19050" r="22860" b="3810"/>
                      <wp:wrapNone/>
                      <wp:docPr id="20" name="Up Arrow 20" title="Arrow u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954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20" o:spid="_x0000_s1026" type="#_x0000_t68" alt="Title: Arrow up" style="position:absolute;margin-left:57.45pt;margin-top:7.45pt;width:10.2pt;height:10.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" adj="10800" fillcolor="#4f81bd" strokecolor="#385d8a" strokeweight="2pt">
                      <v:path arrowok="t"/>
                      <w10:wrap anchorx="margin" anchory="margin"/>
                    </v:shape>
                  </w:pict>
                </mc:Fallback>
              </mc:AlternateContent>
            </w:r>
            <w:r w:rsidR="00205DBE" w:rsidRPr="004B2104">
              <w:rPr>
                <w:rFonts w:asciiTheme="minorHAnsi" w:hAnsiTheme="minorHAnsi" w:cstheme="minorHAnsi"/>
                <w:sz w:val="20"/>
                <w:szCs w:val="20"/>
              </w:rPr>
              <w:t>21 (13%)</w:t>
            </w:r>
          </w:p>
        </w:tc>
      </w:tr>
      <w:tr w:rsidR="00205DBE" w:rsidRPr="0096008C" w14:paraId="75E04906" w14:textId="77777777" w:rsidTr="00523F90">
        <w:trPr>
          <w:trHeight w:val="567"/>
        </w:trPr>
        <w:tc>
          <w:tcPr>
            <w:tcW w:w="1668" w:type="dxa"/>
          </w:tcPr>
          <w:p w14:paraId="66AAB76C"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 xml:space="preserve"> - both</w:t>
            </w:r>
          </w:p>
        </w:tc>
        <w:tc>
          <w:tcPr>
            <w:tcW w:w="2126" w:type="dxa"/>
          </w:tcPr>
          <w:p w14:paraId="3E4BA0B2"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14 (8%)</w:t>
            </w:r>
          </w:p>
        </w:tc>
        <w:tc>
          <w:tcPr>
            <w:tcW w:w="2268" w:type="dxa"/>
          </w:tcPr>
          <w:p w14:paraId="7660AD2B" w14:textId="7E939B9C" w:rsidR="00205DBE" w:rsidRPr="004B2104" w:rsidRDefault="00797D79" w:rsidP="00436C9C">
            <w:pPr>
              <w:rPr>
                <w:rFonts w:asciiTheme="minorHAnsi" w:hAnsiTheme="minorHAnsi" w:cstheme="minorHAnsi"/>
                <w:sz w:val="20"/>
                <w:szCs w:val="20"/>
              </w:rPr>
            </w:pPr>
            <w:r>
              <w:rPr>
                <w:noProof/>
                <w:sz w:val="20"/>
                <w:szCs w:val="20"/>
                <w:lang w:eastAsia="en-AU"/>
              </w:rPr>
              <mc:AlternateContent>
                <mc:Choice Requires="wps">
                  <w:drawing>
                    <wp:anchor distT="0" distB="0" distL="114300" distR="114300" simplePos="0" relativeHeight="251667456" behindDoc="0" locked="0" layoutInCell="1" allowOverlap="1" wp14:anchorId="430516B0" wp14:editId="6EAD0487">
                      <wp:simplePos x="0" y="0"/>
                      <wp:positionH relativeFrom="margin">
                        <wp:posOffset>734060</wp:posOffset>
                      </wp:positionH>
                      <wp:positionV relativeFrom="margin">
                        <wp:posOffset>95885</wp:posOffset>
                      </wp:positionV>
                      <wp:extent cx="129540" cy="129540"/>
                      <wp:effectExtent l="19050" t="0" r="22860" b="22860"/>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95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1" o:spid="_x0000_s1026" type="#_x0000_t67" style="position:absolute;margin-left:57.8pt;margin-top:7.55pt;width:10.2pt;height:1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" adj="10800" fillcolor="#4f81bd" strokecolor="#385d8a" strokeweight="2pt">
                      <v:path arrowok="t"/>
                      <w10:wrap anchorx="margin" anchory="margin"/>
                    </v:shape>
                  </w:pict>
                </mc:Fallback>
              </mc:AlternateContent>
            </w:r>
            <w:r w:rsidR="00205DBE" w:rsidRPr="004B2104">
              <w:rPr>
                <w:rFonts w:asciiTheme="minorHAnsi" w:hAnsiTheme="minorHAnsi" w:cstheme="minorHAnsi"/>
                <w:sz w:val="20"/>
                <w:szCs w:val="20"/>
              </w:rPr>
              <w:t>10 (6%)</w:t>
            </w:r>
          </w:p>
        </w:tc>
      </w:tr>
      <w:tr w:rsidR="00205DBE" w:rsidRPr="0096008C" w14:paraId="78EAD332" w14:textId="77777777" w:rsidTr="00523F90">
        <w:trPr>
          <w:trHeight w:val="567"/>
        </w:trPr>
        <w:tc>
          <w:tcPr>
            <w:tcW w:w="1668" w:type="dxa"/>
          </w:tcPr>
          <w:p w14:paraId="385E5581"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lastRenderedPageBreak/>
              <w:t>$ recovered</w:t>
            </w:r>
          </w:p>
        </w:tc>
        <w:tc>
          <w:tcPr>
            <w:tcW w:w="2126" w:type="dxa"/>
          </w:tcPr>
          <w:p w14:paraId="1603061D"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$388,256</w:t>
            </w:r>
          </w:p>
        </w:tc>
        <w:tc>
          <w:tcPr>
            <w:tcW w:w="2268" w:type="dxa"/>
          </w:tcPr>
          <w:p w14:paraId="0D0E4E9F" w14:textId="4BF7A599" w:rsidR="00205DBE" w:rsidRPr="004B2104" w:rsidRDefault="00797D79" w:rsidP="00436C9C">
            <w:pPr>
              <w:rPr>
                <w:rFonts w:asciiTheme="minorHAnsi" w:hAnsiTheme="minorHAnsi" w:cstheme="minorHAnsi"/>
                <w:sz w:val="20"/>
                <w:szCs w:val="20"/>
              </w:rPr>
            </w:pPr>
            <w:bookmarkStart w:id="12" w:name="_GoBack"/>
            <w:r>
              <w:rPr>
                <w:noProof/>
                <w:sz w:val="20"/>
                <w:szCs w:val="20"/>
                <w:lang w:eastAsia="en-AU"/>
              </w:rPr>
              <mc:AlternateContent>
                <mc:Choice Requires="wps">
                  <w:drawing>
                    <wp:anchor distT="0" distB="0" distL="114300" distR="114300" simplePos="0" relativeHeight="251663360" behindDoc="0" locked="0" layoutInCell="1" allowOverlap="1" wp14:anchorId="3544274B" wp14:editId="4247D35B">
                      <wp:simplePos x="0" y="0"/>
                      <wp:positionH relativeFrom="column">
                        <wp:posOffset>733425</wp:posOffset>
                      </wp:positionH>
                      <wp:positionV relativeFrom="paragraph">
                        <wp:posOffset>100965</wp:posOffset>
                      </wp:positionV>
                      <wp:extent cx="129540" cy="129540"/>
                      <wp:effectExtent l="19050" t="0" r="22860" b="22860"/>
                      <wp:wrapNone/>
                      <wp:docPr id="17" name="Down Arrow 17" title="Arrow dow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95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6" type="#_x0000_t67" alt="Title: Arrow down" style="position:absolute;margin-left:57.75pt;margin-top:7.95pt;width:10.2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" adj="10800" fillcolor="#4f81bd" strokecolor="#385d8a" strokeweight="2pt">
                      <v:path arrowok="t"/>
                    </v:shape>
                  </w:pict>
                </mc:Fallback>
              </mc:AlternateContent>
            </w:r>
            <w:bookmarkEnd w:id="12"/>
            <w:r w:rsidR="00205DBE" w:rsidRPr="004B2104">
              <w:rPr>
                <w:rFonts w:asciiTheme="minorHAnsi" w:hAnsiTheme="minorHAnsi" w:cstheme="minorHAnsi"/>
                <w:sz w:val="20"/>
                <w:szCs w:val="20"/>
              </w:rPr>
              <w:t>$125,568</w:t>
            </w:r>
          </w:p>
        </w:tc>
      </w:tr>
      <w:tr w:rsidR="00205DBE" w:rsidRPr="0096008C" w14:paraId="5D05BD0D" w14:textId="77777777" w:rsidTr="00523F90">
        <w:trPr>
          <w:trHeight w:val="567"/>
        </w:trPr>
        <w:tc>
          <w:tcPr>
            <w:tcW w:w="1668" w:type="dxa"/>
          </w:tcPr>
          <w:p w14:paraId="63B51029"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Employees paid</w:t>
            </w:r>
          </w:p>
        </w:tc>
        <w:tc>
          <w:tcPr>
            <w:tcW w:w="2126" w:type="dxa"/>
          </w:tcPr>
          <w:p w14:paraId="3439DD6C" w14:textId="77777777" w:rsidR="00205DBE" w:rsidRPr="004B2104" w:rsidRDefault="00205DBE" w:rsidP="00436C9C">
            <w:pPr>
              <w:rPr>
                <w:rFonts w:asciiTheme="minorHAnsi" w:hAnsiTheme="minorHAnsi" w:cstheme="minorHAnsi"/>
                <w:sz w:val="20"/>
                <w:szCs w:val="20"/>
              </w:rPr>
            </w:pPr>
            <w:r w:rsidRPr="004B2104">
              <w:rPr>
                <w:rFonts w:asciiTheme="minorHAnsi" w:hAnsiTheme="minorHAnsi" w:cstheme="minorHAnsi"/>
                <w:sz w:val="20"/>
                <w:szCs w:val="20"/>
              </w:rPr>
              <w:t>622</w:t>
            </w:r>
          </w:p>
        </w:tc>
        <w:tc>
          <w:tcPr>
            <w:tcW w:w="2268" w:type="dxa"/>
          </w:tcPr>
          <w:p w14:paraId="2AF03A9F" w14:textId="1359B6BF" w:rsidR="00205DBE" w:rsidRPr="004B2104" w:rsidRDefault="00797D79" w:rsidP="00436C9C">
            <w:pPr>
              <w:rPr>
                <w:rFonts w:asciiTheme="minorHAnsi" w:hAnsiTheme="minorHAnsi" w:cstheme="minorHAnsi"/>
                <w:sz w:val="20"/>
                <w:szCs w:val="20"/>
              </w:rPr>
            </w:pPr>
            <w:r>
              <w:rPr>
                <w:noProof/>
                <w:sz w:val="20"/>
                <w:szCs w:val="20"/>
                <w:lang w:eastAsia="en-AU"/>
              </w:rPr>
              <mc:AlternateContent>
                <mc:Choice Requires="wps">
                  <w:drawing>
                    <wp:anchor distT="0" distB="0" distL="114300" distR="114300" simplePos="0" relativeHeight="251664384" behindDoc="0" locked="0" layoutInCell="1" allowOverlap="1" wp14:anchorId="12A43B6B" wp14:editId="21995B8B">
                      <wp:simplePos x="0" y="0"/>
                      <wp:positionH relativeFrom="column">
                        <wp:posOffset>733425</wp:posOffset>
                      </wp:positionH>
                      <wp:positionV relativeFrom="paragraph">
                        <wp:posOffset>56515</wp:posOffset>
                      </wp:positionV>
                      <wp:extent cx="129540" cy="129540"/>
                      <wp:effectExtent l="19050" t="0" r="22860" b="22860"/>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9540"/>
                              </a:xfrm>
                              <a:prstGeom prst="downArrow">
                                <a:avLst/>
                              </a:prstGeom>
                              <a:solidFill>
                                <a:srgbClr val="4F81BD"/>
                              </a:solidFill>
                              <a:ln w="25400" cap="flat" cmpd="sng" algn="ctr">
                                <a:solidFill>
                                  <a:srgbClr val="4F81BD">
                                    <a:shade val="50000"/>
                                  </a:srgbClr>
                                </a:solidFill>
                                <a:prstDash val="solid"/>
                              </a:ln>
                              <a:effectLst/>
                            </wps:spPr>
                            <wps:txbx>
                              <w:txbxContent>
                                <w:p w14:paraId="1919285A" w14:textId="77777777" w:rsidR="00205DBE" w:rsidRDefault="00205DBE" w:rsidP="00205DB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8" o:spid="_x0000_s1026" type="#_x0000_t67" style="position:absolute;left:0;text-align:left;margin-left:57.75pt;margin-top:4.45pt;width:10.2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" adj="10800" fillcolor="#4f81bd" strokecolor="#385d8a" strokeweight="2pt">
                      <v:path arrowok="t"/>
                      <v:textbox>
                        <w:txbxContent>
                          <w:p w14:paraId="1919285A" w14:textId="77777777" w:rsidR="00205DBE" w:rsidRDefault="00205DBE" w:rsidP="00205DBE">
                            <w:pPr>
                              <w:jc w:val="center"/>
                            </w:pPr>
                            <w:r>
                              <w:t xml:space="preserve"> </w:t>
                            </w:r>
                          </w:p>
                        </w:txbxContent>
                      </v:textbox>
                    </v:shape>
                  </w:pict>
                </mc:Fallback>
              </mc:AlternateContent>
            </w:r>
            <w:r w:rsidR="00205DBE" w:rsidRPr="004B2104">
              <w:rPr>
                <w:rFonts w:asciiTheme="minorHAnsi" w:hAnsiTheme="minorHAnsi" w:cstheme="minorHAnsi"/>
                <w:sz w:val="20"/>
                <w:szCs w:val="20"/>
              </w:rPr>
              <w:t>355</w:t>
            </w:r>
          </w:p>
        </w:tc>
      </w:tr>
    </w:tbl>
    <w:p w14:paraId="40328D04" w14:textId="77777777" w:rsidR="004B2104" w:rsidRDefault="004B2104" w:rsidP="00205DBE">
      <w:pPr>
        <w:rPr>
          <w:rFonts w:asciiTheme="minorHAnsi" w:hAnsiTheme="minorHAnsi" w:cstheme="minorHAnsi"/>
        </w:rPr>
      </w:pPr>
    </w:p>
    <w:p w14:paraId="6E589E81" w14:textId="77777777" w:rsidR="00205DBE" w:rsidRPr="00064562" w:rsidRDefault="00205DBE" w:rsidP="00205DBE">
      <w:pPr>
        <w:rPr>
          <w:rFonts w:asciiTheme="minorHAnsi" w:hAnsiTheme="minorHAnsi" w:cstheme="minorHAnsi"/>
          <w:sz w:val="22"/>
          <w:szCs w:val="22"/>
        </w:rPr>
      </w:pPr>
      <w:r w:rsidRPr="004B2104">
        <w:rPr>
          <w:rFonts w:asciiTheme="minorHAnsi" w:hAnsiTheme="minorHAnsi" w:cstheme="minorHAnsi"/>
          <w:sz w:val="22"/>
          <w:szCs w:val="22"/>
        </w:rPr>
        <w:t xml:space="preserve">Since the 2010 campaign, the overall compliance rate </w:t>
      </w:r>
      <w:r w:rsidR="00064562">
        <w:rPr>
          <w:rFonts w:asciiTheme="minorHAnsi" w:hAnsiTheme="minorHAnsi" w:cstheme="minorHAnsi"/>
          <w:sz w:val="22"/>
          <w:szCs w:val="22"/>
        </w:rPr>
        <w:t>for employers in the cleaning services industry</w:t>
      </w:r>
      <w:r w:rsidRPr="004B2104">
        <w:rPr>
          <w:rFonts w:asciiTheme="minorHAnsi" w:hAnsiTheme="minorHAnsi" w:cstheme="minorHAnsi"/>
          <w:sz w:val="22"/>
          <w:szCs w:val="22"/>
        </w:rPr>
        <w:t xml:space="preserve"> </w:t>
      </w:r>
      <w:r w:rsidRPr="00064562">
        <w:rPr>
          <w:rFonts w:asciiTheme="minorHAnsi" w:hAnsiTheme="minorHAnsi" w:cstheme="minorHAnsi"/>
          <w:sz w:val="22"/>
          <w:szCs w:val="22"/>
        </w:rPr>
        <w:t>increased from 54% to 63%.</w:t>
      </w:r>
    </w:p>
    <w:p w14:paraId="58C5A2B6"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 xml:space="preserve">Positively, monetary contraventions decreased from 27% to 18%. The effect of the monetary contraventions we identified was also far less, with our total recoveries from this group of employers in the 2013 campaign less than a third of what it was in the 2010 campaign. </w:t>
      </w:r>
    </w:p>
    <w:p w14:paraId="310016E1"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 xml:space="preserve">Figure 5 provides a further break down of the types of contraventions found for the abovementioned businesses. The majority of the contraventions related to underpayment of wages (31%), pay </w:t>
      </w:r>
      <w:proofErr w:type="gramStart"/>
      <w:r w:rsidRPr="00064562">
        <w:rPr>
          <w:rFonts w:asciiTheme="minorHAnsi" w:hAnsiTheme="minorHAnsi" w:cstheme="minorHAnsi"/>
          <w:sz w:val="22"/>
          <w:szCs w:val="22"/>
        </w:rPr>
        <w:t>slips</w:t>
      </w:r>
      <w:proofErr w:type="gramEnd"/>
      <w:r w:rsidRPr="00064562">
        <w:rPr>
          <w:rFonts w:asciiTheme="minorHAnsi" w:hAnsiTheme="minorHAnsi" w:cstheme="minorHAnsi"/>
          <w:sz w:val="22"/>
          <w:szCs w:val="22"/>
        </w:rPr>
        <w:t xml:space="preserve"> (28%) and penalty rates (11%).</w:t>
      </w:r>
    </w:p>
    <w:p w14:paraId="6B7A8BC1" w14:textId="77777777" w:rsidR="004B2104" w:rsidRPr="004B2104" w:rsidRDefault="004B2104" w:rsidP="00205DBE">
      <w:pPr>
        <w:rPr>
          <w:rFonts w:asciiTheme="minorHAnsi" w:hAnsiTheme="minorHAnsi" w:cstheme="minorHAnsi"/>
          <w:sz w:val="22"/>
          <w:szCs w:val="22"/>
        </w:rPr>
      </w:pPr>
    </w:p>
    <w:p w14:paraId="57505908" w14:textId="77777777" w:rsidR="00205DBE" w:rsidRPr="004B2104" w:rsidRDefault="00205DBE" w:rsidP="00205DBE">
      <w:pPr>
        <w:rPr>
          <w:rStyle w:val="IntenseEmphasis"/>
        </w:rPr>
      </w:pPr>
      <w:r w:rsidRPr="004B2104">
        <w:rPr>
          <w:rStyle w:val="IntenseEmphasis"/>
        </w:rPr>
        <w:t>Figure 5: Types of contraventions identified</w:t>
      </w:r>
    </w:p>
    <w:p w14:paraId="407473BA" w14:textId="77777777" w:rsidR="004B2104" w:rsidRPr="00064562" w:rsidRDefault="00205DBE" w:rsidP="00064562">
      <w:pPr>
        <w:rPr>
          <w:rFonts w:asciiTheme="minorHAnsi" w:hAnsiTheme="minorHAnsi" w:cstheme="minorHAnsi"/>
        </w:rPr>
      </w:pPr>
      <w:r w:rsidRPr="0096008C">
        <w:rPr>
          <w:rFonts w:asciiTheme="minorHAnsi" w:hAnsiTheme="minorHAnsi" w:cstheme="minorHAnsi"/>
          <w:noProof/>
          <w:color w:val="1F497D"/>
          <w:lang w:eastAsia="en-AU"/>
        </w:rPr>
        <w:drawing>
          <wp:inline distT="0" distB="0" distL="0" distR="0" wp14:anchorId="4188432D" wp14:editId="1B634BE0">
            <wp:extent cx="5113025" cy="3291840"/>
            <wp:effectExtent l="0" t="0" r="0" b="0"/>
            <wp:docPr id="32" name="Picture 32" descr="This is a pie chart of contraventions indetified amongst group A employers in 2012. Casual loading made up 1%, allowances 3%, overtime 11% and record-keeping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CF9F7C.8A44CE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113025" cy="3291840"/>
                    </a:xfrm>
                    <a:prstGeom prst="rect">
                      <a:avLst/>
                    </a:prstGeom>
                    <a:noFill/>
                    <a:ln>
                      <a:noFill/>
                    </a:ln>
                  </pic:spPr>
                </pic:pic>
              </a:graphicData>
            </a:graphic>
          </wp:inline>
        </w:drawing>
      </w:r>
      <w:bookmarkStart w:id="13" w:name="_Toc408498478"/>
      <w:r w:rsidR="004B2104">
        <w:br w:type="page"/>
      </w:r>
    </w:p>
    <w:p w14:paraId="4E888F05" w14:textId="77777777" w:rsidR="00205DBE" w:rsidRDefault="00205DBE" w:rsidP="00205DBE">
      <w:pPr>
        <w:pStyle w:val="Heading1"/>
      </w:pPr>
      <w:r w:rsidRPr="00205DBE">
        <w:lastRenderedPageBreak/>
        <w:t>Regional Findings</w:t>
      </w:r>
      <w:bookmarkEnd w:id="13"/>
    </w:p>
    <w:p w14:paraId="67E39499" w14:textId="77777777" w:rsidR="00205DBE" w:rsidRDefault="00205DBE" w:rsidP="00205DBE">
      <w:pPr>
        <w:pStyle w:val="Heading2"/>
      </w:pPr>
      <w:bookmarkStart w:id="14" w:name="_Toc408498479"/>
      <w:r w:rsidRPr="00205DBE">
        <w:t>Victoria</w:t>
      </w:r>
      <w:bookmarkEnd w:id="14"/>
    </w:p>
    <w:p w14:paraId="20C88CFF"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Of the 132 businesses we assessed in Victoria:</w:t>
      </w:r>
    </w:p>
    <w:p w14:paraId="48D5DD31"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 xml:space="preserve">74 (56%) employers were compliant with all requirements </w:t>
      </w:r>
    </w:p>
    <w:p w14:paraId="4F937060"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58 (44%) had at least one contravention of which:</w:t>
      </w:r>
    </w:p>
    <w:p w14:paraId="664AE8F7" w14:textId="77777777" w:rsidR="00205DBE" w:rsidRPr="0096008C" w:rsidRDefault="00205DBE" w:rsidP="00205DBE">
      <w:pPr>
        <w:pStyle w:val="Bullet"/>
        <w:numPr>
          <w:ilvl w:val="0"/>
          <w:numId w:val="26"/>
        </w:numPr>
        <w:jc w:val="both"/>
        <w:rPr>
          <w:rFonts w:asciiTheme="minorHAnsi" w:hAnsiTheme="minorHAnsi" w:cstheme="minorHAnsi"/>
        </w:rPr>
      </w:pPr>
      <w:r w:rsidRPr="0096008C">
        <w:rPr>
          <w:rFonts w:asciiTheme="minorHAnsi" w:hAnsiTheme="minorHAnsi" w:cstheme="minorHAnsi"/>
        </w:rPr>
        <w:t>24 (18%) were paying incorrect rates of pay</w:t>
      </w:r>
    </w:p>
    <w:p w14:paraId="62D8409E" w14:textId="77777777" w:rsidR="00205DBE" w:rsidRPr="0096008C" w:rsidRDefault="00205DBE" w:rsidP="00205DBE">
      <w:pPr>
        <w:pStyle w:val="Bullet"/>
        <w:numPr>
          <w:ilvl w:val="0"/>
          <w:numId w:val="26"/>
        </w:numPr>
        <w:jc w:val="both"/>
        <w:rPr>
          <w:rFonts w:asciiTheme="minorHAnsi" w:hAnsiTheme="minorHAnsi" w:cstheme="minorHAnsi"/>
        </w:rPr>
      </w:pPr>
      <w:r w:rsidRPr="0096008C">
        <w:rPr>
          <w:rFonts w:asciiTheme="minorHAnsi" w:hAnsiTheme="minorHAnsi" w:cstheme="minorHAnsi"/>
        </w:rPr>
        <w:t xml:space="preserve">21 (16%) had contraventions relating to pay slips or record-keeping  </w:t>
      </w:r>
    </w:p>
    <w:p w14:paraId="1D33D507" w14:textId="77777777" w:rsidR="00205DBE" w:rsidRPr="0096008C" w:rsidRDefault="00205DBE" w:rsidP="00205DBE">
      <w:pPr>
        <w:pStyle w:val="Bullet"/>
        <w:numPr>
          <w:ilvl w:val="0"/>
          <w:numId w:val="26"/>
        </w:numPr>
        <w:jc w:val="both"/>
        <w:rPr>
          <w:rFonts w:asciiTheme="minorHAnsi" w:hAnsiTheme="minorHAnsi" w:cstheme="minorHAnsi"/>
        </w:rPr>
      </w:pPr>
      <w:r w:rsidRPr="0096008C">
        <w:rPr>
          <w:rFonts w:asciiTheme="minorHAnsi" w:hAnsiTheme="minorHAnsi" w:cstheme="minorHAnsi"/>
        </w:rPr>
        <w:t>13 (10%) had both monetary and non-monetary contraventions</w:t>
      </w:r>
    </w:p>
    <w:p w14:paraId="68802909" w14:textId="77777777" w:rsidR="00205DBE" w:rsidRPr="00064562" w:rsidRDefault="00064562" w:rsidP="00064562">
      <w:pPr>
        <w:spacing w:before="240"/>
        <w:rPr>
          <w:rFonts w:asciiTheme="minorHAnsi" w:hAnsiTheme="minorHAnsi" w:cstheme="minorHAnsi"/>
          <w:sz w:val="22"/>
          <w:szCs w:val="22"/>
        </w:rPr>
      </w:pPr>
      <w:r>
        <w:rPr>
          <w:rFonts w:asciiTheme="minorHAnsi" w:hAnsiTheme="minorHAnsi" w:cstheme="minorHAnsi"/>
          <w:sz w:val="22"/>
          <w:szCs w:val="22"/>
        </w:rPr>
        <w:t xml:space="preserve">A total of </w:t>
      </w:r>
      <w:r w:rsidR="00205DBE" w:rsidRPr="00064562">
        <w:rPr>
          <w:rFonts w:asciiTheme="minorHAnsi" w:hAnsiTheme="minorHAnsi" w:cstheme="minorHAnsi"/>
          <w:sz w:val="22"/>
          <w:szCs w:val="22"/>
        </w:rPr>
        <w:t>$246,206 was recovered for 268 employees from 14 employers.</w:t>
      </w:r>
    </w:p>
    <w:p w14:paraId="17B320A7"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The majority of contraventions identified related to pay slips, penalty rates and underpayment of correct minimum hourly rates of pay.</w:t>
      </w:r>
    </w:p>
    <w:p w14:paraId="4DF86D1A" w14:textId="77777777" w:rsidR="00C423F4" w:rsidRPr="002F0DF6" w:rsidRDefault="00C423F4" w:rsidP="00205DBE">
      <w:pPr>
        <w:rPr>
          <w:rFonts w:asciiTheme="minorHAnsi" w:hAnsiTheme="minorHAnsi" w:cstheme="minorHAnsi"/>
          <w:b/>
          <w:color w:val="4F81BD" w:themeColor="accent1"/>
          <w:sz w:val="22"/>
          <w:szCs w:val="22"/>
        </w:rPr>
      </w:pPr>
      <w:r w:rsidRPr="002F0DF6">
        <w:rPr>
          <w:b/>
          <w:color w:val="4F81BD" w:themeColor="accent1"/>
        </w:rPr>
        <w:t>Tasmania</w:t>
      </w:r>
      <w:r w:rsidRPr="002F0DF6">
        <w:rPr>
          <w:rFonts w:asciiTheme="minorHAnsi" w:hAnsiTheme="minorHAnsi" w:cstheme="minorHAnsi"/>
          <w:b/>
          <w:color w:val="4F81BD" w:themeColor="accent1"/>
          <w:sz w:val="22"/>
          <w:szCs w:val="22"/>
        </w:rPr>
        <w:t xml:space="preserve"> </w:t>
      </w:r>
    </w:p>
    <w:p w14:paraId="4E7E4E65"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Of the 14 businesses we assessed in Tasmania:</w:t>
      </w:r>
    </w:p>
    <w:p w14:paraId="5E924B43"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 xml:space="preserve">11 (79%) employers were compliant with all requirements </w:t>
      </w:r>
    </w:p>
    <w:p w14:paraId="2D5E29A0"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3 (21%) had at least one contravention of which:</w:t>
      </w:r>
    </w:p>
    <w:p w14:paraId="106FA244" w14:textId="77777777" w:rsidR="00205DBE" w:rsidRPr="0096008C" w:rsidRDefault="00205DBE" w:rsidP="00205DBE">
      <w:pPr>
        <w:pStyle w:val="Bullet"/>
        <w:numPr>
          <w:ilvl w:val="0"/>
          <w:numId w:val="27"/>
        </w:numPr>
        <w:jc w:val="both"/>
        <w:rPr>
          <w:rFonts w:asciiTheme="minorHAnsi" w:hAnsiTheme="minorHAnsi" w:cstheme="minorHAnsi"/>
        </w:rPr>
      </w:pPr>
      <w:r w:rsidRPr="0096008C">
        <w:rPr>
          <w:rFonts w:asciiTheme="minorHAnsi" w:hAnsiTheme="minorHAnsi" w:cstheme="minorHAnsi"/>
        </w:rPr>
        <w:t>1 (7%) was paying incorrect rates of pay</w:t>
      </w:r>
    </w:p>
    <w:p w14:paraId="25B0B497" w14:textId="77777777" w:rsidR="00205DBE" w:rsidRPr="0096008C" w:rsidRDefault="00205DBE" w:rsidP="00205DBE">
      <w:pPr>
        <w:pStyle w:val="Bullet"/>
        <w:numPr>
          <w:ilvl w:val="0"/>
          <w:numId w:val="27"/>
        </w:numPr>
        <w:jc w:val="both"/>
        <w:rPr>
          <w:rFonts w:asciiTheme="minorHAnsi" w:hAnsiTheme="minorHAnsi" w:cstheme="minorHAnsi"/>
        </w:rPr>
      </w:pPr>
      <w:r w:rsidRPr="0096008C">
        <w:rPr>
          <w:rFonts w:asciiTheme="minorHAnsi" w:hAnsiTheme="minorHAnsi" w:cstheme="minorHAnsi"/>
        </w:rPr>
        <w:t>2 (14%) had contraventions relating to pay slips</w:t>
      </w:r>
    </w:p>
    <w:p w14:paraId="070CCCF1" w14:textId="77777777" w:rsidR="00205DBE" w:rsidRPr="00205DBE" w:rsidRDefault="00064562" w:rsidP="00064562">
      <w:pPr>
        <w:pStyle w:val="Bullet"/>
        <w:numPr>
          <w:ilvl w:val="0"/>
          <w:numId w:val="0"/>
        </w:numPr>
        <w:spacing w:before="240" w:after="120"/>
        <w:jc w:val="both"/>
        <w:rPr>
          <w:rFonts w:asciiTheme="minorHAnsi" w:hAnsiTheme="minorHAnsi" w:cstheme="minorHAnsi"/>
        </w:rPr>
      </w:pPr>
      <w:r>
        <w:rPr>
          <w:rFonts w:asciiTheme="minorHAnsi" w:hAnsiTheme="minorHAnsi" w:cstheme="minorHAnsi"/>
        </w:rPr>
        <w:t xml:space="preserve">A total of </w:t>
      </w:r>
      <w:r w:rsidR="00205DBE" w:rsidRPr="0096008C">
        <w:rPr>
          <w:rFonts w:asciiTheme="minorHAnsi" w:hAnsiTheme="minorHAnsi" w:cstheme="minorHAnsi"/>
        </w:rPr>
        <w:t>$2,668 was recovered for five employees from one employer.</w:t>
      </w:r>
    </w:p>
    <w:p w14:paraId="111EE2FD" w14:textId="77777777" w:rsidR="00205DBE" w:rsidRDefault="00205DBE" w:rsidP="00205DBE">
      <w:pPr>
        <w:pStyle w:val="Heading2"/>
        <w:jc w:val="left"/>
      </w:pPr>
      <w:bookmarkStart w:id="15" w:name="_Toc408498480"/>
      <w:r w:rsidRPr="0096008C">
        <w:t>New South Wales</w:t>
      </w:r>
      <w:bookmarkEnd w:id="15"/>
    </w:p>
    <w:p w14:paraId="68F6C88B" w14:textId="77777777" w:rsidR="00205DBE" w:rsidRPr="0096008C" w:rsidRDefault="00205DBE" w:rsidP="00C2298B">
      <w:pPr>
        <w:pStyle w:val="Bullet"/>
        <w:numPr>
          <w:ilvl w:val="0"/>
          <w:numId w:val="0"/>
        </w:numPr>
        <w:jc w:val="both"/>
        <w:rPr>
          <w:rFonts w:asciiTheme="minorHAnsi" w:hAnsiTheme="minorHAnsi" w:cstheme="minorHAnsi"/>
          <w:lang w:val="en-US"/>
        </w:rPr>
      </w:pPr>
      <w:r w:rsidRPr="0096008C">
        <w:rPr>
          <w:rFonts w:asciiTheme="minorHAnsi" w:hAnsiTheme="minorHAnsi" w:cstheme="minorHAnsi"/>
          <w:lang w:val="en-US"/>
        </w:rPr>
        <w:t>Of the 165 businesses assessed in NSW:</w:t>
      </w:r>
    </w:p>
    <w:p w14:paraId="5E786505" w14:textId="77777777" w:rsidR="00205DBE" w:rsidRPr="0096008C" w:rsidRDefault="00205DBE" w:rsidP="00C2298B">
      <w:pPr>
        <w:pStyle w:val="Bullet"/>
        <w:jc w:val="both"/>
        <w:rPr>
          <w:rFonts w:asciiTheme="minorHAnsi" w:hAnsiTheme="minorHAnsi" w:cstheme="minorHAnsi"/>
          <w:lang w:val="en-US"/>
        </w:rPr>
      </w:pPr>
      <w:r w:rsidRPr="0096008C">
        <w:rPr>
          <w:rFonts w:asciiTheme="minorHAnsi" w:hAnsiTheme="minorHAnsi" w:cstheme="minorHAnsi"/>
          <w:lang w:val="en-US"/>
        </w:rPr>
        <w:t>100 (61%) employers were compliant with all requirements</w:t>
      </w:r>
      <w:r w:rsidRPr="0096008C" w:rsidDel="00CC4FE7">
        <w:rPr>
          <w:rFonts w:asciiTheme="minorHAnsi" w:hAnsiTheme="minorHAnsi" w:cstheme="minorHAnsi"/>
          <w:lang w:val="en-US"/>
        </w:rPr>
        <w:t xml:space="preserve"> </w:t>
      </w:r>
    </w:p>
    <w:p w14:paraId="4BC85991" w14:textId="77777777" w:rsidR="00205DBE" w:rsidRPr="0096008C" w:rsidRDefault="00205DBE" w:rsidP="00C2298B">
      <w:pPr>
        <w:pStyle w:val="Bullet"/>
        <w:jc w:val="both"/>
        <w:rPr>
          <w:rFonts w:asciiTheme="minorHAnsi" w:hAnsiTheme="minorHAnsi" w:cstheme="minorHAnsi"/>
          <w:lang w:val="en-US"/>
        </w:rPr>
      </w:pPr>
      <w:r w:rsidRPr="0096008C">
        <w:rPr>
          <w:rFonts w:asciiTheme="minorHAnsi" w:hAnsiTheme="minorHAnsi" w:cstheme="minorHAnsi"/>
          <w:lang w:val="en-US"/>
        </w:rPr>
        <w:t xml:space="preserve">65 (39%) employers had at least one </w:t>
      </w:r>
      <w:r w:rsidRPr="0096008C">
        <w:rPr>
          <w:rFonts w:asciiTheme="minorHAnsi" w:hAnsiTheme="minorHAnsi" w:cstheme="minorHAnsi"/>
        </w:rPr>
        <w:t>contravention</w:t>
      </w:r>
      <w:r w:rsidRPr="0096008C">
        <w:rPr>
          <w:rFonts w:asciiTheme="minorHAnsi" w:hAnsiTheme="minorHAnsi" w:cstheme="minorHAnsi"/>
          <w:lang w:val="en-US"/>
        </w:rPr>
        <w:t>, of which:</w:t>
      </w:r>
    </w:p>
    <w:p w14:paraId="6020E6F7" w14:textId="77777777" w:rsidR="00205DBE" w:rsidRPr="0096008C" w:rsidRDefault="00205DBE" w:rsidP="00C2298B">
      <w:pPr>
        <w:pStyle w:val="Bullet"/>
        <w:numPr>
          <w:ilvl w:val="0"/>
          <w:numId w:val="30"/>
        </w:numPr>
        <w:jc w:val="both"/>
        <w:rPr>
          <w:rFonts w:asciiTheme="minorHAnsi" w:hAnsiTheme="minorHAnsi" w:cstheme="minorHAnsi"/>
          <w:lang w:val="en-US"/>
        </w:rPr>
      </w:pPr>
      <w:r w:rsidRPr="0096008C">
        <w:rPr>
          <w:rFonts w:asciiTheme="minorHAnsi" w:hAnsiTheme="minorHAnsi" w:cstheme="minorHAnsi"/>
          <w:lang w:val="en-US"/>
        </w:rPr>
        <w:t>38 (23%) were paying incorrect rates of pay</w:t>
      </w:r>
    </w:p>
    <w:p w14:paraId="69498305" w14:textId="77777777" w:rsidR="00205DBE" w:rsidRPr="0096008C" w:rsidRDefault="00205DBE" w:rsidP="00C2298B">
      <w:pPr>
        <w:pStyle w:val="Bullet"/>
        <w:numPr>
          <w:ilvl w:val="0"/>
          <w:numId w:val="29"/>
        </w:numPr>
        <w:jc w:val="both"/>
        <w:rPr>
          <w:rFonts w:asciiTheme="minorHAnsi" w:hAnsiTheme="minorHAnsi" w:cstheme="minorHAnsi"/>
          <w:lang w:val="en-US"/>
        </w:rPr>
      </w:pPr>
      <w:r w:rsidRPr="0096008C">
        <w:rPr>
          <w:rFonts w:asciiTheme="minorHAnsi" w:hAnsiTheme="minorHAnsi" w:cstheme="minorHAnsi"/>
          <w:lang w:val="en-US"/>
        </w:rPr>
        <w:t xml:space="preserve">18 (11%) had </w:t>
      </w:r>
      <w:r w:rsidRPr="0096008C">
        <w:rPr>
          <w:rFonts w:asciiTheme="minorHAnsi" w:hAnsiTheme="minorHAnsi" w:cstheme="minorHAnsi"/>
        </w:rPr>
        <w:t>contravention</w:t>
      </w:r>
      <w:r w:rsidRPr="0096008C">
        <w:rPr>
          <w:rFonts w:asciiTheme="minorHAnsi" w:hAnsiTheme="minorHAnsi" w:cstheme="minorHAnsi"/>
          <w:lang w:val="en-US"/>
        </w:rPr>
        <w:t xml:space="preserve">s relating to pay slips, record keeping  </w:t>
      </w:r>
    </w:p>
    <w:p w14:paraId="4434493B" w14:textId="77777777" w:rsidR="00205DBE" w:rsidRPr="0096008C" w:rsidRDefault="00205DBE" w:rsidP="00C2298B">
      <w:pPr>
        <w:pStyle w:val="Bullet"/>
        <w:numPr>
          <w:ilvl w:val="0"/>
          <w:numId w:val="28"/>
        </w:numPr>
        <w:jc w:val="both"/>
        <w:rPr>
          <w:rFonts w:asciiTheme="minorHAnsi" w:hAnsiTheme="minorHAnsi" w:cstheme="minorHAnsi"/>
          <w:lang w:val="en-US"/>
        </w:rPr>
      </w:pPr>
      <w:r w:rsidRPr="0096008C">
        <w:rPr>
          <w:rFonts w:asciiTheme="minorHAnsi" w:hAnsiTheme="minorHAnsi" w:cstheme="minorHAnsi"/>
          <w:lang w:val="en-US"/>
        </w:rPr>
        <w:t xml:space="preserve">9 (5%) had both monetary and non-monetary </w:t>
      </w:r>
      <w:r w:rsidRPr="0096008C">
        <w:rPr>
          <w:rFonts w:asciiTheme="minorHAnsi" w:hAnsiTheme="minorHAnsi" w:cstheme="minorHAnsi"/>
        </w:rPr>
        <w:t>contravention</w:t>
      </w:r>
      <w:r w:rsidRPr="0096008C">
        <w:rPr>
          <w:rFonts w:asciiTheme="minorHAnsi" w:hAnsiTheme="minorHAnsi" w:cstheme="minorHAnsi"/>
          <w:lang w:val="en-US"/>
        </w:rPr>
        <w:t>s</w:t>
      </w:r>
    </w:p>
    <w:p w14:paraId="24EA4449" w14:textId="77777777" w:rsidR="00205DBE" w:rsidRPr="0096008C" w:rsidRDefault="00205DBE" w:rsidP="00C2298B">
      <w:pPr>
        <w:pStyle w:val="Bullet"/>
        <w:numPr>
          <w:ilvl w:val="0"/>
          <w:numId w:val="0"/>
        </w:numPr>
        <w:spacing w:before="240" w:after="120"/>
        <w:jc w:val="both"/>
        <w:rPr>
          <w:rFonts w:asciiTheme="minorHAnsi" w:hAnsiTheme="minorHAnsi" w:cstheme="minorHAnsi"/>
          <w:lang w:val="en-US"/>
        </w:rPr>
      </w:pPr>
      <w:r w:rsidRPr="0096008C">
        <w:rPr>
          <w:rFonts w:asciiTheme="minorHAnsi" w:hAnsiTheme="minorHAnsi" w:cstheme="minorHAnsi"/>
          <w:lang w:val="en-US"/>
        </w:rPr>
        <w:t xml:space="preserve">The 65 employers had a combined 91 separate </w:t>
      </w:r>
      <w:r w:rsidRPr="0096008C">
        <w:rPr>
          <w:rFonts w:asciiTheme="minorHAnsi" w:hAnsiTheme="minorHAnsi" w:cstheme="minorHAnsi"/>
        </w:rPr>
        <w:t>contravention</w:t>
      </w:r>
      <w:r w:rsidRPr="0096008C">
        <w:rPr>
          <w:rFonts w:asciiTheme="minorHAnsi" w:hAnsiTheme="minorHAnsi" w:cstheme="minorHAnsi"/>
          <w:lang w:val="en-US"/>
        </w:rPr>
        <w:t>s identified. A breakdown of these reveals underpayment of hourly rate (39 or 43%) made up the majority, followed by pay slips (18 or 20%) and penalty rates (15 or 16%).</w:t>
      </w:r>
    </w:p>
    <w:p w14:paraId="4A4A74EB" w14:textId="77777777" w:rsidR="00205DBE" w:rsidRPr="0096008C" w:rsidRDefault="00064562" w:rsidP="00C2298B">
      <w:pPr>
        <w:pStyle w:val="Bullet"/>
        <w:numPr>
          <w:ilvl w:val="0"/>
          <w:numId w:val="0"/>
        </w:numPr>
        <w:spacing w:after="120"/>
        <w:jc w:val="both"/>
        <w:rPr>
          <w:rFonts w:asciiTheme="minorHAnsi" w:hAnsiTheme="minorHAnsi" w:cstheme="minorHAnsi"/>
          <w:lang w:val="en-US"/>
        </w:rPr>
      </w:pPr>
      <w:r>
        <w:rPr>
          <w:rFonts w:asciiTheme="minorHAnsi" w:hAnsiTheme="minorHAnsi" w:cstheme="minorHAnsi"/>
          <w:lang w:val="en-US"/>
        </w:rPr>
        <w:t xml:space="preserve">A total of </w:t>
      </w:r>
      <w:r w:rsidR="00205DBE" w:rsidRPr="0096008C">
        <w:rPr>
          <w:rFonts w:asciiTheme="minorHAnsi" w:hAnsiTheme="minorHAnsi" w:cstheme="minorHAnsi"/>
          <w:lang w:val="en-US"/>
        </w:rPr>
        <w:t>$215,278 was recovered for 294 employees from 40 employers.</w:t>
      </w:r>
    </w:p>
    <w:p w14:paraId="25743164" w14:textId="77777777" w:rsidR="00C423F4" w:rsidRPr="002F0DF6" w:rsidRDefault="00C423F4" w:rsidP="00C2298B">
      <w:pPr>
        <w:pStyle w:val="Bullet"/>
        <w:numPr>
          <w:ilvl w:val="0"/>
          <w:numId w:val="0"/>
        </w:numPr>
        <w:jc w:val="both"/>
        <w:rPr>
          <w:rFonts w:ascii="Arial" w:hAnsi="Arial" w:cs="Arial"/>
          <w:b/>
          <w:color w:val="4F81BD" w:themeColor="accent1"/>
        </w:rPr>
      </w:pPr>
      <w:r w:rsidRPr="002F0DF6">
        <w:rPr>
          <w:rFonts w:ascii="Arial" w:hAnsi="Arial" w:cs="Arial"/>
          <w:b/>
          <w:color w:val="4F81BD" w:themeColor="accent1"/>
        </w:rPr>
        <w:t xml:space="preserve">Australian Capital Territory </w:t>
      </w:r>
    </w:p>
    <w:p w14:paraId="759790E2" w14:textId="77777777" w:rsidR="00205DBE" w:rsidRPr="0096008C" w:rsidRDefault="00205DBE" w:rsidP="00C2298B">
      <w:pPr>
        <w:pStyle w:val="Bullet"/>
        <w:numPr>
          <w:ilvl w:val="0"/>
          <w:numId w:val="0"/>
        </w:numPr>
        <w:jc w:val="both"/>
        <w:rPr>
          <w:rFonts w:asciiTheme="minorHAnsi" w:hAnsiTheme="minorHAnsi" w:cstheme="minorHAnsi"/>
          <w:lang w:val="en-US"/>
        </w:rPr>
      </w:pPr>
      <w:r w:rsidRPr="0096008C">
        <w:rPr>
          <w:rFonts w:asciiTheme="minorHAnsi" w:hAnsiTheme="minorHAnsi" w:cstheme="minorHAnsi"/>
          <w:lang w:val="en-US"/>
        </w:rPr>
        <w:t>Of the 11 businesses we assessed in the ACT, we found:</w:t>
      </w:r>
    </w:p>
    <w:p w14:paraId="529E19D9" w14:textId="77777777" w:rsidR="00205DBE" w:rsidRPr="0096008C" w:rsidRDefault="00205DBE" w:rsidP="00C2298B">
      <w:pPr>
        <w:pStyle w:val="Bullet"/>
        <w:jc w:val="both"/>
        <w:rPr>
          <w:rFonts w:asciiTheme="minorHAnsi" w:hAnsiTheme="minorHAnsi" w:cstheme="minorHAnsi"/>
          <w:lang w:val="en-US"/>
        </w:rPr>
      </w:pPr>
      <w:r w:rsidRPr="0096008C">
        <w:rPr>
          <w:rFonts w:asciiTheme="minorHAnsi" w:hAnsiTheme="minorHAnsi" w:cstheme="minorHAnsi"/>
          <w:lang w:val="en-US"/>
        </w:rPr>
        <w:t>8 (73%) employers to be compliant with all requirements</w:t>
      </w:r>
    </w:p>
    <w:p w14:paraId="16527B51" w14:textId="77777777" w:rsidR="00205DBE" w:rsidRPr="0096008C" w:rsidRDefault="00205DBE" w:rsidP="00C2298B">
      <w:pPr>
        <w:pStyle w:val="Bullet"/>
        <w:jc w:val="both"/>
        <w:rPr>
          <w:rFonts w:asciiTheme="minorHAnsi" w:hAnsiTheme="minorHAnsi" w:cstheme="minorHAnsi"/>
          <w:lang w:val="en-US"/>
        </w:rPr>
      </w:pPr>
      <w:r w:rsidRPr="0096008C">
        <w:rPr>
          <w:rFonts w:asciiTheme="minorHAnsi" w:hAnsiTheme="minorHAnsi" w:cstheme="minorHAnsi"/>
          <w:lang w:val="en-US"/>
        </w:rPr>
        <w:t>2 (18%) were paying incorrect rates of pay</w:t>
      </w:r>
    </w:p>
    <w:p w14:paraId="755191F6" w14:textId="77777777" w:rsidR="00205DBE" w:rsidRPr="0096008C" w:rsidRDefault="00205DBE" w:rsidP="00C2298B">
      <w:pPr>
        <w:pStyle w:val="Bullet"/>
        <w:spacing w:after="120"/>
        <w:ind w:left="357" w:hanging="357"/>
        <w:jc w:val="both"/>
        <w:rPr>
          <w:rFonts w:asciiTheme="minorHAnsi" w:hAnsiTheme="minorHAnsi" w:cstheme="minorHAnsi"/>
          <w:lang w:val="en-US"/>
        </w:rPr>
      </w:pPr>
      <w:r w:rsidRPr="0096008C">
        <w:rPr>
          <w:rFonts w:asciiTheme="minorHAnsi" w:hAnsiTheme="minorHAnsi" w:cstheme="minorHAnsi"/>
          <w:lang w:val="en-US"/>
        </w:rPr>
        <w:t xml:space="preserve">1 (9%) had non-monetary </w:t>
      </w:r>
      <w:r w:rsidRPr="0096008C">
        <w:rPr>
          <w:rFonts w:asciiTheme="minorHAnsi" w:hAnsiTheme="minorHAnsi" w:cstheme="minorHAnsi"/>
        </w:rPr>
        <w:t>contravention</w:t>
      </w:r>
      <w:r w:rsidRPr="0096008C">
        <w:rPr>
          <w:rFonts w:asciiTheme="minorHAnsi" w:hAnsiTheme="minorHAnsi" w:cstheme="minorHAnsi"/>
          <w:lang w:val="en-US"/>
        </w:rPr>
        <w:t xml:space="preserve">s </w:t>
      </w:r>
    </w:p>
    <w:p w14:paraId="55598BC4" w14:textId="77777777" w:rsidR="00205DBE" w:rsidRPr="00064562" w:rsidRDefault="00205DBE" w:rsidP="00205DBE">
      <w:pPr>
        <w:pStyle w:val="Bullet"/>
        <w:numPr>
          <w:ilvl w:val="0"/>
          <w:numId w:val="0"/>
        </w:numPr>
        <w:spacing w:after="120"/>
        <w:jc w:val="both"/>
        <w:rPr>
          <w:rFonts w:asciiTheme="minorHAnsi" w:hAnsiTheme="minorHAnsi" w:cstheme="minorHAnsi"/>
          <w:lang w:val="en-US"/>
        </w:rPr>
      </w:pPr>
      <w:r w:rsidRPr="00064562">
        <w:rPr>
          <w:rFonts w:asciiTheme="minorHAnsi" w:hAnsiTheme="minorHAnsi" w:cstheme="minorHAnsi"/>
          <w:lang w:val="en-US"/>
        </w:rPr>
        <w:lastRenderedPageBreak/>
        <w:t xml:space="preserve">The three employers found to have </w:t>
      </w:r>
      <w:r w:rsidRPr="00064562">
        <w:rPr>
          <w:rFonts w:asciiTheme="minorHAnsi" w:hAnsiTheme="minorHAnsi" w:cstheme="minorHAnsi"/>
        </w:rPr>
        <w:t>contravention</w:t>
      </w:r>
      <w:r w:rsidRPr="00064562">
        <w:rPr>
          <w:rFonts w:asciiTheme="minorHAnsi" w:hAnsiTheme="minorHAnsi" w:cstheme="minorHAnsi"/>
          <w:lang w:val="en-US"/>
        </w:rPr>
        <w:t xml:space="preserve">s had five separate </w:t>
      </w:r>
      <w:r w:rsidRPr="00064562">
        <w:rPr>
          <w:rFonts w:asciiTheme="minorHAnsi" w:hAnsiTheme="minorHAnsi" w:cstheme="minorHAnsi"/>
        </w:rPr>
        <w:t>contravention</w:t>
      </w:r>
      <w:r w:rsidRPr="00064562">
        <w:rPr>
          <w:rFonts w:asciiTheme="minorHAnsi" w:hAnsiTheme="minorHAnsi" w:cstheme="minorHAnsi"/>
          <w:lang w:val="en-US"/>
        </w:rPr>
        <w:t>s, of which three (60%) related to underpayment of hourly rates, one (20%) pay slips and one (20%) overtime.</w:t>
      </w:r>
    </w:p>
    <w:p w14:paraId="6753D2B7" w14:textId="77777777" w:rsidR="00205DBE" w:rsidRPr="00064562" w:rsidRDefault="006B7D36" w:rsidP="00205DBE">
      <w:pPr>
        <w:pStyle w:val="Bullet"/>
        <w:numPr>
          <w:ilvl w:val="0"/>
          <w:numId w:val="0"/>
        </w:numPr>
        <w:spacing w:after="120"/>
        <w:jc w:val="both"/>
        <w:rPr>
          <w:rFonts w:asciiTheme="minorHAnsi" w:hAnsiTheme="minorHAnsi" w:cstheme="minorHAnsi"/>
          <w:lang w:val="en-US"/>
        </w:rPr>
      </w:pPr>
      <w:r>
        <w:rPr>
          <w:rFonts w:asciiTheme="minorHAnsi" w:hAnsiTheme="minorHAnsi" w:cstheme="minorHAnsi"/>
          <w:lang w:val="en-US"/>
        </w:rPr>
        <w:t xml:space="preserve">A total of </w:t>
      </w:r>
      <w:r w:rsidR="00205DBE" w:rsidRPr="00064562">
        <w:rPr>
          <w:rFonts w:asciiTheme="minorHAnsi" w:hAnsiTheme="minorHAnsi" w:cstheme="minorHAnsi"/>
          <w:lang w:val="en-US"/>
        </w:rPr>
        <w:t>$2,659 was recovered for three ACT employees from two employers.</w:t>
      </w:r>
    </w:p>
    <w:p w14:paraId="15C7A1A1"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 xml:space="preserve">The main cause of the contraventions was the payment of flat rates of pay for all hours worked. In such cases, employees were not receiving part time and casual loadings, weekend penalties and/or shift allowances. </w:t>
      </w:r>
    </w:p>
    <w:p w14:paraId="26906D97" w14:textId="77777777" w:rsidR="00205DBE" w:rsidRDefault="00205DBE" w:rsidP="00205DBE">
      <w:pPr>
        <w:pStyle w:val="Heading2"/>
      </w:pPr>
      <w:bookmarkStart w:id="16" w:name="_Toc408498481"/>
      <w:r w:rsidRPr="00205DBE">
        <w:t>Queensland</w:t>
      </w:r>
      <w:bookmarkEnd w:id="16"/>
      <w:r w:rsidRPr="00205DBE">
        <w:t xml:space="preserve"> </w:t>
      </w:r>
    </w:p>
    <w:p w14:paraId="0DC8F401"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Of the 160 businesses assessed in Queensland:</w:t>
      </w:r>
    </w:p>
    <w:p w14:paraId="71457C0A"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115 (72%) employers were compliant with all requirements</w:t>
      </w:r>
    </w:p>
    <w:p w14:paraId="11B475E2"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45 (28%) had at least one contravention of which:</w:t>
      </w:r>
    </w:p>
    <w:p w14:paraId="531B284E" w14:textId="77777777" w:rsidR="00205DBE" w:rsidRPr="0096008C" w:rsidRDefault="00205DBE" w:rsidP="00205DBE">
      <w:pPr>
        <w:pStyle w:val="Bullet"/>
        <w:numPr>
          <w:ilvl w:val="0"/>
          <w:numId w:val="28"/>
        </w:numPr>
        <w:jc w:val="both"/>
        <w:rPr>
          <w:rFonts w:asciiTheme="minorHAnsi" w:hAnsiTheme="minorHAnsi" w:cstheme="minorHAnsi"/>
        </w:rPr>
      </w:pPr>
      <w:r w:rsidRPr="0096008C">
        <w:rPr>
          <w:rFonts w:asciiTheme="minorHAnsi" w:hAnsiTheme="minorHAnsi" w:cstheme="minorHAnsi"/>
        </w:rPr>
        <w:t>28 (18%) were paying incorrect rates of pay</w:t>
      </w:r>
    </w:p>
    <w:p w14:paraId="53E623EF" w14:textId="77777777" w:rsidR="00205DBE" w:rsidRPr="0096008C" w:rsidRDefault="00205DBE" w:rsidP="00205DBE">
      <w:pPr>
        <w:pStyle w:val="Bullet"/>
        <w:numPr>
          <w:ilvl w:val="0"/>
          <w:numId w:val="28"/>
        </w:numPr>
        <w:jc w:val="both"/>
        <w:rPr>
          <w:rFonts w:asciiTheme="minorHAnsi" w:hAnsiTheme="minorHAnsi" w:cstheme="minorHAnsi"/>
        </w:rPr>
      </w:pPr>
      <w:r w:rsidRPr="0096008C">
        <w:rPr>
          <w:rFonts w:asciiTheme="minorHAnsi" w:hAnsiTheme="minorHAnsi" w:cstheme="minorHAnsi"/>
        </w:rPr>
        <w:t xml:space="preserve">10 (6%) had contraventions relating to pay slips or record-keeping  </w:t>
      </w:r>
    </w:p>
    <w:p w14:paraId="3EFD5B5F" w14:textId="77777777" w:rsidR="00205DBE" w:rsidRPr="0096008C" w:rsidRDefault="00205DBE" w:rsidP="00205DBE">
      <w:pPr>
        <w:pStyle w:val="Bullet"/>
        <w:numPr>
          <w:ilvl w:val="0"/>
          <w:numId w:val="28"/>
        </w:numPr>
        <w:jc w:val="both"/>
        <w:rPr>
          <w:rFonts w:asciiTheme="minorHAnsi" w:hAnsiTheme="minorHAnsi" w:cstheme="minorHAnsi"/>
        </w:rPr>
      </w:pPr>
      <w:r w:rsidRPr="0096008C">
        <w:rPr>
          <w:rFonts w:asciiTheme="minorHAnsi" w:hAnsiTheme="minorHAnsi" w:cstheme="minorHAnsi"/>
        </w:rPr>
        <w:t>7 (4%) businesses had both monetary and non-monetary contraventions</w:t>
      </w:r>
    </w:p>
    <w:p w14:paraId="18A7134C" w14:textId="77777777" w:rsidR="00205DBE" w:rsidRPr="0096008C" w:rsidRDefault="00205DBE" w:rsidP="00064562">
      <w:pPr>
        <w:pStyle w:val="Bullet"/>
        <w:numPr>
          <w:ilvl w:val="0"/>
          <w:numId w:val="0"/>
        </w:numPr>
        <w:spacing w:before="240" w:after="120"/>
        <w:jc w:val="both"/>
        <w:rPr>
          <w:rFonts w:asciiTheme="minorHAnsi" w:hAnsiTheme="minorHAnsi" w:cstheme="minorHAnsi"/>
        </w:rPr>
      </w:pPr>
      <w:r w:rsidRPr="0096008C">
        <w:rPr>
          <w:rFonts w:asciiTheme="minorHAnsi" w:hAnsiTheme="minorHAnsi" w:cstheme="minorHAnsi"/>
        </w:rPr>
        <w:t>In total there were 64 separate contraventions of which the majority related to the underpayment of hourly rate of pay (25 or 39%), pay slips (16 or 25%) penalty rates (15 or 23%).</w:t>
      </w:r>
    </w:p>
    <w:p w14:paraId="5C9BFE89" w14:textId="77777777" w:rsidR="00205DBE" w:rsidRPr="0096008C" w:rsidRDefault="00064562" w:rsidP="00205DBE">
      <w:pPr>
        <w:pStyle w:val="Bullet"/>
        <w:numPr>
          <w:ilvl w:val="0"/>
          <w:numId w:val="0"/>
        </w:numPr>
        <w:spacing w:after="120"/>
        <w:jc w:val="both"/>
        <w:rPr>
          <w:rFonts w:asciiTheme="minorHAnsi" w:hAnsiTheme="minorHAnsi" w:cstheme="minorHAnsi"/>
        </w:rPr>
      </w:pPr>
      <w:r>
        <w:rPr>
          <w:rFonts w:asciiTheme="minorHAnsi" w:hAnsiTheme="minorHAnsi" w:cstheme="minorHAnsi"/>
        </w:rPr>
        <w:t xml:space="preserve">A total of </w:t>
      </w:r>
      <w:r w:rsidR="00205DBE" w:rsidRPr="0096008C">
        <w:rPr>
          <w:rFonts w:asciiTheme="minorHAnsi" w:hAnsiTheme="minorHAnsi" w:cstheme="minorHAnsi"/>
        </w:rPr>
        <w:t>$111,206 was recovered for 163 employees from 32 employers.</w:t>
      </w:r>
    </w:p>
    <w:p w14:paraId="6780A2E3" w14:textId="77777777" w:rsidR="00205DBE" w:rsidRPr="00205DBE" w:rsidRDefault="00205DBE" w:rsidP="00205DBE">
      <w:pPr>
        <w:pStyle w:val="Bullet"/>
        <w:numPr>
          <w:ilvl w:val="0"/>
          <w:numId w:val="0"/>
        </w:numPr>
        <w:spacing w:after="120"/>
        <w:jc w:val="both"/>
        <w:rPr>
          <w:rFonts w:asciiTheme="minorHAnsi" w:hAnsiTheme="minorHAnsi" w:cstheme="minorHAnsi"/>
        </w:rPr>
      </w:pPr>
      <w:r w:rsidRPr="0096008C">
        <w:rPr>
          <w:rFonts w:asciiTheme="minorHAnsi" w:hAnsiTheme="minorHAnsi" w:cstheme="minorHAnsi"/>
        </w:rPr>
        <w:t>The main cause of underpayments in Queensland was due to employers paying staff flat rates of pay for all hours worked. </w:t>
      </w:r>
    </w:p>
    <w:p w14:paraId="4CF5C57E" w14:textId="77777777" w:rsidR="00205DBE" w:rsidRDefault="00205DBE" w:rsidP="00205DBE">
      <w:pPr>
        <w:pStyle w:val="Heading2"/>
      </w:pPr>
      <w:bookmarkStart w:id="17" w:name="_Toc408498482"/>
      <w:r w:rsidRPr="0096008C">
        <w:t>Western Australia</w:t>
      </w:r>
      <w:bookmarkEnd w:id="17"/>
      <w:r w:rsidRPr="0096008C">
        <w:t xml:space="preserve"> </w:t>
      </w:r>
    </w:p>
    <w:p w14:paraId="0BA64340"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Of the 45 businesses assessed in WA:</w:t>
      </w:r>
    </w:p>
    <w:p w14:paraId="046EA4E0"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20 (44%) employers were compliant with all requirements</w:t>
      </w:r>
    </w:p>
    <w:p w14:paraId="23B7E8D0"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25 ( 56%) had at least one contravention of which:</w:t>
      </w:r>
    </w:p>
    <w:p w14:paraId="616B3952" w14:textId="77777777" w:rsidR="00205DBE" w:rsidRPr="0096008C" w:rsidRDefault="00205DBE" w:rsidP="00205DBE">
      <w:pPr>
        <w:pStyle w:val="Bullet"/>
        <w:numPr>
          <w:ilvl w:val="0"/>
          <w:numId w:val="31"/>
        </w:numPr>
        <w:jc w:val="both"/>
        <w:rPr>
          <w:rFonts w:asciiTheme="minorHAnsi" w:hAnsiTheme="minorHAnsi" w:cstheme="minorHAnsi"/>
        </w:rPr>
      </w:pPr>
      <w:r w:rsidRPr="0096008C">
        <w:rPr>
          <w:rFonts w:asciiTheme="minorHAnsi" w:hAnsiTheme="minorHAnsi" w:cstheme="minorHAnsi"/>
        </w:rPr>
        <w:t>14 (32%) were paying incorrect rates of pay</w:t>
      </w:r>
    </w:p>
    <w:p w14:paraId="6982DCBF" w14:textId="77777777" w:rsidR="00205DBE" w:rsidRPr="0096008C" w:rsidRDefault="00205DBE" w:rsidP="00205DBE">
      <w:pPr>
        <w:pStyle w:val="Bullet"/>
        <w:numPr>
          <w:ilvl w:val="0"/>
          <w:numId w:val="31"/>
        </w:numPr>
        <w:jc w:val="both"/>
        <w:rPr>
          <w:rFonts w:asciiTheme="minorHAnsi" w:hAnsiTheme="minorHAnsi" w:cstheme="minorHAnsi"/>
        </w:rPr>
      </w:pPr>
      <w:r w:rsidRPr="0096008C">
        <w:rPr>
          <w:rFonts w:asciiTheme="minorHAnsi" w:hAnsiTheme="minorHAnsi" w:cstheme="minorHAnsi"/>
        </w:rPr>
        <w:t xml:space="preserve">6 (13%) had contraventions relating to pay slips or record keeping  </w:t>
      </w:r>
    </w:p>
    <w:p w14:paraId="5C5B830C" w14:textId="77777777" w:rsidR="00205DBE" w:rsidRPr="0096008C" w:rsidRDefault="00205DBE" w:rsidP="00205DBE">
      <w:pPr>
        <w:pStyle w:val="Bullet"/>
        <w:numPr>
          <w:ilvl w:val="0"/>
          <w:numId w:val="31"/>
        </w:numPr>
        <w:jc w:val="both"/>
        <w:rPr>
          <w:rFonts w:asciiTheme="minorHAnsi" w:hAnsiTheme="minorHAnsi" w:cstheme="minorHAnsi"/>
        </w:rPr>
      </w:pPr>
      <w:r w:rsidRPr="0096008C">
        <w:rPr>
          <w:rFonts w:asciiTheme="minorHAnsi" w:hAnsiTheme="minorHAnsi" w:cstheme="minorHAnsi"/>
        </w:rPr>
        <w:t>5 (11%) had contraventions relating to monetary and non-monetary entitlements</w:t>
      </w:r>
    </w:p>
    <w:p w14:paraId="3DBF4045" w14:textId="77777777" w:rsidR="00205DBE" w:rsidRPr="0096008C" w:rsidRDefault="00205DBE" w:rsidP="00064562">
      <w:pPr>
        <w:pStyle w:val="Bullet"/>
        <w:numPr>
          <w:ilvl w:val="0"/>
          <w:numId w:val="0"/>
        </w:numPr>
        <w:spacing w:before="240" w:after="120"/>
        <w:jc w:val="both"/>
        <w:rPr>
          <w:rFonts w:asciiTheme="minorHAnsi" w:hAnsiTheme="minorHAnsi" w:cstheme="minorHAnsi"/>
        </w:rPr>
      </w:pPr>
      <w:r w:rsidRPr="0096008C">
        <w:rPr>
          <w:rFonts w:asciiTheme="minorHAnsi" w:hAnsiTheme="minorHAnsi" w:cstheme="minorHAnsi"/>
        </w:rPr>
        <w:t>In total, there were 45 separately identifiable contraventions. Similar to other regions, the majority were contraventions relating to penalty rates (12 or 27%), pay slips (10 or 22%) and underpayment of hourly rate (9 or 20%).</w:t>
      </w:r>
    </w:p>
    <w:p w14:paraId="6D1179E5" w14:textId="77777777" w:rsidR="00205DBE" w:rsidRPr="00205DBE" w:rsidRDefault="00064562" w:rsidP="00205DBE">
      <w:pPr>
        <w:pStyle w:val="Bullet"/>
        <w:numPr>
          <w:ilvl w:val="0"/>
          <w:numId w:val="0"/>
        </w:numPr>
        <w:spacing w:after="120"/>
        <w:jc w:val="both"/>
        <w:rPr>
          <w:rFonts w:asciiTheme="minorHAnsi" w:hAnsiTheme="minorHAnsi" w:cstheme="minorHAnsi"/>
        </w:rPr>
      </w:pPr>
      <w:r>
        <w:rPr>
          <w:rFonts w:asciiTheme="minorHAnsi" w:hAnsiTheme="minorHAnsi" w:cstheme="minorHAnsi"/>
        </w:rPr>
        <w:t xml:space="preserve">A total of </w:t>
      </w:r>
      <w:r w:rsidR="00205DBE" w:rsidRPr="0096008C">
        <w:rPr>
          <w:rFonts w:asciiTheme="minorHAnsi" w:hAnsiTheme="minorHAnsi" w:cstheme="minorHAnsi"/>
        </w:rPr>
        <w:t>$81,707 was recovered for 169 employees from 14 employers.</w:t>
      </w:r>
    </w:p>
    <w:p w14:paraId="527E366F" w14:textId="77777777" w:rsidR="00205DBE" w:rsidRDefault="00205DBE" w:rsidP="00205DBE">
      <w:pPr>
        <w:pStyle w:val="Heading2"/>
        <w:jc w:val="left"/>
      </w:pPr>
      <w:bookmarkStart w:id="18" w:name="_Toc408498483"/>
      <w:r w:rsidRPr="00205DBE">
        <w:t>South Australia</w:t>
      </w:r>
      <w:bookmarkEnd w:id="18"/>
    </w:p>
    <w:p w14:paraId="4EFB1DE9" w14:textId="77777777" w:rsidR="00205DBE" w:rsidRPr="00064562" w:rsidRDefault="00205DBE" w:rsidP="00205DBE">
      <w:pPr>
        <w:rPr>
          <w:rFonts w:asciiTheme="minorHAnsi" w:hAnsiTheme="minorHAnsi" w:cstheme="minorHAnsi"/>
          <w:sz w:val="22"/>
          <w:szCs w:val="22"/>
        </w:rPr>
      </w:pPr>
      <w:r w:rsidRPr="00064562">
        <w:rPr>
          <w:rFonts w:asciiTheme="minorHAnsi" w:hAnsiTheme="minorHAnsi" w:cstheme="minorHAnsi"/>
          <w:sz w:val="22"/>
          <w:szCs w:val="22"/>
        </w:rPr>
        <w:t>Of 44 businesses assessed in South Australia:</w:t>
      </w:r>
    </w:p>
    <w:p w14:paraId="12B74877"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25 (57%) employers were compliant with all requirements</w:t>
      </w:r>
    </w:p>
    <w:p w14:paraId="1C63C863" w14:textId="77777777" w:rsidR="00205DBE" w:rsidRPr="0096008C" w:rsidRDefault="00205DBE" w:rsidP="00205DBE">
      <w:pPr>
        <w:pStyle w:val="Bullet"/>
        <w:jc w:val="both"/>
        <w:rPr>
          <w:rFonts w:asciiTheme="minorHAnsi" w:hAnsiTheme="minorHAnsi" w:cstheme="minorHAnsi"/>
        </w:rPr>
      </w:pPr>
      <w:r w:rsidRPr="0096008C">
        <w:rPr>
          <w:rFonts w:asciiTheme="minorHAnsi" w:hAnsiTheme="minorHAnsi" w:cstheme="minorHAnsi"/>
        </w:rPr>
        <w:t>19 ( 43%) to have at least one contravention, of which</w:t>
      </w:r>
    </w:p>
    <w:p w14:paraId="3B0B388F" w14:textId="77777777" w:rsidR="00205DBE" w:rsidRPr="0096008C" w:rsidRDefault="00205DBE" w:rsidP="00205DBE">
      <w:pPr>
        <w:pStyle w:val="Bullet"/>
        <w:numPr>
          <w:ilvl w:val="0"/>
          <w:numId w:val="32"/>
        </w:numPr>
        <w:jc w:val="both"/>
        <w:rPr>
          <w:rFonts w:asciiTheme="minorHAnsi" w:hAnsiTheme="minorHAnsi" w:cstheme="minorHAnsi"/>
        </w:rPr>
      </w:pPr>
      <w:r w:rsidRPr="0096008C">
        <w:rPr>
          <w:rFonts w:asciiTheme="minorHAnsi" w:hAnsiTheme="minorHAnsi" w:cstheme="minorHAnsi"/>
        </w:rPr>
        <w:t>8 ( 18%) were paying incorrect rates of pay</w:t>
      </w:r>
    </w:p>
    <w:p w14:paraId="3885A170" w14:textId="77777777" w:rsidR="00205DBE" w:rsidRPr="0096008C" w:rsidRDefault="00205DBE" w:rsidP="00205DBE">
      <w:pPr>
        <w:pStyle w:val="Bullet"/>
        <w:numPr>
          <w:ilvl w:val="0"/>
          <w:numId w:val="32"/>
        </w:numPr>
        <w:jc w:val="both"/>
        <w:rPr>
          <w:rFonts w:asciiTheme="minorHAnsi" w:hAnsiTheme="minorHAnsi" w:cstheme="minorHAnsi"/>
        </w:rPr>
      </w:pPr>
      <w:r w:rsidRPr="0096008C">
        <w:rPr>
          <w:rFonts w:asciiTheme="minorHAnsi" w:hAnsiTheme="minorHAnsi" w:cstheme="minorHAnsi"/>
        </w:rPr>
        <w:t>4 (9%) had non-monetary contraventions</w:t>
      </w:r>
    </w:p>
    <w:p w14:paraId="798F1735" w14:textId="77777777" w:rsidR="00205DBE" w:rsidRPr="0096008C" w:rsidRDefault="00205DBE" w:rsidP="00205DBE">
      <w:pPr>
        <w:pStyle w:val="Bullet"/>
        <w:numPr>
          <w:ilvl w:val="0"/>
          <w:numId w:val="32"/>
        </w:numPr>
        <w:jc w:val="both"/>
        <w:rPr>
          <w:rFonts w:asciiTheme="minorHAnsi" w:hAnsiTheme="minorHAnsi" w:cstheme="minorHAnsi"/>
        </w:rPr>
      </w:pPr>
      <w:r w:rsidRPr="0096008C">
        <w:rPr>
          <w:rFonts w:asciiTheme="minorHAnsi" w:hAnsiTheme="minorHAnsi" w:cstheme="minorHAnsi"/>
        </w:rPr>
        <w:lastRenderedPageBreak/>
        <w:t>7 (16%) had contraventions relating to both monetary and non-monetary entitlements</w:t>
      </w:r>
    </w:p>
    <w:p w14:paraId="017A3E13" w14:textId="77777777" w:rsidR="00205DBE" w:rsidRPr="005B513C" w:rsidRDefault="00205DBE" w:rsidP="005B513C">
      <w:pPr>
        <w:spacing w:before="240"/>
        <w:rPr>
          <w:rFonts w:asciiTheme="minorHAnsi" w:hAnsiTheme="minorHAnsi" w:cstheme="minorHAnsi"/>
          <w:sz w:val="22"/>
          <w:szCs w:val="22"/>
        </w:rPr>
      </w:pPr>
      <w:r w:rsidRPr="005B513C">
        <w:rPr>
          <w:rFonts w:asciiTheme="minorHAnsi" w:hAnsiTheme="minorHAnsi" w:cstheme="minorHAnsi"/>
          <w:sz w:val="22"/>
          <w:szCs w:val="22"/>
        </w:rPr>
        <w:t>Overall there were 30 separate contraventions identified. Pay slips (11 or 37%), underpayment of hourly rate (8 or 27%) and penalty rates (5 or 17%) were the most common contraventions.</w:t>
      </w:r>
    </w:p>
    <w:p w14:paraId="49AC0F15" w14:textId="77777777" w:rsidR="00205DBE" w:rsidRPr="00205DBE" w:rsidRDefault="00064562" w:rsidP="00205DBE">
      <w:pPr>
        <w:pStyle w:val="Bullet"/>
        <w:numPr>
          <w:ilvl w:val="0"/>
          <w:numId w:val="0"/>
        </w:numPr>
        <w:spacing w:after="120"/>
        <w:jc w:val="both"/>
        <w:rPr>
          <w:rFonts w:asciiTheme="minorHAnsi" w:hAnsiTheme="minorHAnsi" w:cstheme="minorHAnsi"/>
        </w:rPr>
      </w:pPr>
      <w:r>
        <w:rPr>
          <w:rFonts w:asciiTheme="minorHAnsi" w:hAnsiTheme="minorHAnsi" w:cstheme="minorHAnsi"/>
        </w:rPr>
        <w:t xml:space="preserve">A total of </w:t>
      </w:r>
      <w:r w:rsidR="00205DBE" w:rsidRPr="0096008C">
        <w:rPr>
          <w:rFonts w:asciiTheme="minorHAnsi" w:hAnsiTheme="minorHAnsi" w:cstheme="minorHAnsi"/>
        </w:rPr>
        <w:t xml:space="preserve">$68,418 </w:t>
      </w:r>
      <w:r>
        <w:rPr>
          <w:rFonts w:asciiTheme="minorHAnsi" w:hAnsiTheme="minorHAnsi" w:cstheme="minorHAnsi"/>
        </w:rPr>
        <w:t xml:space="preserve">was recovered </w:t>
      </w:r>
      <w:r w:rsidR="00205DBE" w:rsidRPr="0096008C">
        <w:rPr>
          <w:rFonts w:asciiTheme="minorHAnsi" w:hAnsiTheme="minorHAnsi" w:cstheme="minorHAnsi"/>
        </w:rPr>
        <w:t>for 288 employees from 14 employers.</w:t>
      </w:r>
    </w:p>
    <w:p w14:paraId="68CB6A99" w14:textId="77777777" w:rsidR="00205DBE" w:rsidRDefault="00205DBE" w:rsidP="00205DBE">
      <w:pPr>
        <w:pStyle w:val="Heading2"/>
      </w:pPr>
      <w:bookmarkStart w:id="19" w:name="_Toc408498484"/>
      <w:r w:rsidRPr="0096008C">
        <w:t>Northern Territory</w:t>
      </w:r>
      <w:bookmarkEnd w:id="19"/>
    </w:p>
    <w:p w14:paraId="5EC5704F" w14:textId="77777777" w:rsidR="00205DBE" w:rsidRPr="00064562" w:rsidRDefault="00205DBE" w:rsidP="00C2298B">
      <w:pPr>
        <w:rPr>
          <w:rFonts w:asciiTheme="minorHAnsi" w:hAnsiTheme="minorHAnsi" w:cstheme="minorHAnsi"/>
          <w:sz w:val="22"/>
          <w:szCs w:val="22"/>
        </w:rPr>
      </w:pPr>
      <w:r w:rsidRPr="00064562">
        <w:rPr>
          <w:rFonts w:asciiTheme="minorHAnsi" w:hAnsiTheme="minorHAnsi" w:cstheme="minorHAnsi"/>
          <w:sz w:val="22"/>
          <w:szCs w:val="22"/>
        </w:rPr>
        <w:t>Of the 7 businesses assessed in NT:</w:t>
      </w:r>
    </w:p>
    <w:p w14:paraId="577262C9"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3 (43%) employers were compliant with all requirements</w:t>
      </w:r>
      <w:r w:rsidRPr="0096008C" w:rsidDel="00CC4FE7">
        <w:rPr>
          <w:rFonts w:asciiTheme="minorHAnsi" w:hAnsiTheme="minorHAnsi" w:cstheme="minorHAnsi"/>
        </w:rPr>
        <w:t xml:space="preserve"> </w:t>
      </w:r>
    </w:p>
    <w:p w14:paraId="5A449BEC"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1 (14%) was paying incorrect rates of pay</w:t>
      </w:r>
    </w:p>
    <w:p w14:paraId="151EA3F3"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1 (14%) had a pay slip contravention</w:t>
      </w:r>
    </w:p>
    <w:p w14:paraId="53845461" w14:textId="77777777" w:rsidR="00205DBE" w:rsidRPr="0096008C" w:rsidRDefault="00205DBE" w:rsidP="00C2298B">
      <w:pPr>
        <w:pStyle w:val="Bullet"/>
        <w:jc w:val="both"/>
        <w:rPr>
          <w:rFonts w:asciiTheme="minorHAnsi" w:hAnsiTheme="minorHAnsi" w:cstheme="minorHAnsi"/>
        </w:rPr>
      </w:pPr>
      <w:r w:rsidRPr="0096008C">
        <w:rPr>
          <w:rFonts w:asciiTheme="minorHAnsi" w:hAnsiTheme="minorHAnsi" w:cstheme="minorHAnsi"/>
        </w:rPr>
        <w:t>2 (29%) had monetary and non-monetary contraventions</w:t>
      </w:r>
    </w:p>
    <w:p w14:paraId="16A5E26F" w14:textId="77777777" w:rsidR="00064562" w:rsidRPr="00064562" w:rsidRDefault="00064562" w:rsidP="00C2298B">
      <w:pPr>
        <w:pStyle w:val="Bullet"/>
        <w:numPr>
          <w:ilvl w:val="0"/>
          <w:numId w:val="0"/>
        </w:numPr>
        <w:spacing w:before="240"/>
        <w:jc w:val="both"/>
        <w:rPr>
          <w:rFonts w:asciiTheme="minorHAnsi" w:hAnsiTheme="minorHAnsi" w:cstheme="minorHAnsi"/>
        </w:rPr>
      </w:pPr>
      <w:r>
        <w:rPr>
          <w:rFonts w:asciiTheme="minorHAnsi" w:hAnsiTheme="minorHAnsi" w:cstheme="minorHAnsi"/>
        </w:rPr>
        <w:t>A total of</w:t>
      </w:r>
      <w:r w:rsidRPr="00064562">
        <w:rPr>
          <w:rFonts w:asciiTheme="minorHAnsi" w:hAnsiTheme="minorHAnsi" w:cstheme="minorHAnsi"/>
        </w:rPr>
        <w:t xml:space="preserve"> </w:t>
      </w:r>
      <w:r w:rsidR="00205DBE" w:rsidRPr="00064562">
        <w:rPr>
          <w:rFonts w:asciiTheme="minorHAnsi" w:hAnsiTheme="minorHAnsi" w:cstheme="minorHAnsi"/>
        </w:rPr>
        <w:t xml:space="preserve">$34,624 </w:t>
      </w:r>
      <w:r>
        <w:rPr>
          <w:rFonts w:asciiTheme="minorHAnsi" w:hAnsiTheme="minorHAnsi" w:cstheme="minorHAnsi"/>
        </w:rPr>
        <w:t xml:space="preserve">was recovered </w:t>
      </w:r>
      <w:r w:rsidR="00205DBE" w:rsidRPr="00064562">
        <w:rPr>
          <w:rFonts w:asciiTheme="minorHAnsi" w:hAnsiTheme="minorHAnsi" w:cstheme="minorHAnsi"/>
        </w:rPr>
        <w:t>for 22 employees from 2 employers.</w:t>
      </w:r>
    </w:p>
    <w:p w14:paraId="74EC83F4" w14:textId="77777777" w:rsidR="00205DBE" w:rsidRPr="00064562" w:rsidRDefault="00205DBE" w:rsidP="00C2298B">
      <w:pPr>
        <w:spacing w:before="240"/>
        <w:rPr>
          <w:rFonts w:asciiTheme="minorHAnsi" w:hAnsiTheme="minorHAnsi" w:cstheme="minorHAnsi"/>
          <w:sz w:val="22"/>
          <w:szCs w:val="22"/>
        </w:rPr>
      </w:pPr>
      <w:r w:rsidRPr="00064562">
        <w:rPr>
          <w:rFonts w:asciiTheme="minorHAnsi" w:hAnsiTheme="minorHAnsi" w:cstheme="minorHAnsi"/>
          <w:sz w:val="22"/>
          <w:szCs w:val="22"/>
        </w:rPr>
        <w:t xml:space="preserve">Of the 7 separately identifiable contraventions, three (43%) related to pay slips, two (29%) to the underpayment of hourly rate and two (29%) for overtime. </w:t>
      </w:r>
    </w:p>
    <w:p w14:paraId="308F1A5B" w14:textId="77777777" w:rsidR="00205DBE" w:rsidRPr="00205DBE" w:rsidRDefault="00C2298B" w:rsidP="00C2298B">
      <w:pPr>
        <w:pStyle w:val="Heading1"/>
      </w:pPr>
      <w:r>
        <w:t>Conclusion</w:t>
      </w:r>
    </w:p>
    <w:p w14:paraId="7CF2F27E" w14:textId="77777777" w:rsidR="00C2298B" w:rsidRDefault="00C2298B" w:rsidP="00C2298B">
      <w:pPr>
        <w:spacing w:before="240"/>
        <w:rPr>
          <w:rFonts w:asciiTheme="minorHAnsi" w:hAnsiTheme="minorHAnsi" w:cstheme="minorHAnsi"/>
          <w:sz w:val="22"/>
          <w:szCs w:val="22"/>
          <w:lang w:eastAsia="en-AU"/>
        </w:rPr>
      </w:pPr>
      <w:bookmarkStart w:id="20" w:name="_Toc354148740"/>
      <w:r>
        <w:rPr>
          <w:rFonts w:asciiTheme="minorHAnsi" w:hAnsiTheme="minorHAnsi" w:cstheme="minorHAnsi"/>
          <w:sz w:val="22"/>
          <w:szCs w:val="22"/>
          <w:lang w:eastAsia="en-AU"/>
        </w:rPr>
        <w:t>T</w:t>
      </w:r>
      <w:r w:rsidRPr="00C2298B">
        <w:rPr>
          <w:rFonts w:asciiTheme="minorHAnsi" w:hAnsiTheme="minorHAnsi" w:cstheme="minorHAnsi"/>
          <w:sz w:val="22"/>
          <w:szCs w:val="22"/>
          <w:lang w:eastAsia="en-AU"/>
        </w:rPr>
        <w:t>he results from the procurement assessments are encouraging and it was pleasing to find most property owners playing an active role in ensuring compliance with workplace laws at the lower levels of the procurement chain. This behaviour ensures vulnerabl</w:t>
      </w:r>
      <w:r w:rsidR="00523F90">
        <w:rPr>
          <w:rFonts w:asciiTheme="minorHAnsi" w:hAnsiTheme="minorHAnsi" w:cstheme="minorHAnsi"/>
          <w:sz w:val="22"/>
          <w:szCs w:val="22"/>
          <w:lang w:eastAsia="en-AU"/>
        </w:rPr>
        <w:t xml:space="preserve">e employees are receiving the correct entitlements and creating genuine competition for contracts leading to a </w:t>
      </w:r>
      <w:r w:rsidRPr="00C2298B">
        <w:rPr>
          <w:rFonts w:asciiTheme="minorHAnsi" w:hAnsiTheme="minorHAnsi" w:cstheme="minorHAnsi"/>
          <w:sz w:val="22"/>
          <w:szCs w:val="22"/>
          <w:lang w:eastAsia="en-AU"/>
        </w:rPr>
        <w:t xml:space="preserve">level playing field </w:t>
      </w:r>
      <w:r w:rsidR="00523F90">
        <w:rPr>
          <w:rFonts w:asciiTheme="minorHAnsi" w:hAnsiTheme="minorHAnsi" w:cstheme="minorHAnsi"/>
          <w:sz w:val="22"/>
          <w:szCs w:val="22"/>
          <w:lang w:eastAsia="en-AU"/>
        </w:rPr>
        <w:t xml:space="preserve">in the industry. </w:t>
      </w:r>
      <w:r w:rsidRPr="00C2298B">
        <w:rPr>
          <w:rFonts w:asciiTheme="minorHAnsi" w:hAnsiTheme="minorHAnsi" w:cstheme="minorHAnsi"/>
          <w:sz w:val="22"/>
          <w:szCs w:val="22"/>
          <w:lang w:eastAsia="en-AU"/>
        </w:rPr>
        <w:t xml:space="preserve">Given the systems and checks that these companies have implemented, it is considered lasting compliance will be achieved </w:t>
      </w:r>
      <w:r w:rsidR="00523F90">
        <w:rPr>
          <w:rFonts w:asciiTheme="minorHAnsi" w:hAnsiTheme="minorHAnsi" w:cstheme="minorHAnsi"/>
          <w:sz w:val="22"/>
          <w:szCs w:val="22"/>
          <w:lang w:eastAsia="en-AU"/>
        </w:rPr>
        <w:t xml:space="preserve">in this instance </w:t>
      </w:r>
      <w:r w:rsidRPr="00C2298B">
        <w:rPr>
          <w:rFonts w:asciiTheme="minorHAnsi" w:hAnsiTheme="minorHAnsi" w:cstheme="minorHAnsi"/>
          <w:sz w:val="22"/>
          <w:szCs w:val="22"/>
          <w:lang w:eastAsia="en-AU"/>
        </w:rPr>
        <w:t>as it is driven by the top-end of the procurement chain.</w:t>
      </w:r>
    </w:p>
    <w:p w14:paraId="0F4DB906" w14:textId="77777777" w:rsidR="00463F3A" w:rsidRDefault="00463F3A" w:rsidP="00C2298B">
      <w:pPr>
        <w:spacing w:before="240"/>
        <w:rPr>
          <w:rFonts w:asciiTheme="minorHAnsi" w:hAnsiTheme="minorHAnsi" w:cstheme="minorHAnsi"/>
          <w:sz w:val="22"/>
          <w:szCs w:val="22"/>
          <w:lang w:eastAsia="en-AU"/>
        </w:rPr>
      </w:pPr>
      <w:r>
        <w:rPr>
          <w:rFonts w:asciiTheme="minorHAnsi" w:hAnsiTheme="minorHAnsi" w:cstheme="minorHAnsi"/>
          <w:sz w:val="22"/>
          <w:szCs w:val="22"/>
          <w:lang w:eastAsia="en-AU"/>
        </w:rPr>
        <w:t>The results of the wage audit showed 73% of employers were paying their employees correctly, 82% were compliant with their record keeping obligations and 62% of employers were meeting both requirements.</w:t>
      </w:r>
    </w:p>
    <w:p w14:paraId="33BFC836" w14:textId="77777777" w:rsidR="005B513C" w:rsidRDefault="00463F3A" w:rsidP="00C2298B">
      <w:pPr>
        <w:spacing w:before="240"/>
        <w:rPr>
          <w:rFonts w:asciiTheme="minorHAnsi" w:hAnsiTheme="minorHAnsi" w:cstheme="minorHAnsi"/>
          <w:sz w:val="22"/>
          <w:szCs w:val="22"/>
          <w:lang w:eastAsia="en-AU"/>
        </w:rPr>
      </w:pPr>
      <w:r>
        <w:rPr>
          <w:rFonts w:asciiTheme="minorHAnsi" w:hAnsiTheme="minorHAnsi" w:cstheme="minorHAnsi"/>
          <w:sz w:val="22"/>
          <w:szCs w:val="22"/>
          <w:lang w:eastAsia="en-AU"/>
        </w:rPr>
        <w:t>T</w:t>
      </w:r>
      <w:r w:rsidR="00C2298B" w:rsidRPr="00C2298B">
        <w:rPr>
          <w:rFonts w:asciiTheme="minorHAnsi" w:hAnsiTheme="minorHAnsi" w:cstheme="minorHAnsi"/>
          <w:sz w:val="22"/>
          <w:szCs w:val="22"/>
          <w:lang w:eastAsia="en-AU"/>
        </w:rPr>
        <w:t>here was an improvement in compliance amongst the</w:t>
      </w:r>
      <w:r w:rsidR="00523F90">
        <w:rPr>
          <w:rFonts w:asciiTheme="minorHAnsi" w:hAnsiTheme="minorHAnsi" w:cstheme="minorHAnsi"/>
          <w:sz w:val="22"/>
          <w:szCs w:val="22"/>
          <w:lang w:eastAsia="en-AU"/>
        </w:rPr>
        <w:t xml:space="preserve"> group </w:t>
      </w:r>
      <w:r>
        <w:rPr>
          <w:rFonts w:asciiTheme="minorHAnsi" w:hAnsiTheme="minorHAnsi" w:cstheme="minorHAnsi"/>
          <w:sz w:val="22"/>
          <w:szCs w:val="22"/>
          <w:lang w:eastAsia="en-AU"/>
        </w:rPr>
        <w:t xml:space="preserve">of </w:t>
      </w:r>
      <w:r w:rsidR="00523F90" w:rsidRPr="00C2298B">
        <w:rPr>
          <w:rFonts w:asciiTheme="minorHAnsi" w:hAnsiTheme="minorHAnsi" w:cstheme="minorHAnsi"/>
          <w:sz w:val="22"/>
          <w:szCs w:val="22"/>
          <w:lang w:eastAsia="en-AU"/>
        </w:rPr>
        <w:t>employers audited in both the 2010 campaign and this campai</w:t>
      </w:r>
      <w:r w:rsidR="00523F90">
        <w:rPr>
          <w:rFonts w:asciiTheme="minorHAnsi" w:hAnsiTheme="minorHAnsi" w:cstheme="minorHAnsi"/>
          <w:sz w:val="22"/>
          <w:szCs w:val="22"/>
          <w:lang w:eastAsia="en-AU"/>
        </w:rPr>
        <w:t>gn. The results showed</w:t>
      </w:r>
      <w:r w:rsidR="00C2298B" w:rsidRPr="00C2298B">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63% of this group were compliant, an improvement </w:t>
      </w:r>
      <w:r w:rsidR="00C423F4">
        <w:rPr>
          <w:rFonts w:asciiTheme="minorHAnsi" w:hAnsiTheme="minorHAnsi" w:cstheme="minorHAnsi"/>
          <w:sz w:val="22"/>
          <w:szCs w:val="22"/>
          <w:lang w:eastAsia="en-AU"/>
        </w:rPr>
        <w:t xml:space="preserve">from </w:t>
      </w:r>
      <w:r>
        <w:rPr>
          <w:rFonts w:asciiTheme="minorHAnsi" w:hAnsiTheme="minorHAnsi" w:cstheme="minorHAnsi"/>
          <w:sz w:val="22"/>
          <w:szCs w:val="22"/>
          <w:lang w:eastAsia="en-AU"/>
        </w:rPr>
        <w:t xml:space="preserve">54% in 2010. </w:t>
      </w:r>
      <w:r w:rsidR="00523F90">
        <w:rPr>
          <w:rFonts w:asciiTheme="minorHAnsi" w:hAnsiTheme="minorHAnsi" w:cstheme="minorHAnsi"/>
          <w:sz w:val="22"/>
          <w:szCs w:val="22"/>
          <w:lang w:eastAsia="en-AU"/>
        </w:rPr>
        <w:t xml:space="preserve">However, </w:t>
      </w:r>
      <w:r>
        <w:rPr>
          <w:rFonts w:asciiTheme="minorHAnsi" w:hAnsiTheme="minorHAnsi" w:cstheme="minorHAnsi"/>
          <w:sz w:val="22"/>
          <w:szCs w:val="22"/>
          <w:lang w:eastAsia="en-AU"/>
        </w:rPr>
        <w:t xml:space="preserve">21% of this group of </w:t>
      </w:r>
      <w:r w:rsidR="00C46495">
        <w:rPr>
          <w:rFonts w:asciiTheme="minorHAnsi" w:hAnsiTheme="minorHAnsi" w:cstheme="minorHAnsi"/>
          <w:sz w:val="22"/>
          <w:szCs w:val="22"/>
          <w:lang w:eastAsia="en-AU"/>
        </w:rPr>
        <w:t xml:space="preserve">employers </w:t>
      </w:r>
      <w:r>
        <w:rPr>
          <w:rFonts w:asciiTheme="minorHAnsi" w:hAnsiTheme="minorHAnsi" w:cstheme="minorHAnsi"/>
          <w:sz w:val="22"/>
          <w:szCs w:val="22"/>
          <w:lang w:eastAsia="en-AU"/>
        </w:rPr>
        <w:t xml:space="preserve">were non-compliant in 2010 and </w:t>
      </w:r>
      <w:r w:rsidR="00C46495">
        <w:rPr>
          <w:rFonts w:asciiTheme="minorHAnsi" w:hAnsiTheme="minorHAnsi" w:cstheme="minorHAnsi"/>
          <w:sz w:val="22"/>
          <w:szCs w:val="22"/>
          <w:lang w:eastAsia="en-AU"/>
        </w:rPr>
        <w:t xml:space="preserve">were again found </w:t>
      </w:r>
      <w:r>
        <w:rPr>
          <w:rFonts w:asciiTheme="minorHAnsi" w:hAnsiTheme="minorHAnsi" w:cstheme="minorHAnsi"/>
          <w:sz w:val="22"/>
          <w:szCs w:val="22"/>
          <w:lang w:eastAsia="en-AU"/>
        </w:rPr>
        <w:t>non-compliant</w:t>
      </w:r>
      <w:r w:rsidR="00C46495">
        <w:rPr>
          <w:rFonts w:asciiTheme="minorHAnsi" w:hAnsiTheme="minorHAnsi" w:cstheme="minorHAnsi"/>
          <w:sz w:val="22"/>
          <w:szCs w:val="22"/>
          <w:lang w:eastAsia="en-AU"/>
        </w:rPr>
        <w:t xml:space="preserve"> in this audit</w:t>
      </w:r>
      <w:r>
        <w:rPr>
          <w:rFonts w:asciiTheme="minorHAnsi" w:hAnsiTheme="minorHAnsi" w:cstheme="minorHAnsi"/>
          <w:sz w:val="22"/>
          <w:szCs w:val="22"/>
          <w:lang w:eastAsia="en-AU"/>
        </w:rPr>
        <w:t>.</w:t>
      </w:r>
      <w:r w:rsidR="00C2298B">
        <w:rPr>
          <w:rFonts w:asciiTheme="minorHAnsi" w:hAnsiTheme="minorHAnsi" w:cstheme="minorHAnsi"/>
          <w:sz w:val="22"/>
          <w:szCs w:val="22"/>
          <w:lang w:eastAsia="en-AU"/>
        </w:rPr>
        <w:t xml:space="preserve"> </w:t>
      </w:r>
    </w:p>
    <w:p w14:paraId="5F709FD3" w14:textId="77777777" w:rsidR="00C2298B" w:rsidRPr="00C2298B" w:rsidRDefault="00C2298B" w:rsidP="00C2298B">
      <w:pPr>
        <w:spacing w:before="240"/>
        <w:rPr>
          <w:lang w:eastAsia="en-AU"/>
        </w:rPr>
      </w:pPr>
      <w:r w:rsidRPr="004B2104">
        <w:rPr>
          <w:rFonts w:asciiTheme="minorHAnsi" w:hAnsiTheme="minorHAnsi" w:cstheme="minorHAnsi"/>
          <w:sz w:val="22"/>
          <w:szCs w:val="22"/>
          <w:lang w:eastAsia="en-AU"/>
        </w:rPr>
        <w:t xml:space="preserve">As </w:t>
      </w:r>
      <w:r w:rsidR="00C46495">
        <w:rPr>
          <w:rFonts w:asciiTheme="minorHAnsi" w:hAnsiTheme="minorHAnsi" w:cstheme="minorHAnsi"/>
          <w:sz w:val="22"/>
          <w:szCs w:val="22"/>
          <w:lang w:eastAsia="en-AU"/>
        </w:rPr>
        <w:t xml:space="preserve">such, </w:t>
      </w:r>
      <w:r w:rsidRPr="004B2104">
        <w:rPr>
          <w:rFonts w:asciiTheme="minorHAnsi" w:hAnsiTheme="minorHAnsi" w:cstheme="minorHAnsi"/>
          <w:sz w:val="22"/>
          <w:szCs w:val="22"/>
          <w:lang w:eastAsia="en-AU"/>
        </w:rPr>
        <w:t xml:space="preserve">further auditing of this group of employers will occur in 2014-15 with a view to detecting and acting upon deliberate and wilful non-compliance. </w:t>
      </w:r>
    </w:p>
    <w:p w14:paraId="7EB0442E" w14:textId="77777777" w:rsidR="006E34AE" w:rsidRPr="00C2298B" w:rsidRDefault="006E34AE" w:rsidP="00C2298B">
      <w:pPr>
        <w:jc w:val="left"/>
        <w:rPr>
          <w:rFonts w:asciiTheme="minorHAnsi" w:hAnsiTheme="minorHAnsi" w:cstheme="minorHAnsi"/>
          <w:sz w:val="22"/>
          <w:szCs w:val="22"/>
        </w:rPr>
      </w:pPr>
      <w:r w:rsidRPr="00C2298B">
        <w:rPr>
          <w:rFonts w:asciiTheme="minorHAnsi" w:hAnsiTheme="minorHAnsi" w:cstheme="minorHAnsi"/>
          <w:sz w:val="22"/>
          <w:szCs w:val="22"/>
          <w:lang w:eastAsia="en-AU"/>
        </w:rPr>
        <w:br w:type="page"/>
      </w:r>
    </w:p>
    <w:p w14:paraId="4B349371" w14:textId="77777777" w:rsidR="009629F3" w:rsidRPr="009629F3" w:rsidRDefault="009629F3" w:rsidP="00AB27F9">
      <w:pPr>
        <w:pStyle w:val="Heading1"/>
        <w:rPr>
          <w:lang w:eastAsia="en-AU"/>
        </w:rPr>
      </w:pPr>
      <w:bookmarkStart w:id="21" w:name="_Toc408498485"/>
      <w:r w:rsidRPr="009629F3">
        <w:rPr>
          <w:lang w:eastAsia="en-AU"/>
        </w:rPr>
        <w:lastRenderedPageBreak/>
        <w:t>About the Fair Work Ombudsman</w:t>
      </w:r>
      <w:bookmarkEnd w:id="20"/>
      <w:bookmarkEnd w:id="21"/>
    </w:p>
    <w:p w14:paraId="3B09441F" w14:textId="77777777" w:rsidR="004B2104" w:rsidRPr="004B2104" w:rsidRDefault="004B2104" w:rsidP="00C2298B">
      <w:pPr>
        <w:spacing w:before="240"/>
        <w:rPr>
          <w:rFonts w:asciiTheme="minorHAnsi" w:hAnsiTheme="minorHAnsi" w:cstheme="minorHAnsi"/>
          <w:sz w:val="22"/>
          <w:szCs w:val="22"/>
          <w:lang w:eastAsia="en-AU"/>
        </w:rPr>
      </w:pPr>
      <w:r w:rsidRPr="004B2104">
        <w:rPr>
          <w:rFonts w:asciiTheme="minorHAnsi" w:hAnsiTheme="minorHAnsi" w:cstheme="minorHAnsi"/>
          <w:sz w:val="22"/>
          <w:szCs w:val="22"/>
          <w:lang w:eastAsia="en-AU"/>
        </w:rPr>
        <w:t xml:space="preserve">The Fair Work Ombudsman is an independent agency created by the Fair Work Act 2009 on 1 July 2009. </w:t>
      </w:r>
    </w:p>
    <w:p w14:paraId="6D872C94" w14:textId="77777777" w:rsidR="004B2104" w:rsidRPr="004B2104" w:rsidRDefault="004B2104" w:rsidP="00C2298B">
      <w:pPr>
        <w:spacing w:before="240"/>
        <w:rPr>
          <w:rFonts w:asciiTheme="minorHAnsi" w:hAnsiTheme="minorHAnsi" w:cstheme="minorHAnsi"/>
          <w:sz w:val="22"/>
          <w:szCs w:val="22"/>
          <w:lang w:eastAsia="en-AU"/>
        </w:rPr>
      </w:pPr>
      <w:r w:rsidRPr="004B2104">
        <w:rPr>
          <w:rFonts w:asciiTheme="minorHAnsi" w:hAnsiTheme="minorHAnsi" w:cstheme="minorHAnsi"/>
          <w:sz w:val="22"/>
          <w:szCs w:val="22"/>
          <w:lang w:eastAsia="en-AU"/>
        </w:rPr>
        <w:t>Our vision is fair Australian workplaces, and our mission is to work with Australians to educate, promote fairness and ensure justice in the workplace.</w:t>
      </w:r>
    </w:p>
    <w:p w14:paraId="75C6295E" w14:textId="77777777" w:rsidR="004B2104" w:rsidRPr="004B2104" w:rsidRDefault="004B2104" w:rsidP="00C2298B">
      <w:pPr>
        <w:spacing w:before="240"/>
        <w:rPr>
          <w:rFonts w:asciiTheme="minorHAnsi" w:hAnsiTheme="minorHAnsi" w:cstheme="minorHAnsi"/>
          <w:sz w:val="22"/>
          <w:szCs w:val="22"/>
          <w:lang w:eastAsia="en-AU"/>
        </w:rPr>
      </w:pPr>
      <w:r w:rsidRPr="004B2104">
        <w:rPr>
          <w:rFonts w:asciiTheme="minorHAnsi" w:hAnsiTheme="minorHAnsi" w:cstheme="minorHAnsi"/>
          <w:sz w:val="22"/>
          <w:szCs w:val="22"/>
          <w:lang w:eastAsia="en-AU"/>
        </w:rPr>
        <w:t xml:space="preserve">Our education and compliance campaigns target specific industries to assist them achieve compliance with national workplace laws. Our focus is usually industries that need assistance with compliance and employ vulnerable workers. </w:t>
      </w:r>
    </w:p>
    <w:p w14:paraId="4E2DE1E0" w14:textId="77777777" w:rsidR="004B2104" w:rsidRPr="004B2104" w:rsidRDefault="004B2104" w:rsidP="00C2298B">
      <w:pPr>
        <w:spacing w:before="240"/>
        <w:rPr>
          <w:rFonts w:asciiTheme="minorHAnsi" w:hAnsiTheme="minorHAnsi" w:cstheme="minorHAnsi"/>
          <w:sz w:val="22"/>
          <w:szCs w:val="22"/>
          <w:lang w:eastAsia="en-AU"/>
        </w:rPr>
      </w:pPr>
      <w:r w:rsidRPr="004B2104">
        <w:rPr>
          <w:rFonts w:asciiTheme="minorHAnsi" w:hAnsiTheme="minorHAnsi" w:cstheme="minorHAnsi"/>
          <w:sz w:val="22"/>
          <w:szCs w:val="22"/>
          <w:lang w:eastAsia="en-AU"/>
        </w:rPr>
        <w:t>We like to work with relevant industry associations and unions to deliver our campaigns. We rely upon their ‘real world’ knowledge and communication channels to design and deliver our education activities and products.</w:t>
      </w:r>
    </w:p>
    <w:p w14:paraId="513F296A" w14:textId="77777777" w:rsidR="004B2104" w:rsidRPr="004B2104" w:rsidRDefault="004B2104" w:rsidP="00C2298B">
      <w:pPr>
        <w:spacing w:before="240"/>
        <w:rPr>
          <w:rFonts w:asciiTheme="minorHAnsi" w:hAnsiTheme="minorHAnsi" w:cstheme="minorHAnsi"/>
          <w:sz w:val="22"/>
          <w:szCs w:val="22"/>
          <w:lang w:eastAsia="en-AU"/>
        </w:rPr>
      </w:pPr>
      <w:r w:rsidRPr="004B2104">
        <w:rPr>
          <w:rFonts w:asciiTheme="minorHAnsi" w:hAnsiTheme="minorHAnsi" w:cstheme="minorHAnsi"/>
          <w:sz w:val="22"/>
          <w:szCs w:val="22"/>
          <w:lang w:eastAsia="en-AU"/>
        </w:rPr>
        <w:t xml:space="preserve">This report covers the background, method and findings of the National Cleaning Industry Follow- up Campaign 2012. For further information and media enquiries please contact the media team at </w:t>
      </w:r>
      <w:hyperlink r:id="rId23" w:history="1">
        <w:r w:rsidRPr="0042795C">
          <w:rPr>
            <w:rStyle w:val="Hyperlink"/>
            <w:rFonts w:asciiTheme="minorHAnsi" w:hAnsiTheme="minorHAnsi" w:cstheme="minorHAnsi"/>
            <w:sz w:val="22"/>
            <w:szCs w:val="22"/>
            <w:lang w:eastAsia="en-AU"/>
          </w:rPr>
          <w:t>media@fwo.gov.au</w:t>
        </w:r>
      </w:hyperlink>
      <w:r>
        <w:rPr>
          <w:rFonts w:asciiTheme="minorHAnsi" w:hAnsiTheme="minorHAnsi" w:cstheme="minorHAnsi"/>
          <w:sz w:val="22"/>
          <w:szCs w:val="22"/>
          <w:lang w:eastAsia="en-AU"/>
        </w:rPr>
        <w:t xml:space="preserve"> </w:t>
      </w:r>
      <w:r w:rsidRPr="004B2104">
        <w:rPr>
          <w:rFonts w:asciiTheme="minorHAnsi" w:hAnsiTheme="minorHAnsi" w:cstheme="minorHAnsi"/>
          <w:sz w:val="22"/>
          <w:szCs w:val="22"/>
          <w:lang w:eastAsia="en-AU"/>
        </w:rPr>
        <w:t xml:space="preserve"> </w:t>
      </w:r>
    </w:p>
    <w:p w14:paraId="7F249594" w14:textId="77777777" w:rsidR="009629F3" w:rsidRPr="004B2104" w:rsidRDefault="004B2104" w:rsidP="00C2298B">
      <w:pPr>
        <w:spacing w:before="240"/>
        <w:rPr>
          <w:rFonts w:asciiTheme="minorHAnsi" w:hAnsiTheme="minorHAnsi" w:cstheme="minorHAnsi"/>
          <w:sz w:val="22"/>
          <w:szCs w:val="22"/>
          <w:lang w:eastAsia="en-AU"/>
        </w:rPr>
      </w:pPr>
      <w:r w:rsidRPr="004B2104">
        <w:rPr>
          <w:rFonts w:asciiTheme="minorHAnsi" w:hAnsiTheme="minorHAnsi" w:cstheme="minorHAnsi"/>
          <w:sz w:val="22"/>
          <w:szCs w:val="22"/>
          <w:lang w:eastAsia="en-AU"/>
        </w:rPr>
        <w:t xml:space="preserve">If you would like further information about the Fair Work Ombudsman’s campaigns please contact Lynda </w:t>
      </w:r>
      <w:proofErr w:type="spellStart"/>
      <w:r w:rsidRPr="004B2104">
        <w:rPr>
          <w:rFonts w:asciiTheme="minorHAnsi" w:hAnsiTheme="minorHAnsi" w:cstheme="minorHAnsi"/>
          <w:sz w:val="22"/>
          <w:szCs w:val="22"/>
          <w:lang w:eastAsia="en-AU"/>
        </w:rPr>
        <w:t>McAlary</w:t>
      </w:r>
      <w:proofErr w:type="spellEnd"/>
      <w:r w:rsidRPr="004B2104">
        <w:rPr>
          <w:rFonts w:asciiTheme="minorHAnsi" w:hAnsiTheme="minorHAnsi" w:cstheme="minorHAnsi"/>
          <w:sz w:val="22"/>
          <w:szCs w:val="22"/>
          <w:lang w:eastAsia="en-AU"/>
        </w:rPr>
        <w:t>-Smith, Executive Director - Proactive Compliance and Education</w:t>
      </w:r>
      <w:r>
        <w:rPr>
          <w:rFonts w:asciiTheme="minorHAnsi" w:hAnsiTheme="minorHAnsi" w:cstheme="minorHAnsi"/>
          <w:sz w:val="22"/>
          <w:szCs w:val="22"/>
          <w:lang w:eastAsia="en-AU"/>
        </w:rPr>
        <w:t xml:space="preserve"> at</w:t>
      </w:r>
      <w:r w:rsidRPr="004B2104">
        <w:rPr>
          <w:rFonts w:asciiTheme="minorHAnsi" w:hAnsiTheme="minorHAnsi" w:cstheme="minorHAnsi"/>
          <w:sz w:val="22"/>
          <w:szCs w:val="22"/>
          <w:lang w:eastAsia="en-AU"/>
        </w:rPr>
        <w:t xml:space="preserve"> </w:t>
      </w:r>
      <w:hyperlink r:id="rId24" w:history="1">
        <w:r w:rsidRPr="0042795C">
          <w:rPr>
            <w:rStyle w:val="Hyperlink"/>
            <w:rFonts w:asciiTheme="minorHAnsi" w:hAnsiTheme="minorHAnsi" w:cstheme="minorHAnsi"/>
            <w:sz w:val="22"/>
            <w:szCs w:val="22"/>
            <w:lang w:eastAsia="en-AU"/>
          </w:rPr>
          <w:t>Lynda.McAlary-Smith@fwo.gov.au</w:t>
        </w:r>
      </w:hyperlink>
      <w:r>
        <w:rPr>
          <w:rFonts w:asciiTheme="minorHAnsi" w:hAnsiTheme="minorHAnsi" w:cstheme="minorHAnsi"/>
          <w:sz w:val="22"/>
          <w:szCs w:val="22"/>
          <w:lang w:eastAsia="en-AU"/>
        </w:rPr>
        <w:t xml:space="preserve"> </w:t>
      </w:r>
    </w:p>
    <w:sectPr w:rsidR="009629F3" w:rsidRPr="004B2104" w:rsidSect="004B2104">
      <w:type w:val="continuous"/>
      <w:pgSz w:w="11907" w:h="16840"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C6544" w14:textId="77777777" w:rsidR="00A73C8E" w:rsidRDefault="00A73C8E" w:rsidP="00AB27F9">
      <w:r>
        <w:separator/>
      </w:r>
    </w:p>
  </w:endnote>
  <w:endnote w:type="continuationSeparator" w:id="0">
    <w:p w14:paraId="13F618A0" w14:textId="77777777" w:rsidR="00A73C8E" w:rsidRDefault="00A73C8E"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01" w:usb1="5000204A" w:usb2="00000000" w:usb3="00000000" w:csb0="00000009"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Light SemiCond">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957B4" w14:textId="77777777" w:rsidR="006E34AE" w:rsidRDefault="006E34AE" w:rsidP="00AB27F9">
    <w:r>
      <w:fldChar w:fldCharType="begin"/>
    </w:r>
    <w:r>
      <w:instrText xml:space="preserve">PAGE  </w:instrText>
    </w:r>
    <w:r>
      <w:fldChar w:fldCharType="separate"/>
    </w:r>
    <w:r>
      <w:rPr>
        <w:noProof/>
      </w:rPr>
      <w:t>2</w:t>
    </w:r>
    <w:r>
      <w:fldChar w:fldCharType="end"/>
    </w:r>
  </w:p>
  <w:p w14:paraId="1AF6871C" w14:textId="77777777" w:rsidR="006E34AE" w:rsidRDefault="006E34AE" w:rsidP="00AB27F9"/>
  <w:p w14:paraId="7EA9F42A" w14:textId="77777777" w:rsidR="00AC229B" w:rsidRDefault="00AC229B"/>
  <w:p w14:paraId="5908FBE6" w14:textId="77777777" w:rsidR="00AC229B" w:rsidRDefault="00AC229B"/>
  <w:p w14:paraId="48B47E25" w14:textId="77777777" w:rsidR="00AC229B" w:rsidRDefault="00AC22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28475" w14:textId="493BEEAD" w:rsidR="00C2298B" w:rsidRDefault="00C2298B">
    <w:pPr>
      <w:pStyle w:val="Footer"/>
      <w:jc w:val="right"/>
    </w:pPr>
    <w:r>
      <w:rPr>
        <w:sz w:val="18"/>
        <w:szCs w:val="18"/>
        <w:lang w:val="en-US"/>
      </w:rPr>
      <w:t>Cleaning Industry Follow Up Campaign Report</w:t>
    </w:r>
    <w:r w:rsidRPr="00D048A5">
      <w:rPr>
        <w:sz w:val="18"/>
        <w:szCs w:val="18"/>
      </w:rPr>
      <w:tab/>
    </w:r>
    <w:sdt>
      <w:sdtPr>
        <w:id w:val="137927336"/>
        <w:docPartObj>
          <w:docPartGallery w:val="Page Numbers (Bottom of Page)"/>
          <w:docPartUnique/>
        </w:docPartObj>
      </w:sdtPr>
      <w:sdtEndPr>
        <w:rPr>
          <w:noProof/>
        </w:rPr>
      </w:sdtEndPr>
      <w:sdtContent>
        <w:r w:rsidRPr="00C2298B">
          <w:rPr>
            <w:sz w:val="20"/>
            <w:szCs w:val="20"/>
          </w:rPr>
          <w:fldChar w:fldCharType="begin"/>
        </w:r>
        <w:r w:rsidRPr="00C2298B">
          <w:rPr>
            <w:sz w:val="20"/>
            <w:szCs w:val="20"/>
          </w:rPr>
          <w:instrText xml:space="preserve"> PAGE   \* MERGEFORMAT </w:instrText>
        </w:r>
        <w:r w:rsidRPr="00C2298B">
          <w:rPr>
            <w:sz w:val="20"/>
            <w:szCs w:val="20"/>
          </w:rPr>
          <w:fldChar w:fldCharType="separate"/>
        </w:r>
        <w:r w:rsidR="00E01DAD">
          <w:rPr>
            <w:noProof/>
            <w:sz w:val="20"/>
            <w:szCs w:val="20"/>
          </w:rPr>
          <w:t>7</w:t>
        </w:r>
        <w:r w:rsidRPr="00C2298B">
          <w:rPr>
            <w:noProof/>
            <w:sz w:val="20"/>
            <w:szCs w:val="20"/>
          </w:rPr>
          <w:fldChar w:fldCharType="end"/>
        </w:r>
      </w:sdtContent>
    </w:sdt>
  </w:p>
  <w:p w14:paraId="72503F7D" w14:textId="77777777" w:rsidR="00AC229B" w:rsidRDefault="00AC229B" w:rsidP="004B2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B6A25" w14:textId="77777777" w:rsidR="00A73C8E" w:rsidRDefault="00A73C8E" w:rsidP="00AB27F9">
      <w:r>
        <w:separator/>
      </w:r>
    </w:p>
  </w:footnote>
  <w:footnote w:type="continuationSeparator" w:id="0">
    <w:p w14:paraId="49942DAF" w14:textId="77777777" w:rsidR="00A73C8E" w:rsidRDefault="00A73C8E" w:rsidP="00AB2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96A21" w14:textId="74A934DA" w:rsidR="00AC229B" w:rsidRPr="00E01DAD" w:rsidRDefault="00C2298B" w:rsidP="00E01DAD">
    <w:pPr>
      <w:pStyle w:val="Header"/>
      <w:jc w:val="left"/>
      <w:rPr>
        <w:sz w:val="20"/>
        <w:szCs w:val="20"/>
      </w:rPr>
    </w:pPr>
    <w:r>
      <w:rPr>
        <w:noProof/>
        <w:lang w:eastAsia="en-AU"/>
      </w:rPr>
      <w:drawing>
        <wp:inline distT="0" distB="0" distL="0" distR="0" wp14:anchorId="38DACDC7" wp14:editId="3D151F83">
          <wp:extent cx="3857625" cy="723900"/>
          <wp:effectExtent l="0" t="0" r="9525" b="0"/>
          <wp:docPr id="19" name="Picture 19"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Information Technology\IT\Information mgmt\Templates\FWO logo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B2764" w14:textId="77777777" w:rsidR="006E34AE" w:rsidRPr="00451CB0" w:rsidRDefault="006E34AE" w:rsidP="00AB27F9">
    <w:r>
      <w:rPr>
        <w:noProof/>
        <w:lang w:eastAsia="en-AU"/>
      </w:rPr>
      <w:drawing>
        <wp:anchor distT="0" distB="0" distL="114300" distR="114300" simplePos="0" relativeHeight="251656192" behindDoc="1" locked="0" layoutInCell="1" allowOverlap="1" wp14:anchorId="42DF1754" wp14:editId="085820F6">
          <wp:simplePos x="0" y="0"/>
          <wp:positionH relativeFrom="column">
            <wp:posOffset>-829310</wp:posOffset>
          </wp:positionH>
          <wp:positionV relativeFrom="paragraph">
            <wp:posOffset>-379095</wp:posOffset>
          </wp:positionV>
          <wp:extent cx="7592060" cy="10715625"/>
          <wp:effectExtent l="0" t="0" r="8890" b="9525"/>
          <wp:wrapNone/>
          <wp:docPr id="37" name="Picture 32" title="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rPr>
        <w:rFonts w:cs="Times New Roman"/>
      </w:rPr>
    </w:lvl>
  </w:abstractNum>
  <w:abstractNum w:abstractNumId="1">
    <w:nsid w:val="013C09CB"/>
    <w:multiLevelType w:val="hybridMultilevel"/>
    <w:tmpl w:val="E9307F4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47521E0"/>
    <w:multiLevelType w:val="hybridMultilevel"/>
    <w:tmpl w:val="EB8E6AEE"/>
    <w:lvl w:ilvl="0" w:tplc="27AE83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4F007F"/>
    <w:multiLevelType w:val="hybridMultilevel"/>
    <w:tmpl w:val="D89698A2"/>
    <w:lvl w:ilvl="0" w:tplc="7C228C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D931D6"/>
    <w:multiLevelType w:val="hybridMultilevel"/>
    <w:tmpl w:val="E4868F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50D58BE"/>
    <w:multiLevelType w:val="hybridMultilevel"/>
    <w:tmpl w:val="505E795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7012B41"/>
    <w:multiLevelType w:val="hybridMultilevel"/>
    <w:tmpl w:val="2A50C9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17084D5B"/>
    <w:multiLevelType w:val="hybridMultilevel"/>
    <w:tmpl w:val="64D85228"/>
    <w:lvl w:ilvl="0" w:tplc="FF26E900">
      <w:numFmt w:val="bullet"/>
      <w:lvlText w:val="•"/>
      <w:lvlJc w:val="left"/>
      <w:pPr>
        <w:ind w:left="1185" w:hanging="825"/>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A51E80"/>
    <w:multiLevelType w:val="hybridMultilevel"/>
    <w:tmpl w:val="7FCC50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10">
    <w:nsid w:val="267349A5"/>
    <w:multiLevelType w:val="hybridMultilevel"/>
    <w:tmpl w:val="32CC0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6B698C"/>
    <w:multiLevelType w:val="hybridMultilevel"/>
    <w:tmpl w:val="B6C8AD3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40D24F0"/>
    <w:multiLevelType w:val="hybridMultilevel"/>
    <w:tmpl w:val="84426604"/>
    <w:lvl w:ilvl="0" w:tplc="FF26E900">
      <w:numFmt w:val="bullet"/>
      <w:lvlText w:val="•"/>
      <w:lvlJc w:val="left"/>
      <w:pPr>
        <w:ind w:left="1185" w:hanging="8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B87943"/>
    <w:multiLevelType w:val="hybridMultilevel"/>
    <w:tmpl w:val="9266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F62B7B"/>
    <w:multiLevelType w:val="hybridMultilevel"/>
    <w:tmpl w:val="1F102006"/>
    <w:lvl w:ilvl="0" w:tplc="FF26E900">
      <w:numFmt w:val="bullet"/>
      <w:lvlText w:val="•"/>
      <w:lvlJc w:val="left"/>
      <w:pPr>
        <w:ind w:left="1440" w:hanging="720"/>
      </w:pPr>
      <w:rPr>
        <w:rFonts w:ascii="Arial" w:eastAsia="Times New Roman" w:hAnsi="Arial" w:cs="Arial" w:hint="default"/>
      </w:rPr>
    </w:lvl>
    <w:lvl w:ilvl="1" w:tplc="E0C471D6">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B4332BB"/>
    <w:multiLevelType w:val="hybridMultilevel"/>
    <w:tmpl w:val="CB1C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950743"/>
    <w:multiLevelType w:val="hybridMultilevel"/>
    <w:tmpl w:val="DAE4D6A4"/>
    <w:lvl w:ilvl="0" w:tplc="CDFAA24A">
      <w:start w:val="1"/>
      <w:numFmt w:val="bullet"/>
      <w:pStyle w:val="Bullet"/>
      <w:lvlText w:val=""/>
      <w:lvlJc w:val="left"/>
      <w:pPr>
        <w:ind w:left="360" w:hanging="360"/>
      </w:pPr>
      <w:rPr>
        <w:rFonts w:ascii="Wingdings" w:hAnsi="Wingdings" w:hint="default"/>
        <w:color w:val="FBB04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0E042A"/>
    <w:multiLevelType w:val="hybridMultilevel"/>
    <w:tmpl w:val="EF9A6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86503A9"/>
    <w:multiLevelType w:val="hybridMultilevel"/>
    <w:tmpl w:val="36F0F9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565A04D3"/>
    <w:multiLevelType w:val="multilevel"/>
    <w:tmpl w:val="EA1004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ADB400E"/>
    <w:multiLevelType w:val="hybridMultilevel"/>
    <w:tmpl w:val="060C7B70"/>
    <w:lvl w:ilvl="0" w:tplc="FF26E900">
      <w:numFmt w:val="bullet"/>
      <w:lvlText w:val="•"/>
      <w:lvlJc w:val="left"/>
      <w:pPr>
        <w:ind w:left="1185" w:hanging="8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023519"/>
    <w:multiLevelType w:val="hybridMultilevel"/>
    <w:tmpl w:val="0646091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CBB4425"/>
    <w:multiLevelType w:val="hybridMultilevel"/>
    <w:tmpl w:val="0344C6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F451AD0"/>
    <w:multiLevelType w:val="hybridMultilevel"/>
    <w:tmpl w:val="A2229E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5">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BCE1144"/>
    <w:multiLevelType w:val="hybridMultilevel"/>
    <w:tmpl w:val="3722768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6C8205FF"/>
    <w:multiLevelType w:val="hybridMultilevel"/>
    <w:tmpl w:val="6A107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EBB4E46"/>
    <w:multiLevelType w:val="hybridMultilevel"/>
    <w:tmpl w:val="0EB492A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C581F4B"/>
    <w:multiLevelType w:val="hybridMultilevel"/>
    <w:tmpl w:val="B672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8756ED"/>
    <w:multiLevelType w:val="hybridMultilevel"/>
    <w:tmpl w:val="1ABE45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9"/>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9"/>
  </w:num>
  <w:num w:numId="4">
    <w:abstractNumId w:val="24"/>
  </w:num>
  <w:num w:numId="5">
    <w:abstractNumId w:val="19"/>
  </w:num>
  <w:num w:numId="6">
    <w:abstractNumId w:val="25"/>
  </w:num>
  <w:num w:numId="7">
    <w:abstractNumId w:val="28"/>
  </w:num>
  <w:num w:numId="8">
    <w:abstractNumId w:val="18"/>
  </w:num>
  <w:num w:numId="9">
    <w:abstractNumId w:val="13"/>
  </w:num>
  <w:num w:numId="10">
    <w:abstractNumId w:val="8"/>
  </w:num>
  <w:num w:numId="11">
    <w:abstractNumId w:val="6"/>
  </w:num>
  <w:num w:numId="12">
    <w:abstractNumId w:val="30"/>
  </w:num>
  <w:num w:numId="13">
    <w:abstractNumId w:val="31"/>
  </w:num>
  <w:num w:numId="14">
    <w:abstractNumId w:val="7"/>
  </w:num>
  <w:num w:numId="15">
    <w:abstractNumId w:val="12"/>
  </w:num>
  <w:num w:numId="16">
    <w:abstractNumId w:val="20"/>
  </w:num>
  <w:num w:numId="17">
    <w:abstractNumId w:val="27"/>
  </w:num>
  <w:num w:numId="18">
    <w:abstractNumId w:val="2"/>
  </w:num>
  <w:num w:numId="19">
    <w:abstractNumId w:val="14"/>
  </w:num>
  <w:num w:numId="20">
    <w:abstractNumId w:val="3"/>
  </w:num>
  <w:num w:numId="21">
    <w:abstractNumId w:val="15"/>
  </w:num>
  <w:num w:numId="22">
    <w:abstractNumId w:val="22"/>
  </w:num>
  <w:num w:numId="23">
    <w:abstractNumId w:val="16"/>
  </w:num>
  <w:num w:numId="24">
    <w:abstractNumId w:val="10"/>
  </w:num>
  <w:num w:numId="25">
    <w:abstractNumId w:val="17"/>
  </w:num>
  <w:num w:numId="26">
    <w:abstractNumId w:val="21"/>
  </w:num>
  <w:num w:numId="27">
    <w:abstractNumId w:val="26"/>
  </w:num>
  <w:num w:numId="28">
    <w:abstractNumId w:val="4"/>
  </w:num>
  <w:num w:numId="29">
    <w:abstractNumId w:val="5"/>
  </w:num>
  <w:num w:numId="30">
    <w:abstractNumId w:val="23"/>
  </w:num>
  <w:num w:numId="31">
    <w:abstractNumId w:val="1"/>
  </w:num>
  <w:num w:numId="32">
    <w:abstractNumId w:val="11"/>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63"/>
    <w:rsid w:val="0000366A"/>
    <w:rsid w:val="00003FF8"/>
    <w:rsid w:val="00006D48"/>
    <w:rsid w:val="00020ED9"/>
    <w:rsid w:val="00043D63"/>
    <w:rsid w:val="00044A07"/>
    <w:rsid w:val="00057AE4"/>
    <w:rsid w:val="00064562"/>
    <w:rsid w:val="000652ED"/>
    <w:rsid w:val="00067031"/>
    <w:rsid w:val="00070178"/>
    <w:rsid w:val="00090047"/>
    <w:rsid w:val="0009727F"/>
    <w:rsid w:val="000A5FE4"/>
    <w:rsid w:val="000B04DA"/>
    <w:rsid w:val="000C1DF4"/>
    <w:rsid w:val="000C359C"/>
    <w:rsid w:val="000C63F1"/>
    <w:rsid w:val="000C6A5F"/>
    <w:rsid w:val="000E08E4"/>
    <w:rsid w:val="000E2601"/>
    <w:rsid w:val="000E362E"/>
    <w:rsid w:val="000E37AC"/>
    <w:rsid w:val="000F0FBA"/>
    <w:rsid w:val="000F2720"/>
    <w:rsid w:val="000F4B5B"/>
    <w:rsid w:val="001014A0"/>
    <w:rsid w:val="00105CEF"/>
    <w:rsid w:val="00106B77"/>
    <w:rsid w:val="00111949"/>
    <w:rsid w:val="00125A38"/>
    <w:rsid w:val="00127C72"/>
    <w:rsid w:val="00133B21"/>
    <w:rsid w:val="0013580F"/>
    <w:rsid w:val="00142043"/>
    <w:rsid w:val="001506E4"/>
    <w:rsid w:val="001607FB"/>
    <w:rsid w:val="0016101D"/>
    <w:rsid w:val="0016465A"/>
    <w:rsid w:val="001676B6"/>
    <w:rsid w:val="00181475"/>
    <w:rsid w:val="001850B4"/>
    <w:rsid w:val="00190392"/>
    <w:rsid w:val="0019080C"/>
    <w:rsid w:val="00194A0D"/>
    <w:rsid w:val="001A4525"/>
    <w:rsid w:val="001B2781"/>
    <w:rsid w:val="001B2A68"/>
    <w:rsid w:val="001D6D36"/>
    <w:rsid w:val="001D75B0"/>
    <w:rsid w:val="001E47B4"/>
    <w:rsid w:val="001F20C3"/>
    <w:rsid w:val="001F3149"/>
    <w:rsid w:val="001F3169"/>
    <w:rsid w:val="00202975"/>
    <w:rsid w:val="00202E5C"/>
    <w:rsid w:val="00205DBE"/>
    <w:rsid w:val="00214011"/>
    <w:rsid w:val="00244EEE"/>
    <w:rsid w:val="002450DA"/>
    <w:rsid w:val="00252709"/>
    <w:rsid w:val="002533F0"/>
    <w:rsid w:val="0025534A"/>
    <w:rsid w:val="00274039"/>
    <w:rsid w:val="00274AEF"/>
    <w:rsid w:val="0028208F"/>
    <w:rsid w:val="00292AAB"/>
    <w:rsid w:val="002958C4"/>
    <w:rsid w:val="002A4276"/>
    <w:rsid w:val="002B5FAD"/>
    <w:rsid w:val="002B621B"/>
    <w:rsid w:val="002C4986"/>
    <w:rsid w:val="002C769D"/>
    <w:rsid w:val="002D4156"/>
    <w:rsid w:val="002D7B33"/>
    <w:rsid w:val="002E23E2"/>
    <w:rsid w:val="002E6E0C"/>
    <w:rsid w:val="002F0DF6"/>
    <w:rsid w:val="002F61D0"/>
    <w:rsid w:val="00315AB8"/>
    <w:rsid w:val="0032006D"/>
    <w:rsid w:val="003215C7"/>
    <w:rsid w:val="00330F14"/>
    <w:rsid w:val="00332317"/>
    <w:rsid w:val="0033684C"/>
    <w:rsid w:val="00340E0D"/>
    <w:rsid w:val="00341A80"/>
    <w:rsid w:val="0034403B"/>
    <w:rsid w:val="00345AD1"/>
    <w:rsid w:val="00371258"/>
    <w:rsid w:val="003749B1"/>
    <w:rsid w:val="00374EF9"/>
    <w:rsid w:val="0038439E"/>
    <w:rsid w:val="003861B5"/>
    <w:rsid w:val="003B121D"/>
    <w:rsid w:val="003B2808"/>
    <w:rsid w:val="003B35B1"/>
    <w:rsid w:val="003C6D5B"/>
    <w:rsid w:val="003D18E2"/>
    <w:rsid w:val="003D2933"/>
    <w:rsid w:val="003E0FDA"/>
    <w:rsid w:val="003E2FB5"/>
    <w:rsid w:val="003E3A84"/>
    <w:rsid w:val="00400743"/>
    <w:rsid w:val="0040294F"/>
    <w:rsid w:val="00403015"/>
    <w:rsid w:val="004033BF"/>
    <w:rsid w:val="004044C1"/>
    <w:rsid w:val="004046AC"/>
    <w:rsid w:val="0040543F"/>
    <w:rsid w:val="00405844"/>
    <w:rsid w:val="00410018"/>
    <w:rsid w:val="004171B5"/>
    <w:rsid w:val="00433812"/>
    <w:rsid w:val="00436CD6"/>
    <w:rsid w:val="00451CB0"/>
    <w:rsid w:val="0045285F"/>
    <w:rsid w:val="00463F3A"/>
    <w:rsid w:val="004650C3"/>
    <w:rsid w:val="00467B47"/>
    <w:rsid w:val="00475F07"/>
    <w:rsid w:val="004947D1"/>
    <w:rsid w:val="00494BAC"/>
    <w:rsid w:val="00495DA8"/>
    <w:rsid w:val="00497F76"/>
    <w:rsid w:val="004A29A2"/>
    <w:rsid w:val="004B2104"/>
    <w:rsid w:val="004B22F3"/>
    <w:rsid w:val="004C0B58"/>
    <w:rsid w:val="004C33F0"/>
    <w:rsid w:val="004C6B22"/>
    <w:rsid w:val="004D111F"/>
    <w:rsid w:val="004E2431"/>
    <w:rsid w:val="004E287C"/>
    <w:rsid w:val="004E3470"/>
    <w:rsid w:val="004E36F6"/>
    <w:rsid w:val="004E7102"/>
    <w:rsid w:val="004E7C5C"/>
    <w:rsid w:val="004F15FA"/>
    <w:rsid w:val="004F3284"/>
    <w:rsid w:val="004F4518"/>
    <w:rsid w:val="00501D43"/>
    <w:rsid w:val="00502485"/>
    <w:rsid w:val="00503E04"/>
    <w:rsid w:val="005103EE"/>
    <w:rsid w:val="00512B40"/>
    <w:rsid w:val="00523F90"/>
    <w:rsid w:val="00524C21"/>
    <w:rsid w:val="00533528"/>
    <w:rsid w:val="0054474D"/>
    <w:rsid w:val="00546C2E"/>
    <w:rsid w:val="00551512"/>
    <w:rsid w:val="00587007"/>
    <w:rsid w:val="00587A9D"/>
    <w:rsid w:val="00592A13"/>
    <w:rsid w:val="00593E35"/>
    <w:rsid w:val="00596451"/>
    <w:rsid w:val="005B3334"/>
    <w:rsid w:val="005B3A17"/>
    <w:rsid w:val="005B513C"/>
    <w:rsid w:val="005C390A"/>
    <w:rsid w:val="005D107E"/>
    <w:rsid w:val="005E3ED5"/>
    <w:rsid w:val="0060649A"/>
    <w:rsid w:val="00607993"/>
    <w:rsid w:val="00612257"/>
    <w:rsid w:val="00616148"/>
    <w:rsid w:val="00624A88"/>
    <w:rsid w:val="0062705E"/>
    <w:rsid w:val="00631685"/>
    <w:rsid w:val="00635BD6"/>
    <w:rsid w:val="00637381"/>
    <w:rsid w:val="00637D93"/>
    <w:rsid w:val="006615E0"/>
    <w:rsid w:val="00663F9B"/>
    <w:rsid w:val="00666A7E"/>
    <w:rsid w:val="00666FD1"/>
    <w:rsid w:val="00681844"/>
    <w:rsid w:val="006824E7"/>
    <w:rsid w:val="006861D7"/>
    <w:rsid w:val="006A3313"/>
    <w:rsid w:val="006B7D36"/>
    <w:rsid w:val="006C2BEE"/>
    <w:rsid w:val="006E34AE"/>
    <w:rsid w:val="006E4D7E"/>
    <w:rsid w:val="006E7D24"/>
    <w:rsid w:val="007013DD"/>
    <w:rsid w:val="00717C75"/>
    <w:rsid w:val="00736C10"/>
    <w:rsid w:val="00743B2F"/>
    <w:rsid w:val="00774166"/>
    <w:rsid w:val="00791818"/>
    <w:rsid w:val="00797D79"/>
    <w:rsid w:val="007A2082"/>
    <w:rsid w:val="007A2D49"/>
    <w:rsid w:val="007B16EE"/>
    <w:rsid w:val="007D66FA"/>
    <w:rsid w:val="007E1B5B"/>
    <w:rsid w:val="007E3190"/>
    <w:rsid w:val="007E4C63"/>
    <w:rsid w:val="007E6493"/>
    <w:rsid w:val="00813552"/>
    <w:rsid w:val="008205AC"/>
    <w:rsid w:val="008217E4"/>
    <w:rsid w:val="008324C6"/>
    <w:rsid w:val="008340F6"/>
    <w:rsid w:val="00840399"/>
    <w:rsid w:val="00856E98"/>
    <w:rsid w:val="00860091"/>
    <w:rsid w:val="00872779"/>
    <w:rsid w:val="008770CF"/>
    <w:rsid w:val="00877300"/>
    <w:rsid w:val="008850A2"/>
    <w:rsid w:val="0088737E"/>
    <w:rsid w:val="00892902"/>
    <w:rsid w:val="008967E4"/>
    <w:rsid w:val="008A6906"/>
    <w:rsid w:val="008B4B17"/>
    <w:rsid w:val="008B64FB"/>
    <w:rsid w:val="008B7934"/>
    <w:rsid w:val="008C494F"/>
    <w:rsid w:val="008C68B5"/>
    <w:rsid w:val="008D7319"/>
    <w:rsid w:val="008E032D"/>
    <w:rsid w:val="008E46F0"/>
    <w:rsid w:val="008E5CCA"/>
    <w:rsid w:val="008F22E5"/>
    <w:rsid w:val="008F2CC1"/>
    <w:rsid w:val="008F5354"/>
    <w:rsid w:val="008F5E6D"/>
    <w:rsid w:val="008F7AFC"/>
    <w:rsid w:val="00911CB2"/>
    <w:rsid w:val="00911D94"/>
    <w:rsid w:val="0091246E"/>
    <w:rsid w:val="009137A7"/>
    <w:rsid w:val="00925B42"/>
    <w:rsid w:val="009344C6"/>
    <w:rsid w:val="0093542C"/>
    <w:rsid w:val="00936511"/>
    <w:rsid w:val="009401AC"/>
    <w:rsid w:val="00960B57"/>
    <w:rsid w:val="009629F3"/>
    <w:rsid w:val="00972C87"/>
    <w:rsid w:val="00973C4D"/>
    <w:rsid w:val="009742D2"/>
    <w:rsid w:val="009943AB"/>
    <w:rsid w:val="009B0B6A"/>
    <w:rsid w:val="009C10C3"/>
    <w:rsid w:val="009D2725"/>
    <w:rsid w:val="009D7631"/>
    <w:rsid w:val="009E226F"/>
    <w:rsid w:val="009F0C25"/>
    <w:rsid w:val="00A05A24"/>
    <w:rsid w:val="00A07A1B"/>
    <w:rsid w:val="00A12742"/>
    <w:rsid w:val="00A15574"/>
    <w:rsid w:val="00A31EED"/>
    <w:rsid w:val="00A32E18"/>
    <w:rsid w:val="00A40015"/>
    <w:rsid w:val="00A50448"/>
    <w:rsid w:val="00A7186B"/>
    <w:rsid w:val="00A71FA8"/>
    <w:rsid w:val="00A73C8E"/>
    <w:rsid w:val="00A82E86"/>
    <w:rsid w:val="00A9000B"/>
    <w:rsid w:val="00A946A9"/>
    <w:rsid w:val="00A95312"/>
    <w:rsid w:val="00AA0A3E"/>
    <w:rsid w:val="00AB098D"/>
    <w:rsid w:val="00AB27F9"/>
    <w:rsid w:val="00AC17ED"/>
    <w:rsid w:val="00AC229B"/>
    <w:rsid w:val="00AC7EC8"/>
    <w:rsid w:val="00AD0B0A"/>
    <w:rsid w:val="00AD3FD7"/>
    <w:rsid w:val="00AD5F7F"/>
    <w:rsid w:val="00AD7ACB"/>
    <w:rsid w:val="00AE0C8C"/>
    <w:rsid w:val="00AF0936"/>
    <w:rsid w:val="00B0049B"/>
    <w:rsid w:val="00B00BC8"/>
    <w:rsid w:val="00B0742B"/>
    <w:rsid w:val="00B11DDC"/>
    <w:rsid w:val="00B13C89"/>
    <w:rsid w:val="00B148E4"/>
    <w:rsid w:val="00B14AD9"/>
    <w:rsid w:val="00B206C4"/>
    <w:rsid w:val="00B26E4B"/>
    <w:rsid w:val="00B33C57"/>
    <w:rsid w:val="00B67D04"/>
    <w:rsid w:val="00B842F5"/>
    <w:rsid w:val="00B8655E"/>
    <w:rsid w:val="00B90991"/>
    <w:rsid w:val="00B9339B"/>
    <w:rsid w:val="00B94A6B"/>
    <w:rsid w:val="00B97961"/>
    <w:rsid w:val="00BA1ACC"/>
    <w:rsid w:val="00BA4FF9"/>
    <w:rsid w:val="00BA602C"/>
    <w:rsid w:val="00BB25C4"/>
    <w:rsid w:val="00BB26EF"/>
    <w:rsid w:val="00BC0280"/>
    <w:rsid w:val="00BD0563"/>
    <w:rsid w:val="00BD79E5"/>
    <w:rsid w:val="00C00C46"/>
    <w:rsid w:val="00C02BFF"/>
    <w:rsid w:val="00C11D0C"/>
    <w:rsid w:val="00C14135"/>
    <w:rsid w:val="00C2298B"/>
    <w:rsid w:val="00C24A7A"/>
    <w:rsid w:val="00C36E87"/>
    <w:rsid w:val="00C423F4"/>
    <w:rsid w:val="00C46495"/>
    <w:rsid w:val="00C46A9A"/>
    <w:rsid w:val="00C51199"/>
    <w:rsid w:val="00C538CC"/>
    <w:rsid w:val="00C56962"/>
    <w:rsid w:val="00C62ACD"/>
    <w:rsid w:val="00C6446B"/>
    <w:rsid w:val="00C72D97"/>
    <w:rsid w:val="00C9231F"/>
    <w:rsid w:val="00CC3FFC"/>
    <w:rsid w:val="00CC7FFE"/>
    <w:rsid w:val="00CD404B"/>
    <w:rsid w:val="00CD6F15"/>
    <w:rsid w:val="00CE3D01"/>
    <w:rsid w:val="00CE60A1"/>
    <w:rsid w:val="00CE63BE"/>
    <w:rsid w:val="00D048A5"/>
    <w:rsid w:val="00D27F43"/>
    <w:rsid w:val="00D3277B"/>
    <w:rsid w:val="00D363DC"/>
    <w:rsid w:val="00D6528F"/>
    <w:rsid w:val="00D7342F"/>
    <w:rsid w:val="00D8198B"/>
    <w:rsid w:val="00D964E9"/>
    <w:rsid w:val="00DA0189"/>
    <w:rsid w:val="00DA096D"/>
    <w:rsid w:val="00DA57D3"/>
    <w:rsid w:val="00DA7E1A"/>
    <w:rsid w:val="00DB2A3D"/>
    <w:rsid w:val="00DB5915"/>
    <w:rsid w:val="00DC0961"/>
    <w:rsid w:val="00DC1F8D"/>
    <w:rsid w:val="00DC5A09"/>
    <w:rsid w:val="00DC6E83"/>
    <w:rsid w:val="00DC7AC2"/>
    <w:rsid w:val="00DE7C28"/>
    <w:rsid w:val="00DF4831"/>
    <w:rsid w:val="00DF6D17"/>
    <w:rsid w:val="00E01DAD"/>
    <w:rsid w:val="00E10583"/>
    <w:rsid w:val="00E151A0"/>
    <w:rsid w:val="00E2399E"/>
    <w:rsid w:val="00E32352"/>
    <w:rsid w:val="00E402C2"/>
    <w:rsid w:val="00E403BA"/>
    <w:rsid w:val="00E46CCA"/>
    <w:rsid w:val="00E47350"/>
    <w:rsid w:val="00E601F8"/>
    <w:rsid w:val="00E64EE0"/>
    <w:rsid w:val="00E65E59"/>
    <w:rsid w:val="00E8678A"/>
    <w:rsid w:val="00E944DC"/>
    <w:rsid w:val="00E974A6"/>
    <w:rsid w:val="00EA5329"/>
    <w:rsid w:val="00EA6181"/>
    <w:rsid w:val="00EB1522"/>
    <w:rsid w:val="00EB2C3E"/>
    <w:rsid w:val="00EC55E6"/>
    <w:rsid w:val="00ED0D64"/>
    <w:rsid w:val="00ED295F"/>
    <w:rsid w:val="00ED4AEB"/>
    <w:rsid w:val="00ED60EC"/>
    <w:rsid w:val="00EE2EF8"/>
    <w:rsid w:val="00EE3963"/>
    <w:rsid w:val="00EE3A19"/>
    <w:rsid w:val="00EE573C"/>
    <w:rsid w:val="00EF394B"/>
    <w:rsid w:val="00EF6D72"/>
    <w:rsid w:val="00F105AC"/>
    <w:rsid w:val="00F23488"/>
    <w:rsid w:val="00F2588C"/>
    <w:rsid w:val="00F26590"/>
    <w:rsid w:val="00F31E30"/>
    <w:rsid w:val="00F51A80"/>
    <w:rsid w:val="00F55653"/>
    <w:rsid w:val="00F557CB"/>
    <w:rsid w:val="00F573B5"/>
    <w:rsid w:val="00F66106"/>
    <w:rsid w:val="00F77208"/>
    <w:rsid w:val="00F77D9C"/>
    <w:rsid w:val="00F8218D"/>
    <w:rsid w:val="00F94F7D"/>
    <w:rsid w:val="00FA1039"/>
    <w:rsid w:val="00FA137B"/>
    <w:rsid w:val="00FA37A8"/>
    <w:rsid w:val="00FA64BA"/>
    <w:rsid w:val="00FB1516"/>
    <w:rsid w:val="00FB48B9"/>
    <w:rsid w:val="00FC11E0"/>
    <w:rsid w:val="00FD21CA"/>
    <w:rsid w:val="00FE2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BE60C1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F9"/>
    <w:pPr>
      <w:spacing w:after="200"/>
      <w:jc w:val="both"/>
    </w:pPr>
    <w:rPr>
      <w:rFonts w:ascii="Arial" w:hAnsi="Arial" w:cs="Arial"/>
      <w:sz w:val="24"/>
      <w:szCs w:val="24"/>
      <w:lang w:eastAsia="en-US"/>
    </w:rPr>
  </w:style>
  <w:style w:type="paragraph" w:styleId="Heading1">
    <w:name w:val="heading 1"/>
    <w:basedOn w:val="Normal"/>
    <w:next w:val="Normal"/>
    <w:link w:val="Heading1Char"/>
    <w:autoRedefine/>
    <w:uiPriority w:val="9"/>
    <w:qFormat/>
    <w:rsid w:val="004B2104"/>
    <w:pPr>
      <w:keepNext/>
      <w:keepLines/>
      <w:spacing w:before="240" w:after="60"/>
      <w:outlineLvl w:val="0"/>
    </w:pPr>
    <w:rPr>
      <w:b/>
      <w:color w:val="548DD4" w:themeColor="text2" w:themeTint="99"/>
      <w:szCs w:val="26"/>
    </w:rPr>
  </w:style>
  <w:style w:type="paragraph" w:styleId="Heading2">
    <w:name w:val="heading 2"/>
    <w:basedOn w:val="Heading1"/>
    <w:next w:val="Normal"/>
    <w:link w:val="Heading2Char"/>
    <w:uiPriority w:val="9"/>
    <w:qFormat/>
    <w:rsid w:val="00105CEF"/>
    <w:pPr>
      <w:numPr>
        <w:ilvl w:val="1"/>
      </w:numPr>
      <w:spacing w:before="180"/>
      <w:outlineLvl w:val="1"/>
    </w:pPr>
    <w:rPr>
      <w:szCs w:val="24"/>
    </w:rPr>
  </w:style>
  <w:style w:type="paragraph" w:styleId="Heading3">
    <w:name w:val="heading 3"/>
    <w:basedOn w:val="Heading2"/>
    <w:next w:val="Normal"/>
    <w:link w:val="Heading3Char"/>
    <w:uiPriority w:val="9"/>
    <w:qFormat/>
    <w:rsid w:val="00105CEF"/>
    <w:pPr>
      <w:numPr>
        <w:ilvl w:val="2"/>
      </w:numPr>
      <w:spacing w:before="120" w:after="0"/>
      <w:outlineLvl w:val="2"/>
    </w:pPr>
    <w:rPr>
      <w:i/>
      <w:sz w:val="22"/>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qFormat/>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qFormat/>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qFormat/>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qFormat/>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qFormat/>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2104"/>
    <w:rPr>
      <w:rFonts w:ascii="Arial" w:hAnsi="Arial" w:cs="Arial"/>
      <w:b/>
      <w:color w:val="548DD4" w:themeColor="text2" w:themeTint="99"/>
      <w:sz w:val="24"/>
      <w:szCs w:val="26"/>
      <w:lang w:eastAsia="en-US"/>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pPr>
      <w:spacing w:after="120"/>
    </w:pPr>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sz w:val="22"/>
    </w:rPr>
  </w:style>
  <w:style w:type="paragraph" w:styleId="Title">
    <w:name w:val="Title"/>
    <w:basedOn w:val="Normal"/>
    <w:next w:val="Normal"/>
    <w:link w:val="TitleChar"/>
    <w:uiPriority w:val="10"/>
    <w:qFormat/>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qFormat/>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semiHidden/>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qFormat/>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6"/>
      </w:numPr>
    </w:pPr>
  </w:style>
  <w:style w:type="numbering" w:customStyle="1" w:styleId="BulletLevel1">
    <w:name w:val="Bullet Level 1"/>
    <w:pPr>
      <w:numPr>
        <w:numId w:val="1"/>
      </w:numPr>
    </w:pPr>
  </w:style>
  <w:style w:type="paragraph" w:customStyle="1" w:styleId="Sub-title">
    <w:name w:val="Sub-title"/>
    <w:basedOn w:val="Heading1"/>
    <w:link w:val="Sub-titleChar"/>
    <w:qFormat/>
    <w:rsid w:val="000E37AC"/>
    <w:rPr>
      <w:szCs w:val="28"/>
    </w:rPr>
  </w:style>
  <w:style w:type="paragraph" w:customStyle="1" w:styleId="Fronttitle">
    <w:name w:val="Front title"/>
    <w:basedOn w:val="Heading1"/>
    <w:link w:val="FronttitleChar"/>
    <w:qFormat/>
    <w:rsid w:val="000E37AC"/>
    <w:pPr>
      <w:spacing w:before="3600"/>
      <w:jc w:val="left"/>
    </w:pPr>
    <w:rPr>
      <w:sz w:val="56"/>
    </w:rPr>
  </w:style>
  <w:style w:type="character" w:customStyle="1" w:styleId="Sub-titleChar">
    <w:name w:val="Sub-title Char"/>
    <w:basedOn w:val="Heading1Char"/>
    <w:link w:val="Sub-title"/>
    <w:rsid w:val="000E37AC"/>
    <w:rPr>
      <w:rFonts w:ascii="Arial" w:hAnsi="Arial" w:cs="Arial"/>
      <w:b/>
      <w:color w:val="548DD4" w:themeColor="text2" w:themeTint="99"/>
      <w:sz w:val="28"/>
      <w:szCs w:val="28"/>
      <w:lang w:eastAsia="en-US"/>
    </w:rPr>
  </w:style>
  <w:style w:type="paragraph" w:customStyle="1" w:styleId="Casestudytitle">
    <w:name w:val="Case study title"/>
    <w:basedOn w:val="Sub-title"/>
    <w:link w:val="CasestudytitleChar"/>
    <w:qFormat/>
    <w:rsid w:val="000E37AC"/>
    <w:pPr>
      <w:ind w:left="720"/>
    </w:pPr>
  </w:style>
  <w:style w:type="character" w:customStyle="1" w:styleId="FronttitleChar">
    <w:name w:val="Front title Char"/>
    <w:basedOn w:val="Heading1Char"/>
    <w:link w:val="Fronttitle"/>
    <w:rsid w:val="000E37AC"/>
    <w:rPr>
      <w:rFonts w:ascii="Arial" w:hAnsi="Arial" w:cs="Arial"/>
      <w:b/>
      <w:color w:val="548DD4" w:themeColor="text2" w:themeTint="99"/>
      <w:sz w:val="56"/>
      <w:szCs w:val="26"/>
      <w:lang w:eastAsia="en-US"/>
    </w:rPr>
  </w:style>
  <w:style w:type="paragraph" w:customStyle="1" w:styleId="Casestudytext">
    <w:name w:val="Case study text"/>
    <w:basedOn w:val="Normal"/>
    <w:link w:val="CasestudytextChar"/>
    <w:qFormat/>
    <w:rsid w:val="000E37AC"/>
    <w:pPr>
      <w:ind w:left="720"/>
    </w:pPr>
    <w:rPr>
      <w:i/>
    </w:rPr>
  </w:style>
  <w:style w:type="character" w:customStyle="1" w:styleId="CasestudytitleChar">
    <w:name w:val="Case study title Char"/>
    <w:basedOn w:val="Sub-titleChar"/>
    <w:link w:val="Casestudytitle"/>
    <w:rsid w:val="000E37AC"/>
    <w:rPr>
      <w:rFonts w:ascii="Arial" w:hAnsi="Arial" w:cs="Arial"/>
      <w:b/>
      <w:color w:val="548DD4" w:themeColor="text2" w:themeTint="99"/>
      <w:sz w:val="28"/>
      <w:szCs w:val="28"/>
      <w:lang w:eastAsia="en-US"/>
    </w:rPr>
  </w:style>
  <w:style w:type="character" w:customStyle="1" w:styleId="CasestudytextChar">
    <w:name w:val="Case study text Char"/>
    <w:basedOn w:val="DefaultParagraphFont"/>
    <w:link w:val="Casestudytext"/>
    <w:rsid w:val="000E37AC"/>
    <w:rPr>
      <w:rFonts w:ascii="Arial" w:hAnsi="Arial" w:cs="Arial"/>
      <w:i/>
      <w:sz w:val="24"/>
      <w:szCs w:val="24"/>
      <w:lang w:eastAsia="en-US"/>
    </w:rPr>
  </w:style>
  <w:style w:type="paragraph" w:customStyle="1" w:styleId="CoverReportTitle">
    <w:name w:val="Cover Report Title"/>
    <w:basedOn w:val="Normal"/>
    <w:qFormat/>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CoverReportSubTitle">
    <w:name w:val="Cover Report Sub Title"/>
    <w:basedOn w:val="CoverReportTitle"/>
    <w:next w:val="Normal"/>
    <w:qFormat/>
    <w:rsid w:val="00205DBE"/>
    <w:pPr>
      <w:framePr w:wrap="around"/>
      <w:spacing w:before="113" w:after="57" w:line="400" w:lineRule="exact"/>
    </w:pPr>
    <w:rPr>
      <w:rFonts w:ascii="Myriad Pro" w:hAnsi="Myriad Pro"/>
      <w:color w:val="98002E"/>
      <w:sz w:val="36"/>
    </w:rPr>
  </w:style>
  <w:style w:type="paragraph" w:customStyle="1" w:styleId="Bullet">
    <w:name w:val="Bullet"/>
    <w:basedOn w:val="Normal"/>
    <w:qFormat/>
    <w:rsid w:val="00205DBE"/>
    <w:pPr>
      <w:numPr>
        <w:numId w:val="23"/>
      </w:numPr>
      <w:spacing w:after="28" w:line="320" w:lineRule="exact"/>
      <w:jc w:val="left"/>
    </w:pPr>
    <w:rPr>
      <w:rFonts w:ascii="Myriad Pro Light" w:eastAsiaTheme="minorHAnsi" w:hAnsi="Myriad Pro Light" w:cs="Times New Roman"/>
      <w:sz w:val="22"/>
      <w:szCs w:val="22"/>
    </w:rPr>
  </w:style>
  <w:style w:type="paragraph" w:customStyle="1" w:styleId="YellowBubbleBox">
    <w:name w:val="Yellow Bubble Box"/>
    <w:basedOn w:val="Normal"/>
    <w:next w:val="Normal"/>
    <w:qFormat/>
    <w:rsid w:val="00205DBE"/>
    <w:pPr>
      <w:pBdr>
        <w:top w:val="single" w:sz="48" w:space="3" w:color="FBB040"/>
        <w:left w:val="single" w:sz="48" w:space="8" w:color="FBB040"/>
        <w:bottom w:val="single" w:sz="48" w:space="6" w:color="FBB040"/>
        <w:right w:val="single" w:sz="48" w:space="8" w:color="FBB040"/>
      </w:pBdr>
      <w:shd w:val="clear" w:color="auto" w:fill="FBB040"/>
      <w:spacing w:before="240" w:after="113" w:line="320" w:lineRule="exact"/>
      <w:ind w:left="284" w:right="284"/>
      <w:contextualSpacing/>
      <w:jc w:val="left"/>
    </w:pPr>
    <w:rPr>
      <w:rFonts w:ascii="Myriad Pro Light" w:eastAsiaTheme="minorHAnsi" w:hAnsi="Myriad Pro Light" w:cs="Times New Roman"/>
      <w:sz w:val="22"/>
      <w:szCs w:val="22"/>
    </w:rPr>
  </w:style>
  <w:style w:type="character" w:styleId="IntenseEmphasis">
    <w:name w:val="Intense Emphasis"/>
    <w:aliases w:val="Figure Heading"/>
    <w:basedOn w:val="DefaultParagraphFont"/>
    <w:uiPriority w:val="21"/>
    <w:qFormat/>
    <w:rsid w:val="004B2104"/>
    <w:rPr>
      <w:rFonts w:ascii="Arial" w:hAnsi="Arial"/>
      <w:b/>
      <w:bCs/>
      <w:i w:val="0"/>
      <w:iCs/>
      <w:color w:val="000000" w:themeColor="text1"/>
      <w:sz w:val="22"/>
    </w:rPr>
  </w:style>
  <w:style w:type="paragraph" w:customStyle="1" w:styleId="GlanceYellowHeading">
    <w:name w:val="Glance Yellow Heading"/>
    <w:basedOn w:val="Normal"/>
    <w:next w:val="GlanceRedHeading"/>
    <w:qFormat/>
    <w:rsid w:val="004B2104"/>
    <w:pPr>
      <w:pBdr>
        <w:top w:val="single" w:sz="48" w:space="1" w:color="BFBFBF" w:themeColor="background1" w:themeShade="BF"/>
      </w:pBdr>
      <w:spacing w:after="0"/>
      <w:contextualSpacing/>
      <w:jc w:val="center"/>
      <w:textboxTightWrap w:val="allLines"/>
    </w:pPr>
    <w:rPr>
      <w:rFonts w:ascii="Myriad Pro Light SemiCond" w:eastAsiaTheme="minorHAnsi" w:hAnsi="Myriad Pro Light SemiCond" w:cs="Times New Roman"/>
      <w:color w:val="FBB040"/>
      <w:spacing w:val="-10"/>
      <w:sz w:val="56"/>
      <w:szCs w:val="22"/>
    </w:rPr>
  </w:style>
  <w:style w:type="paragraph" w:customStyle="1" w:styleId="GlanceRedHeading">
    <w:name w:val="Glance Red Heading"/>
    <w:basedOn w:val="Normal"/>
    <w:next w:val="GlanceBody"/>
    <w:qFormat/>
    <w:rsid w:val="004B2104"/>
    <w:pPr>
      <w:keepNext/>
      <w:keepLines/>
      <w:widowControl w:val="0"/>
      <w:spacing w:after="0"/>
      <w:jc w:val="center"/>
      <w:textboxTightWrap w:val="allLines"/>
    </w:pPr>
    <w:rPr>
      <w:rFonts w:ascii="Fair Work" w:eastAsiaTheme="minorHAnsi" w:hAnsi="Fair Work" w:cs="Times New Roman"/>
      <w:color w:val="98002E"/>
      <w:sz w:val="100"/>
      <w:szCs w:val="22"/>
    </w:rPr>
  </w:style>
  <w:style w:type="paragraph" w:customStyle="1" w:styleId="GlanceBody">
    <w:name w:val="Glance Body"/>
    <w:basedOn w:val="Normal"/>
    <w:qFormat/>
    <w:rsid w:val="004B2104"/>
    <w:pPr>
      <w:pBdr>
        <w:bottom w:val="single" w:sz="2" w:space="8" w:color="BFBFBF" w:themeColor="background1" w:themeShade="BF"/>
      </w:pBdr>
      <w:spacing w:after="113" w:line="320" w:lineRule="exact"/>
      <w:jc w:val="center"/>
    </w:pPr>
    <w:rPr>
      <w:rFonts w:ascii="Myriad Pro Light" w:eastAsiaTheme="minorHAnsi" w:hAnsi="Myriad Pro Light"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F9"/>
    <w:pPr>
      <w:spacing w:after="200"/>
      <w:jc w:val="both"/>
    </w:pPr>
    <w:rPr>
      <w:rFonts w:ascii="Arial" w:hAnsi="Arial" w:cs="Arial"/>
      <w:sz w:val="24"/>
      <w:szCs w:val="24"/>
      <w:lang w:eastAsia="en-US"/>
    </w:rPr>
  </w:style>
  <w:style w:type="paragraph" w:styleId="Heading1">
    <w:name w:val="heading 1"/>
    <w:basedOn w:val="Normal"/>
    <w:next w:val="Normal"/>
    <w:link w:val="Heading1Char"/>
    <w:autoRedefine/>
    <w:uiPriority w:val="9"/>
    <w:qFormat/>
    <w:rsid w:val="004B2104"/>
    <w:pPr>
      <w:keepNext/>
      <w:keepLines/>
      <w:spacing w:before="240" w:after="60"/>
      <w:outlineLvl w:val="0"/>
    </w:pPr>
    <w:rPr>
      <w:b/>
      <w:color w:val="548DD4" w:themeColor="text2" w:themeTint="99"/>
      <w:szCs w:val="26"/>
    </w:rPr>
  </w:style>
  <w:style w:type="paragraph" w:styleId="Heading2">
    <w:name w:val="heading 2"/>
    <w:basedOn w:val="Heading1"/>
    <w:next w:val="Normal"/>
    <w:link w:val="Heading2Char"/>
    <w:uiPriority w:val="9"/>
    <w:qFormat/>
    <w:rsid w:val="00105CEF"/>
    <w:pPr>
      <w:numPr>
        <w:ilvl w:val="1"/>
      </w:numPr>
      <w:spacing w:before="180"/>
      <w:outlineLvl w:val="1"/>
    </w:pPr>
    <w:rPr>
      <w:szCs w:val="24"/>
    </w:rPr>
  </w:style>
  <w:style w:type="paragraph" w:styleId="Heading3">
    <w:name w:val="heading 3"/>
    <w:basedOn w:val="Heading2"/>
    <w:next w:val="Normal"/>
    <w:link w:val="Heading3Char"/>
    <w:uiPriority w:val="9"/>
    <w:qFormat/>
    <w:rsid w:val="00105CEF"/>
    <w:pPr>
      <w:numPr>
        <w:ilvl w:val="2"/>
      </w:numPr>
      <w:spacing w:before="120" w:after="0"/>
      <w:outlineLvl w:val="2"/>
    </w:pPr>
    <w:rPr>
      <w:i/>
      <w:sz w:val="22"/>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qFormat/>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qFormat/>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qFormat/>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qFormat/>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qFormat/>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2104"/>
    <w:rPr>
      <w:rFonts w:ascii="Arial" w:hAnsi="Arial" w:cs="Arial"/>
      <w:b/>
      <w:color w:val="548DD4" w:themeColor="text2" w:themeTint="99"/>
      <w:sz w:val="24"/>
      <w:szCs w:val="26"/>
      <w:lang w:eastAsia="en-US"/>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pPr>
      <w:spacing w:after="120"/>
    </w:pPr>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sz w:val="22"/>
    </w:rPr>
  </w:style>
  <w:style w:type="paragraph" w:styleId="Title">
    <w:name w:val="Title"/>
    <w:basedOn w:val="Normal"/>
    <w:next w:val="Normal"/>
    <w:link w:val="TitleChar"/>
    <w:uiPriority w:val="10"/>
    <w:qFormat/>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qFormat/>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semiHidden/>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qFormat/>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6"/>
      </w:numPr>
    </w:pPr>
  </w:style>
  <w:style w:type="numbering" w:customStyle="1" w:styleId="BulletLevel1">
    <w:name w:val="Bullet Level 1"/>
    <w:pPr>
      <w:numPr>
        <w:numId w:val="1"/>
      </w:numPr>
    </w:pPr>
  </w:style>
  <w:style w:type="paragraph" w:customStyle="1" w:styleId="Sub-title">
    <w:name w:val="Sub-title"/>
    <w:basedOn w:val="Heading1"/>
    <w:link w:val="Sub-titleChar"/>
    <w:qFormat/>
    <w:rsid w:val="000E37AC"/>
    <w:rPr>
      <w:szCs w:val="28"/>
    </w:rPr>
  </w:style>
  <w:style w:type="paragraph" w:customStyle="1" w:styleId="Fronttitle">
    <w:name w:val="Front title"/>
    <w:basedOn w:val="Heading1"/>
    <w:link w:val="FronttitleChar"/>
    <w:qFormat/>
    <w:rsid w:val="000E37AC"/>
    <w:pPr>
      <w:spacing w:before="3600"/>
      <w:jc w:val="left"/>
    </w:pPr>
    <w:rPr>
      <w:sz w:val="56"/>
    </w:rPr>
  </w:style>
  <w:style w:type="character" w:customStyle="1" w:styleId="Sub-titleChar">
    <w:name w:val="Sub-title Char"/>
    <w:basedOn w:val="Heading1Char"/>
    <w:link w:val="Sub-title"/>
    <w:rsid w:val="000E37AC"/>
    <w:rPr>
      <w:rFonts w:ascii="Arial" w:hAnsi="Arial" w:cs="Arial"/>
      <w:b/>
      <w:color w:val="548DD4" w:themeColor="text2" w:themeTint="99"/>
      <w:sz w:val="28"/>
      <w:szCs w:val="28"/>
      <w:lang w:eastAsia="en-US"/>
    </w:rPr>
  </w:style>
  <w:style w:type="paragraph" w:customStyle="1" w:styleId="Casestudytitle">
    <w:name w:val="Case study title"/>
    <w:basedOn w:val="Sub-title"/>
    <w:link w:val="CasestudytitleChar"/>
    <w:qFormat/>
    <w:rsid w:val="000E37AC"/>
    <w:pPr>
      <w:ind w:left="720"/>
    </w:pPr>
  </w:style>
  <w:style w:type="character" w:customStyle="1" w:styleId="FronttitleChar">
    <w:name w:val="Front title Char"/>
    <w:basedOn w:val="Heading1Char"/>
    <w:link w:val="Fronttitle"/>
    <w:rsid w:val="000E37AC"/>
    <w:rPr>
      <w:rFonts w:ascii="Arial" w:hAnsi="Arial" w:cs="Arial"/>
      <w:b/>
      <w:color w:val="548DD4" w:themeColor="text2" w:themeTint="99"/>
      <w:sz w:val="56"/>
      <w:szCs w:val="26"/>
      <w:lang w:eastAsia="en-US"/>
    </w:rPr>
  </w:style>
  <w:style w:type="paragraph" w:customStyle="1" w:styleId="Casestudytext">
    <w:name w:val="Case study text"/>
    <w:basedOn w:val="Normal"/>
    <w:link w:val="CasestudytextChar"/>
    <w:qFormat/>
    <w:rsid w:val="000E37AC"/>
    <w:pPr>
      <w:ind w:left="720"/>
    </w:pPr>
    <w:rPr>
      <w:i/>
    </w:rPr>
  </w:style>
  <w:style w:type="character" w:customStyle="1" w:styleId="CasestudytitleChar">
    <w:name w:val="Case study title Char"/>
    <w:basedOn w:val="Sub-titleChar"/>
    <w:link w:val="Casestudytitle"/>
    <w:rsid w:val="000E37AC"/>
    <w:rPr>
      <w:rFonts w:ascii="Arial" w:hAnsi="Arial" w:cs="Arial"/>
      <w:b/>
      <w:color w:val="548DD4" w:themeColor="text2" w:themeTint="99"/>
      <w:sz w:val="28"/>
      <w:szCs w:val="28"/>
      <w:lang w:eastAsia="en-US"/>
    </w:rPr>
  </w:style>
  <w:style w:type="character" w:customStyle="1" w:styleId="CasestudytextChar">
    <w:name w:val="Case study text Char"/>
    <w:basedOn w:val="DefaultParagraphFont"/>
    <w:link w:val="Casestudytext"/>
    <w:rsid w:val="000E37AC"/>
    <w:rPr>
      <w:rFonts w:ascii="Arial" w:hAnsi="Arial" w:cs="Arial"/>
      <w:i/>
      <w:sz w:val="24"/>
      <w:szCs w:val="24"/>
      <w:lang w:eastAsia="en-US"/>
    </w:rPr>
  </w:style>
  <w:style w:type="paragraph" w:customStyle="1" w:styleId="CoverReportTitle">
    <w:name w:val="Cover Report Title"/>
    <w:basedOn w:val="Normal"/>
    <w:qFormat/>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CoverReportSubTitle">
    <w:name w:val="Cover Report Sub Title"/>
    <w:basedOn w:val="CoverReportTitle"/>
    <w:next w:val="Normal"/>
    <w:qFormat/>
    <w:rsid w:val="00205DBE"/>
    <w:pPr>
      <w:framePr w:wrap="around"/>
      <w:spacing w:before="113" w:after="57" w:line="400" w:lineRule="exact"/>
    </w:pPr>
    <w:rPr>
      <w:rFonts w:ascii="Myriad Pro" w:hAnsi="Myriad Pro"/>
      <w:color w:val="98002E"/>
      <w:sz w:val="36"/>
    </w:rPr>
  </w:style>
  <w:style w:type="paragraph" w:customStyle="1" w:styleId="Bullet">
    <w:name w:val="Bullet"/>
    <w:basedOn w:val="Normal"/>
    <w:qFormat/>
    <w:rsid w:val="00205DBE"/>
    <w:pPr>
      <w:numPr>
        <w:numId w:val="23"/>
      </w:numPr>
      <w:spacing w:after="28" w:line="320" w:lineRule="exact"/>
      <w:jc w:val="left"/>
    </w:pPr>
    <w:rPr>
      <w:rFonts w:ascii="Myriad Pro Light" w:eastAsiaTheme="minorHAnsi" w:hAnsi="Myriad Pro Light" w:cs="Times New Roman"/>
      <w:sz w:val="22"/>
      <w:szCs w:val="22"/>
    </w:rPr>
  </w:style>
  <w:style w:type="paragraph" w:customStyle="1" w:styleId="YellowBubbleBox">
    <w:name w:val="Yellow Bubble Box"/>
    <w:basedOn w:val="Normal"/>
    <w:next w:val="Normal"/>
    <w:qFormat/>
    <w:rsid w:val="00205DBE"/>
    <w:pPr>
      <w:pBdr>
        <w:top w:val="single" w:sz="48" w:space="3" w:color="FBB040"/>
        <w:left w:val="single" w:sz="48" w:space="8" w:color="FBB040"/>
        <w:bottom w:val="single" w:sz="48" w:space="6" w:color="FBB040"/>
        <w:right w:val="single" w:sz="48" w:space="8" w:color="FBB040"/>
      </w:pBdr>
      <w:shd w:val="clear" w:color="auto" w:fill="FBB040"/>
      <w:spacing w:before="240" w:after="113" w:line="320" w:lineRule="exact"/>
      <w:ind w:left="284" w:right="284"/>
      <w:contextualSpacing/>
      <w:jc w:val="left"/>
    </w:pPr>
    <w:rPr>
      <w:rFonts w:ascii="Myriad Pro Light" w:eastAsiaTheme="minorHAnsi" w:hAnsi="Myriad Pro Light" w:cs="Times New Roman"/>
      <w:sz w:val="22"/>
      <w:szCs w:val="22"/>
    </w:rPr>
  </w:style>
  <w:style w:type="character" w:styleId="IntenseEmphasis">
    <w:name w:val="Intense Emphasis"/>
    <w:aliases w:val="Figure Heading"/>
    <w:basedOn w:val="DefaultParagraphFont"/>
    <w:uiPriority w:val="21"/>
    <w:qFormat/>
    <w:rsid w:val="004B2104"/>
    <w:rPr>
      <w:rFonts w:ascii="Arial" w:hAnsi="Arial"/>
      <w:b/>
      <w:bCs/>
      <w:i w:val="0"/>
      <w:iCs/>
      <w:color w:val="000000" w:themeColor="text1"/>
      <w:sz w:val="22"/>
    </w:rPr>
  </w:style>
  <w:style w:type="paragraph" w:customStyle="1" w:styleId="GlanceYellowHeading">
    <w:name w:val="Glance Yellow Heading"/>
    <w:basedOn w:val="Normal"/>
    <w:next w:val="GlanceRedHeading"/>
    <w:qFormat/>
    <w:rsid w:val="004B2104"/>
    <w:pPr>
      <w:pBdr>
        <w:top w:val="single" w:sz="48" w:space="1" w:color="BFBFBF" w:themeColor="background1" w:themeShade="BF"/>
      </w:pBdr>
      <w:spacing w:after="0"/>
      <w:contextualSpacing/>
      <w:jc w:val="center"/>
      <w:textboxTightWrap w:val="allLines"/>
    </w:pPr>
    <w:rPr>
      <w:rFonts w:ascii="Myriad Pro Light SemiCond" w:eastAsiaTheme="minorHAnsi" w:hAnsi="Myriad Pro Light SemiCond" w:cs="Times New Roman"/>
      <w:color w:val="FBB040"/>
      <w:spacing w:val="-10"/>
      <w:sz w:val="56"/>
      <w:szCs w:val="22"/>
    </w:rPr>
  </w:style>
  <w:style w:type="paragraph" w:customStyle="1" w:styleId="GlanceRedHeading">
    <w:name w:val="Glance Red Heading"/>
    <w:basedOn w:val="Normal"/>
    <w:next w:val="GlanceBody"/>
    <w:qFormat/>
    <w:rsid w:val="004B2104"/>
    <w:pPr>
      <w:keepNext/>
      <w:keepLines/>
      <w:widowControl w:val="0"/>
      <w:spacing w:after="0"/>
      <w:jc w:val="center"/>
      <w:textboxTightWrap w:val="allLines"/>
    </w:pPr>
    <w:rPr>
      <w:rFonts w:ascii="Fair Work" w:eastAsiaTheme="minorHAnsi" w:hAnsi="Fair Work" w:cs="Times New Roman"/>
      <w:color w:val="98002E"/>
      <w:sz w:val="100"/>
      <w:szCs w:val="22"/>
    </w:rPr>
  </w:style>
  <w:style w:type="paragraph" w:customStyle="1" w:styleId="GlanceBody">
    <w:name w:val="Glance Body"/>
    <w:basedOn w:val="Normal"/>
    <w:qFormat/>
    <w:rsid w:val="004B2104"/>
    <w:pPr>
      <w:pBdr>
        <w:bottom w:val="single" w:sz="2" w:space="8" w:color="BFBFBF" w:themeColor="background1" w:themeShade="BF"/>
      </w:pBdr>
      <w:spacing w:after="113" w:line="320" w:lineRule="exact"/>
      <w:jc w:val="center"/>
    </w:pPr>
    <w:rPr>
      <w:rFonts w:ascii="Myriad Pro Light" w:eastAsiaTheme="minorHAnsi" w:hAnsi="Myriad Pro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airwork.gov.au/clean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4.png@01CF9F7C.8A44CEC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Lynda.McAlary-Smith@fwo.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edia@fwo.gov.au" TargetMode="Externa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cid:image006.png@01CF9F7C.8A44CEC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9B90E9CCC363384BB811393AC4733E5F" ma:contentTypeVersion="21" ma:contentTypeDescription="Document with BCS Classification" ma:contentTypeScope="" ma:versionID="532e763b73c6b9329938db3fb13483d2">
  <xsd:schema xmlns:xsd="http://www.w3.org/2001/XMLSchema" xmlns:xs="http://www.w3.org/2001/XMLSchema" xmlns:p="http://schemas.microsoft.com/office/2006/metadata/properties" xmlns:ns2="9CD2C200-E5EE-491A-BE9F-1B38678D765C" xmlns:ns3="289aa9ee-b1f4-4122-a062-0e87d672a6e7" targetNamespace="http://schemas.microsoft.com/office/2006/metadata/properties" ma:root="true" ma:fieldsID="1fe5d5e04cb6746df45a0534247dc101" ns2:_="" ns3:_="">
    <xsd:import namespace="9CD2C200-E5EE-491A-BE9F-1B38678D765C"/>
    <xsd:import namespace="289aa9ee-b1f4-4122-a062-0e87d672a6e7"/>
    <xsd:element name="properties">
      <xsd:complexType>
        <xsd:sequence>
          <xsd:element name="documentManagement">
            <xsd:complexType>
              <xsd:all>
                <xsd:element ref="ns2:FWO_DOCStatus" minOccurs="0"/>
                <xsd:element ref="ns2:FWO_DocSecurityClassification" minOccurs="0"/>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2C200-E5EE-491A-BE9F-1B38678D765C"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nillable="true"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20"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1"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WO_DocumentTopicTaxHTField0 xmlns="9CD2C200-E5EE-491A-BE9F-1B38678D765C">
      <Terms xmlns="http://schemas.microsoft.com/office/infopath/2007/PartnerControls">
        <TermInfo xmlns="http://schemas.microsoft.com/office/infopath/2007/PartnerControls">
          <TermName xmlns="http://schemas.microsoft.com/office/infopath/2007/PartnerControls">Campaign report</TermName>
          <TermId xmlns="http://schemas.microsoft.com/office/infopath/2007/PartnerControls">9500137e-a308-4ee0-813c-0512049884a9</TermId>
        </TermInfo>
      </Terms>
    </FWO_DocumentTopicTaxHTField0>
    <FWO_BCSTaxHTField0 xmlns="9CD2C200-E5EE-491A-BE9F-1B38678D765C">
      <Terms xmlns="http://schemas.microsoft.com/office/infopath/2007/PartnerControls">
        <TermInfo xmlns="http://schemas.microsoft.com/office/infopath/2007/PartnerControls">
          <TermName xmlns="http://schemas.microsoft.com/office/infopath/2007/PartnerControls">Monitoring</TermName>
          <TermId xmlns="http://schemas.microsoft.com/office/infopath/2007/PartnerControls">d5c12385-bbff-466e-91f0-7746ec9f00a8</TermId>
        </TermInfo>
      </Terms>
    </FWO_BCSTaxHTField0>
    <FWO_EnterpriseKeywordTaxHTField0 xmlns="9CD2C200-E5EE-491A-BE9F-1B38678D765C">
      <Terms xmlns="http://schemas.microsoft.com/office/infopath/2007/PartnerControls"/>
    </FWO_EnterpriseKeywordTaxHTField0>
    <FWO_DOCStatus xmlns="9CD2C200-E5EE-491A-BE9F-1B38678D765C">Draft</FWO_DOCStatus>
    <FWO_DocSecurityClassification xmlns="9CD2C200-E5EE-491A-BE9F-1B38678D765C">Unclassified</FWO_DocSecurityClassification>
    <TaxCatchAll xmlns="289aa9ee-b1f4-4122-a062-0e87d672a6e7"/>
    <FWO_TRIM_SecurityClassification xmlns="9CD2C200-E5EE-491A-BE9F-1B38678D765C">Unclassified</FWO_TRIM_SecurityClassification>
    <FWO_TRIM_DLM xmlns="9CD2C200-E5EE-491A-BE9F-1B38678D765C"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27F6-D742-477C-936C-3FDBFEAC5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2C200-E5EE-491A-BE9F-1B38678D765C"/>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4945F-2439-450F-9756-B32C663F2901}">
  <ds:schemaRefs>
    <ds:schemaRef ds:uri="http://purl.org/dc/elements/1.1/"/>
    <ds:schemaRef ds:uri="http://schemas.microsoft.com/office/2006/documentManagement/types"/>
    <ds:schemaRef ds:uri="http://www.w3.org/XML/1998/namespace"/>
    <ds:schemaRef ds:uri="http://purl.org/dc/terms/"/>
    <ds:schemaRef ds:uri="9CD2C200-E5EE-491A-BE9F-1B38678D765C"/>
    <ds:schemaRef ds:uri="http://purl.org/dc/dcmitype/"/>
    <ds:schemaRef ds:uri="http://schemas.microsoft.com/office/infopath/2007/PartnerControls"/>
    <ds:schemaRef ds:uri="http://schemas.openxmlformats.org/package/2006/metadata/core-properties"/>
    <ds:schemaRef ds:uri="289aa9ee-b1f4-4122-a062-0e87d672a6e7"/>
    <ds:schemaRef ds:uri="http://schemas.microsoft.com/office/2006/metadata/properties"/>
  </ds:schemaRefs>
</ds:datastoreItem>
</file>

<file path=customXml/itemProps3.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4.xml><?xml version="1.0" encoding="utf-8"?>
<ds:datastoreItem xmlns:ds="http://schemas.openxmlformats.org/officeDocument/2006/customXml" ds:itemID="{5955F1DF-3DAD-4034-BE00-F363EA271DE8}">
  <ds:schemaRefs>
    <ds:schemaRef ds:uri="http://schemas.microsoft.com/sharepoint/v3/contenttype/forms"/>
  </ds:schemaRefs>
</ds:datastoreItem>
</file>

<file path=customXml/itemProps5.xml><?xml version="1.0" encoding="utf-8"?>
<ds:datastoreItem xmlns:ds="http://schemas.openxmlformats.org/officeDocument/2006/customXml" ds:itemID="{B80AF419-9A57-418C-B7F8-EF6E7507C96A}">
  <ds:schemaRefs>
    <ds:schemaRef ds:uri="http://schemas.microsoft.com/sharepoint/events"/>
  </ds:schemaRefs>
</ds:datastoreItem>
</file>

<file path=customXml/itemProps6.xml><?xml version="1.0" encoding="utf-8"?>
<ds:datastoreItem xmlns:ds="http://schemas.openxmlformats.org/officeDocument/2006/customXml" ds:itemID="{B8C77AB6-E2AB-42E1-8D22-70A11564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F78E4A07.dotm</Template>
  <TotalTime>29</TotalTime>
  <Pages>14</Pages>
  <Words>3140</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National Cleaning Services Follow Up Campaign Report</vt:lpstr>
    </vt:vector>
  </TitlesOfParts>
  <Company>Fair Work Ombudsman</Company>
  <LinksUpToDate>false</LinksUpToDate>
  <CharactersWithSpaces>21632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Cleaning Services Follow Up Campaign Report</dc:title>
  <dc:subject>National Cleaning Services Follow Up Campaign Report</dc:subject>
  <dc:creator>Fair Work Ombudsman</dc:creator>
  <cp:keywords>National Cleaning Services Follow Up Campaign Report</cp:keywords>
  <cp:lastModifiedBy>Amalia Chong</cp:lastModifiedBy>
  <cp:revision>15</cp:revision>
  <cp:lastPrinted>2013-04-23T04:42:00Z</cp:lastPrinted>
  <dcterms:created xsi:type="dcterms:W3CDTF">2015-01-16T03:15:00Z</dcterms:created>
  <dcterms:modified xsi:type="dcterms:W3CDTF">2015-03-11T01:07:00Z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
    <vt:lpwstr>Document</vt:lpwstr>
  </property>
  <property fmtid="{D5CDD505-2E9C-101B-9397-08002B2CF9AE}" pid="6" name="ContentTypeId">
    <vt:lpwstr>0x010100B2AA788ECC3F4F3EBCB0F00CED0A3A70009B90E9CCC363384BB811393AC4733E5F</vt:lpwstr>
  </property>
  <property fmtid="{D5CDD505-2E9C-101B-9397-08002B2CF9AE}" pid="7" name="Order">
    <vt:r8>61500</vt:r8>
  </property>
  <property fmtid="{D5CDD505-2E9C-101B-9397-08002B2CF9AE}" pid="8" name="Topic">
    <vt:lpwstr>Other</vt:lpwstr>
  </property>
  <property fmtid="{D5CDD505-2E9C-101B-9397-08002B2CF9AE}" pid="9" name="Document Type">
    <vt:lpwstr>Other</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Title">
    <vt:lpwstr>QLD-Clothing-Manufacturers-Audit-Program-2011-report</vt:lpwstr>
  </property>
  <property fmtid="{D5CDD505-2E9C-101B-9397-08002B2CF9AE}" pid="14" name="FWO_DocumentTopicTaxHTField0">
    <vt:lpwstr>Campaign report|9500137e-a308-4ee0-813c-0512049884a9</vt:lpwstr>
  </property>
  <property fmtid="{D5CDD505-2E9C-101B-9397-08002B2CF9AE}" pid="15" name="FWO_DocumentTopic">
    <vt:lpwstr>-1;#Campaign report|9500137e-a308-4ee0-813c-0512049884a9</vt:lpwstr>
  </property>
  <property fmtid="{D5CDD505-2E9C-101B-9397-08002B2CF9AE}" pid="16" name="FWO_BCSTaxHTField0">
    <vt:lpwstr>Monitoring|d5c12385-bbff-466e-91f0-7746ec9f00a8</vt:lpwstr>
  </property>
  <property fmtid="{D5CDD505-2E9C-101B-9397-08002B2CF9AE}" pid="17" name="FWO_BCS">
    <vt:lpwstr>-1;#Monitoring|d5c12385-bbff-466e-91f0-7746ec9f00a8</vt:lpwstr>
  </property>
  <property fmtid="{D5CDD505-2E9C-101B-9397-08002B2CF9AE}" pid="18" name="FWO_EnterpriseKeywordTaxHTField0">
    <vt:lpwstr/>
  </property>
  <property fmtid="{D5CDD505-2E9C-101B-9397-08002B2CF9AE}" pid="19" name="FWO_EnterpriseKeyword">
    <vt:lpwstr/>
  </property>
  <property fmtid="{D5CDD505-2E9C-101B-9397-08002B2CF9AE}" pid="20" name="FWO_DOCStatus">
    <vt:lpwstr>Draft</vt:lpwstr>
  </property>
  <property fmtid="{D5CDD505-2E9C-101B-9397-08002B2CF9AE}" pid="21" name="FWO_DocSecurityClassification">
    <vt:lpwstr>Unclassified</vt:lpwstr>
  </property>
  <property fmtid="{D5CDD505-2E9C-101B-9397-08002B2CF9AE}" pid="22" name="TaxCatchAll">
    <vt:lpwstr/>
  </property>
  <property fmtid="{D5CDD505-2E9C-101B-9397-08002B2CF9AE}" pid="23" name="FWO_TRIM_SecurityClassification">
    <vt:lpwstr>Unclassified</vt:lpwstr>
  </property>
  <property fmtid="{D5CDD505-2E9C-101B-9397-08002B2CF9AE}" pid="24" name="FWO_TRIM_DLM">
    <vt:lpwstr/>
  </property>
  <property fmtid="{D5CDD505-2E9C-101B-9397-08002B2CF9AE}" pid="25" name="mvRef">
    <vt:lpwstr>Current national campaigns:DB-617383/4.0</vt:lpwstr>
  </property>
  <property fmtid="{D5CDD505-2E9C-101B-9397-08002B2CF9AE}" pid="26" name="_dlc_DocIdItemGuid">
    <vt:lpwstr>84a7625d-f044-4ecb-aa4a-0715a443c8ea</vt:lpwstr>
  </property>
</Properties>
</file>