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50A" w:rsidRDefault="0099250A" w:rsidP="00AE7036">
      <w:pPr>
        <w:pStyle w:val="Fronttitle"/>
        <w:ind w:firstLine="567"/>
      </w:pPr>
    </w:p>
    <w:p w:rsidR="0099250A" w:rsidRDefault="0099250A" w:rsidP="0099250A">
      <w:pPr>
        <w:pStyle w:val="CoverReportTitle"/>
        <w:framePr w:w="0" w:wrap="auto" w:vAnchor="margin" w:xAlign="left" w:yAlign="inline"/>
      </w:pPr>
      <w:r>
        <w:t>National Children’s Services Campaign – 2013/14</w:t>
      </w:r>
    </w:p>
    <w:p w:rsidR="0099250A" w:rsidRDefault="002B310F" w:rsidP="0099250A">
      <w:pPr>
        <w:pStyle w:val="CoverReportSubTitle"/>
        <w:framePr w:w="0" w:wrap="auto" w:vAnchor="margin" w:xAlign="left" w:yAlign="inline"/>
      </w:pPr>
      <w:r>
        <w:t>Report – May</w:t>
      </w:r>
      <w:r w:rsidR="0099250A">
        <w:t xml:space="preserve"> 2015</w:t>
      </w:r>
    </w:p>
    <w:p w:rsidR="0099250A" w:rsidRDefault="0099250A" w:rsidP="0099250A">
      <w:pPr>
        <w:pStyle w:val="CoverReportSubTitle"/>
        <w:framePr w:w="0" w:wrap="auto" w:vAnchor="margin" w:xAlign="left" w:yAlign="inline"/>
      </w:pPr>
    </w:p>
    <w:p w:rsidR="0099250A" w:rsidRDefault="0099250A" w:rsidP="0099250A">
      <w:pPr>
        <w:pStyle w:val="CoverReportSubTitle"/>
        <w:framePr w:w="0" w:wrap="auto" w:vAnchor="margin" w:xAlign="left" w:yAlign="inline"/>
      </w:pPr>
    </w:p>
    <w:p w:rsidR="0099250A" w:rsidRPr="0045600E" w:rsidRDefault="0099250A" w:rsidP="0099250A">
      <w:pPr>
        <w:rPr>
          <w:sz w:val="36"/>
        </w:rPr>
      </w:pPr>
      <w:r w:rsidRPr="0045600E">
        <w:t>A report by the Fair Work Ombudsman under the Fair Work Act 2009</w:t>
      </w:r>
    </w:p>
    <w:p w:rsidR="0099250A" w:rsidRPr="0045600E" w:rsidRDefault="0099250A" w:rsidP="0099250A">
      <w:r w:rsidRPr="0045600E">
        <w:t xml:space="preserve">Date of Publication </w:t>
      </w:r>
      <w:r>
        <w:t>–</w:t>
      </w:r>
      <w:r w:rsidRPr="0045600E">
        <w:t xml:space="preserve"> </w:t>
      </w:r>
      <w:r w:rsidR="002B310F">
        <w:t>May</w:t>
      </w:r>
      <w:r>
        <w:t xml:space="preserve"> 2015</w:t>
      </w:r>
    </w:p>
    <w:p w:rsidR="0099250A" w:rsidRPr="0045600E" w:rsidRDefault="0099250A" w:rsidP="0099250A">
      <w:r w:rsidRPr="0045600E">
        <w:t>© Commonwealth of Australia, 201</w:t>
      </w:r>
      <w:r>
        <w:t>5</w:t>
      </w:r>
    </w:p>
    <w:p w:rsidR="0099250A" w:rsidRDefault="0099250A" w:rsidP="0099250A">
      <w:r>
        <w:br w:type="page"/>
      </w:r>
    </w:p>
    <w:p w:rsidR="0099250A" w:rsidRPr="00CF3B06" w:rsidRDefault="0099250A" w:rsidP="0099250A">
      <w:pPr>
        <w:pStyle w:val="Heading1"/>
      </w:pPr>
      <w:bookmarkStart w:id="0" w:name="_Toc410822199"/>
      <w:bookmarkStart w:id="1" w:name="_Toc418861795"/>
      <w:r w:rsidRPr="00CF3B06">
        <w:lastRenderedPageBreak/>
        <w:t>Contents</w:t>
      </w:r>
      <w:bookmarkEnd w:id="0"/>
      <w:bookmarkEnd w:id="1"/>
    </w:p>
    <w:p w:rsidR="002B310F" w:rsidRDefault="0099250A">
      <w:pPr>
        <w:pStyle w:val="TOC1"/>
        <w:rPr>
          <w:rFonts w:asciiTheme="minorHAnsi" w:eastAsiaTheme="minorEastAsia" w:hAnsiTheme="minorHAnsi" w:cstheme="minorBidi"/>
          <w:noProof/>
          <w:spacing w:val="0"/>
          <w:szCs w:val="22"/>
          <w:lang w:eastAsia="en-AU"/>
        </w:rPr>
      </w:pPr>
      <w:r w:rsidRPr="000D29E1">
        <w:fldChar w:fldCharType="begin"/>
      </w:r>
      <w:r w:rsidRPr="000D29E1">
        <w:instrText xml:space="preserve"> TOC \o "1-2" \h \z \u </w:instrText>
      </w:r>
      <w:r w:rsidRPr="000D29E1">
        <w:fldChar w:fldCharType="separate"/>
      </w:r>
      <w:hyperlink w:anchor="_Toc418861795" w:history="1">
        <w:r w:rsidR="002B310F" w:rsidRPr="00136940">
          <w:rPr>
            <w:rStyle w:val="Hyperlink"/>
            <w:noProof/>
          </w:rPr>
          <w:t>Contents</w:t>
        </w:r>
        <w:r w:rsidR="002B310F">
          <w:rPr>
            <w:noProof/>
            <w:webHidden/>
          </w:rPr>
          <w:tab/>
        </w:r>
        <w:r w:rsidR="002B310F">
          <w:rPr>
            <w:noProof/>
            <w:webHidden/>
          </w:rPr>
          <w:fldChar w:fldCharType="begin"/>
        </w:r>
        <w:r w:rsidR="002B310F">
          <w:rPr>
            <w:noProof/>
            <w:webHidden/>
          </w:rPr>
          <w:instrText xml:space="preserve"> PAGEREF _Toc418861795 \h </w:instrText>
        </w:r>
        <w:r w:rsidR="002B310F">
          <w:rPr>
            <w:noProof/>
            <w:webHidden/>
          </w:rPr>
        </w:r>
        <w:r w:rsidR="002B310F">
          <w:rPr>
            <w:noProof/>
            <w:webHidden/>
          </w:rPr>
          <w:fldChar w:fldCharType="separate"/>
        </w:r>
        <w:r w:rsidR="002B310F">
          <w:rPr>
            <w:noProof/>
            <w:webHidden/>
          </w:rPr>
          <w:t>2</w:t>
        </w:r>
        <w:r w:rsidR="002B310F">
          <w:rPr>
            <w:noProof/>
            <w:webHidden/>
          </w:rPr>
          <w:fldChar w:fldCharType="end"/>
        </w:r>
      </w:hyperlink>
    </w:p>
    <w:p w:rsidR="002B310F" w:rsidRDefault="00AE7036">
      <w:pPr>
        <w:pStyle w:val="TOC1"/>
        <w:rPr>
          <w:rFonts w:asciiTheme="minorHAnsi" w:eastAsiaTheme="minorEastAsia" w:hAnsiTheme="minorHAnsi" w:cstheme="minorBidi"/>
          <w:noProof/>
          <w:spacing w:val="0"/>
          <w:szCs w:val="22"/>
          <w:lang w:eastAsia="en-AU"/>
        </w:rPr>
      </w:pPr>
      <w:hyperlink w:anchor="_Toc418861796" w:history="1">
        <w:r w:rsidR="002B310F" w:rsidRPr="00136940">
          <w:rPr>
            <w:rStyle w:val="Hyperlink"/>
            <w:noProof/>
          </w:rPr>
          <w:t>Campaign Snapshot</w:t>
        </w:r>
        <w:r w:rsidR="002B310F">
          <w:rPr>
            <w:noProof/>
            <w:webHidden/>
          </w:rPr>
          <w:tab/>
        </w:r>
        <w:r w:rsidR="002B310F">
          <w:rPr>
            <w:noProof/>
            <w:webHidden/>
          </w:rPr>
          <w:fldChar w:fldCharType="begin"/>
        </w:r>
        <w:r w:rsidR="002B310F">
          <w:rPr>
            <w:noProof/>
            <w:webHidden/>
          </w:rPr>
          <w:instrText xml:space="preserve"> PAGEREF _Toc418861796 \h </w:instrText>
        </w:r>
        <w:r w:rsidR="002B310F">
          <w:rPr>
            <w:noProof/>
            <w:webHidden/>
          </w:rPr>
        </w:r>
        <w:r w:rsidR="002B310F">
          <w:rPr>
            <w:noProof/>
            <w:webHidden/>
          </w:rPr>
          <w:fldChar w:fldCharType="separate"/>
        </w:r>
        <w:r w:rsidR="002B310F">
          <w:rPr>
            <w:noProof/>
            <w:webHidden/>
          </w:rPr>
          <w:t>3</w:t>
        </w:r>
        <w:r w:rsidR="002B310F">
          <w:rPr>
            <w:noProof/>
            <w:webHidden/>
          </w:rPr>
          <w:fldChar w:fldCharType="end"/>
        </w:r>
      </w:hyperlink>
    </w:p>
    <w:p w:rsidR="002B310F" w:rsidRDefault="00AE7036">
      <w:pPr>
        <w:pStyle w:val="TOC1"/>
        <w:rPr>
          <w:rFonts w:asciiTheme="minorHAnsi" w:eastAsiaTheme="minorEastAsia" w:hAnsiTheme="minorHAnsi" w:cstheme="minorBidi"/>
          <w:noProof/>
          <w:spacing w:val="0"/>
          <w:szCs w:val="22"/>
          <w:lang w:eastAsia="en-AU"/>
        </w:rPr>
      </w:pPr>
      <w:hyperlink w:anchor="_Toc418861797" w:history="1">
        <w:r w:rsidR="002B310F" w:rsidRPr="00136940">
          <w:rPr>
            <w:rStyle w:val="Hyperlink"/>
            <w:noProof/>
          </w:rPr>
          <w:t>About the Campaign</w:t>
        </w:r>
        <w:r w:rsidR="002B310F">
          <w:rPr>
            <w:noProof/>
            <w:webHidden/>
          </w:rPr>
          <w:tab/>
        </w:r>
        <w:r w:rsidR="002B310F">
          <w:rPr>
            <w:noProof/>
            <w:webHidden/>
          </w:rPr>
          <w:fldChar w:fldCharType="begin"/>
        </w:r>
        <w:r w:rsidR="002B310F">
          <w:rPr>
            <w:noProof/>
            <w:webHidden/>
          </w:rPr>
          <w:instrText xml:space="preserve"> PAGEREF _Toc418861797 \h </w:instrText>
        </w:r>
        <w:r w:rsidR="002B310F">
          <w:rPr>
            <w:noProof/>
            <w:webHidden/>
          </w:rPr>
        </w:r>
        <w:r w:rsidR="002B310F">
          <w:rPr>
            <w:noProof/>
            <w:webHidden/>
          </w:rPr>
          <w:fldChar w:fldCharType="separate"/>
        </w:r>
        <w:r w:rsidR="002B310F">
          <w:rPr>
            <w:noProof/>
            <w:webHidden/>
          </w:rPr>
          <w:t>2</w:t>
        </w:r>
        <w:r w:rsidR="002B310F">
          <w:rPr>
            <w:noProof/>
            <w:webHidden/>
          </w:rPr>
          <w:fldChar w:fldCharType="end"/>
        </w:r>
      </w:hyperlink>
    </w:p>
    <w:p w:rsidR="002B310F" w:rsidRDefault="00AE7036">
      <w:pPr>
        <w:pStyle w:val="TOC1"/>
        <w:rPr>
          <w:rFonts w:asciiTheme="minorHAnsi" w:eastAsiaTheme="minorEastAsia" w:hAnsiTheme="minorHAnsi" w:cstheme="minorBidi"/>
          <w:noProof/>
          <w:spacing w:val="0"/>
          <w:szCs w:val="22"/>
          <w:lang w:eastAsia="en-AU"/>
        </w:rPr>
      </w:pPr>
      <w:hyperlink w:anchor="_Toc418861798" w:history="1">
        <w:r w:rsidR="002B310F" w:rsidRPr="00136940">
          <w:rPr>
            <w:rStyle w:val="Hyperlink"/>
            <w:noProof/>
          </w:rPr>
          <w:t>Outcomes at a Glance</w:t>
        </w:r>
        <w:r w:rsidR="002B310F">
          <w:rPr>
            <w:noProof/>
            <w:webHidden/>
          </w:rPr>
          <w:tab/>
        </w:r>
        <w:r w:rsidR="002B310F">
          <w:rPr>
            <w:noProof/>
            <w:webHidden/>
          </w:rPr>
          <w:fldChar w:fldCharType="begin"/>
        </w:r>
        <w:r w:rsidR="002B310F">
          <w:rPr>
            <w:noProof/>
            <w:webHidden/>
          </w:rPr>
          <w:instrText xml:space="preserve"> PAGEREF _Toc418861798 \h </w:instrText>
        </w:r>
        <w:r w:rsidR="002B310F">
          <w:rPr>
            <w:noProof/>
            <w:webHidden/>
          </w:rPr>
        </w:r>
        <w:r w:rsidR="002B310F">
          <w:rPr>
            <w:noProof/>
            <w:webHidden/>
          </w:rPr>
          <w:fldChar w:fldCharType="separate"/>
        </w:r>
        <w:r w:rsidR="002B310F">
          <w:rPr>
            <w:noProof/>
            <w:webHidden/>
          </w:rPr>
          <w:t>2</w:t>
        </w:r>
        <w:r w:rsidR="002B310F">
          <w:rPr>
            <w:noProof/>
            <w:webHidden/>
          </w:rPr>
          <w:fldChar w:fldCharType="end"/>
        </w:r>
      </w:hyperlink>
    </w:p>
    <w:p w:rsidR="002B310F" w:rsidRDefault="00AE7036">
      <w:pPr>
        <w:pStyle w:val="TOC1"/>
        <w:rPr>
          <w:rFonts w:asciiTheme="minorHAnsi" w:eastAsiaTheme="minorEastAsia" w:hAnsiTheme="minorHAnsi" w:cstheme="minorBidi"/>
          <w:noProof/>
          <w:spacing w:val="0"/>
          <w:szCs w:val="22"/>
          <w:lang w:eastAsia="en-AU"/>
        </w:rPr>
      </w:pPr>
      <w:hyperlink w:anchor="_Toc418861799" w:history="1">
        <w:r w:rsidR="002B310F" w:rsidRPr="00136940">
          <w:rPr>
            <w:rStyle w:val="Hyperlink"/>
            <w:noProof/>
          </w:rPr>
          <w:t>Industry Profile</w:t>
        </w:r>
        <w:r w:rsidR="002B310F">
          <w:rPr>
            <w:noProof/>
            <w:webHidden/>
          </w:rPr>
          <w:tab/>
        </w:r>
        <w:r w:rsidR="002B310F">
          <w:rPr>
            <w:noProof/>
            <w:webHidden/>
          </w:rPr>
          <w:fldChar w:fldCharType="begin"/>
        </w:r>
        <w:r w:rsidR="002B310F">
          <w:rPr>
            <w:noProof/>
            <w:webHidden/>
          </w:rPr>
          <w:instrText xml:space="preserve"> PAGEREF _Toc418861799 \h </w:instrText>
        </w:r>
        <w:r w:rsidR="002B310F">
          <w:rPr>
            <w:noProof/>
            <w:webHidden/>
          </w:rPr>
        </w:r>
        <w:r w:rsidR="002B310F">
          <w:rPr>
            <w:noProof/>
            <w:webHidden/>
          </w:rPr>
          <w:fldChar w:fldCharType="separate"/>
        </w:r>
        <w:r w:rsidR="002B310F">
          <w:rPr>
            <w:noProof/>
            <w:webHidden/>
          </w:rPr>
          <w:t>3</w:t>
        </w:r>
        <w:r w:rsidR="002B310F">
          <w:rPr>
            <w:noProof/>
            <w:webHidden/>
          </w:rPr>
          <w:fldChar w:fldCharType="end"/>
        </w:r>
      </w:hyperlink>
    </w:p>
    <w:p w:rsidR="002B310F" w:rsidRDefault="00AE7036">
      <w:pPr>
        <w:pStyle w:val="TOC1"/>
        <w:rPr>
          <w:rFonts w:asciiTheme="minorHAnsi" w:eastAsiaTheme="minorEastAsia" w:hAnsiTheme="minorHAnsi" w:cstheme="minorBidi"/>
          <w:noProof/>
          <w:spacing w:val="0"/>
          <w:szCs w:val="22"/>
          <w:lang w:eastAsia="en-AU"/>
        </w:rPr>
      </w:pPr>
      <w:hyperlink w:anchor="_Toc418861800" w:history="1">
        <w:r w:rsidR="002B310F" w:rsidRPr="00136940">
          <w:rPr>
            <w:rStyle w:val="Hyperlink"/>
            <w:noProof/>
          </w:rPr>
          <w:t>Industry Stakeholders</w:t>
        </w:r>
        <w:r w:rsidR="002B310F">
          <w:rPr>
            <w:noProof/>
            <w:webHidden/>
          </w:rPr>
          <w:tab/>
        </w:r>
        <w:r w:rsidR="002B310F">
          <w:rPr>
            <w:noProof/>
            <w:webHidden/>
          </w:rPr>
          <w:fldChar w:fldCharType="begin"/>
        </w:r>
        <w:r w:rsidR="002B310F">
          <w:rPr>
            <w:noProof/>
            <w:webHidden/>
          </w:rPr>
          <w:instrText xml:space="preserve"> PAGEREF _Toc418861800 \h </w:instrText>
        </w:r>
        <w:r w:rsidR="002B310F">
          <w:rPr>
            <w:noProof/>
            <w:webHidden/>
          </w:rPr>
        </w:r>
        <w:r w:rsidR="002B310F">
          <w:rPr>
            <w:noProof/>
            <w:webHidden/>
          </w:rPr>
          <w:fldChar w:fldCharType="separate"/>
        </w:r>
        <w:r w:rsidR="002B310F">
          <w:rPr>
            <w:noProof/>
            <w:webHidden/>
          </w:rPr>
          <w:t>3</w:t>
        </w:r>
        <w:r w:rsidR="002B310F">
          <w:rPr>
            <w:noProof/>
            <w:webHidden/>
          </w:rPr>
          <w:fldChar w:fldCharType="end"/>
        </w:r>
      </w:hyperlink>
    </w:p>
    <w:p w:rsidR="002B310F" w:rsidRDefault="00AE7036">
      <w:pPr>
        <w:pStyle w:val="TOC1"/>
        <w:rPr>
          <w:rFonts w:asciiTheme="minorHAnsi" w:eastAsiaTheme="minorEastAsia" w:hAnsiTheme="minorHAnsi" w:cstheme="minorBidi"/>
          <w:noProof/>
          <w:spacing w:val="0"/>
          <w:szCs w:val="22"/>
          <w:lang w:eastAsia="en-AU"/>
        </w:rPr>
      </w:pPr>
      <w:hyperlink w:anchor="_Toc418861801" w:history="1">
        <w:r w:rsidR="002B310F" w:rsidRPr="00136940">
          <w:rPr>
            <w:rStyle w:val="Hyperlink"/>
            <w:noProof/>
          </w:rPr>
          <w:t>Communication and Public Awareness</w:t>
        </w:r>
        <w:r w:rsidR="002B310F">
          <w:rPr>
            <w:noProof/>
            <w:webHidden/>
          </w:rPr>
          <w:tab/>
        </w:r>
        <w:r w:rsidR="002B310F">
          <w:rPr>
            <w:noProof/>
            <w:webHidden/>
          </w:rPr>
          <w:fldChar w:fldCharType="begin"/>
        </w:r>
        <w:r w:rsidR="002B310F">
          <w:rPr>
            <w:noProof/>
            <w:webHidden/>
          </w:rPr>
          <w:instrText xml:space="preserve"> PAGEREF _Toc418861801 \h </w:instrText>
        </w:r>
        <w:r w:rsidR="002B310F">
          <w:rPr>
            <w:noProof/>
            <w:webHidden/>
          </w:rPr>
        </w:r>
        <w:r w:rsidR="002B310F">
          <w:rPr>
            <w:noProof/>
            <w:webHidden/>
          </w:rPr>
          <w:fldChar w:fldCharType="separate"/>
        </w:r>
        <w:r w:rsidR="002B310F">
          <w:rPr>
            <w:noProof/>
            <w:webHidden/>
          </w:rPr>
          <w:t>3</w:t>
        </w:r>
        <w:r w:rsidR="002B310F">
          <w:rPr>
            <w:noProof/>
            <w:webHidden/>
          </w:rPr>
          <w:fldChar w:fldCharType="end"/>
        </w:r>
      </w:hyperlink>
    </w:p>
    <w:p w:rsidR="002B310F" w:rsidRDefault="00AE7036">
      <w:pPr>
        <w:pStyle w:val="TOC1"/>
        <w:rPr>
          <w:rFonts w:asciiTheme="minorHAnsi" w:eastAsiaTheme="minorEastAsia" w:hAnsiTheme="minorHAnsi" w:cstheme="minorBidi"/>
          <w:noProof/>
          <w:spacing w:val="0"/>
          <w:szCs w:val="22"/>
          <w:lang w:eastAsia="en-AU"/>
        </w:rPr>
      </w:pPr>
      <w:hyperlink w:anchor="_Toc418861802" w:history="1">
        <w:r w:rsidR="002B310F" w:rsidRPr="00136940">
          <w:rPr>
            <w:rStyle w:val="Hyperlink"/>
            <w:noProof/>
          </w:rPr>
          <w:t>Time and wages audit</w:t>
        </w:r>
        <w:r w:rsidR="002B310F">
          <w:rPr>
            <w:noProof/>
            <w:webHidden/>
          </w:rPr>
          <w:tab/>
        </w:r>
        <w:r w:rsidR="002B310F">
          <w:rPr>
            <w:noProof/>
            <w:webHidden/>
          </w:rPr>
          <w:fldChar w:fldCharType="begin"/>
        </w:r>
        <w:r w:rsidR="002B310F">
          <w:rPr>
            <w:noProof/>
            <w:webHidden/>
          </w:rPr>
          <w:instrText xml:space="preserve"> PAGEREF _Toc418861802 \h </w:instrText>
        </w:r>
        <w:r w:rsidR="002B310F">
          <w:rPr>
            <w:noProof/>
            <w:webHidden/>
          </w:rPr>
        </w:r>
        <w:r w:rsidR="002B310F">
          <w:rPr>
            <w:noProof/>
            <w:webHidden/>
          </w:rPr>
          <w:fldChar w:fldCharType="separate"/>
        </w:r>
        <w:r w:rsidR="002B310F">
          <w:rPr>
            <w:noProof/>
            <w:webHidden/>
          </w:rPr>
          <w:t>4</w:t>
        </w:r>
        <w:r w:rsidR="002B310F">
          <w:rPr>
            <w:noProof/>
            <w:webHidden/>
          </w:rPr>
          <w:fldChar w:fldCharType="end"/>
        </w:r>
      </w:hyperlink>
    </w:p>
    <w:p w:rsidR="002B310F" w:rsidRDefault="00AE7036">
      <w:pPr>
        <w:pStyle w:val="TOC1"/>
        <w:rPr>
          <w:rFonts w:asciiTheme="minorHAnsi" w:eastAsiaTheme="minorEastAsia" w:hAnsiTheme="minorHAnsi" w:cstheme="minorBidi"/>
          <w:noProof/>
          <w:spacing w:val="0"/>
          <w:szCs w:val="22"/>
          <w:lang w:eastAsia="en-AU"/>
        </w:rPr>
      </w:pPr>
      <w:hyperlink w:anchor="_Toc418861803" w:history="1">
        <w:r w:rsidR="002B310F" w:rsidRPr="00136940">
          <w:rPr>
            <w:rStyle w:val="Hyperlink"/>
            <w:noProof/>
          </w:rPr>
          <w:t>Regional Findings</w:t>
        </w:r>
        <w:r w:rsidR="002B310F">
          <w:rPr>
            <w:noProof/>
            <w:webHidden/>
          </w:rPr>
          <w:tab/>
        </w:r>
        <w:r w:rsidR="002B310F">
          <w:rPr>
            <w:noProof/>
            <w:webHidden/>
          </w:rPr>
          <w:fldChar w:fldCharType="begin"/>
        </w:r>
        <w:r w:rsidR="002B310F">
          <w:rPr>
            <w:noProof/>
            <w:webHidden/>
          </w:rPr>
          <w:instrText xml:space="preserve"> PAGEREF _Toc418861803 \h </w:instrText>
        </w:r>
        <w:r w:rsidR="002B310F">
          <w:rPr>
            <w:noProof/>
            <w:webHidden/>
          </w:rPr>
        </w:r>
        <w:r w:rsidR="002B310F">
          <w:rPr>
            <w:noProof/>
            <w:webHidden/>
          </w:rPr>
          <w:fldChar w:fldCharType="separate"/>
        </w:r>
        <w:r w:rsidR="002B310F">
          <w:rPr>
            <w:noProof/>
            <w:webHidden/>
          </w:rPr>
          <w:t>5</w:t>
        </w:r>
        <w:r w:rsidR="002B310F">
          <w:rPr>
            <w:noProof/>
            <w:webHidden/>
          </w:rPr>
          <w:fldChar w:fldCharType="end"/>
        </w:r>
      </w:hyperlink>
    </w:p>
    <w:p w:rsidR="002B310F" w:rsidRDefault="00AE7036">
      <w:pPr>
        <w:pStyle w:val="TOC2"/>
        <w:rPr>
          <w:rFonts w:asciiTheme="minorHAnsi" w:eastAsiaTheme="minorEastAsia" w:hAnsiTheme="minorHAnsi" w:cstheme="minorBidi"/>
          <w:noProof/>
          <w:szCs w:val="22"/>
          <w:lang w:eastAsia="en-AU"/>
        </w:rPr>
      </w:pPr>
      <w:hyperlink w:anchor="_Toc418861804" w:history="1">
        <w:r w:rsidR="002B310F" w:rsidRPr="00136940">
          <w:rPr>
            <w:rStyle w:val="Hyperlink"/>
            <w:noProof/>
          </w:rPr>
          <w:t>Queensland</w:t>
        </w:r>
        <w:r w:rsidR="002B310F">
          <w:rPr>
            <w:noProof/>
            <w:webHidden/>
          </w:rPr>
          <w:tab/>
        </w:r>
        <w:r w:rsidR="002B310F">
          <w:rPr>
            <w:noProof/>
            <w:webHidden/>
          </w:rPr>
          <w:fldChar w:fldCharType="begin"/>
        </w:r>
        <w:r w:rsidR="002B310F">
          <w:rPr>
            <w:noProof/>
            <w:webHidden/>
          </w:rPr>
          <w:instrText xml:space="preserve"> PAGEREF _Toc418861804 \h </w:instrText>
        </w:r>
        <w:r w:rsidR="002B310F">
          <w:rPr>
            <w:noProof/>
            <w:webHidden/>
          </w:rPr>
        </w:r>
        <w:r w:rsidR="002B310F">
          <w:rPr>
            <w:noProof/>
            <w:webHidden/>
          </w:rPr>
          <w:fldChar w:fldCharType="separate"/>
        </w:r>
        <w:r w:rsidR="002B310F">
          <w:rPr>
            <w:noProof/>
            <w:webHidden/>
          </w:rPr>
          <w:t>5</w:t>
        </w:r>
        <w:r w:rsidR="002B310F">
          <w:rPr>
            <w:noProof/>
            <w:webHidden/>
          </w:rPr>
          <w:fldChar w:fldCharType="end"/>
        </w:r>
      </w:hyperlink>
    </w:p>
    <w:p w:rsidR="002B310F" w:rsidRDefault="00AE7036">
      <w:pPr>
        <w:pStyle w:val="TOC2"/>
        <w:rPr>
          <w:rFonts w:asciiTheme="minorHAnsi" w:eastAsiaTheme="minorEastAsia" w:hAnsiTheme="minorHAnsi" w:cstheme="minorBidi"/>
          <w:noProof/>
          <w:szCs w:val="22"/>
          <w:lang w:eastAsia="en-AU"/>
        </w:rPr>
      </w:pPr>
      <w:hyperlink w:anchor="_Toc418861805" w:history="1">
        <w:r w:rsidR="002B310F" w:rsidRPr="00136940">
          <w:rPr>
            <w:rStyle w:val="Hyperlink"/>
            <w:noProof/>
          </w:rPr>
          <w:t>NSW/ACT</w:t>
        </w:r>
        <w:r w:rsidR="002B310F">
          <w:rPr>
            <w:noProof/>
            <w:webHidden/>
          </w:rPr>
          <w:tab/>
        </w:r>
        <w:r w:rsidR="002B310F">
          <w:rPr>
            <w:noProof/>
            <w:webHidden/>
          </w:rPr>
          <w:fldChar w:fldCharType="begin"/>
        </w:r>
        <w:r w:rsidR="002B310F">
          <w:rPr>
            <w:noProof/>
            <w:webHidden/>
          </w:rPr>
          <w:instrText xml:space="preserve"> PAGEREF _Toc418861805 \h </w:instrText>
        </w:r>
        <w:r w:rsidR="002B310F">
          <w:rPr>
            <w:noProof/>
            <w:webHidden/>
          </w:rPr>
        </w:r>
        <w:r w:rsidR="002B310F">
          <w:rPr>
            <w:noProof/>
            <w:webHidden/>
          </w:rPr>
          <w:fldChar w:fldCharType="separate"/>
        </w:r>
        <w:r w:rsidR="002B310F">
          <w:rPr>
            <w:noProof/>
            <w:webHidden/>
          </w:rPr>
          <w:t>6</w:t>
        </w:r>
        <w:r w:rsidR="002B310F">
          <w:rPr>
            <w:noProof/>
            <w:webHidden/>
          </w:rPr>
          <w:fldChar w:fldCharType="end"/>
        </w:r>
      </w:hyperlink>
    </w:p>
    <w:p w:rsidR="002B310F" w:rsidRDefault="00AE7036">
      <w:pPr>
        <w:pStyle w:val="TOC2"/>
        <w:rPr>
          <w:rFonts w:asciiTheme="minorHAnsi" w:eastAsiaTheme="minorEastAsia" w:hAnsiTheme="minorHAnsi" w:cstheme="minorBidi"/>
          <w:noProof/>
          <w:szCs w:val="22"/>
          <w:lang w:eastAsia="en-AU"/>
        </w:rPr>
      </w:pPr>
      <w:hyperlink w:anchor="_Toc418861806" w:history="1">
        <w:r w:rsidR="002B310F" w:rsidRPr="00136940">
          <w:rPr>
            <w:rStyle w:val="Hyperlink"/>
            <w:noProof/>
          </w:rPr>
          <w:t>Victoria/Tasmania</w:t>
        </w:r>
        <w:r w:rsidR="002B310F">
          <w:rPr>
            <w:noProof/>
            <w:webHidden/>
          </w:rPr>
          <w:tab/>
        </w:r>
        <w:r w:rsidR="002B310F">
          <w:rPr>
            <w:noProof/>
            <w:webHidden/>
          </w:rPr>
          <w:fldChar w:fldCharType="begin"/>
        </w:r>
        <w:r w:rsidR="002B310F">
          <w:rPr>
            <w:noProof/>
            <w:webHidden/>
          </w:rPr>
          <w:instrText xml:space="preserve"> PAGEREF _Toc418861806 \h </w:instrText>
        </w:r>
        <w:r w:rsidR="002B310F">
          <w:rPr>
            <w:noProof/>
            <w:webHidden/>
          </w:rPr>
        </w:r>
        <w:r w:rsidR="002B310F">
          <w:rPr>
            <w:noProof/>
            <w:webHidden/>
          </w:rPr>
          <w:fldChar w:fldCharType="separate"/>
        </w:r>
        <w:r w:rsidR="002B310F">
          <w:rPr>
            <w:noProof/>
            <w:webHidden/>
          </w:rPr>
          <w:t>7</w:t>
        </w:r>
        <w:r w:rsidR="002B310F">
          <w:rPr>
            <w:noProof/>
            <w:webHidden/>
          </w:rPr>
          <w:fldChar w:fldCharType="end"/>
        </w:r>
      </w:hyperlink>
    </w:p>
    <w:p w:rsidR="002B310F" w:rsidRDefault="00AE7036">
      <w:pPr>
        <w:pStyle w:val="TOC2"/>
        <w:rPr>
          <w:rFonts w:asciiTheme="minorHAnsi" w:eastAsiaTheme="minorEastAsia" w:hAnsiTheme="minorHAnsi" w:cstheme="minorBidi"/>
          <w:noProof/>
          <w:szCs w:val="22"/>
          <w:lang w:eastAsia="en-AU"/>
        </w:rPr>
      </w:pPr>
      <w:hyperlink w:anchor="_Toc418861807" w:history="1">
        <w:r w:rsidR="002B310F" w:rsidRPr="00136940">
          <w:rPr>
            <w:rStyle w:val="Hyperlink"/>
            <w:noProof/>
          </w:rPr>
          <w:t>South Australia, Western Australia and the Northern Territory</w:t>
        </w:r>
        <w:r w:rsidR="002B310F">
          <w:rPr>
            <w:noProof/>
            <w:webHidden/>
          </w:rPr>
          <w:tab/>
        </w:r>
        <w:r w:rsidR="002B310F">
          <w:rPr>
            <w:noProof/>
            <w:webHidden/>
          </w:rPr>
          <w:fldChar w:fldCharType="begin"/>
        </w:r>
        <w:r w:rsidR="002B310F">
          <w:rPr>
            <w:noProof/>
            <w:webHidden/>
          </w:rPr>
          <w:instrText xml:space="preserve"> PAGEREF _Toc418861807 \h </w:instrText>
        </w:r>
        <w:r w:rsidR="002B310F">
          <w:rPr>
            <w:noProof/>
            <w:webHidden/>
          </w:rPr>
        </w:r>
        <w:r w:rsidR="002B310F">
          <w:rPr>
            <w:noProof/>
            <w:webHidden/>
          </w:rPr>
          <w:fldChar w:fldCharType="separate"/>
        </w:r>
        <w:r w:rsidR="002B310F">
          <w:rPr>
            <w:noProof/>
            <w:webHidden/>
          </w:rPr>
          <w:t>8</w:t>
        </w:r>
        <w:r w:rsidR="002B310F">
          <w:rPr>
            <w:noProof/>
            <w:webHidden/>
          </w:rPr>
          <w:fldChar w:fldCharType="end"/>
        </w:r>
      </w:hyperlink>
    </w:p>
    <w:p w:rsidR="002B310F" w:rsidRDefault="00AE7036">
      <w:pPr>
        <w:pStyle w:val="TOC1"/>
        <w:rPr>
          <w:rFonts w:asciiTheme="minorHAnsi" w:eastAsiaTheme="minorEastAsia" w:hAnsiTheme="minorHAnsi" w:cstheme="minorBidi"/>
          <w:noProof/>
          <w:spacing w:val="0"/>
          <w:szCs w:val="22"/>
          <w:lang w:eastAsia="en-AU"/>
        </w:rPr>
      </w:pPr>
      <w:hyperlink w:anchor="_Toc418861808" w:history="1">
        <w:r w:rsidR="002B310F" w:rsidRPr="00136940">
          <w:rPr>
            <w:rStyle w:val="Hyperlink"/>
            <w:noProof/>
          </w:rPr>
          <w:t>Conclusion</w:t>
        </w:r>
        <w:r w:rsidR="002B310F">
          <w:rPr>
            <w:noProof/>
            <w:webHidden/>
          </w:rPr>
          <w:tab/>
        </w:r>
        <w:r w:rsidR="002B310F">
          <w:rPr>
            <w:noProof/>
            <w:webHidden/>
          </w:rPr>
          <w:fldChar w:fldCharType="begin"/>
        </w:r>
        <w:r w:rsidR="002B310F">
          <w:rPr>
            <w:noProof/>
            <w:webHidden/>
          </w:rPr>
          <w:instrText xml:space="preserve"> PAGEREF _Toc418861808 \h </w:instrText>
        </w:r>
        <w:r w:rsidR="002B310F">
          <w:rPr>
            <w:noProof/>
            <w:webHidden/>
          </w:rPr>
        </w:r>
        <w:r w:rsidR="002B310F">
          <w:rPr>
            <w:noProof/>
            <w:webHidden/>
          </w:rPr>
          <w:fldChar w:fldCharType="separate"/>
        </w:r>
        <w:r w:rsidR="002B310F">
          <w:rPr>
            <w:noProof/>
            <w:webHidden/>
          </w:rPr>
          <w:t>9</w:t>
        </w:r>
        <w:r w:rsidR="002B310F">
          <w:rPr>
            <w:noProof/>
            <w:webHidden/>
          </w:rPr>
          <w:fldChar w:fldCharType="end"/>
        </w:r>
      </w:hyperlink>
    </w:p>
    <w:p w:rsidR="002B310F" w:rsidRDefault="00AE7036">
      <w:pPr>
        <w:pStyle w:val="TOC1"/>
        <w:rPr>
          <w:rFonts w:asciiTheme="minorHAnsi" w:eastAsiaTheme="minorEastAsia" w:hAnsiTheme="minorHAnsi" w:cstheme="minorBidi"/>
          <w:noProof/>
          <w:spacing w:val="0"/>
          <w:szCs w:val="22"/>
          <w:lang w:eastAsia="en-AU"/>
        </w:rPr>
      </w:pPr>
      <w:hyperlink w:anchor="_Toc418861809" w:history="1">
        <w:r w:rsidR="002B310F" w:rsidRPr="00136940">
          <w:rPr>
            <w:rStyle w:val="Hyperlink"/>
            <w:noProof/>
            <w:lang w:eastAsia="en-AU"/>
          </w:rPr>
          <w:t>About the Fair Work Ombudsman</w:t>
        </w:r>
        <w:r w:rsidR="002B310F">
          <w:rPr>
            <w:noProof/>
            <w:webHidden/>
          </w:rPr>
          <w:tab/>
        </w:r>
        <w:r w:rsidR="002B310F">
          <w:rPr>
            <w:noProof/>
            <w:webHidden/>
          </w:rPr>
          <w:fldChar w:fldCharType="begin"/>
        </w:r>
        <w:r w:rsidR="002B310F">
          <w:rPr>
            <w:noProof/>
            <w:webHidden/>
          </w:rPr>
          <w:instrText xml:space="preserve"> PAGEREF _Toc418861809 \h </w:instrText>
        </w:r>
        <w:r w:rsidR="002B310F">
          <w:rPr>
            <w:noProof/>
            <w:webHidden/>
          </w:rPr>
        </w:r>
        <w:r w:rsidR="002B310F">
          <w:rPr>
            <w:noProof/>
            <w:webHidden/>
          </w:rPr>
          <w:fldChar w:fldCharType="separate"/>
        </w:r>
        <w:r w:rsidR="002B310F">
          <w:rPr>
            <w:noProof/>
            <w:webHidden/>
          </w:rPr>
          <w:t>10</w:t>
        </w:r>
        <w:r w:rsidR="002B310F">
          <w:rPr>
            <w:noProof/>
            <w:webHidden/>
          </w:rPr>
          <w:fldChar w:fldCharType="end"/>
        </w:r>
      </w:hyperlink>
    </w:p>
    <w:p w:rsidR="002B310F" w:rsidRDefault="00AE7036">
      <w:pPr>
        <w:pStyle w:val="TOC1"/>
        <w:rPr>
          <w:rFonts w:asciiTheme="minorHAnsi" w:eastAsiaTheme="minorEastAsia" w:hAnsiTheme="minorHAnsi" w:cstheme="minorBidi"/>
          <w:noProof/>
          <w:spacing w:val="0"/>
          <w:szCs w:val="22"/>
          <w:lang w:eastAsia="en-AU"/>
        </w:rPr>
      </w:pPr>
      <w:hyperlink w:anchor="_Toc418861810" w:history="1">
        <w:r w:rsidR="002B310F" w:rsidRPr="00136940">
          <w:rPr>
            <w:rStyle w:val="Hyperlink"/>
            <w:noProof/>
          </w:rPr>
          <w:t>Appendix A</w:t>
        </w:r>
        <w:r w:rsidR="002B310F">
          <w:rPr>
            <w:noProof/>
            <w:webHidden/>
          </w:rPr>
          <w:tab/>
        </w:r>
        <w:r w:rsidR="002B310F">
          <w:rPr>
            <w:noProof/>
            <w:webHidden/>
          </w:rPr>
          <w:fldChar w:fldCharType="begin"/>
        </w:r>
        <w:r w:rsidR="002B310F">
          <w:rPr>
            <w:noProof/>
            <w:webHidden/>
          </w:rPr>
          <w:instrText xml:space="preserve"> PAGEREF _Toc418861810 \h </w:instrText>
        </w:r>
        <w:r w:rsidR="002B310F">
          <w:rPr>
            <w:noProof/>
            <w:webHidden/>
          </w:rPr>
        </w:r>
        <w:r w:rsidR="002B310F">
          <w:rPr>
            <w:noProof/>
            <w:webHidden/>
          </w:rPr>
          <w:fldChar w:fldCharType="separate"/>
        </w:r>
        <w:r w:rsidR="002B310F">
          <w:rPr>
            <w:noProof/>
            <w:webHidden/>
          </w:rPr>
          <w:t>11</w:t>
        </w:r>
        <w:r w:rsidR="002B310F">
          <w:rPr>
            <w:noProof/>
            <w:webHidden/>
          </w:rPr>
          <w:fldChar w:fldCharType="end"/>
        </w:r>
      </w:hyperlink>
    </w:p>
    <w:p w:rsidR="002B310F" w:rsidRDefault="00AE7036">
      <w:pPr>
        <w:pStyle w:val="TOC2"/>
        <w:rPr>
          <w:rFonts w:asciiTheme="minorHAnsi" w:eastAsiaTheme="minorEastAsia" w:hAnsiTheme="minorHAnsi" w:cstheme="minorBidi"/>
          <w:noProof/>
          <w:szCs w:val="22"/>
          <w:lang w:eastAsia="en-AU"/>
        </w:rPr>
      </w:pPr>
      <w:hyperlink w:anchor="_Toc418861811" w:history="1">
        <w:r w:rsidR="002B310F" w:rsidRPr="00136940">
          <w:rPr>
            <w:rStyle w:val="Hyperlink"/>
            <w:noProof/>
          </w:rPr>
          <w:t>FWO Communication Activities</w:t>
        </w:r>
        <w:r w:rsidR="002B310F">
          <w:rPr>
            <w:noProof/>
            <w:webHidden/>
          </w:rPr>
          <w:tab/>
        </w:r>
        <w:r w:rsidR="002B310F">
          <w:rPr>
            <w:noProof/>
            <w:webHidden/>
          </w:rPr>
          <w:fldChar w:fldCharType="begin"/>
        </w:r>
        <w:r w:rsidR="002B310F">
          <w:rPr>
            <w:noProof/>
            <w:webHidden/>
          </w:rPr>
          <w:instrText xml:space="preserve"> PAGEREF _Toc418861811 \h </w:instrText>
        </w:r>
        <w:r w:rsidR="002B310F">
          <w:rPr>
            <w:noProof/>
            <w:webHidden/>
          </w:rPr>
        </w:r>
        <w:r w:rsidR="002B310F">
          <w:rPr>
            <w:noProof/>
            <w:webHidden/>
          </w:rPr>
          <w:fldChar w:fldCharType="separate"/>
        </w:r>
        <w:r w:rsidR="002B310F">
          <w:rPr>
            <w:noProof/>
            <w:webHidden/>
          </w:rPr>
          <w:t>11</w:t>
        </w:r>
        <w:r w:rsidR="002B310F">
          <w:rPr>
            <w:noProof/>
            <w:webHidden/>
          </w:rPr>
          <w:fldChar w:fldCharType="end"/>
        </w:r>
      </w:hyperlink>
    </w:p>
    <w:p w:rsidR="0099250A" w:rsidRDefault="0099250A" w:rsidP="0099250A">
      <w:pPr>
        <w:pStyle w:val="TOC1"/>
        <w:jc w:val="left"/>
        <w:rPr>
          <w:color w:val="548DD4" w:themeColor="text2" w:themeTint="99"/>
          <w:sz w:val="28"/>
          <w:szCs w:val="26"/>
        </w:rPr>
      </w:pPr>
      <w:r w:rsidRPr="000D29E1">
        <w:fldChar w:fldCharType="end"/>
      </w:r>
      <w:r>
        <w:br w:type="page"/>
      </w:r>
    </w:p>
    <w:p w:rsidR="0099250A" w:rsidRDefault="0099250A" w:rsidP="0099250A">
      <w:pPr>
        <w:pStyle w:val="Heading1"/>
      </w:pPr>
      <w:bookmarkStart w:id="2" w:name="_Toc410822200"/>
      <w:bookmarkStart w:id="3" w:name="_Toc418861796"/>
      <w:r>
        <w:lastRenderedPageBreak/>
        <w:t>Campaign Snapshot</w:t>
      </w:r>
      <w:bookmarkEnd w:id="2"/>
      <w:bookmarkEnd w:id="3"/>
      <w:r w:rsidRPr="009629F3">
        <w:t xml:space="preserve"> </w:t>
      </w:r>
    </w:p>
    <w:p w:rsidR="0099250A" w:rsidRPr="004B2104" w:rsidRDefault="0099250A" w:rsidP="0099250A"/>
    <w:p w:rsidR="0099250A" w:rsidRDefault="0099250A" w:rsidP="0099250A">
      <w:pPr>
        <w:pStyle w:val="GlanceYellowHeading"/>
        <w:pBdr>
          <w:top w:val="single" w:sz="48" w:space="0" w:color="BFBFBF" w:themeColor="background1" w:themeShade="BF"/>
        </w:pBdr>
        <w:sectPr w:rsidR="0099250A" w:rsidSect="0099250A">
          <w:headerReference w:type="default" r:id="rId11"/>
          <w:footerReference w:type="even" r:id="rId12"/>
          <w:footerReference w:type="default" r:id="rId13"/>
          <w:headerReference w:type="first" r:id="rId14"/>
          <w:pgSz w:w="11907" w:h="16840" w:code="9"/>
          <w:pgMar w:top="1276" w:right="992" w:bottom="1440" w:left="1276" w:header="0" w:footer="113" w:gutter="0"/>
          <w:cols w:space="720"/>
          <w:titlePg/>
          <w:docGrid w:linePitch="326"/>
        </w:sectPr>
      </w:pPr>
    </w:p>
    <w:p w:rsidR="0099250A" w:rsidRPr="004B2104" w:rsidRDefault="0099250A" w:rsidP="0099250A">
      <w:pPr>
        <w:pStyle w:val="GlanceYellowHeading"/>
        <w:pBdr>
          <w:top w:val="single" w:sz="48" w:space="0" w:color="BFBFBF" w:themeColor="background1" w:themeShade="BF"/>
        </w:pBdr>
        <w:shd w:val="clear" w:color="auto" w:fill="auto"/>
        <w:rPr>
          <w:sz w:val="52"/>
          <w:szCs w:val="52"/>
        </w:rPr>
      </w:pPr>
      <w:r>
        <w:rPr>
          <w:sz w:val="52"/>
          <w:szCs w:val="52"/>
        </w:rPr>
        <w:lastRenderedPageBreak/>
        <w:t>Total of</w:t>
      </w:r>
    </w:p>
    <w:p w:rsidR="0099250A" w:rsidRPr="004B2104" w:rsidRDefault="0099250A" w:rsidP="0099250A">
      <w:pPr>
        <w:pStyle w:val="GlanceHeading"/>
      </w:pPr>
      <w:r>
        <w:t>420</w:t>
      </w:r>
    </w:p>
    <w:p w:rsidR="0099250A" w:rsidRDefault="0099250A" w:rsidP="0099250A">
      <w:pPr>
        <w:pStyle w:val="GlanceBody"/>
      </w:pPr>
      <w:r>
        <w:t>Businesses audited as part of the National Children’s Services Campaign 2013/14</w:t>
      </w:r>
    </w:p>
    <w:p w:rsidR="0099250A" w:rsidRDefault="0099250A" w:rsidP="0099250A">
      <w:pPr>
        <w:pStyle w:val="GlanceBody"/>
      </w:pPr>
    </w:p>
    <w:p w:rsidR="0099250A" w:rsidRPr="004B2104" w:rsidRDefault="0099250A" w:rsidP="0099250A">
      <w:pPr>
        <w:pStyle w:val="GlanceYellowHeading"/>
        <w:shd w:val="clear" w:color="auto" w:fill="auto"/>
        <w:rPr>
          <w:sz w:val="52"/>
          <w:szCs w:val="52"/>
        </w:rPr>
      </w:pPr>
      <w:r>
        <w:rPr>
          <w:sz w:val="52"/>
          <w:szCs w:val="52"/>
        </w:rPr>
        <w:t xml:space="preserve">A total of </w:t>
      </w:r>
    </w:p>
    <w:p w:rsidR="0099250A" w:rsidRPr="004B2104" w:rsidRDefault="0099250A" w:rsidP="0099250A">
      <w:pPr>
        <w:pStyle w:val="GlanceHeading"/>
      </w:pPr>
      <w:r>
        <w:t>23%</w:t>
      </w:r>
    </w:p>
    <w:p w:rsidR="0099250A" w:rsidRDefault="0099250A" w:rsidP="0099250A">
      <w:pPr>
        <w:pStyle w:val="GlanceBody"/>
      </w:pPr>
      <w:r>
        <w:t>Of businesses had errors only relating to pay rates</w:t>
      </w:r>
    </w:p>
    <w:p w:rsidR="0099250A" w:rsidRPr="00563552" w:rsidRDefault="0099250A" w:rsidP="0099250A">
      <w:pPr>
        <w:pStyle w:val="GlanceBody"/>
        <w:rPr>
          <w:sz w:val="2"/>
          <w:szCs w:val="2"/>
        </w:rPr>
      </w:pPr>
    </w:p>
    <w:p w:rsidR="0099250A" w:rsidRDefault="0099250A" w:rsidP="0099250A">
      <w:pPr>
        <w:pStyle w:val="GlanceBody"/>
      </w:pPr>
    </w:p>
    <w:p w:rsidR="0099250A" w:rsidRPr="00BB59AA" w:rsidRDefault="0099250A" w:rsidP="0099250A">
      <w:pPr>
        <w:pStyle w:val="GlanceYellowHeading"/>
        <w:shd w:val="clear" w:color="auto" w:fill="auto"/>
      </w:pPr>
      <w:r w:rsidRPr="00CF3B06">
        <w:br w:type="column"/>
      </w:r>
      <w:r w:rsidRPr="004B2104">
        <w:rPr>
          <w:sz w:val="52"/>
          <w:szCs w:val="52"/>
        </w:rPr>
        <w:lastRenderedPageBreak/>
        <w:t>Total of</w:t>
      </w:r>
    </w:p>
    <w:p w:rsidR="0099250A" w:rsidRPr="004B2104" w:rsidRDefault="0099250A" w:rsidP="0099250A">
      <w:pPr>
        <w:pStyle w:val="GlanceHeading"/>
      </w:pPr>
      <w:r>
        <w:t>71%</w:t>
      </w:r>
    </w:p>
    <w:p w:rsidR="0099250A" w:rsidRDefault="0099250A" w:rsidP="0099250A">
      <w:pPr>
        <w:pStyle w:val="GlanceBody"/>
      </w:pPr>
      <w:r>
        <w:t>Of businesses found to be compliant with all requirements</w:t>
      </w:r>
    </w:p>
    <w:p w:rsidR="0099250A" w:rsidRPr="003861B5" w:rsidRDefault="0099250A" w:rsidP="0099250A">
      <w:pPr>
        <w:pStyle w:val="GlanceBody"/>
      </w:pPr>
    </w:p>
    <w:p w:rsidR="0099250A" w:rsidRPr="004B2104" w:rsidRDefault="0099250A" w:rsidP="0099250A">
      <w:pPr>
        <w:pStyle w:val="GlanceYellowHeading"/>
        <w:shd w:val="clear" w:color="auto" w:fill="auto"/>
        <w:rPr>
          <w:sz w:val="52"/>
          <w:szCs w:val="52"/>
        </w:rPr>
      </w:pPr>
      <w:r w:rsidRPr="004B2104">
        <w:rPr>
          <w:sz w:val="52"/>
          <w:szCs w:val="52"/>
        </w:rPr>
        <w:t>A total of</w:t>
      </w:r>
    </w:p>
    <w:p w:rsidR="0099250A" w:rsidRPr="004B2104" w:rsidRDefault="0099250A" w:rsidP="0099250A">
      <w:pPr>
        <w:pStyle w:val="GlanceHeading"/>
      </w:pPr>
      <w:r>
        <w:t>133</w:t>
      </w:r>
    </w:p>
    <w:p w:rsidR="0099250A" w:rsidRDefault="0099250A" w:rsidP="0099250A">
      <w:pPr>
        <w:pStyle w:val="GlanceBody"/>
      </w:pPr>
      <w:r>
        <w:t>Errors were identified from 123 businesses</w:t>
      </w:r>
    </w:p>
    <w:p w:rsidR="0099250A" w:rsidRPr="00563552" w:rsidRDefault="0099250A" w:rsidP="0099250A">
      <w:pPr>
        <w:pStyle w:val="GlanceBody"/>
        <w:rPr>
          <w:sz w:val="2"/>
          <w:szCs w:val="2"/>
        </w:rPr>
      </w:pPr>
    </w:p>
    <w:p w:rsidR="0099250A" w:rsidRDefault="0099250A" w:rsidP="0099250A">
      <w:pPr>
        <w:pStyle w:val="GlanceBody"/>
      </w:pPr>
    </w:p>
    <w:p w:rsidR="0099250A" w:rsidRPr="00734EAA" w:rsidRDefault="0099250A" w:rsidP="0099250A">
      <w:pPr>
        <w:pStyle w:val="GlanceYellowHeading"/>
        <w:shd w:val="clear" w:color="auto" w:fill="auto"/>
      </w:pPr>
      <w:r w:rsidRPr="00A74DB5">
        <w:br w:type="column"/>
      </w:r>
      <w:r>
        <w:rPr>
          <w:sz w:val="52"/>
          <w:szCs w:val="52"/>
        </w:rPr>
        <w:lastRenderedPageBreak/>
        <w:t>Over</w:t>
      </w:r>
    </w:p>
    <w:p w:rsidR="0099250A" w:rsidRPr="004B2104" w:rsidRDefault="0099250A" w:rsidP="0099250A">
      <w:pPr>
        <w:pStyle w:val="GlanceHeading"/>
      </w:pPr>
      <w:r>
        <w:t>438k</w:t>
      </w:r>
    </w:p>
    <w:p w:rsidR="0099250A" w:rsidRDefault="0099250A" w:rsidP="0099250A">
      <w:pPr>
        <w:pStyle w:val="GlanceBody"/>
      </w:pPr>
      <w:r>
        <w:t xml:space="preserve">Recovered for 584 employees from 98 employers during the campaign </w:t>
      </w:r>
    </w:p>
    <w:p w:rsidR="0099250A" w:rsidRPr="00563552" w:rsidRDefault="0099250A" w:rsidP="0099250A">
      <w:pPr>
        <w:pStyle w:val="GlanceBody"/>
      </w:pPr>
    </w:p>
    <w:p w:rsidR="0099250A" w:rsidRPr="004B2104" w:rsidRDefault="0099250A" w:rsidP="0099250A">
      <w:pPr>
        <w:pStyle w:val="GlanceYellowHeading"/>
        <w:shd w:val="clear" w:color="auto" w:fill="auto"/>
        <w:rPr>
          <w:sz w:val="52"/>
          <w:szCs w:val="52"/>
        </w:rPr>
      </w:pPr>
      <w:r>
        <w:rPr>
          <w:sz w:val="52"/>
          <w:szCs w:val="52"/>
        </w:rPr>
        <w:t>A total of</w:t>
      </w:r>
    </w:p>
    <w:p w:rsidR="0099250A" w:rsidRPr="004B2104" w:rsidRDefault="0099250A" w:rsidP="0099250A">
      <w:pPr>
        <w:pStyle w:val="GlanceHeading"/>
      </w:pPr>
      <w:r>
        <w:t>5%</w:t>
      </w:r>
    </w:p>
    <w:p w:rsidR="0099250A" w:rsidRDefault="0099250A" w:rsidP="0099250A">
      <w:pPr>
        <w:pStyle w:val="GlanceBody"/>
      </w:pPr>
      <w:r>
        <w:t>Of businesses had errors only relating to record keeping and payslips</w:t>
      </w:r>
    </w:p>
    <w:p w:rsidR="0099250A" w:rsidRDefault="0099250A" w:rsidP="0099250A">
      <w:pPr>
        <w:pStyle w:val="GlanceBody"/>
        <w:rPr>
          <w:sz w:val="2"/>
          <w:szCs w:val="2"/>
        </w:rPr>
      </w:pPr>
    </w:p>
    <w:p w:rsidR="0099250A" w:rsidRPr="00563552" w:rsidRDefault="0099250A" w:rsidP="0099250A">
      <w:pPr>
        <w:pStyle w:val="GlanceBody"/>
        <w:rPr>
          <w:sz w:val="2"/>
          <w:szCs w:val="2"/>
        </w:rPr>
      </w:pPr>
    </w:p>
    <w:p w:rsidR="0099250A" w:rsidRDefault="0099250A" w:rsidP="0099250A">
      <w:pPr>
        <w:sectPr w:rsidR="0099250A" w:rsidSect="00734EAA">
          <w:type w:val="continuous"/>
          <w:pgSz w:w="11907" w:h="16840" w:code="9"/>
          <w:pgMar w:top="1276" w:right="708" w:bottom="1440" w:left="1276" w:header="0" w:footer="850" w:gutter="0"/>
          <w:pgNumType w:start="1"/>
          <w:cols w:num="3" w:space="499"/>
          <w:titlePg/>
          <w:docGrid w:linePitch="326"/>
        </w:sectPr>
      </w:pPr>
    </w:p>
    <w:p w:rsidR="0099250A" w:rsidRPr="00205DBE" w:rsidRDefault="0099250A" w:rsidP="0099250A">
      <w:r>
        <w:lastRenderedPageBreak/>
        <w:br w:type="page"/>
      </w:r>
    </w:p>
    <w:p w:rsidR="0099250A" w:rsidRPr="004B2104" w:rsidRDefault="0099250A" w:rsidP="0099250A">
      <w:pPr>
        <w:pStyle w:val="Heading1"/>
        <w:jc w:val="left"/>
      </w:pPr>
      <w:bookmarkStart w:id="4" w:name="_Toc410822201"/>
      <w:bookmarkStart w:id="5" w:name="_Toc418861797"/>
      <w:r>
        <w:lastRenderedPageBreak/>
        <w:t>About the Campaign</w:t>
      </w:r>
      <w:bookmarkEnd w:id="4"/>
      <w:bookmarkEnd w:id="5"/>
    </w:p>
    <w:p w:rsidR="0099250A" w:rsidRPr="0036761D" w:rsidRDefault="0099250A" w:rsidP="0099250A">
      <w:pPr>
        <w:pStyle w:val="Bullet"/>
      </w:pPr>
      <w:r w:rsidRPr="0036761D">
        <w:t xml:space="preserve">The Fair Work Ombudsman (FWO) undertook the </w:t>
      </w:r>
      <w:r>
        <w:t xml:space="preserve">National </w:t>
      </w:r>
      <w:r w:rsidRPr="0036761D">
        <w:t>Children’s Services Campaign 2013/14 (the campaign) in response to a number of f</w:t>
      </w:r>
      <w:r>
        <w:t>actors, including:</w:t>
      </w:r>
    </w:p>
    <w:p w:rsidR="0099250A" w:rsidRPr="0036761D" w:rsidRDefault="0099250A" w:rsidP="0099250A">
      <w:pPr>
        <w:pStyle w:val="Bullet"/>
        <w:numPr>
          <w:ilvl w:val="0"/>
          <w:numId w:val="2"/>
        </w:numPr>
      </w:pPr>
      <w:r w:rsidRPr="0036761D">
        <w:t xml:space="preserve">the high number </w:t>
      </w:r>
      <w:r w:rsidR="003A786B">
        <w:t>of</w:t>
      </w:r>
      <w:r w:rsidRPr="0036761D">
        <w:t xml:space="preserve"> </w:t>
      </w:r>
      <w:r>
        <w:t>requests for assistance</w:t>
      </w:r>
      <w:r w:rsidRPr="0036761D">
        <w:t xml:space="preserve"> received between 2010 and 2012, rising from 341 </w:t>
      </w:r>
      <w:r>
        <w:t>requests</w:t>
      </w:r>
      <w:r w:rsidRPr="0036761D">
        <w:t xml:space="preserve"> during 2010/11 (ranked 17th for complaints received) to 498 </w:t>
      </w:r>
      <w:r>
        <w:t>requests</w:t>
      </w:r>
      <w:r w:rsidRPr="0036761D">
        <w:t xml:space="preserve"> in 2012 (ranked 11th for complaints received);</w:t>
      </w:r>
    </w:p>
    <w:p w:rsidR="0099250A" w:rsidRDefault="0099250A" w:rsidP="0099250A">
      <w:pPr>
        <w:pStyle w:val="Bullet"/>
        <w:numPr>
          <w:ilvl w:val="0"/>
          <w:numId w:val="2"/>
        </w:numPr>
      </w:pPr>
      <w:r>
        <w:t>t</w:t>
      </w:r>
      <w:r w:rsidRPr="0036761D">
        <w:t xml:space="preserve">he high </w:t>
      </w:r>
      <w:r>
        <w:t>contravention</w:t>
      </w:r>
      <w:r w:rsidRPr="0036761D">
        <w:t xml:space="preserve"> rate</w:t>
      </w:r>
      <w:r w:rsidR="003A786B">
        <w:t xml:space="preserve"> - </w:t>
      </w:r>
      <w:r w:rsidRPr="0036761D">
        <w:t xml:space="preserve">61% of </w:t>
      </w:r>
      <w:r>
        <w:t>requests for assistance</w:t>
      </w:r>
      <w:r w:rsidRPr="0036761D">
        <w:t xml:space="preserve"> received in </w:t>
      </w:r>
      <w:r>
        <w:t xml:space="preserve">the </w:t>
      </w:r>
      <w:r w:rsidRPr="0036761D">
        <w:t>2010-11 calendar y</w:t>
      </w:r>
      <w:r>
        <w:t>ears identified</w:t>
      </w:r>
      <w:r w:rsidRPr="0036761D">
        <w:t xml:space="preserve"> errors and 56%</w:t>
      </w:r>
      <w:r>
        <w:t xml:space="preserve"> identified errors in</w:t>
      </w:r>
      <w:r w:rsidRPr="0036761D">
        <w:t xml:space="preserve"> 2012</w:t>
      </w:r>
      <w:r>
        <w:t>;</w:t>
      </w:r>
    </w:p>
    <w:p w:rsidR="0099250A" w:rsidRPr="0036761D" w:rsidRDefault="0099250A" w:rsidP="0099250A">
      <w:pPr>
        <w:pStyle w:val="Bullet"/>
        <w:numPr>
          <w:ilvl w:val="0"/>
          <w:numId w:val="2"/>
        </w:numPr>
      </w:pPr>
      <w:r>
        <w:t>the vulnerability of the workforce – 30% of  individuals who lodged a request for assistance in 2010/11 and 19% in 2012 were identified as young workers;</w:t>
      </w:r>
    </w:p>
    <w:p w:rsidR="0099250A" w:rsidRPr="0036761D" w:rsidRDefault="0099250A" w:rsidP="0099250A">
      <w:pPr>
        <w:pStyle w:val="Bullet"/>
        <w:numPr>
          <w:ilvl w:val="0"/>
          <w:numId w:val="2"/>
        </w:numPr>
      </w:pPr>
      <w:r>
        <w:t>t</w:t>
      </w:r>
      <w:r w:rsidRPr="0036761D">
        <w:t xml:space="preserve">he </w:t>
      </w:r>
      <w:r>
        <w:t>litigation history in the industry</w:t>
      </w:r>
      <w:r w:rsidRPr="0036761D">
        <w:t xml:space="preserve"> - three litigations </w:t>
      </w:r>
      <w:r>
        <w:t xml:space="preserve">against childcare centres were commenced </w:t>
      </w:r>
      <w:r w:rsidRPr="0036761D">
        <w:t>in 2011/12; and</w:t>
      </w:r>
    </w:p>
    <w:p w:rsidR="0099250A" w:rsidRPr="0036761D" w:rsidRDefault="0099250A" w:rsidP="0099250A">
      <w:pPr>
        <w:pStyle w:val="Bullet"/>
        <w:numPr>
          <w:ilvl w:val="0"/>
          <w:numId w:val="2"/>
        </w:numPr>
      </w:pPr>
      <w:r>
        <w:t>a</w:t>
      </w:r>
      <w:r w:rsidRPr="0036761D">
        <w:t>lmost 10,000 phone calls through the Fair Work Infoline</w:t>
      </w:r>
      <w:r>
        <w:t xml:space="preserve"> (Infoline)</w:t>
      </w:r>
      <w:r w:rsidRPr="0036761D">
        <w:t xml:space="preserve"> between January 2012 and April 2013 (representing 1.2% of all phone calls made</w:t>
      </w:r>
      <w:r>
        <w:t xml:space="preserve"> to the Infoline</w:t>
      </w:r>
      <w:r w:rsidRPr="0036761D">
        <w:t xml:space="preserve"> during t</w:t>
      </w:r>
      <w:r>
        <w:t>hat</w:t>
      </w:r>
      <w:r w:rsidRPr="0036761D">
        <w:t xml:space="preserve"> period). </w:t>
      </w:r>
    </w:p>
    <w:p w:rsidR="0099250A" w:rsidRPr="00717809" w:rsidRDefault="0099250A" w:rsidP="0099250A">
      <w:pPr>
        <w:pStyle w:val="Bullet"/>
      </w:pPr>
      <w:r>
        <w:t>The</w:t>
      </w:r>
      <w:r w:rsidRPr="0036761D">
        <w:t xml:space="preserve"> campaign focused on Long </w:t>
      </w:r>
      <w:r>
        <w:t>D</w:t>
      </w:r>
      <w:r w:rsidRPr="0036761D">
        <w:t xml:space="preserve">ay </w:t>
      </w:r>
      <w:r>
        <w:t>C</w:t>
      </w:r>
      <w:r w:rsidRPr="0036761D">
        <w:t xml:space="preserve">are </w:t>
      </w:r>
      <w:r>
        <w:t>C</w:t>
      </w:r>
      <w:r w:rsidRPr="0036761D">
        <w:t>entres and Outside School Hours Care (OSHC)</w:t>
      </w:r>
      <w:r>
        <w:t>. It</w:t>
      </w:r>
      <w:r w:rsidRPr="00717809">
        <w:t xml:space="preserve"> was delivered through two phases; </w:t>
      </w:r>
      <w:r>
        <w:t>c</w:t>
      </w:r>
      <w:r w:rsidRPr="00717809">
        <w:t xml:space="preserve">ommunication and </w:t>
      </w:r>
      <w:r>
        <w:t>p</w:t>
      </w:r>
      <w:r w:rsidRPr="00717809">
        <w:t xml:space="preserve">ublic </w:t>
      </w:r>
      <w:r>
        <w:t>a</w:t>
      </w:r>
      <w:r w:rsidRPr="00717809">
        <w:t xml:space="preserve">wareness </w:t>
      </w:r>
      <w:r>
        <w:t>and a</w:t>
      </w:r>
      <w:r w:rsidRPr="00717809">
        <w:t xml:space="preserve"> </w:t>
      </w:r>
      <w:r>
        <w:t>t</w:t>
      </w:r>
      <w:r w:rsidRPr="00717809">
        <w:t>ime a</w:t>
      </w:r>
      <w:r>
        <w:t>nd wages assessment;</w:t>
      </w:r>
      <w:r w:rsidRPr="00717809">
        <w:t xml:space="preserve"> where compliance with the </w:t>
      </w:r>
      <w:r w:rsidRPr="00717809">
        <w:rPr>
          <w:i/>
        </w:rPr>
        <w:t>Fair Work Act 2009 (The</w:t>
      </w:r>
      <w:r>
        <w:rPr>
          <w:i/>
        </w:rPr>
        <w:t> </w:t>
      </w:r>
      <w:r w:rsidRPr="00717809">
        <w:rPr>
          <w:i/>
        </w:rPr>
        <w:t>Act)</w:t>
      </w:r>
      <w:r w:rsidRPr="00717809">
        <w:t>,</w:t>
      </w:r>
      <w:r>
        <w:t xml:space="preserve"> the</w:t>
      </w:r>
      <w:r w:rsidRPr="00717809">
        <w:t xml:space="preserve"> </w:t>
      </w:r>
      <w:r w:rsidRPr="00717809">
        <w:rPr>
          <w:i/>
        </w:rPr>
        <w:t xml:space="preserve">Fair Work Regulations 2009 (The Regulations) </w:t>
      </w:r>
      <w:r w:rsidRPr="00717809">
        <w:t xml:space="preserve">and the </w:t>
      </w:r>
      <w:r w:rsidRPr="00717809">
        <w:rPr>
          <w:rFonts w:cstheme="minorHAnsi"/>
          <w:i/>
        </w:rPr>
        <w:t>Children’s Services Award 2010</w:t>
      </w:r>
      <w:r w:rsidRPr="00717809">
        <w:rPr>
          <w:rFonts w:cstheme="minorHAnsi"/>
        </w:rPr>
        <w:t xml:space="preserve"> (MA000120) (</w:t>
      </w:r>
      <w:r>
        <w:rPr>
          <w:rFonts w:cstheme="minorHAnsi"/>
        </w:rPr>
        <w:t>t</w:t>
      </w:r>
      <w:r w:rsidRPr="00717809">
        <w:rPr>
          <w:rFonts w:cstheme="minorHAnsi"/>
        </w:rPr>
        <w:t>he Award)</w:t>
      </w:r>
      <w:r>
        <w:rPr>
          <w:rFonts w:cstheme="minorHAnsi"/>
        </w:rPr>
        <w:t xml:space="preserve"> were assessed.</w:t>
      </w:r>
      <w:r w:rsidRPr="00717809">
        <w:t xml:space="preserve"> </w:t>
      </w:r>
    </w:p>
    <w:p w:rsidR="0099250A" w:rsidRDefault="0099250A" w:rsidP="0099250A">
      <w:pPr>
        <w:pStyle w:val="Heading1"/>
        <w:jc w:val="left"/>
      </w:pPr>
      <w:bookmarkStart w:id="6" w:name="_Toc410822202"/>
      <w:bookmarkStart w:id="7" w:name="_Toc418861798"/>
      <w:r>
        <w:t>Outcomes at a Glance</w:t>
      </w:r>
      <w:bookmarkEnd w:id="6"/>
      <w:bookmarkEnd w:id="7"/>
    </w:p>
    <w:p w:rsidR="0099250A" w:rsidRDefault="0099250A" w:rsidP="0099250A">
      <w:pPr>
        <w:pStyle w:val="Bullet"/>
      </w:pPr>
      <w:r w:rsidRPr="0036761D">
        <w:t xml:space="preserve">During the </w:t>
      </w:r>
      <w:r>
        <w:t>c</w:t>
      </w:r>
      <w:r w:rsidRPr="0036761D">
        <w:t>ampaign</w:t>
      </w:r>
      <w:r>
        <w:t xml:space="preserve"> 420 businesses were audited for compliance with wages and record keeping obligations.</w:t>
      </w:r>
    </w:p>
    <w:p w:rsidR="0099250A" w:rsidRPr="0036761D" w:rsidRDefault="0099250A" w:rsidP="0099250A">
      <w:pPr>
        <w:jc w:val="left"/>
      </w:pPr>
      <w:r>
        <w:t>The outcomes of the C</w:t>
      </w:r>
      <w:r w:rsidRPr="004B2104">
        <w:t>ampaign were:</w:t>
      </w:r>
    </w:p>
    <w:p w:rsidR="0099250A" w:rsidRPr="0036761D" w:rsidRDefault="0099250A" w:rsidP="0099250A">
      <w:pPr>
        <w:pStyle w:val="Bullet"/>
        <w:numPr>
          <w:ilvl w:val="0"/>
          <w:numId w:val="2"/>
        </w:numPr>
      </w:pPr>
      <w:r w:rsidRPr="0036761D">
        <w:t xml:space="preserve">297 (71%) </w:t>
      </w:r>
      <w:r>
        <w:t xml:space="preserve">businesses were </w:t>
      </w:r>
      <w:r w:rsidRPr="0036761D">
        <w:t xml:space="preserve">compliant with all requirements; </w:t>
      </w:r>
    </w:p>
    <w:p w:rsidR="0099250A" w:rsidRPr="0036761D" w:rsidRDefault="0099250A" w:rsidP="0099250A">
      <w:pPr>
        <w:pStyle w:val="Bullet"/>
        <w:numPr>
          <w:ilvl w:val="0"/>
          <w:numId w:val="2"/>
        </w:numPr>
      </w:pPr>
      <w:r w:rsidRPr="0036761D">
        <w:t xml:space="preserve">123 (29%) </w:t>
      </w:r>
      <w:r>
        <w:t>businesses had</w:t>
      </w:r>
      <w:r w:rsidRPr="0036761D">
        <w:t xml:space="preserve"> at least one error; </w:t>
      </w:r>
    </w:p>
    <w:p w:rsidR="0099250A" w:rsidRDefault="0099250A" w:rsidP="0099250A">
      <w:pPr>
        <w:pStyle w:val="Bullet"/>
        <w:numPr>
          <w:ilvl w:val="0"/>
          <w:numId w:val="2"/>
        </w:numPr>
      </w:pPr>
      <w:r w:rsidRPr="0036761D">
        <w:t>133 errors in total</w:t>
      </w:r>
      <w:r>
        <w:t xml:space="preserve"> were identified; and</w:t>
      </w:r>
    </w:p>
    <w:p w:rsidR="0099250A" w:rsidRPr="0036761D" w:rsidRDefault="0099250A" w:rsidP="0099250A">
      <w:pPr>
        <w:pStyle w:val="Bullet"/>
        <w:numPr>
          <w:ilvl w:val="0"/>
          <w:numId w:val="2"/>
        </w:numPr>
      </w:pPr>
      <w:r>
        <w:t>1 Letter of Caution was issued.</w:t>
      </w:r>
    </w:p>
    <w:p w:rsidR="0099250A" w:rsidRDefault="0099250A" w:rsidP="0099250A">
      <w:pPr>
        <w:pStyle w:val="Bullet"/>
      </w:pPr>
      <w:r w:rsidRPr="0036761D">
        <w:t xml:space="preserve">The majority of </w:t>
      </w:r>
      <w:r>
        <w:t>contraventions</w:t>
      </w:r>
      <w:r w:rsidRPr="0036761D">
        <w:t xml:space="preserve"> identified were in relation to wages</w:t>
      </w:r>
      <w:r>
        <w:t>.</w:t>
      </w:r>
      <w:r w:rsidRPr="0036761D">
        <w:t xml:space="preserve"> </w:t>
      </w:r>
    </w:p>
    <w:p w:rsidR="0099250A" w:rsidRPr="0036761D" w:rsidRDefault="0099250A" w:rsidP="0099250A">
      <w:pPr>
        <w:pStyle w:val="Bullet"/>
      </w:pPr>
      <w:r>
        <w:t>In</w:t>
      </w:r>
      <w:r w:rsidRPr="0036761D">
        <w:t xml:space="preserve"> total</w:t>
      </w:r>
      <w:r>
        <w:t xml:space="preserve">, </w:t>
      </w:r>
      <w:r w:rsidRPr="0036761D">
        <w:t>$438,635</w:t>
      </w:r>
      <w:r>
        <w:t xml:space="preserve"> was recovered for 584 employees</w:t>
      </w:r>
      <w:r w:rsidRPr="0036761D">
        <w:t xml:space="preserve"> from 98 employers</w:t>
      </w:r>
      <w:r>
        <w:t xml:space="preserve">. </w:t>
      </w:r>
      <w:r w:rsidRPr="0036761D">
        <w:t>The amounts recovered from individual businesses ranged from under $10 to over $60,000.</w:t>
      </w:r>
    </w:p>
    <w:p w:rsidR="0099250A" w:rsidRDefault="0099250A" w:rsidP="0099250A">
      <w:pPr>
        <w:pStyle w:val="Heading1"/>
        <w:jc w:val="left"/>
      </w:pPr>
      <w:r>
        <w:br w:type="column"/>
      </w:r>
      <w:bookmarkStart w:id="8" w:name="_Toc410822203"/>
      <w:bookmarkStart w:id="9" w:name="_Toc418861799"/>
      <w:r>
        <w:lastRenderedPageBreak/>
        <w:t>Industry Profile</w:t>
      </w:r>
      <w:bookmarkEnd w:id="8"/>
      <w:bookmarkEnd w:id="9"/>
      <w:r>
        <w:t xml:space="preserve"> </w:t>
      </w:r>
    </w:p>
    <w:p w:rsidR="0099250A" w:rsidRPr="0036761D" w:rsidRDefault="0099250A" w:rsidP="0099250A">
      <w:pPr>
        <w:pStyle w:val="Bullet"/>
      </w:pPr>
      <w:r w:rsidRPr="0036761D">
        <w:t xml:space="preserve">The Children’s </w:t>
      </w:r>
      <w:r>
        <w:t>S</w:t>
      </w:r>
      <w:r w:rsidRPr="0036761D">
        <w:t xml:space="preserve">ervices industry in Australia has approximately 15,000 businesses and </w:t>
      </w:r>
      <w:r>
        <w:t>while it has</w:t>
      </w:r>
      <w:r w:rsidRPr="0036761D">
        <w:t xml:space="preserve"> experienced considerable growth</w:t>
      </w:r>
      <w:r>
        <w:t xml:space="preserve"> over the past five years, it</w:t>
      </w:r>
      <w:r w:rsidRPr="0036761D">
        <w:t xml:space="preserve"> is expected to grow significantly through to 2016/17</w:t>
      </w:r>
      <w:r w:rsidRPr="0036761D">
        <w:rPr>
          <w:rStyle w:val="FootnoteReference"/>
        </w:rPr>
        <w:footnoteReference w:id="1"/>
      </w:r>
      <w:r w:rsidRPr="0036761D">
        <w:t xml:space="preserve">. </w:t>
      </w:r>
      <w:r>
        <w:t xml:space="preserve">The </w:t>
      </w:r>
      <w:r w:rsidRPr="0036761D">
        <w:t>expected increase in the workforce is attributed to more people acces</w:t>
      </w:r>
      <w:r>
        <w:t>sing children’s services due to:</w:t>
      </w:r>
    </w:p>
    <w:p w:rsidR="0099250A" w:rsidRPr="0036761D" w:rsidRDefault="000F4684" w:rsidP="0099250A">
      <w:pPr>
        <w:pStyle w:val="Bullet"/>
        <w:numPr>
          <w:ilvl w:val="0"/>
          <w:numId w:val="2"/>
        </w:numPr>
      </w:pPr>
      <w:r>
        <w:t>changes to</w:t>
      </w:r>
      <w:r w:rsidRPr="0036761D">
        <w:t xml:space="preserve"> </w:t>
      </w:r>
      <w:r w:rsidR="0099250A" w:rsidRPr="0036761D">
        <w:t>child care rebates/benefits;</w:t>
      </w:r>
    </w:p>
    <w:p w:rsidR="0099250A" w:rsidRPr="0036761D" w:rsidRDefault="0099250A" w:rsidP="0099250A">
      <w:pPr>
        <w:pStyle w:val="Bullet"/>
        <w:numPr>
          <w:ilvl w:val="0"/>
          <w:numId w:val="2"/>
        </w:numPr>
      </w:pPr>
      <w:r>
        <w:t>a</w:t>
      </w:r>
      <w:r w:rsidRPr="0036761D">
        <w:t>n increased participation of women in the workforce; and</w:t>
      </w:r>
    </w:p>
    <w:p w:rsidR="0099250A" w:rsidRPr="0036761D" w:rsidRDefault="0099250A" w:rsidP="0099250A">
      <w:pPr>
        <w:pStyle w:val="Bullet"/>
        <w:numPr>
          <w:ilvl w:val="0"/>
          <w:numId w:val="2"/>
        </w:numPr>
      </w:pPr>
      <w:r>
        <w:t>c</w:t>
      </w:r>
      <w:r w:rsidRPr="0036761D">
        <w:t xml:space="preserve">hild </w:t>
      </w:r>
      <w:r>
        <w:t>c</w:t>
      </w:r>
      <w:r w:rsidRPr="0036761D">
        <w:t xml:space="preserve">are </w:t>
      </w:r>
      <w:r>
        <w:t>c</w:t>
      </w:r>
      <w:r w:rsidRPr="0036761D">
        <w:t>entres being able to register as kindergartens.</w:t>
      </w:r>
    </w:p>
    <w:p w:rsidR="0099250A" w:rsidRPr="0036761D" w:rsidRDefault="000F4684" w:rsidP="0099250A">
      <w:pPr>
        <w:pStyle w:val="Bullet"/>
      </w:pPr>
      <w:r>
        <w:t>C</w:t>
      </w:r>
      <w:r w:rsidR="0099250A">
        <w:t>hild care businesses</w:t>
      </w:r>
      <w:r>
        <w:t xml:space="preserve"> are obliged to maintain certain</w:t>
      </w:r>
      <w:r w:rsidR="0099250A" w:rsidRPr="00D517DD">
        <w:t xml:space="preserve"> staff-to-child ratio</w:t>
      </w:r>
      <w:r w:rsidR="0099250A">
        <w:t>s</w:t>
      </w:r>
      <w:r w:rsidR="0099250A" w:rsidRPr="00D517DD">
        <w:t xml:space="preserve"> and</w:t>
      </w:r>
      <w:r>
        <w:t xml:space="preserve"> to</w:t>
      </w:r>
      <w:r w:rsidR="0099250A">
        <w:t xml:space="preserve"> </w:t>
      </w:r>
      <w:r w:rsidR="0099250A" w:rsidRPr="00D517DD">
        <w:t>ensur</w:t>
      </w:r>
      <w:r>
        <w:t>e that</w:t>
      </w:r>
      <w:r w:rsidR="0099250A" w:rsidRPr="00D517DD">
        <w:t xml:space="preserve"> suitably qualified staff are hired</w:t>
      </w:r>
      <w:r w:rsidR="0099250A">
        <w:t>. This, in addition to the implementation of the</w:t>
      </w:r>
      <w:r w:rsidR="0099250A" w:rsidRPr="00D517DD">
        <w:t xml:space="preserve"> National Quality Framework for Early Childhood Education and Care </w:t>
      </w:r>
      <w:r w:rsidR="0099250A">
        <w:t>(</w:t>
      </w:r>
      <w:r w:rsidR="0099250A" w:rsidRPr="00D517DD">
        <w:t>progressively implemented up until 2015-16</w:t>
      </w:r>
      <w:r w:rsidR="0099250A">
        <w:t xml:space="preserve">) </w:t>
      </w:r>
      <w:r w:rsidR="007D141F">
        <w:t>may affect</w:t>
      </w:r>
      <w:r w:rsidR="0099250A" w:rsidRPr="00D517DD">
        <w:t xml:space="preserve"> wage costs</w:t>
      </w:r>
      <w:r w:rsidR="007D141F">
        <w:t>.</w:t>
      </w:r>
      <w:r w:rsidR="0099250A">
        <w:t xml:space="preserve"> </w:t>
      </w:r>
      <w:r w:rsidR="0099250A" w:rsidRPr="00943BB6">
        <w:rPr>
          <w:vertAlign w:val="superscript"/>
        </w:rPr>
        <w:t>1</w:t>
      </w:r>
    </w:p>
    <w:p w:rsidR="0099250A" w:rsidRPr="0036761D" w:rsidRDefault="0099250A" w:rsidP="0099250A">
      <w:pPr>
        <w:pStyle w:val="Bullet"/>
      </w:pPr>
      <w:r w:rsidRPr="0036761D">
        <w:t>As t</w:t>
      </w:r>
      <w:r>
        <w:t>his</w:t>
      </w:r>
      <w:r w:rsidRPr="0036761D">
        <w:t xml:space="preserve"> industry typically operates on ti</w:t>
      </w:r>
      <w:r>
        <w:t>ght margins and with labour costs</w:t>
      </w:r>
      <w:r w:rsidRPr="0036761D">
        <w:t xml:space="preserve"> among the h</w:t>
      </w:r>
      <w:r>
        <w:t>ighest, the industry has continued to be heavily</w:t>
      </w:r>
      <w:r w:rsidRPr="0036761D">
        <w:t xml:space="preserve"> reliant on award wages</w:t>
      </w:r>
      <w:r>
        <w:t>.</w:t>
      </w:r>
      <w:r w:rsidRPr="0036761D">
        <w:t xml:space="preserve"> </w:t>
      </w:r>
    </w:p>
    <w:p w:rsidR="002B310F" w:rsidRDefault="002B310F" w:rsidP="0099250A">
      <w:pPr>
        <w:pStyle w:val="Heading1"/>
        <w:jc w:val="left"/>
      </w:pPr>
      <w:bookmarkStart w:id="10" w:name="_Toc418861800"/>
    </w:p>
    <w:p w:rsidR="0099250A" w:rsidRDefault="0099250A" w:rsidP="0099250A">
      <w:pPr>
        <w:pStyle w:val="Heading1"/>
        <w:jc w:val="left"/>
      </w:pPr>
      <w:r>
        <w:t>Industry Stakeholders</w:t>
      </w:r>
      <w:bookmarkEnd w:id="10"/>
      <w:r>
        <w:t xml:space="preserve"> </w:t>
      </w:r>
    </w:p>
    <w:p w:rsidR="0099250A" w:rsidRDefault="0099250A" w:rsidP="0099250A">
      <w:pPr>
        <w:pStyle w:val="Bullet"/>
      </w:pPr>
      <w:r>
        <w:t xml:space="preserve">The FWO </w:t>
      </w:r>
      <w:r w:rsidR="003A786B">
        <w:t xml:space="preserve">engaged with </w:t>
      </w:r>
      <w:r w:rsidRPr="0036761D">
        <w:t xml:space="preserve">industry stakeholders to </w:t>
      </w:r>
      <w:r>
        <w:t xml:space="preserve">discuss the campaign and any </w:t>
      </w:r>
      <w:r w:rsidRPr="0036761D">
        <w:t>industry</w:t>
      </w:r>
      <w:r>
        <w:t xml:space="preserve"> specific issues</w:t>
      </w:r>
      <w:r w:rsidRPr="0036761D">
        <w:t xml:space="preserve">. </w:t>
      </w:r>
      <w:r w:rsidR="000F4684">
        <w:t>This</w:t>
      </w:r>
      <w:r w:rsidRPr="0036761D">
        <w:t xml:space="preserve"> also provided a chance to explore future opportunities to work collaboratively. </w:t>
      </w:r>
    </w:p>
    <w:p w:rsidR="0099250A" w:rsidRPr="0036761D" w:rsidRDefault="0099250A" w:rsidP="0099250A">
      <w:pPr>
        <w:pStyle w:val="Bullet"/>
      </w:pPr>
      <w:r w:rsidRPr="0036761D">
        <w:t xml:space="preserve">The stakeholders </w:t>
      </w:r>
      <w:r>
        <w:t>included</w:t>
      </w:r>
      <w:r w:rsidRPr="0036761D">
        <w:t>;</w:t>
      </w:r>
    </w:p>
    <w:p w:rsidR="0099250A" w:rsidRPr="0036761D" w:rsidRDefault="0099250A" w:rsidP="0099250A">
      <w:pPr>
        <w:pStyle w:val="Bullet"/>
        <w:numPr>
          <w:ilvl w:val="0"/>
          <w:numId w:val="2"/>
        </w:numPr>
      </w:pPr>
      <w:r w:rsidRPr="0036761D">
        <w:t>Australian Childcare Alliance (ACA);</w:t>
      </w:r>
    </w:p>
    <w:p w:rsidR="0099250A" w:rsidRPr="0036761D" w:rsidRDefault="0099250A" w:rsidP="0099250A">
      <w:pPr>
        <w:pStyle w:val="Bullet"/>
        <w:numPr>
          <w:ilvl w:val="0"/>
          <w:numId w:val="2"/>
        </w:numPr>
      </w:pPr>
      <w:r w:rsidRPr="0036761D">
        <w:t>Early Learning Association Australia (</w:t>
      </w:r>
      <w:proofErr w:type="spellStart"/>
      <w:r w:rsidRPr="0036761D">
        <w:t>ELAA</w:t>
      </w:r>
      <w:proofErr w:type="spellEnd"/>
      <w:r w:rsidRPr="0036761D">
        <w:t>);</w:t>
      </w:r>
    </w:p>
    <w:p w:rsidR="0099250A" w:rsidRPr="0036761D" w:rsidRDefault="0099250A" w:rsidP="0099250A">
      <w:pPr>
        <w:pStyle w:val="Bullet"/>
        <w:numPr>
          <w:ilvl w:val="0"/>
          <w:numId w:val="2"/>
        </w:numPr>
      </w:pPr>
      <w:r w:rsidRPr="0036761D">
        <w:t>Australian Community Children’s Services (ACCS);</w:t>
      </w:r>
    </w:p>
    <w:p w:rsidR="0099250A" w:rsidRPr="0036761D" w:rsidRDefault="0099250A" w:rsidP="0099250A">
      <w:pPr>
        <w:pStyle w:val="Bullet"/>
        <w:numPr>
          <w:ilvl w:val="0"/>
          <w:numId w:val="2"/>
        </w:numPr>
      </w:pPr>
      <w:r w:rsidRPr="0036761D">
        <w:t>Department of Education (Formerly part of the Department of Education, Employment and Workplace Relations (DEEWR);</w:t>
      </w:r>
    </w:p>
    <w:p w:rsidR="0099250A" w:rsidRPr="0036761D" w:rsidRDefault="0099250A" w:rsidP="0099250A">
      <w:pPr>
        <w:pStyle w:val="Bullet"/>
        <w:numPr>
          <w:ilvl w:val="0"/>
          <w:numId w:val="2"/>
        </w:numPr>
      </w:pPr>
      <w:r w:rsidRPr="0036761D">
        <w:t>Early Childhood Australia (</w:t>
      </w:r>
      <w:proofErr w:type="spellStart"/>
      <w:r w:rsidRPr="0036761D">
        <w:t>ECA</w:t>
      </w:r>
      <w:proofErr w:type="spellEnd"/>
      <w:r w:rsidRPr="0036761D">
        <w:t>); and</w:t>
      </w:r>
    </w:p>
    <w:p w:rsidR="0099250A" w:rsidRPr="0036761D" w:rsidRDefault="0099250A" w:rsidP="0099250A">
      <w:pPr>
        <w:pStyle w:val="Bullet"/>
        <w:numPr>
          <w:ilvl w:val="0"/>
          <w:numId w:val="2"/>
        </w:numPr>
      </w:pPr>
      <w:r w:rsidRPr="0036761D">
        <w:t>United Voice.</w:t>
      </w:r>
    </w:p>
    <w:p w:rsidR="0099250A" w:rsidRDefault="0099250A" w:rsidP="0099250A">
      <w:pPr>
        <w:pStyle w:val="Bullet"/>
      </w:pPr>
      <w:r>
        <w:t>In addition</w:t>
      </w:r>
      <w:r w:rsidRPr="0036761D">
        <w:t xml:space="preserve"> promotional support </w:t>
      </w:r>
      <w:r>
        <w:t xml:space="preserve">was received </w:t>
      </w:r>
      <w:r w:rsidRPr="0036761D">
        <w:t>from the Community Services Employer Organisation, YMCA, the Australian Government and Independent Schools Queensland.</w:t>
      </w:r>
    </w:p>
    <w:p w:rsidR="0099250A" w:rsidRPr="0036761D" w:rsidRDefault="0099250A" w:rsidP="0099250A">
      <w:pPr>
        <w:pStyle w:val="Bullet"/>
      </w:pPr>
    </w:p>
    <w:p w:rsidR="002B310F" w:rsidRDefault="002B310F">
      <w:pPr>
        <w:spacing w:after="0" w:line="240" w:lineRule="auto"/>
        <w:jc w:val="left"/>
        <w:rPr>
          <w:rFonts w:eastAsia="Batang"/>
          <w:b/>
          <w:bCs/>
          <w:sz w:val="28"/>
          <w:szCs w:val="32"/>
        </w:rPr>
      </w:pPr>
      <w:bookmarkStart w:id="11" w:name="_Toc418861801"/>
      <w:r>
        <w:lastRenderedPageBreak/>
        <w:br w:type="page"/>
      </w:r>
    </w:p>
    <w:p w:rsidR="0099250A" w:rsidRDefault="0099250A" w:rsidP="0099250A">
      <w:pPr>
        <w:pStyle w:val="Heading1"/>
      </w:pPr>
      <w:r>
        <w:lastRenderedPageBreak/>
        <w:t>Communication and Public Awareness</w:t>
      </w:r>
      <w:bookmarkEnd w:id="11"/>
      <w:r>
        <w:t xml:space="preserve"> </w:t>
      </w:r>
    </w:p>
    <w:p w:rsidR="0099250A" w:rsidRDefault="0099250A" w:rsidP="0099250A">
      <w:pPr>
        <w:pStyle w:val="Bullet"/>
      </w:pPr>
      <w:r w:rsidRPr="00BF6109">
        <w:t xml:space="preserve">The </w:t>
      </w:r>
      <w:r>
        <w:t xml:space="preserve">communication and public </w:t>
      </w:r>
      <w:r w:rsidRPr="00BF6109">
        <w:t xml:space="preserve">awareness </w:t>
      </w:r>
      <w:r>
        <w:t xml:space="preserve">phase of the </w:t>
      </w:r>
      <w:r w:rsidRPr="00BF6109">
        <w:t>campaign aimed to promote the campaign and educate employers on their obligations prior to the audit</w:t>
      </w:r>
      <w:r>
        <w:t xml:space="preserve">s. </w:t>
      </w:r>
    </w:p>
    <w:p w:rsidR="0099250A" w:rsidRDefault="0099250A" w:rsidP="0099250A">
      <w:pPr>
        <w:pStyle w:val="Bullet"/>
      </w:pPr>
      <w:r>
        <w:t xml:space="preserve">The FWO </w:t>
      </w:r>
      <w:r w:rsidRPr="00BF6109">
        <w:t xml:space="preserve">contacted </w:t>
      </w:r>
      <w:r>
        <w:t xml:space="preserve">8,963 businesses </w:t>
      </w:r>
      <w:r w:rsidRPr="00BF6109">
        <w:t>advis</w:t>
      </w:r>
      <w:r>
        <w:t>ing</w:t>
      </w:r>
      <w:r w:rsidRPr="00BF6109">
        <w:t xml:space="preserve"> them of our campaign</w:t>
      </w:r>
      <w:r>
        <w:t xml:space="preserve">, </w:t>
      </w:r>
      <w:r w:rsidRPr="00BF6109">
        <w:t>direct</w:t>
      </w:r>
      <w:r>
        <w:t>ing</w:t>
      </w:r>
      <w:r w:rsidRPr="00BF6109">
        <w:t xml:space="preserve"> them to </w:t>
      </w:r>
      <w:r>
        <w:t xml:space="preserve">the </w:t>
      </w:r>
      <w:r w:rsidR="00F55525">
        <w:t>dedicated</w:t>
      </w:r>
      <w:r>
        <w:t xml:space="preserve"> web page </w:t>
      </w:r>
      <w:hyperlink r:id="rId15" w:tooltip="Children's Services Campaign Page on the Fair Work Ombudsman website" w:history="1">
        <w:r w:rsidRPr="00734EAA">
          <w:rPr>
            <w:rStyle w:val="Hyperlink"/>
            <w:rFonts w:cstheme="minorHAnsi"/>
          </w:rPr>
          <w:t>www.fairwork.gov.au/chi</w:t>
        </w:r>
        <w:r w:rsidRPr="00734EAA">
          <w:rPr>
            <w:rStyle w:val="Hyperlink"/>
            <w:rFonts w:cstheme="minorHAnsi"/>
          </w:rPr>
          <w:t>l</w:t>
        </w:r>
        <w:r w:rsidRPr="00734EAA">
          <w:rPr>
            <w:rStyle w:val="Hyperlink"/>
            <w:rFonts w:cstheme="minorHAnsi"/>
          </w:rPr>
          <w:t>dcare</w:t>
        </w:r>
      </w:hyperlink>
      <w:r w:rsidRPr="00734EAA">
        <w:t xml:space="preserve"> </w:t>
      </w:r>
      <w:r>
        <w:t xml:space="preserve">and advised them about </w:t>
      </w:r>
      <w:r w:rsidRPr="00BF6109">
        <w:t xml:space="preserve">the industry specific </w:t>
      </w:r>
      <w:r>
        <w:t>webinar (conducted on 22 August </w:t>
      </w:r>
      <w:r w:rsidRPr="00BF6109">
        <w:t xml:space="preserve">2013). </w:t>
      </w:r>
    </w:p>
    <w:p w:rsidR="0099250A" w:rsidRDefault="0099250A" w:rsidP="0099250A">
      <w:pPr>
        <w:pStyle w:val="Bullet"/>
      </w:pPr>
      <w:r w:rsidRPr="005B53FA">
        <w:t xml:space="preserve">The campaign was also advertised </w:t>
      </w:r>
      <w:r w:rsidR="00F55525">
        <w:t>through</w:t>
      </w:r>
      <w:r w:rsidR="00F55525" w:rsidRPr="005B53FA">
        <w:t xml:space="preserve"> </w:t>
      </w:r>
      <w:r w:rsidRPr="005B53FA">
        <w:t>a number of digital platforms</w:t>
      </w:r>
      <w:r>
        <w:t xml:space="preserve">, the full description and result can be viewed in Appendix A. </w:t>
      </w:r>
    </w:p>
    <w:p w:rsidR="002B310F" w:rsidRDefault="002B310F" w:rsidP="0099250A">
      <w:pPr>
        <w:pStyle w:val="Heading1"/>
      </w:pPr>
      <w:bookmarkStart w:id="12" w:name="_Toc418861802"/>
    </w:p>
    <w:p w:rsidR="0099250A" w:rsidRDefault="0099250A" w:rsidP="0099250A">
      <w:pPr>
        <w:pStyle w:val="Heading1"/>
      </w:pPr>
      <w:r>
        <w:t>Time and wages audit</w:t>
      </w:r>
      <w:bookmarkEnd w:id="12"/>
    </w:p>
    <w:p w:rsidR="0099250A" w:rsidRDefault="0099250A" w:rsidP="0099250A">
      <w:pPr>
        <w:pStyle w:val="Bullet"/>
      </w:pPr>
      <w:r>
        <w:t xml:space="preserve">As part of the campaign, </w:t>
      </w:r>
      <w:r w:rsidRPr="00BF6109">
        <w:t xml:space="preserve">time and wages records for 420 businesses </w:t>
      </w:r>
      <w:r>
        <w:t>were audited to assess c</w:t>
      </w:r>
      <w:r w:rsidRPr="005B53FA">
        <w:t xml:space="preserve">ompliance with the </w:t>
      </w:r>
      <w:r>
        <w:rPr>
          <w:i/>
        </w:rPr>
        <w:t>Children’s Services</w:t>
      </w:r>
      <w:r w:rsidRPr="005B53FA">
        <w:rPr>
          <w:i/>
        </w:rPr>
        <w:t xml:space="preserve"> Award 2010 </w:t>
      </w:r>
      <w:r w:rsidRPr="005B53FA">
        <w:t xml:space="preserve">(the award), the </w:t>
      </w:r>
      <w:r w:rsidRPr="005B53FA">
        <w:rPr>
          <w:i/>
        </w:rPr>
        <w:t>Fair Work Act 2009</w:t>
      </w:r>
      <w:r w:rsidRPr="005B53FA">
        <w:t xml:space="preserve"> (the Act) and the </w:t>
      </w:r>
      <w:r w:rsidRPr="005B53FA">
        <w:rPr>
          <w:i/>
        </w:rPr>
        <w:t>Fair Work Regulations</w:t>
      </w:r>
      <w:r w:rsidRPr="005B53FA">
        <w:t xml:space="preserve"> </w:t>
      </w:r>
      <w:r w:rsidRPr="005B53FA">
        <w:rPr>
          <w:i/>
        </w:rPr>
        <w:t>2009</w:t>
      </w:r>
      <w:r w:rsidRPr="005B53FA">
        <w:t xml:space="preserve"> (the Re</w:t>
      </w:r>
      <w:r>
        <w:t>gulations).</w:t>
      </w:r>
    </w:p>
    <w:p w:rsidR="0099250A" w:rsidRPr="00BF6109" w:rsidRDefault="0099250A" w:rsidP="0099250A">
      <w:pPr>
        <w:pStyle w:val="Bullet"/>
      </w:pPr>
      <w:r>
        <w:t>Of the 420 employers audited:</w:t>
      </w:r>
    </w:p>
    <w:p w:rsidR="0099250A" w:rsidRPr="00BF6109" w:rsidRDefault="0099250A" w:rsidP="0099250A">
      <w:pPr>
        <w:pStyle w:val="Bullet"/>
        <w:numPr>
          <w:ilvl w:val="0"/>
          <w:numId w:val="2"/>
        </w:numPr>
      </w:pPr>
      <w:r w:rsidRPr="00BF6109">
        <w:t xml:space="preserve">318 (76%) employers were paying their employees correctly; </w:t>
      </w:r>
    </w:p>
    <w:p w:rsidR="0099250A" w:rsidRPr="00BF6109" w:rsidRDefault="0099250A" w:rsidP="0099250A">
      <w:pPr>
        <w:pStyle w:val="Bullet"/>
        <w:numPr>
          <w:ilvl w:val="0"/>
          <w:numId w:val="2"/>
        </w:numPr>
      </w:pPr>
      <w:r w:rsidRPr="00BF6109">
        <w:t>395 (94%) employers were compliant with record-keeping and pay slip requirements</w:t>
      </w:r>
      <w:r w:rsidR="003A786B">
        <w:t>;</w:t>
      </w:r>
    </w:p>
    <w:p w:rsidR="0099250A" w:rsidRPr="00BF6109" w:rsidRDefault="0099250A" w:rsidP="0099250A">
      <w:pPr>
        <w:pStyle w:val="Bullet"/>
        <w:numPr>
          <w:ilvl w:val="0"/>
          <w:numId w:val="2"/>
        </w:numPr>
      </w:pPr>
      <w:r w:rsidRPr="00BF6109">
        <w:t xml:space="preserve">297 (71%) </w:t>
      </w:r>
      <w:r>
        <w:t xml:space="preserve">employers were </w:t>
      </w:r>
      <w:r w:rsidRPr="00BF6109">
        <w:t>compliant with all requirements; and</w:t>
      </w:r>
    </w:p>
    <w:p w:rsidR="0099250A" w:rsidRDefault="0099250A" w:rsidP="0099250A">
      <w:pPr>
        <w:pStyle w:val="Bullet"/>
        <w:numPr>
          <w:ilvl w:val="0"/>
          <w:numId w:val="2"/>
        </w:numPr>
      </w:pPr>
      <w:r w:rsidRPr="00BF6109">
        <w:t xml:space="preserve">123 (29%) </w:t>
      </w:r>
      <w:r>
        <w:t>employers had</w:t>
      </w:r>
      <w:r w:rsidRPr="00BF6109">
        <w:t xml:space="preserve"> at least one error</w:t>
      </w:r>
      <w:r>
        <w:t>, of which;</w:t>
      </w:r>
    </w:p>
    <w:p w:rsidR="0099250A" w:rsidRPr="00D41C48" w:rsidRDefault="0099250A" w:rsidP="0099250A">
      <w:pPr>
        <w:pStyle w:val="Bullet"/>
        <w:numPr>
          <w:ilvl w:val="1"/>
          <w:numId w:val="2"/>
        </w:numPr>
      </w:pPr>
      <w:r>
        <w:t>98 (23</w:t>
      </w:r>
      <w:r w:rsidRPr="00D41C48">
        <w:t xml:space="preserve">%) had </w:t>
      </w:r>
      <w:r>
        <w:t>errors</w:t>
      </w:r>
      <w:r w:rsidRPr="00D41C48">
        <w:t xml:space="preserve"> </w:t>
      </w:r>
      <w:r>
        <w:t>relating to pay</w:t>
      </w:r>
      <w:r w:rsidRPr="00D41C48">
        <w:t xml:space="preserve"> rates;</w:t>
      </w:r>
    </w:p>
    <w:p w:rsidR="0099250A" w:rsidRPr="00D41C48" w:rsidRDefault="0099250A" w:rsidP="0099250A">
      <w:pPr>
        <w:pStyle w:val="Bullet"/>
        <w:numPr>
          <w:ilvl w:val="1"/>
          <w:numId w:val="2"/>
        </w:numPr>
      </w:pPr>
      <w:r>
        <w:t>21 (5</w:t>
      </w:r>
      <w:r w:rsidRPr="00D41C48">
        <w:t xml:space="preserve">%) had </w:t>
      </w:r>
      <w:r>
        <w:t>errors</w:t>
      </w:r>
      <w:r w:rsidRPr="00D41C48">
        <w:t xml:space="preserve"> relating to payslips</w:t>
      </w:r>
      <w:r>
        <w:t xml:space="preserve"> or </w:t>
      </w:r>
      <w:r w:rsidRPr="00D41C48">
        <w:t>record-keeping; and</w:t>
      </w:r>
    </w:p>
    <w:p w:rsidR="0099250A" w:rsidRDefault="0099250A" w:rsidP="0099250A">
      <w:pPr>
        <w:pStyle w:val="Bullet"/>
        <w:numPr>
          <w:ilvl w:val="1"/>
          <w:numId w:val="2"/>
        </w:numPr>
      </w:pPr>
      <w:r>
        <w:t>4 (1</w:t>
      </w:r>
      <w:r w:rsidRPr="00D41C48">
        <w:t xml:space="preserve">%) had </w:t>
      </w:r>
      <w:r>
        <w:t>both monetary and non-monetary errors</w:t>
      </w:r>
      <w:r w:rsidR="003A786B">
        <w:t>.</w:t>
      </w:r>
    </w:p>
    <w:p w:rsidR="0099250A" w:rsidRPr="00BF6109" w:rsidRDefault="0099250A" w:rsidP="0099250A">
      <w:pPr>
        <w:pStyle w:val="Bullet"/>
      </w:pPr>
      <w:r w:rsidRPr="00BF6109">
        <w:t xml:space="preserve">Of the 123 businesses </w:t>
      </w:r>
      <w:r>
        <w:t>with</w:t>
      </w:r>
      <w:r w:rsidRPr="00BF6109">
        <w:t xml:space="preserve"> errors, there were a total of 133 individual errors</w:t>
      </w:r>
      <w:r>
        <w:t xml:space="preserve"> (as outlined in Figure 1).</w:t>
      </w:r>
      <w:r w:rsidRPr="00BF6109">
        <w:t xml:space="preserve">  Underpayment of </w:t>
      </w:r>
      <w:r>
        <w:t xml:space="preserve">the minimum base </w:t>
      </w:r>
      <w:r w:rsidRPr="00BF6109">
        <w:t>hourly rate account</w:t>
      </w:r>
      <w:r>
        <w:t>ed</w:t>
      </w:r>
      <w:r w:rsidRPr="00BF6109">
        <w:t xml:space="preserve"> for 76% </w:t>
      </w:r>
      <w:r>
        <w:t xml:space="preserve">of the errors </w:t>
      </w:r>
      <w:r w:rsidRPr="00BF6109">
        <w:t>and a further 13% due to payslips not including the correct information.</w:t>
      </w:r>
      <w:r w:rsidRPr="00BF6109" w:rsidDel="000A12AD">
        <w:t xml:space="preserve"> </w:t>
      </w:r>
      <w:r>
        <w:br w:type="page"/>
      </w:r>
    </w:p>
    <w:p w:rsidR="0099250A" w:rsidRDefault="0099250A" w:rsidP="00AE7036">
      <w:pPr>
        <w:pStyle w:val="Heading2"/>
      </w:pPr>
      <w:r w:rsidRPr="00A90FE8">
        <w:lastRenderedPageBreak/>
        <w:t>Figure 1:</w:t>
      </w:r>
      <w:r w:rsidRPr="00BF6109">
        <w:t xml:space="preserve"> </w:t>
      </w:r>
      <w:r w:rsidRPr="00A90FE8">
        <w:t>Campaign Compliance Rates</w:t>
      </w:r>
    </w:p>
    <w:p w:rsidR="0099250A" w:rsidRDefault="0099250A" w:rsidP="0099250A">
      <w:r>
        <w:rPr>
          <w:noProof/>
          <w:lang w:eastAsia="en-AU"/>
        </w:rPr>
        <w:drawing>
          <wp:inline distT="0" distB="0" distL="0" distR="0" wp14:anchorId="294481B5" wp14:editId="4430B360">
            <wp:extent cx="5736590" cy="2889885"/>
            <wp:effectExtent l="0" t="0" r="0" b="5715"/>
            <wp:docPr id="3" name="Picture 3" descr="This pie chart outlines the different breakdown of the compliance rates outlined above. " title="Pie chart of campaign compliance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6590" cy="2889885"/>
                    </a:xfrm>
                    <a:prstGeom prst="rect">
                      <a:avLst/>
                    </a:prstGeom>
                    <a:noFill/>
                  </pic:spPr>
                </pic:pic>
              </a:graphicData>
            </a:graphic>
          </wp:inline>
        </w:drawing>
      </w:r>
    </w:p>
    <w:p w:rsidR="0099250A" w:rsidRPr="00734EAA" w:rsidRDefault="0099250A" w:rsidP="00F55525">
      <w:pPr>
        <w:pStyle w:val="Heading1"/>
        <w:jc w:val="left"/>
      </w:pPr>
      <w:bookmarkStart w:id="13" w:name="_Toc418861803"/>
      <w:r>
        <w:t>Regional Findings</w:t>
      </w:r>
      <w:bookmarkEnd w:id="13"/>
    </w:p>
    <w:p w:rsidR="0099250A" w:rsidRDefault="0099250A" w:rsidP="00F55525">
      <w:pPr>
        <w:pStyle w:val="Heading2"/>
        <w:jc w:val="left"/>
      </w:pPr>
      <w:bookmarkStart w:id="14" w:name="_Toc418861804"/>
      <w:r>
        <w:t>Queensland</w:t>
      </w:r>
      <w:bookmarkEnd w:id="14"/>
    </w:p>
    <w:p w:rsidR="0099250A" w:rsidRPr="00734EAA" w:rsidRDefault="0099250A" w:rsidP="00F55525">
      <w:pPr>
        <w:spacing w:line="320" w:lineRule="exact"/>
        <w:jc w:val="left"/>
        <w:rPr>
          <w:rFonts w:eastAsiaTheme="minorHAnsi" w:cstheme="minorHAnsi"/>
          <w:szCs w:val="22"/>
        </w:rPr>
      </w:pPr>
      <w:r w:rsidRPr="00734EAA">
        <w:rPr>
          <w:rFonts w:eastAsiaTheme="minorHAnsi" w:cstheme="minorHAnsi"/>
          <w:szCs w:val="22"/>
        </w:rPr>
        <w:t>Of the 124 businesses assessed in</w:t>
      </w:r>
      <w:r>
        <w:rPr>
          <w:rFonts w:eastAsiaTheme="minorHAnsi" w:cstheme="minorHAnsi"/>
          <w:szCs w:val="22"/>
        </w:rPr>
        <w:t xml:space="preserve"> </w:t>
      </w:r>
      <w:r w:rsidRPr="00563552">
        <w:rPr>
          <w:rFonts w:eastAsiaTheme="minorHAnsi" w:cstheme="minorHAnsi"/>
          <w:b/>
          <w:szCs w:val="22"/>
        </w:rPr>
        <w:t>Queensland</w:t>
      </w:r>
      <w:r w:rsidRPr="00734EAA">
        <w:rPr>
          <w:rFonts w:eastAsiaTheme="minorHAnsi" w:cstheme="minorHAnsi"/>
          <w:szCs w:val="22"/>
        </w:rPr>
        <w:t xml:space="preserve"> </w:t>
      </w:r>
      <w:r>
        <w:rPr>
          <w:rFonts w:eastAsiaTheme="minorHAnsi" w:cstheme="minorHAnsi"/>
          <w:szCs w:val="22"/>
        </w:rPr>
        <w:t>(</w:t>
      </w:r>
      <w:r w:rsidRPr="00734EAA">
        <w:rPr>
          <w:rFonts w:eastAsiaTheme="minorHAnsi" w:cstheme="minorHAnsi"/>
          <w:szCs w:val="22"/>
        </w:rPr>
        <w:t>QLD</w:t>
      </w:r>
      <w:r>
        <w:rPr>
          <w:rFonts w:eastAsiaTheme="minorHAnsi" w:cstheme="minorHAnsi"/>
          <w:szCs w:val="22"/>
        </w:rPr>
        <w:t>)</w:t>
      </w:r>
      <w:r w:rsidRPr="00734EAA">
        <w:rPr>
          <w:rFonts w:eastAsiaTheme="minorHAnsi" w:cstheme="minorHAnsi"/>
          <w:szCs w:val="22"/>
        </w:rPr>
        <w:t>:</w:t>
      </w:r>
    </w:p>
    <w:p w:rsidR="0099250A" w:rsidRPr="00BF6109" w:rsidRDefault="0099250A" w:rsidP="00F55525">
      <w:pPr>
        <w:pStyle w:val="Bullet"/>
        <w:numPr>
          <w:ilvl w:val="0"/>
          <w:numId w:val="2"/>
        </w:numPr>
      </w:pPr>
      <w:r w:rsidRPr="00BF6109">
        <w:t xml:space="preserve">110 (89%) of employers </w:t>
      </w:r>
      <w:r>
        <w:t xml:space="preserve">were </w:t>
      </w:r>
      <w:r w:rsidRPr="00BF6109">
        <w:t>compliant with all requirements;</w:t>
      </w:r>
    </w:p>
    <w:p w:rsidR="0099250A" w:rsidRPr="00BF6109" w:rsidRDefault="0099250A" w:rsidP="00F55525">
      <w:pPr>
        <w:pStyle w:val="Bullet"/>
        <w:numPr>
          <w:ilvl w:val="0"/>
          <w:numId w:val="2"/>
        </w:numPr>
      </w:pPr>
      <w:r w:rsidRPr="00BF6109">
        <w:t>14 (11%) employers had at least one error, of which:</w:t>
      </w:r>
    </w:p>
    <w:p w:rsidR="0099250A" w:rsidRPr="00717809" w:rsidRDefault="0099250A" w:rsidP="00F55525">
      <w:pPr>
        <w:pStyle w:val="Bullet"/>
        <w:numPr>
          <w:ilvl w:val="1"/>
          <w:numId w:val="2"/>
        </w:numPr>
      </w:pPr>
      <w:r w:rsidRPr="00717809">
        <w:t xml:space="preserve">6 (5%) had errors relating to pay rates </w:t>
      </w:r>
    </w:p>
    <w:p w:rsidR="0099250A" w:rsidRPr="00717809" w:rsidRDefault="0099250A" w:rsidP="00F55525">
      <w:pPr>
        <w:pStyle w:val="Bullet"/>
        <w:numPr>
          <w:ilvl w:val="1"/>
          <w:numId w:val="2"/>
        </w:numPr>
      </w:pPr>
      <w:r w:rsidRPr="00717809">
        <w:t xml:space="preserve">8 (6%) had errors relating to records and payslips </w:t>
      </w:r>
    </w:p>
    <w:p w:rsidR="0099250A" w:rsidRPr="00BF6109" w:rsidRDefault="0099250A" w:rsidP="00F55525">
      <w:pPr>
        <w:spacing w:line="320" w:lineRule="exact"/>
        <w:jc w:val="left"/>
        <w:rPr>
          <w:rFonts w:eastAsiaTheme="minorHAnsi" w:cstheme="minorHAnsi"/>
          <w:szCs w:val="22"/>
        </w:rPr>
      </w:pPr>
      <w:r w:rsidRPr="00BF6109">
        <w:rPr>
          <w:rFonts w:eastAsiaTheme="minorHAnsi" w:cstheme="minorHAnsi"/>
          <w:szCs w:val="22"/>
        </w:rPr>
        <w:t>This means that of the 124 businesses assessed:</w:t>
      </w:r>
    </w:p>
    <w:p w:rsidR="0099250A" w:rsidRPr="00BF6109" w:rsidRDefault="0099250A" w:rsidP="00F55525">
      <w:pPr>
        <w:pStyle w:val="Bullet"/>
        <w:numPr>
          <w:ilvl w:val="0"/>
          <w:numId w:val="2"/>
        </w:numPr>
      </w:pPr>
      <w:r w:rsidRPr="00BF6109">
        <w:t>118 (95%) employers were paying their employees correctly</w:t>
      </w:r>
    </w:p>
    <w:p w:rsidR="0099250A" w:rsidRPr="00BF6109" w:rsidRDefault="0099250A" w:rsidP="00F55525">
      <w:pPr>
        <w:pStyle w:val="Bullet"/>
        <w:numPr>
          <w:ilvl w:val="0"/>
          <w:numId w:val="2"/>
        </w:numPr>
      </w:pPr>
      <w:r w:rsidRPr="00BF6109">
        <w:t>116 (94%) employers were compliant with record-keeping and pay slip requirements.</w:t>
      </w:r>
    </w:p>
    <w:p w:rsidR="0099250A" w:rsidRDefault="0099250A" w:rsidP="00F55525">
      <w:pPr>
        <w:spacing w:after="113" w:line="320" w:lineRule="exact"/>
        <w:jc w:val="left"/>
        <w:rPr>
          <w:rFonts w:eastAsiaTheme="minorHAnsi" w:cstheme="minorHAnsi"/>
          <w:szCs w:val="22"/>
        </w:rPr>
      </w:pPr>
      <w:r w:rsidRPr="00734EAA">
        <w:rPr>
          <w:rFonts w:eastAsiaTheme="minorHAnsi" w:cstheme="minorHAnsi"/>
          <w:szCs w:val="22"/>
        </w:rPr>
        <w:t xml:space="preserve">The 14 businesses found </w:t>
      </w:r>
      <w:r>
        <w:rPr>
          <w:rFonts w:eastAsiaTheme="minorHAnsi" w:cstheme="minorHAnsi"/>
          <w:szCs w:val="22"/>
        </w:rPr>
        <w:t>with errors,</w:t>
      </w:r>
      <w:r w:rsidRPr="00734EAA">
        <w:rPr>
          <w:rFonts w:eastAsiaTheme="minorHAnsi" w:cstheme="minorHAnsi"/>
          <w:szCs w:val="22"/>
        </w:rPr>
        <w:t xml:space="preserve"> each had 1 individual error. Underpayment of </w:t>
      </w:r>
      <w:r>
        <w:rPr>
          <w:rFonts w:eastAsiaTheme="minorHAnsi" w:cstheme="minorHAnsi"/>
          <w:szCs w:val="22"/>
        </w:rPr>
        <w:t xml:space="preserve">the minimum base </w:t>
      </w:r>
      <w:r w:rsidRPr="00734EAA">
        <w:rPr>
          <w:rFonts w:eastAsiaTheme="minorHAnsi" w:cstheme="minorHAnsi"/>
          <w:szCs w:val="22"/>
        </w:rPr>
        <w:t>hourly rate accounted for 43%</w:t>
      </w:r>
      <w:r>
        <w:rPr>
          <w:rFonts w:eastAsiaTheme="minorHAnsi" w:cstheme="minorHAnsi"/>
          <w:szCs w:val="22"/>
        </w:rPr>
        <w:t xml:space="preserve"> of the total errors, with</w:t>
      </w:r>
      <w:r w:rsidRPr="00734EAA">
        <w:rPr>
          <w:rFonts w:eastAsiaTheme="minorHAnsi" w:cstheme="minorHAnsi"/>
          <w:szCs w:val="22"/>
        </w:rPr>
        <w:t xml:space="preserve"> </w:t>
      </w:r>
      <w:r>
        <w:rPr>
          <w:rFonts w:eastAsiaTheme="minorHAnsi" w:cstheme="minorHAnsi"/>
          <w:szCs w:val="22"/>
        </w:rPr>
        <w:t xml:space="preserve">a further </w:t>
      </w:r>
      <w:r w:rsidRPr="00734EAA">
        <w:rPr>
          <w:rFonts w:eastAsiaTheme="minorHAnsi" w:cstheme="minorHAnsi"/>
          <w:szCs w:val="22"/>
        </w:rPr>
        <w:t xml:space="preserve">36% </w:t>
      </w:r>
      <w:r>
        <w:rPr>
          <w:rFonts w:eastAsiaTheme="minorHAnsi" w:cstheme="minorHAnsi"/>
          <w:szCs w:val="22"/>
        </w:rPr>
        <w:t>of errors relating to</w:t>
      </w:r>
      <w:r w:rsidRPr="00734EAA">
        <w:rPr>
          <w:rFonts w:eastAsiaTheme="minorHAnsi" w:cstheme="minorHAnsi"/>
          <w:szCs w:val="22"/>
        </w:rPr>
        <w:t xml:space="preserve"> payslips </w:t>
      </w:r>
      <w:r>
        <w:rPr>
          <w:rFonts w:eastAsiaTheme="minorHAnsi" w:cstheme="minorHAnsi"/>
          <w:szCs w:val="22"/>
        </w:rPr>
        <w:t xml:space="preserve">not including </w:t>
      </w:r>
      <w:r w:rsidRPr="00734EAA">
        <w:rPr>
          <w:rFonts w:eastAsiaTheme="minorHAnsi" w:cstheme="minorHAnsi"/>
          <w:szCs w:val="22"/>
        </w:rPr>
        <w:t xml:space="preserve">the correct information. </w:t>
      </w:r>
    </w:p>
    <w:p w:rsidR="0099250A" w:rsidRPr="00734EAA" w:rsidRDefault="0099250A" w:rsidP="00F55525">
      <w:pPr>
        <w:spacing w:after="113" w:line="320" w:lineRule="exact"/>
        <w:jc w:val="left"/>
        <w:rPr>
          <w:rFonts w:eastAsiaTheme="minorHAnsi" w:cstheme="minorHAnsi"/>
          <w:szCs w:val="22"/>
        </w:rPr>
      </w:pPr>
      <w:r>
        <w:rPr>
          <w:rFonts w:eastAsiaTheme="minorHAnsi" w:cstheme="minorHAnsi"/>
          <w:szCs w:val="22"/>
        </w:rPr>
        <w:t>In total,</w:t>
      </w:r>
      <w:r w:rsidRPr="00734EAA">
        <w:rPr>
          <w:rFonts w:eastAsiaTheme="minorHAnsi" w:cstheme="minorHAnsi"/>
          <w:szCs w:val="22"/>
        </w:rPr>
        <w:t xml:space="preserve"> $9,536 </w:t>
      </w:r>
      <w:r>
        <w:rPr>
          <w:rFonts w:eastAsiaTheme="minorHAnsi" w:cstheme="minorHAnsi"/>
          <w:szCs w:val="22"/>
        </w:rPr>
        <w:t xml:space="preserve">was recovered </w:t>
      </w:r>
      <w:r w:rsidRPr="00734EAA">
        <w:rPr>
          <w:rFonts w:eastAsiaTheme="minorHAnsi" w:cstheme="minorHAnsi"/>
          <w:szCs w:val="22"/>
        </w:rPr>
        <w:t>fr</w:t>
      </w:r>
      <w:r>
        <w:rPr>
          <w:rFonts w:eastAsiaTheme="minorHAnsi" w:cstheme="minorHAnsi"/>
          <w:szCs w:val="22"/>
        </w:rPr>
        <w:t>om 6 businesses on behalf of 13 </w:t>
      </w:r>
      <w:r w:rsidRPr="00734EAA">
        <w:rPr>
          <w:rFonts w:eastAsiaTheme="minorHAnsi" w:cstheme="minorHAnsi"/>
          <w:szCs w:val="22"/>
        </w:rPr>
        <w:t>employees.</w:t>
      </w:r>
    </w:p>
    <w:p w:rsidR="0099250A" w:rsidRDefault="0099250A" w:rsidP="00F55525">
      <w:pPr>
        <w:spacing w:after="113" w:line="320" w:lineRule="exact"/>
        <w:jc w:val="left"/>
        <w:rPr>
          <w:rFonts w:eastAsiaTheme="minorHAnsi" w:cstheme="minorHAnsi"/>
          <w:szCs w:val="22"/>
        </w:rPr>
      </w:pPr>
      <w:r>
        <w:rPr>
          <w:rFonts w:eastAsiaTheme="minorHAnsi" w:cstheme="minorHAnsi"/>
          <w:szCs w:val="22"/>
        </w:rPr>
        <w:t xml:space="preserve">The </w:t>
      </w:r>
      <w:r w:rsidRPr="00734EAA">
        <w:rPr>
          <w:rFonts w:eastAsiaTheme="minorHAnsi" w:cstheme="minorHAnsi"/>
          <w:szCs w:val="22"/>
        </w:rPr>
        <w:t xml:space="preserve">high compliance rates </w:t>
      </w:r>
      <w:r>
        <w:rPr>
          <w:rFonts w:eastAsiaTheme="minorHAnsi" w:cstheme="minorHAnsi"/>
          <w:szCs w:val="22"/>
        </w:rPr>
        <w:t xml:space="preserve">in QLD was the </w:t>
      </w:r>
      <w:r w:rsidRPr="00734EAA">
        <w:rPr>
          <w:rFonts w:eastAsiaTheme="minorHAnsi" w:cstheme="minorHAnsi"/>
          <w:szCs w:val="22"/>
        </w:rPr>
        <w:t xml:space="preserve">result of employers having a </w:t>
      </w:r>
      <w:r>
        <w:rPr>
          <w:rFonts w:eastAsiaTheme="minorHAnsi" w:cstheme="minorHAnsi"/>
          <w:szCs w:val="22"/>
        </w:rPr>
        <w:t>sound</w:t>
      </w:r>
      <w:r w:rsidRPr="00734EAA">
        <w:rPr>
          <w:rFonts w:eastAsiaTheme="minorHAnsi" w:cstheme="minorHAnsi"/>
          <w:szCs w:val="22"/>
        </w:rPr>
        <w:t xml:space="preserve"> understanding of the</w:t>
      </w:r>
      <w:r>
        <w:rPr>
          <w:rFonts w:eastAsiaTheme="minorHAnsi" w:cstheme="minorHAnsi"/>
          <w:szCs w:val="22"/>
        </w:rPr>
        <w:t>ir obligations</w:t>
      </w:r>
      <w:r w:rsidRPr="00734EAA">
        <w:rPr>
          <w:rFonts w:eastAsiaTheme="minorHAnsi" w:cstheme="minorHAnsi"/>
          <w:szCs w:val="22"/>
        </w:rPr>
        <w:t xml:space="preserve"> </w:t>
      </w:r>
      <w:r>
        <w:rPr>
          <w:rFonts w:eastAsiaTheme="minorHAnsi" w:cstheme="minorHAnsi"/>
          <w:szCs w:val="22"/>
        </w:rPr>
        <w:t>and the fact</w:t>
      </w:r>
      <w:r w:rsidRPr="00734EAA">
        <w:rPr>
          <w:rFonts w:eastAsiaTheme="minorHAnsi" w:cstheme="minorHAnsi"/>
          <w:szCs w:val="22"/>
        </w:rPr>
        <w:t xml:space="preserve"> </w:t>
      </w:r>
      <w:r w:rsidR="003A786B">
        <w:rPr>
          <w:rFonts w:eastAsiaTheme="minorHAnsi" w:cstheme="minorHAnsi"/>
          <w:szCs w:val="22"/>
        </w:rPr>
        <w:t xml:space="preserve">that of the audits completed, </w:t>
      </w:r>
      <w:r>
        <w:rPr>
          <w:rFonts w:eastAsiaTheme="minorHAnsi" w:cstheme="minorHAnsi"/>
          <w:szCs w:val="22"/>
        </w:rPr>
        <w:t xml:space="preserve">few employees </w:t>
      </w:r>
      <w:r w:rsidR="003A786B">
        <w:rPr>
          <w:rFonts w:eastAsiaTheme="minorHAnsi" w:cstheme="minorHAnsi"/>
          <w:szCs w:val="22"/>
        </w:rPr>
        <w:t xml:space="preserve">were </w:t>
      </w:r>
      <w:r>
        <w:rPr>
          <w:rFonts w:eastAsiaTheme="minorHAnsi" w:cstheme="minorHAnsi"/>
          <w:szCs w:val="22"/>
        </w:rPr>
        <w:t>work</w:t>
      </w:r>
      <w:r w:rsidR="003A786B">
        <w:rPr>
          <w:rFonts w:eastAsiaTheme="minorHAnsi" w:cstheme="minorHAnsi"/>
          <w:szCs w:val="22"/>
        </w:rPr>
        <w:t>ing</w:t>
      </w:r>
      <w:r w:rsidRPr="00734EAA">
        <w:rPr>
          <w:rFonts w:eastAsiaTheme="minorHAnsi" w:cstheme="minorHAnsi"/>
          <w:szCs w:val="22"/>
        </w:rPr>
        <w:t xml:space="preserve"> hours </w:t>
      </w:r>
      <w:r>
        <w:rPr>
          <w:rFonts w:eastAsiaTheme="minorHAnsi" w:cstheme="minorHAnsi"/>
          <w:szCs w:val="22"/>
        </w:rPr>
        <w:t>attracting</w:t>
      </w:r>
      <w:r w:rsidRPr="00734EAA">
        <w:rPr>
          <w:rFonts w:eastAsiaTheme="minorHAnsi" w:cstheme="minorHAnsi"/>
          <w:szCs w:val="22"/>
        </w:rPr>
        <w:t xml:space="preserve"> penalty rates or loadings (</w:t>
      </w:r>
      <w:r>
        <w:rPr>
          <w:rFonts w:eastAsiaTheme="minorHAnsi" w:cstheme="minorHAnsi"/>
          <w:szCs w:val="22"/>
        </w:rPr>
        <w:t xml:space="preserve">these are </w:t>
      </w:r>
      <w:r w:rsidR="003A786B">
        <w:rPr>
          <w:rFonts w:eastAsiaTheme="minorHAnsi" w:cstheme="minorHAnsi"/>
          <w:szCs w:val="22"/>
        </w:rPr>
        <w:t xml:space="preserve">often </w:t>
      </w:r>
      <w:r w:rsidRPr="00734EAA">
        <w:rPr>
          <w:rFonts w:eastAsiaTheme="minorHAnsi" w:cstheme="minorHAnsi"/>
          <w:szCs w:val="22"/>
        </w:rPr>
        <w:t>amongst the most common errors identifie</w:t>
      </w:r>
      <w:r>
        <w:rPr>
          <w:rFonts w:eastAsiaTheme="minorHAnsi" w:cstheme="minorHAnsi"/>
          <w:szCs w:val="22"/>
        </w:rPr>
        <w:t xml:space="preserve">d by </w:t>
      </w:r>
      <w:r>
        <w:rPr>
          <w:rFonts w:eastAsiaTheme="minorHAnsi" w:cstheme="minorHAnsi"/>
          <w:szCs w:val="22"/>
        </w:rPr>
        <w:lastRenderedPageBreak/>
        <w:t>FWO</w:t>
      </w:r>
      <w:r w:rsidRPr="00734EAA">
        <w:rPr>
          <w:rFonts w:eastAsiaTheme="minorHAnsi" w:cstheme="minorHAnsi"/>
          <w:szCs w:val="22"/>
        </w:rPr>
        <w:t xml:space="preserve">).  In the few instances underpayments were identified, </w:t>
      </w:r>
      <w:r>
        <w:rPr>
          <w:rFonts w:eastAsiaTheme="minorHAnsi" w:cstheme="minorHAnsi"/>
          <w:szCs w:val="22"/>
        </w:rPr>
        <w:t>they were</w:t>
      </w:r>
      <w:r w:rsidRPr="00734EAA">
        <w:rPr>
          <w:rFonts w:eastAsiaTheme="minorHAnsi" w:cstheme="minorHAnsi"/>
          <w:szCs w:val="22"/>
        </w:rPr>
        <w:t xml:space="preserve"> often </w:t>
      </w:r>
      <w:r>
        <w:rPr>
          <w:rFonts w:eastAsiaTheme="minorHAnsi" w:cstheme="minorHAnsi"/>
          <w:szCs w:val="22"/>
        </w:rPr>
        <w:t>due to</w:t>
      </w:r>
      <w:r w:rsidRPr="00734EAA">
        <w:rPr>
          <w:rFonts w:eastAsiaTheme="minorHAnsi" w:cstheme="minorHAnsi"/>
          <w:szCs w:val="22"/>
        </w:rPr>
        <w:t xml:space="preserve"> incremental progressions not being updated in accordance with Clause 14.1 and 14.2 of the Award</w:t>
      </w:r>
      <w:r w:rsidRPr="00734EAA">
        <w:rPr>
          <w:rStyle w:val="FootnoteReference"/>
          <w:rFonts w:eastAsiaTheme="minorHAnsi"/>
          <w:szCs w:val="22"/>
        </w:rPr>
        <w:footnoteReference w:id="2"/>
      </w:r>
      <w:r w:rsidRPr="00734EAA">
        <w:rPr>
          <w:rFonts w:eastAsiaTheme="minorHAnsi" w:cstheme="minorHAnsi"/>
          <w:szCs w:val="22"/>
        </w:rPr>
        <w:t>. </w:t>
      </w:r>
    </w:p>
    <w:p w:rsidR="0099250A" w:rsidRDefault="0099250A" w:rsidP="00F55525">
      <w:pPr>
        <w:pStyle w:val="Heading2"/>
        <w:jc w:val="left"/>
        <w:rPr>
          <w:rFonts w:eastAsiaTheme="minorHAnsi" w:cstheme="minorHAnsi"/>
          <w:szCs w:val="22"/>
        </w:rPr>
      </w:pPr>
      <w:bookmarkStart w:id="15" w:name="_Toc418861805"/>
      <w:r>
        <w:t>NSW/ACT</w:t>
      </w:r>
      <w:bookmarkEnd w:id="15"/>
    </w:p>
    <w:p w:rsidR="0099250A" w:rsidRDefault="0099250A" w:rsidP="00F55525">
      <w:pPr>
        <w:spacing w:after="113" w:line="320" w:lineRule="exact"/>
        <w:jc w:val="left"/>
        <w:rPr>
          <w:rFonts w:eastAsiaTheme="minorHAnsi" w:cstheme="minorHAnsi"/>
          <w:szCs w:val="22"/>
        </w:rPr>
      </w:pPr>
      <w:r>
        <w:rPr>
          <w:rFonts w:eastAsiaTheme="minorHAnsi" w:cstheme="minorHAnsi"/>
          <w:szCs w:val="22"/>
        </w:rPr>
        <w:t xml:space="preserve">Of the 103 businesses assessed in </w:t>
      </w:r>
      <w:r w:rsidRPr="00563552">
        <w:rPr>
          <w:rFonts w:eastAsiaTheme="minorHAnsi" w:cstheme="minorHAnsi"/>
          <w:b/>
          <w:szCs w:val="22"/>
        </w:rPr>
        <w:t>New South Wales</w:t>
      </w:r>
      <w:r>
        <w:rPr>
          <w:rFonts w:eastAsiaTheme="minorHAnsi" w:cstheme="minorHAnsi"/>
          <w:szCs w:val="22"/>
        </w:rPr>
        <w:t xml:space="preserve"> (NSW):</w:t>
      </w:r>
    </w:p>
    <w:p w:rsidR="0099250A" w:rsidRDefault="0099250A" w:rsidP="00F55525">
      <w:pPr>
        <w:numPr>
          <w:ilvl w:val="0"/>
          <w:numId w:val="1"/>
        </w:numPr>
        <w:spacing w:after="28" w:line="320" w:lineRule="exact"/>
        <w:jc w:val="left"/>
        <w:rPr>
          <w:rFonts w:eastAsiaTheme="minorHAnsi" w:cstheme="minorHAnsi"/>
          <w:szCs w:val="22"/>
        </w:rPr>
      </w:pPr>
      <w:r>
        <w:rPr>
          <w:rFonts w:eastAsiaTheme="minorHAnsi" w:cstheme="minorHAnsi"/>
          <w:szCs w:val="22"/>
        </w:rPr>
        <w:t>61 (59%) of employers were compliant with all requirements;</w:t>
      </w:r>
    </w:p>
    <w:p w:rsidR="0099250A" w:rsidRDefault="0099250A" w:rsidP="00F55525">
      <w:pPr>
        <w:numPr>
          <w:ilvl w:val="0"/>
          <w:numId w:val="1"/>
        </w:numPr>
        <w:spacing w:after="28" w:line="320" w:lineRule="exact"/>
        <w:jc w:val="left"/>
        <w:rPr>
          <w:rFonts w:eastAsiaTheme="minorHAnsi" w:cstheme="minorHAnsi"/>
          <w:szCs w:val="22"/>
        </w:rPr>
      </w:pPr>
      <w:r>
        <w:rPr>
          <w:rFonts w:eastAsiaTheme="minorHAnsi" w:cstheme="minorHAnsi"/>
          <w:szCs w:val="22"/>
        </w:rPr>
        <w:t>42 (41%) had at least one error, of which;</w:t>
      </w:r>
    </w:p>
    <w:p w:rsidR="0099250A" w:rsidRDefault="0099250A" w:rsidP="00F55525">
      <w:pPr>
        <w:numPr>
          <w:ilvl w:val="1"/>
          <w:numId w:val="1"/>
        </w:numPr>
        <w:spacing w:after="28" w:line="320" w:lineRule="exact"/>
        <w:jc w:val="left"/>
        <w:rPr>
          <w:rFonts w:eastAsiaTheme="minorHAnsi" w:cstheme="minorHAnsi"/>
          <w:szCs w:val="22"/>
        </w:rPr>
      </w:pPr>
      <w:r>
        <w:rPr>
          <w:rFonts w:eastAsiaTheme="minorHAnsi" w:cstheme="minorHAnsi"/>
          <w:szCs w:val="22"/>
        </w:rPr>
        <w:t>35 (34%) had errors relating to pay rates;</w:t>
      </w:r>
    </w:p>
    <w:p w:rsidR="0099250A" w:rsidRDefault="0099250A" w:rsidP="00F55525">
      <w:pPr>
        <w:numPr>
          <w:ilvl w:val="1"/>
          <w:numId w:val="1"/>
        </w:numPr>
        <w:spacing w:after="28" w:line="320" w:lineRule="exact"/>
        <w:jc w:val="left"/>
        <w:rPr>
          <w:rFonts w:eastAsiaTheme="minorHAnsi" w:cstheme="minorHAnsi"/>
          <w:szCs w:val="22"/>
        </w:rPr>
      </w:pPr>
      <w:r>
        <w:rPr>
          <w:rFonts w:eastAsiaTheme="minorHAnsi" w:cstheme="minorHAnsi"/>
          <w:szCs w:val="22"/>
        </w:rPr>
        <w:t>3 (3%) had errors relating to payslips; and</w:t>
      </w:r>
    </w:p>
    <w:p w:rsidR="0099250A" w:rsidRDefault="0099250A" w:rsidP="00F55525">
      <w:pPr>
        <w:numPr>
          <w:ilvl w:val="1"/>
          <w:numId w:val="1"/>
        </w:numPr>
        <w:spacing w:after="28" w:line="320" w:lineRule="exact"/>
        <w:jc w:val="left"/>
        <w:rPr>
          <w:rFonts w:eastAsiaTheme="minorHAnsi" w:cstheme="minorHAnsi"/>
          <w:szCs w:val="22"/>
        </w:rPr>
      </w:pPr>
      <w:r>
        <w:rPr>
          <w:rFonts w:eastAsiaTheme="minorHAnsi" w:cstheme="minorHAnsi"/>
          <w:szCs w:val="22"/>
        </w:rPr>
        <w:t>4 (4%) had errors relating to pay rates and payslips.</w:t>
      </w:r>
    </w:p>
    <w:p w:rsidR="0099250A" w:rsidRDefault="0099250A" w:rsidP="00F55525">
      <w:pPr>
        <w:spacing w:after="28" w:line="320" w:lineRule="exact"/>
        <w:jc w:val="left"/>
        <w:rPr>
          <w:rFonts w:eastAsiaTheme="minorHAnsi" w:cstheme="minorHAnsi"/>
          <w:szCs w:val="22"/>
        </w:rPr>
      </w:pPr>
      <w:r>
        <w:rPr>
          <w:rFonts w:eastAsiaTheme="minorHAnsi" w:cstheme="minorHAnsi"/>
          <w:szCs w:val="22"/>
        </w:rPr>
        <w:t>This means that of the 103 businesses assessed:</w:t>
      </w:r>
    </w:p>
    <w:p w:rsidR="0099250A" w:rsidRDefault="0099250A" w:rsidP="00F55525">
      <w:pPr>
        <w:numPr>
          <w:ilvl w:val="0"/>
          <w:numId w:val="1"/>
        </w:numPr>
        <w:spacing w:after="28" w:line="320" w:lineRule="exact"/>
        <w:jc w:val="left"/>
        <w:rPr>
          <w:rFonts w:eastAsiaTheme="minorHAnsi" w:cstheme="minorHAnsi"/>
          <w:szCs w:val="22"/>
        </w:rPr>
      </w:pPr>
      <w:r>
        <w:rPr>
          <w:rFonts w:eastAsiaTheme="minorHAnsi" w:cstheme="minorHAnsi"/>
          <w:szCs w:val="22"/>
        </w:rPr>
        <w:t>64 (62%) of employers were paying their employees correctly; and</w:t>
      </w:r>
    </w:p>
    <w:p w:rsidR="0099250A" w:rsidRPr="009F75E9" w:rsidRDefault="0099250A" w:rsidP="00F55525">
      <w:pPr>
        <w:numPr>
          <w:ilvl w:val="0"/>
          <w:numId w:val="1"/>
        </w:numPr>
        <w:spacing w:line="320" w:lineRule="exact"/>
        <w:ind w:left="357" w:hanging="357"/>
        <w:jc w:val="left"/>
        <w:rPr>
          <w:rFonts w:eastAsiaTheme="minorHAnsi" w:cstheme="minorHAnsi"/>
          <w:szCs w:val="22"/>
        </w:rPr>
      </w:pPr>
      <w:r>
        <w:rPr>
          <w:rFonts w:eastAsiaTheme="minorHAnsi" w:cstheme="minorHAnsi"/>
          <w:szCs w:val="22"/>
        </w:rPr>
        <w:t>96 (93%) of employers were compliant with record-keeping and pay slip requirements.</w:t>
      </w:r>
    </w:p>
    <w:p w:rsidR="0099250A" w:rsidRDefault="0099250A" w:rsidP="00F55525">
      <w:pPr>
        <w:spacing w:after="113" w:line="320" w:lineRule="exact"/>
        <w:jc w:val="left"/>
        <w:rPr>
          <w:rFonts w:eastAsiaTheme="minorHAnsi" w:cstheme="minorHAnsi"/>
          <w:szCs w:val="22"/>
        </w:rPr>
      </w:pPr>
      <w:r>
        <w:rPr>
          <w:rFonts w:eastAsiaTheme="minorHAnsi" w:cstheme="minorHAnsi"/>
          <w:szCs w:val="22"/>
        </w:rPr>
        <w:t>Of t</w:t>
      </w:r>
      <w:r w:rsidRPr="009A7038">
        <w:rPr>
          <w:rFonts w:eastAsiaTheme="minorHAnsi" w:cstheme="minorHAnsi"/>
          <w:szCs w:val="22"/>
        </w:rPr>
        <w:t>he 42 businesses found with errors, 52 individual errors</w:t>
      </w:r>
      <w:r>
        <w:rPr>
          <w:rFonts w:eastAsiaTheme="minorHAnsi" w:cstheme="minorHAnsi"/>
          <w:szCs w:val="22"/>
        </w:rPr>
        <w:t xml:space="preserve"> were identified</w:t>
      </w:r>
      <w:r w:rsidRPr="009A7038">
        <w:rPr>
          <w:rFonts w:eastAsiaTheme="minorHAnsi" w:cstheme="minorHAnsi"/>
          <w:szCs w:val="22"/>
        </w:rPr>
        <w:t>, with underpayment of</w:t>
      </w:r>
      <w:r>
        <w:rPr>
          <w:rFonts w:eastAsiaTheme="minorHAnsi" w:cstheme="minorHAnsi"/>
          <w:szCs w:val="22"/>
        </w:rPr>
        <w:t xml:space="preserve"> the minimum base</w:t>
      </w:r>
      <w:r w:rsidRPr="009A7038">
        <w:rPr>
          <w:rFonts w:eastAsiaTheme="minorHAnsi" w:cstheme="minorHAnsi"/>
          <w:szCs w:val="22"/>
        </w:rPr>
        <w:t xml:space="preserve"> hourly rate accounting for 73% of errors. </w:t>
      </w:r>
    </w:p>
    <w:p w:rsidR="0099250A" w:rsidRPr="009A7038" w:rsidRDefault="0099250A" w:rsidP="00F55525">
      <w:pPr>
        <w:spacing w:after="113" w:line="320" w:lineRule="exact"/>
        <w:jc w:val="left"/>
        <w:rPr>
          <w:rFonts w:eastAsiaTheme="minorHAnsi" w:cstheme="minorHAnsi"/>
          <w:szCs w:val="22"/>
        </w:rPr>
      </w:pPr>
      <w:r w:rsidRPr="009A7038">
        <w:rPr>
          <w:rFonts w:eastAsiaTheme="minorHAnsi" w:cstheme="minorHAnsi"/>
          <w:szCs w:val="22"/>
        </w:rPr>
        <w:t xml:space="preserve">In total, $170,117 </w:t>
      </w:r>
      <w:r>
        <w:rPr>
          <w:rFonts w:eastAsiaTheme="minorHAnsi" w:cstheme="minorHAnsi"/>
          <w:szCs w:val="22"/>
        </w:rPr>
        <w:t xml:space="preserve">was recovered </w:t>
      </w:r>
      <w:r w:rsidRPr="009A7038">
        <w:rPr>
          <w:rFonts w:eastAsiaTheme="minorHAnsi" w:cstheme="minorHAnsi"/>
          <w:szCs w:val="22"/>
        </w:rPr>
        <w:t xml:space="preserve">from 38 businesses on behalf of 164 employees. </w:t>
      </w:r>
      <w:r>
        <w:rPr>
          <w:rFonts w:eastAsiaTheme="minorHAnsi" w:cstheme="minorHAnsi"/>
          <w:szCs w:val="22"/>
        </w:rPr>
        <w:t>One</w:t>
      </w:r>
      <w:r w:rsidRPr="009A7038">
        <w:rPr>
          <w:rFonts w:eastAsiaTheme="minorHAnsi" w:cstheme="minorHAnsi"/>
          <w:szCs w:val="22"/>
        </w:rPr>
        <w:t xml:space="preserve"> letter of caution</w:t>
      </w:r>
      <w:r>
        <w:rPr>
          <w:rFonts w:eastAsiaTheme="minorHAnsi" w:cstheme="minorHAnsi"/>
          <w:szCs w:val="22"/>
        </w:rPr>
        <w:t xml:space="preserve"> was</w:t>
      </w:r>
      <w:r w:rsidRPr="009A7038">
        <w:rPr>
          <w:rFonts w:eastAsiaTheme="minorHAnsi" w:cstheme="minorHAnsi"/>
          <w:szCs w:val="22"/>
        </w:rPr>
        <w:t xml:space="preserve"> issued.</w:t>
      </w:r>
    </w:p>
    <w:p w:rsidR="003A786B" w:rsidRPr="007C7582" w:rsidRDefault="003A786B" w:rsidP="00F55525">
      <w:pPr>
        <w:spacing w:after="113" w:line="320" w:lineRule="exact"/>
        <w:jc w:val="left"/>
        <w:rPr>
          <w:rFonts w:ascii="Myriad Pro Light" w:eastAsiaTheme="minorHAnsi" w:hAnsi="Myriad Pro Light"/>
          <w:szCs w:val="22"/>
        </w:rPr>
      </w:pPr>
      <w:r w:rsidRPr="007C7582">
        <w:rPr>
          <w:rFonts w:ascii="Myriad Pro Light" w:eastAsiaTheme="minorHAnsi" w:hAnsi="Myriad Pro Light"/>
          <w:szCs w:val="22"/>
        </w:rPr>
        <w:t xml:space="preserve">In NSW, a lower compliance </w:t>
      </w:r>
      <w:r>
        <w:rPr>
          <w:rFonts w:ascii="Myriad Pro Light" w:eastAsiaTheme="minorHAnsi" w:hAnsi="Myriad Pro Light"/>
          <w:szCs w:val="22"/>
        </w:rPr>
        <w:t xml:space="preserve">rate was found </w:t>
      </w:r>
      <w:r w:rsidRPr="007C7582">
        <w:rPr>
          <w:rFonts w:ascii="Myriad Pro Light" w:eastAsiaTheme="minorHAnsi" w:hAnsi="Myriad Pro Light"/>
          <w:szCs w:val="22"/>
        </w:rPr>
        <w:t xml:space="preserve">when compared to </w:t>
      </w:r>
      <w:r>
        <w:rPr>
          <w:rFonts w:ascii="Myriad Pro Light" w:eastAsiaTheme="minorHAnsi" w:hAnsi="Myriad Pro Light"/>
          <w:szCs w:val="22"/>
        </w:rPr>
        <w:t>some other states,</w:t>
      </w:r>
      <w:r w:rsidRPr="007C7582">
        <w:rPr>
          <w:rFonts w:ascii="Myriad Pro Light" w:eastAsiaTheme="minorHAnsi" w:hAnsi="Myriad Pro Light"/>
          <w:szCs w:val="22"/>
        </w:rPr>
        <w:t xml:space="preserve"> with the most common</w:t>
      </w:r>
      <w:r>
        <w:rPr>
          <w:rFonts w:ascii="Myriad Pro Light" w:eastAsiaTheme="minorHAnsi" w:hAnsi="Myriad Pro Light"/>
          <w:szCs w:val="22"/>
        </w:rPr>
        <w:t>ly</w:t>
      </w:r>
      <w:r w:rsidRPr="007C7582">
        <w:rPr>
          <w:rFonts w:ascii="Myriad Pro Light" w:eastAsiaTheme="minorHAnsi" w:hAnsi="Myriad Pro Light"/>
          <w:szCs w:val="22"/>
        </w:rPr>
        <w:t xml:space="preserve"> identified</w:t>
      </w:r>
      <w:r>
        <w:rPr>
          <w:rFonts w:ascii="Myriad Pro Light" w:eastAsiaTheme="minorHAnsi" w:hAnsi="Myriad Pro Light"/>
          <w:szCs w:val="22"/>
        </w:rPr>
        <w:t xml:space="preserve"> errors being the </w:t>
      </w:r>
      <w:r w:rsidRPr="007C7582">
        <w:rPr>
          <w:rFonts w:ascii="Myriad Pro Light" w:eastAsiaTheme="minorHAnsi" w:hAnsi="Myriad Pro Light"/>
          <w:szCs w:val="22"/>
        </w:rPr>
        <w:t>underpayment of the base hourly rate or payslip errors</w:t>
      </w:r>
      <w:r>
        <w:rPr>
          <w:rFonts w:ascii="Myriad Pro Light" w:eastAsiaTheme="minorHAnsi" w:hAnsi="Myriad Pro Light"/>
          <w:szCs w:val="22"/>
        </w:rPr>
        <w:t xml:space="preserve"> (</w:t>
      </w:r>
      <w:r w:rsidRPr="007C7582">
        <w:rPr>
          <w:rFonts w:ascii="Myriad Pro Light" w:eastAsiaTheme="minorHAnsi" w:hAnsi="Myriad Pro Light"/>
          <w:szCs w:val="22"/>
        </w:rPr>
        <w:t>fail</w:t>
      </w:r>
      <w:r>
        <w:rPr>
          <w:rFonts w:ascii="Myriad Pro Light" w:eastAsiaTheme="minorHAnsi" w:hAnsi="Myriad Pro Light"/>
          <w:szCs w:val="22"/>
        </w:rPr>
        <w:t>ure</w:t>
      </w:r>
      <w:r w:rsidRPr="007C7582">
        <w:rPr>
          <w:rFonts w:ascii="Myriad Pro Light" w:eastAsiaTheme="minorHAnsi" w:hAnsi="Myriad Pro Light"/>
          <w:szCs w:val="22"/>
        </w:rPr>
        <w:t xml:space="preserve"> to include the ABN, the superannuation payment amount or superannuation fund name</w:t>
      </w:r>
      <w:r>
        <w:rPr>
          <w:rFonts w:ascii="Myriad Pro Light" w:eastAsiaTheme="minorHAnsi" w:hAnsi="Myriad Pro Light"/>
          <w:szCs w:val="22"/>
        </w:rPr>
        <w:t>)</w:t>
      </w:r>
      <w:r w:rsidRPr="007C7582">
        <w:rPr>
          <w:rFonts w:ascii="Myriad Pro Light" w:eastAsiaTheme="minorHAnsi" w:hAnsi="Myriad Pro Light"/>
          <w:szCs w:val="22"/>
        </w:rPr>
        <w:t xml:space="preserve">. </w:t>
      </w:r>
    </w:p>
    <w:p w:rsidR="003A786B" w:rsidRDefault="003A786B" w:rsidP="00F55525">
      <w:pPr>
        <w:spacing w:after="113" w:line="320" w:lineRule="exact"/>
        <w:jc w:val="left"/>
        <w:rPr>
          <w:rFonts w:ascii="Myriad Pro Light" w:eastAsiaTheme="minorHAnsi" w:hAnsi="Myriad Pro Light"/>
          <w:szCs w:val="22"/>
        </w:rPr>
      </w:pPr>
      <w:r w:rsidRPr="007C7582">
        <w:rPr>
          <w:rFonts w:ascii="Myriad Pro Light" w:eastAsiaTheme="minorHAnsi" w:hAnsi="Myriad Pro Light"/>
          <w:szCs w:val="22"/>
        </w:rPr>
        <w:t>The main reason identified for the underpayment of hourly rates was due to confusion</w:t>
      </w:r>
      <w:r>
        <w:rPr>
          <w:rFonts w:ascii="Myriad Pro Light" w:eastAsiaTheme="minorHAnsi" w:hAnsi="Myriad Pro Light"/>
          <w:szCs w:val="22"/>
        </w:rPr>
        <w:t xml:space="preserve"> relating to the </w:t>
      </w:r>
      <w:r w:rsidRPr="007C7582">
        <w:rPr>
          <w:rFonts w:ascii="Myriad Pro Light" w:eastAsiaTheme="minorHAnsi" w:hAnsi="Myriad Pro Light"/>
          <w:szCs w:val="22"/>
        </w:rPr>
        <w:t xml:space="preserve">special phasing provisions  (unique to NSW, Western Australia and Tasmania which ceased as at 30 June 2014), meaning employers were obliged to pay higher base rates of pay than in other states for certain classifications of employees. </w:t>
      </w:r>
    </w:p>
    <w:p w:rsidR="0099250A" w:rsidRPr="00C11DAA" w:rsidRDefault="0099250A" w:rsidP="00F55525">
      <w:pPr>
        <w:spacing w:before="240" w:after="0" w:line="320" w:lineRule="exact"/>
        <w:jc w:val="left"/>
        <w:rPr>
          <w:rFonts w:ascii="Myriad Pro Light" w:eastAsiaTheme="minorHAnsi" w:hAnsi="Myriad Pro Light"/>
          <w:szCs w:val="22"/>
        </w:rPr>
      </w:pPr>
      <w:r w:rsidRPr="00C11DAA">
        <w:rPr>
          <w:rFonts w:ascii="Myriad Pro Light" w:eastAsiaTheme="minorHAnsi" w:hAnsi="Myriad Pro Light"/>
          <w:szCs w:val="22"/>
        </w:rPr>
        <w:t xml:space="preserve">Of the </w:t>
      </w:r>
      <w:r>
        <w:rPr>
          <w:rFonts w:ascii="Myriad Pro Light" w:eastAsiaTheme="minorHAnsi" w:hAnsi="Myriad Pro Light"/>
          <w:szCs w:val="22"/>
        </w:rPr>
        <w:t>10</w:t>
      </w:r>
      <w:r w:rsidRPr="00C11DAA">
        <w:rPr>
          <w:rFonts w:ascii="Myriad Pro Light" w:eastAsiaTheme="minorHAnsi" w:hAnsi="Myriad Pro Light"/>
          <w:szCs w:val="22"/>
        </w:rPr>
        <w:t xml:space="preserve"> businesses assessed in </w:t>
      </w:r>
      <w:r>
        <w:rPr>
          <w:rFonts w:ascii="Myriad Pro Light" w:eastAsiaTheme="minorHAnsi" w:hAnsi="Myriad Pro Light"/>
          <w:szCs w:val="22"/>
        </w:rPr>
        <w:t xml:space="preserve">the </w:t>
      </w:r>
      <w:r w:rsidRPr="00937794">
        <w:rPr>
          <w:rFonts w:ascii="Myriad Pro Light" w:eastAsiaTheme="minorHAnsi" w:hAnsi="Myriad Pro Light"/>
          <w:b/>
          <w:szCs w:val="22"/>
        </w:rPr>
        <w:t>Australian Capital Territory</w:t>
      </w:r>
      <w:r>
        <w:rPr>
          <w:rFonts w:ascii="Myriad Pro Light" w:eastAsiaTheme="minorHAnsi" w:hAnsi="Myriad Pro Light"/>
          <w:szCs w:val="22"/>
        </w:rPr>
        <w:t xml:space="preserve"> (</w:t>
      </w:r>
      <w:r w:rsidRPr="00C11DAA">
        <w:rPr>
          <w:rFonts w:ascii="Myriad Pro Light" w:eastAsiaTheme="minorHAnsi" w:hAnsi="Myriad Pro Light"/>
          <w:szCs w:val="22"/>
        </w:rPr>
        <w:t>ACT</w:t>
      </w:r>
      <w:r>
        <w:rPr>
          <w:rFonts w:ascii="Myriad Pro Light" w:eastAsiaTheme="minorHAnsi" w:hAnsi="Myriad Pro Light"/>
          <w:szCs w:val="22"/>
        </w:rPr>
        <w:t>)</w:t>
      </w:r>
      <w:r w:rsidRPr="00C11DAA">
        <w:rPr>
          <w:rFonts w:ascii="Myriad Pro Light" w:eastAsiaTheme="minorHAnsi" w:hAnsi="Myriad Pro Light"/>
          <w:szCs w:val="22"/>
        </w:rPr>
        <w:t>:</w:t>
      </w:r>
    </w:p>
    <w:p w:rsidR="0099250A" w:rsidRPr="00C11DAA" w:rsidRDefault="0099250A" w:rsidP="00F55525">
      <w:pPr>
        <w:numPr>
          <w:ilvl w:val="0"/>
          <w:numId w:val="1"/>
        </w:numPr>
        <w:spacing w:before="240" w:after="28" w:line="320" w:lineRule="exact"/>
        <w:jc w:val="left"/>
        <w:rPr>
          <w:rFonts w:ascii="Myriad Pro Light" w:eastAsiaTheme="minorHAnsi" w:hAnsi="Myriad Pro Light"/>
          <w:szCs w:val="22"/>
        </w:rPr>
      </w:pPr>
      <w:r>
        <w:rPr>
          <w:rFonts w:ascii="Myriad Pro Light" w:eastAsiaTheme="minorHAnsi" w:hAnsi="Myriad Pro Light"/>
          <w:szCs w:val="22"/>
        </w:rPr>
        <w:t>9 (90</w:t>
      </w:r>
      <w:r w:rsidRPr="00C11DAA">
        <w:rPr>
          <w:rFonts w:ascii="Myriad Pro Light" w:eastAsiaTheme="minorHAnsi" w:hAnsi="Myriad Pro Light"/>
          <w:szCs w:val="22"/>
        </w:rPr>
        <w:t xml:space="preserve">%) employers </w:t>
      </w:r>
      <w:r>
        <w:rPr>
          <w:rFonts w:ascii="Myriad Pro Light" w:eastAsiaTheme="minorHAnsi" w:hAnsi="Myriad Pro Light"/>
          <w:szCs w:val="22"/>
        </w:rPr>
        <w:t>were</w:t>
      </w:r>
      <w:r w:rsidRPr="00C11DAA">
        <w:rPr>
          <w:rFonts w:ascii="Myriad Pro Light" w:eastAsiaTheme="minorHAnsi" w:hAnsi="Myriad Pro Light"/>
          <w:szCs w:val="22"/>
        </w:rPr>
        <w:t xml:space="preserve"> compliant with all requirements</w:t>
      </w:r>
    </w:p>
    <w:p w:rsidR="0099250A" w:rsidRDefault="0099250A" w:rsidP="00F55525">
      <w:pPr>
        <w:numPr>
          <w:ilvl w:val="0"/>
          <w:numId w:val="1"/>
        </w:numPr>
        <w:spacing w:line="320" w:lineRule="exact"/>
        <w:ind w:left="357" w:hanging="357"/>
        <w:jc w:val="left"/>
        <w:rPr>
          <w:rFonts w:ascii="Myriad Pro Light" w:eastAsiaTheme="minorHAnsi" w:hAnsi="Myriad Pro Light"/>
          <w:szCs w:val="22"/>
        </w:rPr>
      </w:pPr>
      <w:r>
        <w:rPr>
          <w:rFonts w:ascii="Myriad Pro Light" w:eastAsiaTheme="minorHAnsi" w:hAnsi="Myriad Pro Light"/>
          <w:szCs w:val="22"/>
        </w:rPr>
        <w:t>1 (10%) employer</w:t>
      </w:r>
      <w:r w:rsidRPr="00C11DAA">
        <w:rPr>
          <w:rFonts w:ascii="Myriad Pro Light" w:eastAsiaTheme="minorHAnsi" w:hAnsi="Myriad Pro Light"/>
          <w:szCs w:val="22"/>
        </w:rPr>
        <w:t xml:space="preserve"> had </w:t>
      </w:r>
      <w:r>
        <w:rPr>
          <w:rFonts w:ascii="Myriad Pro Light" w:eastAsiaTheme="minorHAnsi" w:hAnsi="Myriad Pro Light"/>
          <w:szCs w:val="22"/>
        </w:rPr>
        <w:t xml:space="preserve">an error </w:t>
      </w:r>
      <w:r w:rsidRPr="00C218A7">
        <w:rPr>
          <w:rFonts w:ascii="Myriad Pro Light" w:eastAsiaTheme="minorHAnsi" w:hAnsi="Myriad Pro Light"/>
          <w:szCs w:val="22"/>
        </w:rPr>
        <w:t xml:space="preserve">relating to pay rates </w:t>
      </w:r>
    </w:p>
    <w:p w:rsidR="0099250A" w:rsidRDefault="0099250A" w:rsidP="00F55525">
      <w:pPr>
        <w:spacing w:after="0" w:line="320" w:lineRule="exact"/>
        <w:jc w:val="left"/>
        <w:rPr>
          <w:rFonts w:ascii="Myriad Pro Light" w:eastAsiaTheme="minorHAnsi" w:hAnsi="Myriad Pro Light"/>
          <w:szCs w:val="22"/>
        </w:rPr>
      </w:pPr>
      <w:r>
        <w:rPr>
          <w:rFonts w:ascii="Myriad Pro Light" w:eastAsiaTheme="minorHAnsi" w:hAnsi="Myriad Pro Light"/>
          <w:szCs w:val="22"/>
        </w:rPr>
        <w:t>This means that of the 10 businesses assessed:</w:t>
      </w:r>
    </w:p>
    <w:p w:rsidR="0099250A" w:rsidRDefault="0099250A" w:rsidP="00F55525">
      <w:pPr>
        <w:numPr>
          <w:ilvl w:val="0"/>
          <w:numId w:val="1"/>
        </w:numPr>
        <w:spacing w:after="28" w:line="320" w:lineRule="exact"/>
        <w:jc w:val="left"/>
        <w:rPr>
          <w:rFonts w:ascii="Myriad Pro Light" w:eastAsiaTheme="minorHAnsi" w:hAnsi="Myriad Pro Light"/>
          <w:szCs w:val="22"/>
        </w:rPr>
      </w:pPr>
      <w:r>
        <w:rPr>
          <w:rFonts w:ascii="Myriad Pro Light" w:eastAsiaTheme="minorHAnsi" w:hAnsi="Myriad Pro Light"/>
          <w:szCs w:val="22"/>
        </w:rPr>
        <w:t>9 (90%) of employers were paying their employees correctly; and</w:t>
      </w:r>
    </w:p>
    <w:p w:rsidR="0099250A" w:rsidRPr="009F75E9" w:rsidRDefault="0099250A" w:rsidP="00F55525">
      <w:pPr>
        <w:numPr>
          <w:ilvl w:val="0"/>
          <w:numId w:val="1"/>
        </w:numPr>
        <w:spacing w:line="320" w:lineRule="exact"/>
        <w:ind w:left="357" w:hanging="357"/>
        <w:jc w:val="left"/>
        <w:rPr>
          <w:rFonts w:ascii="Myriad Pro Light" w:eastAsiaTheme="minorHAnsi" w:hAnsi="Myriad Pro Light"/>
          <w:szCs w:val="22"/>
        </w:rPr>
      </w:pPr>
      <w:r>
        <w:rPr>
          <w:rFonts w:ascii="Myriad Pro Light" w:eastAsiaTheme="minorHAnsi" w:hAnsi="Myriad Pro Light"/>
          <w:szCs w:val="22"/>
        </w:rPr>
        <w:t>10 (100%) of employers were compliant with record-keeping and pay slip requirements.</w:t>
      </w:r>
    </w:p>
    <w:p w:rsidR="0099250A" w:rsidRPr="00BF6109" w:rsidRDefault="0099250A" w:rsidP="00F55525">
      <w:pPr>
        <w:spacing w:after="113" w:line="320" w:lineRule="exact"/>
        <w:jc w:val="left"/>
        <w:rPr>
          <w:rFonts w:ascii="Myriad Pro Light" w:hAnsi="Myriad Pro Light"/>
          <w:szCs w:val="22"/>
        </w:rPr>
      </w:pPr>
      <w:r w:rsidRPr="00BF6109">
        <w:rPr>
          <w:rFonts w:ascii="Myriad Pro Light" w:hAnsi="Myriad Pro Light"/>
          <w:szCs w:val="22"/>
        </w:rPr>
        <w:t xml:space="preserve">In total, $76 </w:t>
      </w:r>
      <w:r>
        <w:rPr>
          <w:rFonts w:ascii="Myriad Pro Light" w:hAnsi="Myriad Pro Light"/>
          <w:szCs w:val="22"/>
        </w:rPr>
        <w:t>was recovered for one employee from one</w:t>
      </w:r>
      <w:r w:rsidRPr="00BF6109">
        <w:rPr>
          <w:rFonts w:ascii="Myriad Pro Light" w:hAnsi="Myriad Pro Light"/>
          <w:szCs w:val="22"/>
        </w:rPr>
        <w:t xml:space="preserve"> business</w:t>
      </w:r>
      <w:r>
        <w:rPr>
          <w:rFonts w:ascii="Myriad Pro Light" w:hAnsi="Myriad Pro Light"/>
          <w:szCs w:val="22"/>
        </w:rPr>
        <w:t>.</w:t>
      </w:r>
    </w:p>
    <w:p w:rsidR="0099250A" w:rsidRPr="007C7582" w:rsidRDefault="0099250A" w:rsidP="0099250A">
      <w:pPr>
        <w:spacing w:after="113" w:line="320" w:lineRule="exact"/>
        <w:rPr>
          <w:rFonts w:ascii="Myriad Pro Light" w:eastAsiaTheme="minorHAnsi" w:hAnsi="Myriad Pro Light"/>
          <w:szCs w:val="22"/>
        </w:rPr>
      </w:pPr>
    </w:p>
    <w:p w:rsidR="0099250A" w:rsidRDefault="0099250A" w:rsidP="0099250A">
      <w:pPr>
        <w:pStyle w:val="Heading2"/>
      </w:pPr>
      <w:bookmarkStart w:id="16" w:name="_Toc418861806"/>
      <w:r w:rsidRPr="00205DBE">
        <w:t>Victoria</w:t>
      </w:r>
      <w:r>
        <w:t>/Tasmania</w:t>
      </w:r>
      <w:bookmarkEnd w:id="16"/>
      <w:r>
        <w:t xml:space="preserve"> </w:t>
      </w:r>
    </w:p>
    <w:p w:rsidR="0099250A" w:rsidRPr="00064E97" w:rsidRDefault="0099250A" w:rsidP="00F55525">
      <w:pPr>
        <w:spacing w:before="240" w:after="0" w:line="320" w:lineRule="exact"/>
        <w:jc w:val="left"/>
        <w:rPr>
          <w:rFonts w:ascii="Myriad Pro Light" w:eastAsiaTheme="minorHAnsi" w:hAnsi="Myriad Pro Light"/>
          <w:szCs w:val="22"/>
        </w:rPr>
      </w:pPr>
      <w:r w:rsidRPr="00064E97">
        <w:rPr>
          <w:rFonts w:ascii="Myriad Pro Light" w:eastAsiaTheme="minorHAnsi" w:hAnsi="Myriad Pro Light"/>
          <w:szCs w:val="22"/>
        </w:rPr>
        <w:t xml:space="preserve">Of the </w:t>
      </w:r>
      <w:r>
        <w:rPr>
          <w:rFonts w:ascii="Myriad Pro Light" w:eastAsiaTheme="minorHAnsi" w:hAnsi="Myriad Pro Light"/>
          <w:szCs w:val="22"/>
        </w:rPr>
        <w:t>62</w:t>
      </w:r>
      <w:r w:rsidRPr="00064E97">
        <w:rPr>
          <w:rFonts w:ascii="Myriad Pro Light" w:eastAsiaTheme="minorHAnsi" w:hAnsi="Myriad Pro Light"/>
          <w:szCs w:val="22"/>
        </w:rPr>
        <w:t xml:space="preserve"> businesses assessed in </w:t>
      </w:r>
      <w:r w:rsidRPr="007C7582">
        <w:rPr>
          <w:rFonts w:ascii="Myriad Pro Light" w:eastAsiaTheme="minorHAnsi" w:hAnsi="Myriad Pro Light"/>
          <w:b/>
          <w:szCs w:val="22"/>
        </w:rPr>
        <w:t>Victoria</w:t>
      </w:r>
      <w:r w:rsidRPr="00064E97">
        <w:rPr>
          <w:rFonts w:ascii="Myriad Pro Light" w:eastAsiaTheme="minorHAnsi" w:hAnsi="Myriad Pro Light"/>
          <w:szCs w:val="22"/>
        </w:rPr>
        <w:t>:</w:t>
      </w:r>
    </w:p>
    <w:p w:rsidR="0099250A" w:rsidRPr="00401622" w:rsidRDefault="0099250A" w:rsidP="00F55525">
      <w:pPr>
        <w:numPr>
          <w:ilvl w:val="0"/>
          <w:numId w:val="1"/>
        </w:numPr>
        <w:spacing w:before="240" w:after="28" w:line="320" w:lineRule="exact"/>
        <w:jc w:val="left"/>
        <w:rPr>
          <w:rFonts w:ascii="Myriad Pro Light" w:eastAsiaTheme="minorHAnsi" w:hAnsi="Myriad Pro Light"/>
          <w:szCs w:val="22"/>
        </w:rPr>
      </w:pPr>
      <w:r w:rsidRPr="00401622">
        <w:rPr>
          <w:rFonts w:ascii="Myriad Pro Light" w:eastAsiaTheme="minorHAnsi" w:hAnsi="Myriad Pro Light"/>
          <w:szCs w:val="22"/>
        </w:rPr>
        <w:t xml:space="preserve">48 (77%) employers </w:t>
      </w:r>
      <w:r>
        <w:rPr>
          <w:rFonts w:ascii="Myriad Pro Light" w:eastAsiaTheme="minorHAnsi" w:hAnsi="Myriad Pro Light"/>
          <w:szCs w:val="22"/>
        </w:rPr>
        <w:t>were</w:t>
      </w:r>
      <w:r w:rsidRPr="00401622">
        <w:rPr>
          <w:rFonts w:ascii="Myriad Pro Light" w:eastAsiaTheme="minorHAnsi" w:hAnsi="Myriad Pro Light"/>
          <w:szCs w:val="22"/>
        </w:rPr>
        <w:t xml:space="preserve"> compliant with all requirements</w:t>
      </w:r>
    </w:p>
    <w:p w:rsidR="0099250A" w:rsidRPr="00401622" w:rsidRDefault="0099250A" w:rsidP="00F55525">
      <w:pPr>
        <w:numPr>
          <w:ilvl w:val="0"/>
          <w:numId w:val="1"/>
        </w:numPr>
        <w:spacing w:after="28" w:line="320" w:lineRule="exact"/>
        <w:jc w:val="left"/>
        <w:rPr>
          <w:rFonts w:ascii="Myriad Pro Light" w:eastAsiaTheme="minorHAnsi" w:hAnsi="Myriad Pro Light"/>
          <w:szCs w:val="22"/>
        </w:rPr>
      </w:pPr>
      <w:r w:rsidRPr="00401622">
        <w:rPr>
          <w:rFonts w:ascii="Myriad Pro Light" w:eastAsiaTheme="minorHAnsi" w:hAnsi="Myriad Pro Light"/>
          <w:szCs w:val="22"/>
        </w:rPr>
        <w:t>14 (23%) employers had at least one error, of which:</w:t>
      </w:r>
    </w:p>
    <w:p w:rsidR="0099250A" w:rsidRPr="00064E97" w:rsidRDefault="0099250A" w:rsidP="00F55525">
      <w:pPr>
        <w:numPr>
          <w:ilvl w:val="1"/>
          <w:numId w:val="1"/>
        </w:numPr>
        <w:spacing w:after="28" w:line="320" w:lineRule="exact"/>
        <w:jc w:val="left"/>
        <w:rPr>
          <w:rFonts w:ascii="Myriad Pro Light" w:eastAsiaTheme="minorHAnsi" w:hAnsi="Myriad Pro Light"/>
          <w:szCs w:val="22"/>
        </w:rPr>
      </w:pPr>
      <w:r>
        <w:rPr>
          <w:rFonts w:ascii="Myriad Pro Light" w:eastAsiaTheme="minorHAnsi" w:hAnsi="Myriad Pro Light"/>
          <w:szCs w:val="22"/>
        </w:rPr>
        <w:t>9 (15</w:t>
      </w:r>
      <w:r w:rsidRPr="00064E97">
        <w:rPr>
          <w:rFonts w:ascii="Myriad Pro Light" w:eastAsiaTheme="minorHAnsi" w:hAnsi="Myriad Pro Light"/>
          <w:szCs w:val="22"/>
        </w:rPr>
        <w:t xml:space="preserve">%) had errors relating to pay rates </w:t>
      </w:r>
    </w:p>
    <w:p w:rsidR="0099250A" w:rsidRPr="00064E97" w:rsidRDefault="0099250A" w:rsidP="00F55525">
      <w:pPr>
        <w:numPr>
          <w:ilvl w:val="1"/>
          <w:numId w:val="1"/>
        </w:numPr>
        <w:spacing w:line="320" w:lineRule="exact"/>
        <w:ind w:left="1434" w:hanging="357"/>
        <w:jc w:val="left"/>
        <w:rPr>
          <w:rFonts w:ascii="Myriad Pro Light" w:eastAsiaTheme="minorHAnsi" w:hAnsi="Myriad Pro Light"/>
          <w:szCs w:val="22"/>
        </w:rPr>
      </w:pPr>
      <w:r>
        <w:rPr>
          <w:rFonts w:ascii="Myriad Pro Light" w:eastAsiaTheme="minorHAnsi" w:hAnsi="Myriad Pro Light"/>
          <w:szCs w:val="22"/>
        </w:rPr>
        <w:t>5 (8</w:t>
      </w:r>
      <w:r w:rsidRPr="00064E97">
        <w:rPr>
          <w:rFonts w:ascii="Myriad Pro Light" w:eastAsiaTheme="minorHAnsi" w:hAnsi="Myriad Pro Light"/>
          <w:szCs w:val="22"/>
        </w:rPr>
        <w:t xml:space="preserve">%) had errors relating to records and payslips </w:t>
      </w:r>
    </w:p>
    <w:p w:rsidR="0099250A" w:rsidRPr="00064E97" w:rsidRDefault="0099250A" w:rsidP="00F55525">
      <w:pPr>
        <w:spacing w:after="0" w:line="320" w:lineRule="exact"/>
        <w:jc w:val="left"/>
        <w:rPr>
          <w:rFonts w:ascii="Myriad Pro Light" w:eastAsiaTheme="minorHAnsi" w:hAnsi="Myriad Pro Light" w:cstheme="minorHAnsi"/>
          <w:szCs w:val="22"/>
        </w:rPr>
      </w:pPr>
      <w:r>
        <w:rPr>
          <w:rFonts w:ascii="Myriad Pro Light" w:eastAsiaTheme="minorHAnsi" w:hAnsi="Myriad Pro Light" w:cstheme="minorHAnsi"/>
          <w:szCs w:val="22"/>
        </w:rPr>
        <w:t>This means that of the 62</w:t>
      </w:r>
      <w:r w:rsidRPr="00064E97">
        <w:rPr>
          <w:rFonts w:ascii="Myriad Pro Light" w:eastAsiaTheme="minorHAnsi" w:hAnsi="Myriad Pro Light" w:cstheme="minorHAnsi"/>
          <w:szCs w:val="22"/>
        </w:rPr>
        <w:t xml:space="preserve"> businesses assessed:</w:t>
      </w:r>
    </w:p>
    <w:p w:rsidR="0099250A" w:rsidRPr="00401622" w:rsidRDefault="0099250A" w:rsidP="00F55525">
      <w:pPr>
        <w:numPr>
          <w:ilvl w:val="0"/>
          <w:numId w:val="1"/>
        </w:numPr>
        <w:spacing w:after="28" w:line="320" w:lineRule="exact"/>
        <w:jc w:val="left"/>
        <w:rPr>
          <w:rFonts w:ascii="Myriad Pro Light" w:eastAsiaTheme="minorHAnsi" w:hAnsi="Myriad Pro Light"/>
          <w:szCs w:val="22"/>
        </w:rPr>
      </w:pPr>
      <w:r w:rsidRPr="00401622">
        <w:rPr>
          <w:rFonts w:ascii="Myriad Pro Light" w:eastAsiaTheme="minorHAnsi" w:hAnsi="Myriad Pro Light"/>
          <w:szCs w:val="22"/>
        </w:rPr>
        <w:t xml:space="preserve">53 (85%) employers were paying their employees correctly  </w:t>
      </w:r>
    </w:p>
    <w:p w:rsidR="0099250A" w:rsidRPr="00401622" w:rsidRDefault="0099250A" w:rsidP="00F55525">
      <w:pPr>
        <w:numPr>
          <w:ilvl w:val="0"/>
          <w:numId w:val="1"/>
        </w:numPr>
        <w:spacing w:line="320" w:lineRule="exact"/>
        <w:ind w:left="357" w:hanging="357"/>
        <w:jc w:val="left"/>
        <w:rPr>
          <w:rFonts w:ascii="Myriad Pro Light" w:eastAsiaTheme="minorHAnsi" w:hAnsi="Myriad Pro Light"/>
          <w:szCs w:val="22"/>
        </w:rPr>
      </w:pPr>
      <w:r w:rsidRPr="00401622">
        <w:rPr>
          <w:rFonts w:ascii="Myriad Pro Light" w:eastAsiaTheme="minorHAnsi" w:hAnsi="Myriad Pro Light"/>
          <w:szCs w:val="22"/>
        </w:rPr>
        <w:t>72 (92%) employers were compliant with record-keeping and pay slip requirements.</w:t>
      </w:r>
    </w:p>
    <w:p w:rsidR="0099250A" w:rsidRPr="004A365F" w:rsidRDefault="0099250A" w:rsidP="00F55525">
      <w:pPr>
        <w:spacing w:after="113" w:line="320" w:lineRule="exact"/>
        <w:jc w:val="left"/>
        <w:rPr>
          <w:rFonts w:ascii="Myriad Pro Light" w:eastAsiaTheme="minorHAnsi" w:hAnsi="Myriad Pro Light"/>
          <w:szCs w:val="22"/>
        </w:rPr>
      </w:pPr>
      <w:r>
        <w:rPr>
          <w:rFonts w:ascii="Myriad Pro Light" w:eastAsiaTheme="minorHAnsi" w:hAnsi="Myriad Pro Light"/>
          <w:szCs w:val="22"/>
        </w:rPr>
        <w:t>Of t</w:t>
      </w:r>
      <w:r w:rsidRPr="00064E97">
        <w:rPr>
          <w:rFonts w:ascii="Myriad Pro Light" w:eastAsiaTheme="minorHAnsi" w:hAnsi="Myriad Pro Light"/>
          <w:szCs w:val="22"/>
        </w:rPr>
        <w:t xml:space="preserve">he </w:t>
      </w:r>
      <w:r>
        <w:rPr>
          <w:rFonts w:ascii="Myriad Pro Light" w:eastAsiaTheme="minorHAnsi" w:hAnsi="Myriad Pro Light"/>
          <w:szCs w:val="22"/>
        </w:rPr>
        <w:t>14</w:t>
      </w:r>
      <w:r w:rsidRPr="00064E97">
        <w:rPr>
          <w:rFonts w:ascii="Myriad Pro Light" w:eastAsiaTheme="minorHAnsi" w:hAnsi="Myriad Pro Light"/>
          <w:szCs w:val="22"/>
        </w:rPr>
        <w:t xml:space="preserve"> businesses </w:t>
      </w:r>
      <w:r>
        <w:rPr>
          <w:rFonts w:ascii="Myriad Pro Light" w:eastAsiaTheme="minorHAnsi" w:hAnsi="Myriad Pro Light"/>
          <w:szCs w:val="22"/>
        </w:rPr>
        <w:t xml:space="preserve">identified with errors, </w:t>
      </w:r>
      <w:r w:rsidRPr="00064E97">
        <w:rPr>
          <w:rFonts w:ascii="Myriad Pro Light" w:eastAsiaTheme="minorHAnsi" w:hAnsi="Myriad Pro Light"/>
          <w:szCs w:val="22"/>
        </w:rPr>
        <w:t xml:space="preserve">each had 1 individual </w:t>
      </w:r>
      <w:r>
        <w:rPr>
          <w:rFonts w:ascii="Myriad Pro Light" w:eastAsiaTheme="minorHAnsi" w:hAnsi="Myriad Pro Light"/>
          <w:szCs w:val="22"/>
        </w:rPr>
        <w:t>error, with u</w:t>
      </w:r>
      <w:r w:rsidRPr="00064E97">
        <w:rPr>
          <w:rFonts w:ascii="Myriad Pro Light" w:eastAsiaTheme="minorHAnsi" w:hAnsi="Myriad Pro Light"/>
          <w:szCs w:val="22"/>
        </w:rPr>
        <w:t>nderpayment</w:t>
      </w:r>
      <w:r>
        <w:rPr>
          <w:rFonts w:ascii="Myriad Pro Light" w:eastAsiaTheme="minorHAnsi" w:hAnsi="Myriad Pro Light"/>
          <w:szCs w:val="22"/>
        </w:rPr>
        <w:t xml:space="preserve"> of the base hourly rate accounting for 64</w:t>
      </w:r>
      <w:r w:rsidRPr="00064E97">
        <w:rPr>
          <w:rFonts w:ascii="Myriad Pro Light" w:eastAsiaTheme="minorHAnsi" w:hAnsi="Myriad Pro Light"/>
          <w:szCs w:val="22"/>
        </w:rPr>
        <w:t xml:space="preserve">% of </w:t>
      </w:r>
      <w:r>
        <w:rPr>
          <w:rFonts w:ascii="Myriad Pro Light" w:eastAsiaTheme="minorHAnsi" w:hAnsi="Myriad Pro Light"/>
          <w:szCs w:val="22"/>
        </w:rPr>
        <w:t>all errors</w:t>
      </w:r>
      <w:r w:rsidRPr="00064E97">
        <w:rPr>
          <w:rFonts w:ascii="Myriad Pro Light" w:eastAsiaTheme="minorHAnsi" w:hAnsi="Myriad Pro Light"/>
          <w:szCs w:val="22"/>
        </w:rPr>
        <w:t>.</w:t>
      </w:r>
      <w:r>
        <w:rPr>
          <w:rFonts w:ascii="Myriad Pro Light" w:eastAsiaTheme="minorHAnsi" w:hAnsi="Myriad Pro Light"/>
          <w:szCs w:val="22"/>
        </w:rPr>
        <w:t xml:space="preserve"> In total, </w:t>
      </w:r>
      <w:r>
        <w:rPr>
          <w:rFonts w:ascii="Myriad Pro Light" w:hAnsi="Myriad Pro Light"/>
          <w:szCs w:val="22"/>
        </w:rPr>
        <w:t>$46,575 was recovered from 9 businesses on behalf of 49</w:t>
      </w:r>
      <w:r w:rsidRPr="00064E97">
        <w:rPr>
          <w:rFonts w:ascii="Myriad Pro Light" w:hAnsi="Myriad Pro Light"/>
          <w:szCs w:val="22"/>
        </w:rPr>
        <w:t xml:space="preserve"> employees.</w:t>
      </w:r>
    </w:p>
    <w:p w:rsidR="0099250A" w:rsidRPr="00064E97" w:rsidRDefault="0099250A" w:rsidP="00F55525">
      <w:pPr>
        <w:spacing w:before="240" w:after="0" w:line="320" w:lineRule="exact"/>
        <w:jc w:val="left"/>
        <w:rPr>
          <w:rFonts w:ascii="Myriad Pro Light" w:eastAsiaTheme="minorHAnsi" w:hAnsi="Myriad Pro Light"/>
          <w:szCs w:val="22"/>
        </w:rPr>
      </w:pPr>
      <w:r w:rsidRPr="00064E97">
        <w:rPr>
          <w:rFonts w:ascii="Myriad Pro Light" w:eastAsiaTheme="minorHAnsi" w:hAnsi="Myriad Pro Light"/>
          <w:szCs w:val="22"/>
        </w:rPr>
        <w:t xml:space="preserve">Of the </w:t>
      </w:r>
      <w:r>
        <w:rPr>
          <w:rFonts w:ascii="Myriad Pro Light" w:eastAsiaTheme="minorHAnsi" w:hAnsi="Myriad Pro Light"/>
          <w:szCs w:val="22"/>
        </w:rPr>
        <w:t>16</w:t>
      </w:r>
      <w:r w:rsidRPr="00064E97">
        <w:rPr>
          <w:rFonts w:ascii="Myriad Pro Light" w:eastAsiaTheme="minorHAnsi" w:hAnsi="Myriad Pro Light"/>
          <w:szCs w:val="22"/>
        </w:rPr>
        <w:t xml:space="preserve"> businesses assessed in </w:t>
      </w:r>
      <w:r w:rsidRPr="007C7582">
        <w:rPr>
          <w:rFonts w:ascii="Myriad Pro Light" w:eastAsiaTheme="minorHAnsi" w:hAnsi="Myriad Pro Light"/>
          <w:b/>
          <w:szCs w:val="22"/>
        </w:rPr>
        <w:t>Tasmania</w:t>
      </w:r>
      <w:r w:rsidRPr="00064E97">
        <w:rPr>
          <w:rFonts w:ascii="Myriad Pro Light" w:eastAsiaTheme="minorHAnsi" w:hAnsi="Myriad Pro Light"/>
          <w:szCs w:val="22"/>
        </w:rPr>
        <w:t>:</w:t>
      </w:r>
    </w:p>
    <w:p w:rsidR="0099250A" w:rsidRPr="00064E97" w:rsidRDefault="0099250A" w:rsidP="00F55525">
      <w:pPr>
        <w:numPr>
          <w:ilvl w:val="0"/>
          <w:numId w:val="1"/>
        </w:numPr>
        <w:spacing w:before="240" w:after="28" w:line="320" w:lineRule="exact"/>
        <w:jc w:val="left"/>
        <w:rPr>
          <w:rFonts w:ascii="Myriad Pro Light" w:eastAsiaTheme="minorHAnsi" w:hAnsi="Myriad Pro Light"/>
          <w:szCs w:val="22"/>
        </w:rPr>
      </w:pPr>
      <w:r>
        <w:rPr>
          <w:rFonts w:ascii="Myriad Pro Light" w:eastAsiaTheme="minorHAnsi" w:hAnsi="Myriad Pro Light"/>
          <w:szCs w:val="22"/>
        </w:rPr>
        <w:t>11 (69</w:t>
      </w:r>
      <w:r w:rsidRPr="00064E97">
        <w:rPr>
          <w:rFonts w:ascii="Myriad Pro Light" w:eastAsiaTheme="minorHAnsi" w:hAnsi="Myriad Pro Light"/>
          <w:szCs w:val="22"/>
        </w:rPr>
        <w:t xml:space="preserve">%) employers </w:t>
      </w:r>
      <w:r>
        <w:rPr>
          <w:rFonts w:ascii="Myriad Pro Light" w:eastAsiaTheme="minorHAnsi" w:hAnsi="Myriad Pro Light"/>
          <w:szCs w:val="22"/>
        </w:rPr>
        <w:t>were</w:t>
      </w:r>
      <w:r w:rsidRPr="00064E97">
        <w:rPr>
          <w:rFonts w:ascii="Myriad Pro Light" w:eastAsiaTheme="minorHAnsi" w:hAnsi="Myriad Pro Light"/>
          <w:szCs w:val="22"/>
        </w:rPr>
        <w:t xml:space="preserve"> compliant with all requirements</w:t>
      </w:r>
    </w:p>
    <w:p w:rsidR="0099250A" w:rsidRPr="00064E97" w:rsidRDefault="0099250A" w:rsidP="00F55525">
      <w:pPr>
        <w:numPr>
          <w:ilvl w:val="0"/>
          <w:numId w:val="1"/>
        </w:numPr>
        <w:spacing w:after="28" w:line="320" w:lineRule="exact"/>
        <w:jc w:val="left"/>
        <w:rPr>
          <w:rFonts w:ascii="Myriad Pro Light" w:eastAsiaTheme="minorHAnsi" w:hAnsi="Myriad Pro Light"/>
          <w:szCs w:val="22"/>
        </w:rPr>
      </w:pPr>
      <w:r>
        <w:rPr>
          <w:rFonts w:ascii="Myriad Pro Light" w:eastAsiaTheme="minorHAnsi" w:hAnsi="Myriad Pro Light"/>
          <w:szCs w:val="22"/>
        </w:rPr>
        <w:t>5 (31</w:t>
      </w:r>
      <w:r w:rsidRPr="00064E97">
        <w:rPr>
          <w:rFonts w:ascii="Myriad Pro Light" w:eastAsiaTheme="minorHAnsi" w:hAnsi="Myriad Pro Light"/>
          <w:szCs w:val="22"/>
        </w:rPr>
        <w:t>%) employers had at least one error, of which:</w:t>
      </w:r>
    </w:p>
    <w:p w:rsidR="0099250A" w:rsidRPr="00064E97" w:rsidRDefault="0099250A" w:rsidP="00F55525">
      <w:pPr>
        <w:numPr>
          <w:ilvl w:val="1"/>
          <w:numId w:val="1"/>
        </w:numPr>
        <w:spacing w:after="28" w:line="320" w:lineRule="exact"/>
        <w:jc w:val="left"/>
        <w:rPr>
          <w:rFonts w:ascii="Myriad Pro Light" w:eastAsiaTheme="minorHAnsi" w:hAnsi="Myriad Pro Light"/>
          <w:szCs w:val="22"/>
        </w:rPr>
      </w:pPr>
      <w:r>
        <w:rPr>
          <w:rFonts w:ascii="Myriad Pro Light" w:eastAsiaTheme="minorHAnsi" w:hAnsi="Myriad Pro Light"/>
          <w:szCs w:val="22"/>
        </w:rPr>
        <w:t>4 (25</w:t>
      </w:r>
      <w:r w:rsidRPr="00064E97">
        <w:rPr>
          <w:rFonts w:ascii="Myriad Pro Light" w:eastAsiaTheme="minorHAnsi" w:hAnsi="Myriad Pro Light"/>
          <w:szCs w:val="22"/>
        </w:rPr>
        <w:t xml:space="preserve">%) had errors relating to pay rates </w:t>
      </w:r>
    </w:p>
    <w:p w:rsidR="0099250A" w:rsidRDefault="0099250A" w:rsidP="00F55525">
      <w:pPr>
        <w:numPr>
          <w:ilvl w:val="1"/>
          <w:numId w:val="1"/>
        </w:numPr>
        <w:spacing w:line="320" w:lineRule="exact"/>
        <w:ind w:left="1434" w:hanging="357"/>
        <w:jc w:val="left"/>
        <w:rPr>
          <w:rFonts w:ascii="Myriad Pro Light" w:eastAsiaTheme="minorHAnsi" w:hAnsi="Myriad Pro Light"/>
          <w:szCs w:val="22"/>
        </w:rPr>
      </w:pPr>
      <w:r>
        <w:rPr>
          <w:rFonts w:ascii="Myriad Pro Light" w:eastAsiaTheme="minorHAnsi" w:hAnsi="Myriad Pro Light"/>
          <w:szCs w:val="22"/>
        </w:rPr>
        <w:t>1 (6</w:t>
      </w:r>
      <w:r w:rsidRPr="00064E97">
        <w:rPr>
          <w:rFonts w:ascii="Myriad Pro Light" w:eastAsiaTheme="minorHAnsi" w:hAnsi="Myriad Pro Light"/>
          <w:szCs w:val="22"/>
        </w:rPr>
        <w:t>%) had errors relating to records and payslips</w:t>
      </w:r>
      <w:r>
        <w:rPr>
          <w:rFonts w:ascii="Myriad Pro Light" w:eastAsiaTheme="minorHAnsi" w:hAnsi="Myriad Pro Light"/>
          <w:szCs w:val="22"/>
        </w:rPr>
        <w:t>.</w:t>
      </w:r>
    </w:p>
    <w:p w:rsidR="0099250A" w:rsidRDefault="0099250A" w:rsidP="00F55525">
      <w:pPr>
        <w:spacing w:after="0" w:line="320" w:lineRule="exact"/>
        <w:jc w:val="left"/>
        <w:rPr>
          <w:rFonts w:ascii="Myriad Pro Light" w:eastAsiaTheme="minorHAnsi" w:hAnsi="Myriad Pro Light"/>
          <w:szCs w:val="22"/>
        </w:rPr>
      </w:pPr>
      <w:r>
        <w:rPr>
          <w:rFonts w:ascii="Myriad Pro Light" w:eastAsiaTheme="minorHAnsi" w:hAnsi="Myriad Pro Light"/>
          <w:szCs w:val="22"/>
        </w:rPr>
        <w:t>This means that of the 16 businesses assessed:</w:t>
      </w:r>
    </w:p>
    <w:p w:rsidR="0099250A" w:rsidRDefault="0099250A" w:rsidP="00F55525">
      <w:pPr>
        <w:numPr>
          <w:ilvl w:val="0"/>
          <w:numId w:val="1"/>
        </w:numPr>
        <w:spacing w:after="28" w:line="320" w:lineRule="exact"/>
        <w:jc w:val="left"/>
        <w:rPr>
          <w:rFonts w:ascii="Myriad Pro Light" w:eastAsiaTheme="minorHAnsi" w:hAnsi="Myriad Pro Light"/>
          <w:szCs w:val="22"/>
        </w:rPr>
      </w:pPr>
      <w:r>
        <w:rPr>
          <w:rFonts w:ascii="Myriad Pro Light" w:eastAsiaTheme="minorHAnsi" w:hAnsi="Myriad Pro Light"/>
          <w:szCs w:val="22"/>
        </w:rPr>
        <w:t>12 (75%) of employers were paying their employees correctly; and</w:t>
      </w:r>
    </w:p>
    <w:p w:rsidR="0099250A" w:rsidRPr="009F75E9" w:rsidRDefault="0099250A" w:rsidP="00F55525">
      <w:pPr>
        <w:numPr>
          <w:ilvl w:val="0"/>
          <w:numId w:val="1"/>
        </w:numPr>
        <w:spacing w:line="320" w:lineRule="exact"/>
        <w:ind w:left="357" w:hanging="357"/>
        <w:jc w:val="left"/>
        <w:rPr>
          <w:rFonts w:ascii="Myriad Pro Light" w:eastAsiaTheme="minorHAnsi" w:hAnsi="Myriad Pro Light"/>
          <w:szCs w:val="22"/>
        </w:rPr>
      </w:pPr>
      <w:r>
        <w:rPr>
          <w:rFonts w:ascii="Myriad Pro Light" w:eastAsiaTheme="minorHAnsi" w:hAnsi="Myriad Pro Light"/>
          <w:szCs w:val="22"/>
        </w:rPr>
        <w:t>15 (94%) were compliant with record-keeping and pay-slip requirements.</w:t>
      </w:r>
    </w:p>
    <w:p w:rsidR="0099250A" w:rsidRPr="00064E97" w:rsidRDefault="0099250A" w:rsidP="00F55525">
      <w:pPr>
        <w:spacing w:after="113" w:line="320" w:lineRule="exact"/>
        <w:jc w:val="left"/>
        <w:rPr>
          <w:rFonts w:ascii="Myriad Pro Light" w:eastAsiaTheme="minorHAnsi" w:hAnsi="Myriad Pro Light"/>
          <w:szCs w:val="22"/>
        </w:rPr>
      </w:pPr>
      <w:r w:rsidRPr="00064E97">
        <w:rPr>
          <w:rFonts w:ascii="Myriad Pro Light" w:eastAsiaTheme="minorHAnsi" w:hAnsi="Myriad Pro Light"/>
          <w:szCs w:val="22"/>
        </w:rPr>
        <w:t xml:space="preserve">The </w:t>
      </w:r>
      <w:r>
        <w:rPr>
          <w:rFonts w:ascii="Myriad Pro Light" w:eastAsiaTheme="minorHAnsi" w:hAnsi="Myriad Pro Light"/>
          <w:szCs w:val="22"/>
        </w:rPr>
        <w:t>5</w:t>
      </w:r>
      <w:r w:rsidRPr="00064E97">
        <w:rPr>
          <w:rFonts w:ascii="Myriad Pro Light" w:eastAsiaTheme="minorHAnsi" w:hAnsi="Myriad Pro Light"/>
          <w:szCs w:val="22"/>
        </w:rPr>
        <w:t xml:space="preserve"> businesses found </w:t>
      </w:r>
      <w:r>
        <w:rPr>
          <w:rFonts w:ascii="Myriad Pro Light" w:eastAsiaTheme="minorHAnsi" w:hAnsi="Myriad Pro Light"/>
          <w:szCs w:val="22"/>
        </w:rPr>
        <w:t>with errors,</w:t>
      </w:r>
      <w:r w:rsidRPr="00064E97">
        <w:rPr>
          <w:rFonts w:ascii="Myriad Pro Light" w:eastAsiaTheme="minorHAnsi" w:hAnsi="Myriad Pro Light"/>
          <w:szCs w:val="22"/>
        </w:rPr>
        <w:t xml:space="preserve"> each had 1 individual </w:t>
      </w:r>
      <w:r>
        <w:rPr>
          <w:rFonts w:ascii="Myriad Pro Light" w:eastAsiaTheme="minorHAnsi" w:hAnsi="Myriad Pro Light"/>
          <w:szCs w:val="22"/>
        </w:rPr>
        <w:t>error</w:t>
      </w:r>
      <w:r w:rsidRPr="00064E97">
        <w:rPr>
          <w:rFonts w:ascii="Myriad Pro Light" w:eastAsiaTheme="minorHAnsi" w:hAnsi="Myriad Pro Light"/>
          <w:szCs w:val="22"/>
        </w:rPr>
        <w:t>. Underpayment</w:t>
      </w:r>
      <w:r>
        <w:rPr>
          <w:rFonts w:ascii="Myriad Pro Light" w:eastAsiaTheme="minorHAnsi" w:hAnsi="Myriad Pro Light"/>
          <w:szCs w:val="22"/>
        </w:rPr>
        <w:t xml:space="preserve"> of the minimum base hourly rate accounted for 80</w:t>
      </w:r>
      <w:r w:rsidRPr="00064E97">
        <w:rPr>
          <w:rFonts w:ascii="Myriad Pro Light" w:eastAsiaTheme="minorHAnsi" w:hAnsi="Myriad Pro Light"/>
          <w:szCs w:val="22"/>
        </w:rPr>
        <w:t xml:space="preserve">% </w:t>
      </w:r>
      <w:r>
        <w:rPr>
          <w:rFonts w:ascii="Myriad Pro Light" w:eastAsiaTheme="minorHAnsi" w:hAnsi="Myriad Pro Light"/>
          <w:szCs w:val="22"/>
        </w:rPr>
        <w:t>of all errors</w:t>
      </w:r>
      <w:r w:rsidRPr="00064E97">
        <w:rPr>
          <w:rFonts w:ascii="Myriad Pro Light" w:eastAsiaTheme="minorHAnsi" w:hAnsi="Myriad Pro Light"/>
          <w:szCs w:val="22"/>
        </w:rPr>
        <w:t>.</w:t>
      </w:r>
      <w:r>
        <w:rPr>
          <w:rFonts w:ascii="Myriad Pro Light" w:eastAsiaTheme="minorHAnsi" w:hAnsi="Myriad Pro Light"/>
          <w:szCs w:val="22"/>
        </w:rPr>
        <w:t xml:space="preserve"> In total, </w:t>
      </w:r>
      <w:r>
        <w:rPr>
          <w:rFonts w:ascii="Myriad Pro Light" w:hAnsi="Myriad Pro Light"/>
          <w:szCs w:val="22"/>
        </w:rPr>
        <w:t>$11,667 was recovered from 3 businesses on behalf of 11 </w:t>
      </w:r>
      <w:r w:rsidRPr="00064E97">
        <w:rPr>
          <w:rFonts w:ascii="Myriad Pro Light" w:hAnsi="Myriad Pro Light"/>
          <w:szCs w:val="22"/>
        </w:rPr>
        <w:t>employees.</w:t>
      </w:r>
    </w:p>
    <w:p w:rsidR="0099250A" w:rsidRPr="00D517DD" w:rsidRDefault="0099250A" w:rsidP="00F55525">
      <w:pPr>
        <w:pStyle w:val="Bullet"/>
      </w:pPr>
      <w:r w:rsidRPr="00D517DD">
        <w:t xml:space="preserve">Overall, </w:t>
      </w:r>
      <w:r>
        <w:t>there was a high compliance rate in Victoria and Tasmania, with employers having</w:t>
      </w:r>
      <w:r w:rsidRPr="00D517DD">
        <w:t xml:space="preserve"> a sound understanding of employee entitlements</w:t>
      </w:r>
      <w:r>
        <w:t xml:space="preserve">, </w:t>
      </w:r>
      <w:r w:rsidRPr="00D517DD">
        <w:t>particularly classification and incremental progressions for service</w:t>
      </w:r>
      <w:r>
        <w:t xml:space="preserve"> or </w:t>
      </w:r>
      <w:r w:rsidRPr="00D517DD">
        <w:t xml:space="preserve">qualifications. </w:t>
      </w:r>
      <w:r>
        <w:t>In addition</w:t>
      </w:r>
      <w:r w:rsidRPr="00D517DD">
        <w:t xml:space="preserve"> many child care centres were paying higher than the modern award rate in order to attract and keep quality staff (i.e. </w:t>
      </w:r>
      <w:r>
        <w:t>p</w:t>
      </w:r>
      <w:r w:rsidRPr="00D517DD">
        <w:t xml:space="preserve">aying </w:t>
      </w:r>
      <w:r>
        <w:t>the</w:t>
      </w:r>
      <w:r w:rsidRPr="00D517DD">
        <w:t xml:space="preserve"> qualified rate</w:t>
      </w:r>
      <w:r>
        <w:t>/higher grade</w:t>
      </w:r>
      <w:r w:rsidRPr="00D517DD">
        <w:t xml:space="preserve"> before </w:t>
      </w:r>
      <w:r>
        <w:t>employee’s had</w:t>
      </w:r>
      <w:r w:rsidRPr="00D517DD">
        <w:t xml:space="preserve"> </w:t>
      </w:r>
      <w:r>
        <w:t xml:space="preserve">achieved the appropriate qualifications or </w:t>
      </w:r>
      <w:r w:rsidRPr="00D517DD">
        <w:t>required years of service).</w:t>
      </w:r>
    </w:p>
    <w:p w:rsidR="0099250A" w:rsidRPr="00D517DD" w:rsidRDefault="0099250A" w:rsidP="00F55525">
      <w:pPr>
        <w:pStyle w:val="Bullet"/>
      </w:pPr>
      <w:r w:rsidRPr="00D517DD">
        <w:t>In contrast, where errors</w:t>
      </w:r>
      <w:r>
        <w:t xml:space="preserve"> were identified</w:t>
      </w:r>
      <w:r w:rsidRPr="00D517DD">
        <w:t xml:space="preserve">, they were due to employers not updating pay rates on the anniversary of </w:t>
      </w:r>
      <w:r>
        <w:t xml:space="preserve">the </w:t>
      </w:r>
      <w:r w:rsidRPr="00D517DD">
        <w:t>completed training</w:t>
      </w:r>
      <w:r>
        <w:t xml:space="preserve"> or </w:t>
      </w:r>
      <w:r w:rsidRPr="00D517DD">
        <w:t>service period, with the majority of these</w:t>
      </w:r>
      <w:r>
        <w:t xml:space="preserve"> </w:t>
      </w:r>
      <w:r w:rsidRPr="00D517DD">
        <w:t>employers advising they were unaware of the award provisions.</w:t>
      </w:r>
    </w:p>
    <w:p w:rsidR="0099250A" w:rsidRDefault="0099250A" w:rsidP="0099250A">
      <w:pPr>
        <w:pStyle w:val="Heading2"/>
      </w:pPr>
      <w:r>
        <w:br w:type="column"/>
      </w:r>
      <w:bookmarkStart w:id="17" w:name="_Toc418861807"/>
      <w:r>
        <w:lastRenderedPageBreak/>
        <w:t>South Australia, Western Australia and the Northern Territory</w:t>
      </w:r>
      <w:bookmarkEnd w:id="17"/>
    </w:p>
    <w:p w:rsidR="0099250A" w:rsidRDefault="0099250A" w:rsidP="00F55525">
      <w:pPr>
        <w:spacing w:before="240" w:after="0" w:line="320" w:lineRule="exact"/>
        <w:jc w:val="left"/>
        <w:rPr>
          <w:rFonts w:ascii="Myriad Pro Light" w:eastAsiaTheme="minorHAnsi" w:hAnsi="Myriad Pro Light"/>
          <w:szCs w:val="22"/>
        </w:rPr>
      </w:pPr>
      <w:r>
        <w:rPr>
          <w:rFonts w:ascii="Myriad Pro Light" w:eastAsiaTheme="minorHAnsi" w:hAnsi="Myriad Pro Light"/>
          <w:szCs w:val="22"/>
        </w:rPr>
        <w:t xml:space="preserve">Of the 20 businesses assessed in </w:t>
      </w:r>
      <w:r>
        <w:rPr>
          <w:rFonts w:ascii="Myriad Pro Light" w:eastAsiaTheme="minorHAnsi" w:hAnsi="Myriad Pro Light"/>
          <w:b/>
          <w:szCs w:val="22"/>
        </w:rPr>
        <w:t>South Australia</w:t>
      </w:r>
      <w:r>
        <w:rPr>
          <w:rFonts w:ascii="Myriad Pro Light" w:eastAsiaTheme="minorHAnsi" w:hAnsi="Myriad Pro Light"/>
          <w:szCs w:val="22"/>
        </w:rPr>
        <w:t xml:space="preserve"> (SA):</w:t>
      </w:r>
    </w:p>
    <w:p w:rsidR="0099250A" w:rsidRDefault="0099250A" w:rsidP="00F55525">
      <w:pPr>
        <w:numPr>
          <w:ilvl w:val="0"/>
          <w:numId w:val="1"/>
        </w:numPr>
        <w:spacing w:before="240" w:after="28" w:line="320" w:lineRule="exact"/>
        <w:jc w:val="left"/>
        <w:rPr>
          <w:rFonts w:ascii="Myriad Pro Light" w:eastAsiaTheme="minorHAnsi" w:hAnsi="Myriad Pro Light"/>
          <w:szCs w:val="22"/>
        </w:rPr>
      </w:pPr>
      <w:r>
        <w:rPr>
          <w:rFonts w:ascii="Myriad Pro Light" w:eastAsiaTheme="minorHAnsi" w:hAnsi="Myriad Pro Light"/>
          <w:szCs w:val="22"/>
        </w:rPr>
        <w:t>18 (90%) of employers were compliant with all requirements:</w:t>
      </w:r>
    </w:p>
    <w:p w:rsidR="0099250A" w:rsidRDefault="0099250A" w:rsidP="00F55525">
      <w:pPr>
        <w:numPr>
          <w:ilvl w:val="0"/>
          <w:numId w:val="1"/>
        </w:numPr>
        <w:spacing w:after="28" w:line="320" w:lineRule="exact"/>
        <w:jc w:val="left"/>
        <w:rPr>
          <w:rFonts w:ascii="Myriad Pro Light" w:eastAsiaTheme="minorHAnsi" w:hAnsi="Myriad Pro Light"/>
          <w:szCs w:val="22"/>
        </w:rPr>
      </w:pPr>
      <w:r>
        <w:rPr>
          <w:rFonts w:ascii="Myriad Pro Light" w:eastAsiaTheme="minorHAnsi" w:hAnsi="Myriad Pro Light"/>
          <w:szCs w:val="22"/>
        </w:rPr>
        <w:t>2 (10%) had one error each, of which;</w:t>
      </w:r>
    </w:p>
    <w:p w:rsidR="0099250A" w:rsidRDefault="0099250A" w:rsidP="00F55525">
      <w:pPr>
        <w:numPr>
          <w:ilvl w:val="1"/>
          <w:numId w:val="1"/>
        </w:numPr>
        <w:spacing w:after="28" w:line="320" w:lineRule="exact"/>
        <w:jc w:val="left"/>
        <w:rPr>
          <w:rFonts w:ascii="Myriad Pro Light" w:eastAsiaTheme="minorHAnsi" w:hAnsi="Myriad Pro Light"/>
          <w:szCs w:val="22"/>
        </w:rPr>
      </w:pPr>
      <w:r>
        <w:rPr>
          <w:rFonts w:ascii="Myriad Pro Light" w:eastAsiaTheme="minorHAnsi" w:hAnsi="Myriad Pro Light"/>
          <w:szCs w:val="22"/>
        </w:rPr>
        <w:t>1 (5%) related to pay rates; and</w:t>
      </w:r>
    </w:p>
    <w:p w:rsidR="0099250A" w:rsidRPr="0047115A" w:rsidRDefault="0099250A" w:rsidP="00F55525">
      <w:pPr>
        <w:numPr>
          <w:ilvl w:val="1"/>
          <w:numId w:val="1"/>
        </w:numPr>
        <w:spacing w:after="28" w:line="320" w:lineRule="exact"/>
        <w:jc w:val="left"/>
        <w:rPr>
          <w:rFonts w:ascii="Myriad Pro Light" w:eastAsiaTheme="minorHAnsi" w:hAnsi="Myriad Pro Light"/>
          <w:szCs w:val="22"/>
        </w:rPr>
      </w:pPr>
      <w:r>
        <w:rPr>
          <w:rFonts w:ascii="Myriad Pro Light" w:eastAsiaTheme="minorHAnsi" w:hAnsi="Myriad Pro Light"/>
          <w:szCs w:val="22"/>
        </w:rPr>
        <w:t>1 (5%) related to payslips.</w:t>
      </w:r>
    </w:p>
    <w:p w:rsidR="0099250A" w:rsidRDefault="0099250A" w:rsidP="00F55525">
      <w:pPr>
        <w:spacing w:after="0" w:line="320" w:lineRule="exact"/>
        <w:jc w:val="left"/>
        <w:rPr>
          <w:rFonts w:ascii="Myriad Pro Light" w:eastAsiaTheme="minorHAnsi" w:hAnsi="Myriad Pro Light"/>
          <w:szCs w:val="22"/>
        </w:rPr>
      </w:pPr>
      <w:r>
        <w:rPr>
          <w:rFonts w:ascii="Myriad Pro Light" w:eastAsiaTheme="minorHAnsi" w:hAnsi="Myriad Pro Light"/>
          <w:szCs w:val="22"/>
        </w:rPr>
        <w:t>This means that of the 20 businesses assessed:</w:t>
      </w:r>
    </w:p>
    <w:p w:rsidR="0099250A" w:rsidRDefault="0099250A" w:rsidP="00F55525">
      <w:pPr>
        <w:numPr>
          <w:ilvl w:val="0"/>
          <w:numId w:val="1"/>
        </w:numPr>
        <w:spacing w:after="28" w:line="320" w:lineRule="exact"/>
        <w:jc w:val="left"/>
        <w:rPr>
          <w:rFonts w:ascii="Myriad Pro Light" w:eastAsiaTheme="minorHAnsi" w:hAnsi="Myriad Pro Light"/>
          <w:szCs w:val="22"/>
        </w:rPr>
      </w:pPr>
      <w:r>
        <w:rPr>
          <w:rFonts w:ascii="Myriad Pro Light" w:eastAsiaTheme="minorHAnsi" w:hAnsi="Myriad Pro Light"/>
          <w:szCs w:val="22"/>
        </w:rPr>
        <w:t>19 (95%) of employers were paying their employees correctly; and</w:t>
      </w:r>
    </w:p>
    <w:p w:rsidR="0099250A" w:rsidRPr="0099250A" w:rsidRDefault="0099250A" w:rsidP="00F55525">
      <w:pPr>
        <w:numPr>
          <w:ilvl w:val="0"/>
          <w:numId w:val="1"/>
        </w:numPr>
        <w:spacing w:after="28" w:line="320" w:lineRule="exact"/>
        <w:jc w:val="left"/>
        <w:rPr>
          <w:rFonts w:ascii="Myriad Pro Light" w:eastAsiaTheme="minorHAnsi" w:hAnsi="Myriad Pro Light"/>
          <w:szCs w:val="22"/>
        </w:rPr>
      </w:pPr>
      <w:r>
        <w:rPr>
          <w:rFonts w:ascii="Myriad Pro Light" w:eastAsiaTheme="minorHAnsi" w:hAnsi="Myriad Pro Light"/>
          <w:szCs w:val="22"/>
        </w:rPr>
        <w:t>19 (95%) of employers were compliant with record-keeping and pay slip requirements.</w:t>
      </w:r>
    </w:p>
    <w:p w:rsidR="0099250A" w:rsidRPr="00407A7B" w:rsidRDefault="0099250A" w:rsidP="00F55525">
      <w:pPr>
        <w:spacing w:before="240" w:after="0" w:line="320" w:lineRule="exact"/>
        <w:jc w:val="left"/>
        <w:rPr>
          <w:rFonts w:ascii="Myriad Pro Light" w:eastAsiaTheme="minorHAnsi" w:hAnsi="Myriad Pro Light"/>
          <w:szCs w:val="22"/>
        </w:rPr>
      </w:pPr>
      <w:r w:rsidRPr="00407A7B">
        <w:rPr>
          <w:rFonts w:ascii="Myriad Pro Light" w:eastAsiaTheme="minorHAnsi" w:hAnsi="Myriad Pro Light"/>
          <w:szCs w:val="22"/>
        </w:rPr>
        <w:t xml:space="preserve">Of the </w:t>
      </w:r>
      <w:r>
        <w:rPr>
          <w:rFonts w:ascii="Myriad Pro Light" w:eastAsiaTheme="minorHAnsi" w:hAnsi="Myriad Pro Light"/>
          <w:szCs w:val="22"/>
        </w:rPr>
        <w:t>70</w:t>
      </w:r>
      <w:r w:rsidRPr="00407A7B">
        <w:rPr>
          <w:rFonts w:ascii="Myriad Pro Light" w:eastAsiaTheme="minorHAnsi" w:hAnsi="Myriad Pro Light"/>
          <w:szCs w:val="22"/>
        </w:rPr>
        <w:t xml:space="preserve"> businesses assessed in </w:t>
      </w:r>
      <w:r w:rsidRPr="007C7582">
        <w:rPr>
          <w:rFonts w:ascii="Myriad Pro Light" w:eastAsiaTheme="minorHAnsi" w:hAnsi="Myriad Pro Light"/>
          <w:b/>
          <w:szCs w:val="22"/>
        </w:rPr>
        <w:t>Western Australia</w:t>
      </w:r>
      <w:r>
        <w:rPr>
          <w:rFonts w:ascii="Myriad Pro Light" w:eastAsiaTheme="minorHAnsi" w:hAnsi="Myriad Pro Light"/>
          <w:szCs w:val="22"/>
        </w:rPr>
        <w:t xml:space="preserve"> (WA)</w:t>
      </w:r>
      <w:r w:rsidRPr="00407A7B">
        <w:rPr>
          <w:rFonts w:ascii="Myriad Pro Light" w:eastAsiaTheme="minorHAnsi" w:hAnsi="Myriad Pro Light"/>
          <w:szCs w:val="22"/>
        </w:rPr>
        <w:t>:</w:t>
      </w:r>
    </w:p>
    <w:p w:rsidR="0099250A" w:rsidRPr="00407A7B" w:rsidRDefault="0099250A" w:rsidP="00F55525">
      <w:pPr>
        <w:numPr>
          <w:ilvl w:val="0"/>
          <w:numId w:val="1"/>
        </w:numPr>
        <w:spacing w:before="240" w:after="28" w:line="320" w:lineRule="exact"/>
        <w:jc w:val="left"/>
        <w:rPr>
          <w:rFonts w:ascii="Myriad Pro Light" w:eastAsiaTheme="minorHAnsi" w:hAnsi="Myriad Pro Light"/>
          <w:szCs w:val="22"/>
        </w:rPr>
      </w:pPr>
      <w:r>
        <w:rPr>
          <w:rFonts w:ascii="Myriad Pro Light" w:eastAsiaTheme="minorHAnsi" w:hAnsi="Myriad Pro Light"/>
          <w:szCs w:val="22"/>
        </w:rPr>
        <w:t>30 (43</w:t>
      </w:r>
      <w:r w:rsidRPr="00407A7B">
        <w:rPr>
          <w:rFonts w:ascii="Myriad Pro Light" w:eastAsiaTheme="minorHAnsi" w:hAnsi="Myriad Pro Light"/>
          <w:szCs w:val="22"/>
        </w:rPr>
        <w:t xml:space="preserve">%) employers </w:t>
      </w:r>
      <w:r>
        <w:rPr>
          <w:rFonts w:ascii="Myriad Pro Light" w:eastAsiaTheme="minorHAnsi" w:hAnsi="Myriad Pro Light"/>
          <w:szCs w:val="22"/>
        </w:rPr>
        <w:t>were</w:t>
      </w:r>
      <w:r w:rsidRPr="00407A7B">
        <w:rPr>
          <w:rFonts w:ascii="Myriad Pro Light" w:eastAsiaTheme="minorHAnsi" w:hAnsi="Myriad Pro Light"/>
          <w:szCs w:val="22"/>
        </w:rPr>
        <w:t xml:space="preserve"> compliant with all requirements</w:t>
      </w:r>
    </w:p>
    <w:p w:rsidR="0099250A" w:rsidRPr="00407A7B" w:rsidRDefault="0099250A" w:rsidP="00F55525">
      <w:pPr>
        <w:numPr>
          <w:ilvl w:val="0"/>
          <w:numId w:val="1"/>
        </w:numPr>
        <w:spacing w:after="28" w:line="320" w:lineRule="exact"/>
        <w:jc w:val="left"/>
        <w:rPr>
          <w:rFonts w:ascii="Myriad Pro Light" w:eastAsiaTheme="minorHAnsi" w:hAnsi="Myriad Pro Light"/>
          <w:szCs w:val="22"/>
        </w:rPr>
      </w:pPr>
      <w:r>
        <w:rPr>
          <w:rFonts w:ascii="Myriad Pro Light" w:eastAsiaTheme="minorHAnsi" w:hAnsi="Myriad Pro Light"/>
          <w:szCs w:val="22"/>
        </w:rPr>
        <w:t>40 (57</w:t>
      </w:r>
      <w:r w:rsidRPr="00407A7B">
        <w:rPr>
          <w:rFonts w:ascii="Myriad Pro Light" w:eastAsiaTheme="minorHAnsi" w:hAnsi="Myriad Pro Light"/>
          <w:szCs w:val="22"/>
        </w:rPr>
        <w:t>%) employers had at least one error, of which:</w:t>
      </w:r>
    </w:p>
    <w:p w:rsidR="0099250A" w:rsidRPr="00407A7B" w:rsidRDefault="0099250A" w:rsidP="00F55525">
      <w:pPr>
        <w:numPr>
          <w:ilvl w:val="1"/>
          <w:numId w:val="1"/>
        </w:numPr>
        <w:spacing w:after="28" w:line="320" w:lineRule="exact"/>
        <w:jc w:val="left"/>
        <w:rPr>
          <w:rFonts w:ascii="Myriad Pro Light" w:eastAsiaTheme="minorHAnsi" w:hAnsi="Myriad Pro Light"/>
          <w:szCs w:val="22"/>
        </w:rPr>
      </w:pPr>
      <w:r>
        <w:rPr>
          <w:rFonts w:ascii="Myriad Pro Light" w:eastAsiaTheme="minorHAnsi" w:hAnsi="Myriad Pro Light"/>
          <w:szCs w:val="22"/>
        </w:rPr>
        <w:t>39 (56</w:t>
      </w:r>
      <w:r w:rsidRPr="00407A7B">
        <w:rPr>
          <w:rFonts w:ascii="Myriad Pro Light" w:eastAsiaTheme="minorHAnsi" w:hAnsi="Myriad Pro Light"/>
          <w:szCs w:val="22"/>
        </w:rPr>
        <w:t xml:space="preserve">%) had errors relating to pay rates </w:t>
      </w:r>
    </w:p>
    <w:p w:rsidR="0099250A" w:rsidRPr="00407A7B" w:rsidRDefault="0099250A" w:rsidP="00F55525">
      <w:pPr>
        <w:numPr>
          <w:ilvl w:val="1"/>
          <w:numId w:val="1"/>
        </w:numPr>
        <w:spacing w:line="320" w:lineRule="exact"/>
        <w:ind w:left="1434" w:hanging="357"/>
        <w:jc w:val="left"/>
        <w:rPr>
          <w:rFonts w:ascii="Myriad Pro Light" w:eastAsiaTheme="minorHAnsi" w:hAnsi="Myriad Pro Light"/>
          <w:szCs w:val="22"/>
        </w:rPr>
      </w:pPr>
      <w:r>
        <w:rPr>
          <w:rFonts w:ascii="Myriad Pro Light" w:eastAsiaTheme="minorHAnsi" w:hAnsi="Myriad Pro Light"/>
          <w:szCs w:val="22"/>
        </w:rPr>
        <w:t>1 (1</w:t>
      </w:r>
      <w:r w:rsidRPr="00407A7B">
        <w:rPr>
          <w:rFonts w:ascii="Myriad Pro Light" w:eastAsiaTheme="minorHAnsi" w:hAnsi="Myriad Pro Light"/>
          <w:szCs w:val="22"/>
        </w:rPr>
        <w:t xml:space="preserve">%) had errors relating to payslips </w:t>
      </w:r>
    </w:p>
    <w:p w:rsidR="0099250A" w:rsidRDefault="0099250A" w:rsidP="00F55525">
      <w:pPr>
        <w:spacing w:after="0" w:line="320" w:lineRule="exact"/>
        <w:jc w:val="left"/>
        <w:rPr>
          <w:rFonts w:ascii="Myriad Pro Light" w:eastAsiaTheme="minorHAnsi" w:hAnsi="Myriad Pro Light" w:cstheme="minorHAnsi"/>
          <w:szCs w:val="22"/>
        </w:rPr>
      </w:pPr>
      <w:r>
        <w:rPr>
          <w:rFonts w:ascii="Myriad Pro Light" w:eastAsiaTheme="minorHAnsi" w:hAnsi="Myriad Pro Light" w:cstheme="minorHAnsi"/>
          <w:szCs w:val="22"/>
        </w:rPr>
        <w:t>This means that of the 70</w:t>
      </w:r>
      <w:r w:rsidRPr="00407A7B">
        <w:rPr>
          <w:rFonts w:ascii="Myriad Pro Light" w:eastAsiaTheme="minorHAnsi" w:hAnsi="Myriad Pro Light" w:cstheme="minorHAnsi"/>
          <w:szCs w:val="22"/>
        </w:rPr>
        <w:t xml:space="preserve"> businesses</w:t>
      </w:r>
      <w:r>
        <w:rPr>
          <w:rFonts w:ascii="Myriad Pro Light" w:eastAsiaTheme="minorHAnsi" w:hAnsi="Myriad Pro Light" w:cstheme="minorHAnsi"/>
          <w:szCs w:val="22"/>
        </w:rPr>
        <w:t xml:space="preserve"> </w:t>
      </w:r>
      <w:r w:rsidRPr="00407A7B">
        <w:rPr>
          <w:rFonts w:ascii="Myriad Pro Light" w:eastAsiaTheme="minorHAnsi" w:hAnsi="Myriad Pro Light" w:cstheme="minorHAnsi"/>
          <w:szCs w:val="22"/>
        </w:rPr>
        <w:t>assessed:</w:t>
      </w:r>
    </w:p>
    <w:p w:rsidR="0099250A" w:rsidRPr="00031C46" w:rsidRDefault="0099250A" w:rsidP="00F55525">
      <w:pPr>
        <w:numPr>
          <w:ilvl w:val="0"/>
          <w:numId w:val="1"/>
        </w:numPr>
        <w:spacing w:after="28" w:line="320" w:lineRule="exact"/>
        <w:jc w:val="left"/>
        <w:rPr>
          <w:rFonts w:ascii="Myriad Pro Light" w:eastAsiaTheme="minorHAnsi" w:hAnsi="Myriad Pro Light"/>
          <w:szCs w:val="22"/>
        </w:rPr>
      </w:pPr>
      <w:r w:rsidRPr="00031C46">
        <w:rPr>
          <w:rFonts w:ascii="Myriad Pro Light" w:eastAsiaTheme="minorHAnsi" w:hAnsi="Myriad Pro Light"/>
          <w:szCs w:val="22"/>
        </w:rPr>
        <w:t>31 (44%) of employers were paying their employees correctly; and</w:t>
      </w:r>
    </w:p>
    <w:p w:rsidR="0099250A" w:rsidRPr="00031C46" w:rsidRDefault="0099250A" w:rsidP="00F55525">
      <w:pPr>
        <w:numPr>
          <w:ilvl w:val="0"/>
          <w:numId w:val="1"/>
        </w:numPr>
        <w:spacing w:line="320" w:lineRule="exact"/>
        <w:ind w:left="357" w:hanging="357"/>
        <w:jc w:val="left"/>
        <w:rPr>
          <w:rFonts w:ascii="Myriad Pro Light" w:eastAsiaTheme="minorHAnsi" w:hAnsi="Myriad Pro Light"/>
          <w:szCs w:val="22"/>
        </w:rPr>
      </w:pPr>
      <w:r w:rsidRPr="00031C46">
        <w:rPr>
          <w:rFonts w:ascii="Myriad Pro Light" w:eastAsiaTheme="minorHAnsi" w:hAnsi="Myriad Pro Light"/>
          <w:szCs w:val="22"/>
        </w:rPr>
        <w:t>69 (99%) of employers were compliant with record-keeping and pay slip requirements.</w:t>
      </w:r>
    </w:p>
    <w:p w:rsidR="0099250A" w:rsidRPr="00407A7B" w:rsidRDefault="0099250A" w:rsidP="00F55525">
      <w:pPr>
        <w:spacing w:before="240" w:after="0" w:line="320" w:lineRule="exact"/>
        <w:jc w:val="left"/>
        <w:rPr>
          <w:rFonts w:ascii="Myriad Pro Light" w:eastAsiaTheme="minorHAnsi" w:hAnsi="Myriad Pro Light"/>
          <w:szCs w:val="22"/>
        </w:rPr>
      </w:pPr>
      <w:r w:rsidRPr="00407A7B">
        <w:rPr>
          <w:rFonts w:ascii="Myriad Pro Light" w:eastAsiaTheme="minorHAnsi" w:hAnsi="Myriad Pro Light"/>
          <w:szCs w:val="22"/>
        </w:rPr>
        <w:t>The</w:t>
      </w:r>
      <w:r>
        <w:rPr>
          <w:rFonts w:ascii="Myriad Pro Light" w:eastAsiaTheme="minorHAnsi" w:hAnsi="Myriad Pro Light"/>
          <w:szCs w:val="22"/>
        </w:rPr>
        <w:t>re were</w:t>
      </w:r>
      <w:r w:rsidRPr="00407A7B">
        <w:rPr>
          <w:rFonts w:ascii="Myriad Pro Light" w:eastAsiaTheme="minorHAnsi" w:hAnsi="Myriad Pro Light"/>
          <w:szCs w:val="22"/>
        </w:rPr>
        <w:t xml:space="preserve"> </w:t>
      </w:r>
      <w:r>
        <w:rPr>
          <w:rFonts w:ascii="Myriad Pro Light" w:eastAsiaTheme="minorHAnsi" w:hAnsi="Myriad Pro Light"/>
          <w:szCs w:val="22"/>
        </w:rPr>
        <w:t>40</w:t>
      </w:r>
      <w:r w:rsidRPr="00407A7B">
        <w:rPr>
          <w:rFonts w:ascii="Myriad Pro Light" w:eastAsiaTheme="minorHAnsi" w:hAnsi="Myriad Pro Light"/>
          <w:szCs w:val="22"/>
        </w:rPr>
        <w:t xml:space="preserve"> businesses found </w:t>
      </w:r>
      <w:r>
        <w:rPr>
          <w:rFonts w:ascii="Myriad Pro Light" w:eastAsiaTheme="minorHAnsi" w:hAnsi="Myriad Pro Light"/>
          <w:szCs w:val="22"/>
        </w:rPr>
        <w:t>to have errors, with each having</w:t>
      </w:r>
      <w:r w:rsidRPr="00407A7B">
        <w:rPr>
          <w:rFonts w:ascii="Myriad Pro Light" w:eastAsiaTheme="minorHAnsi" w:hAnsi="Myriad Pro Light"/>
          <w:szCs w:val="22"/>
        </w:rPr>
        <w:t xml:space="preserve"> 1 individual </w:t>
      </w:r>
      <w:r>
        <w:rPr>
          <w:rFonts w:ascii="Myriad Pro Light" w:eastAsiaTheme="minorHAnsi" w:hAnsi="Myriad Pro Light"/>
          <w:szCs w:val="22"/>
        </w:rPr>
        <w:t>error</w:t>
      </w:r>
      <w:r w:rsidRPr="00407A7B">
        <w:rPr>
          <w:rFonts w:ascii="Myriad Pro Light" w:eastAsiaTheme="minorHAnsi" w:hAnsi="Myriad Pro Light"/>
          <w:szCs w:val="22"/>
        </w:rPr>
        <w:t>. Underpayment</w:t>
      </w:r>
      <w:r>
        <w:rPr>
          <w:rFonts w:ascii="Myriad Pro Light" w:eastAsiaTheme="minorHAnsi" w:hAnsi="Myriad Pro Light"/>
          <w:szCs w:val="22"/>
        </w:rPr>
        <w:t xml:space="preserve"> of the minimum base hourly rate accounted for 97</w:t>
      </w:r>
      <w:r w:rsidRPr="00407A7B">
        <w:rPr>
          <w:rFonts w:ascii="Myriad Pro Light" w:eastAsiaTheme="minorHAnsi" w:hAnsi="Myriad Pro Light"/>
          <w:szCs w:val="22"/>
        </w:rPr>
        <w:t>% of</w:t>
      </w:r>
      <w:r>
        <w:rPr>
          <w:rFonts w:ascii="Myriad Pro Light" w:eastAsiaTheme="minorHAnsi" w:hAnsi="Myriad Pro Light"/>
          <w:szCs w:val="22"/>
        </w:rPr>
        <w:t xml:space="preserve"> all</w:t>
      </w:r>
      <w:r w:rsidRPr="00407A7B">
        <w:rPr>
          <w:rFonts w:ascii="Myriad Pro Light" w:eastAsiaTheme="minorHAnsi" w:hAnsi="Myriad Pro Light"/>
          <w:szCs w:val="22"/>
        </w:rPr>
        <w:t xml:space="preserve"> </w:t>
      </w:r>
      <w:r>
        <w:rPr>
          <w:rFonts w:ascii="Myriad Pro Light" w:eastAsiaTheme="minorHAnsi" w:hAnsi="Myriad Pro Light"/>
          <w:szCs w:val="22"/>
        </w:rPr>
        <w:t>errors</w:t>
      </w:r>
      <w:r w:rsidRPr="00407A7B">
        <w:rPr>
          <w:rFonts w:ascii="Myriad Pro Light" w:eastAsiaTheme="minorHAnsi" w:hAnsi="Myriad Pro Light"/>
          <w:szCs w:val="22"/>
        </w:rPr>
        <w:t>.</w:t>
      </w:r>
      <w:r>
        <w:rPr>
          <w:rFonts w:ascii="Myriad Pro Light" w:eastAsiaTheme="minorHAnsi" w:hAnsi="Myriad Pro Light"/>
          <w:szCs w:val="22"/>
        </w:rPr>
        <w:t xml:space="preserve"> In total, </w:t>
      </w:r>
      <w:r>
        <w:rPr>
          <w:rFonts w:ascii="Myriad Pro Light" w:hAnsi="Myriad Pro Light"/>
          <w:szCs w:val="22"/>
        </w:rPr>
        <w:t>$199,966 was recovered</w:t>
      </w:r>
      <w:r w:rsidRPr="00407A7B">
        <w:rPr>
          <w:rFonts w:ascii="Myriad Pro Light" w:hAnsi="Myriad Pro Light"/>
          <w:szCs w:val="22"/>
        </w:rPr>
        <w:t xml:space="preserve"> from </w:t>
      </w:r>
      <w:r>
        <w:rPr>
          <w:rFonts w:ascii="Myriad Pro Light" w:hAnsi="Myriad Pro Light"/>
          <w:szCs w:val="22"/>
        </w:rPr>
        <w:t>39</w:t>
      </w:r>
      <w:r w:rsidRPr="00407A7B">
        <w:rPr>
          <w:rFonts w:ascii="Myriad Pro Light" w:hAnsi="Myriad Pro Light"/>
          <w:szCs w:val="22"/>
        </w:rPr>
        <w:t xml:space="preserve"> businesses on behalf of </w:t>
      </w:r>
      <w:r>
        <w:rPr>
          <w:rFonts w:ascii="Myriad Pro Light" w:hAnsi="Myriad Pro Light"/>
          <w:szCs w:val="22"/>
        </w:rPr>
        <w:t>341</w:t>
      </w:r>
      <w:r w:rsidRPr="00407A7B">
        <w:rPr>
          <w:rFonts w:ascii="Myriad Pro Light" w:hAnsi="Myriad Pro Light"/>
          <w:szCs w:val="22"/>
        </w:rPr>
        <w:t xml:space="preserve"> employees.</w:t>
      </w:r>
      <w:r w:rsidR="00680E2D">
        <w:rPr>
          <w:rFonts w:ascii="Myriad Pro Light" w:hAnsi="Myriad Pro Light"/>
          <w:szCs w:val="22"/>
        </w:rPr>
        <w:t xml:space="preserve"> This includes a recovery of $169,959.47 from a chain of 26 child care centres that had underpaid 166 employees. </w:t>
      </w:r>
      <w:r w:rsidRPr="00407A7B">
        <w:rPr>
          <w:rFonts w:ascii="Myriad Pro Light" w:eastAsiaTheme="minorHAnsi" w:hAnsi="Myriad Pro Light"/>
          <w:szCs w:val="22"/>
        </w:rPr>
        <w:t xml:space="preserve">Of the </w:t>
      </w:r>
      <w:r>
        <w:rPr>
          <w:rFonts w:ascii="Myriad Pro Light" w:eastAsiaTheme="minorHAnsi" w:hAnsi="Myriad Pro Light"/>
          <w:szCs w:val="22"/>
        </w:rPr>
        <w:t>1</w:t>
      </w:r>
      <w:r w:rsidRPr="00407A7B">
        <w:rPr>
          <w:rFonts w:ascii="Myriad Pro Light" w:eastAsiaTheme="minorHAnsi" w:hAnsi="Myriad Pro Light"/>
          <w:szCs w:val="22"/>
        </w:rPr>
        <w:t xml:space="preserve">5 businesses assessed in </w:t>
      </w:r>
      <w:r w:rsidRPr="007C7582">
        <w:rPr>
          <w:rFonts w:ascii="Myriad Pro Light" w:eastAsiaTheme="minorHAnsi" w:hAnsi="Myriad Pro Light"/>
          <w:b/>
          <w:szCs w:val="22"/>
        </w:rPr>
        <w:t>Northern Territory</w:t>
      </w:r>
      <w:r>
        <w:rPr>
          <w:rFonts w:ascii="Myriad Pro Light" w:eastAsiaTheme="minorHAnsi" w:hAnsi="Myriad Pro Light"/>
          <w:szCs w:val="22"/>
        </w:rPr>
        <w:t xml:space="preserve"> (NT)</w:t>
      </w:r>
      <w:r w:rsidRPr="00407A7B">
        <w:rPr>
          <w:rFonts w:ascii="Myriad Pro Light" w:eastAsiaTheme="minorHAnsi" w:hAnsi="Myriad Pro Light"/>
          <w:szCs w:val="22"/>
        </w:rPr>
        <w:t>:</w:t>
      </w:r>
    </w:p>
    <w:p w:rsidR="0099250A" w:rsidRPr="00407A7B" w:rsidRDefault="0099250A" w:rsidP="00F55525">
      <w:pPr>
        <w:numPr>
          <w:ilvl w:val="0"/>
          <w:numId w:val="1"/>
        </w:numPr>
        <w:spacing w:before="240" w:after="28" w:line="320" w:lineRule="exact"/>
        <w:jc w:val="left"/>
        <w:rPr>
          <w:rFonts w:ascii="Myriad Pro Light" w:eastAsiaTheme="minorHAnsi" w:hAnsi="Myriad Pro Light"/>
          <w:szCs w:val="22"/>
        </w:rPr>
      </w:pPr>
      <w:r>
        <w:rPr>
          <w:rFonts w:ascii="Myriad Pro Light" w:eastAsiaTheme="minorHAnsi" w:hAnsi="Myriad Pro Light"/>
          <w:szCs w:val="22"/>
        </w:rPr>
        <w:t>10 (67</w:t>
      </w:r>
      <w:r w:rsidRPr="00407A7B">
        <w:rPr>
          <w:rFonts w:ascii="Myriad Pro Light" w:eastAsiaTheme="minorHAnsi" w:hAnsi="Myriad Pro Light"/>
          <w:szCs w:val="22"/>
        </w:rPr>
        <w:t xml:space="preserve">%) employers </w:t>
      </w:r>
      <w:r>
        <w:rPr>
          <w:rFonts w:ascii="Myriad Pro Light" w:eastAsiaTheme="minorHAnsi" w:hAnsi="Myriad Pro Light"/>
          <w:szCs w:val="22"/>
        </w:rPr>
        <w:t>were</w:t>
      </w:r>
      <w:r w:rsidRPr="00407A7B">
        <w:rPr>
          <w:rFonts w:ascii="Myriad Pro Light" w:eastAsiaTheme="minorHAnsi" w:hAnsi="Myriad Pro Light"/>
          <w:szCs w:val="22"/>
        </w:rPr>
        <w:t xml:space="preserve"> compliant with all requirements</w:t>
      </w:r>
    </w:p>
    <w:p w:rsidR="0099250A" w:rsidRPr="00407A7B" w:rsidRDefault="0099250A" w:rsidP="00F55525">
      <w:pPr>
        <w:numPr>
          <w:ilvl w:val="0"/>
          <w:numId w:val="1"/>
        </w:numPr>
        <w:spacing w:after="28" w:line="320" w:lineRule="exact"/>
        <w:jc w:val="left"/>
        <w:rPr>
          <w:rFonts w:ascii="Myriad Pro Light" w:eastAsiaTheme="minorHAnsi" w:hAnsi="Myriad Pro Light"/>
          <w:szCs w:val="22"/>
        </w:rPr>
      </w:pPr>
      <w:r>
        <w:rPr>
          <w:rFonts w:ascii="Myriad Pro Light" w:eastAsiaTheme="minorHAnsi" w:hAnsi="Myriad Pro Light"/>
          <w:szCs w:val="22"/>
        </w:rPr>
        <w:t>5 (33</w:t>
      </w:r>
      <w:r w:rsidRPr="00407A7B">
        <w:rPr>
          <w:rFonts w:ascii="Myriad Pro Light" w:eastAsiaTheme="minorHAnsi" w:hAnsi="Myriad Pro Light"/>
          <w:szCs w:val="22"/>
        </w:rPr>
        <w:t>%) employers had at least one error, of which:</w:t>
      </w:r>
    </w:p>
    <w:p w:rsidR="0099250A" w:rsidRPr="00407A7B" w:rsidRDefault="0099250A" w:rsidP="00F55525">
      <w:pPr>
        <w:numPr>
          <w:ilvl w:val="1"/>
          <w:numId w:val="1"/>
        </w:numPr>
        <w:spacing w:after="28" w:line="320" w:lineRule="exact"/>
        <w:jc w:val="left"/>
        <w:rPr>
          <w:rFonts w:ascii="Myriad Pro Light" w:eastAsiaTheme="minorHAnsi" w:hAnsi="Myriad Pro Light"/>
          <w:szCs w:val="22"/>
        </w:rPr>
      </w:pPr>
      <w:r>
        <w:rPr>
          <w:rFonts w:ascii="Myriad Pro Light" w:eastAsiaTheme="minorHAnsi" w:hAnsi="Myriad Pro Light"/>
          <w:szCs w:val="22"/>
        </w:rPr>
        <w:t>3 (20</w:t>
      </w:r>
      <w:r w:rsidRPr="00407A7B">
        <w:rPr>
          <w:rFonts w:ascii="Myriad Pro Light" w:eastAsiaTheme="minorHAnsi" w:hAnsi="Myriad Pro Light"/>
          <w:szCs w:val="22"/>
        </w:rPr>
        <w:t xml:space="preserve">%) had errors relating to pay rates </w:t>
      </w:r>
    </w:p>
    <w:p w:rsidR="0099250A" w:rsidRPr="00407A7B" w:rsidRDefault="0099250A" w:rsidP="00F55525">
      <w:pPr>
        <w:numPr>
          <w:ilvl w:val="1"/>
          <w:numId w:val="1"/>
        </w:numPr>
        <w:spacing w:line="320" w:lineRule="exact"/>
        <w:ind w:left="1434" w:hanging="357"/>
        <w:jc w:val="left"/>
        <w:rPr>
          <w:rFonts w:ascii="Myriad Pro Light" w:eastAsiaTheme="minorHAnsi" w:hAnsi="Myriad Pro Light"/>
          <w:szCs w:val="22"/>
        </w:rPr>
      </w:pPr>
      <w:r>
        <w:rPr>
          <w:rFonts w:ascii="Myriad Pro Light" w:eastAsiaTheme="minorHAnsi" w:hAnsi="Myriad Pro Light"/>
          <w:szCs w:val="22"/>
        </w:rPr>
        <w:t>2 (13</w:t>
      </w:r>
      <w:r w:rsidRPr="00407A7B">
        <w:rPr>
          <w:rFonts w:ascii="Myriad Pro Light" w:eastAsiaTheme="minorHAnsi" w:hAnsi="Myriad Pro Light"/>
          <w:szCs w:val="22"/>
        </w:rPr>
        <w:t xml:space="preserve">%) had errors relating to payslips </w:t>
      </w:r>
    </w:p>
    <w:p w:rsidR="0099250A" w:rsidRDefault="0099250A" w:rsidP="00F55525">
      <w:pPr>
        <w:spacing w:line="320" w:lineRule="exact"/>
        <w:jc w:val="left"/>
        <w:rPr>
          <w:rFonts w:ascii="Myriad Pro Light" w:eastAsiaTheme="minorHAnsi" w:hAnsi="Myriad Pro Light" w:cstheme="minorHAnsi"/>
          <w:szCs w:val="22"/>
        </w:rPr>
      </w:pPr>
      <w:r>
        <w:rPr>
          <w:rFonts w:ascii="Myriad Pro Light" w:eastAsiaTheme="minorHAnsi" w:hAnsi="Myriad Pro Light" w:cstheme="minorHAnsi"/>
          <w:szCs w:val="22"/>
        </w:rPr>
        <w:t>This means that of the 15</w:t>
      </w:r>
      <w:r w:rsidRPr="00407A7B">
        <w:rPr>
          <w:rFonts w:ascii="Myriad Pro Light" w:eastAsiaTheme="minorHAnsi" w:hAnsi="Myriad Pro Light" w:cstheme="minorHAnsi"/>
          <w:szCs w:val="22"/>
        </w:rPr>
        <w:t xml:space="preserve"> businesses assessed:</w:t>
      </w:r>
    </w:p>
    <w:p w:rsidR="0099250A" w:rsidRPr="00865C0B" w:rsidRDefault="0099250A" w:rsidP="00F55525">
      <w:pPr>
        <w:numPr>
          <w:ilvl w:val="0"/>
          <w:numId w:val="1"/>
        </w:numPr>
        <w:spacing w:line="320" w:lineRule="exact"/>
        <w:jc w:val="left"/>
        <w:rPr>
          <w:rFonts w:ascii="Myriad Pro Light" w:eastAsiaTheme="minorHAnsi" w:hAnsi="Myriad Pro Light"/>
          <w:szCs w:val="22"/>
        </w:rPr>
      </w:pPr>
      <w:r w:rsidRPr="00865C0B">
        <w:rPr>
          <w:rFonts w:ascii="Myriad Pro Light" w:eastAsiaTheme="minorHAnsi" w:hAnsi="Myriad Pro Light"/>
          <w:szCs w:val="22"/>
        </w:rPr>
        <w:t>12 (80%) of employers were paying their employees correctly; and</w:t>
      </w:r>
    </w:p>
    <w:p w:rsidR="0099250A" w:rsidRPr="00865C0B" w:rsidRDefault="0099250A" w:rsidP="00F55525">
      <w:pPr>
        <w:numPr>
          <w:ilvl w:val="0"/>
          <w:numId w:val="1"/>
        </w:numPr>
        <w:spacing w:line="320" w:lineRule="exact"/>
        <w:ind w:left="357" w:hanging="357"/>
        <w:jc w:val="left"/>
        <w:rPr>
          <w:rFonts w:ascii="Myriad Pro Light" w:eastAsiaTheme="minorHAnsi" w:hAnsi="Myriad Pro Light"/>
          <w:szCs w:val="22"/>
        </w:rPr>
      </w:pPr>
      <w:r w:rsidRPr="00865C0B">
        <w:rPr>
          <w:rFonts w:ascii="Myriad Pro Light" w:eastAsiaTheme="minorHAnsi" w:hAnsi="Myriad Pro Light"/>
          <w:szCs w:val="22"/>
        </w:rPr>
        <w:t>13 (87%) of employers were complaint with record keeping and pay-slip requirements.</w:t>
      </w:r>
    </w:p>
    <w:p w:rsidR="0099250A" w:rsidRDefault="0099250A" w:rsidP="00F55525">
      <w:pPr>
        <w:spacing w:after="113" w:line="320" w:lineRule="exact"/>
        <w:jc w:val="left"/>
        <w:rPr>
          <w:rFonts w:ascii="Myriad Pro Light" w:hAnsi="Myriad Pro Light"/>
          <w:szCs w:val="22"/>
        </w:rPr>
      </w:pPr>
      <w:r w:rsidRPr="00407A7B">
        <w:rPr>
          <w:rFonts w:ascii="Myriad Pro Light" w:eastAsiaTheme="minorHAnsi" w:hAnsi="Myriad Pro Light"/>
          <w:szCs w:val="22"/>
        </w:rPr>
        <w:t xml:space="preserve">The </w:t>
      </w:r>
      <w:r>
        <w:rPr>
          <w:rFonts w:ascii="Myriad Pro Light" w:eastAsiaTheme="minorHAnsi" w:hAnsi="Myriad Pro Light"/>
          <w:szCs w:val="22"/>
        </w:rPr>
        <w:t>5</w:t>
      </w:r>
      <w:r w:rsidRPr="00407A7B">
        <w:rPr>
          <w:rFonts w:ascii="Myriad Pro Light" w:eastAsiaTheme="minorHAnsi" w:hAnsi="Myriad Pro Light"/>
          <w:szCs w:val="22"/>
        </w:rPr>
        <w:t xml:space="preserve"> businesses found </w:t>
      </w:r>
      <w:r>
        <w:rPr>
          <w:rFonts w:ascii="Myriad Pro Light" w:eastAsiaTheme="minorHAnsi" w:hAnsi="Myriad Pro Light"/>
          <w:szCs w:val="22"/>
        </w:rPr>
        <w:t>to have errors,</w:t>
      </w:r>
      <w:r w:rsidRPr="00407A7B">
        <w:rPr>
          <w:rFonts w:ascii="Myriad Pro Light" w:eastAsiaTheme="minorHAnsi" w:hAnsi="Myriad Pro Light"/>
          <w:szCs w:val="22"/>
        </w:rPr>
        <w:t xml:space="preserve"> each had 1 individual </w:t>
      </w:r>
      <w:r>
        <w:rPr>
          <w:rFonts w:ascii="Myriad Pro Light" w:eastAsiaTheme="minorHAnsi" w:hAnsi="Myriad Pro Light"/>
          <w:szCs w:val="22"/>
        </w:rPr>
        <w:t>error</w:t>
      </w:r>
      <w:r w:rsidRPr="00407A7B">
        <w:rPr>
          <w:rFonts w:ascii="Myriad Pro Light" w:eastAsiaTheme="minorHAnsi" w:hAnsi="Myriad Pro Light"/>
          <w:szCs w:val="22"/>
        </w:rPr>
        <w:t>. Underpayment</w:t>
      </w:r>
      <w:r>
        <w:rPr>
          <w:rFonts w:ascii="Myriad Pro Light" w:eastAsiaTheme="minorHAnsi" w:hAnsi="Myriad Pro Light"/>
          <w:szCs w:val="22"/>
        </w:rPr>
        <w:t xml:space="preserve"> of the minimum base hourly rate accounted for 60</w:t>
      </w:r>
      <w:r w:rsidRPr="00407A7B">
        <w:rPr>
          <w:rFonts w:ascii="Myriad Pro Light" w:eastAsiaTheme="minorHAnsi" w:hAnsi="Myriad Pro Light"/>
          <w:szCs w:val="22"/>
        </w:rPr>
        <w:t xml:space="preserve">% of </w:t>
      </w:r>
      <w:r>
        <w:rPr>
          <w:rFonts w:ascii="Myriad Pro Light" w:eastAsiaTheme="minorHAnsi" w:hAnsi="Myriad Pro Light"/>
          <w:szCs w:val="22"/>
        </w:rPr>
        <w:t xml:space="preserve">errors. In total, </w:t>
      </w:r>
      <w:r>
        <w:rPr>
          <w:rFonts w:ascii="Myriad Pro Light" w:hAnsi="Myriad Pro Light"/>
          <w:szCs w:val="22"/>
        </w:rPr>
        <w:t>$698 was recovered</w:t>
      </w:r>
      <w:r w:rsidRPr="00407A7B">
        <w:rPr>
          <w:rFonts w:ascii="Myriad Pro Light" w:hAnsi="Myriad Pro Light"/>
          <w:szCs w:val="22"/>
        </w:rPr>
        <w:t xml:space="preserve"> from </w:t>
      </w:r>
      <w:r>
        <w:rPr>
          <w:rFonts w:ascii="Myriad Pro Light" w:hAnsi="Myriad Pro Light"/>
          <w:szCs w:val="22"/>
        </w:rPr>
        <w:t>2 </w:t>
      </w:r>
      <w:r w:rsidRPr="00407A7B">
        <w:rPr>
          <w:rFonts w:ascii="Myriad Pro Light" w:hAnsi="Myriad Pro Light"/>
          <w:szCs w:val="22"/>
        </w:rPr>
        <w:t xml:space="preserve">businesses on behalf of </w:t>
      </w:r>
      <w:r>
        <w:rPr>
          <w:rFonts w:ascii="Myriad Pro Light" w:hAnsi="Myriad Pro Light"/>
          <w:szCs w:val="22"/>
        </w:rPr>
        <w:t>5</w:t>
      </w:r>
      <w:r w:rsidRPr="00407A7B">
        <w:rPr>
          <w:rFonts w:ascii="Myriad Pro Light" w:hAnsi="Myriad Pro Light"/>
          <w:szCs w:val="22"/>
        </w:rPr>
        <w:t xml:space="preserve"> employees.</w:t>
      </w:r>
    </w:p>
    <w:p w:rsidR="0099250A" w:rsidRPr="00BF6109" w:rsidRDefault="0099250A" w:rsidP="00F55525">
      <w:pPr>
        <w:spacing w:after="113" w:line="320" w:lineRule="exact"/>
        <w:jc w:val="left"/>
        <w:rPr>
          <w:rFonts w:eastAsiaTheme="minorHAnsi" w:cstheme="minorHAnsi"/>
          <w:color w:val="FF0000"/>
          <w:szCs w:val="22"/>
        </w:rPr>
      </w:pPr>
      <w:r w:rsidRPr="009A7038">
        <w:rPr>
          <w:rFonts w:eastAsiaTheme="minorHAnsi" w:cstheme="minorHAnsi"/>
          <w:szCs w:val="22"/>
        </w:rPr>
        <w:lastRenderedPageBreak/>
        <w:t xml:space="preserve">Monetary errors were often the result of confusion over the correct pay rates, </w:t>
      </w:r>
      <w:r>
        <w:rPr>
          <w:rFonts w:eastAsiaTheme="minorHAnsi" w:cstheme="minorHAnsi"/>
          <w:szCs w:val="22"/>
        </w:rPr>
        <w:t>most commonly relating</w:t>
      </w:r>
      <w:r w:rsidRPr="009A7038">
        <w:rPr>
          <w:rFonts w:eastAsiaTheme="minorHAnsi" w:cstheme="minorHAnsi"/>
          <w:szCs w:val="22"/>
        </w:rPr>
        <w:t xml:space="preserve"> to incorrect employee classification and incorrect</w:t>
      </w:r>
      <w:r>
        <w:rPr>
          <w:rFonts w:eastAsiaTheme="minorHAnsi" w:cstheme="minorHAnsi"/>
          <w:szCs w:val="22"/>
        </w:rPr>
        <w:t xml:space="preserve"> or </w:t>
      </w:r>
      <w:r w:rsidRPr="009A7038">
        <w:rPr>
          <w:rFonts w:eastAsiaTheme="minorHAnsi" w:cstheme="minorHAnsi"/>
          <w:szCs w:val="22"/>
        </w:rPr>
        <w:t xml:space="preserve">non-payment of allowances (i.e. </w:t>
      </w:r>
      <w:r>
        <w:rPr>
          <w:rFonts w:eastAsiaTheme="minorHAnsi" w:cstheme="minorHAnsi"/>
          <w:szCs w:val="22"/>
        </w:rPr>
        <w:t>d</w:t>
      </w:r>
      <w:r w:rsidRPr="009A7038">
        <w:rPr>
          <w:rFonts w:eastAsiaTheme="minorHAnsi" w:cstheme="minorHAnsi"/>
          <w:szCs w:val="22"/>
        </w:rPr>
        <w:t>istrict allowances – which were most common in WA and NT). In WA, the low compliance rate can also be att</w:t>
      </w:r>
      <w:r>
        <w:rPr>
          <w:rFonts w:eastAsiaTheme="minorHAnsi" w:cstheme="minorHAnsi"/>
          <w:szCs w:val="22"/>
        </w:rPr>
        <w:t>rib</w:t>
      </w:r>
      <w:r w:rsidRPr="009A7038">
        <w:rPr>
          <w:rFonts w:eastAsiaTheme="minorHAnsi" w:cstheme="minorHAnsi"/>
          <w:szCs w:val="22"/>
        </w:rPr>
        <w:t xml:space="preserve">uted to the </w:t>
      </w:r>
      <w:r w:rsidRPr="009A7038">
        <w:t>special phasing provisions unique to WA, NSW &amp; Tasmania.</w:t>
      </w:r>
    </w:p>
    <w:p w:rsidR="0099250A" w:rsidRPr="00205DBE" w:rsidRDefault="0099250A" w:rsidP="00F55525">
      <w:pPr>
        <w:pStyle w:val="Heading1"/>
        <w:jc w:val="left"/>
      </w:pPr>
      <w:bookmarkStart w:id="18" w:name="_Toc410822210"/>
      <w:bookmarkStart w:id="19" w:name="_Toc418861808"/>
      <w:r>
        <w:t>Conclusion</w:t>
      </w:r>
      <w:bookmarkEnd w:id="18"/>
      <w:bookmarkEnd w:id="19"/>
    </w:p>
    <w:p w:rsidR="0099250A" w:rsidRDefault="0099250A" w:rsidP="00F55525">
      <w:pPr>
        <w:spacing w:after="0" w:line="320" w:lineRule="exact"/>
        <w:jc w:val="left"/>
      </w:pPr>
      <w:bookmarkStart w:id="20" w:name="_Toc354148740"/>
      <w:r>
        <w:rPr>
          <w:rFonts w:ascii="Myriad Pro Light" w:eastAsiaTheme="minorHAnsi" w:hAnsi="Myriad Pro Light"/>
          <w:szCs w:val="22"/>
        </w:rPr>
        <w:t>T</w:t>
      </w:r>
      <w:r w:rsidRPr="00BF6109">
        <w:rPr>
          <w:rFonts w:ascii="Myriad Pro Light" w:eastAsiaTheme="minorHAnsi" w:hAnsi="Myriad Pro Light"/>
          <w:szCs w:val="22"/>
        </w:rPr>
        <w:t>he National Childr</w:t>
      </w:r>
      <w:r>
        <w:rPr>
          <w:rFonts w:ascii="Myriad Pro Light" w:eastAsiaTheme="minorHAnsi" w:hAnsi="Myriad Pro Light"/>
          <w:szCs w:val="22"/>
        </w:rPr>
        <w:t xml:space="preserve">en’s Services Campaign </w:t>
      </w:r>
      <w:bookmarkStart w:id="21" w:name="_GoBack"/>
      <w:r>
        <w:rPr>
          <w:rFonts w:ascii="Myriad Pro Light" w:eastAsiaTheme="minorHAnsi" w:hAnsi="Myriad Pro Light"/>
          <w:szCs w:val="22"/>
        </w:rPr>
        <w:t>2</w:t>
      </w:r>
      <w:bookmarkEnd w:id="21"/>
      <w:r>
        <w:rPr>
          <w:rFonts w:ascii="Myriad Pro Light" w:eastAsiaTheme="minorHAnsi" w:hAnsi="Myriad Pro Light"/>
          <w:szCs w:val="22"/>
        </w:rPr>
        <w:t>013/14 disclosed a</w:t>
      </w:r>
      <w:r w:rsidR="003A786B">
        <w:rPr>
          <w:rFonts w:ascii="Myriad Pro Light" w:eastAsiaTheme="minorHAnsi" w:hAnsi="Myriad Pro Light"/>
          <w:szCs w:val="22"/>
        </w:rPr>
        <w:t>n</w:t>
      </w:r>
      <w:r>
        <w:rPr>
          <w:rFonts w:ascii="Myriad Pro Light" w:eastAsiaTheme="minorHAnsi" w:hAnsi="Myriad Pro Light"/>
          <w:szCs w:val="22"/>
        </w:rPr>
        <w:t xml:space="preserve"> overall compliance rate of 71%. This</w:t>
      </w:r>
      <w:r w:rsidRPr="0036761D">
        <w:t xml:space="preserve"> </w:t>
      </w:r>
      <w:r>
        <w:t xml:space="preserve">is significantly higher than the </w:t>
      </w:r>
      <w:r w:rsidRPr="0036761D">
        <w:t>complaint data collected prior to the campaign</w:t>
      </w:r>
      <w:r>
        <w:t xml:space="preserve"> – which showed a 56% contravention rate from complaints received in 2010/11 and 61% in 2012</w:t>
      </w:r>
      <w:r w:rsidRPr="0036761D">
        <w:t>.</w:t>
      </w:r>
      <w:r>
        <w:t xml:space="preserve"> However there was a disparity </w:t>
      </w:r>
      <w:r w:rsidRPr="009A7038">
        <w:t>in compliance rates across the different regions</w:t>
      </w:r>
      <w:r>
        <w:t xml:space="preserve"> (which are detailed in </w:t>
      </w:r>
      <w:r w:rsidRPr="00401622">
        <w:rPr>
          <w:b/>
        </w:rPr>
        <w:t>Figure 2</w:t>
      </w:r>
      <w:r>
        <w:t>). There were four regions that recorded compliance rates above the overall compliance rate, specifically SA (90%),</w:t>
      </w:r>
      <w:r w:rsidRPr="00401622">
        <w:t xml:space="preserve"> </w:t>
      </w:r>
      <w:r w:rsidRPr="009A7038">
        <w:t>ACT</w:t>
      </w:r>
      <w:r>
        <w:t xml:space="preserve"> (90%)</w:t>
      </w:r>
      <w:r w:rsidRPr="009A7038">
        <w:t>, Queensland</w:t>
      </w:r>
      <w:r>
        <w:t xml:space="preserve"> (89%)</w:t>
      </w:r>
      <w:r w:rsidR="00680E2D">
        <w:t>.</w:t>
      </w:r>
    </w:p>
    <w:p w:rsidR="0099250A" w:rsidRPr="00563552" w:rsidRDefault="0099250A" w:rsidP="00AE7036">
      <w:pPr>
        <w:pStyle w:val="Heading2"/>
      </w:pPr>
      <w:r w:rsidRPr="00563552">
        <w:t>Figure 2: Campaign Compliance Vs Contravention Rates</w:t>
      </w:r>
    </w:p>
    <w:p w:rsidR="0099250A" w:rsidRPr="0099250A" w:rsidRDefault="0099250A" w:rsidP="0099250A">
      <w:pPr>
        <w:rPr>
          <w:color w:val="FF0000"/>
        </w:rPr>
      </w:pPr>
      <w:r>
        <w:rPr>
          <w:noProof/>
          <w:lang w:eastAsia="en-AU"/>
        </w:rPr>
        <w:drawing>
          <wp:inline distT="0" distB="0" distL="0" distR="0" wp14:anchorId="37722883" wp14:editId="318901EE">
            <wp:extent cx="5958000" cy="2894400"/>
            <wp:effectExtent l="0" t="0" r="5080" b="1270"/>
            <wp:docPr id="6" name="Picture 6" descr="Figure 2 outlines the significant disparity in compliance rates across the different regions. There were four regions that recorded compliance rates above the overall compliance rate, specifically SA (90%), ACT (90%), Queensland (89%) and Victoria (77%). At the other end of the scale, Tasmania (69%), NT (67%) and NSW (59%) recorded compliance rates below the overall rate. With WA (43%) recording a compliance rate significantly below the other regions." title="Figure 2 Campaign Compliance Vs Contravention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894400"/>
                    </a:xfrm>
                    <a:prstGeom prst="rect">
                      <a:avLst/>
                    </a:prstGeom>
                    <a:noFill/>
                  </pic:spPr>
                </pic:pic>
              </a:graphicData>
            </a:graphic>
          </wp:inline>
        </w:drawing>
      </w:r>
      <w:bookmarkStart w:id="22" w:name="_Toc410822211"/>
    </w:p>
    <w:p w:rsidR="0099250A" w:rsidRDefault="00680E2D" w:rsidP="00F55525">
      <w:pPr>
        <w:jc w:val="left"/>
      </w:pPr>
      <w:r>
        <w:t xml:space="preserve">The results for NSW, Tasmania and WA </w:t>
      </w:r>
      <w:r w:rsidR="0099250A" w:rsidRPr="009A7038">
        <w:t>can be</w:t>
      </w:r>
      <w:r w:rsidR="0099250A">
        <w:t xml:space="preserve"> in part</w:t>
      </w:r>
      <w:r w:rsidR="0099250A" w:rsidRPr="009A7038">
        <w:t xml:space="preserve"> attributed</w:t>
      </w:r>
      <w:r w:rsidR="0099250A">
        <w:t xml:space="preserve"> </w:t>
      </w:r>
      <w:r w:rsidR="0099250A" w:rsidRPr="009A7038">
        <w:t xml:space="preserve">to the special phasing provisions unique to these states (which ceased as at 30 June 2014) which further complicated the award in respect of minimum wages entitlements. </w:t>
      </w:r>
      <w:r w:rsidR="0099250A">
        <w:t>The Northern Territory (along with WA) is however subject to some district allowances which may also (in part) explain their lower than average compliance rates.</w:t>
      </w:r>
    </w:p>
    <w:p w:rsidR="0099250A" w:rsidRDefault="0099250A" w:rsidP="00F55525">
      <w:pPr>
        <w:jc w:val="left"/>
      </w:pPr>
      <w:r w:rsidRPr="009A7038">
        <w:t xml:space="preserve">With the end of transitional provisions and the removal of the special phasing provisions in NSW, Tasmania and </w:t>
      </w:r>
      <w:r>
        <w:t>WA</w:t>
      </w:r>
      <w:r w:rsidRPr="009A7038">
        <w:t xml:space="preserve">, it is anticipated there will be an overall increase in compliance rates across </w:t>
      </w:r>
      <w:r>
        <w:t xml:space="preserve">the industry in </w:t>
      </w:r>
      <w:r w:rsidRPr="009A7038">
        <w:t>Australia.</w:t>
      </w:r>
    </w:p>
    <w:p w:rsidR="00B52501" w:rsidRPr="00B52501" w:rsidRDefault="0099250A" w:rsidP="00B52501">
      <w:pPr>
        <w:pStyle w:val="Heading1"/>
        <w:spacing w:before="0" w:after="120" w:line="240" w:lineRule="auto"/>
        <w:rPr>
          <w:lang w:eastAsia="en-AU"/>
        </w:rPr>
      </w:pPr>
      <w:bookmarkStart w:id="23" w:name="_Toc418861809"/>
      <w:r w:rsidRPr="009629F3">
        <w:rPr>
          <w:lang w:eastAsia="en-AU"/>
        </w:rPr>
        <w:lastRenderedPageBreak/>
        <w:t>About the Fair Work Ombudsman</w:t>
      </w:r>
      <w:bookmarkEnd w:id="20"/>
      <w:bookmarkEnd w:id="22"/>
      <w:bookmarkEnd w:id="23"/>
    </w:p>
    <w:p w:rsidR="008C5F4E" w:rsidRPr="00B52501" w:rsidRDefault="008C5F4E" w:rsidP="00F55525">
      <w:pPr>
        <w:spacing w:before="120"/>
        <w:jc w:val="left"/>
        <w:rPr>
          <w:rFonts w:eastAsiaTheme="minorHAnsi" w:cs="Times New Roman"/>
          <w:szCs w:val="22"/>
        </w:rPr>
      </w:pPr>
      <w:r w:rsidRPr="00B52501">
        <w:rPr>
          <w:rFonts w:eastAsiaTheme="minorHAnsi" w:cs="Times New Roman"/>
          <w:szCs w:val="22"/>
        </w:rPr>
        <w:t>The Fair Work Ombudsman is an independent agency created by the Fair Work Act 2009 on 1 July 2009. Our main role is to promote harmonious, productive and cooperative workplace relations.</w:t>
      </w:r>
    </w:p>
    <w:p w:rsidR="008C5F4E" w:rsidRDefault="008C5F4E" w:rsidP="00F55525">
      <w:pPr>
        <w:pStyle w:val="Bullet"/>
      </w:pPr>
      <w:r>
        <w:t xml:space="preserve">Each year the Fair Work Ombudsman (FWO) runs proactive campaigns to assist employers and employees understand their rights and obligations under Commonwealth workplace relations laws. </w:t>
      </w:r>
    </w:p>
    <w:p w:rsidR="008C5F4E" w:rsidRDefault="008C5F4E" w:rsidP="00F55525">
      <w:pPr>
        <w:jc w:val="left"/>
      </w:pPr>
      <w:r>
        <w:t>These campaigns can focus on particular industries, regions and/or labour market issues and are conducted on a national and state level.</w:t>
      </w:r>
    </w:p>
    <w:p w:rsidR="0099250A" w:rsidRPr="009A7038" w:rsidRDefault="0099250A" w:rsidP="00F55525">
      <w:pPr>
        <w:jc w:val="left"/>
        <w:rPr>
          <w:lang w:eastAsia="en-AU"/>
        </w:rPr>
      </w:pPr>
      <w:r w:rsidRPr="009A7038">
        <w:rPr>
          <w:lang w:eastAsia="en-AU"/>
        </w:rPr>
        <w:t xml:space="preserve">This report covers the background, method and findings of the National Children’s Services </w:t>
      </w:r>
      <w:r>
        <w:rPr>
          <w:lang w:eastAsia="en-AU"/>
        </w:rPr>
        <w:t>Campaign</w:t>
      </w:r>
      <w:r w:rsidRPr="009A7038">
        <w:rPr>
          <w:lang w:eastAsia="en-AU"/>
        </w:rPr>
        <w:t xml:space="preserve"> 2013/14. For further information and media enquiries please contact the media team at </w:t>
      </w:r>
      <w:hyperlink r:id="rId18" w:history="1">
        <w:r w:rsidRPr="009A7038">
          <w:rPr>
            <w:rStyle w:val="Hyperlink"/>
            <w:rFonts w:cstheme="minorHAnsi"/>
            <w:szCs w:val="22"/>
            <w:lang w:eastAsia="en-AU"/>
          </w:rPr>
          <w:t>media@fwo.gov.au</w:t>
        </w:r>
      </w:hyperlink>
      <w:r w:rsidRPr="009A7038">
        <w:rPr>
          <w:lang w:eastAsia="en-AU"/>
        </w:rPr>
        <w:t xml:space="preserve">  </w:t>
      </w:r>
    </w:p>
    <w:p w:rsidR="0099250A" w:rsidRDefault="0099250A" w:rsidP="00F55525">
      <w:pPr>
        <w:jc w:val="left"/>
        <w:rPr>
          <w:lang w:eastAsia="en-AU"/>
        </w:rPr>
      </w:pPr>
      <w:r w:rsidRPr="009A7038">
        <w:rPr>
          <w:lang w:eastAsia="en-AU"/>
        </w:rPr>
        <w:t xml:space="preserve">If you would like further information about the Fair Work Ombudsman’s campaigns please contact Lynda McAlary-Smith, Executive Director - Proactive Compliance and Education at </w:t>
      </w:r>
      <w:hyperlink r:id="rId19" w:history="1">
        <w:r w:rsidRPr="009A7038">
          <w:rPr>
            <w:rStyle w:val="Hyperlink"/>
            <w:rFonts w:cstheme="minorHAnsi"/>
            <w:szCs w:val="22"/>
            <w:lang w:eastAsia="en-AU"/>
          </w:rPr>
          <w:t>Lynda.McAlary-Smith@fwo.gov.au</w:t>
        </w:r>
      </w:hyperlink>
      <w:r>
        <w:rPr>
          <w:lang w:eastAsia="en-AU"/>
        </w:rPr>
        <w:t xml:space="preserve"> </w:t>
      </w:r>
    </w:p>
    <w:p w:rsidR="0099250A" w:rsidRDefault="0099250A" w:rsidP="0099250A">
      <w:pPr>
        <w:spacing w:after="0" w:line="240" w:lineRule="auto"/>
        <w:jc w:val="left"/>
        <w:rPr>
          <w:lang w:eastAsia="en-AU"/>
        </w:rPr>
      </w:pPr>
      <w:r>
        <w:rPr>
          <w:lang w:eastAsia="en-AU"/>
        </w:rPr>
        <w:br w:type="page"/>
      </w:r>
    </w:p>
    <w:p w:rsidR="0099250A" w:rsidRDefault="0099250A" w:rsidP="0099250A">
      <w:pPr>
        <w:pStyle w:val="Heading1"/>
      </w:pPr>
      <w:bookmarkStart w:id="24" w:name="_Toc418861810"/>
      <w:r>
        <w:lastRenderedPageBreak/>
        <w:t>Appendix A</w:t>
      </w:r>
      <w:bookmarkEnd w:id="24"/>
      <w:r>
        <w:t xml:space="preserve"> </w:t>
      </w:r>
    </w:p>
    <w:p w:rsidR="0099250A" w:rsidRDefault="0099250A" w:rsidP="0099250A">
      <w:pPr>
        <w:pStyle w:val="Heading2"/>
      </w:pPr>
      <w:bookmarkStart w:id="25" w:name="_Toc418861811"/>
      <w:r>
        <w:t>FWO Communication Activities</w:t>
      </w:r>
      <w:bookmarkEnd w:id="25"/>
    </w:p>
    <w:p w:rsidR="0099250A" w:rsidRPr="00BF6109" w:rsidRDefault="0099250A" w:rsidP="0099250A">
      <w:pPr>
        <w:pStyle w:val="Bullet"/>
      </w:pPr>
      <w:r w:rsidRPr="00BF6109">
        <w:t>The webinar had a high attendance rate (230 attendees)</w:t>
      </w:r>
      <w:r>
        <w:t>, rec</w:t>
      </w:r>
      <w:r w:rsidRPr="00BF6109">
        <w:t xml:space="preserve">eived a further 165 views through YouTube and </w:t>
      </w:r>
      <w:r>
        <w:t xml:space="preserve">a </w:t>
      </w:r>
      <w:r w:rsidRPr="00BF6109">
        <w:t xml:space="preserve">further 2,656 </w:t>
      </w:r>
      <w:r>
        <w:t>views of</w:t>
      </w:r>
      <w:r w:rsidRPr="00BF6109">
        <w:t xml:space="preserve"> the webinar’s Frequently Asked Questions (FAQ) page. We also advertised </w:t>
      </w:r>
      <w:r>
        <w:t xml:space="preserve">the campaign </w:t>
      </w:r>
      <w:r w:rsidRPr="00BF6109">
        <w:t>via a number of digital p</w:t>
      </w:r>
      <w:r w:rsidR="00F55525">
        <w:t>latforms (i.e. Facebook, Google</w:t>
      </w:r>
      <w:r w:rsidRPr="00BF6109">
        <w:t xml:space="preserve"> </w:t>
      </w:r>
      <w:r w:rsidR="00F55525" w:rsidRPr="00BF6109">
        <w:t>and Twitter</w:t>
      </w:r>
      <w:r w:rsidRPr="00BF6109">
        <w:t>) achievin</w:t>
      </w:r>
      <w:r>
        <w:t>g the following results:</w:t>
      </w:r>
    </w:p>
    <w:p w:rsidR="0099250A" w:rsidRPr="00BF6109" w:rsidRDefault="0099250A" w:rsidP="0099250A">
      <w:pPr>
        <w:pStyle w:val="Bullet"/>
        <w:numPr>
          <w:ilvl w:val="0"/>
          <w:numId w:val="2"/>
        </w:numPr>
      </w:pPr>
      <w:r w:rsidRPr="00BF6109">
        <w:t>9,296 views of the dedicated website (</w:t>
      </w:r>
      <w:hyperlink r:id="rId20" w:tooltip="Children's Services Campaign Page on the Fair Work Ombudsman website" w:history="1">
        <w:r w:rsidRPr="00D400C3">
          <w:rPr>
            <w:rStyle w:val="Hyperlink"/>
          </w:rPr>
          <w:t>www.fairwork.gov.au/childcare</w:t>
        </w:r>
      </w:hyperlink>
      <w:r>
        <w:t>)</w:t>
      </w:r>
      <w:r w:rsidRPr="00717809">
        <w:t xml:space="preserve"> </w:t>
      </w:r>
      <w:r w:rsidRPr="00BF6109">
        <w:t>including 750 visitors on 6 August 2014 – (when businesses were notified of the campaign via email);</w:t>
      </w:r>
    </w:p>
    <w:p w:rsidR="0099250A" w:rsidRPr="00BF6109" w:rsidRDefault="0099250A" w:rsidP="0099250A">
      <w:pPr>
        <w:pStyle w:val="Bullet"/>
        <w:numPr>
          <w:ilvl w:val="0"/>
          <w:numId w:val="2"/>
        </w:numPr>
      </w:pPr>
      <w:r w:rsidRPr="00BF6109">
        <w:t>1,891 unique opens of the electronic email notification (42% of recipients - which is 10% higher than previous campaigns) and a further 569 (12%) following the link to our website.</w:t>
      </w:r>
    </w:p>
    <w:p w:rsidR="0099250A" w:rsidRPr="00BF6109" w:rsidRDefault="0099250A" w:rsidP="0099250A">
      <w:pPr>
        <w:pStyle w:val="Bullet"/>
        <w:numPr>
          <w:ilvl w:val="0"/>
          <w:numId w:val="2"/>
        </w:numPr>
      </w:pPr>
      <w:r w:rsidRPr="00BF6109">
        <w:t>139,401 views on google from search matches (including 3,084 views of our website through google AdWords);</w:t>
      </w:r>
    </w:p>
    <w:p w:rsidR="0099250A" w:rsidRPr="00BF6109" w:rsidRDefault="0099250A" w:rsidP="0099250A">
      <w:pPr>
        <w:pStyle w:val="Bullet"/>
        <w:numPr>
          <w:ilvl w:val="0"/>
          <w:numId w:val="2"/>
        </w:numPr>
      </w:pPr>
      <w:r w:rsidRPr="00BF6109">
        <w:t>8 Tweets and 13 retweets through twitter;</w:t>
      </w:r>
    </w:p>
    <w:p w:rsidR="0099250A" w:rsidRPr="00BF6109" w:rsidRDefault="0099250A" w:rsidP="0099250A">
      <w:pPr>
        <w:pStyle w:val="Bullet"/>
        <w:numPr>
          <w:ilvl w:val="0"/>
          <w:numId w:val="2"/>
        </w:numPr>
      </w:pPr>
      <w:r w:rsidRPr="00BF6109">
        <w:t>Six Facebook posts throughout the campaign (16 October 2013 – 6 November 2013) reaching a total of 317,896 people, with 2,270 views of our YouTube channel; and</w:t>
      </w:r>
    </w:p>
    <w:p w:rsidR="0099250A" w:rsidRPr="00BF6109" w:rsidRDefault="0099250A" w:rsidP="0099250A">
      <w:pPr>
        <w:pStyle w:val="Bullet"/>
        <w:numPr>
          <w:ilvl w:val="0"/>
          <w:numId w:val="2"/>
        </w:numPr>
      </w:pPr>
      <w:r w:rsidRPr="00BF6109">
        <w:t>27,486 views of our dedicated employee’s page and 6,504 visits to our young workers page.</w:t>
      </w:r>
    </w:p>
    <w:p w:rsidR="0099250A" w:rsidRPr="00BF6109" w:rsidRDefault="0099250A" w:rsidP="0099250A">
      <w:pPr>
        <w:pStyle w:val="Bullet"/>
      </w:pPr>
      <w:r w:rsidRPr="00BF6109">
        <w:t xml:space="preserve">The campaign also received extensive coverage through traditional media channels including; </w:t>
      </w:r>
    </w:p>
    <w:p w:rsidR="0099250A" w:rsidRPr="00BF6109" w:rsidRDefault="0099250A" w:rsidP="0099250A">
      <w:pPr>
        <w:pStyle w:val="Bullet"/>
        <w:numPr>
          <w:ilvl w:val="0"/>
          <w:numId w:val="2"/>
        </w:numPr>
      </w:pPr>
      <w:r w:rsidRPr="00BF6109">
        <w:t xml:space="preserve">Through 79 Radio stations including Triple J (National), </w:t>
      </w:r>
      <w:proofErr w:type="spellStart"/>
      <w:r w:rsidRPr="00BF6109">
        <w:t>4KQ</w:t>
      </w:r>
      <w:proofErr w:type="spellEnd"/>
      <w:r w:rsidRPr="00BF6109">
        <w:t xml:space="preserve"> (Brisbane),  Gold FM (Melbourne) and numerous broadcasts on regional ABC radio stations (which included live interviews with the Media Director on ABC Brisbane and </w:t>
      </w:r>
      <w:proofErr w:type="spellStart"/>
      <w:r w:rsidRPr="00BF6109">
        <w:t>6PR</w:t>
      </w:r>
      <w:proofErr w:type="spellEnd"/>
      <w:r w:rsidRPr="00BF6109">
        <w:t xml:space="preserve"> Perth);</w:t>
      </w:r>
    </w:p>
    <w:p w:rsidR="0099250A" w:rsidRDefault="0099250A" w:rsidP="0099250A">
      <w:pPr>
        <w:pStyle w:val="Bullet"/>
        <w:numPr>
          <w:ilvl w:val="0"/>
          <w:numId w:val="2"/>
        </w:numPr>
      </w:pPr>
      <w:r w:rsidRPr="00BF6109">
        <w:t xml:space="preserve">through 39 regional newspaper publications (including Brisbane’s Courier Mail and the Hobart Mercury) and publication on a further 68 websites </w:t>
      </w:r>
      <w:r w:rsidRPr="00DF7817">
        <w:t>(including</w:t>
      </w:r>
      <w:r>
        <w:t xml:space="preserve"> </w:t>
      </w:r>
      <w:hyperlink r:id="rId21" w:tooltip="News.com website" w:history="1">
        <w:r w:rsidRPr="0056076E">
          <w:rPr>
            <w:rStyle w:val="Hyperlink"/>
          </w:rPr>
          <w:t>www.news.com.au</w:t>
        </w:r>
      </w:hyperlink>
      <w:r>
        <w:t xml:space="preserve"> </w:t>
      </w:r>
      <w:r w:rsidRPr="00DF7817">
        <w:t>and</w:t>
      </w:r>
      <w:r>
        <w:t xml:space="preserve"> </w:t>
      </w:r>
      <w:hyperlink r:id="rId22" w:tooltip="The Australian newspaper website" w:history="1">
        <w:r w:rsidRPr="0056076E">
          <w:rPr>
            <w:rStyle w:val="Hyperlink"/>
          </w:rPr>
          <w:t>www.theaustralian.com.au</w:t>
        </w:r>
      </w:hyperlink>
      <w:r>
        <w:t>; and</w:t>
      </w:r>
    </w:p>
    <w:p w:rsidR="0099250A" w:rsidRPr="00717809" w:rsidRDefault="0099250A" w:rsidP="0099250A">
      <w:pPr>
        <w:pStyle w:val="Bullet"/>
        <w:numPr>
          <w:ilvl w:val="0"/>
          <w:numId w:val="2"/>
        </w:numPr>
      </w:pPr>
      <w:r w:rsidRPr="00BF6109">
        <w:t xml:space="preserve">Strong TV coverage (including through </w:t>
      </w:r>
      <w:r>
        <w:t xml:space="preserve">the WIN network in </w:t>
      </w:r>
      <w:r w:rsidR="00F55525">
        <w:t>Wollongong</w:t>
      </w:r>
      <w:r>
        <w:t>).</w:t>
      </w:r>
    </w:p>
    <w:sectPr w:rsidR="0099250A" w:rsidRPr="00717809" w:rsidSect="00CF3B06">
      <w:type w:val="continuous"/>
      <w:pgSz w:w="11907" w:h="16840" w:code="9"/>
      <w:pgMar w:top="1276" w:right="992" w:bottom="1440" w:left="1276" w:header="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8FF" w:rsidRDefault="007C18FF" w:rsidP="0099250A">
      <w:pPr>
        <w:spacing w:after="0" w:line="240" w:lineRule="auto"/>
      </w:pPr>
      <w:r>
        <w:separator/>
      </w:r>
    </w:p>
  </w:endnote>
  <w:endnote w:type="continuationSeparator" w:id="0">
    <w:p w:rsidR="007C18FF" w:rsidRDefault="007C18FF" w:rsidP="0099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0A" w:rsidRDefault="0099250A" w:rsidP="00AB27F9">
    <w:r>
      <w:fldChar w:fldCharType="begin"/>
    </w:r>
    <w:r>
      <w:instrText xml:space="preserve">PAGE  </w:instrText>
    </w:r>
    <w:r>
      <w:fldChar w:fldCharType="separate"/>
    </w:r>
    <w:r>
      <w:rPr>
        <w:noProof/>
      </w:rPr>
      <w:t>2</w:t>
    </w:r>
    <w:r>
      <w:fldChar w:fldCharType="end"/>
    </w:r>
  </w:p>
  <w:p w:rsidR="0099250A" w:rsidRDefault="0099250A" w:rsidP="00AB27F9"/>
  <w:p w:rsidR="0099250A" w:rsidRDefault="0099250A"/>
  <w:p w:rsidR="0099250A" w:rsidRDefault="0099250A"/>
  <w:p w:rsidR="0099250A" w:rsidRDefault="009925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0A" w:rsidRPr="0045600E" w:rsidRDefault="0099250A">
    <w:pPr>
      <w:pStyle w:val="Footer"/>
      <w:jc w:val="right"/>
      <w:rPr>
        <w:color w:val="FFFFFF" w:themeColor="background1"/>
      </w:rPr>
    </w:pPr>
    <w:r w:rsidRPr="0045600E">
      <w:rPr>
        <w:noProof/>
        <w:color w:val="FFFFFF" w:themeColor="background1"/>
        <w:sz w:val="18"/>
        <w:szCs w:val="18"/>
        <w:lang w:eastAsia="en-AU"/>
      </w:rPr>
      <w:drawing>
        <wp:inline distT="0" distB="0" distL="0" distR="0">
          <wp:extent cx="7500594" cy="1013460"/>
          <wp:effectExtent l="0" t="0" r="5715" b="0"/>
          <wp:docPr id="4" name="Picture 4"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500594" cy="1013460"/>
                  </a:xfrm>
                  <a:prstGeom prst="rect">
                    <a:avLst/>
                  </a:prstGeom>
                </pic:spPr>
              </pic:pic>
            </a:graphicData>
          </a:graphic>
        </wp:inline>
      </w:drawing>
    </w:r>
    <w:r>
      <w:rPr>
        <w:color w:val="FFFFFF" w:themeColor="background1"/>
        <w:sz w:val="18"/>
        <w:szCs w:val="18"/>
        <w:lang w:val="en-US"/>
      </w:rPr>
      <w:t xml:space="preserve">National Children’s Services </w:t>
    </w:r>
    <w:r w:rsidRPr="0045600E">
      <w:rPr>
        <w:color w:val="FFFFFF" w:themeColor="background1"/>
        <w:sz w:val="18"/>
        <w:szCs w:val="18"/>
        <w:lang w:val="en-US"/>
      </w:rPr>
      <w:t>Campaign Report</w:t>
    </w:r>
    <w:r w:rsidRPr="0045600E">
      <w:rPr>
        <w:color w:val="FFFFFF" w:themeColor="background1"/>
        <w:sz w:val="18"/>
        <w:szCs w:val="18"/>
      </w:rPr>
      <w:tab/>
    </w:r>
    <w:sdt>
      <w:sdtPr>
        <w:rPr>
          <w:color w:val="FFFFFF" w:themeColor="background1"/>
        </w:rPr>
        <w:id w:val="-1963410161"/>
        <w:docPartObj>
          <w:docPartGallery w:val="Page Numbers (Bottom of Page)"/>
          <w:docPartUnique/>
        </w:docPartObj>
      </w:sdtPr>
      <w:sdtEndPr>
        <w:rPr>
          <w:noProof/>
        </w:rPr>
      </w:sdtEndPr>
      <w:sdtContent>
        <w:r w:rsidRPr="0045600E">
          <w:rPr>
            <w:color w:val="FFFFFF" w:themeColor="background1"/>
            <w:sz w:val="20"/>
            <w:szCs w:val="20"/>
          </w:rPr>
          <w:fldChar w:fldCharType="begin"/>
        </w:r>
        <w:r w:rsidRPr="0045600E">
          <w:rPr>
            <w:color w:val="FFFFFF" w:themeColor="background1"/>
            <w:sz w:val="20"/>
            <w:szCs w:val="20"/>
          </w:rPr>
          <w:instrText xml:space="preserve"> PAGE   \* MERGEFORMAT </w:instrText>
        </w:r>
        <w:r w:rsidRPr="0045600E">
          <w:rPr>
            <w:color w:val="FFFFFF" w:themeColor="background1"/>
            <w:sz w:val="20"/>
            <w:szCs w:val="20"/>
          </w:rPr>
          <w:fldChar w:fldCharType="separate"/>
        </w:r>
        <w:r w:rsidR="00AE7036">
          <w:rPr>
            <w:noProof/>
            <w:color w:val="FFFFFF" w:themeColor="background1"/>
            <w:sz w:val="20"/>
            <w:szCs w:val="20"/>
          </w:rPr>
          <w:t>9</w:t>
        </w:r>
        <w:r w:rsidRPr="0045600E">
          <w:rPr>
            <w:noProof/>
            <w:color w:val="FFFFFF" w:themeColor="background1"/>
            <w:sz w:val="20"/>
            <w:szCs w:val="20"/>
          </w:rPr>
          <w:fldChar w:fldCharType="end"/>
        </w:r>
      </w:sdtContent>
    </w:sdt>
  </w:p>
  <w:p w:rsidR="0099250A" w:rsidRDefault="0099250A" w:rsidP="004B2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8FF" w:rsidRDefault="007C18FF" w:rsidP="0099250A">
      <w:pPr>
        <w:spacing w:after="0" w:line="240" w:lineRule="auto"/>
      </w:pPr>
      <w:r>
        <w:separator/>
      </w:r>
    </w:p>
  </w:footnote>
  <w:footnote w:type="continuationSeparator" w:id="0">
    <w:p w:rsidR="007C18FF" w:rsidRDefault="007C18FF" w:rsidP="0099250A">
      <w:pPr>
        <w:spacing w:after="0" w:line="240" w:lineRule="auto"/>
      </w:pPr>
      <w:r>
        <w:continuationSeparator/>
      </w:r>
    </w:p>
  </w:footnote>
  <w:footnote w:id="1">
    <w:p w:rsidR="0099250A" w:rsidRDefault="0099250A" w:rsidP="0099250A">
      <w:pPr>
        <w:pStyle w:val="FootnoteText"/>
      </w:pPr>
      <w:r w:rsidRPr="0036761D">
        <w:rPr>
          <w:rStyle w:val="FootnoteReference"/>
          <w:sz w:val="20"/>
        </w:rPr>
        <w:footnoteRef/>
      </w:r>
      <w:r w:rsidRPr="0036761D">
        <w:rPr>
          <w:sz w:val="20"/>
        </w:rPr>
        <w:t xml:space="preserve"> Ibis World Industry Report: Child Care Services in Australia – November 2011</w:t>
      </w:r>
    </w:p>
  </w:footnote>
  <w:footnote w:id="2">
    <w:p w:rsidR="0099250A" w:rsidRDefault="0099250A" w:rsidP="0099250A">
      <w:pPr>
        <w:pStyle w:val="FootnoteText"/>
      </w:pPr>
      <w:r>
        <w:rPr>
          <w:rStyle w:val="FootnoteReference"/>
        </w:rPr>
        <w:footnoteRef/>
      </w:r>
      <w:r>
        <w:t xml:space="preserve"> </w:t>
      </w:r>
      <w:r w:rsidRPr="002805CF">
        <w:rPr>
          <w:sz w:val="18"/>
        </w:rPr>
        <w:t>Clause 14.1 “Minimum wages” of the Award details the minimum wages payable and clause 14.2 details the progression through the wage levels applicable in clause 14.1</w:t>
      </w:r>
      <w:r>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0A" w:rsidRDefault="0099250A" w:rsidP="00563552">
    <w:pPr>
      <w:spacing w:before="100" w:beforeAutospacing="1" w:after="100" w:afterAutospacing="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0A" w:rsidRPr="003952ED" w:rsidRDefault="0099250A" w:rsidP="00AB27F9">
    <w:pPr>
      <w:rPr>
        <w:u w:val="single"/>
      </w:rPr>
    </w:pPr>
    <w:r w:rsidRPr="003952ED">
      <w:rPr>
        <w:noProof/>
        <w:u w:val="single"/>
        <w:lang w:eastAsia="en-AU"/>
      </w:rPr>
      <w:drawing>
        <wp:anchor distT="0" distB="0" distL="114300" distR="114300" simplePos="0" relativeHeight="251659264" behindDoc="1" locked="0" layoutInCell="1" allowOverlap="1" wp14:anchorId="04032BE1" wp14:editId="08B700B4">
          <wp:simplePos x="0" y="0"/>
          <wp:positionH relativeFrom="column">
            <wp:posOffset>-833755</wp:posOffset>
          </wp:positionH>
          <wp:positionV relativeFrom="paragraph">
            <wp:posOffset>2042605</wp:posOffset>
          </wp:positionV>
          <wp:extent cx="7592060" cy="8418614"/>
          <wp:effectExtent l="0" t="0" r="8890" b="1905"/>
          <wp:wrapNone/>
          <wp:docPr id="5" name="Picture 32"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84186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50743"/>
    <w:multiLevelType w:val="hybridMultilevel"/>
    <w:tmpl w:val="9858D576"/>
    <w:lvl w:ilvl="0" w:tplc="CF4AD3C0">
      <w:start w:val="1"/>
      <w:numFmt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DBE7BBE"/>
    <w:multiLevelType w:val="hybridMultilevel"/>
    <w:tmpl w:val="016CC634"/>
    <w:lvl w:ilvl="0" w:tplc="6F94E228">
      <w:start w:val="1"/>
      <w:numFmt w:val="bullet"/>
      <w:lvlText w:val=""/>
      <w:lvlJc w:val="left"/>
      <w:pPr>
        <w:ind w:left="420" w:hanging="360"/>
      </w:pPr>
      <w:rPr>
        <w:rFonts w:ascii="Wingdings" w:hAnsi="Wingdings" w:hint="default"/>
        <w:color w:val="0194A6"/>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0A"/>
    <w:rsid w:val="000103CA"/>
    <w:rsid w:val="000A6970"/>
    <w:rsid w:val="000F4684"/>
    <w:rsid w:val="0010377E"/>
    <w:rsid w:val="00191E25"/>
    <w:rsid w:val="001B4E25"/>
    <w:rsid w:val="00210816"/>
    <w:rsid w:val="0022282F"/>
    <w:rsid w:val="00295E9A"/>
    <w:rsid w:val="002B310F"/>
    <w:rsid w:val="002C1407"/>
    <w:rsid w:val="00381A25"/>
    <w:rsid w:val="00381C6B"/>
    <w:rsid w:val="003832A9"/>
    <w:rsid w:val="003923C4"/>
    <w:rsid w:val="0039475F"/>
    <w:rsid w:val="003A786B"/>
    <w:rsid w:val="003E7C6A"/>
    <w:rsid w:val="004069C1"/>
    <w:rsid w:val="004D7BB8"/>
    <w:rsid w:val="00576B04"/>
    <w:rsid w:val="00582A0F"/>
    <w:rsid w:val="00584E90"/>
    <w:rsid w:val="005A44B7"/>
    <w:rsid w:val="005D236C"/>
    <w:rsid w:val="0067319B"/>
    <w:rsid w:val="0068091B"/>
    <w:rsid w:val="00680E2D"/>
    <w:rsid w:val="006B60CC"/>
    <w:rsid w:val="00733DFC"/>
    <w:rsid w:val="00737AB0"/>
    <w:rsid w:val="007C18FF"/>
    <w:rsid w:val="007D141F"/>
    <w:rsid w:val="00857DEC"/>
    <w:rsid w:val="00861F9D"/>
    <w:rsid w:val="008809DB"/>
    <w:rsid w:val="00894276"/>
    <w:rsid w:val="008C5F4E"/>
    <w:rsid w:val="0090433F"/>
    <w:rsid w:val="00907FB7"/>
    <w:rsid w:val="00926BC1"/>
    <w:rsid w:val="00961BB4"/>
    <w:rsid w:val="0099250A"/>
    <w:rsid w:val="009C2666"/>
    <w:rsid w:val="009E3947"/>
    <w:rsid w:val="00A05D19"/>
    <w:rsid w:val="00A35BAC"/>
    <w:rsid w:val="00A81EE0"/>
    <w:rsid w:val="00AA47C4"/>
    <w:rsid w:val="00AD15EE"/>
    <w:rsid w:val="00AE7036"/>
    <w:rsid w:val="00B1546D"/>
    <w:rsid w:val="00B4410E"/>
    <w:rsid w:val="00B52501"/>
    <w:rsid w:val="00B62D3E"/>
    <w:rsid w:val="00B70EAB"/>
    <w:rsid w:val="00B9780F"/>
    <w:rsid w:val="00BD5D50"/>
    <w:rsid w:val="00C4429C"/>
    <w:rsid w:val="00C8288E"/>
    <w:rsid w:val="00C96FF0"/>
    <w:rsid w:val="00CD2A05"/>
    <w:rsid w:val="00D422A7"/>
    <w:rsid w:val="00E53E96"/>
    <w:rsid w:val="00E65DE5"/>
    <w:rsid w:val="00E91466"/>
    <w:rsid w:val="00E922C7"/>
    <w:rsid w:val="00F55525"/>
    <w:rsid w:val="00F715BA"/>
    <w:rsid w:val="00FC1795"/>
    <w:rsid w:val="00FC690B"/>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ph"/>
    <w:qFormat/>
    <w:rsid w:val="0099250A"/>
    <w:pPr>
      <w:spacing w:after="120" w:line="360" w:lineRule="auto"/>
      <w:jc w:val="both"/>
    </w:pPr>
    <w:rPr>
      <w:rFonts w:ascii="Helvetica" w:hAnsi="Helvetica" w:cs="Arial"/>
      <w:sz w:val="22"/>
      <w:szCs w:val="24"/>
      <w:lang w:eastAsia="en-US"/>
    </w:rPr>
  </w:style>
  <w:style w:type="paragraph" w:styleId="Heading1">
    <w:name w:val="heading 1"/>
    <w:basedOn w:val="Normal"/>
    <w:next w:val="Normal"/>
    <w:link w:val="Heading1Char"/>
    <w:uiPriority w:val="9"/>
    <w:qFormat/>
    <w:rsid w:val="00FD16BC"/>
    <w:pPr>
      <w:keepNext/>
      <w:spacing w:before="240" w:after="60"/>
      <w:outlineLvl w:val="0"/>
    </w:pPr>
    <w:rPr>
      <w:rFonts w:eastAsia="Batang"/>
      <w:b/>
      <w:bCs/>
      <w:sz w:val="28"/>
      <w:szCs w:val="32"/>
    </w:rPr>
  </w:style>
  <w:style w:type="paragraph" w:styleId="Heading2">
    <w:name w:val="heading 2"/>
    <w:basedOn w:val="Normal"/>
    <w:next w:val="Normal"/>
    <w:link w:val="Heading2Char"/>
    <w:uiPriority w:val="9"/>
    <w:qFormat/>
    <w:rsid w:val="00FD16BC"/>
    <w:pPr>
      <w:keepNext/>
      <w:spacing w:before="240" w:after="60"/>
      <w:outlineLvl w:val="1"/>
    </w:pPr>
    <w:rPr>
      <w:b/>
      <w:bCs/>
      <w:iCs/>
      <w:sz w:val="26"/>
      <w:szCs w:val="28"/>
    </w:rPr>
  </w:style>
  <w:style w:type="paragraph" w:styleId="Heading3">
    <w:name w:val="heading 3"/>
    <w:basedOn w:val="Normal"/>
    <w:next w:val="Normal"/>
    <w:link w:val="Heading3Char"/>
    <w:uiPriority w:val="9"/>
    <w:qFormat/>
    <w:rsid w:val="00FD16BC"/>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1Char">
    <w:name w:val="Heading 1 Char"/>
    <w:basedOn w:val="DefaultParagraphFont"/>
    <w:link w:val="Heading1"/>
    <w:uiPriority w:val="9"/>
    <w:locked/>
    <w:rsid w:val="0099250A"/>
    <w:rPr>
      <w:rFonts w:ascii="Arial" w:eastAsia="Batang" w:hAnsi="Arial" w:cs="Arial"/>
      <w:b/>
      <w:bCs/>
      <w:sz w:val="28"/>
      <w:szCs w:val="32"/>
      <w:lang w:eastAsia="en-US"/>
    </w:rPr>
  </w:style>
  <w:style w:type="character" w:customStyle="1" w:styleId="Heading2Char">
    <w:name w:val="Heading 2 Char"/>
    <w:basedOn w:val="DefaultParagraphFont"/>
    <w:link w:val="Heading2"/>
    <w:uiPriority w:val="9"/>
    <w:locked/>
    <w:rsid w:val="0099250A"/>
    <w:rPr>
      <w:rFonts w:ascii="Arial" w:hAnsi="Arial" w:cs="Arial"/>
      <w:b/>
      <w:bCs/>
      <w:iCs/>
      <w:sz w:val="26"/>
      <w:szCs w:val="28"/>
      <w:lang w:eastAsia="en-US"/>
    </w:rPr>
  </w:style>
  <w:style w:type="character" w:customStyle="1" w:styleId="Heading3Char">
    <w:name w:val="Heading 3 Char"/>
    <w:basedOn w:val="DefaultParagraphFont"/>
    <w:link w:val="Heading3"/>
    <w:uiPriority w:val="9"/>
    <w:locked/>
    <w:rsid w:val="0099250A"/>
    <w:rPr>
      <w:rFonts w:ascii="Arial" w:hAnsi="Arial" w:cs="Arial"/>
      <w:b/>
      <w:bCs/>
      <w:sz w:val="22"/>
      <w:szCs w:val="26"/>
      <w:lang w:eastAsia="en-US"/>
    </w:rPr>
  </w:style>
  <w:style w:type="paragraph" w:styleId="Header">
    <w:name w:val="header"/>
    <w:basedOn w:val="Normal"/>
    <w:link w:val="HeaderChar"/>
    <w:uiPriority w:val="99"/>
    <w:rsid w:val="0099250A"/>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rsid w:val="0099250A"/>
    <w:rPr>
      <w:rFonts w:ascii="Helvetica" w:hAnsi="Helvetica" w:cs="Arial"/>
      <w:sz w:val="40"/>
      <w:szCs w:val="40"/>
      <w:lang w:eastAsia="en-US"/>
    </w:rPr>
  </w:style>
  <w:style w:type="paragraph" w:styleId="TOC1">
    <w:name w:val="toc 1"/>
    <w:basedOn w:val="Normal"/>
    <w:autoRedefine/>
    <w:uiPriority w:val="39"/>
    <w:rsid w:val="0099250A"/>
    <w:pPr>
      <w:tabs>
        <w:tab w:val="left" w:pos="1560"/>
        <w:tab w:val="right" w:leader="dot" w:pos="8789"/>
      </w:tabs>
      <w:ind w:left="851" w:right="814"/>
    </w:pPr>
    <w:rPr>
      <w:spacing w:val="-4"/>
    </w:rPr>
  </w:style>
  <w:style w:type="paragraph" w:styleId="TOC2">
    <w:name w:val="toc 2"/>
    <w:basedOn w:val="Normal"/>
    <w:autoRedefine/>
    <w:uiPriority w:val="39"/>
    <w:rsid w:val="0099250A"/>
    <w:pPr>
      <w:tabs>
        <w:tab w:val="left" w:pos="1701"/>
        <w:tab w:val="right" w:leader="dot" w:pos="8789"/>
      </w:tabs>
      <w:ind w:left="992"/>
    </w:pPr>
  </w:style>
  <w:style w:type="paragraph" w:styleId="Footer">
    <w:name w:val="footer"/>
    <w:basedOn w:val="Normal"/>
    <w:link w:val="FooterChar"/>
    <w:uiPriority w:val="99"/>
    <w:rsid w:val="0099250A"/>
    <w:pPr>
      <w:tabs>
        <w:tab w:val="center" w:pos="4153"/>
        <w:tab w:val="right" w:pos="8306"/>
      </w:tabs>
    </w:pPr>
  </w:style>
  <w:style w:type="character" w:customStyle="1" w:styleId="FooterChar">
    <w:name w:val="Footer Char"/>
    <w:basedOn w:val="DefaultParagraphFont"/>
    <w:link w:val="Footer"/>
    <w:uiPriority w:val="99"/>
    <w:rsid w:val="0099250A"/>
    <w:rPr>
      <w:rFonts w:ascii="Helvetica" w:hAnsi="Helvetica" w:cs="Arial"/>
      <w:sz w:val="22"/>
      <w:szCs w:val="24"/>
      <w:lang w:eastAsia="en-US"/>
    </w:rPr>
  </w:style>
  <w:style w:type="character" w:styleId="Hyperlink">
    <w:name w:val="Hyperlink"/>
    <w:basedOn w:val="DefaultParagraphFont"/>
    <w:uiPriority w:val="99"/>
    <w:rsid w:val="0099250A"/>
    <w:rPr>
      <w:rFonts w:ascii="Arial" w:hAnsi="Arial" w:cs="Times New Roman"/>
      <w:color w:val="0000FF"/>
      <w:u w:val="single"/>
    </w:rPr>
  </w:style>
  <w:style w:type="paragraph" w:styleId="FootnoteText">
    <w:name w:val="footnote text"/>
    <w:basedOn w:val="Normal"/>
    <w:link w:val="FootnoteTextChar"/>
    <w:uiPriority w:val="99"/>
    <w:rsid w:val="0099250A"/>
  </w:style>
  <w:style w:type="character" w:customStyle="1" w:styleId="FootnoteTextChar">
    <w:name w:val="Footnote Text Char"/>
    <w:basedOn w:val="DefaultParagraphFont"/>
    <w:link w:val="FootnoteText"/>
    <w:uiPriority w:val="99"/>
    <w:rsid w:val="0099250A"/>
    <w:rPr>
      <w:rFonts w:ascii="Helvetica" w:hAnsi="Helvetica" w:cs="Arial"/>
      <w:sz w:val="22"/>
      <w:szCs w:val="24"/>
      <w:lang w:eastAsia="en-US"/>
    </w:rPr>
  </w:style>
  <w:style w:type="character" w:styleId="FootnoteReference">
    <w:name w:val="footnote reference"/>
    <w:basedOn w:val="DefaultParagraphFont"/>
    <w:uiPriority w:val="99"/>
    <w:rsid w:val="0099250A"/>
    <w:rPr>
      <w:rFonts w:cs="Times New Roman"/>
      <w:vertAlign w:val="superscript"/>
    </w:rPr>
  </w:style>
  <w:style w:type="paragraph" w:customStyle="1" w:styleId="Fronttitle">
    <w:name w:val="Front title"/>
    <w:basedOn w:val="Heading1"/>
    <w:link w:val="FronttitleChar"/>
    <w:rsid w:val="0099250A"/>
    <w:pPr>
      <w:keepLines/>
      <w:spacing w:before="3600"/>
    </w:pPr>
    <w:rPr>
      <w:b w:val="0"/>
      <w:bCs w:val="0"/>
      <w:color w:val="0194A6"/>
      <w:sz w:val="56"/>
      <w:szCs w:val="26"/>
    </w:rPr>
  </w:style>
  <w:style w:type="character" w:customStyle="1" w:styleId="FronttitleChar">
    <w:name w:val="Front title Char"/>
    <w:basedOn w:val="Heading1Char"/>
    <w:link w:val="Fronttitle"/>
    <w:rsid w:val="0099250A"/>
    <w:rPr>
      <w:rFonts w:ascii="Helvetica" w:eastAsia="Batang" w:hAnsi="Helvetica" w:cs="Arial"/>
      <w:b w:val="0"/>
      <w:bCs w:val="0"/>
      <w:color w:val="0194A6"/>
      <w:sz w:val="56"/>
      <w:szCs w:val="26"/>
      <w:lang w:eastAsia="en-US"/>
    </w:rPr>
  </w:style>
  <w:style w:type="paragraph" w:customStyle="1" w:styleId="CoverReportTitle">
    <w:name w:val="Cover Report Title"/>
    <w:basedOn w:val="Normal"/>
    <w:autoRedefine/>
    <w:qFormat/>
    <w:rsid w:val="0099250A"/>
    <w:pPr>
      <w:framePr w:w="4820" w:wrap="around" w:vAnchor="page" w:hAnchor="text" w:x="5388" w:y="795"/>
      <w:spacing w:after="0" w:line="480" w:lineRule="auto"/>
      <w:jc w:val="left"/>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99250A"/>
    <w:pPr>
      <w:framePr w:wrap="around"/>
      <w:spacing w:before="113" w:after="57" w:line="400" w:lineRule="exact"/>
    </w:pPr>
    <w:rPr>
      <w:sz w:val="36"/>
    </w:rPr>
  </w:style>
  <w:style w:type="paragraph" w:customStyle="1" w:styleId="Bullet">
    <w:name w:val="Bullet"/>
    <w:basedOn w:val="Normal"/>
    <w:autoRedefine/>
    <w:qFormat/>
    <w:rsid w:val="0099250A"/>
    <w:pPr>
      <w:spacing w:line="320" w:lineRule="exact"/>
      <w:jc w:val="left"/>
    </w:pPr>
    <w:rPr>
      <w:rFonts w:eastAsiaTheme="minorHAnsi" w:cs="Times New Roman"/>
      <w:szCs w:val="22"/>
    </w:rPr>
  </w:style>
  <w:style w:type="paragraph" w:customStyle="1" w:styleId="GlanceYellowHeading">
    <w:name w:val="Glance Yellow Heading"/>
    <w:basedOn w:val="Normal"/>
    <w:next w:val="GlanceHeading"/>
    <w:autoRedefine/>
    <w:qFormat/>
    <w:rsid w:val="0099250A"/>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paragraph" w:customStyle="1" w:styleId="GlanceHeading">
    <w:name w:val="Glance Heading"/>
    <w:basedOn w:val="Normal"/>
    <w:next w:val="GlanceBody"/>
    <w:autoRedefine/>
    <w:qFormat/>
    <w:rsid w:val="0099250A"/>
    <w:pPr>
      <w:keepNext/>
      <w:keepLines/>
      <w:widowControl w:val="0"/>
      <w:spacing w:after="0" w:line="240" w:lineRule="auto"/>
      <w:ind w:left="-142"/>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99250A"/>
    <w:pPr>
      <w:pBdr>
        <w:bottom w:val="single" w:sz="2" w:space="19" w:color="BFBFBF" w:themeColor="background1" w:themeShade="BF"/>
      </w:pBdr>
      <w:spacing w:after="113" w:line="240" w:lineRule="auto"/>
      <w:jc w:val="center"/>
    </w:pPr>
    <w:rPr>
      <w:rFonts w:eastAsiaTheme="minorHAnsi" w:cs="Times New Roman"/>
      <w:szCs w:val="22"/>
    </w:rPr>
  </w:style>
  <w:style w:type="paragraph" w:styleId="BalloonText">
    <w:name w:val="Balloon Text"/>
    <w:basedOn w:val="Normal"/>
    <w:link w:val="BalloonTextChar"/>
    <w:uiPriority w:val="99"/>
    <w:semiHidden/>
    <w:unhideWhenUsed/>
    <w:rsid w:val="00992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50A"/>
    <w:rPr>
      <w:rFonts w:ascii="Tahoma" w:hAnsi="Tahoma" w:cs="Tahoma"/>
      <w:sz w:val="16"/>
      <w:szCs w:val="16"/>
      <w:lang w:eastAsia="en-US"/>
    </w:rPr>
  </w:style>
  <w:style w:type="character" w:styleId="CommentReference">
    <w:name w:val="annotation reference"/>
    <w:basedOn w:val="DefaultParagraphFont"/>
    <w:uiPriority w:val="99"/>
    <w:semiHidden/>
    <w:unhideWhenUsed/>
    <w:rsid w:val="003A786B"/>
    <w:rPr>
      <w:sz w:val="16"/>
      <w:szCs w:val="16"/>
    </w:rPr>
  </w:style>
  <w:style w:type="paragraph" w:styleId="CommentText">
    <w:name w:val="annotation text"/>
    <w:basedOn w:val="Normal"/>
    <w:link w:val="CommentTextChar"/>
    <w:uiPriority w:val="99"/>
    <w:semiHidden/>
    <w:unhideWhenUsed/>
    <w:rsid w:val="003A786B"/>
    <w:pPr>
      <w:spacing w:line="240" w:lineRule="auto"/>
    </w:pPr>
    <w:rPr>
      <w:sz w:val="20"/>
      <w:szCs w:val="20"/>
    </w:rPr>
  </w:style>
  <w:style w:type="character" w:customStyle="1" w:styleId="CommentTextChar">
    <w:name w:val="Comment Text Char"/>
    <w:basedOn w:val="DefaultParagraphFont"/>
    <w:link w:val="CommentText"/>
    <w:uiPriority w:val="99"/>
    <w:semiHidden/>
    <w:rsid w:val="003A786B"/>
    <w:rPr>
      <w:rFonts w:ascii="Helvetica" w:hAnsi="Helvetica" w:cs="Arial"/>
      <w:lang w:eastAsia="en-US"/>
    </w:rPr>
  </w:style>
  <w:style w:type="paragraph" w:styleId="CommentSubject">
    <w:name w:val="annotation subject"/>
    <w:basedOn w:val="CommentText"/>
    <w:next w:val="CommentText"/>
    <w:link w:val="CommentSubjectChar"/>
    <w:uiPriority w:val="99"/>
    <w:semiHidden/>
    <w:unhideWhenUsed/>
    <w:rsid w:val="003A786B"/>
    <w:rPr>
      <w:b/>
      <w:bCs/>
    </w:rPr>
  </w:style>
  <w:style w:type="character" w:customStyle="1" w:styleId="CommentSubjectChar">
    <w:name w:val="Comment Subject Char"/>
    <w:basedOn w:val="CommentTextChar"/>
    <w:link w:val="CommentSubject"/>
    <w:uiPriority w:val="99"/>
    <w:semiHidden/>
    <w:rsid w:val="003A786B"/>
    <w:rPr>
      <w:rFonts w:ascii="Helvetica" w:hAnsi="Helvetica" w:cs="Arial"/>
      <w:b/>
      <w:bCs/>
      <w:lang w:eastAsia="en-US"/>
    </w:rPr>
  </w:style>
  <w:style w:type="character" w:styleId="FollowedHyperlink">
    <w:name w:val="FollowedHyperlink"/>
    <w:basedOn w:val="DefaultParagraphFont"/>
    <w:uiPriority w:val="99"/>
    <w:semiHidden/>
    <w:unhideWhenUsed/>
    <w:rsid w:val="00AE70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ph"/>
    <w:qFormat/>
    <w:rsid w:val="0099250A"/>
    <w:pPr>
      <w:spacing w:after="120" w:line="360" w:lineRule="auto"/>
      <w:jc w:val="both"/>
    </w:pPr>
    <w:rPr>
      <w:rFonts w:ascii="Helvetica" w:hAnsi="Helvetica" w:cs="Arial"/>
      <w:sz w:val="22"/>
      <w:szCs w:val="24"/>
      <w:lang w:eastAsia="en-US"/>
    </w:rPr>
  </w:style>
  <w:style w:type="paragraph" w:styleId="Heading1">
    <w:name w:val="heading 1"/>
    <w:basedOn w:val="Normal"/>
    <w:next w:val="Normal"/>
    <w:link w:val="Heading1Char"/>
    <w:uiPriority w:val="9"/>
    <w:qFormat/>
    <w:rsid w:val="00FD16BC"/>
    <w:pPr>
      <w:keepNext/>
      <w:spacing w:before="240" w:after="60"/>
      <w:outlineLvl w:val="0"/>
    </w:pPr>
    <w:rPr>
      <w:rFonts w:eastAsia="Batang"/>
      <w:b/>
      <w:bCs/>
      <w:sz w:val="28"/>
      <w:szCs w:val="32"/>
    </w:rPr>
  </w:style>
  <w:style w:type="paragraph" w:styleId="Heading2">
    <w:name w:val="heading 2"/>
    <w:basedOn w:val="Normal"/>
    <w:next w:val="Normal"/>
    <w:link w:val="Heading2Char"/>
    <w:uiPriority w:val="9"/>
    <w:qFormat/>
    <w:rsid w:val="00FD16BC"/>
    <w:pPr>
      <w:keepNext/>
      <w:spacing w:before="240" w:after="60"/>
      <w:outlineLvl w:val="1"/>
    </w:pPr>
    <w:rPr>
      <w:b/>
      <w:bCs/>
      <w:iCs/>
      <w:sz w:val="26"/>
      <w:szCs w:val="28"/>
    </w:rPr>
  </w:style>
  <w:style w:type="paragraph" w:styleId="Heading3">
    <w:name w:val="heading 3"/>
    <w:basedOn w:val="Normal"/>
    <w:next w:val="Normal"/>
    <w:link w:val="Heading3Char"/>
    <w:uiPriority w:val="9"/>
    <w:qFormat/>
    <w:rsid w:val="00FD16BC"/>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1Char">
    <w:name w:val="Heading 1 Char"/>
    <w:basedOn w:val="DefaultParagraphFont"/>
    <w:link w:val="Heading1"/>
    <w:uiPriority w:val="9"/>
    <w:locked/>
    <w:rsid w:val="0099250A"/>
    <w:rPr>
      <w:rFonts w:ascii="Arial" w:eastAsia="Batang" w:hAnsi="Arial" w:cs="Arial"/>
      <w:b/>
      <w:bCs/>
      <w:sz w:val="28"/>
      <w:szCs w:val="32"/>
      <w:lang w:eastAsia="en-US"/>
    </w:rPr>
  </w:style>
  <w:style w:type="character" w:customStyle="1" w:styleId="Heading2Char">
    <w:name w:val="Heading 2 Char"/>
    <w:basedOn w:val="DefaultParagraphFont"/>
    <w:link w:val="Heading2"/>
    <w:uiPriority w:val="9"/>
    <w:locked/>
    <w:rsid w:val="0099250A"/>
    <w:rPr>
      <w:rFonts w:ascii="Arial" w:hAnsi="Arial" w:cs="Arial"/>
      <w:b/>
      <w:bCs/>
      <w:iCs/>
      <w:sz w:val="26"/>
      <w:szCs w:val="28"/>
      <w:lang w:eastAsia="en-US"/>
    </w:rPr>
  </w:style>
  <w:style w:type="character" w:customStyle="1" w:styleId="Heading3Char">
    <w:name w:val="Heading 3 Char"/>
    <w:basedOn w:val="DefaultParagraphFont"/>
    <w:link w:val="Heading3"/>
    <w:uiPriority w:val="9"/>
    <w:locked/>
    <w:rsid w:val="0099250A"/>
    <w:rPr>
      <w:rFonts w:ascii="Arial" w:hAnsi="Arial" w:cs="Arial"/>
      <w:b/>
      <w:bCs/>
      <w:sz w:val="22"/>
      <w:szCs w:val="26"/>
      <w:lang w:eastAsia="en-US"/>
    </w:rPr>
  </w:style>
  <w:style w:type="paragraph" w:styleId="Header">
    <w:name w:val="header"/>
    <w:basedOn w:val="Normal"/>
    <w:link w:val="HeaderChar"/>
    <w:uiPriority w:val="99"/>
    <w:rsid w:val="0099250A"/>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rsid w:val="0099250A"/>
    <w:rPr>
      <w:rFonts w:ascii="Helvetica" w:hAnsi="Helvetica" w:cs="Arial"/>
      <w:sz w:val="40"/>
      <w:szCs w:val="40"/>
      <w:lang w:eastAsia="en-US"/>
    </w:rPr>
  </w:style>
  <w:style w:type="paragraph" w:styleId="TOC1">
    <w:name w:val="toc 1"/>
    <w:basedOn w:val="Normal"/>
    <w:autoRedefine/>
    <w:uiPriority w:val="39"/>
    <w:rsid w:val="0099250A"/>
    <w:pPr>
      <w:tabs>
        <w:tab w:val="left" w:pos="1560"/>
        <w:tab w:val="right" w:leader="dot" w:pos="8789"/>
      </w:tabs>
      <w:ind w:left="851" w:right="814"/>
    </w:pPr>
    <w:rPr>
      <w:spacing w:val="-4"/>
    </w:rPr>
  </w:style>
  <w:style w:type="paragraph" w:styleId="TOC2">
    <w:name w:val="toc 2"/>
    <w:basedOn w:val="Normal"/>
    <w:autoRedefine/>
    <w:uiPriority w:val="39"/>
    <w:rsid w:val="0099250A"/>
    <w:pPr>
      <w:tabs>
        <w:tab w:val="left" w:pos="1701"/>
        <w:tab w:val="right" w:leader="dot" w:pos="8789"/>
      </w:tabs>
      <w:ind w:left="992"/>
    </w:pPr>
  </w:style>
  <w:style w:type="paragraph" w:styleId="Footer">
    <w:name w:val="footer"/>
    <w:basedOn w:val="Normal"/>
    <w:link w:val="FooterChar"/>
    <w:uiPriority w:val="99"/>
    <w:rsid w:val="0099250A"/>
    <w:pPr>
      <w:tabs>
        <w:tab w:val="center" w:pos="4153"/>
        <w:tab w:val="right" w:pos="8306"/>
      </w:tabs>
    </w:pPr>
  </w:style>
  <w:style w:type="character" w:customStyle="1" w:styleId="FooterChar">
    <w:name w:val="Footer Char"/>
    <w:basedOn w:val="DefaultParagraphFont"/>
    <w:link w:val="Footer"/>
    <w:uiPriority w:val="99"/>
    <w:rsid w:val="0099250A"/>
    <w:rPr>
      <w:rFonts w:ascii="Helvetica" w:hAnsi="Helvetica" w:cs="Arial"/>
      <w:sz w:val="22"/>
      <w:szCs w:val="24"/>
      <w:lang w:eastAsia="en-US"/>
    </w:rPr>
  </w:style>
  <w:style w:type="character" w:styleId="Hyperlink">
    <w:name w:val="Hyperlink"/>
    <w:basedOn w:val="DefaultParagraphFont"/>
    <w:uiPriority w:val="99"/>
    <w:rsid w:val="0099250A"/>
    <w:rPr>
      <w:rFonts w:ascii="Arial" w:hAnsi="Arial" w:cs="Times New Roman"/>
      <w:color w:val="0000FF"/>
      <w:u w:val="single"/>
    </w:rPr>
  </w:style>
  <w:style w:type="paragraph" w:styleId="FootnoteText">
    <w:name w:val="footnote text"/>
    <w:basedOn w:val="Normal"/>
    <w:link w:val="FootnoteTextChar"/>
    <w:uiPriority w:val="99"/>
    <w:rsid w:val="0099250A"/>
  </w:style>
  <w:style w:type="character" w:customStyle="1" w:styleId="FootnoteTextChar">
    <w:name w:val="Footnote Text Char"/>
    <w:basedOn w:val="DefaultParagraphFont"/>
    <w:link w:val="FootnoteText"/>
    <w:uiPriority w:val="99"/>
    <w:rsid w:val="0099250A"/>
    <w:rPr>
      <w:rFonts w:ascii="Helvetica" w:hAnsi="Helvetica" w:cs="Arial"/>
      <w:sz w:val="22"/>
      <w:szCs w:val="24"/>
      <w:lang w:eastAsia="en-US"/>
    </w:rPr>
  </w:style>
  <w:style w:type="character" w:styleId="FootnoteReference">
    <w:name w:val="footnote reference"/>
    <w:basedOn w:val="DefaultParagraphFont"/>
    <w:uiPriority w:val="99"/>
    <w:rsid w:val="0099250A"/>
    <w:rPr>
      <w:rFonts w:cs="Times New Roman"/>
      <w:vertAlign w:val="superscript"/>
    </w:rPr>
  </w:style>
  <w:style w:type="paragraph" w:customStyle="1" w:styleId="Fronttitle">
    <w:name w:val="Front title"/>
    <w:basedOn w:val="Heading1"/>
    <w:link w:val="FronttitleChar"/>
    <w:rsid w:val="0099250A"/>
    <w:pPr>
      <w:keepLines/>
      <w:spacing w:before="3600"/>
    </w:pPr>
    <w:rPr>
      <w:b w:val="0"/>
      <w:bCs w:val="0"/>
      <w:color w:val="0194A6"/>
      <w:sz w:val="56"/>
      <w:szCs w:val="26"/>
    </w:rPr>
  </w:style>
  <w:style w:type="character" w:customStyle="1" w:styleId="FronttitleChar">
    <w:name w:val="Front title Char"/>
    <w:basedOn w:val="Heading1Char"/>
    <w:link w:val="Fronttitle"/>
    <w:rsid w:val="0099250A"/>
    <w:rPr>
      <w:rFonts w:ascii="Helvetica" w:eastAsia="Batang" w:hAnsi="Helvetica" w:cs="Arial"/>
      <w:b w:val="0"/>
      <w:bCs w:val="0"/>
      <w:color w:val="0194A6"/>
      <w:sz w:val="56"/>
      <w:szCs w:val="26"/>
      <w:lang w:eastAsia="en-US"/>
    </w:rPr>
  </w:style>
  <w:style w:type="paragraph" w:customStyle="1" w:styleId="CoverReportTitle">
    <w:name w:val="Cover Report Title"/>
    <w:basedOn w:val="Normal"/>
    <w:autoRedefine/>
    <w:qFormat/>
    <w:rsid w:val="0099250A"/>
    <w:pPr>
      <w:framePr w:w="4820" w:wrap="around" w:vAnchor="page" w:hAnchor="text" w:x="5388" w:y="795"/>
      <w:spacing w:after="0" w:line="480" w:lineRule="auto"/>
      <w:jc w:val="left"/>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99250A"/>
    <w:pPr>
      <w:framePr w:wrap="around"/>
      <w:spacing w:before="113" w:after="57" w:line="400" w:lineRule="exact"/>
    </w:pPr>
    <w:rPr>
      <w:sz w:val="36"/>
    </w:rPr>
  </w:style>
  <w:style w:type="paragraph" w:customStyle="1" w:styleId="Bullet">
    <w:name w:val="Bullet"/>
    <w:basedOn w:val="Normal"/>
    <w:autoRedefine/>
    <w:qFormat/>
    <w:rsid w:val="0099250A"/>
    <w:pPr>
      <w:spacing w:line="320" w:lineRule="exact"/>
      <w:jc w:val="left"/>
    </w:pPr>
    <w:rPr>
      <w:rFonts w:eastAsiaTheme="minorHAnsi" w:cs="Times New Roman"/>
      <w:szCs w:val="22"/>
    </w:rPr>
  </w:style>
  <w:style w:type="paragraph" w:customStyle="1" w:styleId="GlanceYellowHeading">
    <w:name w:val="Glance Yellow Heading"/>
    <w:basedOn w:val="Normal"/>
    <w:next w:val="GlanceHeading"/>
    <w:autoRedefine/>
    <w:qFormat/>
    <w:rsid w:val="0099250A"/>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paragraph" w:customStyle="1" w:styleId="GlanceHeading">
    <w:name w:val="Glance Heading"/>
    <w:basedOn w:val="Normal"/>
    <w:next w:val="GlanceBody"/>
    <w:autoRedefine/>
    <w:qFormat/>
    <w:rsid w:val="0099250A"/>
    <w:pPr>
      <w:keepNext/>
      <w:keepLines/>
      <w:widowControl w:val="0"/>
      <w:spacing w:after="0" w:line="240" w:lineRule="auto"/>
      <w:ind w:left="-142"/>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99250A"/>
    <w:pPr>
      <w:pBdr>
        <w:bottom w:val="single" w:sz="2" w:space="19" w:color="BFBFBF" w:themeColor="background1" w:themeShade="BF"/>
      </w:pBdr>
      <w:spacing w:after="113" w:line="240" w:lineRule="auto"/>
      <w:jc w:val="center"/>
    </w:pPr>
    <w:rPr>
      <w:rFonts w:eastAsiaTheme="minorHAnsi" w:cs="Times New Roman"/>
      <w:szCs w:val="22"/>
    </w:rPr>
  </w:style>
  <w:style w:type="paragraph" w:styleId="BalloonText">
    <w:name w:val="Balloon Text"/>
    <w:basedOn w:val="Normal"/>
    <w:link w:val="BalloonTextChar"/>
    <w:uiPriority w:val="99"/>
    <w:semiHidden/>
    <w:unhideWhenUsed/>
    <w:rsid w:val="00992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50A"/>
    <w:rPr>
      <w:rFonts w:ascii="Tahoma" w:hAnsi="Tahoma" w:cs="Tahoma"/>
      <w:sz w:val="16"/>
      <w:szCs w:val="16"/>
      <w:lang w:eastAsia="en-US"/>
    </w:rPr>
  </w:style>
  <w:style w:type="character" w:styleId="CommentReference">
    <w:name w:val="annotation reference"/>
    <w:basedOn w:val="DefaultParagraphFont"/>
    <w:uiPriority w:val="99"/>
    <w:semiHidden/>
    <w:unhideWhenUsed/>
    <w:rsid w:val="003A786B"/>
    <w:rPr>
      <w:sz w:val="16"/>
      <w:szCs w:val="16"/>
    </w:rPr>
  </w:style>
  <w:style w:type="paragraph" w:styleId="CommentText">
    <w:name w:val="annotation text"/>
    <w:basedOn w:val="Normal"/>
    <w:link w:val="CommentTextChar"/>
    <w:uiPriority w:val="99"/>
    <w:semiHidden/>
    <w:unhideWhenUsed/>
    <w:rsid w:val="003A786B"/>
    <w:pPr>
      <w:spacing w:line="240" w:lineRule="auto"/>
    </w:pPr>
    <w:rPr>
      <w:sz w:val="20"/>
      <w:szCs w:val="20"/>
    </w:rPr>
  </w:style>
  <w:style w:type="character" w:customStyle="1" w:styleId="CommentTextChar">
    <w:name w:val="Comment Text Char"/>
    <w:basedOn w:val="DefaultParagraphFont"/>
    <w:link w:val="CommentText"/>
    <w:uiPriority w:val="99"/>
    <w:semiHidden/>
    <w:rsid w:val="003A786B"/>
    <w:rPr>
      <w:rFonts w:ascii="Helvetica" w:hAnsi="Helvetica" w:cs="Arial"/>
      <w:lang w:eastAsia="en-US"/>
    </w:rPr>
  </w:style>
  <w:style w:type="paragraph" w:styleId="CommentSubject">
    <w:name w:val="annotation subject"/>
    <w:basedOn w:val="CommentText"/>
    <w:next w:val="CommentText"/>
    <w:link w:val="CommentSubjectChar"/>
    <w:uiPriority w:val="99"/>
    <w:semiHidden/>
    <w:unhideWhenUsed/>
    <w:rsid w:val="003A786B"/>
    <w:rPr>
      <w:b/>
      <w:bCs/>
    </w:rPr>
  </w:style>
  <w:style w:type="character" w:customStyle="1" w:styleId="CommentSubjectChar">
    <w:name w:val="Comment Subject Char"/>
    <w:basedOn w:val="CommentTextChar"/>
    <w:link w:val="CommentSubject"/>
    <w:uiPriority w:val="99"/>
    <w:semiHidden/>
    <w:rsid w:val="003A786B"/>
    <w:rPr>
      <w:rFonts w:ascii="Helvetica" w:hAnsi="Helvetica" w:cs="Arial"/>
      <w:b/>
      <w:bCs/>
      <w:lang w:eastAsia="en-US"/>
    </w:rPr>
  </w:style>
  <w:style w:type="character" w:styleId="FollowedHyperlink">
    <w:name w:val="FollowedHyperlink"/>
    <w:basedOn w:val="DefaultParagraphFont"/>
    <w:uiPriority w:val="99"/>
    <w:semiHidden/>
    <w:unhideWhenUsed/>
    <w:rsid w:val="00AE70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media@fwo.gov.au" TargetMode="External"/><Relationship Id="rId3" Type="http://schemas.openxmlformats.org/officeDocument/2006/relationships/customXml" Target="../customXml/item3.xml"/><Relationship Id="rId21" Type="http://schemas.openxmlformats.org/officeDocument/2006/relationships/hyperlink" Target="http://www.news.com.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fairwork.gov.au/childcar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fairwork.gov.au/childcar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ynda.McAlary-Smith@fwo.gov.a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theaustralian.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14381-1F5F-4785-AEB3-10BD63A52634}">
  <ds:schemaRefs>
    <ds:schemaRef ds:uri="http://schemas.microsoft.com/office/infopath/2007/PartnerControls"/>
    <ds:schemaRef ds:uri="http://www.w3.org/XML/1998/namespace"/>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2D7F6BA2-E9F0-4165-A7DF-4E779DC6B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71982A-CFE2-47CC-989D-7469E54AB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2797</Words>
  <Characters>16380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National Children's Services Campaign Report</vt:lpstr>
    </vt:vector>
  </TitlesOfParts>
  <Company>Australian Government</Company>
  <LinksUpToDate>false</LinksUpToDate>
  <CharactersWithSpaces>19139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Children's Services Campaign Report</dc:title>
  <dc:subject>National Children's Services Campaign Report</dc:subject>
  <dc:creator>Fair Work Ombudsman</dc:creator>
  <cp:keywords>National Children's Services Campaign Report</cp:keywords>
  <cp:lastModifiedBy>Freda Moloney</cp:lastModifiedBy>
  <cp:revision>3</cp:revision>
  <dcterms:created xsi:type="dcterms:W3CDTF">2015-05-21T02:20:00Z</dcterms:created>
  <dcterms:modified xsi:type="dcterms:W3CDTF">2015-05-21T02:33:00Z</dcterms:modified>
</cp:coreProperties>
</file>