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0B" w:rsidRDefault="00C3521F" w:rsidP="00F6300B">
      <w:pPr>
        <w:pStyle w:val="CoverReportTitle"/>
        <w:framePr w:w="0" w:wrap="auto" w:vAnchor="margin" w:xAlign="left" w:yAlign="inline"/>
      </w:pPr>
      <w:r>
        <w:t>TAS</w:t>
      </w:r>
      <w:r w:rsidR="00F6300B">
        <w:t xml:space="preserve"> </w:t>
      </w:r>
      <w:r w:rsidR="002777F0">
        <w:t>North West Hobart</w:t>
      </w:r>
      <w:r w:rsidR="00F6300B">
        <w:t xml:space="preserve"> Regional Campaign</w:t>
      </w:r>
    </w:p>
    <w:p w:rsidR="00F6300B" w:rsidRDefault="00F6300B" w:rsidP="00F6300B">
      <w:pPr>
        <w:pStyle w:val="CoverReportSubTitle"/>
      </w:pPr>
      <w:r>
        <w:t xml:space="preserve">Report - </w:t>
      </w:r>
      <w:r w:rsidR="00C324A9">
        <w:t xml:space="preserve">March </w:t>
      </w:r>
      <w:r>
        <w:t>2016</w:t>
      </w:r>
    </w:p>
    <w:p w:rsidR="00F6300B" w:rsidRDefault="00F6300B" w:rsidP="00F6300B"/>
    <w:p w:rsidR="00F6300B" w:rsidRPr="00BF0029" w:rsidRDefault="00F6300B" w:rsidP="00F6300B">
      <w:r>
        <w:t xml:space="preserve">A report prepared by the Fair Work Ombudsman under the </w:t>
      </w:r>
      <w:r w:rsidRPr="00144DD2">
        <w:rPr>
          <w:i/>
        </w:rPr>
        <w:t>Fair Work Act 2009</w:t>
      </w:r>
    </w:p>
    <w:p w:rsidR="00F6300B" w:rsidRPr="006A412C" w:rsidRDefault="00F6300B" w:rsidP="00F6300B">
      <w:r w:rsidRPr="0045600E">
        <w:t>© Commonwealth of Australia, 201</w:t>
      </w:r>
      <w:r>
        <w:t>6</w:t>
      </w:r>
      <w:r>
        <w:br w:type="page"/>
      </w:r>
    </w:p>
    <w:p w:rsidR="00F6300B" w:rsidRDefault="00F6300B" w:rsidP="00057374">
      <w:pPr>
        <w:pStyle w:val="Header"/>
        <w:rPr>
          <w:rFonts w:eastAsiaTheme="minorHAnsi" w:cs="Times New Roman"/>
          <w:szCs w:val="22"/>
          <w:lang w:eastAsia="en-AU"/>
        </w:rPr>
      </w:pPr>
      <w:r>
        <w:lastRenderedPageBreak/>
        <w:tab/>
      </w:r>
    </w:p>
    <w:p w:rsidR="00F6300B" w:rsidRDefault="00F6300B" w:rsidP="009A72BC">
      <w:pPr>
        <w:pStyle w:val="Heading1"/>
      </w:pPr>
      <w:bookmarkStart w:id="0" w:name="_Toc428272492"/>
      <w:bookmarkStart w:id="1" w:name="_Toc446577046"/>
      <w:r>
        <w:t>Table of Contents</w:t>
      </w:r>
      <w:bookmarkEnd w:id="0"/>
      <w:bookmarkEnd w:id="1"/>
    </w:p>
    <w:p w:rsidR="00F6300B" w:rsidRDefault="00F6300B" w:rsidP="00F6300B"/>
    <w:p w:rsidR="00057374" w:rsidRDefault="00F6300B">
      <w:pPr>
        <w:pStyle w:val="TOC1"/>
        <w:rPr>
          <w:rFonts w:asciiTheme="minorHAnsi" w:eastAsiaTheme="minorEastAsia" w:hAnsiTheme="minorHAnsi" w:cstheme="minorBidi"/>
          <w:noProof/>
          <w:spacing w:val="0"/>
          <w:szCs w:val="22"/>
          <w:lang w:eastAsia="en-AU"/>
        </w:rPr>
      </w:pPr>
      <w:r w:rsidRPr="001917B2">
        <w:rPr>
          <w:b/>
        </w:rPr>
        <w:fldChar w:fldCharType="begin"/>
      </w:r>
      <w:r w:rsidRPr="00AA34D6">
        <w:rPr>
          <w:b/>
        </w:rPr>
        <w:instrText xml:space="preserve"> TOC \o "1-2" \h \z \u </w:instrText>
      </w:r>
      <w:r w:rsidRPr="001917B2">
        <w:rPr>
          <w:b/>
        </w:rPr>
        <w:fldChar w:fldCharType="separate"/>
      </w:r>
      <w:hyperlink w:anchor="_Toc446577046" w:history="1">
        <w:r w:rsidR="00057374" w:rsidRPr="00C9511C">
          <w:rPr>
            <w:rStyle w:val="Hyperlink"/>
            <w:noProof/>
          </w:rPr>
          <w:t>Table of Contents</w:t>
        </w:r>
        <w:r w:rsidR="00057374">
          <w:rPr>
            <w:noProof/>
            <w:webHidden/>
          </w:rPr>
          <w:tab/>
        </w:r>
        <w:r w:rsidR="00057374">
          <w:rPr>
            <w:noProof/>
            <w:webHidden/>
          </w:rPr>
          <w:fldChar w:fldCharType="begin"/>
        </w:r>
        <w:r w:rsidR="00057374">
          <w:rPr>
            <w:noProof/>
            <w:webHidden/>
          </w:rPr>
          <w:instrText xml:space="preserve"> PAGEREF _Toc446577046 \h </w:instrText>
        </w:r>
        <w:r w:rsidR="00057374">
          <w:rPr>
            <w:noProof/>
            <w:webHidden/>
          </w:rPr>
        </w:r>
        <w:r w:rsidR="00057374">
          <w:rPr>
            <w:noProof/>
            <w:webHidden/>
          </w:rPr>
          <w:fldChar w:fldCharType="separate"/>
        </w:r>
        <w:r w:rsidR="00057374">
          <w:rPr>
            <w:noProof/>
            <w:webHidden/>
          </w:rPr>
          <w:t>2</w:t>
        </w:r>
        <w:r w:rsidR="00057374">
          <w:rPr>
            <w:noProof/>
            <w:webHidden/>
          </w:rPr>
          <w:fldChar w:fldCharType="end"/>
        </w:r>
      </w:hyperlink>
    </w:p>
    <w:p w:rsidR="00057374" w:rsidRDefault="006A37EC">
      <w:pPr>
        <w:pStyle w:val="TOC1"/>
        <w:rPr>
          <w:rFonts w:asciiTheme="minorHAnsi" w:eastAsiaTheme="minorEastAsia" w:hAnsiTheme="minorHAnsi" w:cstheme="minorBidi"/>
          <w:noProof/>
          <w:spacing w:val="0"/>
          <w:szCs w:val="22"/>
          <w:lang w:eastAsia="en-AU"/>
        </w:rPr>
      </w:pPr>
      <w:hyperlink w:anchor="_Toc446577047" w:history="1">
        <w:r w:rsidR="00057374" w:rsidRPr="00C9511C">
          <w:rPr>
            <w:rStyle w:val="Hyperlink"/>
            <w:noProof/>
            <w:lang w:eastAsia="en-AU"/>
          </w:rPr>
          <w:t>Infographic</w:t>
        </w:r>
        <w:r w:rsidR="00057374">
          <w:rPr>
            <w:noProof/>
            <w:webHidden/>
          </w:rPr>
          <w:tab/>
        </w:r>
        <w:r w:rsidR="00057374">
          <w:rPr>
            <w:noProof/>
            <w:webHidden/>
          </w:rPr>
          <w:fldChar w:fldCharType="begin"/>
        </w:r>
        <w:r w:rsidR="00057374">
          <w:rPr>
            <w:noProof/>
            <w:webHidden/>
          </w:rPr>
          <w:instrText xml:space="preserve"> PAGEREF _Toc446577047 \h </w:instrText>
        </w:r>
        <w:r w:rsidR="00057374">
          <w:rPr>
            <w:noProof/>
            <w:webHidden/>
          </w:rPr>
        </w:r>
        <w:r w:rsidR="00057374">
          <w:rPr>
            <w:noProof/>
            <w:webHidden/>
          </w:rPr>
          <w:fldChar w:fldCharType="separate"/>
        </w:r>
        <w:r w:rsidR="00057374">
          <w:rPr>
            <w:noProof/>
            <w:webHidden/>
          </w:rPr>
          <w:t>3</w:t>
        </w:r>
        <w:r w:rsidR="00057374">
          <w:rPr>
            <w:noProof/>
            <w:webHidden/>
          </w:rPr>
          <w:fldChar w:fldCharType="end"/>
        </w:r>
      </w:hyperlink>
    </w:p>
    <w:p w:rsidR="00057374" w:rsidRDefault="006A37EC">
      <w:pPr>
        <w:pStyle w:val="TOC1"/>
        <w:rPr>
          <w:rFonts w:asciiTheme="minorHAnsi" w:eastAsiaTheme="minorEastAsia" w:hAnsiTheme="minorHAnsi" w:cstheme="minorBidi"/>
          <w:noProof/>
          <w:spacing w:val="0"/>
          <w:szCs w:val="22"/>
          <w:lang w:eastAsia="en-AU"/>
        </w:rPr>
      </w:pPr>
      <w:hyperlink w:anchor="_Toc446577048" w:history="1">
        <w:r w:rsidR="00057374" w:rsidRPr="00C9511C">
          <w:rPr>
            <w:rStyle w:val="Hyperlink"/>
            <w:noProof/>
          </w:rPr>
          <w:t>Summary</w:t>
        </w:r>
        <w:r w:rsidR="00057374">
          <w:rPr>
            <w:noProof/>
            <w:webHidden/>
          </w:rPr>
          <w:tab/>
        </w:r>
        <w:r w:rsidR="00057374">
          <w:rPr>
            <w:noProof/>
            <w:webHidden/>
          </w:rPr>
          <w:fldChar w:fldCharType="begin"/>
        </w:r>
        <w:r w:rsidR="00057374">
          <w:rPr>
            <w:noProof/>
            <w:webHidden/>
          </w:rPr>
          <w:instrText xml:space="preserve"> PAGEREF _Toc446577048 \h </w:instrText>
        </w:r>
        <w:r w:rsidR="00057374">
          <w:rPr>
            <w:noProof/>
            <w:webHidden/>
          </w:rPr>
        </w:r>
        <w:r w:rsidR="00057374">
          <w:rPr>
            <w:noProof/>
            <w:webHidden/>
          </w:rPr>
          <w:fldChar w:fldCharType="separate"/>
        </w:r>
        <w:r w:rsidR="00057374">
          <w:rPr>
            <w:noProof/>
            <w:webHidden/>
          </w:rPr>
          <w:t>4</w:t>
        </w:r>
        <w:r w:rsidR="00057374">
          <w:rPr>
            <w:noProof/>
            <w:webHidden/>
          </w:rPr>
          <w:fldChar w:fldCharType="end"/>
        </w:r>
      </w:hyperlink>
    </w:p>
    <w:p w:rsidR="00057374" w:rsidRDefault="006A37EC">
      <w:pPr>
        <w:pStyle w:val="TOC1"/>
        <w:rPr>
          <w:rFonts w:asciiTheme="minorHAnsi" w:eastAsiaTheme="minorEastAsia" w:hAnsiTheme="minorHAnsi" w:cstheme="minorBidi"/>
          <w:noProof/>
          <w:spacing w:val="0"/>
          <w:szCs w:val="22"/>
          <w:lang w:eastAsia="en-AU"/>
        </w:rPr>
      </w:pPr>
      <w:hyperlink w:anchor="_Toc446577049" w:history="1">
        <w:r w:rsidR="00057374" w:rsidRPr="00C9511C">
          <w:rPr>
            <w:rStyle w:val="Hyperlink"/>
            <w:rFonts w:eastAsiaTheme="minorHAnsi"/>
            <w:noProof/>
          </w:rPr>
          <w:t>What we did</w:t>
        </w:r>
        <w:r w:rsidR="00057374">
          <w:rPr>
            <w:noProof/>
            <w:webHidden/>
          </w:rPr>
          <w:tab/>
        </w:r>
        <w:r w:rsidR="00057374">
          <w:rPr>
            <w:noProof/>
            <w:webHidden/>
          </w:rPr>
          <w:fldChar w:fldCharType="begin"/>
        </w:r>
        <w:r w:rsidR="00057374">
          <w:rPr>
            <w:noProof/>
            <w:webHidden/>
          </w:rPr>
          <w:instrText xml:space="preserve"> PAGEREF _Toc446577049 \h </w:instrText>
        </w:r>
        <w:r w:rsidR="00057374">
          <w:rPr>
            <w:noProof/>
            <w:webHidden/>
          </w:rPr>
        </w:r>
        <w:r w:rsidR="00057374">
          <w:rPr>
            <w:noProof/>
            <w:webHidden/>
          </w:rPr>
          <w:fldChar w:fldCharType="separate"/>
        </w:r>
        <w:r w:rsidR="00057374">
          <w:rPr>
            <w:noProof/>
            <w:webHidden/>
          </w:rPr>
          <w:t>4</w:t>
        </w:r>
        <w:r w:rsidR="00057374">
          <w:rPr>
            <w:noProof/>
            <w:webHidden/>
          </w:rPr>
          <w:fldChar w:fldCharType="end"/>
        </w:r>
      </w:hyperlink>
    </w:p>
    <w:p w:rsidR="00057374" w:rsidRDefault="006A37EC">
      <w:pPr>
        <w:pStyle w:val="TOC1"/>
        <w:rPr>
          <w:rFonts w:asciiTheme="minorHAnsi" w:eastAsiaTheme="minorEastAsia" w:hAnsiTheme="minorHAnsi" w:cstheme="minorBidi"/>
          <w:noProof/>
          <w:spacing w:val="0"/>
          <w:szCs w:val="22"/>
          <w:lang w:eastAsia="en-AU"/>
        </w:rPr>
      </w:pPr>
      <w:hyperlink w:anchor="_Toc446577050" w:history="1">
        <w:r w:rsidR="00057374" w:rsidRPr="00C9511C">
          <w:rPr>
            <w:rStyle w:val="Hyperlink"/>
            <w:noProof/>
          </w:rPr>
          <w:t>Outcomes</w:t>
        </w:r>
        <w:r w:rsidR="00057374">
          <w:rPr>
            <w:noProof/>
            <w:webHidden/>
          </w:rPr>
          <w:tab/>
        </w:r>
        <w:r w:rsidR="00057374">
          <w:rPr>
            <w:noProof/>
            <w:webHidden/>
          </w:rPr>
          <w:fldChar w:fldCharType="begin"/>
        </w:r>
        <w:r w:rsidR="00057374">
          <w:rPr>
            <w:noProof/>
            <w:webHidden/>
          </w:rPr>
          <w:instrText xml:space="preserve"> PAGEREF _Toc446577050 \h </w:instrText>
        </w:r>
        <w:r w:rsidR="00057374">
          <w:rPr>
            <w:noProof/>
            <w:webHidden/>
          </w:rPr>
        </w:r>
        <w:r w:rsidR="00057374">
          <w:rPr>
            <w:noProof/>
            <w:webHidden/>
          </w:rPr>
          <w:fldChar w:fldCharType="separate"/>
        </w:r>
        <w:r w:rsidR="00057374">
          <w:rPr>
            <w:noProof/>
            <w:webHidden/>
          </w:rPr>
          <w:t>5</w:t>
        </w:r>
        <w:r w:rsidR="00057374">
          <w:rPr>
            <w:noProof/>
            <w:webHidden/>
          </w:rPr>
          <w:fldChar w:fldCharType="end"/>
        </w:r>
      </w:hyperlink>
    </w:p>
    <w:p w:rsidR="00057374" w:rsidRDefault="006A37EC">
      <w:pPr>
        <w:pStyle w:val="TOC2"/>
        <w:rPr>
          <w:rFonts w:asciiTheme="minorHAnsi" w:eastAsiaTheme="minorEastAsia" w:hAnsiTheme="minorHAnsi" w:cstheme="minorBidi"/>
          <w:noProof/>
          <w:szCs w:val="22"/>
          <w:lang w:eastAsia="en-AU"/>
        </w:rPr>
      </w:pPr>
      <w:hyperlink w:anchor="_Toc446577051" w:history="1">
        <w:r w:rsidR="00057374" w:rsidRPr="00C9511C">
          <w:rPr>
            <w:rStyle w:val="Hyperlink"/>
            <w:noProof/>
          </w:rPr>
          <w:t>Individual Errors</w:t>
        </w:r>
        <w:r w:rsidR="00057374">
          <w:rPr>
            <w:noProof/>
            <w:webHidden/>
          </w:rPr>
          <w:tab/>
        </w:r>
        <w:r w:rsidR="00057374">
          <w:rPr>
            <w:noProof/>
            <w:webHidden/>
          </w:rPr>
          <w:fldChar w:fldCharType="begin"/>
        </w:r>
        <w:r w:rsidR="00057374">
          <w:rPr>
            <w:noProof/>
            <w:webHidden/>
          </w:rPr>
          <w:instrText xml:space="preserve"> PAGEREF _Toc446577051 \h </w:instrText>
        </w:r>
        <w:r w:rsidR="00057374">
          <w:rPr>
            <w:noProof/>
            <w:webHidden/>
          </w:rPr>
        </w:r>
        <w:r w:rsidR="00057374">
          <w:rPr>
            <w:noProof/>
            <w:webHidden/>
          </w:rPr>
          <w:fldChar w:fldCharType="separate"/>
        </w:r>
        <w:r w:rsidR="00057374">
          <w:rPr>
            <w:noProof/>
            <w:webHidden/>
          </w:rPr>
          <w:t>6</w:t>
        </w:r>
        <w:r w:rsidR="00057374">
          <w:rPr>
            <w:noProof/>
            <w:webHidden/>
          </w:rPr>
          <w:fldChar w:fldCharType="end"/>
        </w:r>
      </w:hyperlink>
    </w:p>
    <w:p w:rsidR="00057374" w:rsidRDefault="006A37EC">
      <w:pPr>
        <w:pStyle w:val="TOC2"/>
        <w:rPr>
          <w:rFonts w:asciiTheme="minorHAnsi" w:eastAsiaTheme="minorEastAsia" w:hAnsiTheme="minorHAnsi" w:cstheme="minorBidi"/>
          <w:noProof/>
          <w:szCs w:val="22"/>
          <w:lang w:eastAsia="en-AU"/>
        </w:rPr>
      </w:pPr>
      <w:hyperlink w:anchor="_Toc446577052" w:history="1">
        <w:r w:rsidR="00057374" w:rsidRPr="00C9511C">
          <w:rPr>
            <w:rStyle w:val="Hyperlink"/>
            <w:rFonts w:eastAsia="Calibri"/>
            <w:noProof/>
          </w:rPr>
          <w:t>Further Information</w:t>
        </w:r>
        <w:r w:rsidR="00057374">
          <w:rPr>
            <w:noProof/>
            <w:webHidden/>
          </w:rPr>
          <w:tab/>
        </w:r>
        <w:r w:rsidR="00057374">
          <w:rPr>
            <w:noProof/>
            <w:webHidden/>
          </w:rPr>
          <w:fldChar w:fldCharType="begin"/>
        </w:r>
        <w:r w:rsidR="00057374">
          <w:rPr>
            <w:noProof/>
            <w:webHidden/>
          </w:rPr>
          <w:instrText xml:space="preserve"> PAGEREF _Toc446577052 \h </w:instrText>
        </w:r>
        <w:r w:rsidR="00057374">
          <w:rPr>
            <w:noProof/>
            <w:webHidden/>
          </w:rPr>
        </w:r>
        <w:r w:rsidR="00057374">
          <w:rPr>
            <w:noProof/>
            <w:webHidden/>
          </w:rPr>
          <w:fldChar w:fldCharType="separate"/>
        </w:r>
        <w:r w:rsidR="00057374">
          <w:rPr>
            <w:noProof/>
            <w:webHidden/>
          </w:rPr>
          <w:t>7</w:t>
        </w:r>
        <w:r w:rsidR="00057374">
          <w:rPr>
            <w:noProof/>
            <w:webHidden/>
          </w:rPr>
          <w:fldChar w:fldCharType="end"/>
        </w:r>
      </w:hyperlink>
    </w:p>
    <w:p w:rsidR="00057374" w:rsidRDefault="006A37EC">
      <w:pPr>
        <w:pStyle w:val="TOC2"/>
        <w:rPr>
          <w:rFonts w:asciiTheme="minorHAnsi" w:eastAsiaTheme="minorEastAsia" w:hAnsiTheme="minorHAnsi" w:cstheme="minorBidi"/>
          <w:noProof/>
          <w:szCs w:val="22"/>
          <w:lang w:eastAsia="en-AU"/>
        </w:rPr>
      </w:pPr>
      <w:hyperlink w:anchor="_Toc446577053" w:history="1">
        <w:r w:rsidR="00057374" w:rsidRPr="00C9511C">
          <w:rPr>
            <w:rStyle w:val="Hyperlink"/>
            <w:rFonts w:eastAsia="Calibri"/>
            <w:noProof/>
          </w:rPr>
          <w:t>Employer Association Membership</w:t>
        </w:r>
        <w:r w:rsidR="00057374">
          <w:rPr>
            <w:noProof/>
            <w:webHidden/>
          </w:rPr>
          <w:tab/>
        </w:r>
        <w:r w:rsidR="00057374">
          <w:rPr>
            <w:noProof/>
            <w:webHidden/>
          </w:rPr>
          <w:fldChar w:fldCharType="begin"/>
        </w:r>
        <w:r w:rsidR="00057374">
          <w:rPr>
            <w:noProof/>
            <w:webHidden/>
          </w:rPr>
          <w:instrText xml:space="preserve"> PAGEREF _Toc446577053 \h </w:instrText>
        </w:r>
        <w:r w:rsidR="00057374">
          <w:rPr>
            <w:noProof/>
            <w:webHidden/>
          </w:rPr>
        </w:r>
        <w:r w:rsidR="00057374">
          <w:rPr>
            <w:noProof/>
            <w:webHidden/>
          </w:rPr>
          <w:fldChar w:fldCharType="separate"/>
        </w:r>
        <w:r w:rsidR="00057374">
          <w:rPr>
            <w:noProof/>
            <w:webHidden/>
          </w:rPr>
          <w:t>7</w:t>
        </w:r>
        <w:r w:rsidR="00057374">
          <w:rPr>
            <w:noProof/>
            <w:webHidden/>
          </w:rPr>
          <w:fldChar w:fldCharType="end"/>
        </w:r>
      </w:hyperlink>
    </w:p>
    <w:p w:rsidR="00057374" w:rsidRDefault="006A37EC">
      <w:pPr>
        <w:pStyle w:val="TOC1"/>
        <w:rPr>
          <w:rFonts w:asciiTheme="minorHAnsi" w:eastAsiaTheme="minorEastAsia" w:hAnsiTheme="minorHAnsi" w:cstheme="minorBidi"/>
          <w:noProof/>
          <w:spacing w:val="0"/>
          <w:szCs w:val="22"/>
          <w:lang w:eastAsia="en-AU"/>
        </w:rPr>
      </w:pPr>
      <w:hyperlink w:anchor="_Toc446577054" w:history="1">
        <w:r w:rsidR="00057374" w:rsidRPr="00C9511C">
          <w:rPr>
            <w:rStyle w:val="Hyperlink"/>
            <w:rFonts w:eastAsia="Calibri"/>
            <w:noProof/>
          </w:rPr>
          <w:t>Conclusion</w:t>
        </w:r>
        <w:r w:rsidR="00057374">
          <w:rPr>
            <w:noProof/>
            <w:webHidden/>
          </w:rPr>
          <w:tab/>
        </w:r>
        <w:r w:rsidR="00057374">
          <w:rPr>
            <w:noProof/>
            <w:webHidden/>
          </w:rPr>
          <w:fldChar w:fldCharType="begin"/>
        </w:r>
        <w:r w:rsidR="00057374">
          <w:rPr>
            <w:noProof/>
            <w:webHidden/>
          </w:rPr>
          <w:instrText xml:space="preserve"> PAGEREF _Toc446577054 \h </w:instrText>
        </w:r>
        <w:r w:rsidR="00057374">
          <w:rPr>
            <w:noProof/>
            <w:webHidden/>
          </w:rPr>
        </w:r>
        <w:r w:rsidR="00057374">
          <w:rPr>
            <w:noProof/>
            <w:webHidden/>
          </w:rPr>
          <w:fldChar w:fldCharType="separate"/>
        </w:r>
        <w:r w:rsidR="00057374">
          <w:rPr>
            <w:noProof/>
            <w:webHidden/>
          </w:rPr>
          <w:t>8</w:t>
        </w:r>
        <w:r w:rsidR="00057374">
          <w:rPr>
            <w:noProof/>
            <w:webHidden/>
          </w:rPr>
          <w:fldChar w:fldCharType="end"/>
        </w:r>
      </w:hyperlink>
    </w:p>
    <w:p w:rsidR="00F6300B" w:rsidRPr="00181475" w:rsidRDefault="00F6300B" w:rsidP="00F6300B">
      <w:r w:rsidRPr="001917B2">
        <w:fldChar w:fldCharType="end"/>
      </w:r>
      <w:bookmarkStart w:id="2" w:name="_GoBack"/>
      <w:bookmarkEnd w:id="2"/>
    </w:p>
    <w:p w:rsidR="00F6300B" w:rsidRDefault="00F6300B" w:rsidP="009A72BC">
      <w:pPr>
        <w:pStyle w:val="Heading1"/>
        <w:rPr>
          <w:lang w:eastAsia="en-AU"/>
        </w:rPr>
      </w:pPr>
      <w:r>
        <w:rPr>
          <w:lang w:eastAsia="en-AU"/>
        </w:rPr>
        <w:br w:type="page"/>
      </w:r>
      <w:bookmarkStart w:id="3" w:name="_Toc446577047"/>
      <w:r w:rsidR="00E41F9F">
        <w:rPr>
          <w:lang w:eastAsia="en-AU"/>
        </w:rPr>
        <w:lastRenderedPageBreak/>
        <w:t>Infographic</w:t>
      </w:r>
      <w:bookmarkEnd w:id="3"/>
    </w:p>
    <w:p w:rsidR="00F6300B" w:rsidRDefault="00E41F9F" w:rsidP="00F6300B">
      <w:pPr>
        <w:spacing w:after="0" w:line="240" w:lineRule="auto"/>
        <w:rPr>
          <w:sz w:val="48"/>
          <w:szCs w:val="48"/>
          <w:lang w:eastAsia="en-AU"/>
        </w:rPr>
      </w:pPr>
      <w:r>
        <w:rPr>
          <w:noProof/>
          <w:lang w:eastAsia="en-AU"/>
        </w:rPr>
        <w:drawing>
          <wp:anchor distT="0" distB="0" distL="114300" distR="114300" simplePos="0" relativeHeight="251662336" behindDoc="0" locked="0" layoutInCell="1" allowOverlap="1" wp14:anchorId="6D0DC266" wp14:editId="43E7BF5C">
            <wp:simplePos x="0" y="0"/>
            <wp:positionH relativeFrom="margin">
              <wp:posOffset>-810261</wp:posOffset>
            </wp:positionH>
            <wp:positionV relativeFrom="page">
              <wp:posOffset>0</wp:posOffset>
            </wp:positionV>
            <wp:extent cx="7591425" cy="10664935"/>
            <wp:effectExtent l="0" t="0" r="0" b="3175"/>
            <wp:wrapNone/>
            <wp:docPr id="6" name="Picture 6" descr="Infographic of the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B0804.NATION.003\AppData\Local\Microsoft\Windows\Temporary Internet Files\Content.Outlook\0DLUQFK7\NW hobart infographi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2703" cy="10666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00B" w:rsidRPr="00E86F40" w:rsidRDefault="00F6300B" w:rsidP="00F6300B">
      <w:pPr>
        <w:rPr>
          <w:lang w:eastAsia="en-AU"/>
        </w:rPr>
      </w:pPr>
      <w:r w:rsidRPr="00E86F40">
        <w:rPr>
          <w:lang w:eastAsia="en-AU"/>
        </w:rPr>
        <w:br w:type="page"/>
      </w:r>
    </w:p>
    <w:p w:rsidR="00F6300B" w:rsidRDefault="00F6300B" w:rsidP="001F078C">
      <w:pPr>
        <w:pStyle w:val="Heading1"/>
      </w:pPr>
      <w:bookmarkStart w:id="4" w:name="_Toc446577048"/>
      <w:r>
        <w:lastRenderedPageBreak/>
        <w:t>Summary</w:t>
      </w:r>
      <w:bookmarkEnd w:id="4"/>
    </w:p>
    <w:p w:rsidR="006F19DA" w:rsidRPr="008C618D" w:rsidRDefault="005A32A5" w:rsidP="00F6300B">
      <w:r w:rsidRPr="008C618D">
        <w:t>In December 2014</w:t>
      </w:r>
      <w:r w:rsidR="00F927F0" w:rsidRPr="008C618D">
        <w:t>,</w:t>
      </w:r>
      <w:r w:rsidRPr="008C618D">
        <w:t xml:space="preserve"> the </w:t>
      </w:r>
      <w:r w:rsidR="00AE6949" w:rsidRPr="008C618D">
        <w:t xml:space="preserve">Fair Work Ombudsman (FWO) </w:t>
      </w:r>
      <w:r w:rsidR="00107003" w:rsidRPr="008C618D">
        <w:t>commenced the North West Hobart R</w:t>
      </w:r>
      <w:r w:rsidR="00F6300B" w:rsidRPr="008C618D">
        <w:t>egion</w:t>
      </w:r>
      <w:r w:rsidR="00107003" w:rsidRPr="008C618D">
        <w:t xml:space="preserve">al Campaign </w:t>
      </w:r>
      <w:r w:rsidR="0007383E" w:rsidRPr="008C618D">
        <w:t xml:space="preserve">(the </w:t>
      </w:r>
      <w:r w:rsidR="00107003" w:rsidRPr="008C618D">
        <w:t>campaign)</w:t>
      </w:r>
      <w:r w:rsidR="009E6033" w:rsidRPr="008C618D">
        <w:t>.  The campaign was undertaken in response to a number of factors</w:t>
      </w:r>
      <w:r w:rsidR="00BB1569" w:rsidRPr="008C618D">
        <w:t>,</w:t>
      </w:r>
      <w:r w:rsidR="00AB285A" w:rsidRPr="008C618D">
        <w:t xml:space="preserve"> including high numbers of Requests for Assistance (RfA’s</w:t>
      </w:r>
      <w:r w:rsidR="00B37E9B" w:rsidRPr="008C618D">
        <w:t xml:space="preserve">) received by the FWO from </w:t>
      </w:r>
      <w:r w:rsidR="00AB285A" w:rsidRPr="008C618D">
        <w:t xml:space="preserve">the region, and a high violation rate of those RfA’s received.  </w:t>
      </w:r>
      <w:r w:rsidR="007F39A4" w:rsidRPr="008C618D">
        <w:t xml:space="preserve">The campaign focused on new businesses (those that had registered to trade within </w:t>
      </w:r>
      <w:r w:rsidR="00625F01" w:rsidRPr="008C618D">
        <w:t>2 years</w:t>
      </w:r>
      <w:r w:rsidR="007F39A4" w:rsidRPr="008C618D">
        <w:t xml:space="preserve"> of the commencement of the campaign)</w:t>
      </w:r>
      <w:r w:rsidR="00625F01" w:rsidRPr="008C618D">
        <w:t xml:space="preserve">.  </w:t>
      </w:r>
    </w:p>
    <w:p w:rsidR="006F19DA" w:rsidRPr="008C618D" w:rsidRDefault="006F19DA" w:rsidP="00F6300B">
      <w:r w:rsidRPr="008C618D">
        <w:t>The campaign was specifically conducted to:</w:t>
      </w:r>
    </w:p>
    <w:p w:rsidR="005163D1" w:rsidRPr="008C618D" w:rsidRDefault="005163D1" w:rsidP="001F078C">
      <w:pPr>
        <w:pStyle w:val="ListParagraph"/>
        <w:numPr>
          <w:ilvl w:val="0"/>
          <w:numId w:val="13"/>
        </w:numPr>
      </w:pPr>
      <w:r w:rsidRPr="008C618D">
        <w:t xml:space="preserve">Promote a culture of ongoing compliance by </w:t>
      </w:r>
      <w:r w:rsidR="007F39A4" w:rsidRPr="008C618D">
        <w:t>ensur</w:t>
      </w:r>
      <w:r w:rsidRPr="008C618D">
        <w:t>ing</w:t>
      </w:r>
      <w:r w:rsidR="007F39A4" w:rsidRPr="008C618D">
        <w:t xml:space="preserve"> </w:t>
      </w:r>
      <w:r w:rsidR="00B37E9B" w:rsidRPr="008C618D">
        <w:t>new</w:t>
      </w:r>
      <w:r w:rsidR="00625F01" w:rsidRPr="008C618D">
        <w:t xml:space="preserve"> businesses </w:t>
      </w:r>
      <w:r w:rsidR="007F39A4" w:rsidRPr="008C618D">
        <w:t>were well informed about the</w:t>
      </w:r>
      <w:r w:rsidR="00354C04" w:rsidRPr="008C618D">
        <w:t xml:space="preserve">ir </w:t>
      </w:r>
      <w:r w:rsidR="007F39A4" w:rsidRPr="008C618D">
        <w:t>employment obligations from an early stage</w:t>
      </w:r>
      <w:r w:rsidR="0097245B" w:rsidRPr="008C618D">
        <w:t xml:space="preserve">; </w:t>
      </w:r>
    </w:p>
    <w:p w:rsidR="0097245B" w:rsidRPr="008C618D" w:rsidRDefault="0097245B" w:rsidP="001F078C">
      <w:pPr>
        <w:pStyle w:val="ListParagraph"/>
        <w:numPr>
          <w:ilvl w:val="0"/>
          <w:numId w:val="13"/>
        </w:numPr>
      </w:pPr>
      <w:r w:rsidRPr="008C618D">
        <w:t>Assist new and small businesses to comply with their workplace obligations by p</w:t>
      </w:r>
      <w:r w:rsidR="005163D1" w:rsidRPr="008C618D">
        <w:t>romot</w:t>
      </w:r>
      <w:r w:rsidRPr="008C618D">
        <w:t>ing</w:t>
      </w:r>
      <w:r w:rsidR="005163D1" w:rsidRPr="008C618D">
        <w:t xml:space="preserve"> the FWO educational tools and resources such </w:t>
      </w:r>
      <w:r w:rsidR="00F927F0" w:rsidRPr="008C618D">
        <w:t xml:space="preserve">as </w:t>
      </w:r>
      <w:r w:rsidR="005163D1" w:rsidRPr="008C618D">
        <w:t>My Account, the Online Learning Centre, downloadable templates and Best Practice Guides</w:t>
      </w:r>
      <w:r w:rsidRPr="008C618D">
        <w:t>; and</w:t>
      </w:r>
    </w:p>
    <w:p w:rsidR="00AB285A" w:rsidRPr="008C618D" w:rsidRDefault="0097245B" w:rsidP="001F078C">
      <w:pPr>
        <w:pStyle w:val="ListParagraph"/>
        <w:numPr>
          <w:ilvl w:val="0"/>
          <w:numId w:val="13"/>
        </w:numPr>
      </w:pPr>
      <w:r w:rsidRPr="008C618D">
        <w:t xml:space="preserve">Conduct assessments of time and wages records to provide advice to businesses on correct record keeping practices and wage rates.  </w:t>
      </w:r>
    </w:p>
    <w:p w:rsidR="00C13FD5" w:rsidRPr="008C618D" w:rsidRDefault="00625F01" w:rsidP="001F078C">
      <w:pPr>
        <w:rPr>
          <w:rFonts w:eastAsiaTheme="minorHAnsi"/>
          <w:szCs w:val="22"/>
        </w:rPr>
      </w:pPr>
      <w:r w:rsidRPr="008C618D">
        <w:t xml:space="preserve">Fair Work Inspector’s </w:t>
      </w:r>
      <w:r w:rsidR="00B37E9B" w:rsidRPr="008C618D">
        <w:t xml:space="preserve">(FWIs) </w:t>
      </w:r>
      <w:r w:rsidRPr="008C618D">
        <w:t xml:space="preserve">visited 50 businesses </w:t>
      </w:r>
      <w:r w:rsidR="005501F1" w:rsidRPr="008C618D">
        <w:t xml:space="preserve">to provide </w:t>
      </w:r>
      <w:r w:rsidR="00B37E9B" w:rsidRPr="008C618D">
        <w:t xml:space="preserve">advice </w:t>
      </w:r>
      <w:r w:rsidR="0084302F" w:rsidRPr="008C618D">
        <w:t xml:space="preserve">on the </w:t>
      </w:r>
      <w:r w:rsidR="00AD6C8F" w:rsidRPr="008C618D">
        <w:t xml:space="preserve">resources </w:t>
      </w:r>
      <w:r w:rsidR="0084302F" w:rsidRPr="008C618D">
        <w:t xml:space="preserve">available from the FWO </w:t>
      </w:r>
      <w:r w:rsidR="005501F1" w:rsidRPr="008C618D">
        <w:t xml:space="preserve">to assist in meeting their </w:t>
      </w:r>
      <w:r w:rsidR="00AD6C8F" w:rsidRPr="008C618D">
        <w:t>obligations</w:t>
      </w:r>
      <w:r w:rsidR="005501F1" w:rsidRPr="008C618D">
        <w:t xml:space="preserve">. </w:t>
      </w:r>
      <w:r w:rsidR="006C4124" w:rsidRPr="008C618D">
        <w:t>FWI’s also reviewed time and wage records of those businesses and found:</w:t>
      </w:r>
    </w:p>
    <w:p w:rsidR="00142518" w:rsidRPr="008C618D" w:rsidRDefault="00142518" w:rsidP="001F078C">
      <w:pPr>
        <w:pStyle w:val="ListParagraph"/>
        <w:numPr>
          <w:ilvl w:val="0"/>
          <w:numId w:val="7"/>
        </w:numPr>
        <w:rPr>
          <w:rFonts w:eastAsiaTheme="minorHAnsi"/>
          <w:szCs w:val="22"/>
        </w:rPr>
      </w:pPr>
      <w:r w:rsidRPr="008C618D">
        <w:rPr>
          <w:rFonts w:eastAsiaTheme="minorHAnsi"/>
          <w:szCs w:val="22"/>
        </w:rPr>
        <w:t>36 (72%) were compliant with all requirements;</w:t>
      </w:r>
    </w:p>
    <w:p w:rsidR="00142518" w:rsidRPr="008C618D" w:rsidRDefault="00142518" w:rsidP="001F078C">
      <w:pPr>
        <w:pStyle w:val="ListParagraph"/>
        <w:numPr>
          <w:ilvl w:val="0"/>
          <w:numId w:val="7"/>
        </w:numPr>
        <w:rPr>
          <w:rFonts w:eastAsiaTheme="minorHAnsi"/>
          <w:szCs w:val="22"/>
        </w:rPr>
      </w:pPr>
      <w:r w:rsidRPr="008C618D">
        <w:rPr>
          <w:rFonts w:eastAsiaTheme="minorHAnsi"/>
          <w:szCs w:val="22"/>
        </w:rPr>
        <w:t>43 (86%) were paying their employees correctly; and</w:t>
      </w:r>
    </w:p>
    <w:p w:rsidR="00142518" w:rsidRPr="008C618D" w:rsidRDefault="00142518" w:rsidP="001F078C">
      <w:pPr>
        <w:pStyle w:val="ListParagraph"/>
        <w:numPr>
          <w:ilvl w:val="0"/>
          <w:numId w:val="7"/>
        </w:numPr>
        <w:rPr>
          <w:rFonts w:eastAsiaTheme="minorHAnsi"/>
          <w:szCs w:val="22"/>
        </w:rPr>
      </w:pPr>
      <w:r w:rsidRPr="008C618D">
        <w:rPr>
          <w:rFonts w:eastAsiaTheme="minorHAnsi"/>
          <w:szCs w:val="22"/>
        </w:rPr>
        <w:t>42 (84%) were compliant with record-keeping and pay slip requirements.</w:t>
      </w:r>
    </w:p>
    <w:p w:rsidR="00C13FD5" w:rsidRPr="008C618D" w:rsidRDefault="00C13FD5" w:rsidP="00AD6C8F">
      <w:pPr>
        <w:spacing w:after="0" w:line="276" w:lineRule="auto"/>
        <w:rPr>
          <w:rFonts w:eastAsiaTheme="minorHAnsi"/>
          <w:szCs w:val="22"/>
        </w:rPr>
      </w:pPr>
      <w:r w:rsidRPr="008C618D">
        <w:rPr>
          <w:rFonts w:eastAsiaTheme="minorHAnsi"/>
          <w:szCs w:val="22"/>
        </w:rPr>
        <w:t>A total of $2,526 was recovered from 5 businesses</w:t>
      </w:r>
      <w:r w:rsidR="00142518" w:rsidRPr="008C618D">
        <w:rPr>
          <w:rFonts w:eastAsiaTheme="minorHAnsi"/>
          <w:szCs w:val="22"/>
        </w:rPr>
        <w:t xml:space="preserve"> </w:t>
      </w:r>
      <w:r w:rsidRPr="008C618D">
        <w:rPr>
          <w:rFonts w:eastAsiaTheme="minorHAnsi"/>
          <w:szCs w:val="22"/>
        </w:rPr>
        <w:t>on behalf of 10 employees</w:t>
      </w:r>
      <w:r w:rsidR="00142518" w:rsidRPr="008C618D">
        <w:rPr>
          <w:rFonts w:eastAsiaTheme="minorHAnsi"/>
          <w:szCs w:val="22"/>
        </w:rPr>
        <w:t>.</w:t>
      </w:r>
    </w:p>
    <w:p w:rsidR="00FE19A2" w:rsidRDefault="00FE19A2" w:rsidP="00AD6C8F">
      <w:pPr>
        <w:spacing w:after="0" w:line="276" w:lineRule="auto"/>
        <w:rPr>
          <w:rFonts w:ascii="Myriad Pro Light" w:eastAsiaTheme="minorHAnsi" w:hAnsi="Myriad Pro Light" w:cstheme="minorBidi"/>
          <w:szCs w:val="22"/>
        </w:rPr>
      </w:pPr>
    </w:p>
    <w:p w:rsidR="00FE19A2" w:rsidRDefault="00FE19A2" w:rsidP="001F078C">
      <w:pPr>
        <w:pStyle w:val="Heading1"/>
        <w:rPr>
          <w:rFonts w:eastAsiaTheme="minorHAnsi"/>
        </w:rPr>
      </w:pPr>
      <w:bookmarkStart w:id="5" w:name="_Toc446577049"/>
      <w:r>
        <w:rPr>
          <w:rFonts w:eastAsiaTheme="minorHAnsi"/>
        </w:rPr>
        <w:t>What we did</w:t>
      </w:r>
      <w:bookmarkEnd w:id="5"/>
    </w:p>
    <w:p w:rsidR="00F6300B" w:rsidRDefault="00074CBB" w:rsidP="0007383E">
      <w:bookmarkStart w:id="6" w:name="_Toc410822215"/>
      <w:r>
        <w:t>In preparing for the campaign</w:t>
      </w:r>
      <w:r w:rsidR="00CB773D">
        <w:t>, the</w:t>
      </w:r>
      <w:r>
        <w:t xml:space="preserve"> </w:t>
      </w:r>
      <w:r w:rsidR="00F6300B">
        <w:t xml:space="preserve">FWO </w:t>
      </w:r>
      <w:r w:rsidR="00C64E8A">
        <w:t xml:space="preserve">contacted </w:t>
      </w:r>
      <w:r w:rsidR="00F6300B">
        <w:t>various stakeholders</w:t>
      </w:r>
      <w:r>
        <w:t xml:space="preserve"> </w:t>
      </w:r>
      <w:r w:rsidR="00956774">
        <w:t xml:space="preserve">in the region </w:t>
      </w:r>
      <w:r w:rsidR="00C64E8A">
        <w:t xml:space="preserve">to advise them of the campaign and to assist with the promotion of the campaign.  </w:t>
      </w:r>
      <w:r>
        <w:t xml:space="preserve">These </w:t>
      </w:r>
      <w:r w:rsidR="00F6300B">
        <w:t xml:space="preserve">included: </w:t>
      </w:r>
    </w:p>
    <w:p w:rsidR="00ED5BDF" w:rsidRPr="00ED5BDF" w:rsidRDefault="00ED5BDF" w:rsidP="008C618D">
      <w:pPr>
        <w:pStyle w:val="Bullet"/>
        <w:numPr>
          <w:ilvl w:val="0"/>
          <w:numId w:val="8"/>
        </w:numPr>
      </w:pPr>
      <w:r w:rsidRPr="00ED5BDF">
        <w:t>Moonah &amp; Glenorchy Business Association</w:t>
      </w:r>
      <w:r w:rsidR="00CB773D">
        <w:t>;</w:t>
      </w:r>
    </w:p>
    <w:p w:rsidR="00ED5BDF" w:rsidRDefault="00ED5BDF" w:rsidP="008C618D">
      <w:pPr>
        <w:pStyle w:val="Bullet"/>
        <w:numPr>
          <w:ilvl w:val="0"/>
          <w:numId w:val="8"/>
        </w:numPr>
      </w:pPr>
      <w:r w:rsidRPr="00ED5BDF">
        <w:t>Glenorchy City Council</w:t>
      </w:r>
      <w:r w:rsidR="00CB773D">
        <w:t>;</w:t>
      </w:r>
    </w:p>
    <w:p w:rsidR="00ED5BDF" w:rsidRPr="00ED5BDF" w:rsidRDefault="00ED5BDF" w:rsidP="008C618D">
      <w:pPr>
        <w:pStyle w:val="Bullet"/>
        <w:numPr>
          <w:ilvl w:val="0"/>
          <w:numId w:val="8"/>
        </w:numPr>
      </w:pPr>
      <w:r w:rsidRPr="00ED5BDF">
        <w:t>Tasmanian Chamber of Commerce and Industry</w:t>
      </w:r>
      <w:r w:rsidR="00CB773D">
        <w:t>;</w:t>
      </w:r>
    </w:p>
    <w:p w:rsidR="00ED5BDF" w:rsidRPr="00ED5BDF" w:rsidRDefault="00ED5BDF" w:rsidP="008C618D">
      <w:pPr>
        <w:pStyle w:val="Bullet"/>
        <w:numPr>
          <w:ilvl w:val="0"/>
          <w:numId w:val="8"/>
        </w:numPr>
      </w:pPr>
      <w:r w:rsidRPr="00ED5BDF">
        <w:t>Tasmanian Small Business Council</w:t>
      </w:r>
      <w:r w:rsidR="00CB773D">
        <w:t>;</w:t>
      </w:r>
    </w:p>
    <w:p w:rsidR="00ED5BDF" w:rsidRPr="00ED5BDF" w:rsidRDefault="00ED5BDF" w:rsidP="008C618D">
      <w:pPr>
        <w:pStyle w:val="Bullet"/>
        <w:numPr>
          <w:ilvl w:val="0"/>
          <w:numId w:val="8"/>
        </w:numPr>
      </w:pPr>
      <w:r w:rsidRPr="00ED5BDF">
        <w:t>Australian Hotels Association</w:t>
      </w:r>
      <w:r w:rsidR="00CB773D">
        <w:t>;</w:t>
      </w:r>
    </w:p>
    <w:p w:rsidR="00ED5BDF" w:rsidRPr="00ED5BDF" w:rsidRDefault="00ED5BDF" w:rsidP="008C618D">
      <w:pPr>
        <w:pStyle w:val="Bullet"/>
        <w:numPr>
          <w:ilvl w:val="0"/>
          <w:numId w:val="8"/>
        </w:numPr>
      </w:pPr>
      <w:r w:rsidRPr="00ED5BDF">
        <w:t>United Voice</w:t>
      </w:r>
      <w:r w:rsidR="00CB773D">
        <w:t>;</w:t>
      </w:r>
    </w:p>
    <w:p w:rsidR="00ED5BDF" w:rsidRPr="00ED5BDF" w:rsidRDefault="00ED5BDF" w:rsidP="008C618D">
      <w:pPr>
        <w:pStyle w:val="Bullet"/>
        <w:numPr>
          <w:ilvl w:val="0"/>
          <w:numId w:val="8"/>
        </w:numPr>
      </w:pPr>
      <w:r w:rsidRPr="00ED5BDF">
        <w:t>Shop, Distributive and Allied Employees Association</w:t>
      </w:r>
      <w:r w:rsidR="00CB773D">
        <w:t>;</w:t>
      </w:r>
    </w:p>
    <w:p w:rsidR="00ED5BDF" w:rsidRPr="00ED5BDF" w:rsidRDefault="00ED5BDF" w:rsidP="008C618D">
      <w:pPr>
        <w:pStyle w:val="Bullet"/>
        <w:numPr>
          <w:ilvl w:val="0"/>
          <w:numId w:val="8"/>
        </w:numPr>
      </w:pPr>
      <w:r w:rsidRPr="00ED5BDF">
        <w:lastRenderedPageBreak/>
        <w:t>Tasmanian Hospitality Association</w:t>
      </w:r>
      <w:r w:rsidR="00CB773D">
        <w:t>;</w:t>
      </w:r>
    </w:p>
    <w:p w:rsidR="00ED5BDF" w:rsidRPr="00ED5BDF" w:rsidRDefault="00ED5BDF" w:rsidP="008C618D">
      <w:pPr>
        <w:pStyle w:val="Bullet"/>
        <w:numPr>
          <w:ilvl w:val="0"/>
          <w:numId w:val="8"/>
        </w:numPr>
      </w:pPr>
      <w:r w:rsidRPr="00ED5BDF">
        <w:t>Restaurant &amp; Caterers Association</w:t>
      </w:r>
      <w:r w:rsidR="00CB773D">
        <w:t>; and</w:t>
      </w:r>
    </w:p>
    <w:p w:rsidR="0084302F" w:rsidRPr="008C618D" w:rsidRDefault="00ED5BDF" w:rsidP="00A338EB">
      <w:pPr>
        <w:pStyle w:val="Bullet"/>
        <w:numPr>
          <w:ilvl w:val="0"/>
          <w:numId w:val="8"/>
        </w:numPr>
      </w:pPr>
      <w:r w:rsidRPr="00ED5BDF">
        <w:t>Hair &amp; Beauty Tasmania</w:t>
      </w:r>
      <w:r w:rsidR="00CB773D">
        <w:t>.</w:t>
      </w:r>
    </w:p>
    <w:p w:rsidR="00FE19A2" w:rsidRDefault="00417671" w:rsidP="008C618D">
      <w:pPr>
        <w:spacing w:before="240" w:after="0"/>
      </w:pPr>
      <w:r w:rsidRPr="001F078C">
        <w:t>The campaign was also promoted in the media to advise businesses in the region that the campaign was occurring, and to more widely publicise the resources the FWO has available for small and new businesses.</w:t>
      </w:r>
      <w:r w:rsidR="008C618D">
        <w:t xml:space="preserve"> </w:t>
      </w:r>
      <w:r w:rsidRPr="001F078C">
        <w:t>The promotion included both traditional and social media</w:t>
      </w:r>
      <w:r w:rsidR="00F927F0">
        <w:t>.</w:t>
      </w:r>
      <w:r w:rsidRPr="001F078C">
        <w:t xml:space="preserve">  </w:t>
      </w:r>
    </w:p>
    <w:p w:rsidR="0084302F" w:rsidRDefault="00886180" w:rsidP="00057374">
      <w:pPr>
        <w:spacing w:before="240"/>
      </w:pPr>
      <w:r>
        <w:t>FWI’s visited 50 businesses in the region, the majority having commenced trading with</w:t>
      </w:r>
      <w:r w:rsidR="00F927F0">
        <w:t>in</w:t>
      </w:r>
      <w:r>
        <w:t xml:space="preserve"> the last 2 years</w:t>
      </w:r>
      <w:r w:rsidRPr="00C72E59">
        <w:t xml:space="preserve">.  </w:t>
      </w:r>
      <w:r w:rsidR="00F66B95" w:rsidRPr="00C72E59">
        <w:t xml:space="preserve">Businesses </w:t>
      </w:r>
      <w:r w:rsidR="0097245B" w:rsidRPr="00C72E59">
        <w:t>were provided with advice and given demonstrations on the range of resources the FWO provides to assist them to meet their obligations with Commonwealth Workplace laws.</w:t>
      </w:r>
      <w:r w:rsidR="0097245B">
        <w:t xml:space="preserve">  The </w:t>
      </w:r>
      <w:r w:rsidR="0084302F">
        <w:t xml:space="preserve">resources specifically </w:t>
      </w:r>
      <w:r w:rsidR="0097245B">
        <w:t>discussed with</w:t>
      </w:r>
      <w:r w:rsidR="0084302F">
        <w:t xml:space="preserve"> businesses during the campaign included:</w:t>
      </w:r>
    </w:p>
    <w:p w:rsidR="0084302F" w:rsidRPr="001F078C" w:rsidRDefault="00F927F0" w:rsidP="001F078C">
      <w:pPr>
        <w:pStyle w:val="ListParagraph"/>
        <w:numPr>
          <w:ilvl w:val="0"/>
          <w:numId w:val="14"/>
        </w:numPr>
      </w:pPr>
      <w:r>
        <w:t>My Account and how to register</w:t>
      </w:r>
      <w:r w:rsidR="0084302F" w:rsidRPr="001F078C">
        <w:t>;</w:t>
      </w:r>
    </w:p>
    <w:p w:rsidR="0084302F" w:rsidRPr="001F078C" w:rsidRDefault="0084302F" w:rsidP="001F078C">
      <w:pPr>
        <w:pStyle w:val="ListParagraph"/>
        <w:numPr>
          <w:ilvl w:val="0"/>
          <w:numId w:val="14"/>
        </w:numPr>
      </w:pPr>
      <w:r w:rsidRPr="001F078C">
        <w:t xml:space="preserve">A demonstration of the </w:t>
      </w:r>
      <w:r w:rsidR="0097245B">
        <w:t xml:space="preserve">FWO </w:t>
      </w:r>
      <w:r w:rsidRPr="001F078C">
        <w:t>on</w:t>
      </w:r>
      <w:r w:rsidR="00417671" w:rsidRPr="001F078C">
        <w:t>line learning courses</w:t>
      </w:r>
      <w:r w:rsidR="0097245B">
        <w:t>;</w:t>
      </w:r>
    </w:p>
    <w:p w:rsidR="0084302F" w:rsidRPr="001F078C" w:rsidRDefault="0084302F" w:rsidP="001F078C">
      <w:pPr>
        <w:pStyle w:val="ListParagraph"/>
        <w:numPr>
          <w:ilvl w:val="0"/>
          <w:numId w:val="14"/>
        </w:numPr>
      </w:pPr>
      <w:r w:rsidRPr="001F078C">
        <w:t>Pay rates calculator</w:t>
      </w:r>
      <w:r w:rsidR="00417671" w:rsidRPr="001F078C">
        <w:t>;</w:t>
      </w:r>
    </w:p>
    <w:p w:rsidR="0084302F" w:rsidRPr="001F078C" w:rsidRDefault="0084302F" w:rsidP="001F078C">
      <w:pPr>
        <w:pStyle w:val="ListParagraph"/>
        <w:numPr>
          <w:ilvl w:val="0"/>
          <w:numId w:val="14"/>
        </w:numPr>
      </w:pPr>
      <w:r w:rsidRPr="001F078C">
        <w:t xml:space="preserve">Downloadable </w:t>
      </w:r>
      <w:r w:rsidR="00F66B95" w:rsidRPr="001F078C">
        <w:t xml:space="preserve">best practice </w:t>
      </w:r>
      <w:r w:rsidRPr="001F078C">
        <w:t>templates for record-keeping and pay slips; and</w:t>
      </w:r>
    </w:p>
    <w:p w:rsidR="0084302F" w:rsidRPr="001F078C" w:rsidRDefault="0084302F" w:rsidP="001F078C">
      <w:pPr>
        <w:pStyle w:val="ListParagraph"/>
        <w:numPr>
          <w:ilvl w:val="0"/>
          <w:numId w:val="14"/>
        </w:numPr>
      </w:pPr>
      <w:r w:rsidRPr="001F078C">
        <w:t>Best Practice guides.</w:t>
      </w:r>
      <w:r w:rsidR="00417671" w:rsidRPr="001F078C">
        <w:t xml:space="preserve">  </w:t>
      </w:r>
    </w:p>
    <w:p w:rsidR="006A37EC" w:rsidRDefault="006F19DA" w:rsidP="008C618D">
      <w:pPr>
        <w:pStyle w:val="Bullet"/>
      </w:pPr>
      <w:r w:rsidRPr="008C618D">
        <w:t xml:space="preserve">FWI’s also reviewed a sample of time and wages records to assess compliance with </w:t>
      </w:r>
      <w:r w:rsidR="00F749A6" w:rsidRPr="008C618D">
        <w:t xml:space="preserve">the </w:t>
      </w:r>
      <w:r w:rsidR="00F749A6" w:rsidRPr="008C618D">
        <w:rPr>
          <w:i/>
        </w:rPr>
        <w:t>Fair Work Act 2009</w:t>
      </w:r>
      <w:r w:rsidR="00F749A6" w:rsidRPr="008C618D">
        <w:t xml:space="preserve"> (the Act), the </w:t>
      </w:r>
      <w:r w:rsidR="00F749A6" w:rsidRPr="008C618D">
        <w:rPr>
          <w:i/>
        </w:rPr>
        <w:t>Fair Work Regulations 2009</w:t>
      </w:r>
      <w:r w:rsidR="00F749A6" w:rsidRPr="008C618D">
        <w:t xml:space="preserve"> (the Regulations) and the applicable award/agreement.</w:t>
      </w:r>
    </w:p>
    <w:p w:rsidR="00F749A6" w:rsidRDefault="006A37EC" w:rsidP="008C618D">
      <w:pPr>
        <w:pStyle w:val="Bullet"/>
        <w:rPr>
          <w:highlight w:val="yellow"/>
        </w:rPr>
      </w:pPr>
      <w:r>
        <w:rPr>
          <w:highlight w:val="yellow"/>
        </w:rPr>
        <w:t xml:space="preserve"> </w:t>
      </w:r>
    </w:p>
    <w:p w:rsidR="00482A01" w:rsidRDefault="007A7BFC" w:rsidP="001F078C">
      <w:pPr>
        <w:pStyle w:val="Heading1"/>
        <w:rPr>
          <w:rFonts w:eastAsia="Calibri"/>
        </w:rPr>
      </w:pPr>
      <w:bookmarkStart w:id="7" w:name="_Toc446577050"/>
      <w:r>
        <w:t>Outcomes</w:t>
      </w:r>
      <w:bookmarkEnd w:id="7"/>
    </w:p>
    <w:p w:rsidR="00F6300B" w:rsidRPr="008C618D" w:rsidRDefault="00B54DD1" w:rsidP="00F6300B">
      <w:pPr>
        <w:spacing w:after="53" w:line="320" w:lineRule="exact"/>
        <w:rPr>
          <w:rFonts w:eastAsia="Calibri"/>
        </w:rPr>
      </w:pPr>
      <w:r w:rsidRPr="008C618D">
        <w:rPr>
          <w:rFonts w:eastAsia="Calibri"/>
        </w:rPr>
        <w:t xml:space="preserve">Of the </w:t>
      </w:r>
      <w:r w:rsidR="000830EF" w:rsidRPr="008C618D">
        <w:rPr>
          <w:rFonts w:eastAsia="Calibri"/>
        </w:rPr>
        <w:t xml:space="preserve">50 businesses </w:t>
      </w:r>
      <w:r w:rsidRPr="008C618D">
        <w:rPr>
          <w:rFonts w:eastAsia="Calibri"/>
        </w:rPr>
        <w:t>audited during the campaign:</w:t>
      </w:r>
    </w:p>
    <w:p w:rsidR="00F6300B" w:rsidRPr="008C618D" w:rsidRDefault="00C13FD5" w:rsidP="00F6300B">
      <w:pPr>
        <w:numPr>
          <w:ilvl w:val="0"/>
          <w:numId w:val="2"/>
        </w:numPr>
        <w:spacing w:after="53" w:line="320" w:lineRule="exact"/>
        <w:jc w:val="both"/>
        <w:rPr>
          <w:rFonts w:eastAsia="Calibri"/>
        </w:rPr>
      </w:pPr>
      <w:r w:rsidRPr="008C618D">
        <w:rPr>
          <w:rFonts w:eastAsia="Calibri"/>
        </w:rPr>
        <w:t>36</w:t>
      </w:r>
      <w:r w:rsidR="00F6300B" w:rsidRPr="008C618D">
        <w:rPr>
          <w:rFonts w:eastAsia="Calibri"/>
        </w:rPr>
        <w:t xml:space="preserve"> (</w:t>
      </w:r>
      <w:r w:rsidRPr="008C618D">
        <w:rPr>
          <w:rFonts w:eastAsia="Calibri"/>
        </w:rPr>
        <w:t>72</w:t>
      </w:r>
      <w:r w:rsidR="00F6300B" w:rsidRPr="008C618D">
        <w:rPr>
          <w:rFonts w:eastAsia="Calibri"/>
        </w:rPr>
        <w:t>%) were compliant with all requirements</w:t>
      </w:r>
      <w:r w:rsidR="002F6DF4" w:rsidRPr="008C618D">
        <w:rPr>
          <w:rFonts w:eastAsia="Calibri"/>
        </w:rPr>
        <w:t>; and</w:t>
      </w:r>
    </w:p>
    <w:p w:rsidR="00F6300B" w:rsidRPr="008C618D" w:rsidRDefault="00C13FD5" w:rsidP="00F6300B">
      <w:pPr>
        <w:numPr>
          <w:ilvl w:val="0"/>
          <w:numId w:val="2"/>
        </w:numPr>
        <w:spacing w:after="53" w:line="320" w:lineRule="exact"/>
        <w:jc w:val="both"/>
        <w:rPr>
          <w:rFonts w:eastAsia="Calibri"/>
        </w:rPr>
      </w:pPr>
      <w:r w:rsidRPr="008C618D">
        <w:rPr>
          <w:rFonts w:eastAsia="Calibri"/>
        </w:rPr>
        <w:t>14</w:t>
      </w:r>
      <w:r w:rsidR="00F6300B" w:rsidRPr="008C618D">
        <w:rPr>
          <w:rFonts w:eastAsia="Calibri"/>
        </w:rPr>
        <w:t xml:space="preserve"> (</w:t>
      </w:r>
      <w:r w:rsidRPr="008C618D">
        <w:rPr>
          <w:rFonts w:eastAsia="Calibri"/>
        </w:rPr>
        <w:t>28</w:t>
      </w:r>
      <w:r w:rsidR="00F6300B" w:rsidRPr="008C618D">
        <w:rPr>
          <w:rFonts w:eastAsia="Calibri"/>
        </w:rPr>
        <w:t>%) had at least one error:</w:t>
      </w:r>
    </w:p>
    <w:p w:rsidR="00F6300B" w:rsidRPr="008C618D" w:rsidRDefault="00C13FD5" w:rsidP="00F6300B">
      <w:pPr>
        <w:numPr>
          <w:ilvl w:val="1"/>
          <w:numId w:val="2"/>
        </w:numPr>
        <w:spacing w:after="53" w:line="320" w:lineRule="exact"/>
        <w:jc w:val="both"/>
        <w:rPr>
          <w:rFonts w:eastAsia="Calibri"/>
        </w:rPr>
      </w:pPr>
      <w:r w:rsidRPr="008C618D">
        <w:rPr>
          <w:rFonts w:eastAsia="Calibri"/>
        </w:rPr>
        <w:t>7</w:t>
      </w:r>
      <w:r w:rsidR="00F6300B" w:rsidRPr="008C618D">
        <w:rPr>
          <w:rFonts w:eastAsia="Calibri"/>
        </w:rPr>
        <w:t xml:space="preserve"> (</w:t>
      </w:r>
      <w:r w:rsidRPr="008C618D">
        <w:rPr>
          <w:rFonts w:eastAsia="Calibri"/>
        </w:rPr>
        <w:t>14</w:t>
      </w:r>
      <w:r w:rsidR="00F6300B" w:rsidRPr="008C618D">
        <w:rPr>
          <w:rFonts w:eastAsia="Calibri"/>
        </w:rPr>
        <w:t>%) relat</w:t>
      </w:r>
      <w:r w:rsidR="006566E6" w:rsidRPr="008C618D">
        <w:rPr>
          <w:rFonts w:eastAsia="Calibri"/>
        </w:rPr>
        <w:t>ed</w:t>
      </w:r>
      <w:r w:rsidR="00F6300B" w:rsidRPr="008C618D">
        <w:rPr>
          <w:rFonts w:eastAsia="Calibri"/>
        </w:rPr>
        <w:t xml:space="preserve"> to </w:t>
      </w:r>
      <w:r w:rsidR="002F6DF4" w:rsidRPr="008C618D">
        <w:rPr>
          <w:rFonts w:eastAsia="Calibri"/>
        </w:rPr>
        <w:t>pay slips/records</w:t>
      </w:r>
      <w:r w:rsidR="00F6300B" w:rsidRPr="008C618D">
        <w:rPr>
          <w:rFonts w:eastAsia="Calibri"/>
        </w:rPr>
        <w:t>;</w:t>
      </w:r>
    </w:p>
    <w:p w:rsidR="00F6300B" w:rsidRPr="008C618D" w:rsidRDefault="00C13FD5" w:rsidP="00F6300B">
      <w:pPr>
        <w:numPr>
          <w:ilvl w:val="1"/>
          <w:numId w:val="2"/>
        </w:numPr>
        <w:spacing w:after="53" w:line="320" w:lineRule="exact"/>
        <w:jc w:val="both"/>
        <w:rPr>
          <w:rFonts w:eastAsia="Calibri"/>
        </w:rPr>
      </w:pPr>
      <w:r w:rsidRPr="008C618D">
        <w:rPr>
          <w:rFonts w:eastAsia="Calibri"/>
        </w:rPr>
        <w:t>6</w:t>
      </w:r>
      <w:r w:rsidR="00F6300B" w:rsidRPr="008C618D">
        <w:rPr>
          <w:rFonts w:eastAsia="Calibri"/>
        </w:rPr>
        <w:t xml:space="preserve"> (</w:t>
      </w:r>
      <w:r w:rsidRPr="008C618D">
        <w:rPr>
          <w:rFonts w:eastAsia="Calibri"/>
        </w:rPr>
        <w:t>12</w:t>
      </w:r>
      <w:r w:rsidR="00F6300B" w:rsidRPr="008C618D">
        <w:rPr>
          <w:rFonts w:eastAsia="Calibri"/>
        </w:rPr>
        <w:t>%) relat</w:t>
      </w:r>
      <w:r w:rsidR="006566E6" w:rsidRPr="008C618D">
        <w:rPr>
          <w:rFonts w:eastAsia="Calibri"/>
        </w:rPr>
        <w:t>ed</w:t>
      </w:r>
      <w:r w:rsidR="00F6300B" w:rsidRPr="008C618D">
        <w:rPr>
          <w:rFonts w:eastAsia="Calibri"/>
        </w:rPr>
        <w:t xml:space="preserve"> to pay rates; and</w:t>
      </w:r>
    </w:p>
    <w:p w:rsidR="00371057" w:rsidRPr="008C618D" w:rsidRDefault="00C13FD5" w:rsidP="009A72BC">
      <w:pPr>
        <w:numPr>
          <w:ilvl w:val="1"/>
          <w:numId w:val="2"/>
        </w:numPr>
        <w:spacing w:after="53" w:line="320" w:lineRule="exact"/>
        <w:jc w:val="both"/>
        <w:rPr>
          <w:rFonts w:eastAsia="Calibri"/>
        </w:rPr>
      </w:pPr>
      <w:r w:rsidRPr="008C618D">
        <w:rPr>
          <w:rFonts w:eastAsia="Calibri"/>
        </w:rPr>
        <w:t>1</w:t>
      </w:r>
      <w:r w:rsidR="00F6300B" w:rsidRPr="008C618D">
        <w:rPr>
          <w:rFonts w:eastAsia="Calibri"/>
        </w:rPr>
        <w:t xml:space="preserve"> (</w:t>
      </w:r>
      <w:r w:rsidRPr="008C618D">
        <w:rPr>
          <w:rFonts w:eastAsia="Calibri"/>
        </w:rPr>
        <w:t>2</w:t>
      </w:r>
      <w:r w:rsidR="00F6300B" w:rsidRPr="008C618D">
        <w:rPr>
          <w:rFonts w:eastAsia="Calibri"/>
        </w:rPr>
        <w:t xml:space="preserve">%) </w:t>
      </w:r>
      <w:r w:rsidR="006566E6" w:rsidRPr="008C618D">
        <w:rPr>
          <w:rFonts w:eastAsia="Calibri"/>
        </w:rPr>
        <w:t xml:space="preserve">related to </w:t>
      </w:r>
      <w:r w:rsidR="00F6300B" w:rsidRPr="008C618D">
        <w:rPr>
          <w:rFonts w:eastAsia="Calibri"/>
        </w:rPr>
        <w:t xml:space="preserve">both </w:t>
      </w:r>
      <w:r w:rsidR="00354C04" w:rsidRPr="008C618D">
        <w:rPr>
          <w:rFonts w:eastAsia="Calibri"/>
        </w:rPr>
        <w:t xml:space="preserve">pay rates and </w:t>
      </w:r>
      <w:r w:rsidR="002F6DF4" w:rsidRPr="008C618D">
        <w:rPr>
          <w:rFonts w:eastAsia="Calibri"/>
        </w:rPr>
        <w:t>pay slips/records.</w:t>
      </w:r>
    </w:p>
    <w:p w:rsidR="00371057" w:rsidRPr="008C618D" w:rsidRDefault="00371057" w:rsidP="009A72BC">
      <w:pPr>
        <w:spacing w:before="240" w:after="53" w:line="320" w:lineRule="exact"/>
        <w:rPr>
          <w:rFonts w:eastAsia="Calibri"/>
        </w:rPr>
      </w:pPr>
      <w:r w:rsidRPr="008C618D">
        <w:rPr>
          <w:rFonts w:eastAsia="Calibri"/>
        </w:rPr>
        <w:t>Therefore:</w:t>
      </w:r>
    </w:p>
    <w:p w:rsidR="00371057" w:rsidRPr="008C618D" w:rsidRDefault="00371057" w:rsidP="008C618D">
      <w:pPr>
        <w:numPr>
          <w:ilvl w:val="0"/>
          <w:numId w:val="3"/>
        </w:numPr>
        <w:spacing w:before="240" w:after="53" w:line="320" w:lineRule="exact"/>
        <w:jc w:val="both"/>
        <w:rPr>
          <w:rFonts w:eastAsia="Calibri"/>
        </w:rPr>
      </w:pPr>
      <w:r w:rsidRPr="008C618D">
        <w:rPr>
          <w:rFonts w:eastAsia="Calibri"/>
        </w:rPr>
        <w:t>42 (84%) businesses were compliant with record-keeping and pay slip requirements; and</w:t>
      </w:r>
    </w:p>
    <w:p w:rsidR="006A37EC" w:rsidRPr="006A37EC" w:rsidRDefault="00371057" w:rsidP="006A37EC">
      <w:pPr>
        <w:numPr>
          <w:ilvl w:val="0"/>
          <w:numId w:val="3"/>
        </w:numPr>
        <w:spacing w:after="53" w:line="320" w:lineRule="exact"/>
        <w:jc w:val="both"/>
        <w:rPr>
          <w:b/>
          <w:color w:val="0194A6"/>
        </w:rPr>
      </w:pPr>
      <w:r w:rsidRPr="008C618D">
        <w:rPr>
          <w:rFonts w:eastAsia="Calibri"/>
        </w:rPr>
        <w:t>43 (86%) businesses were paying their employees correctly.</w:t>
      </w:r>
      <w:bookmarkStart w:id="8" w:name="_Toc439760715"/>
    </w:p>
    <w:p w:rsidR="006A37EC" w:rsidRDefault="006A37EC">
      <w:pPr>
        <w:spacing w:after="200" w:line="276" w:lineRule="auto"/>
        <w:rPr>
          <w:rFonts w:eastAsia="Calibri"/>
        </w:rPr>
      </w:pPr>
      <w:r>
        <w:rPr>
          <w:rFonts w:eastAsia="Calibri"/>
        </w:rPr>
        <w:br w:type="page"/>
      </w:r>
    </w:p>
    <w:p w:rsidR="00F6300B" w:rsidRPr="006A37EC" w:rsidRDefault="006A37EC" w:rsidP="006A37EC">
      <w:pPr>
        <w:spacing w:after="53" w:line="320" w:lineRule="exact"/>
        <w:ind w:left="360"/>
        <w:jc w:val="both"/>
        <w:rPr>
          <w:b/>
          <w:color w:val="0194A6"/>
        </w:rPr>
      </w:pPr>
      <w:r w:rsidRPr="006A37EC">
        <w:rPr>
          <w:color w:val="0194A6"/>
        </w:rPr>
        <w:lastRenderedPageBreak/>
        <w:t xml:space="preserve"> </w:t>
      </w:r>
      <w:r w:rsidR="00F6300B" w:rsidRPr="006A37EC">
        <w:rPr>
          <w:color w:val="0194A6"/>
        </w:rPr>
        <w:t xml:space="preserve">Figure 1 – Campaign </w:t>
      </w:r>
      <w:bookmarkEnd w:id="8"/>
      <w:r w:rsidR="00C13FD5" w:rsidRPr="006A37EC">
        <w:rPr>
          <w:color w:val="0194A6"/>
        </w:rPr>
        <w:t>results</w:t>
      </w:r>
    </w:p>
    <w:p w:rsidR="001842A3" w:rsidRDefault="002D1B39" w:rsidP="000830EF">
      <w:pPr>
        <w:spacing w:after="53" w:line="320" w:lineRule="exact"/>
        <w:rPr>
          <w:rFonts w:ascii="Helvetica" w:eastAsia="Calibri" w:hAnsi="Helvetica" w:cs="Times New Roman"/>
        </w:rPr>
      </w:pPr>
      <w:r>
        <w:rPr>
          <w:rFonts w:ascii="Helvetica" w:eastAsia="Calibri" w:hAnsi="Helvetica" w:cs="Times New Roman"/>
          <w:noProof/>
          <w:lang w:eastAsia="en-AU"/>
        </w:rPr>
        <w:drawing>
          <wp:anchor distT="0" distB="0" distL="114300" distR="114300" simplePos="0" relativeHeight="251660288" behindDoc="1" locked="0" layoutInCell="1" allowOverlap="1" wp14:anchorId="1CD43479" wp14:editId="13EDD16A">
            <wp:simplePos x="0" y="0"/>
            <wp:positionH relativeFrom="column">
              <wp:posOffset>-48260</wp:posOffset>
            </wp:positionH>
            <wp:positionV relativeFrom="paragraph">
              <wp:posOffset>69850</wp:posOffset>
            </wp:positionV>
            <wp:extent cx="5346700" cy="3200400"/>
            <wp:effectExtent l="0" t="0" r="6350" b="0"/>
            <wp:wrapTopAndBottom/>
            <wp:docPr id="5" name="Picture 5" descr="T" title="Campaign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6700" cy="3200400"/>
                    </a:xfrm>
                    <a:prstGeom prst="rect">
                      <a:avLst/>
                    </a:prstGeom>
                    <a:noFill/>
                  </pic:spPr>
                </pic:pic>
              </a:graphicData>
            </a:graphic>
            <wp14:sizeRelH relativeFrom="page">
              <wp14:pctWidth>0</wp14:pctWidth>
            </wp14:sizeRelH>
            <wp14:sizeRelV relativeFrom="page">
              <wp14:pctHeight>0</wp14:pctHeight>
            </wp14:sizeRelV>
          </wp:anchor>
        </w:drawing>
      </w:r>
    </w:p>
    <w:p w:rsidR="00F6300B" w:rsidRPr="009A72BC" w:rsidRDefault="00F6300B" w:rsidP="009A72BC">
      <w:pPr>
        <w:pStyle w:val="Heading2"/>
        <w:spacing w:after="240"/>
        <w:rPr>
          <w:sz w:val="24"/>
          <w:szCs w:val="24"/>
        </w:rPr>
      </w:pPr>
      <w:bookmarkStart w:id="9" w:name="_Toc439760716"/>
      <w:bookmarkStart w:id="10" w:name="_Toc446577051"/>
      <w:r w:rsidRPr="009A72BC">
        <w:rPr>
          <w:sz w:val="24"/>
          <w:szCs w:val="24"/>
        </w:rPr>
        <w:t xml:space="preserve">Individual </w:t>
      </w:r>
      <w:bookmarkEnd w:id="9"/>
      <w:r w:rsidR="00354C04" w:rsidRPr="009A72BC">
        <w:rPr>
          <w:sz w:val="24"/>
          <w:szCs w:val="24"/>
        </w:rPr>
        <w:t>Errors</w:t>
      </w:r>
      <w:bookmarkEnd w:id="10"/>
    </w:p>
    <w:p w:rsidR="00C13FD5" w:rsidRPr="008C618D" w:rsidRDefault="00C13FD5" w:rsidP="009A72BC">
      <w:pPr>
        <w:spacing w:after="0"/>
        <w:rPr>
          <w:rFonts w:eastAsia="Calibri"/>
        </w:rPr>
      </w:pPr>
      <w:r w:rsidRPr="008C618D">
        <w:rPr>
          <w:rFonts w:eastAsia="Calibri"/>
        </w:rPr>
        <w:t xml:space="preserve">The 14 </w:t>
      </w:r>
      <w:r w:rsidR="00634D50" w:rsidRPr="008C618D">
        <w:rPr>
          <w:rFonts w:eastAsia="Calibri"/>
        </w:rPr>
        <w:t>business</w:t>
      </w:r>
      <w:r w:rsidR="00354C04" w:rsidRPr="008C618D">
        <w:rPr>
          <w:rFonts w:eastAsia="Calibri"/>
        </w:rPr>
        <w:t>es</w:t>
      </w:r>
      <w:r w:rsidR="00634D50" w:rsidRPr="008C618D">
        <w:rPr>
          <w:rFonts w:eastAsia="Calibri"/>
        </w:rPr>
        <w:t xml:space="preserve"> with errors </w:t>
      </w:r>
      <w:r w:rsidRPr="008C618D">
        <w:rPr>
          <w:rFonts w:eastAsia="Calibri"/>
        </w:rPr>
        <w:t xml:space="preserve">had a total of 16 individual errors. </w:t>
      </w:r>
      <w:r w:rsidR="000830EF" w:rsidRPr="008C618D">
        <w:rPr>
          <w:rFonts w:eastAsia="Calibri"/>
        </w:rPr>
        <w:t xml:space="preserve">The </w:t>
      </w:r>
      <w:r w:rsidR="00634D50" w:rsidRPr="008C618D">
        <w:rPr>
          <w:rFonts w:eastAsia="Calibri"/>
        </w:rPr>
        <w:t>error</w:t>
      </w:r>
      <w:r w:rsidR="000830EF" w:rsidRPr="008C618D">
        <w:rPr>
          <w:rFonts w:eastAsia="Calibri"/>
        </w:rPr>
        <w:t xml:space="preserve"> most frequently identified </w:t>
      </w:r>
      <w:r w:rsidR="00482A01" w:rsidRPr="008C618D">
        <w:rPr>
          <w:rFonts w:eastAsia="Calibri"/>
        </w:rPr>
        <w:t xml:space="preserve">related </w:t>
      </w:r>
      <w:r w:rsidR="00F927F0" w:rsidRPr="008C618D">
        <w:rPr>
          <w:rFonts w:eastAsia="Calibri"/>
        </w:rPr>
        <w:t xml:space="preserve">to </w:t>
      </w:r>
      <w:r w:rsidR="00134189" w:rsidRPr="008C618D">
        <w:rPr>
          <w:rFonts w:eastAsia="Calibri"/>
        </w:rPr>
        <w:t>pay slips</w:t>
      </w:r>
      <w:r w:rsidRPr="008C618D">
        <w:rPr>
          <w:rFonts w:eastAsia="Calibri"/>
        </w:rPr>
        <w:t xml:space="preserve"> </w:t>
      </w:r>
      <w:r w:rsidR="000830EF" w:rsidRPr="008C618D">
        <w:rPr>
          <w:rFonts w:eastAsia="Calibri"/>
        </w:rPr>
        <w:t>(</w:t>
      </w:r>
      <w:r w:rsidRPr="008C618D">
        <w:rPr>
          <w:rFonts w:eastAsia="Calibri"/>
        </w:rPr>
        <w:t>3</w:t>
      </w:r>
      <w:r w:rsidR="00482A01" w:rsidRPr="008C618D">
        <w:rPr>
          <w:rFonts w:eastAsia="Calibri"/>
        </w:rPr>
        <w:t>7</w:t>
      </w:r>
      <w:r w:rsidRPr="008C618D">
        <w:rPr>
          <w:rFonts w:eastAsia="Calibri"/>
        </w:rPr>
        <w:t>%</w:t>
      </w:r>
      <w:r w:rsidR="00134189" w:rsidRPr="008C618D">
        <w:rPr>
          <w:rFonts w:eastAsia="Calibri"/>
        </w:rPr>
        <w:t xml:space="preserve">), followed by underpaying the base rate </w:t>
      </w:r>
      <w:r w:rsidR="00A520F0" w:rsidRPr="008C618D">
        <w:rPr>
          <w:rFonts w:eastAsia="Calibri"/>
        </w:rPr>
        <w:t xml:space="preserve">of pay </w:t>
      </w:r>
      <w:r w:rsidR="00134189" w:rsidRPr="008C618D">
        <w:rPr>
          <w:rFonts w:eastAsia="Calibri"/>
        </w:rPr>
        <w:t xml:space="preserve">(25%) and overtime (19%).  </w:t>
      </w:r>
    </w:p>
    <w:p w:rsidR="0034284B" w:rsidRPr="00057374" w:rsidRDefault="0034284B" w:rsidP="00057374">
      <w:pPr>
        <w:pStyle w:val="Heading3"/>
        <w:rPr>
          <w:rFonts w:ascii="Arial" w:eastAsia="Times New Roman" w:hAnsi="Arial" w:cs="Arial"/>
          <w:b w:val="0"/>
          <w:bCs w:val="0"/>
          <w:color w:val="auto"/>
        </w:rPr>
      </w:pPr>
      <w:bookmarkStart w:id="11" w:name="_Toc439760717"/>
      <w:r w:rsidRPr="00057374">
        <w:rPr>
          <w:rFonts w:ascii="Arial" w:hAnsi="Arial" w:cs="Arial"/>
          <w:b w:val="0"/>
          <w:color w:val="31849B" w:themeColor="accent5" w:themeShade="BF"/>
        </w:rPr>
        <w:t>Figure 2 – Individual error types</w:t>
      </w:r>
    </w:p>
    <w:bookmarkEnd w:id="11"/>
    <w:p w:rsidR="00B90143" w:rsidRPr="00354C04" w:rsidRDefault="00057374" w:rsidP="001F078C">
      <w:r w:rsidRPr="00057374">
        <w:rPr>
          <w:b/>
          <w:noProof/>
          <w:lang w:eastAsia="en-AU"/>
        </w:rPr>
        <w:drawing>
          <wp:inline distT="0" distB="0" distL="0" distR="0" wp14:anchorId="23BB6220" wp14:editId="66B03832">
            <wp:extent cx="5499100" cy="3213100"/>
            <wp:effectExtent l="0" t="0" r="6350" b="6350"/>
            <wp:docPr id="2" name="Picture 2" descr="This is a pie chart outlining the percentages of the different error types, specifically overtime 19%, penalty rates 6%, recordkeeping 13% pay slips 37% and underpayment of hourly rate 25%" title="Individual error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2A057E" w:rsidRDefault="001A464F" w:rsidP="00C13FD5">
      <w:pPr>
        <w:spacing w:after="200" w:line="320" w:lineRule="exact"/>
      </w:pPr>
      <w:r>
        <w:lastRenderedPageBreak/>
        <w:t>A total of $2,526</w:t>
      </w:r>
      <w:r w:rsidR="002A057E">
        <w:t xml:space="preserve"> was recovered from</w:t>
      </w:r>
      <w:r w:rsidR="00A520F0">
        <w:t xml:space="preserve"> 5</w:t>
      </w:r>
      <w:r w:rsidR="002A057E">
        <w:t xml:space="preserve"> businesses</w:t>
      </w:r>
      <w:r w:rsidR="00A520F0">
        <w:t xml:space="preserve"> </w:t>
      </w:r>
      <w:r w:rsidR="002A057E">
        <w:t xml:space="preserve">on behalf of 10 employees.  </w:t>
      </w:r>
    </w:p>
    <w:p w:rsidR="00F6300B" w:rsidRDefault="00F6300B" w:rsidP="009A72BC">
      <w:pPr>
        <w:pStyle w:val="Heading2"/>
        <w:spacing w:after="240"/>
        <w:rPr>
          <w:rFonts w:eastAsia="Calibri"/>
        </w:rPr>
      </w:pPr>
      <w:bookmarkStart w:id="12" w:name="_Toc446577052"/>
      <w:r w:rsidRPr="00DC20A7">
        <w:rPr>
          <w:rFonts w:eastAsia="Calibri"/>
        </w:rPr>
        <w:t xml:space="preserve">Further </w:t>
      </w:r>
      <w:r w:rsidR="001842A3">
        <w:rPr>
          <w:rFonts w:eastAsia="Calibri"/>
        </w:rPr>
        <w:t>Information</w:t>
      </w:r>
      <w:bookmarkEnd w:id="12"/>
      <w:r w:rsidR="00075045">
        <w:rPr>
          <w:rFonts w:eastAsia="Calibri"/>
        </w:rPr>
        <w:t xml:space="preserve"> </w:t>
      </w:r>
    </w:p>
    <w:p w:rsidR="00DC20A7" w:rsidRPr="008C618D" w:rsidRDefault="00DC20A7" w:rsidP="000830EF">
      <w:pPr>
        <w:rPr>
          <w:rFonts w:eastAsia="Calibri"/>
        </w:rPr>
      </w:pPr>
      <w:r w:rsidRPr="008C618D">
        <w:rPr>
          <w:rFonts w:eastAsia="Calibri"/>
        </w:rPr>
        <w:t xml:space="preserve">The 50 businesses </w:t>
      </w:r>
      <w:r w:rsidR="001F562C" w:rsidRPr="008C618D">
        <w:rPr>
          <w:rFonts w:eastAsia="Calibri"/>
        </w:rPr>
        <w:t>included in the campaign</w:t>
      </w:r>
      <w:r w:rsidRPr="008C618D">
        <w:rPr>
          <w:rFonts w:eastAsia="Calibri"/>
        </w:rPr>
        <w:t xml:space="preserve"> operated across a range of industries, including cafes and restaurants, automotive repairs, hairdressers, retail shops and road freight transport.</w:t>
      </w:r>
    </w:p>
    <w:p w:rsidR="00F12315" w:rsidRPr="008C618D" w:rsidRDefault="00F12315" w:rsidP="00F12315">
      <w:pPr>
        <w:rPr>
          <w:rFonts w:eastAsia="Calibri"/>
        </w:rPr>
      </w:pPr>
      <w:r w:rsidRPr="008C618D">
        <w:rPr>
          <w:rFonts w:eastAsia="Calibri"/>
        </w:rPr>
        <w:t xml:space="preserve">Almost half of the businesses </w:t>
      </w:r>
      <w:r w:rsidR="00D44D57" w:rsidRPr="008C618D">
        <w:rPr>
          <w:rFonts w:eastAsia="Calibri"/>
        </w:rPr>
        <w:t xml:space="preserve">audited </w:t>
      </w:r>
      <w:r w:rsidRPr="008C618D">
        <w:rPr>
          <w:rFonts w:eastAsia="Calibri"/>
        </w:rPr>
        <w:t>(23) were located in Moonah, while 12 were located in Glenorchy.</w:t>
      </w:r>
      <w:r w:rsidR="00F927F0" w:rsidRPr="008C618D">
        <w:rPr>
          <w:rFonts w:eastAsia="Calibri"/>
        </w:rPr>
        <w:t xml:space="preserve"> </w:t>
      </w:r>
      <w:r w:rsidRPr="008C618D">
        <w:rPr>
          <w:rFonts w:eastAsia="Calibri"/>
        </w:rPr>
        <w:t xml:space="preserve">The remaining 15 businesses were </w:t>
      </w:r>
      <w:r w:rsidR="001F562C" w:rsidRPr="008C618D">
        <w:rPr>
          <w:rFonts w:eastAsia="Calibri"/>
        </w:rPr>
        <w:t>located in</w:t>
      </w:r>
      <w:r w:rsidRPr="008C618D">
        <w:rPr>
          <w:rFonts w:eastAsia="Calibri"/>
        </w:rPr>
        <w:t xml:space="preserve"> suburbs including Derwent Park, Goodwood, Battery Point and Margate.</w:t>
      </w:r>
    </w:p>
    <w:p w:rsidR="009D6022" w:rsidRPr="001F078C" w:rsidRDefault="009D6022" w:rsidP="009A72BC">
      <w:pPr>
        <w:pStyle w:val="Heading2"/>
        <w:spacing w:after="240"/>
        <w:rPr>
          <w:rFonts w:eastAsia="Calibri"/>
        </w:rPr>
      </w:pPr>
      <w:bookmarkStart w:id="13" w:name="_Toc446577053"/>
      <w:r>
        <w:rPr>
          <w:rFonts w:eastAsia="Calibri"/>
        </w:rPr>
        <w:t>Employer Association Membership</w:t>
      </w:r>
      <w:bookmarkEnd w:id="13"/>
    </w:p>
    <w:bookmarkEnd w:id="6"/>
    <w:p w:rsidR="006A37EC" w:rsidRDefault="00067BEE" w:rsidP="001F078C">
      <w:pPr>
        <w:rPr>
          <w:rFonts w:ascii="Helvetica" w:eastAsia="Calibri" w:hAnsi="Helvetica" w:cs="Times New Roman"/>
        </w:rPr>
      </w:pPr>
      <w:r w:rsidRPr="008C618D">
        <w:rPr>
          <w:rFonts w:eastAsia="Calibri"/>
        </w:rPr>
        <w:t>The campaign revealed that businesses who were members of an employer or industry association were more likely to be compliant than those who were not.  74% of businesse</w:t>
      </w:r>
      <w:r w:rsidR="00CD2914" w:rsidRPr="008C618D">
        <w:rPr>
          <w:rFonts w:eastAsia="Calibri"/>
        </w:rPr>
        <w:t>s</w:t>
      </w:r>
      <w:r w:rsidRPr="008C618D">
        <w:rPr>
          <w:rFonts w:eastAsia="Calibri"/>
        </w:rPr>
        <w:t xml:space="preserve"> who were members of an association were compliant, compared with a compliance rate of 7</w:t>
      </w:r>
      <w:r w:rsidR="00EE03FA" w:rsidRPr="008C618D">
        <w:rPr>
          <w:rFonts w:eastAsia="Calibri"/>
        </w:rPr>
        <w:t>1</w:t>
      </w:r>
      <w:r w:rsidRPr="008C618D">
        <w:rPr>
          <w:rFonts w:eastAsia="Calibri"/>
        </w:rPr>
        <w:t>% for businesses who were not a member.</w:t>
      </w:r>
      <w:r w:rsidR="006A37EC" w:rsidRPr="00130A56">
        <w:rPr>
          <w:rFonts w:ascii="Helvetica" w:eastAsia="Calibri" w:hAnsi="Helvetica" w:cs="Times New Roman"/>
        </w:rPr>
        <w:t xml:space="preserve"> </w:t>
      </w:r>
    </w:p>
    <w:p w:rsidR="004C00F8" w:rsidRPr="006A37EC" w:rsidRDefault="004C00F8" w:rsidP="001F078C">
      <w:pPr>
        <w:rPr>
          <w:rFonts w:eastAsia="Calibri"/>
        </w:rPr>
      </w:pPr>
      <w:r w:rsidRPr="00130A56">
        <w:rPr>
          <w:rFonts w:ascii="Helvetica" w:eastAsia="Calibri" w:hAnsi="Helvetica" w:cs="Times New Roman"/>
        </w:rPr>
        <w:t xml:space="preserve">Of the 50 businesses audited, 19 were members of an </w:t>
      </w:r>
      <w:r w:rsidR="00A520F0" w:rsidRPr="00130A56">
        <w:rPr>
          <w:rFonts w:ascii="Helvetica" w:eastAsia="Calibri" w:hAnsi="Helvetica" w:cs="Times New Roman"/>
        </w:rPr>
        <w:t>employer or indust</w:t>
      </w:r>
      <w:r w:rsidR="00864BC4" w:rsidRPr="00130A56">
        <w:rPr>
          <w:rFonts w:ascii="Helvetica" w:eastAsia="Calibri" w:hAnsi="Helvetica" w:cs="Times New Roman"/>
        </w:rPr>
        <w:t>r</w:t>
      </w:r>
      <w:r w:rsidR="00A520F0" w:rsidRPr="00130A56">
        <w:rPr>
          <w:rFonts w:ascii="Helvetica" w:eastAsia="Calibri" w:hAnsi="Helvetica" w:cs="Times New Roman"/>
        </w:rPr>
        <w:t>y</w:t>
      </w:r>
      <w:r w:rsidRPr="00130A56">
        <w:rPr>
          <w:rFonts w:ascii="Helvetica" w:eastAsia="Calibri" w:hAnsi="Helvetica" w:cs="Times New Roman"/>
        </w:rPr>
        <w:t xml:space="preserve"> association. </w:t>
      </w:r>
      <w:r w:rsidR="001F562C" w:rsidRPr="00130A56">
        <w:rPr>
          <w:rFonts w:ascii="Helvetica" w:eastAsia="Calibri" w:hAnsi="Helvetica" w:cs="Times New Roman"/>
        </w:rPr>
        <w:t>O</w:t>
      </w:r>
      <w:r w:rsidRPr="00130A56">
        <w:t>f those who were members of an association, 5</w:t>
      </w:r>
      <w:r w:rsidR="00D37390" w:rsidRPr="00130A56">
        <w:t xml:space="preserve"> </w:t>
      </w:r>
      <w:r w:rsidRPr="00130A56">
        <w:t xml:space="preserve">(26%) were found to be in contravention, with the majority having errors around </w:t>
      </w:r>
      <w:r w:rsidR="00864BC4" w:rsidRPr="00130A56">
        <w:t>pay slips</w:t>
      </w:r>
      <w:r w:rsidRPr="00130A56">
        <w:t xml:space="preserve"> (</w:t>
      </w:r>
      <w:r w:rsidR="00864BC4" w:rsidRPr="00130A56">
        <w:t>3</w:t>
      </w:r>
      <w:r w:rsidRPr="00130A56">
        <w:t>)</w:t>
      </w:r>
      <w:r w:rsidR="00CD2914" w:rsidRPr="00130A56">
        <w:t xml:space="preserve">, </w:t>
      </w:r>
      <w:r w:rsidR="00864BC4" w:rsidRPr="00130A56">
        <w:t>overtime</w:t>
      </w:r>
      <w:r w:rsidRPr="00130A56">
        <w:t xml:space="preserve"> </w:t>
      </w:r>
      <w:r w:rsidR="00CD2914" w:rsidRPr="00130A56">
        <w:t xml:space="preserve">(1) </w:t>
      </w:r>
      <w:r w:rsidR="00864BC4" w:rsidRPr="00130A56">
        <w:t>and record-keeping (</w:t>
      </w:r>
      <w:r w:rsidR="00CD2914" w:rsidRPr="00130A56">
        <w:t>1</w:t>
      </w:r>
      <w:r w:rsidR="00864BC4" w:rsidRPr="00130A56">
        <w:t>).</w:t>
      </w:r>
      <w:r w:rsidRPr="00130A56">
        <w:t xml:space="preserve"> </w:t>
      </w:r>
    </w:p>
    <w:p w:rsidR="004C00F8" w:rsidRPr="001F078C" w:rsidRDefault="004C00F8" w:rsidP="008C618D">
      <w:pPr>
        <w:pStyle w:val="Bullet"/>
      </w:pPr>
      <w:r w:rsidRPr="00130A56">
        <w:t>Of those who were not members of an association (3</w:t>
      </w:r>
      <w:r w:rsidR="00EE03FA" w:rsidRPr="00130A56">
        <w:t>1</w:t>
      </w:r>
      <w:r w:rsidRPr="00130A56">
        <w:t xml:space="preserve"> businesses),</w:t>
      </w:r>
      <w:r w:rsidR="004F612C" w:rsidRPr="00130A56">
        <w:t xml:space="preserve"> </w:t>
      </w:r>
      <w:r w:rsidRPr="00130A56">
        <w:t xml:space="preserve">9 </w:t>
      </w:r>
      <w:r w:rsidR="00EE03FA" w:rsidRPr="00130A56">
        <w:t>(29</w:t>
      </w:r>
      <w:r w:rsidRPr="00130A56">
        <w:t xml:space="preserve">%) </w:t>
      </w:r>
      <w:r w:rsidR="00067BEE" w:rsidRPr="00130A56">
        <w:t>had errors</w:t>
      </w:r>
      <w:r w:rsidRPr="00130A56">
        <w:t xml:space="preserve"> with the most common error </w:t>
      </w:r>
      <w:r w:rsidR="00067BEE" w:rsidRPr="00130A56">
        <w:t>being underpayment of the hourly rate (3</w:t>
      </w:r>
      <w:r w:rsidRPr="00130A56">
        <w:t>), pay</w:t>
      </w:r>
      <w:r w:rsidR="00EE03FA" w:rsidRPr="00130A56">
        <w:t xml:space="preserve"> </w:t>
      </w:r>
      <w:r w:rsidRPr="00130A56">
        <w:t xml:space="preserve">slips </w:t>
      </w:r>
      <w:r w:rsidR="00EE03FA" w:rsidRPr="00130A56">
        <w:t xml:space="preserve">(2) </w:t>
      </w:r>
      <w:r w:rsidRPr="00130A56">
        <w:t xml:space="preserve">and </w:t>
      </w:r>
      <w:r w:rsidR="00067BEE" w:rsidRPr="00130A56">
        <w:t>overtime (2)</w:t>
      </w:r>
      <w:r w:rsidRPr="00130A56">
        <w:t>.</w:t>
      </w:r>
    </w:p>
    <w:p w:rsidR="00972324" w:rsidRDefault="00972324" w:rsidP="008C618D">
      <w:pPr>
        <w:pStyle w:val="Bullet"/>
      </w:pPr>
    </w:p>
    <w:p w:rsidR="00D860C4" w:rsidRDefault="00D860C4" w:rsidP="00041DEE">
      <w:pPr>
        <w:pStyle w:val="Heading1"/>
        <w:rPr>
          <w:rFonts w:eastAsia="Calibri"/>
        </w:rPr>
      </w:pPr>
      <w:bookmarkStart w:id="14" w:name="_Toc446577054"/>
      <w:r>
        <w:rPr>
          <w:rFonts w:eastAsia="Calibri"/>
        </w:rPr>
        <w:t>Conclusion</w:t>
      </w:r>
      <w:bookmarkEnd w:id="14"/>
    </w:p>
    <w:p w:rsidR="0010492B" w:rsidRPr="008C618D" w:rsidRDefault="00D860C4">
      <w:pPr>
        <w:rPr>
          <w:rFonts w:eastAsia="Calibri"/>
        </w:rPr>
      </w:pPr>
      <w:r w:rsidRPr="008C618D">
        <w:rPr>
          <w:rFonts w:eastAsia="Calibri"/>
        </w:rPr>
        <w:t xml:space="preserve">The campaign revealed that most businesses were paying correct rates of pay and keeping the required records and pay slips, but few had consciously sought out the specific information required to be certain they were compliant.  </w:t>
      </w:r>
    </w:p>
    <w:p w:rsidR="00F6300B" w:rsidRPr="008C618D" w:rsidRDefault="00BD5BA8">
      <w:pPr>
        <w:rPr>
          <w:color w:val="000000" w:themeColor="text1"/>
        </w:rPr>
      </w:pPr>
      <w:bookmarkStart w:id="15" w:name="_Toc421872763"/>
      <w:bookmarkStart w:id="16" w:name="_Toc410822211"/>
      <w:bookmarkStart w:id="17" w:name="_Toc354148740"/>
      <w:bookmarkStart w:id="18" w:name="_Toc423945779"/>
      <w:r w:rsidRPr="008C618D">
        <w:rPr>
          <w:color w:val="000000" w:themeColor="text1"/>
        </w:rPr>
        <w:t xml:space="preserve">As a result of the </w:t>
      </w:r>
      <w:r w:rsidR="004105A1" w:rsidRPr="008C618D">
        <w:rPr>
          <w:color w:val="000000" w:themeColor="text1"/>
        </w:rPr>
        <w:t>campaign,</w:t>
      </w:r>
      <w:r w:rsidR="001C0519" w:rsidRPr="008C618D">
        <w:rPr>
          <w:color w:val="000000" w:themeColor="text1"/>
        </w:rPr>
        <w:t xml:space="preserve"> businesses </w:t>
      </w:r>
      <w:r w:rsidRPr="008C618D">
        <w:rPr>
          <w:color w:val="000000" w:themeColor="text1"/>
        </w:rPr>
        <w:t xml:space="preserve">are now aware that the </w:t>
      </w:r>
      <w:r w:rsidR="001C0519" w:rsidRPr="008C618D">
        <w:rPr>
          <w:color w:val="000000" w:themeColor="text1"/>
        </w:rPr>
        <w:t xml:space="preserve">FWO can provide </w:t>
      </w:r>
      <w:r w:rsidRPr="008C618D">
        <w:rPr>
          <w:color w:val="000000" w:themeColor="text1"/>
        </w:rPr>
        <w:t xml:space="preserve">the tools and information they need to comply with their obligations; and that these freely available resources are both an efficient and reliable means </w:t>
      </w:r>
      <w:r w:rsidR="00963207" w:rsidRPr="008C618D">
        <w:rPr>
          <w:color w:val="000000" w:themeColor="text1"/>
        </w:rPr>
        <w:t>of</w:t>
      </w:r>
      <w:r w:rsidRPr="008C618D">
        <w:rPr>
          <w:color w:val="000000" w:themeColor="text1"/>
        </w:rPr>
        <w:t xml:space="preserve"> maintain</w:t>
      </w:r>
      <w:r w:rsidR="00963207" w:rsidRPr="008C618D">
        <w:rPr>
          <w:color w:val="000000" w:themeColor="text1"/>
        </w:rPr>
        <w:t>ing</w:t>
      </w:r>
      <w:r w:rsidRPr="008C618D">
        <w:rPr>
          <w:color w:val="000000" w:themeColor="text1"/>
        </w:rPr>
        <w:t xml:space="preserve"> ongoing compliance.</w:t>
      </w:r>
      <w:r w:rsidR="00136964" w:rsidRPr="008C618D">
        <w:rPr>
          <w:color w:val="000000" w:themeColor="text1"/>
        </w:rPr>
        <w:t xml:space="preserve"> </w:t>
      </w:r>
    </w:p>
    <w:p w:rsidR="00F6300B" w:rsidRPr="008C618D" w:rsidRDefault="00D37390" w:rsidP="00BD5BA8">
      <w:pPr>
        <w:rPr>
          <w:rFonts w:eastAsiaTheme="minorHAnsi"/>
          <w:color w:val="000000" w:themeColor="text1"/>
          <w:szCs w:val="22"/>
        </w:rPr>
      </w:pPr>
      <w:r w:rsidRPr="008C618D">
        <w:rPr>
          <w:color w:val="000000" w:themeColor="text1"/>
        </w:rPr>
        <w:t>B</w:t>
      </w:r>
      <w:r w:rsidR="00136964" w:rsidRPr="008C618D">
        <w:rPr>
          <w:rFonts w:eastAsiaTheme="minorHAnsi"/>
          <w:color w:val="000000" w:themeColor="text1"/>
          <w:szCs w:val="22"/>
        </w:rPr>
        <w:t>usinesses identified as having made errors during the campaign will be included in the National Compliance Monitoring Campaign 2016</w:t>
      </w:r>
      <w:r w:rsidRPr="008C618D">
        <w:rPr>
          <w:rFonts w:eastAsiaTheme="minorHAnsi"/>
          <w:color w:val="000000" w:themeColor="text1"/>
          <w:szCs w:val="22"/>
        </w:rPr>
        <w:t>,</w:t>
      </w:r>
      <w:r w:rsidR="00136964" w:rsidRPr="008C618D">
        <w:rPr>
          <w:rFonts w:eastAsiaTheme="minorHAnsi"/>
          <w:color w:val="000000" w:themeColor="text1"/>
          <w:szCs w:val="22"/>
        </w:rPr>
        <w:t xml:space="preserve"> </w:t>
      </w:r>
      <w:r w:rsidR="00963207" w:rsidRPr="008C618D">
        <w:rPr>
          <w:rFonts w:eastAsiaTheme="minorHAnsi"/>
          <w:color w:val="000000" w:themeColor="text1"/>
          <w:szCs w:val="22"/>
        </w:rPr>
        <w:t xml:space="preserve">which is </w:t>
      </w:r>
      <w:r w:rsidR="00136964" w:rsidRPr="008C618D">
        <w:rPr>
          <w:rFonts w:eastAsiaTheme="minorHAnsi"/>
          <w:color w:val="000000" w:themeColor="text1"/>
          <w:szCs w:val="22"/>
        </w:rPr>
        <w:t xml:space="preserve">an initiative of the FWO aimed at ensuring that </w:t>
      </w:r>
      <w:r w:rsidR="004105A1" w:rsidRPr="008C618D">
        <w:rPr>
          <w:rFonts w:eastAsiaTheme="minorHAnsi"/>
          <w:color w:val="000000" w:themeColor="text1"/>
          <w:szCs w:val="22"/>
        </w:rPr>
        <w:t xml:space="preserve">businesses </w:t>
      </w:r>
      <w:r w:rsidR="00136964" w:rsidRPr="008C618D">
        <w:rPr>
          <w:rFonts w:eastAsiaTheme="minorHAnsi"/>
          <w:color w:val="000000" w:themeColor="text1"/>
          <w:szCs w:val="22"/>
        </w:rPr>
        <w:t>previously identified as non-compliant, subsequently achieve ongoing compliance.</w:t>
      </w:r>
    </w:p>
    <w:p w:rsidR="00D6575C" w:rsidRPr="001F078C" w:rsidRDefault="00D6575C" w:rsidP="00BD5BA8">
      <w:pPr>
        <w:rPr>
          <w:rFonts w:eastAsiaTheme="minorHAnsi"/>
          <w:color w:val="FF0000"/>
          <w:szCs w:val="22"/>
        </w:rPr>
      </w:pPr>
    </w:p>
    <w:p w:rsidR="002C744A" w:rsidRDefault="002C744A" w:rsidP="003A638E">
      <w:pPr>
        <w:spacing w:before="240"/>
        <w:rPr>
          <w:rFonts w:ascii="Helvetica" w:hAnsi="Helvetica"/>
          <w:color w:val="0194A6"/>
          <w:sz w:val="44"/>
          <w:szCs w:val="26"/>
          <w:lang w:eastAsia="en-AU"/>
        </w:rPr>
      </w:pPr>
    </w:p>
    <w:p w:rsidR="00F6300B" w:rsidRPr="002C0D74" w:rsidRDefault="00F6300B" w:rsidP="003A638E">
      <w:pPr>
        <w:spacing w:before="240"/>
        <w:rPr>
          <w:rFonts w:ascii="Helvetica" w:hAnsi="Helvetica"/>
          <w:color w:val="0194A6"/>
          <w:sz w:val="44"/>
          <w:szCs w:val="26"/>
          <w:lang w:eastAsia="en-AU"/>
        </w:rPr>
      </w:pPr>
      <w:r w:rsidRPr="002C0D74">
        <w:rPr>
          <w:rFonts w:ascii="Helvetica" w:hAnsi="Helvetica"/>
          <w:color w:val="0194A6"/>
          <w:sz w:val="44"/>
          <w:szCs w:val="26"/>
          <w:lang w:eastAsia="en-AU"/>
        </w:rPr>
        <w:lastRenderedPageBreak/>
        <w:t>About the Fair Work Ombudsman</w:t>
      </w:r>
      <w:bookmarkEnd w:id="15"/>
      <w:bookmarkEnd w:id="16"/>
      <w:bookmarkEnd w:id="17"/>
      <w:bookmarkEnd w:id="18"/>
    </w:p>
    <w:p w:rsidR="00F6300B" w:rsidRPr="008C618D" w:rsidRDefault="00F6300B" w:rsidP="00F6300B">
      <w:pPr>
        <w:rPr>
          <w:lang w:eastAsia="en-AU"/>
        </w:rPr>
      </w:pPr>
      <w:r w:rsidRPr="008C618D">
        <w:rPr>
          <w:lang w:eastAsia="en-AU"/>
        </w:rPr>
        <w:t xml:space="preserve">The Fair Work Ombudsman is an independent agency created by the </w:t>
      </w:r>
      <w:r w:rsidRPr="008C618D">
        <w:rPr>
          <w:i/>
          <w:lang w:eastAsia="en-AU"/>
        </w:rPr>
        <w:t>Fair Work Act 2009</w:t>
      </w:r>
      <w:r w:rsidRPr="008C618D">
        <w:rPr>
          <w:lang w:eastAsia="en-AU"/>
        </w:rPr>
        <w:t xml:space="preserve"> on 1 July 2009. Our main role is to promote harmonious, productive and cooperative workplace relations.</w:t>
      </w:r>
    </w:p>
    <w:p w:rsidR="00F6300B" w:rsidRPr="008C618D" w:rsidRDefault="00F6300B" w:rsidP="00F6300B">
      <w:pPr>
        <w:rPr>
          <w:rFonts w:eastAsia="Calibri"/>
          <w:szCs w:val="22"/>
        </w:rPr>
      </w:pPr>
      <w:r w:rsidRPr="008C618D">
        <w:rPr>
          <w:rFonts w:eastAsia="Calibri"/>
          <w:szCs w:val="22"/>
        </w:rPr>
        <w:t xml:space="preserve">Each year the Fair Work Ombudsman (FWO) runs proactive campaigns to assist employers and employees understand their rights and obligations under Commonwealth workplace relations laws. </w:t>
      </w:r>
    </w:p>
    <w:p w:rsidR="00F6300B" w:rsidRPr="008C618D" w:rsidRDefault="00F6300B" w:rsidP="00F6300B">
      <w:r w:rsidRPr="008C618D">
        <w:t>These campaigns can focus on particular industries, regions and/or labour market issues and are conducted on a national and state level.</w:t>
      </w:r>
    </w:p>
    <w:p w:rsidR="00F6300B" w:rsidRPr="008C618D" w:rsidRDefault="00F6300B" w:rsidP="00F6300B">
      <w:pPr>
        <w:rPr>
          <w:lang w:eastAsia="en-AU"/>
        </w:rPr>
      </w:pPr>
      <w:r w:rsidRPr="008C618D">
        <w:rPr>
          <w:lang w:eastAsia="en-AU"/>
        </w:rPr>
        <w:t xml:space="preserve">This report covers the background, method and findings of the </w:t>
      </w:r>
      <w:r w:rsidR="00C3521F" w:rsidRPr="008C618D">
        <w:rPr>
          <w:lang w:eastAsia="en-AU"/>
        </w:rPr>
        <w:t>TAS North West Hobart</w:t>
      </w:r>
      <w:r w:rsidRPr="008C618D">
        <w:rPr>
          <w:lang w:eastAsia="en-AU"/>
        </w:rPr>
        <w:t xml:space="preserve"> Regional Campaign. For further information and media enquiries please contact the media team at </w:t>
      </w:r>
      <w:hyperlink r:id="rId12" w:history="1">
        <w:r w:rsidRPr="008C618D">
          <w:rPr>
            <w:color w:val="0000FF"/>
            <w:u w:val="single"/>
            <w:lang w:eastAsia="en-AU"/>
          </w:rPr>
          <w:t>media@fwo.gov.au</w:t>
        </w:r>
      </w:hyperlink>
      <w:r w:rsidRPr="008C618D">
        <w:rPr>
          <w:lang w:eastAsia="en-AU"/>
        </w:rPr>
        <w:t xml:space="preserve">  </w:t>
      </w:r>
    </w:p>
    <w:p w:rsidR="00F6300B" w:rsidRPr="00B549A9" w:rsidRDefault="00F6300B" w:rsidP="00F6300B">
      <w:r w:rsidRPr="008C618D">
        <w:rPr>
          <w:lang w:eastAsia="en-AU"/>
        </w:rPr>
        <w:t xml:space="preserve">If you would like further information about the Fair Work Ombudsman’s campaigns please contact Lynda McAlary-Smith, Executive Director - Proactive Compliance and Education at </w:t>
      </w:r>
      <w:hyperlink r:id="rId13" w:history="1">
        <w:r w:rsidRPr="008C618D">
          <w:rPr>
            <w:color w:val="0000FF"/>
            <w:szCs w:val="22"/>
            <w:u w:val="single"/>
            <w:lang w:eastAsia="en-AU"/>
          </w:rPr>
          <w:t>Lynda.McAlary-Smith@fwo.gov.au</w:t>
        </w:r>
      </w:hyperlink>
    </w:p>
    <w:p w:rsidR="000F77DF" w:rsidRDefault="000F77DF"/>
    <w:sectPr w:rsidR="000F77DF" w:rsidSect="00242CE1">
      <w:headerReference w:type="default" r:id="rId14"/>
      <w:footerReference w:type="even" r:id="rId15"/>
      <w:footerReference w:type="default" r:id="rId16"/>
      <w:headerReference w:type="first" r:id="rId17"/>
      <w:pgSz w:w="11907" w:h="16840" w:code="9"/>
      <w:pgMar w:top="1276" w:right="992" w:bottom="1440" w:left="1276" w:header="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510" w:rsidRDefault="00210510">
      <w:pPr>
        <w:spacing w:after="0" w:line="240" w:lineRule="auto"/>
      </w:pPr>
      <w:r>
        <w:separator/>
      </w:r>
    </w:p>
  </w:endnote>
  <w:endnote w:type="continuationSeparator" w:id="0">
    <w:p w:rsidR="00210510" w:rsidRDefault="00210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29B" w:rsidRDefault="00F6300B">
    <w:r>
      <w:fldChar w:fldCharType="begin"/>
    </w:r>
    <w:r>
      <w:instrText xml:space="preserve">PAGE  </w:instrText>
    </w:r>
    <w:r>
      <w:fldChar w:fldCharType="separate"/>
    </w:r>
    <w:r>
      <w:rPr>
        <w:noProof/>
      </w:rPr>
      <w:t>2</w:t>
    </w:r>
    <w:r>
      <w:fldChar w:fldCharType="end"/>
    </w:r>
  </w:p>
  <w:p w:rsidR="00AC229B" w:rsidRDefault="006A37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98B" w:rsidRPr="0045600E" w:rsidRDefault="00F6300B">
    <w:pPr>
      <w:pStyle w:val="Footer"/>
      <w:jc w:val="right"/>
      <w:rPr>
        <w:color w:val="FFFFFF" w:themeColor="background1"/>
      </w:rPr>
    </w:pPr>
    <w:r w:rsidRPr="00E86F40">
      <w:rPr>
        <w:noProof/>
        <w:color w:val="FFFFFF" w:themeColor="background1"/>
        <w:lang w:eastAsia="en-AU"/>
      </w:rPr>
      <w:drawing>
        <wp:anchor distT="0" distB="0" distL="114300" distR="114300" simplePos="0" relativeHeight="251660288" behindDoc="1" locked="0" layoutInCell="1" allowOverlap="1" wp14:anchorId="3FEEDCBD" wp14:editId="49970CCF">
          <wp:simplePos x="0" y="0"/>
          <wp:positionH relativeFrom="column">
            <wp:posOffset>-810260</wp:posOffset>
          </wp:positionH>
          <wp:positionV relativeFrom="paragraph">
            <wp:posOffset>-564515</wp:posOffset>
          </wp:positionV>
          <wp:extent cx="7658100" cy="1176655"/>
          <wp:effectExtent l="0" t="0" r="0" b="4445"/>
          <wp:wrapTopAndBottom/>
          <wp:docPr id="10" name="Picture 10"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658100" cy="1176655"/>
                  </a:xfrm>
                  <a:prstGeom prst="rect">
                    <a:avLst/>
                  </a:prstGeom>
                </pic:spPr>
              </pic:pic>
            </a:graphicData>
          </a:graphic>
          <wp14:sizeRelH relativeFrom="margin">
            <wp14:pctWidth>0</wp14:pctWidth>
          </wp14:sizeRelH>
          <wp14:sizeRelV relativeFrom="margin">
            <wp14:pctHeight>0</wp14:pctHeight>
          </wp14:sizeRelV>
        </wp:anchor>
      </w:drawing>
    </w:r>
    <w:r w:rsidR="00057374">
      <w:rPr>
        <w:color w:val="FFFFFF" w:themeColor="background1"/>
        <w:sz w:val="18"/>
        <w:szCs w:val="18"/>
      </w:rPr>
      <w:t>Tas North West Hobart Regional Campaign</w:t>
    </w:r>
    <w:r w:rsidRPr="0045600E">
      <w:rPr>
        <w:color w:val="FFFFFF" w:themeColor="background1"/>
        <w:sz w:val="18"/>
        <w:szCs w:val="18"/>
      </w:rPr>
      <w:tab/>
    </w:r>
    <w:sdt>
      <w:sdtPr>
        <w:rPr>
          <w:color w:val="FFFFFF" w:themeColor="background1"/>
        </w:rPr>
        <w:id w:val="-1505813797"/>
        <w:docPartObj>
          <w:docPartGallery w:val="Page Numbers (Bottom of Page)"/>
          <w:docPartUnique/>
        </w:docPartObj>
      </w:sdtPr>
      <w:sdtEndPr>
        <w:rPr>
          <w:noProof/>
        </w:rPr>
      </w:sdtEndPr>
      <w:sdtContent>
        <w:r w:rsidRPr="00E86F40">
          <w:rPr>
            <w:color w:val="FFFFFF" w:themeColor="background1"/>
            <w:sz w:val="20"/>
            <w:szCs w:val="20"/>
          </w:rPr>
          <w:fldChar w:fldCharType="begin"/>
        </w:r>
        <w:r w:rsidRPr="00E86F40">
          <w:rPr>
            <w:color w:val="FFFFFF" w:themeColor="background1"/>
            <w:sz w:val="20"/>
            <w:szCs w:val="20"/>
          </w:rPr>
          <w:instrText xml:space="preserve"> PAGE   \* MERGEFORMAT </w:instrText>
        </w:r>
        <w:r w:rsidRPr="00E86F40">
          <w:rPr>
            <w:color w:val="FFFFFF" w:themeColor="background1"/>
            <w:sz w:val="20"/>
            <w:szCs w:val="20"/>
          </w:rPr>
          <w:fldChar w:fldCharType="separate"/>
        </w:r>
        <w:r w:rsidR="006A37EC">
          <w:rPr>
            <w:noProof/>
            <w:color w:val="FFFFFF" w:themeColor="background1"/>
            <w:sz w:val="20"/>
            <w:szCs w:val="20"/>
          </w:rPr>
          <w:t>8</w:t>
        </w:r>
        <w:r w:rsidRPr="00E86F40">
          <w:rPr>
            <w:noProof/>
            <w:color w:val="FFFFFF" w:themeColor="background1"/>
            <w:sz w:val="20"/>
            <w:szCs w:val="20"/>
          </w:rPr>
          <w:fldChar w:fldCharType="end"/>
        </w:r>
      </w:sdtContent>
    </w:sdt>
  </w:p>
  <w:p w:rsidR="00AC229B" w:rsidRDefault="006A37EC" w:rsidP="004B2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510" w:rsidRDefault="00210510">
      <w:pPr>
        <w:spacing w:after="0" w:line="240" w:lineRule="auto"/>
      </w:pPr>
      <w:r>
        <w:separator/>
      </w:r>
    </w:p>
  </w:footnote>
  <w:footnote w:type="continuationSeparator" w:id="0">
    <w:p w:rsidR="00210510" w:rsidRDefault="00210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29B" w:rsidRDefault="006A37EC" w:rsidP="00E86F40">
    <w:pPr>
      <w:spacing w:before="100" w:beforeAutospacing="1" w:after="100" w:afterAutospacing="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4AE" w:rsidRPr="003952ED" w:rsidRDefault="00F6300B" w:rsidP="00AB27F9">
    <w:pPr>
      <w:rPr>
        <w:u w:val="single"/>
      </w:rPr>
    </w:pPr>
    <w:r w:rsidRPr="003952ED">
      <w:rPr>
        <w:noProof/>
        <w:u w:val="single"/>
        <w:lang w:eastAsia="en-AU"/>
      </w:rPr>
      <w:drawing>
        <wp:anchor distT="0" distB="0" distL="114300" distR="114300" simplePos="0" relativeHeight="251659264" behindDoc="1" locked="0" layoutInCell="1" allowOverlap="1" wp14:anchorId="747BF71D" wp14:editId="52C40114">
          <wp:simplePos x="0" y="0"/>
          <wp:positionH relativeFrom="column">
            <wp:posOffset>-833755</wp:posOffset>
          </wp:positionH>
          <wp:positionV relativeFrom="paragraph">
            <wp:posOffset>2042605</wp:posOffset>
          </wp:positionV>
          <wp:extent cx="7592060" cy="8418614"/>
          <wp:effectExtent l="0" t="0" r="8890" b="1905"/>
          <wp:wrapNone/>
          <wp:docPr id="8" name="Picture 32"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84186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62F1"/>
    <w:multiLevelType w:val="hybridMultilevel"/>
    <w:tmpl w:val="E35A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87778D"/>
    <w:multiLevelType w:val="hybridMultilevel"/>
    <w:tmpl w:val="60004AEC"/>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C83F2F"/>
    <w:multiLevelType w:val="hybridMultilevel"/>
    <w:tmpl w:val="F6B41218"/>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FA52F5"/>
    <w:multiLevelType w:val="hybridMultilevel"/>
    <w:tmpl w:val="BCFEE87C"/>
    <w:lvl w:ilvl="0" w:tplc="0780F866">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A13E98"/>
    <w:multiLevelType w:val="hybridMultilevel"/>
    <w:tmpl w:val="10980602"/>
    <w:lvl w:ilvl="0" w:tplc="CF1ACB52">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E64238"/>
    <w:multiLevelType w:val="hybridMultilevel"/>
    <w:tmpl w:val="3FBA3680"/>
    <w:lvl w:ilvl="0" w:tplc="8DE61D54">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B20743E"/>
    <w:multiLevelType w:val="hybridMultilevel"/>
    <w:tmpl w:val="73DE8D06"/>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B950743"/>
    <w:multiLevelType w:val="hybridMultilevel"/>
    <w:tmpl w:val="FCBC7160"/>
    <w:lvl w:ilvl="0" w:tplc="CF1ACB52">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482E40BD"/>
    <w:multiLevelType w:val="hybridMultilevel"/>
    <w:tmpl w:val="82DA51E6"/>
    <w:lvl w:ilvl="0" w:tplc="CF1ACB52">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AEC75D0"/>
    <w:multiLevelType w:val="hybridMultilevel"/>
    <w:tmpl w:val="35B4B0AE"/>
    <w:lvl w:ilvl="0" w:tplc="81F61CA8">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9F2747F"/>
    <w:multiLevelType w:val="hybridMultilevel"/>
    <w:tmpl w:val="769C9EAE"/>
    <w:lvl w:ilvl="0" w:tplc="F91A140A">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FE57475"/>
    <w:multiLevelType w:val="hybridMultilevel"/>
    <w:tmpl w:val="0108FB00"/>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AA60D33"/>
    <w:multiLevelType w:val="hybridMultilevel"/>
    <w:tmpl w:val="5C7434DE"/>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2"/>
  </w:num>
  <w:num w:numId="4">
    <w:abstractNumId w:val="5"/>
  </w:num>
  <w:num w:numId="5">
    <w:abstractNumId w:val="6"/>
  </w:num>
  <w:num w:numId="6">
    <w:abstractNumId w:val="2"/>
  </w:num>
  <w:num w:numId="7">
    <w:abstractNumId w:val="1"/>
  </w:num>
  <w:num w:numId="8">
    <w:abstractNumId w:val="11"/>
  </w:num>
  <w:num w:numId="9">
    <w:abstractNumId w:val="5"/>
  </w:num>
  <w:num w:numId="10">
    <w:abstractNumId w:val="0"/>
  </w:num>
  <w:num w:numId="11">
    <w:abstractNumId w:val="10"/>
  </w:num>
  <w:num w:numId="12">
    <w:abstractNumId w:val="9"/>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0B"/>
    <w:rsid w:val="00022A4F"/>
    <w:rsid w:val="00022E1B"/>
    <w:rsid w:val="00041CF0"/>
    <w:rsid w:val="00041DEE"/>
    <w:rsid w:val="00057374"/>
    <w:rsid w:val="00067BEE"/>
    <w:rsid w:val="0007383E"/>
    <w:rsid w:val="00074CBB"/>
    <w:rsid w:val="00075045"/>
    <w:rsid w:val="00075D20"/>
    <w:rsid w:val="00080CC6"/>
    <w:rsid w:val="00081D27"/>
    <w:rsid w:val="000830EF"/>
    <w:rsid w:val="00090CDB"/>
    <w:rsid w:val="000F0134"/>
    <w:rsid w:val="000F77DF"/>
    <w:rsid w:val="0010492B"/>
    <w:rsid w:val="00107003"/>
    <w:rsid w:val="00121257"/>
    <w:rsid w:val="00130A56"/>
    <w:rsid w:val="00133960"/>
    <w:rsid w:val="00134189"/>
    <w:rsid w:val="00136964"/>
    <w:rsid w:val="00142518"/>
    <w:rsid w:val="00170FBC"/>
    <w:rsid w:val="00174933"/>
    <w:rsid w:val="00180ACE"/>
    <w:rsid w:val="001842A3"/>
    <w:rsid w:val="00190EEB"/>
    <w:rsid w:val="001917B2"/>
    <w:rsid w:val="001A464F"/>
    <w:rsid w:val="001A7143"/>
    <w:rsid w:val="001C0519"/>
    <w:rsid w:val="001D78CC"/>
    <w:rsid w:val="001E726C"/>
    <w:rsid w:val="001F078C"/>
    <w:rsid w:val="001F3FCF"/>
    <w:rsid w:val="001F562C"/>
    <w:rsid w:val="0020468B"/>
    <w:rsid w:val="00210510"/>
    <w:rsid w:val="00227F28"/>
    <w:rsid w:val="0026216F"/>
    <w:rsid w:val="00263A43"/>
    <w:rsid w:val="002777F0"/>
    <w:rsid w:val="00291893"/>
    <w:rsid w:val="002A057E"/>
    <w:rsid w:val="002B2990"/>
    <w:rsid w:val="002C744A"/>
    <w:rsid w:val="002C7B7B"/>
    <w:rsid w:val="002D1B39"/>
    <w:rsid w:val="002D52A7"/>
    <w:rsid w:val="002E64FD"/>
    <w:rsid w:val="002F6DF4"/>
    <w:rsid w:val="0034284B"/>
    <w:rsid w:val="00343051"/>
    <w:rsid w:val="00346EDC"/>
    <w:rsid w:val="00354C04"/>
    <w:rsid w:val="00371057"/>
    <w:rsid w:val="003A58AC"/>
    <w:rsid w:val="003A638E"/>
    <w:rsid w:val="003D2723"/>
    <w:rsid w:val="003E35B4"/>
    <w:rsid w:val="00405C13"/>
    <w:rsid w:val="004105A1"/>
    <w:rsid w:val="00417671"/>
    <w:rsid w:val="004200AC"/>
    <w:rsid w:val="0042461E"/>
    <w:rsid w:val="0042686F"/>
    <w:rsid w:val="00475037"/>
    <w:rsid w:val="00482A01"/>
    <w:rsid w:val="004C00F8"/>
    <w:rsid w:val="004C7CF6"/>
    <w:rsid w:val="004D0D69"/>
    <w:rsid w:val="004F612C"/>
    <w:rsid w:val="005163D1"/>
    <w:rsid w:val="005501F1"/>
    <w:rsid w:val="00554C9D"/>
    <w:rsid w:val="005667EB"/>
    <w:rsid w:val="00582BBF"/>
    <w:rsid w:val="005A32A5"/>
    <w:rsid w:val="005E5ADE"/>
    <w:rsid w:val="005F716B"/>
    <w:rsid w:val="00625F01"/>
    <w:rsid w:val="00630204"/>
    <w:rsid w:val="00634D50"/>
    <w:rsid w:val="00640624"/>
    <w:rsid w:val="00640C4F"/>
    <w:rsid w:val="00651B80"/>
    <w:rsid w:val="006566E6"/>
    <w:rsid w:val="00664E2F"/>
    <w:rsid w:val="00667AD7"/>
    <w:rsid w:val="006761B1"/>
    <w:rsid w:val="006844D2"/>
    <w:rsid w:val="006A37EC"/>
    <w:rsid w:val="006B24CB"/>
    <w:rsid w:val="006C4124"/>
    <w:rsid w:val="006D04F4"/>
    <w:rsid w:val="006F19DA"/>
    <w:rsid w:val="00726E89"/>
    <w:rsid w:val="00733931"/>
    <w:rsid w:val="007618D2"/>
    <w:rsid w:val="0077012D"/>
    <w:rsid w:val="00785B2A"/>
    <w:rsid w:val="007A7BFC"/>
    <w:rsid w:val="007B07B8"/>
    <w:rsid w:val="007B3343"/>
    <w:rsid w:val="007B71D1"/>
    <w:rsid w:val="007C1C4A"/>
    <w:rsid w:val="007D2D73"/>
    <w:rsid w:val="007D5036"/>
    <w:rsid w:val="007F39A4"/>
    <w:rsid w:val="007F78C7"/>
    <w:rsid w:val="0080006F"/>
    <w:rsid w:val="00805EAE"/>
    <w:rsid w:val="00812383"/>
    <w:rsid w:val="00812D66"/>
    <w:rsid w:val="00817C85"/>
    <w:rsid w:val="008348A1"/>
    <w:rsid w:val="00836382"/>
    <w:rsid w:val="0084302F"/>
    <w:rsid w:val="00864BC4"/>
    <w:rsid w:val="00866A27"/>
    <w:rsid w:val="008734A9"/>
    <w:rsid w:val="008775A0"/>
    <w:rsid w:val="00885525"/>
    <w:rsid w:val="00886180"/>
    <w:rsid w:val="00895CB0"/>
    <w:rsid w:val="008A436E"/>
    <w:rsid w:val="008B05FE"/>
    <w:rsid w:val="008C618D"/>
    <w:rsid w:val="008E4D6E"/>
    <w:rsid w:val="009014EA"/>
    <w:rsid w:val="009109CC"/>
    <w:rsid w:val="0092305F"/>
    <w:rsid w:val="00951CB5"/>
    <w:rsid w:val="00951E38"/>
    <w:rsid w:val="00956774"/>
    <w:rsid w:val="00963207"/>
    <w:rsid w:val="00972324"/>
    <w:rsid w:val="0097245B"/>
    <w:rsid w:val="009A3AA1"/>
    <w:rsid w:val="009A3E55"/>
    <w:rsid w:val="009A72BC"/>
    <w:rsid w:val="009D6022"/>
    <w:rsid w:val="009E6033"/>
    <w:rsid w:val="009F2B6E"/>
    <w:rsid w:val="00A01A43"/>
    <w:rsid w:val="00A05E19"/>
    <w:rsid w:val="00A338EB"/>
    <w:rsid w:val="00A37AE5"/>
    <w:rsid w:val="00A40883"/>
    <w:rsid w:val="00A44E8F"/>
    <w:rsid w:val="00A520F0"/>
    <w:rsid w:val="00A92019"/>
    <w:rsid w:val="00AA34D6"/>
    <w:rsid w:val="00AB285A"/>
    <w:rsid w:val="00AC7602"/>
    <w:rsid w:val="00AD6C8F"/>
    <w:rsid w:val="00AE21E3"/>
    <w:rsid w:val="00AE2F61"/>
    <w:rsid w:val="00AE6949"/>
    <w:rsid w:val="00B37E9B"/>
    <w:rsid w:val="00B50290"/>
    <w:rsid w:val="00B54DD1"/>
    <w:rsid w:val="00B559F1"/>
    <w:rsid w:val="00B65299"/>
    <w:rsid w:val="00B81E61"/>
    <w:rsid w:val="00B82BA4"/>
    <w:rsid w:val="00B90143"/>
    <w:rsid w:val="00B91E7A"/>
    <w:rsid w:val="00BA514C"/>
    <w:rsid w:val="00BB1569"/>
    <w:rsid w:val="00BC0BAA"/>
    <w:rsid w:val="00BD1D92"/>
    <w:rsid w:val="00BD5BA8"/>
    <w:rsid w:val="00BF3B8A"/>
    <w:rsid w:val="00C01B49"/>
    <w:rsid w:val="00C13FD5"/>
    <w:rsid w:val="00C15CB7"/>
    <w:rsid w:val="00C324A9"/>
    <w:rsid w:val="00C3521F"/>
    <w:rsid w:val="00C570D4"/>
    <w:rsid w:val="00C64E8A"/>
    <w:rsid w:val="00C72E59"/>
    <w:rsid w:val="00C83A15"/>
    <w:rsid w:val="00C83F2F"/>
    <w:rsid w:val="00C87C45"/>
    <w:rsid w:val="00C969D8"/>
    <w:rsid w:val="00CB773D"/>
    <w:rsid w:val="00CD2914"/>
    <w:rsid w:val="00CE30D6"/>
    <w:rsid w:val="00D36035"/>
    <w:rsid w:val="00D37390"/>
    <w:rsid w:val="00D44D57"/>
    <w:rsid w:val="00D5707B"/>
    <w:rsid w:val="00D57FDD"/>
    <w:rsid w:val="00D64E0B"/>
    <w:rsid w:val="00D6575C"/>
    <w:rsid w:val="00D72889"/>
    <w:rsid w:val="00D73258"/>
    <w:rsid w:val="00D81F22"/>
    <w:rsid w:val="00D84D35"/>
    <w:rsid w:val="00D860C4"/>
    <w:rsid w:val="00D8721F"/>
    <w:rsid w:val="00DA0775"/>
    <w:rsid w:val="00DB7DA9"/>
    <w:rsid w:val="00DC20A7"/>
    <w:rsid w:val="00DE3FEF"/>
    <w:rsid w:val="00DF5121"/>
    <w:rsid w:val="00E154E3"/>
    <w:rsid w:val="00E321DB"/>
    <w:rsid w:val="00E41F9F"/>
    <w:rsid w:val="00E42FC9"/>
    <w:rsid w:val="00E5554D"/>
    <w:rsid w:val="00E80655"/>
    <w:rsid w:val="00E81FA8"/>
    <w:rsid w:val="00E9591E"/>
    <w:rsid w:val="00ED5BDF"/>
    <w:rsid w:val="00ED5FCD"/>
    <w:rsid w:val="00EE03FA"/>
    <w:rsid w:val="00EE2A19"/>
    <w:rsid w:val="00F12315"/>
    <w:rsid w:val="00F3561C"/>
    <w:rsid w:val="00F447F5"/>
    <w:rsid w:val="00F6300B"/>
    <w:rsid w:val="00F66B95"/>
    <w:rsid w:val="00F73C9E"/>
    <w:rsid w:val="00F749A6"/>
    <w:rsid w:val="00F927F0"/>
    <w:rsid w:val="00F9458A"/>
    <w:rsid w:val="00FB7F09"/>
    <w:rsid w:val="00FD179E"/>
    <w:rsid w:val="00FD5CFC"/>
    <w:rsid w:val="00FE1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ph"/>
    <w:qFormat/>
    <w:rsid w:val="00F6300B"/>
    <w:pPr>
      <w:spacing w:after="120" w:line="360" w:lineRule="auto"/>
    </w:pPr>
    <w:rPr>
      <w:rFonts w:ascii="Arial" w:eastAsia="Times New Roman" w:hAnsi="Arial" w:cs="Arial"/>
      <w:szCs w:val="24"/>
    </w:rPr>
  </w:style>
  <w:style w:type="paragraph" w:styleId="Heading1">
    <w:name w:val="heading 1"/>
    <w:basedOn w:val="Normal"/>
    <w:next w:val="Normal"/>
    <w:link w:val="Heading1Char"/>
    <w:autoRedefine/>
    <w:uiPriority w:val="9"/>
    <w:qFormat/>
    <w:rsid w:val="00E5554D"/>
    <w:pPr>
      <w:keepNext/>
      <w:keepLines/>
      <w:spacing w:after="0"/>
      <w:outlineLvl w:val="0"/>
    </w:pPr>
    <w:rPr>
      <w:color w:val="0194A6"/>
      <w:sz w:val="44"/>
      <w:szCs w:val="26"/>
    </w:rPr>
  </w:style>
  <w:style w:type="paragraph" w:styleId="Heading2">
    <w:name w:val="heading 2"/>
    <w:basedOn w:val="Heading1"/>
    <w:next w:val="Normal"/>
    <w:link w:val="Heading2Char"/>
    <w:autoRedefine/>
    <w:uiPriority w:val="9"/>
    <w:qFormat/>
    <w:rsid w:val="002D1B39"/>
    <w:pPr>
      <w:numPr>
        <w:ilvl w:val="1"/>
      </w:numPr>
      <w:spacing w:before="180" w:line="240" w:lineRule="auto"/>
      <w:outlineLvl w:val="1"/>
    </w:pPr>
    <w:rPr>
      <w:sz w:val="22"/>
      <w:szCs w:val="22"/>
    </w:rPr>
  </w:style>
  <w:style w:type="paragraph" w:styleId="Heading3">
    <w:name w:val="heading 3"/>
    <w:basedOn w:val="Normal"/>
    <w:next w:val="Normal"/>
    <w:link w:val="Heading3Char"/>
    <w:uiPriority w:val="9"/>
    <w:unhideWhenUsed/>
    <w:qFormat/>
    <w:rsid w:val="000573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54D"/>
    <w:rPr>
      <w:rFonts w:ascii="Arial" w:eastAsia="Times New Roman" w:hAnsi="Arial" w:cs="Arial"/>
      <w:color w:val="0194A6"/>
      <w:sz w:val="44"/>
      <w:szCs w:val="26"/>
    </w:rPr>
  </w:style>
  <w:style w:type="character" w:customStyle="1" w:styleId="Heading2Char">
    <w:name w:val="Heading 2 Char"/>
    <w:basedOn w:val="DefaultParagraphFont"/>
    <w:link w:val="Heading2"/>
    <w:uiPriority w:val="9"/>
    <w:rsid w:val="002D1B39"/>
    <w:rPr>
      <w:rFonts w:ascii="Arial" w:eastAsia="Times New Roman" w:hAnsi="Arial" w:cs="Arial"/>
      <w:color w:val="0194A6"/>
    </w:rPr>
  </w:style>
  <w:style w:type="paragraph" w:styleId="Header">
    <w:name w:val="header"/>
    <w:basedOn w:val="Normal"/>
    <w:link w:val="HeaderChar"/>
    <w:rsid w:val="00F6300B"/>
    <w:pPr>
      <w:tabs>
        <w:tab w:val="center" w:pos="4153"/>
        <w:tab w:val="right" w:pos="8306"/>
      </w:tabs>
      <w:spacing w:before="360"/>
      <w:jc w:val="center"/>
    </w:pPr>
    <w:rPr>
      <w:sz w:val="40"/>
      <w:szCs w:val="40"/>
    </w:rPr>
  </w:style>
  <w:style w:type="character" w:customStyle="1" w:styleId="HeaderChar">
    <w:name w:val="Header Char"/>
    <w:basedOn w:val="DefaultParagraphFont"/>
    <w:link w:val="Header"/>
    <w:rsid w:val="00F6300B"/>
    <w:rPr>
      <w:rFonts w:ascii="Arial" w:eastAsia="Times New Roman" w:hAnsi="Arial" w:cs="Arial"/>
      <w:sz w:val="40"/>
      <w:szCs w:val="40"/>
    </w:rPr>
  </w:style>
  <w:style w:type="paragraph" w:customStyle="1" w:styleId="Tabletextheading">
    <w:name w:val="Table text heading"/>
    <w:basedOn w:val="Normal"/>
    <w:rsid w:val="00F6300B"/>
    <w:pPr>
      <w:spacing w:before="40" w:after="40"/>
    </w:pPr>
    <w:rPr>
      <w:b/>
      <w:bCs/>
      <w:lang w:eastAsia="en-AU"/>
    </w:rPr>
  </w:style>
  <w:style w:type="paragraph" w:styleId="TOC1">
    <w:name w:val="toc 1"/>
    <w:basedOn w:val="Normal"/>
    <w:autoRedefine/>
    <w:uiPriority w:val="39"/>
    <w:rsid w:val="00F6300B"/>
    <w:pPr>
      <w:tabs>
        <w:tab w:val="left" w:pos="1560"/>
        <w:tab w:val="right" w:leader="dot" w:pos="8789"/>
      </w:tabs>
      <w:ind w:left="851" w:right="814"/>
    </w:pPr>
    <w:rPr>
      <w:spacing w:val="-4"/>
    </w:rPr>
  </w:style>
  <w:style w:type="paragraph" w:styleId="TOC2">
    <w:name w:val="toc 2"/>
    <w:basedOn w:val="Normal"/>
    <w:autoRedefine/>
    <w:uiPriority w:val="39"/>
    <w:rsid w:val="00F6300B"/>
    <w:pPr>
      <w:tabs>
        <w:tab w:val="left" w:pos="1701"/>
        <w:tab w:val="right" w:leader="dot" w:pos="8789"/>
      </w:tabs>
      <w:ind w:left="992"/>
    </w:pPr>
  </w:style>
  <w:style w:type="paragraph" w:styleId="Footer">
    <w:name w:val="footer"/>
    <w:basedOn w:val="Normal"/>
    <w:link w:val="FooterChar"/>
    <w:uiPriority w:val="99"/>
    <w:rsid w:val="00F6300B"/>
    <w:pPr>
      <w:tabs>
        <w:tab w:val="center" w:pos="4153"/>
        <w:tab w:val="right" w:pos="8306"/>
      </w:tabs>
    </w:pPr>
  </w:style>
  <w:style w:type="character" w:customStyle="1" w:styleId="FooterChar">
    <w:name w:val="Footer Char"/>
    <w:basedOn w:val="DefaultParagraphFont"/>
    <w:link w:val="Footer"/>
    <w:uiPriority w:val="99"/>
    <w:rsid w:val="00F6300B"/>
    <w:rPr>
      <w:rFonts w:ascii="Arial" w:eastAsia="Times New Roman" w:hAnsi="Arial" w:cs="Arial"/>
      <w:szCs w:val="24"/>
    </w:rPr>
  </w:style>
  <w:style w:type="character" w:styleId="Hyperlink">
    <w:name w:val="Hyperlink"/>
    <w:basedOn w:val="DefaultParagraphFont"/>
    <w:uiPriority w:val="99"/>
    <w:rsid w:val="00F6300B"/>
    <w:rPr>
      <w:rFonts w:ascii="Arial" w:hAnsi="Arial" w:cs="Times New Roman"/>
      <w:color w:val="0000FF"/>
      <w:u w:val="single"/>
    </w:rPr>
  </w:style>
  <w:style w:type="character" w:styleId="CommentReference">
    <w:name w:val="annotation reference"/>
    <w:basedOn w:val="DefaultParagraphFont"/>
    <w:uiPriority w:val="99"/>
    <w:rsid w:val="00F6300B"/>
    <w:rPr>
      <w:rFonts w:cs="Times New Roman"/>
      <w:sz w:val="16"/>
      <w:szCs w:val="16"/>
    </w:rPr>
  </w:style>
  <w:style w:type="paragraph" w:styleId="CommentText">
    <w:name w:val="annotation text"/>
    <w:basedOn w:val="Normal"/>
    <w:link w:val="CommentTextChar"/>
    <w:uiPriority w:val="99"/>
    <w:rsid w:val="00F6300B"/>
  </w:style>
  <w:style w:type="character" w:customStyle="1" w:styleId="CommentTextChar">
    <w:name w:val="Comment Text Char"/>
    <w:basedOn w:val="DefaultParagraphFont"/>
    <w:link w:val="CommentText"/>
    <w:uiPriority w:val="99"/>
    <w:rsid w:val="00F6300B"/>
    <w:rPr>
      <w:rFonts w:ascii="Arial" w:eastAsia="Times New Roman" w:hAnsi="Arial" w:cs="Arial"/>
      <w:szCs w:val="24"/>
    </w:rPr>
  </w:style>
  <w:style w:type="paragraph" w:customStyle="1" w:styleId="CoverReportTitle">
    <w:name w:val="Cover Report Title"/>
    <w:basedOn w:val="Normal"/>
    <w:autoRedefine/>
    <w:qFormat/>
    <w:rsid w:val="00F6300B"/>
    <w:pPr>
      <w:framePr w:w="4820" w:wrap="around" w:vAnchor="page" w:hAnchor="text" w:x="5388" w:y="795"/>
      <w:spacing w:before="4440" w:after="2400" w:line="480" w:lineRule="auto"/>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F6300B"/>
    <w:pPr>
      <w:framePr w:w="0" w:wrap="auto" w:vAnchor="margin" w:xAlign="left" w:yAlign="inline"/>
      <w:spacing w:before="113" w:after="57" w:line="400" w:lineRule="exact"/>
    </w:pPr>
    <w:rPr>
      <w:color w:val="auto"/>
      <w:sz w:val="36"/>
    </w:rPr>
  </w:style>
  <w:style w:type="paragraph" w:customStyle="1" w:styleId="Bullet">
    <w:name w:val="Bullet"/>
    <w:basedOn w:val="Normal"/>
    <w:autoRedefine/>
    <w:qFormat/>
    <w:rsid w:val="008C618D"/>
    <w:pPr>
      <w:spacing w:after="0" w:line="320" w:lineRule="exact"/>
    </w:pPr>
    <w:rPr>
      <w:rFonts w:eastAsia="Calibri"/>
      <w:color w:val="000000" w:themeColor="text1"/>
      <w:szCs w:val="22"/>
    </w:rPr>
  </w:style>
  <w:style w:type="paragraph" w:styleId="BalloonText">
    <w:name w:val="Balloon Text"/>
    <w:basedOn w:val="Normal"/>
    <w:link w:val="BalloonTextChar"/>
    <w:uiPriority w:val="99"/>
    <w:semiHidden/>
    <w:unhideWhenUsed/>
    <w:rsid w:val="00F63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00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B7F09"/>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FB7F09"/>
    <w:rPr>
      <w:rFonts w:ascii="Arial" w:eastAsia="Times New Roman" w:hAnsi="Arial" w:cs="Arial"/>
      <w:b/>
      <w:bCs/>
      <w:sz w:val="20"/>
      <w:szCs w:val="20"/>
    </w:rPr>
  </w:style>
  <w:style w:type="paragraph" w:styleId="ListParagraph">
    <w:name w:val="List Paragraph"/>
    <w:basedOn w:val="Normal"/>
    <w:uiPriority w:val="34"/>
    <w:qFormat/>
    <w:rsid w:val="00AB285A"/>
    <w:pPr>
      <w:ind w:left="720"/>
      <w:contextualSpacing/>
    </w:pPr>
  </w:style>
  <w:style w:type="character" w:customStyle="1" w:styleId="Heading3Char">
    <w:name w:val="Heading 3 Char"/>
    <w:basedOn w:val="DefaultParagraphFont"/>
    <w:link w:val="Heading3"/>
    <w:uiPriority w:val="9"/>
    <w:rsid w:val="00057374"/>
    <w:rPr>
      <w:rFonts w:asciiTheme="majorHAnsi" w:eastAsiaTheme="majorEastAsia" w:hAnsiTheme="majorHAnsi" w:cstheme="majorBidi"/>
      <w:b/>
      <w:bCs/>
      <w:color w:val="4F81BD" w:themeColor="accent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ph"/>
    <w:qFormat/>
    <w:rsid w:val="00F6300B"/>
    <w:pPr>
      <w:spacing w:after="120" w:line="360" w:lineRule="auto"/>
    </w:pPr>
    <w:rPr>
      <w:rFonts w:ascii="Arial" w:eastAsia="Times New Roman" w:hAnsi="Arial" w:cs="Arial"/>
      <w:szCs w:val="24"/>
    </w:rPr>
  </w:style>
  <w:style w:type="paragraph" w:styleId="Heading1">
    <w:name w:val="heading 1"/>
    <w:basedOn w:val="Normal"/>
    <w:next w:val="Normal"/>
    <w:link w:val="Heading1Char"/>
    <w:autoRedefine/>
    <w:uiPriority w:val="9"/>
    <w:qFormat/>
    <w:rsid w:val="00E5554D"/>
    <w:pPr>
      <w:keepNext/>
      <w:keepLines/>
      <w:spacing w:after="0"/>
      <w:outlineLvl w:val="0"/>
    </w:pPr>
    <w:rPr>
      <w:color w:val="0194A6"/>
      <w:sz w:val="44"/>
      <w:szCs w:val="26"/>
    </w:rPr>
  </w:style>
  <w:style w:type="paragraph" w:styleId="Heading2">
    <w:name w:val="heading 2"/>
    <w:basedOn w:val="Heading1"/>
    <w:next w:val="Normal"/>
    <w:link w:val="Heading2Char"/>
    <w:autoRedefine/>
    <w:uiPriority w:val="9"/>
    <w:qFormat/>
    <w:rsid w:val="002D1B39"/>
    <w:pPr>
      <w:numPr>
        <w:ilvl w:val="1"/>
      </w:numPr>
      <w:spacing w:before="180" w:line="240" w:lineRule="auto"/>
      <w:outlineLvl w:val="1"/>
    </w:pPr>
    <w:rPr>
      <w:sz w:val="22"/>
      <w:szCs w:val="22"/>
    </w:rPr>
  </w:style>
  <w:style w:type="paragraph" w:styleId="Heading3">
    <w:name w:val="heading 3"/>
    <w:basedOn w:val="Normal"/>
    <w:next w:val="Normal"/>
    <w:link w:val="Heading3Char"/>
    <w:uiPriority w:val="9"/>
    <w:unhideWhenUsed/>
    <w:qFormat/>
    <w:rsid w:val="000573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54D"/>
    <w:rPr>
      <w:rFonts w:ascii="Arial" w:eastAsia="Times New Roman" w:hAnsi="Arial" w:cs="Arial"/>
      <w:color w:val="0194A6"/>
      <w:sz w:val="44"/>
      <w:szCs w:val="26"/>
    </w:rPr>
  </w:style>
  <w:style w:type="character" w:customStyle="1" w:styleId="Heading2Char">
    <w:name w:val="Heading 2 Char"/>
    <w:basedOn w:val="DefaultParagraphFont"/>
    <w:link w:val="Heading2"/>
    <w:uiPriority w:val="9"/>
    <w:rsid w:val="002D1B39"/>
    <w:rPr>
      <w:rFonts w:ascii="Arial" w:eastAsia="Times New Roman" w:hAnsi="Arial" w:cs="Arial"/>
      <w:color w:val="0194A6"/>
    </w:rPr>
  </w:style>
  <w:style w:type="paragraph" w:styleId="Header">
    <w:name w:val="header"/>
    <w:basedOn w:val="Normal"/>
    <w:link w:val="HeaderChar"/>
    <w:rsid w:val="00F6300B"/>
    <w:pPr>
      <w:tabs>
        <w:tab w:val="center" w:pos="4153"/>
        <w:tab w:val="right" w:pos="8306"/>
      </w:tabs>
      <w:spacing w:before="360"/>
      <w:jc w:val="center"/>
    </w:pPr>
    <w:rPr>
      <w:sz w:val="40"/>
      <w:szCs w:val="40"/>
    </w:rPr>
  </w:style>
  <w:style w:type="character" w:customStyle="1" w:styleId="HeaderChar">
    <w:name w:val="Header Char"/>
    <w:basedOn w:val="DefaultParagraphFont"/>
    <w:link w:val="Header"/>
    <w:rsid w:val="00F6300B"/>
    <w:rPr>
      <w:rFonts w:ascii="Arial" w:eastAsia="Times New Roman" w:hAnsi="Arial" w:cs="Arial"/>
      <w:sz w:val="40"/>
      <w:szCs w:val="40"/>
    </w:rPr>
  </w:style>
  <w:style w:type="paragraph" w:customStyle="1" w:styleId="Tabletextheading">
    <w:name w:val="Table text heading"/>
    <w:basedOn w:val="Normal"/>
    <w:rsid w:val="00F6300B"/>
    <w:pPr>
      <w:spacing w:before="40" w:after="40"/>
    </w:pPr>
    <w:rPr>
      <w:b/>
      <w:bCs/>
      <w:lang w:eastAsia="en-AU"/>
    </w:rPr>
  </w:style>
  <w:style w:type="paragraph" w:styleId="TOC1">
    <w:name w:val="toc 1"/>
    <w:basedOn w:val="Normal"/>
    <w:autoRedefine/>
    <w:uiPriority w:val="39"/>
    <w:rsid w:val="00F6300B"/>
    <w:pPr>
      <w:tabs>
        <w:tab w:val="left" w:pos="1560"/>
        <w:tab w:val="right" w:leader="dot" w:pos="8789"/>
      </w:tabs>
      <w:ind w:left="851" w:right="814"/>
    </w:pPr>
    <w:rPr>
      <w:spacing w:val="-4"/>
    </w:rPr>
  </w:style>
  <w:style w:type="paragraph" w:styleId="TOC2">
    <w:name w:val="toc 2"/>
    <w:basedOn w:val="Normal"/>
    <w:autoRedefine/>
    <w:uiPriority w:val="39"/>
    <w:rsid w:val="00F6300B"/>
    <w:pPr>
      <w:tabs>
        <w:tab w:val="left" w:pos="1701"/>
        <w:tab w:val="right" w:leader="dot" w:pos="8789"/>
      </w:tabs>
      <w:ind w:left="992"/>
    </w:pPr>
  </w:style>
  <w:style w:type="paragraph" w:styleId="Footer">
    <w:name w:val="footer"/>
    <w:basedOn w:val="Normal"/>
    <w:link w:val="FooterChar"/>
    <w:uiPriority w:val="99"/>
    <w:rsid w:val="00F6300B"/>
    <w:pPr>
      <w:tabs>
        <w:tab w:val="center" w:pos="4153"/>
        <w:tab w:val="right" w:pos="8306"/>
      </w:tabs>
    </w:pPr>
  </w:style>
  <w:style w:type="character" w:customStyle="1" w:styleId="FooterChar">
    <w:name w:val="Footer Char"/>
    <w:basedOn w:val="DefaultParagraphFont"/>
    <w:link w:val="Footer"/>
    <w:uiPriority w:val="99"/>
    <w:rsid w:val="00F6300B"/>
    <w:rPr>
      <w:rFonts w:ascii="Arial" w:eastAsia="Times New Roman" w:hAnsi="Arial" w:cs="Arial"/>
      <w:szCs w:val="24"/>
    </w:rPr>
  </w:style>
  <w:style w:type="character" w:styleId="Hyperlink">
    <w:name w:val="Hyperlink"/>
    <w:basedOn w:val="DefaultParagraphFont"/>
    <w:uiPriority w:val="99"/>
    <w:rsid w:val="00F6300B"/>
    <w:rPr>
      <w:rFonts w:ascii="Arial" w:hAnsi="Arial" w:cs="Times New Roman"/>
      <w:color w:val="0000FF"/>
      <w:u w:val="single"/>
    </w:rPr>
  </w:style>
  <w:style w:type="character" w:styleId="CommentReference">
    <w:name w:val="annotation reference"/>
    <w:basedOn w:val="DefaultParagraphFont"/>
    <w:uiPriority w:val="99"/>
    <w:rsid w:val="00F6300B"/>
    <w:rPr>
      <w:rFonts w:cs="Times New Roman"/>
      <w:sz w:val="16"/>
      <w:szCs w:val="16"/>
    </w:rPr>
  </w:style>
  <w:style w:type="paragraph" w:styleId="CommentText">
    <w:name w:val="annotation text"/>
    <w:basedOn w:val="Normal"/>
    <w:link w:val="CommentTextChar"/>
    <w:uiPriority w:val="99"/>
    <w:rsid w:val="00F6300B"/>
  </w:style>
  <w:style w:type="character" w:customStyle="1" w:styleId="CommentTextChar">
    <w:name w:val="Comment Text Char"/>
    <w:basedOn w:val="DefaultParagraphFont"/>
    <w:link w:val="CommentText"/>
    <w:uiPriority w:val="99"/>
    <w:rsid w:val="00F6300B"/>
    <w:rPr>
      <w:rFonts w:ascii="Arial" w:eastAsia="Times New Roman" w:hAnsi="Arial" w:cs="Arial"/>
      <w:szCs w:val="24"/>
    </w:rPr>
  </w:style>
  <w:style w:type="paragraph" w:customStyle="1" w:styleId="CoverReportTitle">
    <w:name w:val="Cover Report Title"/>
    <w:basedOn w:val="Normal"/>
    <w:autoRedefine/>
    <w:qFormat/>
    <w:rsid w:val="00F6300B"/>
    <w:pPr>
      <w:framePr w:w="4820" w:wrap="around" w:vAnchor="page" w:hAnchor="text" w:x="5388" w:y="795"/>
      <w:spacing w:before="4440" w:after="2400" w:line="480" w:lineRule="auto"/>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F6300B"/>
    <w:pPr>
      <w:framePr w:w="0" w:wrap="auto" w:vAnchor="margin" w:xAlign="left" w:yAlign="inline"/>
      <w:spacing w:before="113" w:after="57" w:line="400" w:lineRule="exact"/>
    </w:pPr>
    <w:rPr>
      <w:color w:val="auto"/>
      <w:sz w:val="36"/>
    </w:rPr>
  </w:style>
  <w:style w:type="paragraph" w:customStyle="1" w:styleId="Bullet">
    <w:name w:val="Bullet"/>
    <w:basedOn w:val="Normal"/>
    <w:autoRedefine/>
    <w:qFormat/>
    <w:rsid w:val="008C618D"/>
    <w:pPr>
      <w:spacing w:after="0" w:line="320" w:lineRule="exact"/>
    </w:pPr>
    <w:rPr>
      <w:rFonts w:eastAsia="Calibri"/>
      <w:color w:val="000000" w:themeColor="text1"/>
      <w:szCs w:val="22"/>
    </w:rPr>
  </w:style>
  <w:style w:type="paragraph" w:styleId="BalloonText">
    <w:name w:val="Balloon Text"/>
    <w:basedOn w:val="Normal"/>
    <w:link w:val="BalloonTextChar"/>
    <w:uiPriority w:val="99"/>
    <w:semiHidden/>
    <w:unhideWhenUsed/>
    <w:rsid w:val="00F63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00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B7F09"/>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FB7F09"/>
    <w:rPr>
      <w:rFonts w:ascii="Arial" w:eastAsia="Times New Roman" w:hAnsi="Arial" w:cs="Arial"/>
      <w:b/>
      <w:bCs/>
      <w:sz w:val="20"/>
      <w:szCs w:val="20"/>
    </w:rPr>
  </w:style>
  <w:style w:type="paragraph" w:styleId="ListParagraph">
    <w:name w:val="List Paragraph"/>
    <w:basedOn w:val="Normal"/>
    <w:uiPriority w:val="34"/>
    <w:qFormat/>
    <w:rsid w:val="00AB285A"/>
    <w:pPr>
      <w:ind w:left="720"/>
      <w:contextualSpacing/>
    </w:pPr>
  </w:style>
  <w:style w:type="character" w:customStyle="1" w:styleId="Heading3Char">
    <w:name w:val="Heading 3 Char"/>
    <w:basedOn w:val="DefaultParagraphFont"/>
    <w:link w:val="Heading3"/>
    <w:uiPriority w:val="9"/>
    <w:rsid w:val="00057374"/>
    <w:rPr>
      <w:rFonts w:asciiTheme="majorHAnsi" w:eastAsiaTheme="majorEastAsia" w:hAnsiTheme="majorHAnsi" w:cstheme="majorBidi"/>
      <w:b/>
      <w:bCs/>
      <w:color w:val="4F81BD"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7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ynda.McAlary-Smith@fwo.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edia@fwo.gov.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53E34-9178-4E78-B28E-B00A5017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BD1F708E.dotm</Template>
  <TotalTime>2</TotalTime>
  <Pages>8</Pages>
  <Words>1230</Words>
  <Characters>6634</Characters>
  <Application>Microsoft Office Word</Application>
  <DocSecurity>4</DocSecurity>
  <Lines>157</Lines>
  <Paragraphs>100</Paragraphs>
  <ScaleCrop>false</ScaleCrop>
  <HeadingPairs>
    <vt:vector size="2" baseType="variant">
      <vt:variant>
        <vt:lpstr>Title</vt:lpstr>
      </vt:variant>
      <vt:variant>
        <vt:i4>1</vt:i4>
      </vt:variant>
    </vt:vector>
  </HeadingPairs>
  <TitlesOfParts>
    <vt:vector size="1" baseType="lpstr">
      <vt:lpstr>Hobart NW Regional Campaign Report</vt:lpstr>
    </vt:vector>
  </TitlesOfParts>
  <Company>Fair Work Ombudsman</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Hobart NW Regional Campaign Report</dc:title>
  <dc:subject>Hobart NW Regional Campaign Report</dc:subject>
  <dc:creator>Fair Work Ombudsman</dc:creator>
  <cp:lastModifiedBy>Jian Voon</cp:lastModifiedBy>
  <cp:revision>2</cp:revision>
  <cp:lastPrinted>2016-03-14T23:34:00Z</cp:lastPrinted>
  <dcterms:created xsi:type="dcterms:W3CDTF">2016-05-26T03:49:00Z</dcterms:created>
  <dcterms:modified xsi:type="dcterms:W3CDTF">2016-05-26T03:49:00Z</dcterms:modified>
</cp:coreProperties>
</file>