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B1221" w14:textId="77777777" w:rsidR="00BA5BAD" w:rsidRDefault="00BA5BAD" w:rsidP="00FB4092">
      <w:pPr>
        <w:pStyle w:val="CoverReportSubTitle"/>
      </w:pPr>
    </w:p>
    <w:p w14:paraId="5573621D" w14:textId="77777777" w:rsidR="00BA5BAD" w:rsidRDefault="00BA5BAD" w:rsidP="00FB4092">
      <w:pPr>
        <w:pStyle w:val="CoverReportSubTitle"/>
      </w:pPr>
    </w:p>
    <w:p w14:paraId="4687E27A" w14:textId="77777777" w:rsidR="00BA5BAD" w:rsidRDefault="00BA5BAD" w:rsidP="00FB4092">
      <w:pPr>
        <w:pStyle w:val="CoverReportSubTitle"/>
      </w:pPr>
    </w:p>
    <w:p w14:paraId="66084A65" w14:textId="77777777" w:rsidR="00BA5BAD" w:rsidRDefault="00BA5BAD" w:rsidP="00FB4092">
      <w:pPr>
        <w:pStyle w:val="CoverReportSubTitle"/>
      </w:pPr>
    </w:p>
    <w:p w14:paraId="671AE9FE" w14:textId="77777777" w:rsidR="00BA5BAD" w:rsidRDefault="00BA5BAD" w:rsidP="00FB4092">
      <w:pPr>
        <w:pStyle w:val="CoverReportSubTitle"/>
      </w:pPr>
    </w:p>
    <w:p w14:paraId="0E8FA54B" w14:textId="77777777" w:rsidR="00BA5BAD" w:rsidRDefault="00BA5BAD" w:rsidP="00FB4092">
      <w:pPr>
        <w:pStyle w:val="CoverReportSubTitle"/>
      </w:pPr>
    </w:p>
    <w:p w14:paraId="37C4F6ED" w14:textId="77777777" w:rsidR="00BA5BAD" w:rsidRDefault="00BA5BAD" w:rsidP="00FB4092">
      <w:pPr>
        <w:pStyle w:val="CoverReportSubTitle"/>
      </w:pPr>
    </w:p>
    <w:p w14:paraId="1A41C348" w14:textId="552C541B" w:rsidR="00BA5BAD" w:rsidRDefault="00BA5BAD" w:rsidP="00FB4092">
      <w:pPr>
        <w:pStyle w:val="CoverReportSubTitle"/>
      </w:pPr>
    </w:p>
    <w:p w14:paraId="67ED6B2F" w14:textId="20A38346" w:rsidR="00BA5BAD" w:rsidRDefault="00556D30" w:rsidP="00FB4092">
      <w:pPr>
        <w:pStyle w:val="CoverReportSubTitle"/>
      </w:pPr>
      <w:r>
        <w:rPr>
          <w:noProof/>
          <w:lang w:eastAsia="en-AU" w:bidi="ne-NP"/>
        </w:rPr>
        <w:drawing>
          <wp:anchor distT="0" distB="0" distL="114300" distR="114300" simplePos="0" relativeHeight="251661312" behindDoc="1" locked="0" layoutInCell="1" allowOverlap="1" wp14:anchorId="37187E00" wp14:editId="545B74EE">
            <wp:simplePos x="0" y="0"/>
            <wp:positionH relativeFrom="page">
              <wp:posOffset>0</wp:posOffset>
            </wp:positionH>
            <wp:positionV relativeFrom="paragraph">
              <wp:posOffset>400050</wp:posOffset>
            </wp:positionV>
            <wp:extent cx="7757795" cy="1836420"/>
            <wp:effectExtent l="0" t="0" r="0" b="0"/>
            <wp:wrapNone/>
            <wp:docPr id="3" name="Picture 3" title="Panel with header text: FWO-ASIC joint audit campaign 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95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5D599" w14:textId="77777777" w:rsidR="00BA5BAD" w:rsidRDefault="00BA5BAD" w:rsidP="00FB4092">
      <w:pPr>
        <w:pStyle w:val="CoverReportSubTitle"/>
      </w:pPr>
    </w:p>
    <w:p w14:paraId="1E501B29" w14:textId="77777777" w:rsidR="00BA5BAD" w:rsidRDefault="00BA5BAD" w:rsidP="00FB4092">
      <w:pPr>
        <w:pStyle w:val="CoverReportSubTitle"/>
      </w:pPr>
    </w:p>
    <w:p w14:paraId="022EBFCD" w14:textId="344F3D19" w:rsidR="005A5409" w:rsidRPr="005F1021" w:rsidRDefault="00556D30" w:rsidP="00FB4092">
      <w:pPr>
        <w:pStyle w:val="CoverReportSubTitle"/>
      </w:pPr>
      <w:r w:rsidRPr="005F1021">
        <w:rPr>
          <w:noProof/>
          <w:u w:val="single"/>
          <w:lang w:eastAsia="en-AU" w:bidi="ne-NP"/>
        </w:rPr>
        <w:drawing>
          <wp:anchor distT="0" distB="0" distL="114300" distR="114300" simplePos="0" relativeHeight="251660288" behindDoc="1" locked="0" layoutInCell="1" allowOverlap="1" wp14:anchorId="2F1E1A7D" wp14:editId="061BBDF8">
            <wp:simplePos x="0" y="0"/>
            <wp:positionH relativeFrom="page">
              <wp:posOffset>0</wp:posOffset>
            </wp:positionH>
            <wp:positionV relativeFrom="margin">
              <wp:posOffset>-848360</wp:posOffset>
            </wp:positionV>
            <wp:extent cx="7559040" cy="12864465"/>
            <wp:effectExtent l="0" t="0" r="3810" b="0"/>
            <wp:wrapNone/>
            <wp:docPr id="14" name="Picture 14" title="Title page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28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BAD" w:rsidRPr="005F1021">
        <w:t xml:space="preserve">FWO-ASIC </w:t>
      </w:r>
      <w:r w:rsidR="00EA1EE2" w:rsidRPr="005F1021">
        <w:t>j</w:t>
      </w:r>
      <w:r w:rsidR="00CE29D7" w:rsidRPr="005F1021">
        <w:t xml:space="preserve">oint </w:t>
      </w:r>
      <w:r w:rsidR="00BB7B45">
        <w:t xml:space="preserve">audit </w:t>
      </w:r>
      <w:r w:rsidR="00EA1EE2" w:rsidRPr="005F1021">
        <w:t>campaign</w:t>
      </w:r>
      <w:r w:rsidR="00455F2B">
        <w:t xml:space="preserve"> #2</w:t>
      </w:r>
    </w:p>
    <w:p w14:paraId="49D5759A" w14:textId="62B4E78C" w:rsidR="00BA5BAD" w:rsidRDefault="00BA5BAD" w:rsidP="009154F4">
      <w:pPr>
        <w:spacing w:after="5400" w:line="240" w:lineRule="auto"/>
      </w:pPr>
      <w:r w:rsidRPr="005F1021">
        <w:rPr>
          <w:rFonts w:ascii="Helvetica" w:hAnsi="Helvetica" w:cs="Helvetica"/>
          <w:color w:val="FFFFFF" w:themeColor="background1"/>
          <w:sz w:val="40"/>
          <w:szCs w:val="40"/>
        </w:rPr>
        <w:t xml:space="preserve">A report on </w:t>
      </w:r>
      <w:r w:rsidR="00EA1EE2" w:rsidRPr="005F1021">
        <w:rPr>
          <w:rFonts w:ascii="Helvetica" w:hAnsi="Helvetica" w:cs="Helvetica"/>
          <w:color w:val="FFFFFF" w:themeColor="background1"/>
          <w:sz w:val="40"/>
          <w:szCs w:val="40"/>
        </w:rPr>
        <w:t>a</w:t>
      </w:r>
      <w:r w:rsidRPr="005F1021">
        <w:rPr>
          <w:rFonts w:ascii="Helvetica" w:hAnsi="Helvetica" w:cs="Helvetica"/>
          <w:color w:val="FFFFFF" w:themeColor="background1"/>
          <w:sz w:val="40"/>
          <w:szCs w:val="40"/>
        </w:rPr>
        <w:t xml:space="preserve"> </w:t>
      </w:r>
      <w:r w:rsidR="00276B5B" w:rsidRPr="005F1021">
        <w:rPr>
          <w:rFonts w:ascii="Helvetica" w:hAnsi="Helvetica" w:cs="Helvetica"/>
          <w:color w:val="FFFFFF" w:themeColor="background1"/>
          <w:sz w:val="40"/>
          <w:szCs w:val="40"/>
        </w:rPr>
        <w:t xml:space="preserve">joint </w:t>
      </w:r>
      <w:r w:rsidR="00EA1EE2" w:rsidRPr="005F1021">
        <w:rPr>
          <w:rFonts w:ascii="Helvetica" w:hAnsi="Helvetica" w:cs="Helvetica"/>
          <w:color w:val="FFFFFF" w:themeColor="background1"/>
          <w:sz w:val="40"/>
          <w:szCs w:val="40"/>
        </w:rPr>
        <w:t xml:space="preserve">education and </w:t>
      </w:r>
      <w:r w:rsidR="00BB7B45">
        <w:rPr>
          <w:rFonts w:ascii="Helvetica" w:hAnsi="Helvetica" w:cs="Helvetica"/>
          <w:color w:val="FFFFFF" w:themeColor="background1"/>
          <w:sz w:val="40"/>
          <w:szCs w:val="40"/>
        </w:rPr>
        <w:t>compliance</w:t>
      </w:r>
      <w:r w:rsidR="00BB7B45" w:rsidRPr="005F1021">
        <w:rPr>
          <w:rFonts w:ascii="Helvetica" w:hAnsi="Helvetica" w:cs="Helvetica"/>
          <w:color w:val="FFFFFF" w:themeColor="background1"/>
          <w:sz w:val="40"/>
          <w:szCs w:val="40"/>
        </w:rPr>
        <w:t xml:space="preserve"> </w:t>
      </w:r>
      <w:r w:rsidRPr="005F1021">
        <w:rPr>
          <w:rFonts w:ascii="Helvetica" w:hAnsi="Helvetica" w:cs="Helvetica"/>
          <w:color w:val="FFFFFF" w:themeColor="background1"/>
          <w:sz w:val="40"/>
          <w:szCs w:val="40"/>
        </w:rPr>
        <w:t xml:space="preserve">activity </w:t>
      </w:r>
      <w:r w:rsidR="00276B5B" w:rsidRPr="005F1021">
        <w:rPr>
          <w:rFonts w:ascii="Helvetica" w:hAnsi="Helvetica" w:cs="Helvetica"/>
          <w:color w:val="FFFFFF" w:themeColor="background1"/>
          <w:sz w:val="40"/>
          <w:szCs w:val="40"/>
        </w:rPr>
        <w:t>in Melbourne</w:t>
      </w:r>
    </w:p>
    <w:p w14:paraId="56DE6011" w14:textId="77777777" w:rsidR="00FB4092" w:rsidRDefault="00A15C0B" w:rsidP="009154F4">
      <w:pPr>
        <w:spacing w:after="120"/>
      </w:pPr>
      <w:r>
        <w:t>May</w:t>
      </w:r>
      <w:r w:rsidR="000631A7">
        <w:t xml:space="preserve"> </w:t>
      </w:r>
      <w:r w:rsidR="00BA5BAD">
        <w:t>2019</w:t>
      </w:r>
    </w:p>
    <w:p w14:paraId="27BBE28E" w14:textId="66EAC041" w:rsidR="00A95F6D" w:rsidRDefault="005A5409" w:rsidP="005A5409">
      <w:r w:rsidRPr="0045600E">
        <w:t>© Commonwealth of Australia, 201</w:t>
      </w:r>
      <w:r w:rsidR="00BA5BAD">
        <w:t>9</w:t>
      </w:r>
      <w:r w:rsidR="00A95F6D">
        <w:br w:type="page"/>
      </w:r>
    </w:p>
    <w:p w14:paraId="6DEF2A30" w14:textId="747D8012" w:rsidR="00C20EBB" w:rsidRDefault="00784420">
      <w:pPr>
        <w:spacing w:line="240" w:lineRule="auto"/>
        <w:rPr>
          <w:color w:val="0194A6"/>
          <w:sz w:val="44"/>
          <w:szCs w:val="26"/>
        </w:rPr>
      </w:pPr>
      <w:r>
        <w:rPr>
          <w:noProof/>
          <w:color w:val="0194A6"/>
          <w:sz w:val="44"/>
          <w:szCs w:val="26"/>
          <w:lang w:eastAsia="en-AU" w:bidi="ne-NP"/>
        </w:rPr>
        <w:lastRenderedPageBreak/>
        <w:drawing>
          <wp:anchor distT="0" distB="0" distL="114300" distR="114300" simplePos="0" relativeHeight="251662336" behindDoc="1" locked="0" layoutInCell="1" allowOverlap="1" wp14:anchorId="542C68E6" wp14:editId="3D89E11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040" cy="10675620"/>
            <wp:effectExtent l="0" t="0" r="3810" b="0"/>
            <wp:wrapSquare wrapText="bothSides"/>
            <wp:docPr id="2" name="Picture 2" descr="Infographic outlining findings and outcomes of joint audit campaign. $39 362 recovered for 99 employees from 14 businesses" title="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ic-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27405" w14:textId="77777777" w:rsidR="00192673" w:rsidRDefault="00192673" w:rsidP="00A95F6D">
      <w:pPr>
        <w:pStyle w:val="Heading1"/>
      </w:pPr>
      <w:bookmarkStart w:id="0" w:name="_Toc250628"/>
      <w:r w:rsidRPr="00192673">
        <w:lastRenderedPageBreak/>
        <w:t xml:space="preserve">Executive </w:t>
      </w:r>
      <w:r w:rsidR="003C3523">
        <w:t>s</w:t>
      </w:r>
      <w:r w:rsidRPr="00192673">
        <w:t>ummary</w:t>
      </w:r>
      <w:bookmarkEnd w:id="0"/>
    </w:p>
    <w:p w14:paraId="29998B9B" w14:textId="77777777" w:rsidR="00AD698A" w:rsidRPr="000631A7" w:rsidRDefault="00AD698A" w:rsidP="000631A7">
      <w:pPr>
        <w:jc w:val="both"/>
        <w:rPr>
          <w:szCs w:val="22"/>
        </w:rPr>
      </w:pPr>
      <w:r w:rsidRPr="000631A7">
        <w:rPr>
          <w:szCs w:val="22"/>
        </w:rPr>
        <w:t>This report discusses the second proactive compliance and education activity conducted by the Fair Work Ombudsman (FWO) and the Australian Securities and Investments Commission (ASIC).</w:t>
      </w:r>
    </w:p>
    <w:p w14:paraId="028D7E19" w14:textId="77777777" w:rsidR="00AD698A" w:rsidRPr="000631A7" w:rsidRDefault="00AD698A" w:rsidP="000631A7">
      <w:pPr>
        <w:jc w:val="both"/>
        <w:rPr>
          <w:szCs w:val="22"/>
        </w:rPr>
      </w:pPr>
      <w:r w:rsidRPr="000631A7">
        <w:rPr>
          <w:szCs w:val="22"/>
        </w:rPr>
        <w:t>Following an initial joint activity undertaken in Brisbane</w:t>
      </w:r>
      <w:r w:rsidRPr="000631A7">
        <w:rPr>
          <w:rStyle w:val="FootnoteReference"/>
          <w:rFonts w:eastAsiaTheme="minorEastAsia" w:cs="Arial"/>
          <w:szCs w:val="22"/>
        </w:rPr>
        <w:footnoteReference w:id="1"/>
      </w:r>
      <w:r w:rsidRPr="000631A7">
        <w:rPr>
          <w:szCs w:val="22"/>
        </w:rPr>
        <w:t xml:space="preserve">, Fair Work </w:t>
      </w:r>
      <w:r w:rsidR="00670124" w:rsidRPr="000631A7">
        <w:rPr>
          <w:szCs w:val="22"/>
        </w:rPr>
        <w:t>I</w:t>
      </w:r>
      <w:r w:rsidRPr="000631A7">
        <w:rPr>
          <w:szCs w:val="22"/>
        </w:rPr>
        <w:t xml:space="preserve">nspectors and ASIC </w:t>
      </w:r>
      <w:r w:rsidR="001B45EF" w:rsidRPr="000631A7">
        <w:rPr>
          <w:szCs w:val="22"/>
        </w:rPr>
        <w:t>a</w:t>
      </w:r>
      <w:r w:rsidRPr="000631A7">
        <w:rPr>
          <w:szCs w:val="22"/>
        </w:rPr>
        <w:t>nalysts visited 48 businesses operating in and around the Melbourne central business district (CBD).</w:t>
      </w:r>
    </w:p>
    <w:p w14:paraId="6508507B" w14:textId="77777777" w:rsidR="00F636B0" w:rsidRPr="007975A6" w:rsidRDefault="00F636B0" w:rsidP="00F636B0">
      <w:pPr>
        <w:rPr>
          <w:szCs w:val="22"/>
        </w:rPr>
      </w:pPr>
      <w:r>
        <w:rPr>
          <w:szCs w:val="22"/>
          <w:lang w:val="en"/>
        </w:rPr>
        <w:t>The Campaign deliberately focused on f</w:t>
      </w:r>
      <w:r w:rsidRPr="007975A6">
        <w:rPr>
          <w:szCs w:val="22"/>
          <w:lang w:val="en"/>
        </w:rPr>
        <w:t xml:space="preserve">irst-time company directors with a view to providing early information and resources </w:t>
      </w:r>
      <w:r>
        <w:rPr>
          <w:szCs w:val="22"/>
          <w:lang w:val="en"/>
        </w:rPr>
        <w:t xml:space="preserve">so they can </w:t>
      </w:r>
      <w:r w:rsidRPr="007975A6">
        <w:rPr>
          <w:szCs w:val="22"/>
          <w:lang w:val="en"/>
        </w:rPr>
        <w:t xml:space="preserve">understand and meet their obligations. </w:t>
      </w:r>
      <w:r>
        <w:rPr>
          <w:szCs w:val="22"/>
          <w:lang w:val="en"/>
        </w:rPr>
        <w:t>Importantly, n</w:t>
      </w:r>
      <w:r w:rsidRPr="007975A6">
        <w:rPr>
          <w:szCs w:val="22"/>
          <w:lang w:val="en"/>
        </w:rPr>
        <w:t xml:space="preserve">one of </w:t>
      </w:r>
      <w:r>
        <w:rPr>
          <w:szCs w:val="22"/>
          <w:lang w:val="en"/>
        </w:rPr>
        <w:t xml:space="preserve">the </w:t>
      </w:r>
      <w:r w:rsidRPr="007975A6">
        <w:rPr>
          <w:szCs w:val="22"/>
          <w:lang w:val="en"/>
        </w:rPr>
        <w:t>businesses had been audited by the FWO previously.</w:t>
      </w:r>
    </w:p>
    <w:p w14:paraId="58AFE86F" w14:textId="77777777" w:rsidR="00DA722D" w:rsidRDefault="003A5351" w:rsidP="000631A7">
      <w:pPr>
        <w:jc w:val="both"/>
      </w:pPr>
      <w:r w:rsidRPr="00511E43">
        <w:t>The FWO found that</w:t>
      </w:r>
      <w:r w:rsidR="0027094C">
        <w:t xml:space="preserve"> 26 (54%) of these businesses were compliant with all aspects of their workplace relations obligations. </w:t>
      </w:r>
    </w:p>
    <w:p w14:paraId="6F74D95B" w14:textId="77777777" w:rsidR="0027094C" w:rsidRDefault="0027094C" w:rsidP="00AA0834">
      <w:r>
        <w:t xml:space="preserve">To ensure non-compliant businesses took action to comply, </w:t>
      </w:r>
      <w:r w:rsidRPr="00511E43">
        <w:t>Fair Work Inspectors</w:t>
      </w:r>
      <w:r>
        <w:t xml:space="preserve"> issued</w:t>
      </w:r>
      <w:r w:rsidR="00842634">
        <w:t>:</w:t>
      </w:r>
    </w:p>
    <w:p w14:paraId="70C37051" w14:textId="77777777" w:rsidR="003A5351" w:rsidRDefault="003A5351" w:rsidP="005F1021">
      <w:pPr>
        <w:pStyle w:val="Bullet"/>
      </w:pPr>
      <w:r>
        <w:t>eight Infringement Notices</w:t>
      </w:r>
    </w:p>
    <w:p w14:paraId="14B8C1CC" w14:textId="77777777" w:rsidR="003A5351" w:rsidRDefault="003A5351" w:rsidP="005F1021">
      <w:pPr>
        <w:pStyle w:val="Bullet"/>
      </w:pPr>
      <w:r>
        <w:t>two Formal Cautions</w:t>
      </w:r>
    </w:p>
    <w:p w14:paraId="0EEF7805" w14:textId="77777777" w:rsidR="003A5351" w:rsidRDefault="003A5351" w:rsidP="005F1021">
      <w:pPr>
        <w:pStyle w:val="Bullet"/>
      </w:pPr>
      <w:proofErr w:type="gramStart"/>
      <w:r>
        <w:t>a</w:t>
      </w:r>
      <w:proofErr w:type="gramEnd"/>
      <w:r>
        <w:t xml:space="preserve"> Compliance Notice</w:t>
      </w:r>
      <w:r w:rsidR="00A0760E">
        <w:t>.</w:t>
      </w:r>
    </w:p>
    <w:p w14:paraId="13DC012E" w14:textId="77777777" w:rsidR="003A5351" w:rsidRDefault="00F22B96" w:rsidP="0027094C">
      <w:r>
        <w:t>T</w:t>
      </w:r>
      <w:r w:rsidR="003A5351">
        <w:t>he FWO recovered $39 362 from 14 businesses for 99 employees.</w:t>
      </w:r>
    </w:p>
    <w:p w14:paraId="7A25FF60" w14:textId="77777777" w:rsidR="00A87E8B" w:rsidRDefault="00A216F9" w:rsidP="00A216F9">
      <w:r>
        <w:t xml:space="preserve">This report </w:t>
      </w:r>
      <w:r w:rsidR="00566452">
        <w:t xml:space="preserve">outlines </w:t>
      </w:r>
      <w:r>
        <w:t>the background</w:t>
      </w:r>
      <w:r w:rsidR="00205C83">
        <w:t xml:space="preserve">, objectives and methodology of the second FWO-ASIC joint </w:t>
      </w:r>
      <w:r w:rsidR="00EA1EE2">
        <w:t xml:space="preserve">education and </w:t>
      </w:r>
      <w:r w:rsidR="00205C83">
        <w:t>audit c</w:t>
      </w:r>
      <w:r>
        <w:t>ampaign</w:t>
      </w:r>
      <w:r w:rsidR="00566452">
        <w:t xml:space="preserve">. </w:t>
      </w:r>
      <w:r w:rsidR="00F22B96">
        <w:t xml:space="preserve">It discusses </w:t>
      </w:r>
      <w:r w:rsidR="00D758C4">
        <w:t xml:space="preserve">the </w:t>
      </w:r>
      <w:r w:rsidR="00F22B96">
        <w:t xml:space="preserve">FWO’s findings </w:t>
      </w:r>
      <w:r w:rsidR="00A0760E">
        <w:t xml:space="preserve">and </w:t>
      </w:r>
      <w:r w:rsidR="00F22B96">
        <w:t xml:space="preserve">actions </w:t>
      </w:r>
      <w:r w:rsidR="00A0760E">
        <w:t xml:space="preserve">taken </w:t>
      </w:r>
      <w:r w:rsidR="00F22B96">
        <w:t xml:space="preserve">to </w:t>
      </w:r>
      <w:r w:rsidR="00D347C6">
        <w:t>rectify and deter non-compliance with workplace relations laws.</w:t>
      </w:r>
      <w:r w:rsidR="00205C83">
        <w:t xml:space="preserve"> </w:t>
      </w:r>
    </w:p>
    <w:p w14:paraId="1EC2F286" w14:textId="77777777" w:rsidR="00A87E8B" w:rsidRDefault="00A87E8B">
      <w:pPr>
        <w:spacing w:line="240" w:lineRule="auto"/>
      </w:pPr>
    </w:p>
    <w:p w14:paraId="37DEC0D8" w14:textId="77777777" w:rsidR="00265DD4" w:rsidRDefault="0027094C" w:rsidP="00A95F6D">
      <w:pPr>
        <w:pStyle w:val="Heading1"/>
      </w:pPr>
      <w:bookmarkStart w:id="1" w:name="_Toc250629"/>
      <w:r>
        <w:t>B</w:t>
      </w:r>
      <w:r w:rsidR="003755F4">
        <w:t>ackground</w:t>
      </w:r>
      <w:bookmarkEnd w:id="1"/>
    </w:p>
    <w:p w14:paraId="7798E0DA" w14:textId="77777777" w:rsidR="00A0760E" w:rsidRDefault="00EA1EE2" w:rsidP="000631A7">
      <w:pPr>
        <w:jc w:val="both"/>
      </w:pPr>
      <w:r>
        <w:rPr>
          <w:szCs w:val="22"/>
        </w:rPr>
        <w:t>T</w:t>
      </w:r>
      <w:r w:rsidR="00842634">
        <w:rPr>
          <w:szCs w:val="22"/>
        </w:rPr>
        <w:t xml:space="preserve">he FWO and ASIC commenced a </w:t>
      </w:r>
      <w:r>
        <w:rPr>
          <w:szCs w:val="22"/>
        </w:rPr>
        <w:t xml:space="preserve">joint education and audit campaign </w:t>
      </w:r>
      <w:r w:rsidR="00842634">
        <w:rPr>
          <w:szCs w:val="22"/>
        </w:rPr>
        <w:t>in Melbourne</w:t>
      </w:r>
      <w:r w:rsidR="00AB3EBC">
        <w:rPr>
          <w:szCs w:val="22"/>
        </w:rPr>
        <w:t xml:space="preserve"> in 2017</w:t>
      </w:r>
      <w:r w:rsidR="008A6EAB" w:rsidRPr="00A87E8B">
        <w:rPr>
          <w:szCs w:val="22"/>
        </w:rPr>
        <w:t>.</w:t>
      </w:r>
      <w:r w:rsidR="00842634">
        <w:t xml:space="preserve"> </w:t>
      </w:r>
      <w:r w:rsidR="00E347FD">
        <w:t>The focus</w:t>
      </w:r>
      <w:r w:rsidR="00A50AFD">
        <w:t xml:space="preserve"> </w:t>
      </w:r>
      <w:r w:rsidR="00BB703C">
        <w:t xml:space="preserve">of the campaign </w:t>
      </w:r>
      <w:r w:rsidR="00E347FD">
        <w:t xml:space="preserve">was </w:t>
      </w:r>
      <w:r w:rsidR="00E347FD" w:rsidRPr="00502451">
        <w:t>small to medium-sized</w:t>
      </w:r>
      <w:r w:rsidR="00E347FD">
        <w:t xml:space="preserve"> companies that:</w:t>
      </w:r>
    </w:p>
    <w:p w14:paraId="3EF708DA" w14:textId="77777777" w:rsidR="00E347FD" w:rsidRDefault="00E347FD" w:rsidP="000631A7">
      <w:pPr>
        <w:pStyle w:val="Bullet"/>
        <w:jc w:val="both"/>
      </w:pPr>
      <w:r>
        <w:t>had not previously been audited by FWO</w:t>
      </w:r>
    </w:p>
    <w:p w14:paraId="261B5E33" w14:textId="77777777" w:rsidR="00E347FD" w:rsidRDefault="00E347FD" w:rsidP="000631A7">
      <w:pPr>
        <w:pStyle w:val="Bullet"/>
        <w:jc w:val="both"/>
      </w:pPr>
      <w:r>
        <w:t>were operated by first-time directors</w:t>
      </w:r>
    </w:p>
    <w:p w14:paraId="02F99D8D" w14:textId="77777777" w:rsidR="00E347FD" w:rsidRDefault="00E347FD" w:rsidP="000631A7">
      <w:pPr>
        <w:pStyle w:val="Bullet"/>
        <w:jc w:val="both"/>
      </w:pPr>
      <w:proofErr w:type="gramStart"/>
      <w:r>
        <w:t>were</w:t>
      </w:r>
      <w:proofErr w:type="gramEnd"/>
      <w:r>
        <w:t xml:space="preserve"> located in the Melbourne </w:t>
      </w:r>
      <w:r w:rsidRPr="00502451">
        <w:t>CBD and</w:t>
      </w:r>
      <w:r>
        <w:t xml:space="preserve"> inner</w:t>
      </w:r>
      <w:r w:rsidRPr="00502451">
        <w:t xml:space="preserve"> </w:t>
      </w:r>
      <w:r>
        <w:t>suburbs</w:t>
      </w:r>
      <w:r w:rsidR="0047334E">
        <w:t xml:space="preserve">, </w:t>
      </w:r>
      <w:r w:rsidR="0047334E" w:rsidRPr="00AB3EBC">
        <w:t>including Avondale Heights, Balwyn, Carlton, Keilor, Mentone, North Melbourne, Oakleigh, Port Melbourne and Surrey Hills</w:t>
      </w:r>
      <w:r w:rsidR="00A87E8B">
        <w:t>.</w:t>
      </w:r>
    </w:p>
    <w:p w14:paraId="3D1DE797" w14:textId="0D1A16AA" w:rsidR="00E347FD" w:rsidRDefault="00E347FD" w:rsidP="000631A7">
      <w:pPr>
        <w:pStyle w:val="Heading2"/>
        <w:jc w:val="both"/>
      </w:pPr>
      <w:bookmarkStart w:id="2" w:name="_Toc250630"/>
      <w:r>
        <w:lastRenderedPageBreak/>
        <w:t>Objectives</w:t>
      </w:r>
      <w:bookmarkEnd w:id="2"/>
    </w:p>
    <w:p w14:paraId="3F4A5CA2" w14:textId="77777777" w:rsidR="00D757DB" w:rsidRDefault="00A87E8B" w:rsidP="000631A7">
      <w:pPr>
        <w:jc w:val="both"/>
      </w:pPr>
      <w:r>
        <w:t xml:space="preserve">Both agencies </w:t>
      </w:r>
      <w:r w:rsidR="00D757DB">
        <w:t xml:space="preserve">sought to increase awareness of their </w:t>
      </w:r>
      <w:r>
        <w:t xml:space="preserve">respective </w:t>
      </w:r>
      <w:r w:rsidR="00D757DB">
        <w:t>role</w:t>
      </w:r>
      <w:r w:rsidR="00A50AFD">
        <w:t>s</w:t>
      </w:r>
      <w:r>
        <w:t xml:space="preserve"> and </w:t>
      </w:r>
      <w:r w:rsidR="00DA722D">
        <w:t xml:space="preserve">to </w:t>
      </w:r>
      <w:r w:rsidR="00D757DB">
        <w:t xml:space="preserve">educate businesses </w:t>
      </w:r>
      <w:r w:rsidR="00D757DB" w:rsidRPr="00502451">
        <w:t xml:space="preserve">about tools and resources </w:t>
      </w:r>
      <w:r w:rsidR="005F6D36">
        <w:t>to make</w:t>
      </w:r>
      <w:r w:rsidR="00D757DB">
        <w:t xml:space="preserve"> compliance easier.</w:t>
      </w:r>
    </w:p>
    <w:p w14:paraId="22D075FD" w14:textId="77777777" w:rsidR="00D757DB" w:rsidRDefault="00D757DB" w:rsidP="000631A7">
      <w:pPr>
        <w:jc w:val="both"/>
        <w:rPr>
          <w:i/>
        </w:rPr>
      </w:pPr>
      <w:r>
        <w:t>ASIC</w:t>
      </w:r>
      <w:r w:rsidR="00484E29">
        <w:t>’s</w:t>
      </w:r>
      <w:r>
        <w:t xml:space="preserve"> </w:t>
      </w:r>
      <w:r w:rsidR="006D0BE6">
        <w:t>specif</w:t>
      </w:r>
      <w:r w:rsidR="00A87E8B">
        <w:t>i</w:t>
      </w:r>
      <w:r w:rsidR="00EA1EE2">
        <w:t>c objective</w:t>
      </w:r>
      <w:r w:rsidR="006D0BE6">
        <w:t xml:space="preserve"> </w:t>
      </w:r>
      <w:r w:rsidR="00EA1EE2">
        <w:t xml:space="preserve">was </w:t>
      </w:r>
      <w:r w:rsidR="006D0BE6">
        <w:t>to</w:t>
      </w:r>
      <w:r w:rsidR="00484E29">
        <w:t xml:space="preserve"> educate </w:t>
      </w:r>
      <w:r w:rsidR="00E952E9">
        <w:t xml:space="preserve">first-time </w:t>
      </w:r>
      <w:r w:rsidR="00484E29">
        <w:t xml:space="preserve">directors about their obligations as </w:t>
      </w:r>
      <w:r w:rsidR="00484E29" w:rsidRPr="00502451">
        <w:t>company office holders</w:t>
      </w:r>
      <w:r w:rsidR="00E952E9">
        <w:t xml:space="preserve"> under the </w:t>
      </w:r>
      <w:r w:rsidR="00E952E9" w:rsidRPr="00E952E9">
        <w:rPr>
          <w:i/>
        </w:rPr>
        <w:t>Corporations Act 2001</w:t>
      </w:r>
      <w:r w:rsidR="00A87E8B" w:rsidRPr="00E952E9">
        <w:rPr>
          <w:i/>
        </w:rPr>
        <w:t>.</w:t>
      </w:r>
    </w:p>
    <w:p w14:paraId="324B3B29" w14:textId="77777777" w:rsidR="00D757DB" w:rsidRDefault="00D757DB" w:rsidP="000631A7">
      <w:pPr>
        <w:pStyle w:val="ListParagraph"/>
        <w:ind w:left="0"/>
        <w:jc w:val="both"/>
      </w:pPr>
      <w:r>
        <w:t>The FWO sought to</w:t>
      </w:r>
      <w:r w:rsidR="00067547">
        <w:t>:</w:t>
      </w:r>
    </w:p>
    <w:p w14:paraId="0B295BFB" w14:textId="77777777" w:rsidR="00D757DB" w:rsidRDefault="00D757DB" w:rsidP="000631A7">
      <w:pPr>
        <w:pStyle w:val="Bullet"/>
        <w:jc w:val="both"/>
      </w:pPr>
      <w:r>
        <w:t xml:space="preserve">assess compliance with the </w:t>
      </w:r>
      <w:r w:rsidRPr="0099676F">
        <w:rPr>
          <w:i/>
        </w:rPr>
        <w:t>Fair Work Act 2009</w:t>
      </w:r>
      <w:r>
        <w:t xml:space="preserve"> (the Act), </w:t>
      </w:r>
      <w:r w:rsidRPr="0099676F">
        <w:rPr>
          <w:i/>
        </w:rPr>
        <w:t>Fair Work Regulations 2009</w:t>
      </w:r>
      <w:r>
        <w:t xml:space="preserve"> (the Regulations) and with applicable award</w:t>
      </w:r>
      <w:r w:rsidR="006D0BE6">
        <w:t>s</w:t>
      </w:r>
      <w:r>
        <w:t xml:space="preserve"> or agreement</w:t>
      </w:r>
      <w:r w:rsidR="006D0BE6">
        <w:t>s</w:t>
      </w:r>
    </w:p>
    <w:p w14:paraId="4CBA559E" w14:textId="77777777" w:rsidR="00D757DB" w:rsidRPr="00502451" w:rsidRDefault="00D757DB" w:rsidP="000631A7">
      <w:pPr>
        <w:pStyle w:val="Bullet"/>
        <w:jc w:val="both"/>
      </w:pPr>
      <w:proofErr w:type="gramStart"/>
      <w:r>
        <w:t>take</w:t>
      </w:r>
      <w:proofErr w:type="gramEnd"/>
      <w:r>
        <w:t xml:space="preserve"> </w:t>
      </w:r>
      <w:r w:rsidRPr="00502451">
        <w:t xml:space="preserve">appropriate enforcement and compliance </w:t>
      </w:r>
      <w:r>
        <w:t>action to address and deter</w:t>
      </w:r>
      <w:r w:rsidR="000B6BFD">
        <w:t xml:space="preserve"> non-compliance.</w:t>
      </w:r>
    </w:p>
    <w:p w14:paraId="23737966" w14:textId="01E54653" w:rsidR="00E347FD" w:rsidRDefault="00E347FD" w:rsidP="00A95F6D">
      <w:pPr>
        <w:pStyle w:val="Heading2"/>
      </w:pPr>
      <w:bookmarkStart w:id="3" w:name="_Toc250631"/>
      <w:r>
        <w:t>Methodology</w:t>
      </w:r>
      <w:bookmarkEnd w:id="3"/>
      <w:r>
        <w:t xml:space="preserve"> </w:t>
      </w:r>
    </w:p>
    <w:p w14:paraId="5E8D5BF3" w14:textId="18B1007F" w:rsidR="00B33E57" w:rsidRPr="00794140" w:rsidRDefault="00B33E57" w:rsidP="00B33E57">
      <w:r w:rsidRPr="00794140">
        <w:t xml:space="preserve">The activity included businesses operating in the following </w:t>
      </w:r>
      <w:r w:rsidR="00BB2190" w:rsidRPr="00794140">
        <w:t>sectors</w:t>
      </w:r>
      <w:r w:rsidRPr="00794140">
        <w:t>:</w:t>
      </w:r>
    </w:p>
    <w:p w14:paraId="556DA492" w14:textId="62461970" w:rsidR="00B33E57" w:rsidRPr="00794140" w:rsidRDefault="00BB2190" w:rsidP="00B33E57">
      <w:pPr>
        <w:pStyle w:val="Bullet"/>
        <w:jc w:val="both"/>
      </w:pPr>
      <w:r w:rsidRPr="00794140">
        <w:t>Accommodation</w:t>
      </w:r>
      <w:r w:rsidR="00B33E57" w:rsidRPr="00794140">
        <w:t xml:space="preserve"> and Food Services </w:t>
      </w:r>
    </w:p>
    <w:p w14:paraId="240768FB" w14:textId="52F837FD" w:rsidR="00F16024" w:rsidRPr="00794140" w:rsidRDefault="00F16024" w:rsidP="00B33E57">
      <w:pPr>
        <w:pStyle w:val="Bullet"/>
        <w:jc w:val="both"/>
      </w:pPr>
      <w:r w:rsidRPr="00794140">
        <w:t xml:space="preserve">Construction </w:t>
      </w:r>
    </w:p>
    <w:p w14:paraId="5479E025" w14:textId="51D3D07E" w:rsidR="00F16024" w:rsidRPr="00794140" w:rsidRDefault="00F16024" w:rsidP="00F16024">
      <w:pPr>
        <w:pStyle w:val="Bullet"/>
        <w:jc w:val="both"/>
      </w:pPr>
      <w:r w:rsidRPr="00794140">
        <w:t>Rental, Hiring and Real Estate Services</w:t>
      </w:r>
    </w:p>
    <w:p w14:paraId="50BE4F97" w14:textId="0A8C01CF" w:rsidR="00F16024" w:rsidRPr="00794140" w:rsidRDefault="00F16024" w:rsidP="00F16024">
      <w:pPr>
        <w:pStyle w:val="Bullet"/>
        <w:jc w:val="both"/>
      </w:pPr>
      <w:r w:rsidRPr="00794140">
        <w:t>Administrative and Support Services</w:t>
      </w:r>
      <w:r w:rsidR="00BB2190" w:rsidRPr="00794140">
        <w:t>.</w:t>
      </w:r>
    </w:p>
    <w:p w14:paraId="4CEA8B59" w14:textId="037492AA" w:rsidR="00315CF4" w:rsidRPr="00794140" w:rsidRDefault="00842634" w:rsidP="00315CF4">
      <w:r w:rsidRPr="007975A6">
        <w:t xml:space="preserve">Fair Work Inspectors </w:t>
      </w:r>
      <w:r w:rsidR="007975A6">
        <w:t xml:space="preserve">obtained </w:t>
      </w:r>
      <w:r w:rsidR="006D0BE6" w:rsidRPr="007975A6">
        <w:t xml:space="preserve">employee time and wages records </w:t>
      </w:r>
      <w:r w:rsidR="000631A7" w:rsidRPr="007975A6">
        <w:t xml:space="preserve">from businesses </w:t>
      </w:r>
      <w:r w:rsidR="006D0BE6" w:rsidRPr="007975A6">
        <w:t xml:space="preserve">and </w:t>
      </w:r>
      <w:r w:rsidR="003C5495" w:rsidRPr="007975A6">
        <w:t xml:space="preserve">assessed compliance against </w:t>
      </w:r>
      <w:r w:rsidR="00EA1EE2" w:rsidRPr="007975A6">
        <w:t xml:space="preserve">relevant </w:t>
      </w:r>
      <w:r w:rsidR="003C5495" w:rsidRPr="007975A6">
        <w:t>awards</w:t>
      </w:r>
      <w:r w:rsidR="00315CF4" w:rsidRPr="00794140">
        <w:t>, includ</w:t>
      </w:r>
      <w:r w:rsidR="00B33E57" w:rsidRPr="00794140">
        <w:t>ing</w:t>
      </w:r>
      <w:r w:rsidR="00315CF4" w:rsidRPr="00794140">
        <w:t>:</w:t>
      </w:r>
    </w:p>
    <w:p w14:paraId="4446C31A" w14:textId="164AC169" w:rsidR="00020F38" w:rsidRPr="00794140" w:rsidRDefault="00020F38" w:rsidP="00315CF4">
      <w:pPr>
        <w:pStyle w:val="Bullet"/>
        <w:numPr>
          <w:ilvl w:val="0"/>
          <w:numId w:val="6"/>
        </w:numPr>
        <w:ind w:left="357" w:hanging="357"/>
      </w:pPr>
      <w:r w:rsidRPr="00794140">
        <w:t>Hospitality Industry (General) Award 2010</w:t>
      </w:r>
    </w:p>
    <w:p w14:paraId="69B78BF1" w14:textId="77777777" w:rsidR="00020F38" w:rsidRPr="00794140" w:rsidRDefault="00020F38" w:rsidP="00020F38">
      <w:pPr>
        <w:pStyle w:val="Bullet"/>
        <w:numPr>
          <w:ilvl w:val="0"/>
          <w:numId w:val="6"/>
        </w:numPr>
        <w:ind w:left="357" w:hanging="357"/>
      </w:pPr>
      <w:r w:rsidRPr="00794140">
        <w:t>Restaurant Industry Award 2010</w:t>
      </w:r>
    </w:p>
    <w:p w14:paraId="4180920A" w14:textId="77777777" w:rsidR="00020F38" w:rsidRPr="00794140" w:rsidRDefault="00020F38" w:rsidP="00020F38">
      <w:pPr>
        <w:pStyle w:val="Bullet"/>
        <w:numPr>
          <w:ilvl w:val="0"/>
          <w:numId w:val="6"/>
        </w:numPr>
        <w:ind w:left="357" w:hanging="357"/>
      </w:pPr>
      <w:r w:rsidRPr="00794140">
        <w:t>Fast Food Industry Award 2010</w:t>
      </w:r>
    </w:p>
    <w:p w14:paraId="5733F70B" w14:textId="5D561AB9" w:rsidR="00020F38" w:rsidRPr="00794140" w:rsidRDefault="00020F38" w:rsidP="00020F38">
      <w:pPr>
        <w:pStyle w:val="Bullet"/>
        <w:numPr>
          <w:ilvl w:val="0"/>
          <w:numId w:val="6"/>
        </w:numPr>
        <w:ind w:left="357" w:hanging="357"/>
      </w:pPr>
      <w:r w:rsidRPr="00794140">
        <w:t>Building and Construction General On-Site Award 2010</w:t>
      </w:r>
    </w:p>
    <w:p w14:paraId="5B2008FF" w14:textId="484EF81F" w:rsidR="00020F38" w:rsidRPr="00794140" w:rsidRDefault="00315CF4" w:rsidP="00315CF4">
      <w:pPr>
        <w:pStyle w:val="Bullet"/>
        <w:numPr>
          <w:ilvl w:val="0"/>
          <w:numId w:val="6"/>
        </w:numPr>
        <w:ind w:left="357" w:hanging="357"/>
      </w:pPr>
      <w:r w:rsidRPr="00794140">
        <w:t>Clerks - Private Sector Award 2010</w:t>
      </w:r>
      <w:r w:rsidR="00BB2190" w:rsidRPr="00794140">
        <w:t>.</w:t>
      </w:r>
      <w:r w:rsidRPr="00794140">
        <w:t xml:space="preserve"> </w:t>
      </w:r>
    </w:p>
    <w:p w14:paraId="7AE626BA" w14:textId="77777777" w:rsidR="00FF2321" w:rsidRDefault="00E952E9" w:rsidP="007975A6">
      <w:r>
        <w:t xml:space="preserve">ASIC </w:t>
      </w:r>
      <w:r w:rsidR="00B00A04">
        <w:t>a</w:t>
      </w:r>
      <w:r>
        <w:t xml:space="preserve">nalysts spoke with </w:t>
      </w:r>
      <w:r w:rsidR="00FF2321">
        <w:t xml:space="preserve">the first-time </w:t>
      </w:r>
      <w:r>
        <w:t xml:space="preserve">company directors about their </w:t>
      </w:r>
      <w:r w:rsidR="00FF2321" w:rsidRPr="00FF2321">
        <w:t xml:space="preserve">duties and responsibilities in accordance with the </w:t>
      </w:r>
      <w:r w:rsidR="00FF2321" w:rsidRPr="009657FB">
        <w:rPr>
          <w:i/>
        </w:rPr>
        <w:t>Corporations Act 2001</w:t>
      </w:r>
      <w:r w:rsidR="0034455C">
        <w:rPr>
          <w:i/>
        </w:rPr>
        <w:t>.</w:t>
      </w:r>
      <w:r w:rsidR="008E6324">
        <w:t xml:space="preserve"> </w:t>
      </w:r>
      <w:r w:rsidR="00FF2321">
        <w:t>They gave a p</w:t>
      </w:r>
      <w:r w:rsidR="00FF2321" w:rsidRPr="00FF2321">
        <w:t xml:space="preserve">resentation at various sites and </w:t>
      </w:r>
      <w:r w:rsidR="00FF2321">
        <w:t xml:space="preserve">handed out </w:t>
      </w:r>
      <w:r w:rsidR="00FF2321" w:rsidRPr="00FF2321">
        <w:t xml:space="preserve">information </w:t>
      </w:r>
      <w:r w:rsidR="00FF2321">
        <w:t>including</w:t>
      </w:r>
      <w:r w:rsidR="00FF2321" w:rsidRPr="00FF2321">
        <w:t xml:space="preserve"> </w:t>
      </w:r>
      <w:r w:rsidR="00FF2321" w:rsidRPr="009657FB">
        <w:t xml:space="preserve">the </w:t>
      </w:r>
      <w:r w:rsidR="009657FB">
        <w:t>‘</w:t>
      </w:r>
      <w:proofErr w:type="gramStart"/>
      <w:r w:rsidR="00FF2321" w:rsidRPr="009657FB">
        <w:t>Your</w:t>
      </w:r>
      <w:proofErr w:type="gramEnd"/>
      <w:r w:rsidR="00FF2321" w:rsidRPr="009657FB">
        <w:t xml:space="preserve"> Company and the Law</w:t>
      </w:r>
      <w:r w:rsidR="009657FB">
        <w:t>’</w:t>
      </w:r>
      <w:r w:rsidR="00FF2321" w:rsidRPr="009657FB">
        <w:t xml:space="preserve"> booklet and information sheet. Directors were also shown the ASIC website, Small Business Hub, </w:t>
      </w:r>
      <w:proofErr w:type="spellStart"/>
      <w:r w:rsidR="00FF2321" w:rsidRPr="009657FB">
        <w:t>Moneysmart</w:t>
      </w:r>
      <w:proofErr w:type="spellEnd"/>
      <w:r w:rsidR="00FF2321" w:rsidRPr="009657FB">
        <w:t xml:space="preserve"> website, First Business App and how to subscribe to InFocus e-Newsletter.</w:t>
      </w:r>
    </w:p>
    <w:p w14:paraId="6A68AB39" w14:textId="77777777" w:rsidR="007A72EF" w:rsidRDefault="00DA722D" w:rsidP="007975A6">
      <w:r>
        <w:lastRenderedPageBreak/>
        <w:t>The FWO issued a media release about the activity</w:t>
      </w:r>
      <w:r w:rsidR="009657FB">
        <w:t>,</w:t>
      </w:r>
      <w:r>
        <w:t xml:space="preserve"> </w:t>
      </w:r>
      <w:r w:rsidR="00F259D6">
        <w:t xml:space="preserve">which was reported by </w:t>
      </w:r>
      <w:r>
        <w:t>a number of online publications</w:t>
      </w:r>
      <w:r w:rsidR="003D184D">
        <w:t xml:space="preserve"> including</w:t>
      </w:r>
      <w:r>
        <w:t xml:space="preserve"> </w:t>
      </w:r>
      <w:proofErr w:type="spellStart"/>
      <w:r>
        <w:t>SmartCompany</w:t>
      </w:r>
      <w:proofErr w:type="spellEnd"/>
      <w:r>
        <w:t xml:space="preserve">, Inside Small Business, Public Accountant, Accountants Daily, and The </w:t>
      </w:r>
      <w:proofErr w:type="spellStart"/>
      <w:r>
        <w:t>Ragtrader</w:t>
      </w:r>
      <w:proofErr w:type="spellEnd"/>
      <w:r>
        <w:t>.</w:t>
      </w:r>
      <w:r>
        <w:rPr>
          <w:rStyle w:val="FootnoteReference"/>
        </w:rPr>
        <w:footnoteReference w:id="2"/>
      </w:r>
      <w:r w:rsidR="007A72EF">
        <w:t xml:space="preserve"> </w:t>
      </w:r>
    </w:p>
    <w:p w14:paraId="4C7D9B13" w14:textId="77777777" w:rsidR="00265DD4" w:rsidRPr="00733780" w:rsidRDefault="00265DD4" w:rsidP="00A95F6D">
      <w:pPr>
        <w:pStyle w:val="Heading1"/>
      </w:pPr>
      <w:bookmarkStart w:id="4" w:name="_Toc250632"/>
      <w:r>
        <w:t>Results</w:t>
      </w:r>
      <w:bookmarkEnd w:id="4"/>
    </w:p>
    <w:p w14:paraId="09B2FAED" w14:textId="77777777" w:rsidR="006141B8" w:rsidRDefault="006141B8" w:rsidP="000631A7">
      <w:pPr>
        <w:jc w:val="both"/>
      </w:pPr>
      <w:r>
        <w:t>Of the 48 business</w:t>
      </w:r>
      <w:r w:rsidR="00DB1285">
        <w:t>es</w:t>
      </w:r>
      <w:r>
        <w:t xml:space="preserve"> audited</w:t>
      </w:r>
      <w:r w:rsidR="00EA1EE2">
        <w:t xml:space="preserve"> by the FWO</w:t>
      </w:r>
      <w:r>
        <w:t>:</w:t>
      </w:r>
    </w:p>
    <w:p w14:paraId="32511377" w14:textId="77777777" w:rsidR="006141B8" w:rsidRDefault="006141B8" w:rsidP="000631A7">
      <w:pPr>
        <w:pStyle w:val="Bullet"/>
        <w:jc w:val="both"/>
      </w:pPr>
      <w:r>
        <w:t>26 (</w:t>
      </w:r>
      <w:r w:rsidR="0071410A">
        <w:t>54% of all business</w:t>
      </w:r>
      <w:r w:rsidR="007D1FA5">
        <w:t>es</w:t>
      </w:r>
      <w:r w:rsidR="0071410A">
        <w:t xml:space="preserve">) were </w:t>
      </w:r>
      <w:r w:rsidR="006D0BE6">
        <w:t xml:space="preserve">meeting </w:t>
      </w:r>
      <w:r w:rsidR="0071410A">
        <w:t xml:space="preserve">all </w:t>
      </w:r>
      <w:r w:rsidR="00BB703C">
        <w:t xml:space="preserve">of </w:t>
      </w:r>
      <w:r w:rsidR="006D0BE6">
        <w:t xml:space="preserve">their </w:t>
      </w:r>
      <w:r w:rsidR="0071410A">
        <w:t>workplace relations obligations</w:t>
      </w:r>
    </w:p>
    <w:p w14:paraId="6B648D00" w14:textId="77777777" w:rsidR="00227CC4" w:rsidRDefault="0071410A" w:rsidP="000631A7">
      <w:pPr>
        <w:pStyle w:val="Bullet"/>
        <w:jc w:val="both"/>
      </w:pPr>
      <w:r>
        <w:t>22 (46%) were in breach of workplace laws</w:t>
      </w:r>
      <w:r w:rsidR="00A0760E">
        <w:t>,</w:t>
      </w:r>
      <w:r w:rsidR="00DA17C7">
        <w:t xml:space="preserve"> </w:t>
      </w:r>
      <w:r w:rsidR="00F105A8">
        <w:t>including</w:t>
      </w:r>
      <w:r w:rsidR="00DA17C7">
        <w:t>:</w:t>
      </w:r>
    </w:p>
    <w:p w14:paraId="0B8231DD" w14:textId="77777777" w:rsidR="007D1FA5" w:rsidRDefault="002D7E35" w:rsidP="000631A7">
      <w:pPr>
        <w:pStyle w:val="Bullet"/>
        <w:numPr>
          <w:ilvl w:val="1"/>
          <w:numId w:val="26"/>
        </w:numPr>
        <w:jc w:val="both"/>
      </w:pPr>
      <w:r>
        <w:t>nine</w:t>
      </w:r>
      <w:r w:rsidR="007D1FA5">
        <w:t xml:space="preserve"> </w:t>
      </w:r>
      <w:r>
        <w:t xml:space="preserve">in breach of their monetary obligations </w:t>
      </w:r>
    </w:p>
    <w:p w14:paraId="1CBF9E50" w14:textId="77777777" w:rsidR="007D1FA5" w:rsidRDefault="002D7E35" w:rsidP="000631A7">
      <w:pPr>
        <w:pStyle w:val="Bullet"/>
        <w:numPr>
          <w:ilvl w:val="1"/>
          <w:numId w:val="26"/>
        </w:numPr>
        <w:jc w:val="both"/>
      </w:pPr>
      <w:r>
        <w:t xml:space="preserve">six </w:t>
      </w:r>
      <w:r w:rsidR="007D1FA5">
        <w:t>non-compliant with pay slip and/or record</w:t>
      </w:r>
      <w:r>
        <w:t>-</w:t>
      </w:r>
      <w:r w:rsidR="007D1FA5">
        <w:t xml:space="preserve">keeping </w:t>
      </w:r>
      <w:r w:rsidR="00C57C96">
        <w:t>requirements</w:t>
      </w:r>
    </w:p>
    <w:p w14:paraId="7E293149" w14:textId="77777777" w:rsidR="007D1FA5" w:rsidRDefault="007D1FA5" w:rsidP="000631A7">
      <w:pPr>
        <w:pStyle w:val="Bullet"/>
        <w:numPr>
          <w:ilvl w:val="1"/>
          <w:numId w:val="26"/>
        </w:numPr>
        <w:jc w:val="both"/>
      </w:pPr>
      <w:proofErr w:type="gramStart"/>
      <w:r>
        <w:t>seven</w:t>
      </w:r>
      <w:proofErr w:type="gramEnd"/>
      <w:r w:rsidR="00DA17C7">
        <w:t xml:space="preserve"> </w:t>
      </w:r>
      <w:r>
        <w:t xml:space="preserve">in breach of both their monetary and non-monetary obligations.  </w:t>
      </w:r>
    </w:p>
    <w:p w14:paraId="0D54AFA4" w14:textId="77777777" w:rsidR="007D1FA5" w:rsidRDefault="007D1FA5" w:rsidP="000631A7">
      <w:pPr>
        <w:jc w:val="both"/>
      </w:pPr>
      <w:r>
        <w:t xml:space="preserve">The most common breaches </w:t>
      </w:r>
      <w:r w:rsidR="00BB703C">
        <w:t xml:space="preserve">found </w:t>
      </w:r>
      <w:r>
        <w:t>were:</w:t>
      </w:r>
    </w:p>
    <w:p w14:paraId="04E2CC45" w14:textId="77777777" w:rsidR="007D1FA5" w:rsidRDefault="007D1FA5" w:rsidP="000631A7">
      <w:pPr>
        <w:pStyle w:val="Bullet"/>
        <w:jc w:val="both"/>
      </w:pPr>
      <w:r>
        <w:t xml:space="preserve">underpayment of the minimum hourly rate (27% of all breaches)  </w:t>
      </w:r>
    </w:p>
    <w:p w14:paraId="0BC3348F" w14:textId="77777777" w:rsidR="007D1FA5" w:rsidRDefault="007D1FA5" w:rsidP="000631A7">
      <w:pPr>
        <w:pStyle w:val="Bullet"/>
        <w:jc w:val="both"/>
      </w:pPr>
      <w:proofErr w:type="gramStart"/>
      <w:r>
        <w:t>failure</w:t>
      </w:r>
      <w:proofErr w:type="gramEnd"/>
      <w:r>
        <w:t xml:space="preserve"> to provide pay slips in the prescribed form (24% of all breaches).</w:t>
      </w:r>
    </w:p>
    <w:p w14:paraId="5AC3FBFC" w14:textId="77777777" w:rsidR="00C44794" w:rsidRDefault="009B632F" w:rsidP="000631A7">
      <w:pPr>
        <w:jc w:val="both"/>
        <w:rPr>
          <w:rFonts w:ascii="Myriad Pro" w:hAnsi="Myriad Pro"/>
          <w:b/>
          <w:color w:val="263746"/>
          <w:sz w:val="44"/>
          <w:szCs w:val="26"/>
        </w:rPr>
      </w:pPr>
      <w:r>
        <w:t xml:space="preserve">Fair Work Inspectors </w:t>
      </w:r>
      <w:r w:rsidR="007D1FA5">
        <w:t>recovered $39 362 from 14 businesses for 99 employees.</w:t>
      </w:r>
    </w:p>
    <w:p w14:paraId="2BA6C891" w14:textId="77777777" w:rsidR="00192673" w:rsidRDefault="00E952E9" w:rsidP="00A95F6D">
      <w:pPr>
        <w:pStyle w:val="Heading1"/>
      </w:pPr>
      <w:bookmarkStart w:id="5" w:name="_Toc250633"/>
      <w:r>
        <w:t>C</w:t>
      </w:r>
      <w:r w:rsidR="00192673" w:rsidRPr="008A5D18">
        <w:t>ompliance and enforcement</w:t>
      </w:r>
      <w:r w:rsidR="00265DD4">
        <w:t xml:space="preserve"> outcomes</w:t>
      </w:r>
      <w:bookmarkEnd w:id="5"/>
    </w:p>
    <w:p w14:paraId="38692A3C" w14:textId="77777777" w:rsidR="00CA534D" w:rsidRDefault="00D37273" w:rsidP="004159A3">
      <w:r>
        <w:t xml:space="preserve">Fair Work Inspectors took proportionate compliance and enforcement action to ensure businesses </w:t>
      </w:r>
      <w:r w:rsidR="00872536">
        <w:t xml:space="preserve">remedied </w:t>
      </w:r>
      <w:r w:rsidR="00FE1D3C">
        <w:t>breach</w:t>
      </w:r>
      <w:r w:rsidR="009147DD">
        <w:t>es</w:t>
      </w:r>
      <w:r w:rsidR="00FE1D3C">
        <w:t xml:space="preserve"> and </w:t>
      </w:r>
      <w:r w:rsidR="00F105A8">
        <w:t xml:space="preserve">committed to </w:t>
      </w:r>
      <w:r w:rsidR="00D019EB">
        <w:t>ongoing c</w:t>
      </w:r>
      <w:r w:rsidR="009147DD">
        <w:t>ompliance</w:t>
      </w:r>
      <w:r>
        <w:t xml:space="preserve">. </w:t>
      </w:r>
      <w:r w:rsidR="00D019EB">
        <w:t>They issued:</w:t>
      </w:r>
    </w:p>
    <w:p w14:paraId="3586052E" w14:textId="77777777" w:rsidR="00D019EB" w:rsidRDefault="00D019EB" w:rsidP="005F1021">
      <w:pPr>
        <w:pStyle w:val="Bullet"/>
      </w:pPr>
      <w:r>
        <w:t>eight Infringement Notices</w:t>
      </w:r>
      <w:r w:rsidR="00763F0D">
        <w:t xml:space="preserve">, </w:t>
      </w:r>
      <w:r>
        <w:t xml:space="preserve">amounting to $7020 in penalties for pay slip and record-keeping breaches </w:t>
      </w:r>
    </w:p>
    <w:p w14:paraId="71819731" w14:textId="77777777" w:rsidR="00D019EB" w:rsidRDefault="00D019EB" w:rsidP="005F1021">
      <w:pPr>
        <w:pStyle w:val="Bullet"/>
      </w:pPr>
      <w:r>
        <w:t xml:space="preserve">two Formal Cautions </w:t>
      </w:r>
    </w:p>
    <w:p w14:paraId="139218B5" w14:textId="77777777" w:rsidR="00E1724D" w:rsidRDefault="00D019EB" w:rsidP="005F1021">
      <w:pPr>
        <w:pStyle w:val="Bullet"/>
      </w:pPr>
      <w:proofErr w:type="gramStart"/>
      <w:r>
        <w:t>one</w:t>
      </w:r>
      <w:proofErr w:type="gramEnd"/>
      <w:r>
        <w:t xml:space="preserve"> </w:t>
      </w:r>
      <w:r w:rsidR="007D0C15">
        <w:t>Compliance</w:t>
      </w:r>
      <w:r>
        <w:t xml:space="preserve"> </w:t>
      </w:r>
      <w:r w:rsidR="00DB1285">
        <w:t>N</w:t>
      </w:r>
      <w:r>
        <w:t>otice</w:t>
      </w:r>
      <w:r w:rsidR="000F1118">
        <w:t xml:space="preserve"> requiring</w:t>
      </w:r>
      <w:r w:rsidR="00F105A8">
        <w:t xml:space="preserve"> </w:t>
      </w:r>
      <w:r w:rsidR="002A2A9D">
        <w:t xml:space="preserve">an </w:t>
      </w:r>
      <w:r>
        <w:t xml:space="preserve">employer </w:t>
      </w:r>
      <w:r w:rsidR="007D0C15">
        <w:t>back pay</w:t>
      </w:r>
      <w:r>
        <w:t xml:space="preserve"> $5303 </w:t>
      </w:r>
      <w:r w:rsidR="002A2A9D">
        <w:t>to</w:t>
      </w:r>
      <w:r w:rsidR="001B45EF">
        <w:t xml:space="preserve"> </w:t>
      </w:r>
      <w:r w:rsidR="002A2A9D">
        <w:t>14 workers</w:t>
      </w:r>
      <w:r w:rsidR="00DB1285">
        <w:t>.</w:t>
      </w:r>
    </w:p>
    <w:p w14:paraId="6AC44D86" w14:textId="77777777" w:rsidR="00794140" w:rsidRDefault="00794140">
      <w:pPr>
        <w:spacing w:before="0" w:line="240" w:lineRule="auto"/>
        <w:rPr>
          <w:rFonts w:ascii="Helvetica" w:hAnsi="Helvetica"/>
          <w:color w:val="263746"/>
          <w:sz w:val="44"/>
          <w:szCs w:val="26"/>
        </w:rPr>
      </w:pPr>
      <w:bookmarkStart w:id="6" w:name="_Toc250634"/>
      <w:r>
        <w:br w:type="page"/>
      </w:r>
    </w:p>
    <w:p w14:paraId="66CA8C6D" w14:textId="64995E52" w:rsidR="00265DD4" w:rsidRDefault="00137E8E">
      <w:pPr>
        <w:pStyle w:val="Heading1"/>
      </w:pPr>
      <w:r>
        <w:lastRenderedPageBreak/>
        <w:t>Conclusion</w:t>
      </w:r>
      <w:bookmarkEnd w:id="6"/>
    </w:p>
    <w:p w14:paraId="18A50A24" w14:textId="77777777" w:rsidR="00F636B0" w:rsidRDefault="00F636B0" w:rsidP="00F636B0">
      <w:pPr>
        <w:rPr>
          <w:color w:val="000000"/>
          <w:szCs w:val="22"/>
          <w:lang w:eastAsia="en-AU"/>
        </w:rPr>
      </w:pPr>
      <w:r>
        <w:rPr>
          <w:color w:val="000000"/>
          <w:szCs w:val="22"/>
          <w:lang w:eastAsia="en-AU"/>
        </w:rPr>
        <w:t xml:space="preserve">The FWO found that nearly half (46%) of all business audited in this campaign were non-compliant with their workplace relations obligations. Fair Work Inspectors took action to ensure all breaches were rectified. The FWO has put these businesses on notice that it </w:t>
      </w:r>
      <w:r>
        <w:t>may re-audit them in future Campaigns.</w:t>
      </w:r>
    </w:p>
    <w:p w14:paraId="00120B74" w14:textId="77777777" w:rsidR="007A72EF" w:rsidRDefault="001B45EF" w:rsidP="007975A6">
      <w:pPr>
        <w:rPr>
          <w:color w:val="000000"/>
          <w:szCs w:val="22"/>
          <w:lang w:eastAsia="en-AU"/>
        </w:rPr>
      </w:pPr>
      <w:r>
        <w:rPr>
          <w:color w:val="000000"/>
          <w:szCs w:val="22"/>
          <w:lang w:eastAsia="en-AU"/>
        </w:rPr>
        <w:t xml:space="preserve">The most common reason employers </w:t>
      </w:r>
      <w:r w:rsidR="007A72EF">
        <w:rPr>
          <w:color w:val="000000"/>
          <w:szCs w:val="22"/>
          <w:lang w:eastAsia="en-AU"/>
        </w:rPr>
        <w:t>provided</w:t>
      </w:r>
      <w:r>
        <w:rPr>
          <w:color w:val="000000"/>
          <w:szCs w:val="22"/>
          <w:lang w:eastAsia="en-AU"/>
        </w:rPr>
        <w:t xml:space="preserve"> for non-compliance was their lack of awareness of the law. </w:t>
      </w:r>
      <w:r w:rsidR="00837D74">
        <w:rPr>
          <w:color w:val="000000"/>
          <w:szCs w:val="22"/>
          <w:lang w:eastAsia="en-AU"/>
        </w:rPr>
        <w:t xml:space="preserve">The FWO made it clear to non-compliant </w:t>
      </w:r>
      <w:r>
        <w:rPr>
          <w:color w:val="000000"/>
          <w:szCs w:val="22"/>
          <w:lang w:eastAsia="en-AU"/>
        </w:rPr>
        <w:t xml:space="preserve">employers and/or company office </w:t>
      </w:r>
      <w:r w:rsidR="00837D74">
        <w:rPr>
          <w:color w:val="000000"/>
          <w:szCs w:val="22"/>
          <w:lang w:eastAsia="en-AU"/>
        </w:rPr>
        <w:t>holders</w:t>
      </w:r>
      <w:r>
        <w:rPr>
          <w:color w:val="000000"/>
          <w:szCs w:val="22"/>
          <w:lang w:eastAsia="en-AU"/>
        </w:rPr>
        <w:t xml:space="preserve"> </w:t>
      </w:r>
      <w:r w:rsidR="007A72EF">
        <w:rPr>
          <w:color w:val="000000"/>
          <w:szCs w:val="22"/>
          <w:lang w:eastAsia="en-AU"/>
        </w:rPr>
        <w:t>that ignorance is no excuse a</w:t>
      </w:r>
      <w:r>
        <w:rPr>
          <w:color w:val="000000"/>
          <w:szCs w:val="22"/>
          <w:lang w:eastAsia="en-AU"/>
        </w:rPr>
        <w:t xml:space="preserve">nd that individuals running a business </w:t>
      </w:r>
      <w:r w:rsidR="007A72EF">
        <w:rPr>
          <w:color w:val="000000"/>
          <w:szCs w:val="22"/>
          <w:lang w:eastAsia="en-AU"/>
        </w:rPr>
        <w:t>will</w:t>
      </w:r>
      <w:r>
        <w:rPr>
          <w:color w:val="000000"/>
          <w:szCs w:val="22"/>
          <w:lang w:eastAsia="en-AU"/>
        </w:rPr>
        <w:t xml:space="preserve"> be held to account </w:t>
      </w:r>
      <w:r w:rsidR="007A72EF">
        <w:rPr>
          <w:color w:val="000000"/>
          <w:szCs w:val="22"/>
          <w:lang w:eastAsia="en-AU"/>
        </w:rPr>
        <w:t xml:space="preserve">as accessories </w:t>
      </w:r>
      <w:r>
        <w:rPr>
          <w:color w:val="000000"/>
          <w:szCs w:val="22"/>
          <w:lang w:eastAsia="en-AU"/>
        </w:rPr>
        <w:t xml:space="preserve">for </w:t>
      </w:r>
      <w:r w:rsidR="007A72EF">
        <w:rPr>
          <w:color w:val="000000"/>
          <w:szCs w:val="22"/>
          <w:lang w:eastAsia="en-AU"/>
        </w:rPr>
        <w:t xml:space="preserve">any future </w:t>
      </w:r>
      <w:r>
        <w:rPr>
          <w:color w:val="000000"/>
          <w:szCs w:val="22"/>
          <w:lang w:eastAsia="en-AU"/>
        </w:rPr>
        <w:t>non-compliance</w:t>
      </w:r>
      <w:r w:rsidR="00837D74">
        <w:rPr>
          <w:color w:val="000000"/>
          <w:szCs w:val="22"/>
          <w:lang w:eastAsia="en-AU"/>
        </w:rPr>
        <w:t xml:space="preserve">. </w:t>
      </w:r>
    </w:p>
    <w:p w14:paraId="4F4E0EFF" w14:textId="2D46217E" w:rsidR="00837D74" w:rsidRPr="007975A6" w:rsidRDefault="00837D74" w:rsidP="007975A6">
      <w:pPr>
        <w:rPr>
          <w:rFonts w:eastAsia="Calibri"/>
          <w:kern w:val="24"/>
          <w:szCs w:val="22"/>
        </w:rPr>
      </w:pPr>
      <w:r w:rsidRPr="007975A6">
        <w:rPr>
          <w:szCs w:val="22"/>
          <w:lang w:eastAsia="en-AU"/>
        </w:rPr>
        <w:t xml:space="preserve">Section 550 of the FW Act </w:t>
      </w:r>
      <w:r w:rsidRPr="007975A6">
        <w:rPr>
          <w:rFonts w:eastAsia="Calibri"/>
          <w:kern w:val="24"/>
          <w:szCs w:val="22"/>
        </w:rPr>
        <w:t xml:space="preserve">extends remedies and penalties to a person, or accessory who is </w:t>
      </w:r>
      <w:r w:rsidRPr="007975A6">
        <w:rPr>
          <w:rFonts w:eastAsia="Calibri"/>
          <w:bCs/>
          <w:kern w:val="24"/>
          <w:szCs w:val="22"/>
        </w:rPr>
        <w:t>‘involved</w:t>
      </w:r>
      <w:r w:rsidRPr="007975A6">
        <w:rPr>
          <w:rFonts w:eastAsia="Calibri"/>
          <w:kern w:val="24"/>
          <w:szCs w:val="22"/>
        </w:rPr>
        <w:t xml:space="preserve">’ in a breach – including, but not limited to, directors, </w:t>
      </w:r>
      <w:r w:rsidR="007975A6">
        <w:rPr>
          <w:rFonts w:eastAsia="Calibri"/>
          <w:kern w:val="24"/>
          <w:szCs w:val="22"/>
        </w:rPr>
        <w:t>companies within a supply chain</w:t>
      </w:r>
      <w:r w:rsidRPr="007975A6">
        <w:rPr>
          <w:rFonts w:eastAsia="Calibri"/>
          <w:kern w:val="24"/>
          <w:szCs w:val="22"/>
        </w:rPr>
        <w:t xml:space="preserve"> and business advisers. In 92% of its matters filed in court last financial year, the FWO took action against an alleged accessory</w:t>
      </w:r>
      <w:r w:rsidR="007975A6" w:rsidRPr="007975A6">
        <w:rPr>
          <w:rFonts w:eastAsia="Calibri"/>
          <w:kern w:val="24"/>
          <w:szCs w:val="22"/>
        </w:rPr>
        <w:t>.</w:t>
      </w:r>
    </w:p>
    <w:p w14:paraId="00A22CC6" w14:textId="2E67D195" w:rsidR="001B45EF" w:rsidRDefault="001B45EF" w:rsidP="007975A6">
      <w:pPr>
        <w:rPr>
          <w:color w:val="000000"/>
          <w:szCs w:val="22"/>
          <w:lang w:eastAsia="en-AU"/>
        </w:rPr>
      </w:pPr>
      <w:r w:rsidRPr="00837D74">
        <w:rPr>
          <w:szCs w:val="22"/>
        </w:rPr>
        <w:t xml:space="preserve">The FWO has numerous free tools and resources that </w:t>
      </w:r>
      <w:r w:rsidR="00A8457C" w:rsidRPr="00837D74">
        <w:rPr>
          <w:szCs w:val="22"/>
        </w:rPr>
        <w:t>assist employers to</w:t>
      </w:r>
      <w:r w:rsidRPr="00837D74">
        <w:rPr>
          <w:szCs w:val="22"/>
        </w:rPr>
        <w:t xml:space="preserve"> </w:t>
      </w:r>
      <w:proofErr w:type="spellStart"/>
      <w:r w:rsidRPr="00837D74">
        <w:rPr>
          <w:szCs w:val="22"/>
        </w:rPr>
        <w:t>comp</w:t>
      </w:r>
      <w:r w:rsidR="00A8457C" w:rsidRPr="00837D74">
        <w:rPr>
          <w:szCs w:val="22"/>
        </w:rPr>
        <w:t>y</w:t>
      </w:r>
      <w:proofErr w:type="spellEnd"/>
      <w:r w:rsidRPr="00837D74">
        <w:rPr>
          <w:szCs w:val="22"/>
        </w:rPr>
        <w:t xml:space="preserve"> with workplace relations laws. By visiting </w:t>
      </w:r>
      <w:hyperlink r:id="rId10" w:tooltip="Link to the Fair Work Ombudsman's website" w:history="1">
        <w:r w:rsidRPr="00837D74">
          <w:rPr>
            <w:rStyle w:val="Hyperlink"/>
            <w:rFonts w:cs="Arial"/>
            <w:szCs w:val="22"/>
            <w:lang w:eastAsia="en-AU"/>
          </w:rPr>
          <w:t>www.fairwork.gov.au</w:t>
        </w:r>
      </w:hyperlink>
      <w:bookmarkStart w:id="7" w:name="_GoBack"/>
      <w:bookmarkEnd w:id="7"/>
      <w:r w:rsidRPr="00837D74">
        <w:rPr>
          <w:color w:val="000000"/>
          <w:szCs w:val="22"/>
          <w:lang w:eastAsia="en-AU"/>
        </w:rPr>
        <w:t>, employers can find the information they need to</w:t>
      </w:r>
      <w:r>
        <w:rPr>
          <w:color w:val="000000"/>
          <w:szCs w:val="22"/>
          <w:lang w:eastAsia="en-AU"/>
        </w:rPr>
        <w:t xml:space="preserve"> understand and </w:t>
      </w:r>
      <w:r w:rsidR="00A8457C">
        <w:rPr>
          <w:color w:val="000000"/>
          <w:szCs w:val="22"/>
          <w:lang w:eastAsia="en-AU"/>
        </w:rPr>
        <w:t>manage</w:t>
      </w:r>
      <w:r>
        <w:rPr>
          <w:color w:val="000000"/>
          <w:szCs w:val="22"/>
          <w:lang w:eastAsia="en-AU"/>
        </w:rPr>
        <w:t xml:space="preserve"> their workplace relations obligations. </w:t>
      </w:r>
    </w:p>
    <w:p w14:paraId="689C6AC3" w14:textId="77777777" w:rsidR="00265DD4" w:rsidRDefault="000C4BC4" w:rsidP="00A95F6D">
      <w:pPr>
        <w:pStyle w:val="Heading1"/>
      </w:pPr>
      <w:bookmarkStart w:id="8" w:name="_Toc250635"/>
      <w:r>
        <w:t>A</w:t>
      </w:r>
      <w:r w:rsidR="00265DD4">
        <w:t xml:space="preserve">bout </w:t>
      </w:r>
      <w:r w:rsidR="00A77831">
        <w:t>the FWO</w:t>
      </w:r>
      <w:bookmarkEnd w:id="8"/>
    </w:p>
    <w:p w14:paraId="53B8BBF1" w14:textId="77777777" w:rsidR="00C1444E" w:rsidRPr="00D0678D" w:rsidRDefault="00C1444E" w:rsidP="007975A6">
      <w:pPr>
        <w:rPr>
          <w:lang w:eastAsia="en-AU"/>
        </w:rPr>
      </w:pPr>
      <w:r w:rsidRPr="00D0678D">
        <w:rPr>
          <w:lang w:eastAsia="en-AU"/>
        </w:rPr>
        <w:t xml:space="preserve">The Fair Work Ombudsman is an independent agency created by the </w:t>
      </w:r>
      <w:r w:rsidRPr="00D0678D">
        <w:rPr>
          <w:i/>
          <w:lang w:eastAsia="en-AU"/>
        </w:rPr>
        <w:t>Fair Work Act 2009</w:t>
      </w:r>
      <w:r w:rsidRPr="00D0678D">
        <w:rPr>
          <w:lang w:eastAsia="en-AU"/>
        </w:rPr>
        <w:t xml:space="preserve"> on 1 July 2009. </w:t>
      </w:r>
      <w:r w:rsidR="00837D74">
        <w:rPr>
          <w:lang w:eastAsia="en-AU"/>
        </w:rPr>
        <w:t xml:space="preserve">The FWO’s </w:t>
      </w:r>
      <w:r w:rsidRPr="00D0678D">
        <w:rPr>
          <w:lang w:eastAsia="en-AU"/>
        </w:rPr>
        <w:t>role is to promote harmonious, produc</w:t>
      </w:r>
      <w:r w:rsidR="00837D74">
        <w:rPr>
          <w:lang w:eastAsia="en-AU"/>
        </w:rPr>
        <w:t>tive and cooperative workplaces and ensure compliance</w:t>
      </w:r>
      <w:r w:rsidRPr="00D0678D">
        <w:rPr>
          <w:lang w:eastAsia="en-AU"/>
        </w:rPr>
        <w:t>.</w:t>
      </w:r>
    </w:p>
    <w:p w14:paraId="710EF094" w14:textId="03CE7D98" w:rsidR="00837D74" w:rsidRPr="007975A6" w:rsidRDefault="00C1444E" w:rsidP="007975A6">
      <w:r w:rsidRPr="007975A6">
        <w:rPr>
          <w:rFonts w:eastAsia="Calibri"/>
          <w:szCs w:val="22"/>
        </w:rPr>
        <w:t xml:space="preserve">The </w:t>
      </w:r>
      <w:r w:rsidR="007975A6" w:rsidRPr="007975A6">
        <w:rPr>
          <w:rFonts w:eastAsia="Calibri"/>
          <w:szCs w:val="22"/>
        </w:rPr>
        <w:t xml:space="preserve">FWO </w:t>
      </w:r>
      <w:r w:rsidRPr="007975A6">
        <w:rPr>
          <w:rFonts w:eastAsia="Calibri"/>
          <w:szCs w:val="22"/>
        </w:rPr>
        <w:t>regularly un</w:t>
      </w:r>
      <w:r w:rsidR="00837D74" w:rsidRPr="007975A6">
        <w:rPr>
          <w:rFonts w:eastAsia="Calibri"/>
          <w:szCs w:val="22"/>
        </w:rPr>
        <w:t xml:space="preserve">dertakes proactive campaigns to monitor compliance in </w:t>
      </w:r>
      <w:r w:rsidRPr="007975A6">
        <w:t xml:space="preserve">particular industries, regions and/or </w:t>
      </w:r>
      <w:r w:rsidR="00837D74" w:rsidRPr="007975A6">
        <w:t>with respect to key agency priorities.</w:t>
      </w:r>
    </w:p>
    <w:p w14:paraId="65304A69" w14:textId="77777777" w:rsidR="00C1444E" w:rsidRPr="00D0678D" w:rsidRDefault="00C1444E" w:rsidP="007975A6">
      <w:pPr>
        <w:rPr>
          <w:lang w:eastAsia="en-AU"/>
        </w:rPr>
      </w:pPr>
      <w:r w:rsidRPr="00D0678D">
        <w:rPr>
          <w:lang w:eastAsia="en-AU"/>
        </w:rPr>
        <w:t xml:space="preserve">For further information and media enquiries </w:t>
      </w:r>
      <w:r w:rsidR="00DD1D51">
        <w:rPr>
          <w:lang w:eastAsia="en-AU"/>
        </w:rPr>
        <w:t xml:space="preserve">about this report </w:t>
      </w:r>
      <w:r w:rsidRPr="00D0678D">
        <w:rPr>
          <w:lang w:eastAsia="en-AU"/>
        </w:rPr>
        <w:t xml:space="preserve">please contact the media team at </w:t>
      </w:r>
      <w:hyperlink r:id="rId11" w:history="1">
        <w:r w:rsidRPr="00D0678D">
          <w:rPr>
            <w:color w:val="0000FF"/>
            <w:u w:val="single"/>
            <w:lang w:eastAsia="en-AU"/>
          </w:rPr>
          <w:t>media@fwo.gov.au</w:t>
        </w:r>
      </w:hyperlink>
      <w:r w:rsidR="0015707B">
        <w:rPr>
          <w:lang w:eastAsia="en-AU"/>
        </w:rPr>
        <w:t>.</w:t>
      </w:r>
    </w:p>
    <w:p w14:paraId="08A386AC" w14:textId="77777777" w:rsidR="00C1444E" w:rsidRPr="00D0678D" w:rsidRDefault="00C1444E" w:rsidP="007975A6">
      <w:r w:rsidRPr="00D0678D">
        <w:rPr>
          <w:lang w:eastAsia="en-AU"/>
        </w:rPr>
        <w:t xml:space="preserve">If you would like further information about the Fair Work Ombudsman’s campaigns please contact </w:t>
      </w:r>
      <w:r>
        <w:rPr>
          <w:lang w:eastAsia="en-AU"/>
        </w:rPr>
        <w:t xml:space="preserve">Steven </w:t>
      </w:r>
      <w:proofErr w:type="spellStart"/>
      <w:r>
        <w:rPr>
          <w:lang w:eastAsia="en-AU"/>
        </w:rPr>
        <w:t>Ronson</w:t>
      </w:r>
      <w:proofErr w:type="spellEnd"/>
      <w:r w:rsidRPr="00D0678D">
        <w:rPr>
          <w:lang w:eastAsia="en-AU"/>
        </w:rPr>
        <w:t xml:space="preserve">, Executive Director - Proactive Compliance at </w:t>
      </w:r>
      <w:hyperlink r:id="rId12" w:history="1">
        <w:r w:rsidR="00837D74">
          <w:rPr>
            <w:rStyle w:val="Hyperlink"/>
            <w:rFonts w:cs="Arial"/>
            <w:szCs w:val="22"/>
            <w:lang w:eastAsia="en-AU"/>
          </w:rPr>
          <w:t>s</w:t>
        </w:r>
      </w:hyperlink>
      <w:r w:rsidR="00837D74">
        <w:rPr>
          <w:rStyle w:val="Hyperlink"/>
          <w:rFonts w:cs="Arial"/>
          <w:szCs w:val="22"/>
          <w:lang w:eastAsia="en-AU"/>
        </w:rPr>
        <w:t>teven.ronson@fwo.gov.au</w:t>
      </w:r>
    </w:p>
    <w:p w14:paraId="047236E0" w14:textId="77777777" w:rsidR="00265DD4" w:rsidRDefault="00265DD4" w:rsidP="004159A3"/>
    <w:p w14:paraId="2CAFE04E" w14:textId="77777777" w:rsidR="00265DD4" w:rsidRDefault="00265DD4" w:rsidP="00A95F6D">
      <w:pPr>
        <w:pStyle w:val="Heading1"/>
      </w:pPr>
      <w:bookmarkStart w:id="9" w:name="_Toc250636"/>
      <w:r>
        <w:lastRenderedPageBreak/>
        <w:t xml:space="preserve">About </w:t>
      </w:r>
      <w:r w:rsidR="00A77831">
        <w:t>ASIC</w:t>
      </w:r>
      <w:bookmarkEnd w:id="9"/>
    </w:p>
    <w:p w14:paraId="723CDB43" w14:textId="77777777" w:rsidR="00C1444E" w:rsidRPr="00C1444E" w:rsidRDefault="00C1444E" w:rsidP="00837D74">
      <w:pPr>
        <w:jc w:val="both"/>
      </w:pPr>
      <w:r w:rsidRPr="00C1444E">
        <w:t xml:space="preserve">ASIC is Australia’s corporate, markets and financial services regulator. </w:t>
      </w:r>
      <w:r w:rsidR="00837D74">
        <w:t>ASIC</w:t>
      </w:r>
      <w:r w:rsidRPr="00C1444E">
        <w:t xml:space="preserve"> contribute</w:t>
      </w:r>
      <w:r w:rsidR="00837D74">
        <w:t>s</w:t>
      </w:r>
      <w:r w:rsidRPr="00C1444E">
        <w:t xml:space="preserve"> to Australia’s economic reputation and wellbeing by ensuring that Australia’s financial markets are fair and transparent, supported by confident and informed investors and consumers. </w:t>
      </w:r>
    </w:p>
    <w:p w14:paraId="23B48BC2" w14:textId="10586E40" w:rsidR="00C1444E" w:rsidRPr="00C1444E" w:rsidRDefault="00DD1D51" w:rsidP="00837D74">
      <w:pPr>
        <w:jc w:val="both"/>
      </w:pPr>
      <w:r>
        <w:t xml:space="preserve">ASIC is </w:t>
      </w:r>
      <w:r w:rsidR="00C1444E" w:rsidRPr="00C1444E">
        <w:t>an independent Commonwealth Government body</w:t>
      </w:r>
      <w:r>
        <w:t xml:space="preserve">, </w:t>
      </w:r>
      <w:r w:rsidR="00C1444E" w:rsidRPr="00C1444E">
        <w:t xml:space="preserve">set up </w:t>
      </w:r>
      <w:r>
        <w:t xml:space="preserve">to </w:t>
      </w:r>
      <w:r w:rsidR="00C1444E" w:rsidRPr="00C1444E">
        <w:t xml:space="preserve">administer the </w:t>
      </w:r>
      <w:r w:rsidR="00C1444E" w:rsidRPr="00DD1D51">
        <w:rPr>
          <w:i/>
        </w:rPr>
        <w:t xml:space="preserve">Australian Securities and Investments Commission Act </w:t>
      </w:r>
      <w:r w:rsidR="00C1444E" w:rsidRPr="007975A6">
        <w:rPr>
          <w:i/>
        </w:rPr>
        <w:t>2001</w:t>
      </w:r>
      <w:r w:rsidR="00837D74" w:rsidRPr="007975A6">
        <w:t xml:space="preserve"> and </w:t>
      </w:r>
      <w:r w:rsidR="00C1444E" w:rsidRPr="007975A6">
        <w:rPr>
          <w:i/>
        </w:rPr>
        <w:t>Corporations Act 2001.</w:t>
      </w:r>
      <w:r w:rsidR="00C1444E" w:rsidRPr="007975A6">
        <w:t xml:space="preserve"> </w:t>
      </w:r>
    </w:p>
    <w:p w14:paraId="6062530A" w14:textId="77777777" w:rsidR="00C1444E" w:rsidRPr="00C1444E" w:rsidRDefault="00C1444E" w:rsidP="005F1021">
      <w:r w:rsidRPr="00C1444E">
        <w:t xml:space="preserve">For further information and media enquiries please contact </w:t>
      </w:r>
      <w:r w:rsidRPr="00C1444E">
        <w:rPr>
          <w:color w:val="0000FF"/>
          <w:u w:val="single"/>
        </w:rPr>
        <w:t>media.unit@asic.gov.au</w:t>
      </w:r>
    </w:p>
    <w:sectPr w:rsidR="00C1444E" w:rsidRPr="00C1444E" w:rsidSect="0027094C">
      <w:headerReference w:type="even" r:id="rId13"/>
      <w:footerReference w:type="even" r:id="rId14"/>
      <w:footerReference w:type="first" r:id="rId15"/>
      <w:pgSz w:w="11907" w:h="16840" w:code="9"/>
      <w:pgMar w:top="1276" w:right="992" w:bottom="1440" w:left="1276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AFF4" w14:textId="77777777" w:rsidR="0091490C" w:rsidRDefault="0091490C" w:rsidP="00AB27F9">
      <w:r>
        <w:separator/>
      </w:r>
    </w:p>
  </w:endnote>
  <w:endnote w:type="continuationSeparator" w:id="0">
    <w:p w14:paraId="3FE9A4B3" w14:textId="77777777" w:rsidR="0091490C" w:rsidRDefault="0091490C" w:rsidP="00AB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83" w:usb1="5000204A" w:usb2="00000000" w:usb3="00000000" w:csb0="00000009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605D" w14:textId="77777777" w:rsidR="006E34AE" w:rsidRDefault="006E34AE" w:rsidP="00AB27F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4670BB4F" w14:textId="77777777" w:rsidR="006E34AE" w:rsidRDefault="006E34AE" w:rsidP="00AB27F9"/>
  <w:p w14:paraId="6DCE9259" w14:textId="77777777" w:rsidR="00AC229B" w:rsidRDefault="00AC229B"/>
  <w:p w14:paraId="28D15991" w14:textId="77777777" w:rsidR="00AC229B" w:rsidRDefault="00AC229B"/>
  <w:p w14:paraId="0265E59F" w14:textId="77777777" w:rsidR="00AC229B" w:rsidRDefault="00AC229B"/>
  <w:p w14:paraId="1A26C55A" w14:textId="77777777" w:rsidR="00F516D2" w:rsidRDefault="00F51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0B4B" w14:textId="4C2A8100" w:rsidR="003C3523" w:rsidRDefault="00C21C33">
    <w:pPr>
      <w:pStyle w:val="Footer"/>
    </w:pPr>
    <w:r>
      <w:fldChar w:fldCharType="begin"/>
    </w:r>
    <w:r>
      <w:instrText xml:space="preserve"> DOCPROPERTY "mvRef" \* MERGEFORMAT </w:instrText>
    </w:r>
    <w:r>
      <w:fldChar w:fldCharType="separate"/>
    </w:r>
    <w:r>
      <w:t>Documents</w:t>
    </w:r>
    <w:proofErr w:type="gramStart"/>
    <w:r>
      <w:t>:DB</w:t>
    </w:r>
    <w:proofErr w:type="gramEnd"/>
    <w:r>
      <w:t>-1169789/1.0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9B54" w14:textId="77777777" w:rsidR="0091490C" w:rsidRDefault="0091490C" w:rsidP="00AB27F9">
      <w:r>
        <w:separator/>
      </w:r>
    </w:p>
  </w:footnote>
  <w:footnote w:type="continuationSeparator" w:id="0">
    <w:p w14:paraId="65650234" w14:textId="77777777" w:rsidR="0091490C" w:rsidRDefault="0091490C" w:rsidP="00AB27F9">
      <w:r>
        <w:continuationSeparator/>
      </w:r>
    </w:p>
  </w:footnote>
  <w:footnote w:id="1">
    <w:p w14:paraId="35A32EF0" w14:textId="77777777" w:rsidR="00AD698A" w:rsidRDefault="00AD698A" w:rsidP="00AD698A">
      <w:pPr>
        <w:pStyle w:val="FootnoteText"/>
        <w:spacing w:line="240" w:lineRule="auto"/>
      </w:pPr>
      <w:r>
        <w:rPr>
          <w:rStyle w:val="FootnoteReference"/>
          <w:rFonts w:eastAsiaTheme="minorEastAsia"/>
        </w:rPr>
        <w:footnoteRef/>
      </w:r>
      <w:r>
        <w:t xml:space="preserve"> </w:t>
      </w:r>
      <w:r>
        <w:rPr>
          <w:sz w:val="18"/>
          <w:szCs w:val="18"/>
        </w:rPr>
        <w:t xml:space="preserve">The </w:t>
      </w:r>
      <w:r w:rsidRPr="004159A3">
        <w:rPr>
          <w:sz w:val="18"/>
          <w:szCs w:val="18"/>
        </w:rPr>
        <w:t xml:space="preserve">first </w:t>
      </w:r>
      <w:r>
        <w:rPr>
          <w:sz w:val="18"/>
          <w:szCs w:val="18"/>
        </w:rPr>
        <w:t xml:space="preserve">joint campaign was </w:t>
      </w:r>
      <w:r w:rsidRPr="004159A3">
        <w:rPr>
          <w:sz w:val="18"/>
          <w:szCs w:val="18"/>
        </w:rPr>
        <w:t xml:space="preserve">in Brisbane </w:t>
      </w:r>
      <w:r>
        <w:rPr>
          <w:sz w:val="18"/>
          <w:szCs w:val="18"/>
        </w:rPr>
        <w:t>in 2016</w:t>
      </w:r>
      <w:r w:rsidRPr="004159A3">
        <w:rPr>
          <w:sz w:val="18"/>
          <w:szCs w:val="18"/>
        </w:rPr>
        <w:t xml:space="preserve">. A copy of the report </w:t>
      </w:r>
      <w:r>
        <w:rPr>
          <w:sz w:val="18"/>
          <w:szCs w:val="18"/>
        </w:rPr>
        <w:t>is on</w:t>
      </w:r>
      <w:r w:rsidRPr="004159A3">
        <w:rPr>
          <w:sz w:val="18"/>
          <w:szCs w:val="18"/>
        </w:rPr>
        <w:t xml:space="preserve"> our website:</w:t>
      </w:r>
      <w:r>
        <w:rPr>
          <w:sz w:val="18"/>
          <w:szCs w:val="18"/>
        </w:rPr>
        <w:t xml:space="preserve"> </w:t>
      </w:r>
      <w:r w:rsidRPr="004159A3">
        <w:rPr>
          <w:sz w:val="18"/>
          <w:szCs w:val="18"/>
        </w:rPr>
        <w:t>https://www.fairwork.gov.au/ArticleDocuments/714/fwo-asic-joint-audit-campaign.pdf.aspx</w:t>
      </w:r>
    </w:p>
  </w:footnote>
  <w:footnote w:id="2">
    <w:p w14:paraId="504C8F0B" w14:textId="77777777" w:rsidR="00DA722D" w:rsidRDefault="00DA722D" w:rsidP="00E952E9">
      <w:pPr>
        <w:pStyle w:val="FootnoteText"/>
        <w:tabs>
          <w:tab w:val="left" w:pos="1276"/>
        </w:tabs>
        <w:spacing w:line="240" w:lineRule="auto"/>
        <w:ind w:right="57"/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FWO media release: </w:t>
      </w:r>
      <w:r w:rsidRPr="007A3363">
        <w:rPr>
          <w:sz w:val="18"/>
          <w:szCs w:val="18"/>
        </w:rPr>
        <w:t>https://www.fairwork.gov.au/about-us/news-and-media-releases/2017-media-releases/june-2017/20170620-fwo-asic-joint-campaign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720A" w14:textId="77777777" w:rsidR="00BF0029" w:rsidRDefault="00BF0029">
    <w:pPr>
      <w:pStyle w:val="Header"/>
    </w:pPr>
  </w:p>
  <w:p w14:paraId="08B7E425" w14:textId="77777777" w:rsidR="00F516D2" w:rsidRDefault="00F516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 w15:restartNumberingAfterBreak="0">
    <w:nsid w:val="013569E1"/>
    <w:multiLevelType w:val="hybridMultilevel"/>
    <w:tmpl w:val="3B1ADC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7CCE"/>
    <w:multiLevelType w:val="hybridMultilevel"/>
    <w:tmpl w:val="68C49266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730"/>
    <w:multiLevelType w:val="hybridMultilevel"/>
    <w:tmpl w:val="34D41B02"/>
    <w:lvl w:ilvl="0" w:tplc="8DE61D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0488"/>
    <w:multiLevelType w:val="hybridMultilevel"/>
    <w:tmpl w:val="6382C992"/>
    <w:lvl w:ilvl="0" w:tplc="EE28FB12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A6A8B"/>
    <w:multiLevelType w:val="hybridMultilevel"/>
    <w:tmpl w:val="3FD4F1E8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453"/>
    <w:multiLevelType w:val="hybridMultilevel"/>
    <w:tmpl w:val="DC5A2774"/>
    <w:lvl w:ilvl="0" w:tplc="F4947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8214A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D08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E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2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07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2F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06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CD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FC28D7"/>
    <w:multiLevelType w:val="hybridMultilevel"/>
    <w:tmpl w:val="EEF4BD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26456F85"/>
    <w:multiLevelType w:val="hybridMultilevel"/>
    <w:tmpl w:val="0444EAF4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2A0A"/>
    <w:multiLevelType w:val="hybridMultilevel"/>
    <w:tmpl w:val="3A3C8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73B8"/>
    <w:multiLevelType w:val="hybridMultilevel"/>
    <w:tmpl w:val="B93CC812"/>
    <w:lvl w:ilvl="0" w:tplc="5366BFA4">
      <w:start w:val="1"/>
      <w:numFmt w:val="bullet"/>
      <w:pStyle w:val="Callout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950743"/>
    <w:multiLevelType w:val="hybridMultilevel"/>
    <w:tmpl w:val="860E4072"/>
    <w:lvl w:ilvl="0" w:tplc="18FCFCAE">
      <w:start w:val="1"/>
      <w:numFmt w:val="bullet"/>
      <w:pStyle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3D15"/>
    <w:multiLevelType w:val="hybridMultilevel"/>
    <w:tmpl w:val="092421EC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2069"/>
    <w:multiLevelType w:val="hybridMultilevel"/>
    <w:tmpl w:val="12A0E0E4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70141"/>
    <w:multiLevelType w:val="hybridMultilevel"/>
    <w:tmpl w:val="9BF458E8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72B07"/>
    <w:multiLevelType w:val="hybridMultilevel"/>
    <w:tmpl w:val="A9D248FA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E3C42"/>
    <w:multiLevelType w:val="hybridMultilevel"/>
    <w:tmpl w:val="F782EDF6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C029D"/>
    <w:multiLevelType w:val="hybridMultilevel"/>
    <w:tmpl w:val="7C007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3519"/>
    <w:multiLevelType w:val="hybridMultilevel"/>
    <w:tmpl w:val="0646091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EF16C2"/>
    <w:multiLevelType w:val="hybridMultilevel"/>
    <w:tmpl w:val="6F324A2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0B36D9D"/>
    <w:multiLevelType w:val="multilevel"/>
    <w:tmpl w:val="BDA4F2C8"/>
    <w:lvl w:ilvl="0">
      <w:start w:val="1"/>
      <w:numFmt w:val="decimal"/>
      <w:pStyle w:val="CalloutBull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55E0E9F"/>
    <w:multiLevelType w:val="hybridMultilevel"/>
    <w:tmpl w:val="C7B4D102"/>
    <w:lvl w:ilvl="0" w:tplc="DD64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B44E27"/>
    <w:multiLevelType w:val="hybridMultilevel"/>
    <w:tmpl w:val="D242B2AE"/>
    <w:lvl w:ilvl="0" w:tplc="3B56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414B0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FA6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0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A3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4D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C5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E9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00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321703"/>
    <w:multiLevelType w:val="hybridMultilevel"/>
    <w:tmpl w:val="F5DECC52"/>
    <w:lvl w:ilvl="0" w:tplc="2974B15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022DB"/>
    <w:multiLevelType w:val="hybridMultilevel"/>
    <w:tmpl w:val="F3D247E6"/>
    <w:lvl w:ilvl="0" w:tplc="2974B15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C04639"/>
    <w:multiLevelType w:val="hybridMultilevel"/>
    <w:tmpl w:val="F612CD5C"/>
    <w:lvl w:ilvl="0" w:tplc="5A8641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8"/>
  </w:num>
  <w:num w:numId="4">
    <w:abstractNumId w:val="23"/>
  </w:num>
  <w:num w:numId="5">
    <w:abstractNumId w:val="24"/>
  </w:num>
  <w:num w:numId="6">
    <w:abstractNumId w:val="12"/>
  </w:num>
  <w:num w:numId="7">
    <w:abstractNumId w:val="17"/>
  </w:num>
  <w:num w:numId="8">
    <w:abstractNumId w:val="14"/>
  </w:num>
  <w:num w:numId="9">
    <w:abstractNumId w:val="28"/>
  </w:num>
  <w:num w:numId="10">
    <w:abstractNumId w:val="2"/>
  </w:num>
  <w:num w:numId="11">
    <w:abstractNumId w:val="16"/>
  </w:num>
  <w:num w:numId="12">
    <w:abstractNumId w:val="4"/>
  </w:num>
  <w:num w:numId="13">
    <w:abstractNumId w:val="26"/>
  </w:num>
  <w:num w:numId="14">
    <w:abstractNumId w:val="22"/>
  </w:num>
  <w:num w:numId="15">
    <w:abstractNumId w:val="18"/>
  </w:num>
  <w:num w:numId="16">
    <w:abstractNumId w:val="3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9"/>
  </w:num>
  <w:num w:numId="22">
    <w:abstractNumId w:val="15"/>
  </w:num>
  <w:num w:numId="23">
    <w:abstractNumId w:val="1"/>
  </w:num>
  <w:num w:numId="24">
    <w:abstractNumId w:val="11"/>
  </w:num>
  <w:num w:numId="25">
    <w:abstractNumId w:val="29"/>
  </w:num>
  <w:num w:numId="26">
    <w:abstractNumId w:val="12"/>
  </w:num>
  <w:num w:numId="27">
    <w:abstractNumId w:val="11"/>
  </w:num>
  <w:num w:numId="28">
    <w:abstractNumId w:val="29"/>
  </w:num>
  <w:num w:numId="29">
    <w:abstractNumId w:val="21"/>
  </w:num>
  <w:num w:numId="30">
    <w:abstractNumId w:val="25"/>
  </w:num>
  <w:num w:numId="31">
    <w:abstractNumId w:val="6"/>
  </w:num>
  <w:num w:numId="32">
    <w:abstractNumId w:val="12"/>
  </w:num>
  <w:num w:numId="33">
    <w:abstractNumId w:val="19"/>
  </w:num>
  <w:num w:numId="34">
    <w:abstractNumId w:val="20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4D"/>
    <w:rsid w:val="0000366A"/>
    <w:rsid w:val="00003FF8"/>
    <w:rsid w:val="00006D48"/>
    <w:rsid w:val="00016EB2"/>
    <w:rsid w:val="00020ED9"/>
    <w:rsid w:val="00020F38"/>
    <w:rsid w:val="00034068"/>
    <w:rsid w:val="00043D63"/>
    <w:rsid w:val="00044A07"/>
    <w:rsid w:val="00057AE4"/>
    <w:rsid w:val="00061DC7"/>
    <w:rsid w:val="000631A7"/>
    <w:rsid w:val="00064562"/>
    <w:rsid w:val="000652ED"/>
    <w:rsid w:val="00067031"/>
    <w:rsid w:val="00067547"/>
    <w:rsid w:val="00070178"/>
    <w:rsid w:val="00084FF4"/>
    <w:rsid w:val="00090047"/>
    <w:rsid w:val="0009459E"/>
    <w:rsid w:val="0009727F"/>
    <w:rsid w:val="000A5FE4"/>
    <w:rsid w:val="000B04DA"/>
    <w:rsid w:val="000B2A1C"/>
    <w:rsid w:val="000B6BFD"/>
    <w:rsid w:val="000C1DF4"/>
    <w:rsid w:val="000C359C"/>
    <w:rsid w:val="000C4BC4"/>
    <w:rsid w:val="000C63F1"/>
    <w:rsid w:val="000C6A5F"/>
    <w:rsid w:val="000D29E1"/>
    <w:rsid w:val="000E08E4"/>
    <w:rsid w:val="000E2601"/>
    <w:rsid w:val="000E362E"/>
    <w:rsid w:val="000E37AC"/>
    <w:rsid w:val="000F0FBA"/>
    <w:rsid w:val="000F1118"/>
    <w:rsid w:val="000F2720"/>
    <w:rsid w:val="000F372C"/>
    <w:rsid w:val="000F4B5B"/>
    <w:rsid w:val="001014A0"/>
    <w:rsid w:val="00105CEF"/>
    <w:rsid w:val="00106B77"/>
    <w:rsid w:val="00111949"/>
    <w:rsid w:val="001170F6"/>
    <w:rsid w:val="00123FCA"/>
    <w:rsid w:val="00125A38"/>
    <w:rsid w:val="00127C72"/>
    <w:rsid w:val="0013016E"/>
    <w:rsid w:val="00131658"/>
    <w:rsid w:val="00133B21"/>
    <w:rsid w:val="0013580F"/>
    <w:rsid w:val="00137E8E"/>
    <w:rsid w:val="00142043"/>
    <w:rsid w:val="001506E4"/>
    <w:rsid w:val="0015707B"/>
    <w:rsid w:val="001607FB"/>
    <w:rsid w:val="0016101D"/>
    <w:rsid w:val="0016465A"/>
    <w:rsid w:val="001676B6"/>
    <w:rsid w:val="00167914"/>
    <w:rsid w:val="00177CFF"/>
    <w:rsid w:val="00181475"/>
    <w:rsid w:val="001850B4"/>
    <w:rsid w:val="00190392"/>
    <w:rsid w:val="0019080C"/>
    <w:rsid w:val="00192673"/>
    <w:rsid w:val="00194A0D"/>
    <w:rsid w:val="001A4525"/>
    <w:rsid w:val="001B2781"/>
    <w:rsid w:val="001B2A68"/>
    <w:rsid w:val="001B45EF"/>
    <w:rsid w:val="001D6D36"/>
    <w:rsid w:val="001D75B0"/>
    <w:rsid w:val="001E00EF"/>
    <w:rsid w:val="001E47B4"/>
    <w:rsid w:val="001F20C3"/>
    <w:rsid w:val="001F3149"/>
    <w:rsid w:val="001F3169"/>
    <w:rsid w:val="00202975"/>
    <w:rsid w:val="00202E5C"/>
    <w:rsid w:val="00205C83"/>
    <w:rsid w:val="00205DBE"/>
    <w:rsid w:val="00207235"/>
    <w:rsid w:val="00212A63"/>
    <w:rsid w:val="00214011"/>
    <w:rsid w:val="00220C66"/>
    <w:rsid w:val="00227CC4"/>
    <w:rsid w:val="00232D43"/>
    <w:rsid w:val="00240C40"/>
    <w:rsid w:val="00244EEE"/>
    <w:rsid w:val="002450DA"/>
    <w:rsid w:val="00252709"/>
    <w:rsid w:val="002533F0"/>
    <w:rsid w:val="0025534A"/>
    <w:rsid w:val="00265DD4"/>
    <w:rsid w:val="0027094C"/>
    <w:rsid w:val="00274039"/>
    <w:rsid w:val="00274AEF"/>
    <w:rsid w:val="00276B5B"/>
    <w:rsid w:val="0028208F"/>
    <w:rsid w:val="0028380E"/>
    <w:rsid w:val="00286B36"/>
    <w:rsid w:val="00292AAB"/>
    <w:rsid w:val="002958C4"/>
    <w:rsid w:val="002A2A9D"/>
    <w:rsid w:val="002A2D58"/>
    <w:rsid w:val="002A4276"/>
    <w:rsid w:val="002B2BD9"/>
    <w:rsid w:val="002B5FAD"/>
    <w:rsid w:val="002B621B"/>
    <w:rsid w:val="002C3B64"/>
    <w:rsid w:val="002C4986"/>
    <w:rsid w:val="002C769D"/>
    <w:rsid w:val="002D4156"/>
    <w:rsid w:val="002D7B33"/>
    <w:rsid w:val="002D7E35"/>
    <w:rsid w:val="002E23E2"/>
    <w:rsid w:val="002E6E0C"/>
    <w:rsid w:val="002F0DF6"/>
    <w:rsid w:val="002F61D0"/>
    <w:rsid w:val="00315AB8"/>
    <w:rsid w:val="00315CF4"/>
    <w:rsid w:val="0032006D"/>
    <w:rsid w:val="003215C7"/>
    <w:rsid w:val="00327C8E"/>
    <w:rsid w:val="00330F14"/>
    <w:rsid w:val="00332317"/>
    <w:rsid w:val="0033684C"/>
    <w:rsid w:val="0033712E"/>
    <w:rsid w:val="00340E0D"/>
    <w:rsid w:val="003412BC"/>
    <w:rsid w:val="00341A80"/>
    <w:rsid w:val="0034403B"/>
    <w:rsid w:val="0034455C"/>
    <w:rsid w:val="00345AD1"/>
    <w:rsid w:val="0035536A"/>
    <w:rsid w:val="00356F0C"/>
    <w:rsid w:val="00357D51"/>
    <w:rsid w:val="00366964"/>
    <w:rsid w:val="00371258"/>
    <w:rsid w:val="003749B1"/>
    <w:rsid w:val="00374EF9"/>
    <w:rsid w:val="003755F4"/>
    <w:rsid w:val="00382D90"/>
    <w:rsid w:val="0038439E"/>
    <w:rsid w:val="003861B5"/>
    <w:rsid w:val="003952ED"/>
    <w:rsid w:val="003A5351"/>
    <w:rsid w:val="003A76A1"/>
    <w:rsid w:val="003B121D"/>
    <w:rsid w:val="003B2808"/>
    <w:rsid w:val="003B35B1"/>
    <w:rsid w:val="003B62FE"/>
    <w:rsid w:val="003C3523"/>
    <w:rsid w:val="003C5495"/>
    <w:rsid w:val="003C6D5B"/>
    <w:rsid w:val="003D00C3"/>
    <w:rsid w:val="003D184D"/>
    <w:rsid w:val="003D18E2"/>
    <w:rsid w:val="003D2933"/>
    <w:rsid w:val="003E0FDA"/>
    <w:rsid w:val="003E2FB5"/>
    <w:rsid w:val="003F22D1"/>
    <w:rsid w:val="00400743"/>
    <w:rsid w:val="0040294F"/>
    <w:rsid w:val="00403015"/>
    <w:rsid w:val="004033BF"/>
    <w:rsid w:val="004044C1"/>
    <w:rsid w:val="004046AC"/>
    <w:rsid w:val="0040543F"/>
    <w:rsid w:val="00405844"/>
    <w:rsid w:val="00410018"/>
    <w:rsid w:val="00411427"/>
    <w:rsid w:val="004159A3"/>
    <w:rsid w:val="004171B5"/>
    <w:rsid w:val="00424394"/>
    <w:rsid w:val="00433812"/>
    <w:rsid w:val="00436CD6"/>
    <w:rsid w:val="004425B3"/>
    <w:rsid w:val="0044630B"/>
    <w:rsid w:val="00446FE7"/>
    <w:rsid w:val="00451CB0"/>
    <w:rsid w:val="0045285F"/>
    <w:rsid w:val="00455F2B"/>
    <w:rsid w:val="0045600E"/>
    <w:rsid w:val="00463F3A"/>
    <w:rsid w:val="004650C3"/>
    <w:rsid w:val="00467B47"/>
    <w:rsid w:val="00471F29"/>
    <w:rsid w:val="0047334E"/>
    <w:rsid w:val="00474C39"/>
    <w:rsid w:val="00475F07"/>
    <w:rsid w:val="00484E29"/>
    <w:rsid w:val="00487612"/>
    <w:rsid w:val="004947D1"/>
    <w:rsid w:val="00494BAC"/>
    <w:rsid w:val="00495DA8"/>
    <w:rsid w:val="00497F76"/>
    <w:rsid w:val="004A29A2"/>
    <w:rsid w:val="004A587A"/>
    <w:rsid w:val="004B2104"/>
    <w:rsid w:val="004B22F3"/>
    <w:rsid w:val="004C0B58"/>
    <w:rsid w:val="004C33F0"/>
    <w:rsid w:val="004C6B22"/>
    <w:rsid w:val="004D111F"/>
    <w:rsid w:val="004E2431"/>
    <w:rsid w:val="004E3470"/>
    <w:rsid w:val="004E36F6"/>
    <w:rsid w:val="004E7102"/>
    <w:rsid w:val="004E7C5C"/>
    <w:rsid w:val="004F15FA"/>
    <w:rsid w:val="004F3284"/>
    <w:rsid w:val="004F444C"/>
    <w:rsid w:val="004F4518"/>
    <w:rsid w:val="0050064A"/>
    <w:rsid w:val="00501D43"/>
    <w:rsid w:val="00502485"/>
    <w:rsid w:val="00503E04"/>
    <w:rsid w:val="005103EE"/>
    <w:rsid w:val="00511E43"/>
    <w:rsid w:val="00512B40"/>
    <w:rsid w:val="00523F90"/>
    <w:rsid w:val="00524C21"/>
    <w:rsid w:val="00530CE8"/>
    <w:rsid w:val="00531320"/>
    <w:rsid w:val="00533528"/>
    <w:rsid w:val="00536B0B"/>
    <w:rsid w:val="0054474D"/>
    <w:rsid w:val="00546C2E"/>
    <w:rsid w:val="00551512"/>
    <w:rsid w:val="00556D30"/>
    <w:rsid w:val="00566452"/>
    <w:rsid w:val="00582A98"/>
    <w:rsid w:val="005855F9"/>
    <w:rsid w:val="00587007"/>
    <w:rsid w:val="00587A9D"/>
    <w:rsid w:val="0059214D"/>
    <w:rsid w:val="00592A13"/>
    <w:rsid w:val="00593E35"/>
    <w:rsid w:val="00596451"/>
    <w:rsid w:val="005A398A"/>
    <w:rsid w:val="005A5409"/>
    <w:rsid w:val="005B3334"/>
    <w:rsid w:val="005B3A17"/>
    <w:rsid w:val="005B513C"/>
    <w:rsid w:val="005C390A"/>
    <w:rsid w:val="005C556D"/>
    <w:rsid w:val="005D107E"/>
    <w:rsid w:val="005E3ED5"/>
    <w:rsid w:val="005F1021"/>
    <w:rsid w:val="005F6D36"/>
    <w:rsid w:val="006013B6"/>
    <w:rsid w:val="00602CBE"/>
    <w:rsid w:val="00604446"/>
    <w:rsid w:val="0060649A"/>
    <w:rsid w:val="006069B6"/>
    <w:rsid w:val="00607993"/>
    <w:rsid w:val="00611E91"/>
    <w:rsid w:val="00612257"/>
    <w:rsid w:val="006141B8"/>
    <w:rsid w:val="006142B2"/>
    <w:rsid w:val="00616148"/>
    <w:rsid w:val="00624A88"/>
    <w:rsid w:val="0062705E"/>
    <w:rsid w:val="00631685"/>
    <w:rsid w:val="00635BD6"/>
    <w:rsid w:val="00637381"/>
    <w:rsid w:val="00637D93"/>
    <w:rsid w:val="00652A52"/>
    <w:rsid w:val="006615E0"/>
    <w:rsid w:val="00663F9B"/>
    <w:rsid w:val="00666A7E"/>
    <w:rsid w:val="00666FD1"/>
    <w:rsid w:val="00670124"/>
    <w:rsid w:val="006702DE"/>
    <w:rsid w:val="00674033"/>
    <w:rsid w:val="00681844"/>
    <w:rsid w:val="006824E7"/>
    <w:rsid w:val="006836FC"/>
    <w:rsid w:val="00684BE8"/>
    <w:rsid w:val="006878B3"/>
    <w:rsid w:val="0069564F"/>
    <w:rsid w:val="00697A32"/>
    <w:rsid w:val="006A3313"/>
    <w:rsid w:val="006A412C"/>
    <w:rsid w:val="006B7D36"/>
    <w:rsid w:val="006C2BEE"/>
    <w:rsid w:val="006C3299"/>
    <w:rsid w:val="006C66AB"/>
    <w:rsid w:val="006D0BE6"/>
    <w:rsid w:val="006E0516"/>
    <w:rsid w:val="006E34AE"/>
    <w:rsid w:val="006E4D7E"/>
    <w:rsid w:val="006E7D24"/>
    <w:rsid w:val="007013DD"/>
    <w:rsid w:val="007135C3"/>
    <w:rsid w:val="0071410A"/>
    <w:rsid w:val="00717C75"/>
    <w:rsid w:val="00733780"/>
    <w:rsid w:val="0073687E"/>
    <w:rsid w:val="00736C10"/>
    <w:rsid w:val="00743B2F"/>
    <w:rsid w:val="00763F0D"/>
    <w:rsid w:val="0076509F"/>
    <w:rsid w:val="00774166"/>
    <w:rsid w:val="00784420"/>
    <w:rsid w:val="00791818"/>
    <w:rsid w:val="00794140"/>
    <w:rsid w:val="00796615"/>
    <w:rsid w:val="007975A6"/>
    <w:rsid w:val="007A2082"/>
    <w:rsid w:val="007A2D49"/>
    <w:rsid w:val="007A3363"/>
    <w:rsid w:val="007A6309"/>
    <w:rsid w:val="007A72EF"/>
    <w:rsid w:val="007B16EE"/>
    <w:rsid w:val="007C6B5C"/>
    <w:rsid w:val="007D0C15"/>
    <w:rsid w:val="007D1FA5"/>
    <w:rsid w:val="007D66FA"/>
    <w:rsid w:val="007D76ED"/>
    <w:rsid w:val="007E02F7"/>
    <w:rsid w:val="007E1B5B"/>
    <w:rsid w:val="007E3190"/>
    <w:rsid w:val="007E4C63"/>
    <w:rsid w:val="007E6493"/>
    <w:rsid w:val="00801890"/>
    <w:rsid w:val="00812E4E"/>
    <w:rsid w:val="00813552"/>
    <w:rsid w:val="008205AC"/>
    <w:rsid w:val="008217E4"/>
    <w:rsid w:val="0082341E"/>
    <w:rsid w:val="0083000E"/>
    <w:rsid w:val="008324C6"/>
    <w:rsid w:val="008340F6"/>
    <w:rsid w:val="00837D74"/>
    <w:rsid w:val="00840399"/>
    <w:rsid w:val="00842634"/>
    <w:rsid w:val="008462E9"/>
    <w:rsid w:val="00856E98"/>
    <w:rsid w:val="00860091"/>
    <w:rsid w:val="00872536"/>
    <w:rsid w:val="00872779"/>
    <w:rsid w:val="008770CF"/>
    <w:rsid w:val="00877300"/>
    <w:rsid w:val="008850A2"/>
    <w:rsid w:val="0088737E"/>
    <w:rsid w:val="00892902"/>
    <w:rsid w:val="008950A2"/>
    <w:rsid w:val="008967E4"/>
    <w:rsid w:val="008979FD"/>
    <w:rsid w:val="008A5D18"/>
    <w:rsid w:val="008A6906"/>
    <w:rsid w:val="008A6EAB"/>
    <w:rsid w:val="008B4B17"/>
    <w:rsid w:val="008B64FB"/>
    <w:rsid w:val="008B7934"/>
    <w:rsid w:val="008C494F"/>
    <w:rsid w:val="008C5222"/>
    <w:rsid w:val="008C6599"/>
    <w:rsid w:val="008C68B5"/>
    <w:rsid w:val="008D55D9"/>
    <w:rsid w:val="008D7319"/>
    <w:rsid w:val="008E46F0"/>
    <w:rsid w:val="008E5CCA"/>
    <w:rsid w:val="008E6324"/>
    <w:rsid w:val="008F22E5"/>
    <w:rsid w:val="008F2CC1"/>
    <w:rsid w:val="008F5354"/>
    <w:rsid w:val="008F5E6D"/>
    <w:rsid w:val="008F7AFC"/>
    <w:rsid w:val="00906841"/>
    <w:rsid w:val="00911CB2"/>
    <w:rsid w:val="00911D94"/>
    <w:rsid w:val="0091246E"/>
    <w:rsid w:val="009137A7"/>
    <w:rsid w:val="009146E7"/>
    <w:rsid w:val="009147DD"/>
    <w:rsid w:val="0091490C"/>
    <w:rsid w:val="009154F4"/>
    <w:rsid w:val="0092029F"/>
    <w:rsid w:val="00925B42"/>
    <w:rsid w:val="009344C6"/>
    <w:rsid w:val="0093542C"/>
    <w:rsid w:val="00936511"/>
    <w:rsid w:val="009401AC"/>
    <w:rsid w:val="009435B5"/>
    <w:rsid w:val="00960B57"/>
    <w:rsid w:val="00961444"/>
    <w:rsid w:val="009629F3"/>
    <w:rsid w:val="009655E9"/>
    <w:rsid w:val="009657FB"/>
    <w:rsid w:val="00965C31"/>
    <w:rsid w:val="00972C87"/>
    <w:rsid w:val="00973C4D"/>
    <w:rsid w:val="009742D2"/>
    <w:rsid w:val="009943AB"/>
    <w:rsid w:val="0099676F"/>
    <w:rsid w:val="009B0B6A"/>
    <w:rsid w:val="009B632F"/>
    <w:rsid w:val="009B63C2"/>
    <w:rsid w:val="009C0905"/>
    <w:rsid w:val="009C10C3"/>
    <w:rsid w:val="009C14E2"/>
    <w:rsid w:val="009D2725"/>
    <w:rsid w:val="009D3D2A"/>
    <w:rsid w:val="009D7631"/>
    <w:rsid w:val="009E0B09"/>
    <w:rsid w:val="009E226F"/>
    <w:rsid w:val="009E7F3C"/>
    <w:rsid w:val="009F0C25"/>
    <w:rsid w:val="009F660D"/>
    <w:rsid w:val="00A00756"/>
    <w:rsid w:val="00A05A24"/>
    <w:rsid w:val="00A0760E"/>
    <w:rsid w:val="00A07A1B"/>
    <w:rsid w:val="00A12742"/>
    <w:rsid w:val="00A15574"/>
    <w:rsid w:val="00A15C0B"/>
    <w:rsid w:val="00A216F9"/>
    <w:rsid w:val="00A31EED"/>
    <w:rsid w:val="00A32E18"/>
    <w:rsid w:val="00A34127"/>
    <w:rsid w:val="00A40015"/>
    <w:rsid w:val="00A46F23"/>
    <w:rsid w:val="00A50448"/>
    <w:rsid w:val="00A50AFD"/>
    <w:rsid w:val="00A7186B"/>
    <w:rsid w:val="00A71FA8"/>
    <w:rsid w:val="00A73C8E"/>
    <w:rsid w:val="00A76024"/>
    <w:rsid w:val="00A77831"/>
    <w:rsid w:val="00A82E86"/>
    <w:rsid w:val="00A8457C"/>
    <w:rsid w:val="00A87E8B"/>
    <w:rsid w:val="00A9000B"/>
    <w:rsid w:val="00A946A9"/>
    <w:rsid w:val="00A95312"/>
    <w:rsid w:val="00A95F6D"/>
    <w:rsid w:val="00AA0834"/>
    <w:rsid w:val="00AA0A3E"/>
    <w:rsid w:val="00AB098D"/>
    <w:rsid w:val="00AB27F9"/>
    <w:rsid w:val="00AB3EBC"/>
    <w:rsid w:val="00AB4E25"/>
    <w:rsid w:val="00AB5F7B"/>
    <w:rsid w:val="00AC17ED"/>
    <w:rsid w:val="00AC229B"/>
    <w:rsid w:val="00AC4C80"/>
    <w:rsid w:val="00AC7EC8"/>
    <w:rsid w:val="00AD0B0A"/>
    <w:rsid w:val="00AD3FD7"/>
    <w:rsid w:val="00AD5F7F"/>
    <w:rsid w:val="00AD698A"/>
    <w:rsid w:val="00AD7ACB"/>
    <w:rsid w:val="00AE0C8C"/>
    <w:rsid w:val="00AE5476"/>
    <w:rsid w:val="00AF0936"/>
    <w:rsid w:val="00B0049B"/>
    <w:rsid w:val="00B00A04"/>
    <w:rsid w:val="00B00BC8"/>
    <w:rsid w:val="00B00E78"/>
    <w:rsid w:val="00B0742B"/>
    <w:rsid w:val="00B11DDC"/>
    <w:rsid w:val="00B13C89"/>
    <w:rsid w:val="00B148E4"/>
    <w:rsid w:val="00B14AD9"/>
    <w:rsid w:val="00B206C4"/>
    <w:rsid w:val="00B26E4B"/>
    <w:rsid w:val="00B33C57"/>
    <w:rsid w:val="00B33E57"/>
    <w:rsid w:val="00B36E65"/>
    <w:rsid w:val="00B40D06"/>
    <w:rsid w:val="00B5152D"/>
    <w:rsid w:val="00B5396C"/>
    <w:rsid w:val="00B67D04"/>
    <w:rsid w:val="00B67E24"/>
    <w:rsid w:val="00B76DC0"/>
    <w:rsid w:val="00B842F5"/>
    <w:rsid w:val="00B8655E"/>
    <w:rsid w:val="00B90991"/>
    <w:rsid w:val="00B9339B"/>
    <w:rsid w:val="00B94A6B"/>
    <w:rsid w:val="00B97961"/>
    <w:rsid w:val="00BA1ACC"/>
    <w:rsid w:val="00BA4FF9"/>
    <w:rsid w:val="00BA5BAD"/>
    <w:rsid w:val="00BA602C"/>
    <w:rsid w:val="00BB2190"/>
    <w:rsid w:val="00BB25C4"/>
    <w:rsid w:val="00BB26EF"/>
    <w:rsid w:val="00BB4029"/>
    <w:rsid w:val="00BB59AA"/>
    <w:rsid w:val="00BB703C"/>
    <w:rsid w:val="00BB7B45"/>
    <w:rsid w:val="00BC0280"/>
    <w:rsid w:val="00BD0563"/>
    <w:rsid w:val="00BD79E5"/>
    <w:rsid w:val="00BE15EC"/>
    <w:rsid w:val="00BF0029"/>
    <w:rsid w:val="00BF4B74"/>
    <w:rsid w:val="00C00C46"/>
    <w:rsid w:val="00C02BFF"/>
    <w:rsid w:val="00C11D0C"/>
    <w:rsid w:val="00C14135"/>
    <w:rsid w:val="00C1444E"/>
    <w:rsid w:val="00C20EBB"/>
    <w:rsid w:val="00C21C33"/>
    <w:rsid w:val="00C2298B"/>
    <w:rsid w:val="00C22A56"/>
    <w:rsid w:val="00C24A7A"/>
    <w:rsid w:val="00C36E87"/>
    <w:rsid w:val="00C423F4"/>
    <w:rsid w:val="00C427EA"/>
    <w:rsid w:val="00C44794"/>
    <w:rsid w:val="00C46495"/>
    <w:rsid w:val="00C46A9A"/>
    <w:rsid w:val="00C51199"/>
    <w:rsid w:val="00C538CC"/>
    <w:rsid w:val="00C56962"/>
    <w:rsid w:val="00C57C96"/>
    <w:rsid w:val="00C62ACD"/>
    <w:rsid w:val="00C6446B"/>
    <w:rsid w:val="00C71CAB"/>
    <w:rsid w:val="00C72D97"/>
    <w:rsid w:val="00C81AF7"/>
    <w:rsid w:val="00C84981"/>
    <w:rsid w:val="00C9231F"/>
    <w:rsid w:val="00C95512"/>
    <w:rsid w:val="00CA534D"/>
    <w:rsid w:val="00CC3FFC"/>
    <w:rsid w:val="00CC6498"/>
    <w:rsid w:val="00CC7FFE"/>
    <w:rsid w:val="00CD404B"/>
    <w:rsid w:val="00CD6F15"/>
    <w:rsid w:val="00CE29D7"/>
    <w:rsid w:val="00CE3D01"/>
    <w:rsid w:val="00CE60A1"/>
    <w:rsid w:val="00CE63BE"/>
    <w:rsid w:val="00CF3B06"/>
    <w:rsid w:val="00D019EB"/>
    <w:rsid w:val="00D048A5"/>
    <w:rsid w:val="00D13A87"/>
    <w:rsid w:val="00D2214C"/>
    <w:rsid w:val="00D22BA0"/>
    <w:rsid w:val="00D25612"/>
    <w:rsid w:val="00D27F43"/>
    <w:rsid w:val="00D31283"/>
    <w:rsid w:val="00D32399"/>
    <w:rsid w:val="00D3277B"/>
    <w:rsid w:val="00D347C6"/>
    <w:rsid w:val="00D363DC"/>
    <w:rsid w:val="00D37273"/>
    <w:rsid w:val="00D46546"/>
    <w:rsid w:val="00D61F38"/>
    <w:rsid w:val="00D6528F"/>
    <w:rsid w:val="00D7342F"/>
    <w:rsid w:val="00D751DD"/>
    <w:rsid w:val="00D7578E"/>
    <w:rsid w:val="00D757DB"/>
    <w:rsid w:val="00D758C4"/>
    <w:rsid w:val="00D8198B"/>
    <w:rsid w:val="00D83967"/>
    <w:rsid w:val="00D92660"/>
    <w:rsid w:val="00D964E9"/>
    <w:rsid w:val="00DA0189"/>
    <w:rsid w:val="00DA096D"/>
    <w:rsid w:val="00DA17C7"/>
    <w:rsid w:val="00DA57D3"/>
    <w:rsid w:val="00DA722D"/>
    <w:rsid w:val="00DA7E1A"/>
    <w:rsid w:val="00DB1285"/>
    <w:rsid w:val="00DB2A3D"/>
    <w:rsid w:val="00DB5915"/>
    <w:rsid w:val="00DC0961"/>
    <w:rsid w:val="00DC1F8D"/>
    <w:rsid w:val="00DC5A09"/>
    <w:rsid w:val="00DC6872"/>
    <w:rsid w:val="00DC6E83"/>
    <w:rsid w:val="00DC7AC2"/>
    <w:rsid w:val="00DD1D51"/>
    <w:rsid w:val="00DD40D7"/>
    <w:rsid w:val="00DE7C28"/>
    <w:rsid w:val="00DF4831"/>
    <w:rsid w:val="00DF6D17"/>
    <w:rsid w:val="00E0150D"/>
    <w:rsid w:val="00E10583"/>
    <w:rsid w:val="00E151A0"/>
    <w:rsid w:val="00E1724D"/>
    <w:rsid w:val="00E22203"/>
    <w:rsid w:val="00E228D9"/>
    <w:rsid w:val="00E2399E"/>
    <w:rsid w:val="00E2479D"/>
    <w:rsid w:val="00E3024D"/>
    <w:rsid w:val="00E32352"/>
    <w:rsid w:val="00E347FD"/>
    <w:rsid w:val="00E402C2"/>
    <w:rsid w:val="00E403BA"/>
    <w:rsid w:val="00E41631"/>
    <w:rsid w:val="00E46CCA"/>
    <w:rsid w:val="00E47350"/>
    <w:rsid w:val="00E530A7"/>
    <w:rsid w:val="00E53F2F"/>
    <w:rsid w:val="00E601F8"/>
    <w:rsid w:val="00E63F4E"/>
    <w:rsid w:val="00E640A9"/>
    <w:rsid w:val="00E64EE0"/>
    <w:rsid w:val="00E65E59"/>
    <w:rsid w:val="00E72E17"/>
    <w:rsid w:val="00E73829"/>
    <w:rsid w:val="00E8678A"/>
    <w:rsid w:val="00E944DC"/>
    <w:rsid w:val="00E952E9"/>
    <w:rsid w:val="00E974A6"/>
    <w:rsid w:val="00EA1EE2"/>
    <w:rsid w:val="00EA5329"/>
    <w:rsid w:val="00EA6181"/>
    <w:rsid w:val="00EB1522"/>
    <w:rsid w:val="00EB2C3E"/>
    <w:rsid w:val="00EC55E6"/>
    <w:rsid w:val="00ED0D64"/>
    <w:rsid w:val="00ED295F"/>
    <w:rsid w:val="00ED4AEB"/>
    <w:rsid w:val="00ED60EC"/>
    <w:rsid w:val="00EE2EF8"/>
    <w:rsid w:val="00EE3654"/>
    <w:rsid w:val="00EE3963"/>
    <w:rsid w:val="00EE3A19"/>
    <w:rsid w:val="00EE573C"/>
    <w:rsid w:val="00EF394B"/>
    <w:rsid w:val="00EF6D72"/>
    <w:rsid w:val="00F0040A"/>
    <w:rsid w:val="00F05E22"/>
    <w:rsid w:val="00F105A8"/>
    <w:rsid w:val="00F105AC"/>
    <w:rsid w:val="00F112B8"/>
    <w:rsid w:val="00F16024"/>
    <w:rsid w:val="00F20032"/>
    <w:rsid w:val="00F22B96"/>
    <w:rsid w:val="00F23488"/>
    <w:rsid w:val="00F2588C"/>
    <w:rsid w:val="00F259D6"/>
    <w:rsid w:val="00F26590"/>
    <w:rsid w:val="00F31E30"/>
    <w:rsid w:val="00F47DE9"/>
    <w:rsid w:val="00F516D2"/>
    <w:rsid w:val="00F51A80"/>
    <w:rsid w:val="00F55653"/>
    <w:rsid w:val="00F557CB"/>
    <w:rsid w:val="00F573B5"/>
    <w:rsid w:val="00F636B0"/>
    <w:rsid w:val="00F66106"/>
    <w:rsid w:val="00F77208"/>
    <w:rsid w:val="00F77D9C"/>
    <w:rsid w:val="00F8218D"/>
    <w:rsid w:val="00F94F7D"/>
    <w:rsid w:val="00FA1039"/>
    <w:rsid w:val="00FA10B4"/>
    <w:rsid w:val="00FA137B"/>
    <w:rsid w:val="00FA37A8"/>
    <w:rsid w:val="00FA64BA"/>
    <w:rsid w:val="00FB1516"/>
    <w:rsid w:val="00FB4092"/>
    <w:rsid w:val="00FB48B9"/>
    <w:rsid w:val="00FC11E0"/>
    <w:rsid w:val="00FD21CA"/>
    <w:rsid w:val="00FE1D3C"/>
    <w:rsid w:val="00FE2A0E"/>
    <w:rsid w:val="00FE638A"/>
    <w:rsid w:val="00FF18D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D3DC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5F1021"/>
    <w:pPr>
      <w:spacing w:before="120" w:line="360" w:lineRule="auto"/>
    </w:pPr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A95F6D"/>
    <w:pPr>
      <w:keepNext/>
      <w:keepLines/>
      <w:spacing w:before="120" w:line="360" w:lineRule="auto"/>
      <w:outlineLvl w:val="0"/>
    </w:pPr>
    <w:rPr>
      <w:rFonts w:ascii="Helvetica" w:hAnsi="Helvetica" w:cs="Arial"/>
      <w:color w:val="263746"/>
      <w:sz w:val="44"/>
      <w:szCs w:val="26"/>
      <w:lang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5F1021"/>
    <w:pPr>
      <w:numPr>
        <w:ilvl w:val="1"/>
      </w:numPr>
      <w:spacing w:before="180"/>
      <w:outlineLvl w:val="1"/>
    </w:pPr>
    <w:rPr>
      <w:sz w:val="4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5F1021"/>
    <w:pPr>
      <w:numPr>
        <w:ilvl w:val="2"/>
      </w:numPr>
      <w:spacing w:before="120"/>
      <w:outlineLvl w:val="2"/>
    </w:pPr>
    <w:rPr>
      <w:sz w:val="28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F1021"/>
    <w:pPr>
      <w:numPr>
        <w:ilvl w:val="0"/>
      </w:numPr>
      <w:outlineLvl w:val="3"/>
    </w:pPr>
    <w:rPr>
      <w:color w:val="0194A6"/>
      <w:sz w:val="24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95F6D"/>
    <w:rPr>
      <w:rFonts w:ascii="Helvetica" w:hAnsi="Helvetica" w:cs="Arial"/>
      <w:color w:val="26374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F1021"/>
    <w:rPr>
      <w:rFonts w:ascii="Helvetica" w:hAnsi="Helvetica" w:cs="Arial"/>
      <w:color w:val="263746"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F1021"/>
    <w:rPr>
      <w:rFonts w:ascii="Helvetica" w:hAnsi="Helvetica" w:cs="Arial"/>
      <w:color w:val="263746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F1021"/>
    <w:rPr>
      <w:rFonts w:ascii="Helvetica" w:hAnsi="Helvetica" w:cs="Arial"/>
      <w:color w:val="0194A6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105CEF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aliases w:val="List Paragraph1,List Paragraph11,Recommendation,Brief List Paragraph 1,DDM Gen Text"/>
    <w:basedOn w:val="Normal"/>
    <w:link w:val="ListParagraphChar"/>
    <w:uiPriority w:val="34"/>
    <w:qFormat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5F1021"/>
    <w:pPr>
      <w:ind w:left="720"/>
    </w:pPr>
    <w:rPr>
      <w:color w:val="0194A6"/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5F1021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5F102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5F1021"/>
    <w:rPr>
      <w:rFonts w:ascii="Arial" w:hAnsi="Arial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rsid w:val="00602CBE"/>
    <w:pPr>
      <w:framePr w:w="4820" w:wrap="around" w:vAnchor="page" w:hAnchor="text" w:x="5388" w:y="795"/>
      <w:spacing w:before="4440" w:after="2400" w:line="480" w:lineRule="auto"/>
    </w:pPr>
    <w:rPr>
      <w:rFonts w:eastAsiaTheme="minorHAnsi" w:cs="Times New Roman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FB4092"/>
    <w:pPr>
      <w:framePr w:w="0" w:wrap="auto" w:vAnchor="margin" w:xAlign="left" w:yAlign="inline"/>
      <w:spacing w:before="113" w:after="120" w:line="400" w:lineRule="exact"/>
    </w:pPr>
    <w:rPr>
      <w:rFonts w:ascii="Helvetica" w:hAnsi="Helvetica"/>
      <w:sz w:val="44"/>
      <w:szCs w:val="44"/>
    </w:rPr>
  </w:style>
  <w:style w:type="paragraph" w:customStyle="1" w:styleId="Bullet">
    <w:name w:val="Bullet"/>
    <w:basedOn w:val="Normal"/>
    <w:autoRedefine/>
    <w:qFormat/>
    <w:rsid w:val="005F1021"/>
    <w:pPr>
      <w:numPr>
        <w:numId w:val="26"/>
      </w:numPr>
      <w:spacing w:after="240" w:line="240" w:lineRule="auto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5F1021"/>
    <w:pPr>
      <w:pBdr>
        <w:top w:val="single" w:sz="48" w:space="3" w:color="263746"/>
        <w:left w:val="single" w:sz="48" w:space="8" w:color="263746"/>
        <w:bottom w:val="single" w:sz="48" w:space="6" w:color="263746"/>
        <w:right w:val="single" w:sz="48" w:space="8" w:color="263746"/>
      </w:pBdr>
      <w:spacing w:before="240" w:after="113" w:line="320" w:lineRule="exact"/>
      <w:ind w:left="284" w:right="284"/>
      <w:contextualSpacing/>
    </w:pPr>
    <w:rPr>
      <w:rFonts w:eastAsiaTheme="minorHAnsi" w:cs="Times New Roman"/>
      <w:b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CF3B06"/>
    <w:pPr>
      <w:keepNext/>
      <w:keepLines/>
      <w:widowControl w:val="0"/>
      <w:spacing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5F1021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line="560" w:lineRule="exac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5F1021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1021"/>
    <w:rPr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F1021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5F1021"/>
    <w:pPr>
      <w:contextualSpacing w:val="0"/>
    </w:pPr>
    <w:rPr>
      <w:b w:val="0"/>
      <w:sz w:val="24"/>
    </w:rPr>
  </w:style>
  <w:style w:type="character" w:customStyle="1" w:styleId="CalloutboxChar">
    <w:name w:val="Callout box Char"/>
    <w:basedOn w:val="DefaultParagraphFont"/>
    <w:link w:val="Calloutbox"/>
    <w:rsid w:val="005F1021"/>
    <w:rPr>
      <w:rFonts w:ascii="Arial" w:eastAsiaTheme="minorHAnsi" w:hAnsi="Arial"/>
      <w:b/>
      <w:sz w:val="22"/>
      <w:szCs w:val="22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5F1021"/>
    <w:rPr>
      <w:rFonts w:ascii="Arial" w:eastAsiaTheme="minorHAnsi" w:hAnsi="Arial"/>
      <w:b w:val="0"/>
      <w:sz w:val="24"/>
      <w:szCs w:val="22"/>
      <w:lang w:eastAsia="en-US"/>
    </w:rPr>
  </w:style>
  <w:style w:type="paragraph" w:customStyle="1" w:styleId="Calloutbox1">
    <w:name w:val="Callout box1"/>
    <w:basedOn w:val="Normal"/>
    <w:next w:val="Normal"/>
    <w:autoRedefine/>
    <w:rsid w:val="002A2A9D"/>
    <w:pPr>
      <w:pBdr>
        <w:top w:val="single" w:sz="48" w:space="3" w:color="33C1D7"/>
        <w:left w:val="single" w:sz="48" w:space="8" w:color="33C1D7"/>
        <w:bottom w:val="single" w:sz="48" w:space="6" w:color="33C1D7"/>
        <w:right w:val="single" w:sz="48" w:space="8" w:color="33C1D7"/>
      </w:pBdr>
      <w:spacing w:before="240" w:after="113" w:line="320" w:lineRule="exact"/>
      <w:ind w:left="284" w:right="284"/>
      <w:contextualSpacing/>
    </w:pPr>
    <w:rPr>
      <w:rFonts w:eastAsiaTheme="minorHAnsi" w:cs="Times New Roman"/>
      <w:b/>
      <w:szCs w:val="22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paragraph" w:customStyle="1" w:styleId="Default">
    <w:name w:val="Default"/>
    <w:rsid w:val="00B67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"/>
    <w:basedOn w:val="DefaultParagraphFont"/>
    <w:link w:val="ListParagraph"/>
    <w:uiPriority w:val="34"/>
    <w:locked/>
    <w:rsid w:val="00796615"/>
    <w:rPr>
      <w:rFonts w:asciiTheme="minorHAnsi" w:hAnsiTheme="minorHAnsi" w:cs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EE3654"/>
    <w:rPr>
      <w:rFonts w:asciiTheme="minorHAnsi" w:hAnsiTheme="minorHAnsi" w:cs="Arial"/>
      <w:sz w:val="22"/>
      <w:szCs w:val="24"/>
      <w:lang w:eastAsia="en-US"/>
    </w:rPr>
  </w:style>
  <w:style w:type="paragraph" w:customStyle="1" w:styleId="Coverheading">
    <w:name w:val="Cover heading"/>
    <w:basedOn w:val="Normal"/>
    <w:link w:val="CoverheadingChar"/>
    <w:qFormat/>
    <w:rsid w:val="005F1021"/>
    <w:pPr>
      <w:spacing w:before="4440" w:after="2400" w:line="480" w:lineRule="auto"/>
    </w:pPr>
    <w:rPr>
      <w:rFonts w:ascii="Helvetica" w:eastAsiaTheme="minorHAnsi" w:hAnsi="Helvetica" w:cs="Times New Roman"/>
      <w:color w:val="263746"/>
      <w:sz w:val="60"/>
      <w:szCs w:val="22"/>
    </w:rPr>
  </w:style>
  <w:style w:type="character" w:customStyle="1" w:styleId="CoverheadingChar">
    <w:name w:val="Cover heading Char"/>
    <w:basedOn w:val="DefaultParagraphFont"/>
    <w:link w:val="Coverheading"/>
    <w:rsid w:val="005F1021"/>
    <w:rPr>
      <w:rFonts w:ascii="Helvetica" w:eastAsiaTheme="minorHAnsi" w:hAnsi="Helvetica"/>
      <w:color w:val="263746"/>
      <w:sz w:val="60"/>
      <w:szCs w:val="22"/>
      <w:lang w:eastAsia="en-US"/>
    </w:rPr>
  </w:style>
  <w:style w:type="paragraph" w:customStyle="1" w:styleId="CalloutItalic">
    <w:name w:val="Callout Italic"/>
    <w:basedOn w:val="Calloutbox"/>
    <w:link w:val="CalloutItalicChar"/>
    <w:rsid w:val="005F1021"/>
    <w:pPr>
      <w:contextualSpacing w:val="0"/>
    </w:pPr>
    <w:rPr>
      <w:i/>
    </w:rPr>
  </w:style>
  <w:style w:type="character" w:customStyle="1" w:styleId="CalloutItalicChar">
    <w:name w:val="Callout Italic Char"/>
    <w:basedOn w:val="CalloutboxChar"/>
    <w:link w:val="CalloutItalic"/>
    <w:rsid w:val="005F1021"/>
    <w:rPr>
      <w:rFonts w:ascii="Arial" w:eastAsiaTheme="minorHAnsi" w:hAnsi="Arial"/>
      <w:b/>
      <w:i/>
      <w:sz w:val="22"/>
      <w:szCs w:val="22"/>
      <w:lang w:eastAsia="en-US"/>
    </w:rPr>
  </w:style>
  <w:style w:type="paragraph" w:customStyle="1" w:styleId="Calloutbullet">
    <w:name w:val="Callout bullet"/>
    <w:basedOn w:val="Calloutbox"/>
    <w:qFormat/>
    <w:rsid w:val="005F1021"/>
    <w:pPr>
      <w:numPr>
        <w:numId w:val="27"/>
      </w:numPr>
    </w:pPr>
  </w:style>
  <w:style w:type="paragraph" w:customStyle="1" w:styleId="CalloutBullet0">
    <w:name w:val="Callout Bullet"/>
    <w:basedOn w:val="CalloutItalic"/>
    <w:link w:val="CalloutBulletChar"/>
    <w:rsid w:val="005F1021"/>
    <w:pPr>
      <w:numPr>
        <w:numId w:val="29"/>
      </w:numPr>
      <w:ind w:left="709" w:hanging="425"/>
    </w:pPr>
    <w:rPr>
      <w:i w:val="0"/>
    </w:rPr>
  </w:style>
  <w:style w:type="character" w:customStyle="1" w:styleId="CalloutBulletChar">
    <w:name w:val="Callout Bullet Char"/>
    <w:basedOn w:val="CalloutItalicChar"/>
    <w:link w:val="CalloutBullet0"/>
    <w:rsid w:val="005F1021"/>
    <w:rPr>
      <w:rFonts w:ascii="Arial" w:eastAsiaTheme="minorHAnsi" w:hAnsi="Arial"/>
      <w:b/>
      <w:i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37D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even.Ronson@fwo.gov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a@fwo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airwork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63752042.dotm</Template>
  <TotalTime>0</TotalTime>
  <Pages>7</Pages>
  <Words>1061</Words>
  <Characters>6075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FWO-ASIC Joint Audit Campaign Report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FWO-ASIC Joint Audit Campaign Report</dc:title>
  <dc:subject/>
  <dc:creator/>
  <cp:keywords/>
  <cp:lastModifiedBy/>
  <cp:revision>1</cp:revision>
  <dcterms:created xsi:type="dcterms:W3CDTF">2019-05-09T04:11:00Z</dcterms:created>
  <dcterms:modified xsi:type="dcterms:W3CDTF">2019-05-09T04:25:00Z</dcterms:modified>
</cp:coreProperties>
</file>