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F849" w14:textId="37FBEC98" w:rsidR="006059E9" w:rsidRDefault="0000351D" w:rsidP="002A65CC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2C47528" wp14:editId="7ABEBA72">
            <wp:simplePos x="0" y="0"/>
            <wp:positionH relativeFrom="page">
              <wp:align>right</wp:align>
            </wp:positionH>
            <wp:positionV relativeFrom="paragraph">
              <wp:posOffset>-990601</wp:posOffset>
            </wp:positionV>
            <wp:extent cx="7559513" cy="10693157"/>
            <wp:effectExtent l="0" t="0" r="3810" b="0"/>
            <wp:wrapNone/>
            <wp:docPr id="2" name="Picture 2" descr="Infographic outlining findings and outcomes of the East Coast Retail Hair and Beauty Campaign Report. $1,223,147 recovered for 1482 employees from 752 businesses." title="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t-retail-hair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513" cy="1069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D5592" w14:textId="32ECFDF1" w:rsidR="007B043E" w:rsidRDefault="006059E9" w:rsidP="002A65CC">
      <w:r>
        <w:rPr>
          <w:noProof/>
          <w:lang w:eastAsia="en-AU"/>
        </w:rPr>
        <w:t>[infographic]</w:t>
      </w:r>
    </w:p>
    <w:p w14:paraId="01DCB50E" w14:textId="693882B9" w:rsidR="00174429" w:rsidRDefault="00174429" w:rsidP="002A65CC"/>
    <w:p w14:paraId="517F4337" w14:textId="77777777" w:rsidR="003C36DA" w:rsidRDefault="003C36DA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0B1A949C" w14:textId="466FB873" w:rsidR="00AF74D9" w:rsidRPr="00073307" w:rsidRDefault="004A3817" w:rsidP="00073307">
      <w:pPr>
        <w:pStyle w:val="Heading1"/>
      </w:pPr>
      <w:r w:rsidRPr="00073307">
        <w:lastRenderedPageBreak/>
        <w:t xml:space="preserve">East Coast </w:t>
      </w:r>
      <w:r w:rsidR="00663623" w:rsidRPr="00073307">
        <w:t xml:space="preserve">Retail </w:t>
      </w:r>
      <w:r w:rsidR="00423288" w:rsidRPr="00073307">
        <w:t xml:space="preserve">and </w:t>
      </w:r>
      <w:r w:rsidR="00663623" w:rsidRPr="00073307">
        <w:t xml:space="preserve">Hair </w:t>
      </w:r>
      <w:r w:rsidR="00423288" w:rsidRPr="00073307">
        <w:t>&amp;</w:t>
      </w:r>
      <w:r w:rsidR="00663623" w:rsidRPr="00073307">
        <w:t xml:space="preserve"> Beauty Campaign</w:t>
      </w:r>
    </w:p>
    <w:p w14:paraId="15C3D2D5" w14:textId="77777777" w:rsidR="00AF74D9" w:rsidRDefault="005D5A92" w:rsidP="00073307">
      <w:pPr>
        <w:pStyle w:val="Heading2"/>
      </w:pPr>
      <w:r>
        <w:t>What we did and why</w:t>
      </w:r>
    </w:p>
    <w:p w14:paraId="4EEB4867" w14:textId="77777777" w:rsidR="00073307" w:rsidRDefault="0001530E" w:rsidP="005B4E93">
      <w:r>
        <w:t>The Fair Work Ombudsman (FWO) audited 3</w:t>
      </w:r>
      <w:r w:rsidRPr="00783A7C">
        <w:t>887 businesses</w:t>
      </w:r>
      <w:r>
        <w:t xml:space="preserve"> in the retail </w:t>
      </w:r>
      <w:r w:rsidR="00663623">
        <w:t xml:space="preserve">and </w:t>
      </w:r>
      <w:r>
        <w:t>hair and beauty sector</w:t>
      </w:r>
      <w:r w:rsidR="00663623">
        <w:t>s on the East Coast (Queensland, NSW and Victoria)</w:t>
      </w:r>
      <w:r w:rsidR="00073307">
        <w:t xml:space="preserve">. </w:t>
      </w:r>
      <w:r w:rsidR="00663623">
        <w:t>H</w:t>
      </w:r>
      <w:r w:rsidR="00771067">
        <w:t>igh proportion</w:t>
      </w:r>
      <w:r w:rsidR="00663623">
        <w:t>s</w:t>
      </w:r>
      <w:r w:rsidR="00771067">
        <w:t xml:space="preserve"> of vulnerable </w:t>
      </w:r>
      <w:r w:rsidR="00663623">
        <w:t xml:space="preserve">young workers, including </w:t>
      </w:r>
      <w:r w:rsidR="00771067">
        <w:t>apprentices and trainees</w:t>
      </w:r>
      <w:r w:rsidR="00663623">
        <w:t xml:space="preserve"> </w:t>
      </w:r>
      <w:proofErr w:type="gramStart"/>
      <w:r w:rsidR="00663623">
        <w:t>are employed</w:t>
      </w:r>
      <w:proofErr w:type="gramEnd"/>
      <w:r w:rsidR="00663623">
        <w:t xml:space="preserve"> in these sectors, and our </w:t>
      </w:r>
      <w:r w:rsidR="00771067">
        <w:t>c</w:t>
      </w:r>
      <w:r>
        <w:t xml:space="preserve">ompliance </w:t>
      </w:r>
      <w:r w:rsidR="00771067">
        <w:t xml:space="preserve">work </w:t>
      </w:r>
      <w:r>
        <w:t>has consistently found high levels of non-compliance.</w:t>
      </w:r>
      <w:r w:rsidR="00073307" w:rsidRPr="00073307">
        <w:t xml:space="preserve"> </w:t>
      </w:r>
    </w:p>
    <w:p w14:paraId="2AD1F735" w14:textId="1470E765" w:rsidR="0001530E" w:rsidRPr="00783A7C" w:rsidRDefault="00073307" w:rsidP="005B4E93">
      <w:r>
        <w:t xml:space="preserve">The audits </w:t>
      </w:r>
      <w:proofErr w:type="gramStart"/>
      <w:r>
        <w:t>were completed</w:t>
      </w:r>
      <w:proofErr w:type="gramEnd"/>
      <w:r>
        <w:t xml:space="preserve"> between February 2017 and December 2018. </w:t>
      </w:r>
      <w:r w:rsidR="0001530E" w:rsidRPr="00783A7C">
        <w:t xml:space="preserve">Fair Work Inspectors assessed records against the </w:t>
      </w:r>
      <w:r w:rsidR="0001530E" w:rsidRPr="00783A7C">
        <w:rPr>
          <w:i/>
        </w:rPr>
        <w:t>Fair Work Act 2009</w:t>
      </w:r>
      <w:r w:rsidR="0001530E" w:rsidRPr="00783A7C">
        <w:t xml:space="preserve"> (the Act), the </w:t>
      </w:r>
      <w:r w:rsidR="0001530E" w:rsidRPr="00783A7C">
        <w:rPr>
          <w:i/>
        </w:rPr>
        <w:t>Fair Work Regulations 2009</w:t>
      </w:r>
      <w:r w:rsidR="0001530E" w:rsidRPr="00783A7C">
        <w:t xml:space="preserve"> (the Regulations) and applicable modern awards (e.g. </w:t>
      </w:r>
      <w:r w:rsidR="0001530E" w:rsidRPr="00783A7C">
        <w:rPr>
          <w:i/>
        </w:rPr>
        <w:t xml:space="preserve">General Retail Industry Award 2010 </w:t>
      </w:r>
      <w:r w:rsidR="0001530E" w:rsidRPr="00783A7C">
        <w:t xml:space="preserve">and </w:t>
      </w:r>
      <w:r w:rsidR="0001530E" w:rsidRPr="00783A7C">
        <w:rPr>
          <w:i/>
        </w:rPr>
        <w:t>Hair and Beauty Industry Award 2010</w:t>
      </w:r>
      <w:r w:rsidR="0001530E" w:rsidRPr="00783A7C">
        <w:t xml:space="preserve">) and enterprise agreements. </w:t>
      </w:r>
      <w:r w:rsidR="0001530E">
        <w:t>Education</w:t>
      </w:r>
      <w:r w:rsidR="00771067">
        <w:t xml:space="preserve"> resources </w:t>
      </w:r>
      <w:proofErr w:type="gramStart"/>
      <w:r w:rsidR="00771067">
        <w:t xml:space="preserve">were </w:t>
      </w:r>
      <w:r w:rsidR="0001530E">
        <w:t>provided</w:t>
      </w:r>
      <w:proofErr w:type="gramEnd"/>
      <w:r w:rsidR="0001530E">
        <w:t xml:space="preserve"> to employers to assist with compliance.</w:t>
      </w:r>
    </w:p>
    <w:p w14:paraId="1FA0EDEE" w14:textId="4AA7166A" w:rsidR="00F94C5E" w:rsidRDefault="00F94C5E" w:rsidP="00073307">
      <w:pPr>
        <w:pStyle w:val="Heading2"/>
      </w:pPr>
      <w:r>
        <w:t>Our findings</w:t>
      </w:r>
    </w:p>
    <w:p w14:paraId="40481A80" w14:textId="7FB4C114" w:rsidR="0001530E" w:rsidRPr="006B0440" w:rsidRDefault="0001530E" w:rsidP="005B4E93">
      <w:proofErr w:type="gramStart"/>
      <w:r>
        <w:t>1</w:t>
      </w:r>
      <w:r w:rsidRPr="00B507F3">
        <w:t>758</w:t>
      </w:r>
      <w:proofErr w:type="gramEnd"/>
      <w:r w:rsidRPr="00B507F3">
        <w:t xml:space="preserve"> (45%)</w:t>
      </w:r>
      <w:r w:rsidRPr="006B0440">
        <w:t xml:space="preserve"> </w:t>
      </w:r>
      <w:r>
        <w:t xml:space="preserve">of businesses audited had </w:t>
      </w:r>
      <w:r w:rsidRPr="006B0440">
        <w:t>breach</w:t>
      </w:r>
      <w:r>
        <w:t>ed</w:t>
      </w:r>
      <w:r w:rsidR="003C227B">
        <w:t xml:space="preserve"> workplace laws.</w:t>
      </w:r>
    </w:p>
    <w:p w14:paraId="292D6E47" w14:textId="534442E2" w:rsidR="0001530E" w:rsidRPr="00B507F3" w:rsidRDefault="0001530E" w:rsidP="005B4E93">
      <w:pPr>
        <w:pStyle w:val="Bullet"/>
        <w:spacing w:before="0" w:after="120" w:line="360" w:lineRule="auto"/>
      </w:pPr>
      <w:proofErr w:type="gramStart"/>
      <w:r w:rsidRPr="00B507F3">
        <w:t>7</w:t>
      </w:r>
      <w:r>
        <w:t>79</w:t>
      </w:r>
      <w:proofErr w:type="gramEnd"/>
      <w:r w:rsidRPr="00B507F3">
        <w:t xml:space="preserve"> (20%) were </w:t>
      </w:r>
      <w:r w:rsidR="00771067">
        <w:t>not paying staff correctly</w:t>
      </w:r>
      <w:r w:rsidR="003C227B">
        <w:t>.</w:t>
      </w:r>
    </w:p>
    <w:p w14:paraId="4EEC6219" w14:textId="61DB6795" w:rsidR="0001530E" w:rsidRPr="00B507F3" w:rsidRDefault="0001530E" w:rsidP="005B4E93">
      <w:pPr>
        <w:pStyle w:val="Bullet"/>
        <w:spacing w:before="0" w:after="120" w:line="360" w:lineRule="auto"/>
      </w:pPr>
      <w:proofErr w:type="gramStart"/>
      <w:r w:rsidRPr="00B507F3">
        <w:t>72</w:t>
      </w:r>
      <w:r>
        <w:t>6</w:t>
      </w:r>
      <w:proofErr w:type="gramEnd"/>
      <w:r w:rsidRPr="00B507F3">
        <w:t xml:space="preserve"> (19%) </w:t>
      </w:r>
      <w:r w:rsidR="00771067">
        <w:t xml:space="preserve">were </w:t>
      </w:r>
      <w:r w:rsidRPr="00B507F3">
        <w:t>non-compliant with pay</w:t>
      </w:r>
      <w:r w:rsidR="00771067">
        <w:t xml:space="preserve"> </w:t>
      </w:r>
      <w:r w:rsidRPr="00B507F3">
        <w:t>slip and record-keeping requirements</w:t>
      </w:r>
      <w:r w:rsidR="003C227B">
        <w:t>.</w:t>
      </w:r>
    </w:p>
    <w:p w14:paraId="5D7C3DC9" w14:textId="7D42192D" w:rsidR="0001530E" w:rsidRPr="00B507F3" w:rsidRDefault="00643BFF" w:rsidP="005B4E93">
      <w:pPr>
        <w:pStyle w:val="Bullet"/>
        <w:spacing w:before="0" w:after="120" w:line="360" w:lineRule="auto"/>
      </w:pPr>
      <w:proofErr w:type="gramStart"/>
      <w:r>
        <w:t>253</w:t>
      </w:r>
      <w:proofErr w:type="gramEnd"/>
      <w:r>
        <w:t xml:space="preserve"> (7</w:t>
      </w:r>
      <w:r w:rsidR="0001530E" w:rsidRPr="00B507F3">
        <w:t>%) breach</w:t>
      </w:r>
      <w:r w:rsidR="00771067">
        <w:t>ed</w:t>
      </w:r>
      <w:r w:rsidR="0001530E" w:rsidRPr="00B507F3">
        <w:t xml:space="preserve"> both their monetary and non-monetary obligations</w:t>
      </w:r>
      <w:r w:rsidR="0001530E">
        <w:t>.</w:t>
      </w:r>
      <w:r>
        <w:rPr>
          <w:rStyle w:val="FootnoteReference"/>
        </w:rPr>
        <w:footnoteReference w:id="2"/>
      </w:r>
    </w:p>
    <w:p w14:paraId="025B26A8" w14:textId="1FCEB1F4" w:rsidR="0001530E" w:rsidRPr="0030758F" w:rsidRDefault="0001530E" w:rsidP="005B4E93">
      <w:r w:rsidRPr="0030758F">
        <w:t xml:space="preserve">The most common breaches </w:t>
      </w:r>
      <w:r w:rsidR="00771067">
        <w:t xml:space="preserve">related </w:t>
      </w:r>
      <w:proofErr w:type="gramStart"/>
      <w:r w:rsidR="00771067">
        <w:t>to</w:t>
      </w:r>
      <w:proofErr w:type="gramEnd"/>
      <w:r w:rsidRPr="0030758F">
        <w:t>:</w:t>
      </w:r>
    </w:p>
    <w:p w14:paraId="7DE6BE50" w14:textId="3A2598E9" w:rsidR="0001530E" w:rsidRDefault="00771067" w:rsidP="005B4E93">
      <w:pPr>
        <w:pStyle w:val="Bullet"/>
        <w:spacing w:before="0" w:after="120" w:line="360" w:lineRule="auto"/>
      </w:pPr>
      <w:proofErr w:type="gramStart"/>
      <w:r>
        <w:t>failure</w:t>
      </w:r>
      <w:proofErr w:type="gramEnd"/>
      <w:r>
        <w:t xml:space="preserve"> to provide </w:t>
      </w:r>
      <w:r w:rsidR="0001530E" w:rsidRPr="0030758F">
        <w:t>pay slip</w:t>
      </w:r>
      <w:r>
        <w:t>s</w:t>
      </w:r>
      <w:r w:rsidR="0001530E" w:rsidRPr="0030758F">
        <w:t xml:space="preserve"> as </w:t>
      </w:r>
      <w:r>
        <w:t xml:space="preserve">per requirements of </w:t>
      </w:r>
      <w:r w:rsidR="0001530E" w:rsidRPr="0030758F">
        <w:t xml:space="preserve">the Act and Regulations </w:t>
      </w:r>
      <w:r w:rsidR="0001530E" w:rsidRPr="00B507F3">
        <w:t>(35%)</w:t>
      </w:r>
      <w:r w:rsidR="0001530E" w:rsidRPr="0030758F">
        <w:t xml:space="preserve"> </w:t>
      </w:r>
    </w:p>
    <w:p w14:paraId="1820079E" w14:textId="7D354535" w:rsidR="0001530E" w:rsidRPr="0030758F" w:rsidRDefault="0001530E" w:rsidP="005B4E93">
      <w:pPr>
        <w:pStyle w:val="Bullet"/>
        <w:spacing w:before="0" w:after="120" w:line="360" w:lineRule="auto"/>
      </w:pPr>
      <w:proofErr w:type="gramStart"/>
      <w:r w:rsidRPr="0030758F">
        <w:t>underpayment</w:t>
      </w:r>
      <w:proofErr w:type="gramEnd"/>
      <w:r w:rsidRPr="0030758F">
        <w:t xml:space="preserve"> of the minimum hourly rate (</w:t>
      </w:r>
      <w:r w:rsidRPr="00B507F3">
        <w:t>33%</w:t>
      </w:r>
      <w:r w:rsidRPr="0030758F">
        <w:t>)</w:t>
      </w:r>
    </w:p>
    <w:p w14:paraId="1FD0E8E1" w14:textId="77777777" w:rsidR="0001530E" w:rsidRPr="0030758F" w:rsidRDefault="0001530E" w:rsidP="005B4E93">
      <w:pPr>
        <w:pStyle w:val="Bullet"/>
        <w:spacing w:before="0" w:after="120" w:line="360" w:lineRule="auto"/>
      </w:pPr>
      <w:proofErr w:type="gramStart"/>
      <w:r w:rsidRPr="0030758F">
        <w:t>non-payment</w:t>
      </w:r>
      <w:proofErr w:type="gramEnd"/>
      <w:r w:rsidRPr="0030758F">
        <w:t xml:space="preserve"> of penalty rates </w:t>
      </w:r>
      <w:r w:rsidRPr="00B507F3">
        <w:t>(13%)</w:t>
      </w:r>
      <w:r>
        <w:t>.</w:t>
      </w:r>
    </w:p>
    <w:p w14:paraId="2C82C739" w14:textId="77777777" w:rsidR="0001530E" w:rsidRPr="0030758F" w:rsidRDefault="0001530E" w:rsidP="005B4E93">
      <w:r w:rsidRPr="0030758F">
        <w:t>Reasons for non-compliance given by employers included:</w:t>
      </w:r>
    </w:p>
    <w:p w14:paraId="30219420" w14:textId="75EDE40C" w:rsidR="0001530E" w:rsidRPr="00B507F3" w:rsidRDefault="0001530E" w:rsidP="005B4E93">
      <w:pPr>
        <w:pStyle w:val="Bullet"/>
        <w:spacing w:before="0" w:after="120" w:line="360" w:lineRule="auto"/>
      </w:pPr>
      <w:proofErr w:type="gramStart"/>
      <w:r w:rsidRPr="00B507F3">
        <w:t>lack</w:t>
      </w:r>
      <w:proofErr w:type="gramEnd"/>
      <w:r w:rsidRPr="00B507F3">
        <w:t xml:space="preserve"> of awareness of obligations (63%) </w:t>
      </w:r>
    </w:p>
    <w:p w14:paraId="133C4EDE" w14:textId="77777777" w:rsidR="0001530E" w:rsidRPr="00B507F3" w:rsidRDefault="0001530E" w:rsidP="005B4E93">
      <w:pPr>
        <w:pStyle w:val="Bullet"/>
        <w:spacing w:before="0" w:after="120" w:line="360" w:lineRule="auto"/>
      </w:pPr>
      <w:proofErr w:type="gramStart"/>
      <w:r w:rsidRPr="00B507F3">
        <w:t>making</w:t>
      </w:r>
      <w:proofErr w:type="gramEnd"/>
      <w:r w:rsidRPr="00B507F3">
        <w:t xml:space="preserve"> a business decision that led to non-compliance, such as paying flat hourly rates in lieu of correct penalties (10%)</w:t>
      </w:r>
    </w:p>
    <w:p w14:paraId="0BAA59D1" w14:textId="77777777" w:rsidR="0001530E" w:rsidRPr="00B507F3" w:rsidRDefault="0001530E" w:rsidP="005B4E93">
      <w:pPr>
        <w:pStyle w:val="Bullet"/>
        <w:spacing w:before="0" w:after="120" w:line="360" w:lineRule="auto"/>
      </w:pPr>
      <w:proofErr w:type="gramStart"/>
      <w:r w:rsidRPr="00B507F3">
        <w:t>miss</w:t>
      </w:r>
      <w:r>
        <w:t>ing</w:t>
      </w:r>
      <w:proofErr w:type="gramEnd"/>
      <w:r w:rsidRPr="00B507F3">
        <w:t xml:space="preserve"> the July annual wage increase (9%) </w:t>
      </w:r>
    </w:p>
    <w:p w14:paraId="7FE88744" w14:textId="1C7FB24D" w:rsidR="00663623" w:rsidRPr="0000351D" w:rsidRDefault="0001530E" w:rsidP="005B4E93">
      <w:pPr>
        <w:pStyle w:val="Bullet"/>
        <w:spacing w:before="0" w:after="120" w:line="360" w:lineRule="auto"/>
      </w:pPr>
      <w:proofErr w:type="gramStart"/>
      <w:r w:rsidRPr="00B507F3">
        <w:t>misinterpreting</w:t>
      </w:r>
      <w:proofErr w:type="gramEnd"/>
      <w:r w:rsidRPr="00B507F3">
        <w:t xml:space="preserve"> award requirements (8%)</w:t>
      </w:r>
      <w:r>
        <w:t>.</w:t>
      </w:r>
    </w:p>
    <w:p w14:paraId="7ACDEA3E" w14:textId="55141EA5" w:rsidR="00F94C5E" w:rsidRDefault="00A31966" w:rsidP="00073307">
      <w:pPr>
        <w:pStyle w:val="Heading2"/>
      </w:pPr>
      <w:r>
        <w:lastRenderedPageBreak/>
        <w:t>Action taken and next steps</w:t>
      </w:r>
    </w:p>
    <w:p w14:paraId="5593424A" w14:textId="478564FA" w:rsidR="00771067" w:rsidRDefault="00771067" w:rsidP="005B4E93">
      <w:r w:rsidRPr="006D19EE">
        <w:t>Employers were required to fix non-compliance and provide evidence of action taken, for example proof of payment of outstanding employee entitlements</w:t>
      </w:r>
      <w:r w:rsidRPr="009147FE">
        <w:t>.</w:t>
      </w:r>
    </w:p>
    <w:p w14:paraId="1496D3D7" w14:textId="1E1DF0A4" w:rsidR="00771067" w:rsidRPr="00771067" w:rsidRDefault="00771067" w:rsidP="005B4E93">
      <w:r>
        <w:t xml:space="preserve">We recovered </w:t>
      </w:r>
      <w:r w:rsidRPr="00771067">
        <w:t xml:space="preserve">$1,223,147 from 752 businesses for </w:t>
      </w:r>
      <w:r w:rsidR="00663623">
        <w:t>1</w:t>
      </w:r>
      <w:r w:rsidRPr="00771067">
        <w:t xml:space="preserve">482 employees. This included a recovery of $351,767 for 38 employees of </w:t>
      </w:r>
      <w:r w:rsidR="003B5812">
        <w:t xml:space="preserve">a </w:t>
      </w:r>
      <w:r w:rsidR="00C967FD">
        <w:t xml:space="preserve">Sydney </w:t>
      </w:r>
      <w:r w:rsidR="003B5812">
        <w:t>b</w:t>
      </w:r>
      <w:r w:rsidRPr="00771067">
        <w:t>akery.</w:t>
      </w:r>
    </w:p>
    <w:p w14:paraId="637F9B5E" w14:textId="67371222" w:rsidR="00771067" w:rsidRPr="006D19EE" w:rsidRDefault="00771067" w:rsidP="005B4E93">
      <w:r>
        <w:t>Fair Work Inspectors issued:</w:t>
      </w:r>
    </w:p>
    <w:p w14:paraId="18EBE2DC" w14:textId="3D561CD3" w:rsidR="00771067" w:rsidRDefault="00771067" w:rsidP="005B4E93">
      <w:pPr>
        <w:pStyle w:val="Bullet"/>
        <w:spacing w:before="0" w:after="120" w:line="360" w:lineRule="auto"/>
      </w:pPr>
      <w:r>
        <w:t>1508 contravention letters</w:t>
      </w:r>
    </w:p>
    <w:p w14:paraId="2C6AD249" w14:textId="7392AA38" w:rsidR="00771067" w:rsidRPr="00A64562" w:rsidRDefault="00771067" w:rsidP="005B4E93">
      <w:pPr>
        <w:pStyle w:val="Bullet"/>
        <w:spacing w:before="0" w:after="120" w:line="360" w:lineRule="auto"/>
      </w:pPr>
      <w:r w:rsidRPr="00570D99">
        <w:t>161</w:t>
      </w:r>
      <w:r>
        <w:t xml:space="preserve"> formal c</w:t>
      </w:r>
      <w:r w:rsidRPr="00A64562">
        <w:t>autions</w:t>
      </w:r>
    </w:p>
    <w:p w14:paraId="04E9B25E" w14:textId="77777777" w:rsidR="00771067" w:rsidRDefault="00771067" w:rsidP="005B4E93">
      <w:pPr>
        <w:pStyle w:val="Bullet"/>
        <w:spacing w:before="0" w:after="120" w:line="360" w:lineRule="auto"/>
      </w:pPr>
      <w:r w:rsidRPr="00570D99">
        <w:t>82</w:t>
      </w:r>
      <w:r w:rsidRPr="00A64562">
        <w:t xml:space="preserve"> </w:t>
      </w:r>
      <w:r>
        <w:t>infringement n</w:t>
      </w:r>
      <w:r w:rsidRPr="00A64562">
        <w:t>otices</w:t>
      </w:r>
      <w:r>
        <w:t xml:space="preserve"> (</w:t>
      </w:r>
      <w:r w:rsidRPr="00570D99">
        <w:t>$21,620</w:t>
      </w:r>
      <w:r>
        <w:t xml:space="preserve"> </w:t>
      </w:r>
      <w:r w:rsidRPr="00A64562">
        <w:t>in penalties for pay slip and record-keeping breaches</w:t>
      </w:r>
      <w:r>
        <w:t>)</w:t>
      </w:r>
    </w:p>
    <w:p w14:paraId="65CEFD27" w14:textId="026DBE22" w:rsidR="00771067" w:rsidRPr="00A64562" w:rsidRDefault="00771067" w:rsidP="005B4E93">
      <w:pPr>
        <w:pStyle w:val="Bullet"/>
        <w:spacing w:before="0" w:after="120" w:line="360" w:lineRule="auto"/>
      </w:pPr>
      <w:proofErr w:type="gramStart"/>
      <w:r w:rsidRPr="00570D99">
        <w:t>18</w:t>
      </w:r>
      <w:proofErr w:type="gramEnd"/>
      <w:r w:rsidRPr="00A64562">
        <w:t xml:space="preserve"> </w:t>
      </w:r>
      <w:r>
        <w:t>compliance n</w:t>
      </w:r>
      <w:r w:rsidRPr="00A64562">
        <w:t>otices</w:t>
      </w:r>
      <w:r>
        <w:t xml:space="preserve"> (</w:t>
      </w:r>
      <w:r w:rsidRPr="00A64562">
        <w:t xml:space="preserve">recovering </w:t>
      </w:r>
      <w:r w:rsidRPr="00570D99">
        <w:t>$44,207</w:t>
      </w:r>
      <w:r w:rsidRPr="00A64562">
        <w:t xml:space="preserve"> in back pay for </w:t>
      </w:r>
      <w:r w:rsidRPr="00570D99">
        <w:t>43</w:t>
      </w:r>
      <w:r w:rsidRPr="00A64562">
        <w:t xml:space="preserve"> employees</w:t>
      </w:r>
      <w:r>
        <w:t>).</w:t>
      </w:r>
      <w:r w:rsidRPr="00A64562">
        <w:t xml:space="preserve"> </w:t>
      </w:r>
    </w:p>
    <w:p w14:paraId="47604540" w14:textId="324B2EEC" w:rsidR="00663623" w:rsidRDefault="00663623" w:rsidP="005B4E93">
      <w:pPr>
        <w:pStyle w:val="Bullet"/>
        <w:numPr>
          <w:ilvl w:val="0"/>
          <w:numId w:val="0"/>
        </w:numPr>
        <w:spacing w:before="0" w:after="120" w:line="360" w:lineRule="auto"/>
      </w:pPr>
      <w:bookmarkStart w:id="0" w:name="_Toc15039103"/>
      <w:r>
        <w:t xml:space="preserve">Non-compliant employers </w:t>
      </w:r>
      <w:proofErr w:type="gramStart"/>
      <w:r>
        <w:t>were made</w:t>
      </w:r>
      <w:proofErr w:type="gramEnd"/>
      <w:r>
        <w:t xml:space="preserve"> aware of FWO’s </w:t>
      </w:r>
      <w:r w:rsidR="00423288">
        <w:t xml:space="preserve">free </w:t>
      </w:r>
      <w:r>
        <w:t xml:space="preserve">tools and resources. They were also advised that repeated breaches </w:t>
      </w:r>
      <w:proofErr w:type="gramStart"/>
      <w:r>
        <w:t>will</w:t>
      </w:r>
      <w:proofErr w:type="gramEnd"/>
      <w:r>
        <w:t xml:space="preserve"> see a stronger response, including significantly higher financial penalties.</w:t>
      </w:r>
    </w:p>
    <w:p w14:paraId="534D7979" w14:textId="77777777" w:rsidR="00663623" w:rsidRPr="002A65CC" w:rsidRDefault="00663623" w:rsidP="005B4E93">
      <w:pPr>
        <w:pStyle w:val="Bullet"/>
        <w:numPr>
          <w:ilvl w:val="0"/>
          <w:numId w:val="0"/>
        </w:numPr>
        <w:spacing w:before="0" w:after="120" w:line="360" w:lineRule="auto"/>
      </w:pPr>
      <w:r>
        <w:t xml:space="preserve">Our compliance monitoring and enforcement activities remain </w:t>
      </w:r>
      <w:r w:rsidRPr="006D19EE">
        <w:t>focus</w:t>
      </w:r>
      <w:r>
        <w:t>sed</w:t>
      </w:r>
      <w:r w:rsidRPr="006D19EE">
        <w:t xml:space="preserve"> on high-risk industries</w:t>
      </w:r>
      <w:r>
        <w:t xml:space="preserve"> across Australia.</w:t>
      </w:r>
    </w:p>
    <w:p w14:paraId="56304960" w14:textId="77777777" w:rsidR="005B4E93" w:rsidRDefault="005B4E93" w:rsidP="005B4E93">
      <w:pPr>
        <w:pStyle w:val="Bullet"/>
        <w:numPr>
          <w:ilvl w:val="0"/>
          <w:numId w:val="0"/>
        </w:numPr>
        <w:spacing w:before="0" w:after="120" w:line="360" w:lineRule="auto"/>
      </w:pPr>
      <w:r w:rsidRPr="00440AAF">
        <w:t xml:space="preserve">The FWO </w:t>
      </w:r>
      <w:r w:rsidRPr="00AF149D">
        <w:t>expects employers to comply with all basic</w:t>
      </w:r>
      <w:r w:rsidRPr="00CC7123">
        <w:t xml:space="preserve"> workplace relations obligations</w:t>
      </w:r>
      <w:r w:rsidRPr="00AF149D">
        <w:t xml:space="preserve"> and </w:t>
      </w:r>
      <w:r w:rsidRPr="00440AAF">
        <w:t xml:space="preserve">utilise </w:t>
      </w:r>
      <w:r>
        <w:t>our free tools and resources, including:</w:t>
      </w:r>
      <w:r w:rsidRPr="00440AAF">
        <w:t xml:space="preserve"> </w:t>
      </w:r>
    </w:p>
    <w:p w14:paraId="6F421A81" w14:textId="796ADC01" w:rsidR="00663623" w:rsidRPr="00CB2EBE" w:rsidRDefault="00663623" w:rsidP="005B4E93">
      <w:pPr>
        <w:pStyle w:val="Bullet"/>
        <w:spacing w:before="0" w:after="120" w:line="360" w:lineRule="auto"/>
      </w:pPr>
      <w:r w:rsidRPr="00CB2EBE">
        <w:t>PACT</w:t>
      </w:r>
      <w:r>
        <w:t xml:space="preserve"> </w:t>
      </w:r>
      <w:r w:rsidRPr="00CB2EBE">
        <w:t>- calculates employee entitlements</w:t>
      </w:r>
      <w:r>
        <w:t>,</w:t>
      </w:r>
      <w:r w:rsidRPr="00CB2EBE">
        <w:t xml:space="preserve"> including award pay rates, leave entitlements and termination pay</w:t>
      </w:r>
      <w:r w:rsidR="003C227B">
        <w:t>.</w:t>
      </w:r>
      <w:r w:rsidRPr="000C1D1F">
        <w:rPr>
          <w:rStyle w:val="FootnoteReference"/>
        </w:rPr>
        <w:footnoteReference w:id="3"/>
      </w:r>
    </w:p>
    <w:p w14:paraId="55FFB6BB" w14:textId="7FE290DE" w:rsidR="00663623" w:rsidRPr="00B11B64" w:rsidRDefault="00663623" w:rsidP="005B4E93">
      <w:pPr>
        <w:pStyle w:val="Bullet"/>
        <w:spacing w:before="0" w:after="120" w:line="360" w:lineRule="auto"/>
      </w:pPr>
      <w:r w:rsidRPr="00B11B64">
        <w:t>My</w:t>
      </w:r>
      <w:r>
        <w:t xml:space="preserve"> a</w:t>
      </w:r>
      <w:r w:rsidRPr="00B11B64">
        <w:t>ccount - interactive service where employers receive tailored information and updates</w:t>
      </w:r>
      <w:r w:rsidR="003C227B">
        <w:t>.</w:t>
      </w:r>
      <w:r w:rsidRPr="00B11B64">
        <w:rPr>
          <w:rStyle w:val="FootnoteReference"/>
        </w:rPr>
        <w:footnoteReference w:id="4"/>
      </w:r>
    </w:p>
    <w:p w14:paraId="4E12051D" w14:textId="3D438E39" w:rsidR="00663623" w:rsidRPr="00E16759" w:rsidRDefault="00663623" w:rsidP="005B4E93">
      <w:pPr>
        <w:pStyle w:val="Bullet"/>
        <w:spacing w:before="0" w:after="120" w:line="360" w:lineRule="auto"/>
      </w:pPr>
      <w:r w:rsidRPr="00E16759">
        <w:t xml:space="preserve">Online </w:t>
      </w:r>
      <w:r>
        <w:t>Learning C</w:t>
      </w:r>
      <w:r w:rsidRPr="00E16759">
        <w:t xml:space="preserve">entre - award-winning videos on key subjects like hiring employees, managing performance and </w:t>
      </w:r>
      <w:proofErr w:type="gramStart"/>
      <w:r w:rsidRPr="00E16759">
        <w:t>record-keeping</w:t>
      </w:r>
      <w:proofErr w:type="gramEnd"/>
      <w:r w:rsidRPr="00E16759">
        <w:t xml:space="preserve"> and pay slip obligations</w:t>
      </w:r>
      <w:r w:rsidR="003C227B">
        <w:t>.</w:t>
      </w:r>
      <w:r w:rsidRPr="00E16759">
        <w:rPr>
          <w:rStyle w:val="FootnoteReference"/>
        </w:rPr>
        <w:footnoteReference w:id="5"/>
      </w:r>
      <w:r w:rsidRPr="00E16759">
        <w:t xml:space="preserve"> </w:t>
      </w:r>
    </w:p>
    <w:p w14:paraId="245B19EE" w14:textId="2A2A15C7" w:rsidR="00663623" w:rsidRDefault="00663623" w:rsidP="005B4E93">
      <w:pPr>
        <w:pStyle w:val="Bullet"/>
        <w:spacing w:before="0" w:after="120" w:line="360" w:lineRule="auto"/>
      </w:pPr>
      <w:r>
        <w:t>Templates and guides</w:t>
      </w:r>
      <w:r w:rsidRPr="00CB2EBE">
        <w:t xml:space="preserve"> - tools and resources specif</w:t>
      </w:r>
      <w:r>
        <w:t xml:space="preserve">ically designed to assist </w:t>
      </w:r>
      <w:r w:rsidRPr="00CB2EBE">
        <w:t xml:space="preserve">businesses with their </w:t>
      </w:r>
      <w:r>
        <w:t>payslips and record keeping</w:t>
      </w:r>
      <w:r w:rsidRPr="00CB2EBE">
        <w:t xml:space="preserve"> obligations.</w:t>
      </w:r>
      <w:r w:rsidRPr="000C1D1F">
        <w:rPr>
          <w:rStyle w:val="FootnoteReference"/>
        </w:rPr>
        <w:footnoteReference w:id="6"/>
      </w:r>
    </w:p>
    <w:bookmarkEnd w:id="0"/>
    <w:p w14:paraId="71248BE6" w14:textId="2F73D04A" w:rsidR="00CE7A1A" w:rsidRPr="002A65CC" w:rsidRDefault="005B4E93" w:rsidP="005B4E93">
      <w:pPr>
        <w:pStyle w:val="Bullet"/>
        <w:numPr>
          <w:ilvl w:val="0"/>
          <w:numId w:val="0"/>
        </w:numPr>
        <w:spacing w:before="0" w:after="120" w:line="360" w:lineRule="auto"/>
      </w:pPr>
      <w:r>
        <w:t xml:space="preserve">The FWO considers employers who </w:t>
      </w:r>
      <w:proofErr w:type="gramStart"/>
      <w:r>
        <w:t>don’t</w:t>
      </w:r>
      <w:proofErr w:type="gramEnd"/>
      <w:r>
        <w:t xml:space="preserve"> take advantage of these free tools and resources to be negligent. A lack of awareness of obligations under the </w:t>
      </w:r>
      <w:r w:rsidRPr="0014201D">
        <w:rPr>
          <w:i/>
        </w:rPr>
        <w:t>Fair Work Act 2009</w:t>
      </w:r>
      <w:r>
        <w:t xml:space="preserve"> is not a valid reason for non-compliance in the workplace.</w:t>
      </w:r>
    </w:p>
    <w:sectPr w:rsidR="00CE7A1A" w:rsidRPr="002A65CC" w:rsidSect="00DA1A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A6AA" w14:textId="77777777" w:rsidR="00DC09A0" w:rsidRDefault="00DC09A0" w:rsidP="00AB465A">
      <w:pPr>
        <w:spacing w:after="0" w:line="240" w:lineRule="auto"/>
      </w:pPr>
      <w:r>
        <w:separator/>
      </w:r>
    </w:p>
  </w:endnote>
  <w:endnote w:type="continuationSeparator" w:id="0">
    <w:p w14:paraId="136AFBE3" w14:textId="77777777" w:rsidR="00DC09A0" w:rsidRDefault="00DC09A0" w:rsidP="00AB465A">
      <w:pPr>
        <w:spacing w:after="0" w:line="240" w:lineRule="auto"/>
      </w:pPr>
      <w:r>
        <w:continuationSeparator/>
      </w:r>
    </w:p>
  </w:endnote>
  <w:endnote w:type="continuationNotice" w:id="1">
    <w:p w14:paraId="68B5C7D3" w14:textId="77777777" w:rsidR="00DC09A0" w:rsidRDefault="00DC0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4898C" w14:textId="77777777" w:rsidR="00B270B1" w:rsidRDefault="00B27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8BEB" w14:textId="77777777" w:rsidR="00575D9A" w:rsidRDefault="00575D9A" w:rsidP="001C47EA">
    <w:pPr>
      <w:pStyle w:val="Header"/>
      <w:rPr>
        <w:rFonts w:ascii="Times New Roman" w:hAnsi="Times New Roman" w:cs="Times New Roman"/>
        <w:sz w:val="20"/>
        <w:szCs w:val="20"/>
      </w:rPr>
    </w:pPr>
  </w:p>
  <w:p w14:paraId="01B85818" w14:textId="7D494EB8" w:rsidR="00575D9A" w:rsidRPr="00520458" w:rsidRDefault="00575D9A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sz w:val="18"/>
        <w:szCs w:val="18"/>
      </w:rPr>
      <w:fldChar w:fldCharType="begin"/>
    </w:r>
    <w:r w:rsidRPr="00520458">
      <w:rPr>
        <w:rFonts w:cstheme="minorHAnsi"/>
        <w:sz w:val="18"/>
        <w:szCs w:val="18"/>
      </w:rPr>
      <w:instrText xml:space="preserve"> DOCPROPERTY "mvRef" \* MERGEFORMAT </w:instrText>
    </w:r>
    <w:r w:rsidRPr="00520458">
      <w:rPr>
        <w:rFonts w:cstheme="minorHAnsi"/>
        <w:sz w:val="18"/>
        <w:szCs w:val="18"/>
      </w:rPr>
      <w:fldChar w:fldCharType="end"/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2311632" wp14:editId="102D7181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BF035A" id="Straight Connector 8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A682693" wp14:editId="489C9E88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5F59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18183955" w14:textId="7B701451" w:rsidR="00575D9A" w:rsidRDefault="00575D9A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049FB">
      <w:rPr>
        <w:noProof/>
      </w:rPr>
      <w:t>2</w:t>
    </w:r>
    <w:r>
      <w:rPr>
        <w:noProof/>
      </w:rPr>
      <w:fldChar w:fldCharType="end"/>
    </w:r>
  </w:p>
  <w:p w14:paraId="745C3696" w14:textId="193A010F" w:rsidR="00575D9A" w:rsidRPr="00DA1AD1" w:rsidRDefault="00575D9A" w:rsidP="00DA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F6DC" w14:textId="1ED30266" w:rsidR="00575D9A" w:rsidRDefault="005B4E93" w:rsidP="00DA1AD1">
    <w:pPr>
      <w:pStyle w:val="Header"/>
    </w:pPr>
    <w:r>
      <w:fldChar w:fldCharType="begin"/>
    </w:r>
    <w:r>
      <w:instrText xml:space="preserve"> DOCPROPERTY "mvRef" \* MERGEFORMAT </w:instrText>
    </w:r>
    <w:r>
      <w:fldChar w:fldCharType="separate"/>
    </w:r>
    <w:r w:rsidR="00073307">
      <w:t>Operational activity reports (2019)</w:t>
    </w:r>
    <w:proofErr w:type="gramStart"/>
    <w:r w:rsidR="00073307">
      <w:t>:DB</w:t>
    </w:r>
    <w:proofErr w:type="gramEnd"/>
    <w:r w:rsidR="00073307">
      <w:t>-1354702/1.0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28226" w14:textId="59FE9192" w:rsidR="00575D9A" w:rsidRPr="00D171E3" w:rsidRDefault="00575D9A" w:rsidP="00DA1AD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 xml:space="preserve">East Coast </w:t>
        </w:r>
        <w:r w:rsidR="003C227B">
          <w:rPr>
            <w:sz w:val="18"/>
            <w:szCs w:val="18"/>
          </w:rPr>
          <w:t xml:space="preserve">Retail and </w:t>
        </w:r>
        <w:r>
          <w:rPr>
            <w:sz w:val="18"/>
            <w:szCs w:val="18"/>
          </w:rPr>
          <w:t xml:space="preserve">Hair </w:t>
        </w:r>
        <w:r w:rsidR="003C227B">
          <w:rPr>
            <w:sz w:val="18"/>
            <w:szCs w:val="18"/>
          </w:rPr>
          <w:t xml:space="preserve">&amp; </w:t>
        </w:r>
        <w:r>
          <w:rPr>
            <w:sz w:val="18"/>
            <w:szCs w:val="18"/>
          </w:rPr>
          <w:t xml:space="preserve">Beauty </w:t>
        </w:r>
        <w:r w:rsidRPr="00D171E3">
          <w:rPr>
            <w:sz w:val="18"/>
            <w:szCs w:val="18"/>
          </w:rPr>
          <w:t>Campaign Report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w:t xml:space="preserve"> 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702E5123" wp14:editId="3BEB8CBF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3A3B5B" id="Straight Connector 3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D171E3">
          <w:rPr>
            <w:rFonts w:cstheme="minorHAnsi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56835DEB" wp14:editId="08B6D4BE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0A00DF8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p>
      <w:p w14:paraId="4307D0F5" w14:textId="120B74F4" w:rsidR="00575D9A" w:rsidRDefault="00575D9A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9FB">
          <w:rPr>
            <w:noProof/>
          </w:rPr>
          <w:t>1</w:t>
        </w:r>
        <w:r>
          <w:rPr>
            <w:noProof/>
          </w:rPr>
          <w:fldChar w:fldCharType="end"/>
        </w:r>
      </w:p>
      <w:p w14:paraId="1DE82916" w14:textId="77777777" w:rsidR="00575D9A" w:rsidRPr="00DA1AD1" w:rsidRDefault="00DC09A0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B5E3" w14:textId="77777777" w:rsidR="00DC09A0" w:rsidRDefault="00DC09A0" w:rsidP="00AB465A">
      <w:pPr>
        <w:spacing w:after="0" w:line="240" w:lineRule="auto"/>
      </w:pPr>
      <w:r>
        <w:separator/>
      </w:r>
    </w:p>
  </w:footnote>
  <w:footnote w:type="continuationSeparator" w:id="0">
    <w:p w14:paraId="13F28019" w14:textId="77777777" w:rsidR="00DC09A0" w:rsidRDefault="00DC09A0" w:rsidP="00AB465A">
      <w:pPr>
        <w:spacing w:after="0" w:line="240" w:lineRule="auto"/>
      </w:pPr>
      <w:r>
        <w:continuationSeparator/>
      </w:r>
    </w:p>
  </w:footnote>
  <w:footnote w:type="continuationNotice" w:id="1">
    <w:p w14:paraId="12642FD5" w14:textId="77777777" w:rsidR="00DC09A0" w:rsidRDefault="00DC09A0">
      <w:pPr>
        <w:spacing w:after="0" w:line="240" w:lineRule="auto"/>
      </w:pPr>
    </w:p>
  </w:footnote>
  <w:footnote w:id="2">
    <w:p w14:paraId="6BCCCEAD" w14:textId="3AFD3627" w:rsidR="00643BFF" w:rsidRDefault="00643BFF" w:rsidP="005B4E93">
      <w:pPr>
        <w:pStyle w:val="FootnoteText"/>
        <w:spacing w:before="0" w:line="240" w:lineRule="auto"/>
      </w:pPr>
      <w:r w:rsidRPr="00643BF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43BFF">
        <w:rPr>
          <w:rFonts w:asciiTheme="minorHAnsi" w:hAnsiTheme="minorHAnsi" w:cstheme="minorHAnsi"/>
          <w:sz w:val="18"/>
          <w:szCs w:val="18"/>
        </w:rPr>
        <w:t xml:space="preserve"> </w:t>
      </w:r>
      <w:r w:rsidRPr="00643BFF">
        <w:rPr>
          <w:rFonts w:asciiTheme="minorHAnsi" w:hAnsiTheme="minorHAnsi" w:cstheme="minorHAnsi"/>
          <w:sz w:val="18"/>
        </w:rPr>
        <w:t>Percentages have been rounded to the nearest whole number</w:t>
      </w:r>
    </w:p>
  </w:footnote>
  <w:footnote w:id="3">
    <w:p w14:paraId="20329457" w14:textId="7B743B12" w:rsidR="00575D9A" w:rsidRPr="00AD4CF6" w:rsidRDefault="00575D9A" w:rsidP="00663623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tooltip="Find wages and penalty rates for employees.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https://calculate.fairwork.gov.au/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4F719982" w14:textId="0A80109D" w:rsidR="00575D9A" w:rsidRPr="00AD4CF6" w:rsidRDefault="00575D9A" w:rsidP="00663623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tooltip="Register an account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https://www.fairwork.gov.au/my-account/registerpage.aspx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5">
    <w:p w14:paraId="541AEA24" w14:textId="04BD9B51" w:rsidR="00575D9A" w:rsidRPr="00AD4CF6" w:rsidRDefault="00575D9A" w:rsidP="00663623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3" w:tooltip="Online learning centre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https://www.fairwork.gov.au/how-we-will-help/online-training/online-learning-centre</w:t>
        </w:r>
      </w:hyperlink>
      <w:bookmarkStart w:id="1" w:name="_GoBack"/>
      <w:bookmarkEnd w:id="1"/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14:paraId="27953FB8" w14:textId="77777777" w:rsidR="00575D9A" w:rsidRDefault="00575D9A" w:rsidP="00663623">
      <w:pPr>
        <w:pStyle w:val="FootnoteText"/>
        <w:spacing w:before="0" w:line="240" w:lineRule="auto"/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r w:rsidRPr="00AD4CF6">
        <w:rPr>
          <w:rStyle w:val="Hyperlink"/>
          <w:rFonts w:asciiTheme="minorHAnsi" w:hAnsiTheme="minorHAnsi" w:cstheme="minorHAnsi"/>
          <w:sz w:val="18"/>
          <w:szCs w:val="18"/>
        </w:rPr>
        <w:t>https://www.fairwork.gov.au/how-we-will-help/templates-and-guides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0081" w14:textId="77777777" w:rsidR="00B270B1" w:rsidRDefault="00B27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A29D" w14:textId="3008C0C6" w:rsidR="00575D9A" w:rsidRDefault="00575D9A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6" behindDoc="0" locked="0" layoutInCell="1" allowOverlap="1" wp14:anchorId="45923497" wp14:editId="62DF9BA1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AB8B" w14:textId="6DD95076" w:rsidR="00575D9A" w:rsidRPr="00583EDF" w:rsidRDefault="00575D9A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3B7AAC09" wp14:editId="2A383786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C53A99" wp14:editId="0365B71C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EB7B48" id="Rectangle 1" o:spid="_x0000_s1026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18"/>
  </w:num>
  <w:num w:numId="7">
    <w:abstractNumId w:val="7"/>
  </w:num>
  <w:num w:numId="8">
    <w:abstractNumId w:val="12"/>
  </w:num>
  <w:num w:numId="9">
    <w:abstractNumId w:val="20"/>
  </w:num>
  <w:num w:numId="10">
    <w:abstractNumId w:val="19"/>
  </w:num>
  <w:num w:numId="11">
    <w:abstractNumId w:val="16"/>
  </w:num>
  <w:num w:numId="12">
    <w:abstractNumId w:val="21"/>
  </w:num>
  <w:num w:numId="13">
    <w:abstractNumId w:val="24"/>
  </w:num>
  <w:num w:numId="14">
    <w:abstractNumId w:val="0"/>
  </w:num>
  <w:num w:numId="15">
    <w:abstractNumId w:val="10"/>
  </w:num>
  <w:num w:numId="16">
    <w:abstractNumId w:val="23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25"/>
  </w:num>
  <w:num w:numId="22">
    <w:abstractNumId w:val="2"/>
  </w:num>
  <w:num w:numId="23">
    <w:abstractNumId w:val="22"/>
  </w:num>
  <w:num w:numId="24">
    <w:abstractNumId w:val="9"/>
  </w:num>
  <w:num w:numId="25">
    <w:abstractNumId w:val="6"/>
  </w:num>
  <w:num w:numId="26">
    <w:abstractNumId w:val="14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2"/>
    <w:rsid w:val="0000351D"/>
    <w:rsid w:val="00011400"/>
    <w:rsid w:val="00013275"/>
    <w:rsid w:val="00014C04"/>
    <w:rsid w:val="0001530E"/>
    <w:rsid w:val="000318D5"/>
    <w:rsid w:val="00033E9B"/>
    <w:rsid w:val="00053693"/>
    <w:rsid w:val="000732BA"/>
    <w:rsid w:val="00073307"/>
    <w:rsid w:val="0007401F"/>
    <w:rsid w:val="00093049"/>
    <w:rsid w:val="000A0BB1"/>
    <w:rsid w:val="000A45F4"/>
    <w:rsid w:val="000B2A24"/>
    <w:rsid w:val="000B7D1C"/>
    <w:rsid w:val="000C0DF8"/>
    <w:rsid w:val="000C2CD2"/>
    <w:rsid w:val="000D46B8"/>
    <w:rsid w:val="000E08E8"/>
    <w:rsid w:val="000E3C54"/>
    <w:rsid w:val="00100FA4"/>
    <w:rsid w:val="001049FB"/>
    <w:rsid w:val="0014201D"/>
    <w:rsid w:val="00166274"/>
    <w:rsid w:val="00174429"/>
    <w:rsid w:val="0018384F"/>
    <w:rsid w:val="001C47EA"/>
    <w:rsid w:val="001C7CFE"/>
    <w:rsid w:val="001D3234"/>
    <w:rsid w:val="001D3773"/>
    <w:rsid w:val="001E0C0E"/>
    <w:rsid w:val="001F69CA"/>
    <w:rsid w:val="00232CA4"/>
    <w:rsid w:val="002424D0"/>
    <w:rsid w:val="002666D5"/>
    <w:rsid w:val="0026797B"/>
    <w:rsid w:val="002A5A4D"/>
    <w:rsid w:val="002A65CC"/>
    <w:rsid w:val="002E0DB1"/>
    <w:rsid w:val="002E28E8"/>
    <w:rsid w:val="002E78A5"/>
    <w:rsid w:val="00331519"/>
    <w:rsid w:val="00333193"/>
    <w:rsid w:val="0035400D"/>
    <w:rsid w:val="00371024"/>
    <w:rsid w:val="00377962"/>
    <w:rsid w:val="003B31C0"/>
    <w:rsid w:val="003B39E2"/>
    <w:rsid w:val="003B5656"/>
    <w:rsid w:val="003B5812"/>
    <w:rsid w:val="003C227B"/>
    <w:rsid w:val="003C36DA"/>
    <w:rsid w:val="003D3891"/>
    <w:rsid w:val="00423288"/>
    <w:rsid w:val="00440DF5"/>
    <w:rsid w:val="00456006"/>
    <w:rsid w:val="004654FA"/>
    <w:rsid w:val="00465E7E"/>
    <w:rsid w:val="00483507"/>
    <w:rsid w:val="00486F77"/>
    <w:rsid w:val="004874D2"/>
    <w:rsid w:val="004A1A32"/>
    <w:rsid w:val="004A3817"/>
    <w:rsid w:val="004B5F95"/>
    <w:rsid w:val="004C1847"/>
    <w:rsid w:val="004D223B"/>
    <w:rsid w:val="004F0A17"/>
    <w:rsid w:val="00520458"/>
    <w:rsid w:val="005261A5"/>
    <w:rsid w:val="00575D9A"/>
    <w:rsid w:val="00593BFB"/>
    <w:rsid w:val="005B4E93"/>
    <w:rsid w:val="005D5A92"/>
    <w:rsid w:val="006059E9"/>
    <w:rsid w:val="00612470"/>
    <w:rsid w:val="006139FB"/>
    <w:rsid w:val="0062768F"/>
    <w:rsid w:val="00643BFF"/>
    <w:rsid w:val="00643C4B"/>
    <w:rsid w:val="00647D11"/>
    <w:rsid w:val="006532D3"/>
    <w:rsid w:val="00663623"/>
    <w:rsid w:val="0069313C"/>
    <w:rsid w:val="00694033"/>
    <w:rsid w:val="006B1080"/>
    <w:rsid w:val="006D19EE"/>
    <w:rsid w:val="006D4A6F"/>
    <w:rsid w:val="006E54F5"/>
    <w:rsid w:val="006F4DA6"/>
    <w:rsid w:val="00703886"/>
    <w:rsid w:val="0072110A"/>
    <w:rsid w:val="00727206"/>
    <w:rsid w:val="00732D91"/>
    <w:rsid w:val="007479AD"/>
    <w:rsid w:val="00750DF7"/>
    <w:rsid w:val="00752E5E"/>
    <w:rsid w:val="00753483"/>
    <w:rsid w:val="00763A33"/>
    <w:rsid w:val="00771067"/>
    <w:rsid w:val="007729B7"/>
    <w:rsid w:val="00786E3C"/>
    <w:rsid w:val="007900FB"/>
    <w:rsid w:val="00791AB0"/>
    <w:rsid w:val="007A0B86"/>
    <w:rsid w:val="007A6811"/>
    <w:rsid w:val="007A6D98"/>
    <w:rsid w:val="007B043E"/>
    <w:rsid w:val="007B5C9B"/>
    <w:rsid w:val="007B6AC8"/>
    <w:rsid w:val="007C01BA"/>
    <w:rsid w:val="007C2DA0"/>
    <w:rsid w:val="007C507C"/>
    <w:rsid w:val="007D19A1"/>
    <w:rsid w:val="007E5FAD"/>
    <w:rsid w:val="00803A9A"/>
    <w:rsid w:val="00810E0C"/>
    <w:rsid w:val="008114FB"/>
    <w:rsid w:val="00822E60"/>
    <w:rsid w:val="008258AC"/>
    <w:rsid w:val="0083679C"/>
    <w:rsid w:val="00840520"/>
    <w:rsid w:val="00856542"/>
    <w:rsid w:val="008A1058"/>
    <w:rsid w:val="008A2053"/>
    <w:rsid w:val="009060B0"/>
    <w:rsid w:val="00906409"/>
    <w:rsid w:val="009147FE"/>
    <w:rsid w:val="00932C9C"/>
    <w:rsid w:val="009470A4"/>
    <w:rsid w:val="009830B4"/>
    <w:rsid w:val="00993703"/>
    <w:rsid w:val="009946F6"/>
    <w:rsid w:val="00995EBE"/>
    <w:rsid w:val="00997DD8"/>
    <w:rsid w:val="009A294E"/>
    <w:rsid w:val="009C0C7F"/>
    <w:rsid w:val="009C61A2"/>
    <w:rsid w:val="009E2EF8"/>
    <w:rsid w:val="009E5D7B"/>
    <w:rsid w:val="009F4608"/>
    <w:rsid w:val="00A04703"/>
    <w:rsid w:val="00A1044D"/>
    <w:rsid w:val="00A25A80"/>
    <w:rsid w:val="00A267BA"/>
    <w:rsid w:val="00A31966"/>
    <w:rsid w:val="00A41C93"/>
    <w:rsid w:val="00A841DA"/>
    <w:rsid w:val="00A97F48"/>
    <w:rsid w:val="00AA0244"/>
    <w:rsid w:val="00AA1953"/>
    <w:rsid w:val="00AB465A"/>
    <w:rsid w:val="00AB5511"/>
    <w:rsid w:val="00AD4CF6"/>
    <w:rsid w:val="00AE4954"/>
    <w:rsid w:val="00AF0EAF"/>
    <w:rsid w:val="00AF74D9"/>
    <w:rsid w:val="00B02B68"/>
    <w:rsid w:val="00B03B2B"/>
    <w:rsid w:val="00B270B1"/>
    <w:rsid w:val="00B474FA"/>
    <w:rsid w:val="00B478AD"/>
    <w:rsid w:val="00B50641"/>
    <w:rsid w:val="00B56C5A"/>
    <w:rsid w:val="00B640EC"/>
    <w:rsid w:val="00B657E5"/>
    <w:rsid w:val="00B746E5"/>
    <w:rsid w:val="00B775C1"/>
    <w:rsid w:val="00B8128F"/>
    <w:rsid w:val="00B91121"/>
    <w:rsid w:val="00BA5269"/>
    <w:rsid w:val="00BA59D7"/>
    <w:rsid w:val="00BA68A3"/>
    <w:rsid w:val="00BB53D7"/>
    <w:rsid w:val="00BB613F"/>
    <w:rsid w:val="00BC0303"/>
    <w:rsid w:val="00BF66C0"/>
    <w:rsid w:val="00C079AD"/>
    <w:rsid w:val="00C208A3"/>
    <w:rsid w:val="00C30565"/>
    <w:rsid w:val="00C346A5"/>
    <w:rsid w:val="00C72594"/>
    <w:rsid w:val="00C93B8D"/>
    <w:rsid w:val="00C94F81"/>
    <w:rsid w:val="00C967FD"/>
    <w:rsid w:val="00CA3551"/>
    <w:rsid w:val="00CA39F1"/>
    <w:rsid w:val="00CD049C"/>
    <w:rsid w:val="00CE6055"/>
    <w:rsid w:val="00CE6883"/>
    <w:rsid w:val="00CE72FC"/>
    <w:rsid w:val="00CE7A1A"/>
    <w:rsid w:val="00CE7CD4"/>
    <w:rsid w:val="00CF5AFE"/>
    <w:rsid w:val="00D11BC7"/>
    <w:rsid w:val="00D171E3"/>
    <w:rsid w:val="00D17674"/>
    <w:rsid w:val="00D20453"/>
    <w:rsid w:val="00D2094E"/>
    <w:rsid w:val="00D316FC"/>
    <w:rsid w:val="00D803E6"/>
    <w:rsid w:val="00D94DBF"/>
    <w:rsid w:val="00D95B26"/>
    <w:rsid w:val="00D960E2"/>
    <w:rsid w:val="00DA1AD1"/>
    <w:rsid w:val="00DA7095"/>
    <w:rsid w:val="00DB083C"/>
    <w:rsid w:val="00DC09A0"/>
    <w:rsid w:val="00E13A01"/>
    <w:rsid w:val="00E31A99"/>
    <w:rsid w:val="00E3299B"/>
    <w:rsid w:val="00E47482"/>
    <w:rsid w:val="00E52830"/>
    <w:rsid w:val="00E62AC7"/>
    <w:rsid w:val="00E65A3D"/>
    <w:rsid w:val="00E70539"/>
    <w:rsid w:val="00E80136"/>
    <w:rsid w:val="00E83691"/>
    <w:rsid w:val="00EA6B05"/>
    <w:rsid w:val="00EB6998"/>
    <w:rsid w:val="00EC654D"/>
    <w:rsid w:val="00EE6873"/>
    <w:rsid w:val="00EE6F1A"/>
    <w:rsid w:val="00EF0D4B"/>
    <w:rsid w:val="00F210A5"/>
    <w:rsid w:val="00F2468C"/>
    <w:rsid w:val="00F25090"/>
    <w:rsid w:val="00F53BF8"/>
    <w:rsid w:val="00F63E75"/>
    <w:rsid w:val="00F71CE1"/>
    <w:rsid w:val="00F8077E"/>
    <w:rsid w:val="00F83193"/>
    <w:rsid w:val="00F87CD3"/>
    <w:rsid w:val="00F941BF"/>
    <w:rsid w:val="00F94C5E"/>
    <w:rsid w:val="00FB30A9"/>
    <w:rsid w:val="00FB711F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6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3307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48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73307"/>
    <w:rPr>
      <w:rFonts w:ascii="Calibri Light" w:hAnsi="Calibri Light" w:cs="Arial"/>
      <w:color w:val="1B365D"/>
      <w:sz w:val="4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how-we-will-help/online-training/online-learning-centre" TargetMode="External"/><Relationship Id="rId2" Type="http://schemas.openxmlformats.org/officeDocument/2006/relationships/hyperlink" Target="https://www.fairwork.gov.au/my-account/registerpage.aspx" TargetMode="External"/><Relationship Id="rId1" Type="http://schemas.openxmlformats.org/officeDocument/2006/relationships/hyperlink" Target="https://calculate.fairwork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E78D-EFED-4C53-AF53-312C67AC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F9543443.dotm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retail hair and beauty campaign report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retail hair and beauty campaign report</dc:title>
  <dc:subject>East coast retail hair and beauty campaign report</dc:subject>
  <dc:creator/>
  <cp:keywords>East coast retail hair and beauty campaign report</cp:keywords>
  <cp:lastModifiedBy/>
  <cp:revision>1</cp:revision>
  <dcterms:created xsi:type="dcterms:W3CDTF">2020-04-17T05:35:00Z</dcterms:created>
  <dcterms:modified xsi:type="dcterms:W3CDTF">2020-04-17T05:39:00Z</dcterms:modified>
</cp:coreProperties>
</file>