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088D" w14:textId="78AC2EE2" w:rsidR="0092566E" w:rsidRPr="0092566E" w:rsidRDefault="00AD7E25" w:rsidP="00AD7E25">
      <w:pPr>
        <w:pStyle w:val="Coverheading"/>
        <w:spacing w:before="4200" w:line="240" w:lineRule="auto"/>
      </w:pPr>
      <w:r>
        <w:t xml:space="preserve">Compliance activities in regional education centres  </w:t>
      </w:r>
    </w:p>
    <w:p w14:paraId="777F69D2" w14:textId="455B3CD1" w:rsidR="006F0308" w:rsidRDefault="00E329A6" w:rsidP="006F0308">
      <w:pPr>
        <w:pStyle w:val="CoverReportSubTitle"/>
        <w:sectPr w:rsidR="006F0308" w:rsidSect="00CF3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276" w:right="992" w:bottom="1440" w:left="1276" w:header="0" w:footer="0" w:gutter="0"/>
          <w:pgNumType w:start="1"/>
          <w:cols w:space="720"/>
          <w:titlePg/>
          <w:docGrid w:linePitch="326"/>
        </w:sectPr>
      </w:pPr>
      <w:r>
        <w:t xml:space="preserve">A </w:t>
      </w:r>
      <w:r w:rsidRPr="008A2A55">
        <w:t xml:space="preserve">report on </w:t>
      </w:r>
      <w:r w:rsidR="00AD7E25">
        <w:t xml:space="preserve">FWO’s compliance </w:t>
      </w:r>
      <w:r w:rsidRPr="008A2A55">
        <w:t>activit</w:t>
      </w:r>
      <w:r>
        <w:t>i</w:t>
      </w:r>
      <w:r w:rsidRPr="008A2A55">
        <w:t xml:space="preserve">es </w:t>
      </w:r>
      <w:r>
        <w:t xml:space="preserve">in </w:t>
      </w:r>
      <w:r w:rsidR="008E53BF">
        <w:t xml:space="preserve">Ballarat, Wollongong and Albury-Wodonga </w:t>
      </w:r>
    </w:p>
    <w:p w14:paraId="1DD4EFF6" w14:textId="77777777" w:rsidR="006F0308" w:rsidRDefault="006F0308" w:rsidP="00BF0029">
      <w:pPr>
        <w:sectPr w:rsidR="006F0308" w:rsidSect="00CF3B06">
          <w:type w:val="continuous"/>
          <w:pgSz w:w="11907" w:h="16840" w:code="9"/>
          <w:pgMar w:top="1276" w:right="992" w:bottom="1440" w:left="1276" w:header="0" w:footer="0" w:gutter="0"/>
          <w:pgNumType w:start="1"/>
          <w:cols w:space="720"/>
          <w:titlePg/>
          <w:docGrid w:linePitch="326"/>
        </w:sectPr>
      </w:pPr>
    </w:p>
    <w:p w14:paraId="457A5354" w14:textId="77777777" w:rsidR="00066430" w:rsidRDefault="00066430" w:rsidP="00BF0029"/>
    <w:p w14:paraId="2E8E7BC9" w14:textId="5E23A40F" w:rsidR="00BF0029" w:rsidRPr="00BF0029" w:rsidRDefault="00AD009A" w:rsidP="00BF0029">
      <w:r>
        <w:t xml:space="preserve">June </w:t>
      </w:r>
      <w:r w:rsidR="00E329A6">
        <w:t>2019</w:t>
      </w:r>
    </w:p>
    <w:p w14:paraId="2B2F9D12" w14:textId="3B15CA5B" w:rsidR="001F20C3" w:rsidRPr="006A412C" w:rsidRDefault="009629F3" w:rsidP="006A412C">
      <w:bookmarkStart w:id="0" w:name="_GoBack"/>
      <w:bookmarkEnd w:id="0"/>
      <w:r w:rsidRPr="0045600E">
        <w:t>©</w:t>
      </w:r>
      <w:r w:rsidR="00CC7FFE" w:rsidRPr="0045600E">
        <w:t xml:space="preserve"> </w:t>
      </w:r>
      <w:r w:rsidRPr="0045600E">
        <w:t>Commonwealth of Australia, 201</w:t>
      </w:r>
      <w:r w:rsidR="00E329A6">
        <w:t>9</w:t>
      </w:r>
      <w:r w:rsidR="001F20C3">
        <w:br w:type="page"/>
      </w:r>
    </w:p>
    <w:p w14:paraId="5EB58C45" w14:textId="74A4A0F3" w:rsidR="003D32FB" w:rsidRDefault="00252336" w:rsidP="00AA0A63">
      <w:pPr>
        <w:spacing w:line="240" w:lineRule="auto"/>
      </w:pPr>
      <w:bookmarkStart w:id="1" w:name="_Toc1047657"/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268D72C6" wp14:editId="10EA365E">
            <wp:simplePos x="0" y="0"/>
            <wp:positionH relativeFrom="page">
              <wp:posOffset>0</wp:posOffset>
            </wp:positionH>
            <wp:positionV relativeFrom="page">
              <wp:posOffset>-25400</wp:posOffset>
            </wp:positionV>
            <wp:extent cx="7556500" cy="107188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liance-regiona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2FB">
        <w:br w:type="page"/>
      </w:r>
    </w:p>
    <w:p w14:paraId="6FBA3597" w14:textId="6220EA68" w:rsidR="00E329A6" w:rsidRDefault="00E329A6" w:rsidP="0087270F">
      <w:pPr>
        <w:pStyle w:val="Heading1"/>
      </w:pPr>
      <w:bookmarkStart w:id="2" w:name="_Toc5694059"/>
      <w:r w:rsidRPr="00192673">
        <w:lastRenderedPageBreak/>
        <w:t xml:space="preserve">Executive </w:t>
      </w:r>
      <w:r>
        <w:t>s</w:t>
      </w:r>
      <w:r w:rsidRPr="00192673">
        <w:t>ummary</w:t>
      </w:r>
      <w:bookmarkEnd w:id="1"/>
      <w:bookmarkEnd w:id="2"/>
    </w:p>
    <w:p w14:paraId="55A6D65E" w14:textId="484BE64C" w:rsidR="00E329A6" w:rsidRDefault="00E329A6" w:rsidP="00E329A6">
      <w:r>
        <w:t xml:space="preserve">This report discusses the FWO’s proactive compliance </w:t>
      </w:r>
      <w:r w:rsidR="00B52733">
        <w:t xml:space="preserve">activities </w:t>
      </w:r>
      <w:r>
        <w:t>in</w:t>
      </w:r>
      <w:r w:rsidR="00B52733">
        <w:t>:</w:t>
      </w:r>
      <w:r>
        <w:t xml:space="preserve"> </w:t>
      </w:r>
    </w:p>
    <w:p w14:paraId="7C7ABF5E" w14:textId="07588C49" w:rsidR="00E329A6" w:rsidRPr="00CE74F4" w:rsidRDefault="008E53BF" w:rsidP="00CE74F4">
      <w:pPr>
        <w:pStyle w:val="Bullet"/>
        <w:numPr>
          <w:ilvl w:val="0"/>
          <w:numId w:val="28"/>
        </w:numPr>
      </w:pPr>
      <w:r w:rsidRPr="00AA4629">
        <w:t>Ballarat (Vic)</w:t>
      </w:r>
    </w:p>
    <w:p w14:paraId="0C0C7695" w14:textId="6FAE2E42" w:rsidR="00E329A6" w:rsidRPr="00AA4629" w:rsidRDefault="008E53BF" w:rsidP="00CE74F4">
      <w:pPr>
        <w:pStyle w:val="Bullet"/>
        <w:numPr>
          <w:ilvl w:val="0"/>
          <w:numId w:val="28"/>
        </w:numPr>
      </w:pPr>
      <w:r w:rsidRPr="00AA4629">
        <w:t>Wollongong (NSW)</w:t>
      </w:r>
    </w:p>
    <w:p w14:paraId="70ED26A2" w14:textId="5276965F" w:rsidR="00E329A6" w:rsidRPr="00AA4629" w:rsidRDefault="008E53BF" w:rsidP="00CE74F4">
      <w:pPr>
        <w:pStyle w:val="Bullet"/>
        <w:numPr>
          <w:ilvl w:val="0"/>
          <w:numId w:val="28"/>
        </w:numPr>
      </w:pPr>
      <w:r w:rsidRPr="00AA4629">
        <w:t>Albury-Wodonga (Vic/NSW)</w:t>
      </w:r>
      <w:r w:rsidR="00397ACC">
        <w:t>.</w:t>
      </w:r>
    </w:p>
    <w:p w14:paraId="4F366EAC" w14:textId="4EDEEA48" w:rsidR="005C1BD5" w:rsidRDefault="005247B0" w:rsidP="005C1BD5">
      <w:r>
        <w:t>Each of these</w:t>
      </w:r>
      <w:r w:rsidR="008D01E0">
        <w:t xml:space="preserve"> </w:t>
      </w:r>
      <w:r>
        <w:t>locations</w:t>
      </w:r>
      <w:r w:rsidR="009C75D6">
        <w:t xml:space="preserve"> are </w:t>
      </w:r>
      <w:r w:rsidR="00985A3E">
        <w:t xml:space="preserve">regional university centres or </w:t>
      </w:r>
      <w:r w:rsidR="009C75D6">
        <w:t>‘education hubs’</w:t>
      </w:r>
      <w:r w:rsidR="00277375">
        <w:t xml:space="preserve">, </w:t>
      </w:r>
      <w:r w:rsidR="008D01E0">
        <w:t>host</w:t>
      </w:r>
      <w:r w:rsidR="00277375">
        <w:t>ing</w:t>
      </w:r>
      <w:r w:rsidR="00346FF9">
        <w:t xml:space="preserve"> major </w:t>
      </w:r>
      <w:r w:rsidR="000A0281">
        <w:t xml:space="preserve">tertiary education </w:t>
      </w:r>
      <w:r w:rsidR="005C1BD5">
        <w:t>campuses</w:t>
      </w:r>
      <w:r w:rsidR="00277375">
        <w:t xml:space="preserve"> and</w:t>
      </w:r>
      <w:r w:rsidR="007D08B7">
        <w:t xml:space="preserve"> </w:t>
      </w:r>
      <w:r>
        <w:t xml:space="preserve">large </w:t>
      </w:r>
      <w:r w:rsidR="005C1BD5">
        <w:t xml:space="preserve">student populations. </w:t>
      </w:r>
    </w:p>
    <w:p w14:paraId="468794F7" w14:textId="0256E1E4" w:rsidR="00BC6C96" w:rsidRDefault="004E51B2" w:rsidP="00F00238">
      <w:r>
        <w:t>Young workers</w:t>
      </w:r>
      <w:r w:rsidR="0077363C">
        <w:t xml:space="preserve">—including </w:t>
      </w:r>
      <w:r>
        <w:t>domestic and international students</w:t>
      </w:r>
      <w:r w:rsidR="0077363C">
        <w:t xml:space="preserve">—rely on local </w:t>
      </w:r>
      <w:r w:rsidR="00066430">
        <w:t xml:space="preserve">jobs </w:t>
      </w:r>
      <w:r w:rsidR="0077363C">
        <w:t xml:space="preserve">to support themselves. </w:t>
      </w:r>
      <w:r w:rsidR="00066430">
        <w:t xml:space="preserve">Young workers are particularly vulnerable to receiving below minimum wages and conditions. </w:t>
      </w:r>
      <w:r w:rsidR="0077363C">
        <w:t xml:space="preserve"> </w:t>
      </w:r>
    </w:p>
    <w:p w14:paraId="09DA14C3" w14:textId="5A24A3C5" w:rsidR="008D01E0" w:rsidRDefault="00066430" w:rsidP="008D01E0">
      <w:r>
        <w:t xml:space="preserve">The </w:t>
      </w:r>
      <w:r w:rsidR="00D83B2C">
        <w:t>FWO</w:t>
      </w:r>
      <w:r w:rsidR="005C3295">
        <w:t xml:space="preserve"> </w:t>
      </w:r>
      <w:r w:rsidR="008D01E0">
        <w:t xml:space="preserve">targeted businesses </w:t>
      </w:r>
      <w:r>
        <w:t xml:space="preserve">in industries known to employ </w:t>
      </w:r>
      <w:r w:rsidR="004E51B2">
        <w:t xml:space="preserve">young workers </w:t>
      </w:r>
      <w:r>
        <w:t xml:space="preserve">in order </w:t>
      </w:r>
      <w:r w:rsidR="008D01E0">
        <w:t>to:</w:t>
      </w:r>
    </w:p>
    <w:p w14:paraId="0E5B36EA" w14:textId="735F024C" w:rsidR="008D01E0" w:rsidRPr="000C1EE9" w:rsidRDefault="008D01E0" w:rsidP="00E06338">
      <w:pPr>
        <w:pStyle w:val="Bullet"/>
      </w:pPr>
      <w:r w:rsidRPr="003A6810">
        <w:t>detect and deter non-compliant behaviours</w:t>
      </w:r>
    </w:p>
    <w:p w14:paraId="5C5659B7" w14:textId="344DBBE2" w:rsidR="008D01E0" w:rsidRPr="003A6810" w:rsidRDefault="008D01E0" w:rsidP="00E06338">
      <w:pPr>
        <w:pStyle w:val="Bullet"/>
      </w:pPr>
      <w:r w:rsidRPr="003A6810">
        <w:t>ensur</w:t>
      </w:r>
      <w:r w:rsidR="00BC6C96">
        <w:t xml:space="preserve">e young workers and students </w:t>
      </w:r>
      <w:r w:rsidRPr="000C1EE9">
        <w:t>are not exploited and that all employee</w:t>
      </w:r>
      <w:r w:rsidR="000C1EE9" w:rsidRPr="000C1EE9">
        <w:t>s</w:t>
      </w:r>
      <w:r w:rsidRPr="000C1EE9">
        <w:t xml:space="preserve"> receive their lawful minimum entitlements</w:t>
      </w:r>
    </w:p>
    <w:p w14:paraId="181211E0" w14:textId="55D7D874" w:rsidR="008D01E0" w:rsidRPr="000C1EE9" w:rsidRDefault="008D01E0" w:rsidP="00E06338">
      <w:pPr>
        <w:pStyle w:val="Bullet"/>
      </w:pPr>
      <w:proofErr w:type="gramStart"/>
      <w:r w:rsidRPr="000C1EE9">
        <w:t>educate</w:t>
      </w:r>
      <w:proofErr w:type="gramEnd"/>
      <w:r w:rsidRPr="000C1EE9">
        <w:t xml:space="preserve"> employers about </w:t>
      </w:r>
      <w:r w:rsidR="00BC6C96">
        <w:t xml:space="preserve">their </w:t>
      </w:r>
      <w:r w:rsidRPr="000C1EE9">
        <w:t xml:space="preserve">workplace </w:t>
      </w:r>
      <w:r w:rsidR="00BC6C96">
        <w:t xml:space="preserve">relations </w:t>
      </w:r>
      <w:r w:rsidRPr="000C1EE9">
        <w:t>obligations.</w:t>
      </w:r>
    </w:p>
    <w:p w14:paraId="4E876EED" w14:textId="33784CA4" w:rsidR="00040421" w:rsidRDefault="00E329A6" w:rsidP="008D01E0">
      <w:r>
        <w:t>Fair Work Inspectors audited</w:t>
      </w:r>
      <w:r w:rsidR="008E53BF">
        <w:t xml:space="preserve"> </w:t>
      </w:r>
      <w:r w:rsidR="00584698">
        <w:t xml:space="preserve">489 </w:t>
      </w:r>
      <w:r>
        <w:t>businesses and found</w:t>
      </w:r>
      <w:r w:rsidR="00040421">
        <w:t>:</w:t>
      </w:r>
    </w:p>
    <w:p w14:paraId="19AC6887" w14:textId="4F40F9E1" w:rsidR="00E329A6" w:rsidRPr="00AA4629" w:rsidRDefault="00584698" w:rsidP="00CE74F4">
      <w:pPr>
        <w:pStyle w:val="Bullet"/>
        <w:numPr>
          <w:ilvl w:val="0"/>
          <w:numId w:val="28"/>
        </w:numPr>
      </w:pPr>
      <w:r w:rsidRPr="00AA4629">
        <w:t>362 (74</w:t>
      </w:r>
      <w:r w:rsidR="00E329A6" w:rsidRPr="00AA4629">
        <w:t>%) were compliant with pay slip and record-keeping requirements</w:t>
      </w:r>
    </w:p>
    <w:p w14:paraId="4830BCE7" w14:textId="3C24EC0D" w:rsidR="00672DEF" w:rsidRPr="00AA4629" w:rsidRDefault="00584698" w:rsidP="00CE74F4">
      <w:pPr>
        <w:pStyle w:val="Bullet"/>
        <w:numPr>
          <w:ilvl w:val="0"/>
          <w:numId w:val="28"/>
        </w:numPr>
      </w:pPr>
      <w:r w:rsidRPr="00AA4629">
        <w:t>338</w:t>
      </w:r>
      <w:r w:rsidR="00E329A6" w:rsidRPr="00AA4629">
        <w:t xml:space="preserve"> (</w:t>
      </w:r>
      <w:r w:rsidRPr="00AA4629">
        <w:t>69</w:t>
      </w:r>
      <w:r w:rsidR="00E329A6" w:rsidRPr="00AA4629">
        <w:t>%) were paying their employees correctly</w:t>
      </w:r>
      <w:r w:rsidR="000C2B08" w:rsidRPr="00AA4629">
        <w:t xml:space="preserve"> </w:t>
      </w:r>
    </w:p>
    <w:p w14:paraId="6AE2D649" w14:textId="056207AF" w:rsidR="00584698" w:rsidRPr="00AA4629" w:rsidRDefault="00584698" w:rsidP="00CE74F4">
      <w:pPr>
        <w:pStyle w:val="Bullet"/>
        <w:numPr>
          <w:ilvl w:val="0"/>
          <w:numId w:val="28"/>
        </w:numPr>
      </w:pPr>
      <w:r w:rsidRPr="00AA4629">
        <w:t>259 (53%) were compliant with all aspects of their workplace relations obligations</w:t>
      </w:r>
      <w:r w:rsidR="00397ACC">
        <w:t>.</w:t>
      </w:r>
      <w:r w:rsidRPr="00AA4629">
        <w:t xml:space="preserve"> </w:t>
      </w:r>
    </w:p>
    <w:p w14:paraId="2F43295B" w14:textId="473A5C2C" w:rsidR="00E329A6" w:rsidRPr="00DC249A" w:rsidRDefault="004E2D65" w:rsidP="00E329A6">
      <w:r>
        <w:t>Inspectors</w:t>
      </w:r>
      <w:r w:rsidR="00066430">
        <w:t xml:space="preserve"> </w:t>
      </w:r>
      <w:r w:rsidR="008122F6">
        <w:t xml:space="preserve">determined that </w:t>
      </w:r>
      <w:r w:rsidR="00F5285A">
        <w:t>a lack of awareness was the key driver</w:t>
      </w:r>
      <w:r w:rsidR="00BC6C96">
        <w:t xml:space="preserve"> of non-compliance</w:t>
      </w:r>
      <w:r w:rsidR="00F5285A">
        <w:t xml:space="preserve"> </w:t>
      </w:r>
      <w:r w:rsidR="00314591">
        <w:t>in</w:t>
      </w:r>
      <w:r w:rsidR="00066430">
        <w:t xml:space="preserve"> the majority of non-compliant </w:t>
      </w:r>
      <w:r w:rsidR="00314591" w:rsidRPr="00DC249A">
        <w:t>cases</w:t>
      </w:r>
      <w:r w:rsidR="00BC6C96">
        <w:t xml:space="preserve">. </w:t>
      </w:r>
      <w:r w:rsidR="00066430">
        <w:t xml:space="preserve">Employers were </w:t>
      </w:r>
      <w:r w:rsidR="00D83B2C">
        <w:t xml:space="preserve">educated </w:t>
      </w:r>
      <w:r w:rsidR="000607A6">
        <w:t xml:space="preserve">about workplace </w:t>
      </w:r>
      <w:r w:rsidR="00BC6C96">
        <w:t>relations laws</w:t>
      </w:r>
      <w:r w:rsidR="00D83B2C">
        <w:t xml:space="preserve"> and</w:t>
      </w:r>
      <w:r w:rsidR="00192A3D" w:rsidRPr="00DC249A">
        <w:t xml:space="preserve"> </w:t>
      </w:r>
      <w:r w:rsidR="00462163" w:rsidRPr="00DC249A">
        <w:t>compliance</w:t>
      </w:r>
      <w:r w:rsidR="00192A3D" w:rsidRPr="00DC249A">
        <w:t xml:space="preserve"> an</w:t>
      </w:r>
      <w:r w:rsidR="009365AC" w:rsidRPr="00DC249A">
        <w:t xml:space="preserve">d enforcement action </w:t>
      </w:r>
      <w:r w:rsidR="00066430">
        <w:t xml:space="preserve">was taken </w:t>
      </w:r>
      <w:r w:rsidR="009365AC" w:rsidRPr="00DC249A">
        <w:t xml:space="preserve">to </w:t>
      </w:r>
      <w:r w:rsidR="00314591" w:rsidRPr="00DC249A">
        <w:t xml:space="preserve">ensure </w:t>
      </w:r>
      <w:r w:rsidR="00066430">
        <w:t xml:space="preserve">breaches were </w:t>
      </w:r>
      <w:r w:rsidR="00314591" w:rsidRPr="00DC249A">
        <w:t>rectified</w:t>
      </w:r>
      <w:r w:rsidR="00066430">
        <w:t xml:space="preserve">. Fair Work </w:t>
      </w:r>
      <w:r w:rsidR="00AB28E6">
        <w:t>Inspectors</w:t>
      </w:r>
      <w:r w:rsidR="00066430">
        <w:t xml:space="preserve"> issued</w:t>
      </w:r>
      <w:r w:rsidR="000607A6">
        <w:t>:</w:t>
      </w:r>
    </w:p>
    <w:p w14:paraId="43C6CC00" w14:textId="244CAE91" w:rsidR="000339A4" w:rsidRPr="00AA4629" w:rsidRDefault="000339A4" w:rsidP="00CE74F4">
      <w:pPr>
        <w:pStyle w:val="Bullet"/>
        <w:numPr>
          <w:ilvl w:val="0"/>
          <w:numId w:val="28"/>
        </w:numPr>
      </w:pPr>
      <w:r w:rsidRPr="00AA4629">
        <w:t>3</w:t>
      </w:r>
      <w:r w:rsidR="005B0E73" w:rsidRPr="00AA4629">
        <w:t>7</w:t>
      </w:r>
      <w:r w:rsidR="005A63FE" w:rsidRPr="00AA4629">
        <w:t xml:space="preserve"> Infringement Notices</w:t>
      </w:r>
      <w:r w:rsidR="00C84B03">
        <w:t>, with</w:t>
      </w:r>
      <w:r w:rsidR="00C84B03" w:rsidRPr="00C84B03">
        <w:t xml:space="preserve"> </w:t>
      </w:r>
      <w:r w:rsidR="00C84B03" w:rsidRPr="00F7085E">
        <w:t>$30 360 in penalties</w:t>
      </w:r>
      <w:r w:rsidR="00C84B03">
        <w:t xml:space="preserve"> for pay slip and record</w:t>
      </w:r>
      <w:r w:rsidR="00191D61">
        <w:t>-</w:t>
      </w:r>
      <w:r w:rsidR="00C84B03">
        <w:t xml:space="preserve">keeping breaches </w:t>
      </w:r>
    </w:p>
    <w:p w14:paraId="3E9643A1" w14:textId="4808C0FB" w:rsidR="00E329A6" w:rsidRPr="00AA4629" w:rsidRDefault="00584698" w:rsidP="00CE74F4">
      <w:pPr>
        <w:pStyle w:val="Bullet"/>
        <w:numPr>
          <w:ilvl w:val="0"/>
          <w:numId w:val="28"/>
        </w:numPr>
      </w:pPr>
      <w:r w:rsidRPr="00AA4629">
        <w:t>35</w:t>
      </w:r>
      <w:r w:rsidR="00E329A6" w:rsidRPr="00AA4629">
        <w:t xml:space="preserve"> </w:t>
      </w:r>
      <w:r w:rsidR="005A63FE" w:rsidRPr="00AA4629">
        <w:t>Formal Cautions</w:t>
      </w:r>
    </w:p>
    <w:p w14:paraId="181C4759" w14:textId="2CD1A80D" w:rsidR="00584698" w:rsidRPr="00AA4629" w:rsidRDefault="00584698" w:rsidP="00CE74F4">
      <w:pPr>
        <w:pStyle w:val="Bullet"/>
        <w:numPr>
          <w:ilvl w:val="0"/>
          <w:numId w:val="28"/>
        </w:numPr>
      </w:pPr>
      <w:proofErr w:type="gramStart"/>
      <w:r w:rsidRPr="00AA4629">
        <w:lastRenderedPageBreak/>
        <w:t>nine</w:t>
      </w:r>
      <w:proofErr w:type="gramEnd"/>
      <w:r w:rsidR="00E329A6" w:rsidRPr="00AA4629">
        <w:t xml:space="preserve"> Compliance Notices</w:t>
      </w:r>
      <w:r w:rsidR="00C84B03">
        <w:t>,</w:t>
      </w:r>
      <w:r w:rsidR="00C84B03" w:rsidRPr="00C84B03">
        <w:t xml:space="preserve"> </w:t>
      </w:r>
      <w:r w:rsidR="00C84B03">
        <w:t>requiring employers to back pay</w:t>
      </w:r>
      <w:r w:rsidR="00C84B03" w:rsidRPr="00F7085E">
        <w:t xml:space="preserve"> $27 685 </w:t>
      </w:r>
      <w:r w:rsidR="00C84B03">
        <w:t>to</w:t>
      </w:r>
      <w:r w:rsidR="00C84B03" w:rsidRPr="00F7085E">
        <w:t xml:space="preserve"> 29 workers.</w:t>
      </w:r>
    </w:p>
    <w:p w14:paraId="45E975B4" w14:textId="573F8AD7" w:rsidR="008D01E0" w:rsidRDefault="000A667A" w:rsidP="00066430">
      <w:pPr>
        <w:pStyle w:val="Bullet"/>
        <w:numPr>
          <w:ilvl w:val="0"/>
          <w:numId w:val="0"/>
        </w:numPr>
      </w:pPr>
      <w:r w:rsidRPr="00AA4629">
        <w:t xml:space="preserve">$331 </w:t>
      </w:r>
      <w:r w:rsidR="00C66585">
        <w:t>3</w:t>
      </w:r>
      <w:r w:rsidRPr="00AA4629">
        <w:t xml:space="preserve">86 </w:t>
      </w:r>
      <w:r w:rsidR="00066430">
        <w:t xml:space="preserve">was recovered </w:t>
      </w:r>
      <w:r w:rsidRPr="00AA4629">
        <w:t xml:space="preserve">for 725 employees </w:t>
      </w:r>
      <w:r w:rsidR="00066430">
        <w:t xml:space="preserve">working in </w:t>
      </w:r>
      <w:r w:rsidRPr="00AA4629">
        <w:t>128 businesses.</w:t>
      </w:r>
      <w:r w:rsidR="004E2D65">
        <w:t xml:space="preserve"> </w:t>
      </w:r>
      <w:r w:rsidR="0009729A">
        <w:t xml:space="preserve">This included </w:t>
      </w:r>
      <w:r w:rsidR="0009729A" w:rsidRPr="00734F76">
        <w:rPr>
          <w:rFonts w:cs="Arial"/>
        </w:rPr>
        <w:t>$181 557</w:t>
      </w:r>
      <w:r w:rsidR="0009729A">
        <w:rPr>
          <w:rFonts w:cs="Arial"/>
        </w:rPr>
        <w:t xml:space="preserve"> recovered from 67 hospitali</w:t>
      </w:r>
      <w:r w:rsidR="00066430">
        <w:rPr>
          <w:rFonts w:cs="Arial"/>
        </w:rPr>
        <w:t>ty businesses for 573 workers.</w:t>
      </w:r>
    </w:p>
    <w:p w14:paraId="04CAB64A" w14:textId="77777777" w:rsidR="00AB28E6" w:rsidRDefault="00AB28E6" w:rsidP="0087270F">
      <w:pPr>
        <w:pStyle w:val="Heading1"/>
      </w:pPr>
      <w:bookmarkStart w:id="3" w:name="_Toc1047658"/>
      <w:bookmarkStart w:id="4" w:name="_Toc5694060"/>
      <w:r>
        <w:br w:type="page"/>
      </w:r>
    </w:p>
    <w:p w14:paraId="6D6BF432" w14:textId="0149BC55" w:rsidR="00E329A6" w:rsidRDefault="00E329A6" w:rsidP="0087270F">
      <w:pPr>
        <w:pStyle w:val="Heading1"/>
      </w:pPr>
      <w:r>
        <w:lastRenderedPageBreak/>
        <w:t>Background</w:t>
      </w:r>
      <w:bookmarkEnd w:id="3"/>
      <w:bookmarkEnd w:id="4"/>
    </w:p>
    <w:p w14:paraId="7807D321" w14:textId="03E04CF9" w:rsidR="007B3D64" w:rsidRDefault="00D83BB3" w:rsidP="008B5B96">
      <w:r>
        <w:t xml:space="preserve">Ballarat, Wollongong, </w:t>
      </w:r>
      <w:r w:rsidR="00BC6C96">
        <w:t xml:space="preserve">and </w:t>
      </w:r>
      <w:r>
        <w:t>the Albury/Wodonga</w:t>
      </w:r>
      <w:r w:rsidR="008B5B96">
        <w:t xml:space="preserve"> </w:t>
      </w:r>
      <w:r w:rsidR="00BC6C96">
        <w:t xml:space="preserve">region </w:t>
      </w:r>
      <w:r w:rsidR="007B3D64">
        <w:t xml:space="preserve">host </w:t>
      </w:r>
      <w:r w:rsidR="008B5B96">
        <w:t>some of Australia’s leading Universities</w:t>
      </w:r>
      <w:r w:rsidR="00346FF9">
        <w:t xml:space="preserve">. Several major </w:t>
      </w:r>
      <w:r w:rsidR="008B5B96">
        <w:t>tertiary education campuses</w:t>
      </w:r>
      <w:r w:rsidR="00346FF9">
        <w:t xml:space="preserve"> are located in these areas</w:t>
      </w:r>
      <w:r w:rsidR="004E2D65">
        <w:t xml:space="preserve"> including</w:t>
      </w:r>
      <w:r w:rsidR="00346FF9">
        <w:t>:</w:t>
      </w:r>
      <w:r w:rsidR="007B3D64">
        <w:t xml:space="preserve"> </w:t>
      </w:r>
    </w:p>
    <w:p w14:paraId="4726D52F" w14:textId="6C9783AE" w:rsidR="007B3D64" w:rsidRDefault="007B3D64" w:rsidP="00CE74F4">
      <w:pPr>
        <w:pStyle w:val="Bullet"/>
        <w:numPr>
          <w:ilvl w:val="0"/>
          <w:numId w:val="28"/>
        </w:numPr>
      </w:pPr>
      <w:r>
        <w:t>Federation University of Australia and the Australian Catholic University (Ballarat)</w:t>
      </w:r>
    </w:p>
    <w:p w14:paraId="0BA3888D" w14:textId="2EF1B959" w:rsidR="00346FF9" w:rsidRDefault="00346FF9" w:rsidP="00CE74F4">
      <w:pPr>
        <w:pStyle w:val="Bullet"/>
        <w:numPr>
          <w:ilvl w:val="0"/>
          <w:numId w:val="28"/>
        </w:numPr>
      </w:pPr>
      <w:r>
        <w:t>University of Wollongong and Illawarra Institute of TAFE (Wollongong)</w:t>
      </w:r>
    </w:p>
    <w:p w14:paraId="1A6DA916" w14:textId="5578A91E" w:rsidR="00346FF9" w:rsidRDefault="00346FF9" w:rsidP="00CE74F4">
      <w:pPr>
        <w:pStyle w:val="Bullet"/>
        <w:numPr>
          <w:ilvl w:val="0"/>
          <w:numId w:val="28"/>
        </w:numPr>
      </w:pPr>
      <w:r>
        <w:t>Charles Sturt and Latrobe Universities (Albury/Wodonga)</w:t>
      </w:r>
      <w:r w:rsidR="00BC6C96">
        <w:t>.</w:t>
      </w:r>
      <w:r>
        <w:t xml:space="preserve"> </w:t>
      </w:r>
    </w:p>
    <w:p w14:paraId="0E68188E" w14:textId="0887ECA4" w:rsidR="00662179" w:rsidRDefault="008F1070" w:rsidP="00CE74F4">
      <w:r w:rsidRPr="00CF035C">
        <w:t xml:space="preserve">The FWO </w:t>
      </w:r>
      <w:r w:rsidR="006F2DFC">
        <w:t xml:space="preserve">selected </w:t>
      </w:r>
      <w:r w:rsidR="00D83BB3">
        <w:t xml:space="preserve">these </w:t>
      </w:r>
      <w:r w:rsidR="006F2DFC">
        <w:t xml:space="preserve">locations </w:t>
      </w:r>
      <w:r w:rsidRPr="00CF035C">
        <w:t>based on a number of factors:</w:t>
      </w:r>
    </w:p>
    <w:p w14:paraId="769B4AB3" w14:textId="7A6849E7" w:rsidR="00662179" w:rsidRDefault="007B3D64" w:rsidP="0087270F">
      <w:pPr>
        <w:pStyle w:val="Bullet"/>
        <w:numPr>
          <w:ilvl w:val="0"/>
          <w:numId w:val="28"/>
        </w:numPr>
      </w:pPr>
      <w:r>
        <w:t>the number of</w:t>
      </w:r>
      <w:r w:rsidR="00662179" w:rsidRPr="00AA4629">
        <w:t xml:space="preserve"> </w:t>
      </w:r>
      <w:r w:rsidR="00D07885">
        <w:t>tertiary</w:t>
      </w:r>
      <w:r w:rsidR="006F2DFC">
        <w:t xml:space="preserve"> </w:t>
      </w:r>
      <w:r w:rsidR="00662179" w:rsidRPr="00AA4629">
        <w:t>students</w:t>
      </w:r>
    </w:p>
    <w:p w14:paraId="6BA18121" w14:textId="3C205601" w:rsidR="00211CA2" w:rsidRPr="00A34D4A" w:rsidRDefault="00211CA2" w:rsidP="0087270F">
      <w:pPr>
        <w:pStyle w:val="Bullet"/>
        <w:numPr>
          <w:ilvl w:val="0"/>
          <w:numId w:val="28"/>
        </w:numPr>
      </w:pPr>
      <w:r w:rsidRPr="00A34D4A">
        <w:t>public concern over the potential exploitation of student workers in the</w:t>
      </w:r>
      <w:r w:rsidRPr="00277375">
        <w:t>se centres</w:t>
      </w:r>
      <w:r w:rsidR="00277375" w:rsidRPr="00DA1806">
        <w:rPr>
          <w:rStyle w:val="FootnoteReference"/>
          <w:rFonts w:eastAsia="Times New Roman"/>
          <w:szCs w:val="24"/>
        </w:rPr>
        <w:footnoteReference w:id="2"/>
      </w:r>
    </w:p>
    <w:p w14:paraId="6A79704B" w14:textId="76FEBF02" w:rsidR="00662179" w:rsidRDefault="007174A2" w:rsidP="0087270F">
      <w:pPr>
        <w:pStyle w:val="Bullet"/>
        <w:numPr>
          <w:ilvl w:val="0"/>
          <w:numId w:val="28"/>
        </w:numPr>
      </w:pPr>
      <w:proofErr w:type="gramStart"/>
      <w:r w:rsidRPr="00AA4629">
        <w:t>i</w:t>
      </w:r>
      <w:r w:rsidR="00662179" w:rsidRPr="00AA4629">
        <w:t>ntelligence</w:t>
      </w:r>
      <w:proofErr w:type="gramEnd"/>
      <w:r w:rsidR="00662179" w:rsidRPr="00AA4629">
        <w:t>,</w:t>
      </w:r>
      <w:r w:rsidR="00866BE5" w:rsidRPr="00AA4629">
        <w:t xml:space="preserve"> including anonymous reports</w:t>
      </w:r>
      <w:r w:rsidR="00D83BB3">
        <w:t xml:space="preserve"> from young workers</w:t>
      </w:r>
      <w:r w:rsidR="00662179" w:rsidRPr="00AA4629">
        <w:t xml:space="preserve">, </w:t>
      </w:r>
      <w:r w:rsidR="00211CA2">
        <w:t>alleging</w:t>
      </w:r>
      <w:r w:rsidR="00662179" w:rsidRPr="00AA4629">
        <w:t xml:space="preserve"> </w:t>
      </w:r>
      <w:r w:rsidR="008D01E0">
        <w:t>u</w:t>
      </w:r>
      <w:r w:rsidR="00662179" w:rsidRPr="00AA4629">
        <w:t>nderpa</w:t>
      </w:r>
      <w:r w:rsidR="008D01E0">
        <w:t xml:space="preserve">yment and </w:t>
      </w:r>
      <w:r w:rsidR="00662179" w:rsidRPr="00AA4629">
        <w:t>exploit</w:t>
      </w:r>
      <w:r w:rsidR="008D01E0">
        <w:t>ation</w:t>
      </w:r>
      <w:r w:rsidR="007B3D64">
        <w:t xml:space="preserve"> by local employers</w:t>
      </w:r>
      <w:r w:rsidR="007D08B7">
        <w:t>.</w:t>
      </w:r>
    </w:p>
    <w:p w14:paraId="0359C161" w14:textId="08C571CD" w:rsidR="007174A2" w:rsidRPr="007174A2" w:rsidRDefault="00DA1806" w:rsidP="00D07885">
      <w:bookmarkStart w:id="5" w:name="_Toc1047659"/>
      <w:r>
        <w:t>I</w:t>
      </w:r>
      <w:r w:rsidR="007174A2">
        <w:t xml:space="preserve">ndustries </w:t>
      </w:r>
      <w:r w:rsidR="006F2DFC">
        <w:t xml:space="preserve">with </w:t>
      </w:r>
      <w:r w:rsidR="007174A2">
        <w:t>lower barriers</w:t>
      </w:r>
      <w:r w:rsidR="00EC4CBA">
        <w:t xml:space="preserve"> to entry known to </w:t>
      </w:r>
      <w:r w:rsidR="003F2A71">
        <w:t xml:space="preserve">employ </w:t>
      </w:r>
      <w:r w:rsidR="00D2439A">
        <w:t>young workers</w:t>
      </w:r>
      <w:r w:rsidR="004E51B2">
        <w:t>—</w:t>
      </w:r>
      <w:r w:rsidR="003F2A71">
        <w:t xml:space="preserve">usually on </w:t>
      </w:r>
      <w:r w:rsidR="00EC4CBA">
        <w:t>a part-time or casual basis</w:t>
      </w:r>
      <w:r w:rsidR="004E51B2">
        <w:t>—</w:t>
      </w:r>
      <w:r>
        <w:t>were targeted, including:</w:t>
      </w:r>
    </w:p>
    <w:p w14:paraId="0D3B0D7D" w14:textId="1D2C55C0" w:rsidR="00EC4CBA" w:rsidRPr="00AA4629" w:rsidRDefault="00A34D4A" w:rsidP="0087270F">
      <w:pPr>
        <w:pStyle w:val="Bullet"/>
        <w:numPr>
          <w:ilvl w:val="0"/>
          <w:numId w:val="28"/>
        </w:numPr>
      </w:pPr>
      <w:r>
        <w:t>t</w:t>
      </w:r>
      <w:r w:rsidR="00EC4CBA" w:rsidRPr="00AA4629">
        <w:t>ake-away food</w:t>
      </w:r>
      <w:r>
        <w:t xml:space="preserve"> outlets</w:t>
      </w:r>
    </w:p>
    <w:p w14:paraId="2D812411" w14:textId="13480547" w:rsidR="00EC4CBA" w:rsidRPr="00AA4629" w:rsidRDefault="00A34D4A" w:rsidP="0087270F">
      <w:pPr>
        <w:pStyle w:val="Bullet"/>
        <w:numPr>
          <w:ilvl w:val="0"/>
          <w:numId w:val="28"/>
        </w:numPr>
      </w:pPr>
      <w:r>
        <w:t>c</w:t>
      </w:r>
      <w:r w:rsidR="00EC4CBA" w:rsidRPr="00AA4629">
        <w:t>afés and restaurants</w:t>
      </w:r>
    </w:p>
    <w:p w14:paraId="4E517EBA" w14:textId="0E3D50AB" w:rsidR="00EC4CBA" w:rsidRPr="00AA4629" w:rsidRDefault="00A34D4A" w:rsidP="0087270F">
      <w:pPr>
        <w:pStyle w:val="Bullet"/>
        <w:numPr>
          <w:ilvl w:val="0"/>
          <w:numId w:val="28"/>
        </w:numPr>
      </w:pPr>
      <w:r>
        <w:t>a</w:t>
      </w:r>
      <w:r w:rsidR="00EC4CBA" w:rsidRPr="00AA4629">
        <w:t>ccommodation</w:t>
      </w:r>
      <w:r>
        <w:t xml:space="preserve"> providers</w:t>
      </w:r>
      <w:r w:rsidR="00EC4CBA" w:rsidRPr="00AA4629">
        <w:t>, pubs and bars</w:t>
      </w:r>
    </w:p>
    <w:p w14:paraId="0F33466D" w14:textId="469B496C" w:rsidR="00AA4629" w:rsidRPr="00AA4629" w:rsidRDefault="00A34D4A" w:rsidP="0087270F">
      <w:pPr>
        <w:pStyle w:val="Bullet"/>
        <w:numPr>
          <w:ilvl w:val="0"/>
          <w:numId w:val="28"/>
        </w:numPr>
      </w:pPr>
      <w:proofErr w:type="gramStart"/>
      <w:r>
        <w:t>r</w:t>
      </w:r>
      <w:r w:rsidR="00EC4CBA" w:rsidRPr="00AA4629">
        <w:t>etail</w:t>
      </w:r>
      <w:proofErr w:type="gramEnd"/>
      <w:r>
        <w:t xml:space="preserve"> business</w:t>
      </w:r>
      <w:r w:rsidR="000C1EE9">
        <w:t>es</w:t>
      </w:r>
      <w:r w:rsidR="00397ACC">
        <w:t>.</w:t>
      </w:r>
    </w:p>
    <w:p w14:paraId="4E62A415" w14:textId="68E91C76" w:rsidR="00DC249A" w:rsidRDefault="00DA1806" w:rsidP="00AA4629">
      <w:r>
        <w:t>A</w:t>
      </w:r>
      <w:r w:rsidR="00AA4629">
        <w:t xml:space="preserve"> small number of business from other local industries</w:t>
      </w:r>
      <w:r w:rsidR="00A34D4A" w:rsidRPr="00A34D4A">
        <w:t xml:space="preserve"> </w:t>
      </w:r>
      <w:r>
        <w:t xml:space="preserve">such as </w:t>
      </w:r>
      <w:r w:rsidRPr="008B4F7F">
        <w:t>Transport Postal and Warehousing</w:t>
      </w:r>
      <w:r>
        <w:t>, and</w:t>
      </w:r>
      <w:r w:rsidRPr="006B13A4">
        <w:t xml:space="preserve"> </w:t>
      </w:r>
      <w:r>
        <w:t xml:space="preserve">Manufacturing were also </w:t>
      </w:r>
      <w:r w:rsidR="00A34D4A">
        <w:t>audit</w:t>
      </w:r>
      <w:r>
        <w:t>ed</w:t>
      </w:r>
      <w:r w:rsidR="00A34D4A">
        <w:t>.</w:t>
      </w:r>
    </w:p>
    <w:p w14:paraId="1347DDCA" w14:textId="26FF2517" w:rsidR="00E329A6" w:rsidRDefault="00E329A6" w:rsidP="0087270F">
      <w:pPr>
        <w:pStyle w:val="Heading2"/>
      </w:pPr>
      <w:bookmarkStart w:id="6" w:name="_Toc5694061"/>
      <w:r w:rsidRPr="009746A8">
        <w:t>Objectives</w:t>
      </w:r>
      <w:bookmarkEnd w:id="5"/>
      <w:bookmarkEnd w:id="6"/>
    </w:p>
    <w:p w14:paraId="253EAE96" w14:textId="772F2558" w:rsidR="000C0E0C" w:rsidRPr="000C0E0C" w:rsidRDefault="005B7259" w:rsidP="000C0E0C">
      <w:r>
        <w:t>The objectives of the activities</w:t>
      </w:r>
      <w:r w:rsidR="000C0E0C">
        <w:t xml:space="preserve"> were to:</w:t>
      </w:r>
    </w:p>
    <w:p w14:paraId="70F87207" w14:textId="11FE32EC" w:rsidR="00E329A6" w:rsidRPr="00AA4629" w:rsidRDefault="00CF035C" w:rsidP="0087270F">
      <w:pPr>
        <w:pStyle w:val="Bullet"/>
        <w:numPr>
          <w:ilvl w:val="0"/>
          <w:numId w:val="28"/>
        </w:numPr>
      </w:pPr>
      <w:r w:rsidRPr="00AA4629">
        <w:lastRenderedPageBreak/>
        <w:t>detect and</w:t>
      </w:r>
      <w:r w:rsidR="007174A2" w:rsidRPr="00AA4629">
        <w:t xml:space="preserve"> to</w:t>
      </w:r>
      <w:r w:rsidRPr="00AA4629">
        <w:t xml:space="preserve"> deter non-complian</w:t>
      </w:r>
      <w:r w:rsidR="00A34D4A">
        <w:t>t beh</w:t>
      </w:r>
      <w:r w:rsidR="005C1BD5">
        <w:t>a</w:t>
      </w:r>
      <w:r w:rsidR="00A34D4A">
        <w:t>viou</w:t>
      </w:r>
      <w:r w:rsidR="005C1BD5">
        <w:t>r</w:t>
      </w:r>
      <w:r w:rsidR="00A34D4A">
        <w:t>s</w:t>
      </w:r>
      <w:r w:rsidR="00DA1806">
        <w:t>,</w:t>
      </w:r>
      <w:r w:rsidR="00A34D4A">
        <w:t xml:space="preserve"> </w:t>
      </w:r>
      <w:r w:rsidR="000F269C">
        <w:t xml:space="preserve">including </w:t>
      </w:r>
      <w:r w:rsidR="00746E6E" w:rsidRPr="00AA4629">
        <w:t xml:space="preserve">through the use of </w:t>
      </w:r>
      <w:r w:rsidR="00D07885" w:rsidRPr="00AA4629">
        <w:t>compliance</w:t>
      </w:r>
      <w:r w:rsidR="00746E6E" w:rsidRPr="00AA4629">
        <w:t xml:space="preserve"> and enforcement tools</w:t>
      </w:r>
    </w:p>
    <w:p w14:paraId="1567815E" w14:textId="7091F7BB" w:rsidR="00BC6CA9" w:rsidRPr="00AA4629" w:rsidRDefault="00BC6CA9" w:rsidP="0087270F">
      <w:pPr>
        <w:pStyle w:val="Bullet"/>
        <w:numPr>
          <w:ilvl w:val="0"/>
          <w:numId w:val="28"/>
        </w:numPr>
      </w:pPr>
      <w:r w:rsidRPr="00AA4629">
        <w:t>recover outstanding entitlements for workers</w:t>
      </w:r>
    </w:p>
    <w:p w14:paraId="1DE729E3" w14:textId="10BD6AD1" w:rsidR="0077363C" w:rsidRPr="00AA4629" w:rsidRDefault="00216777" w:rsidP="0087270F">
      <w:pPr>
        <w:pStyle w:val="Bullet"/>
        <w:numPr>
          <w:ilvl w:val="0"/>
          <w:numId w:val="28"/>
        </w:numPr>
      </w:pPr>
      <w:proofErr w:type="gramStart"/>
      <w:r>
        <w:t>understand</w:t>
      </w:r>
      <w:proofErr w:type="gramEnd"/>
      <w:r w:rsidR="0077363C" w:rsidRPr="00AA4629">
        <w:t xml:space="preserve"> the reasons for non-compliance and provide tailored advice and assistance to help employers achieve long-term compliance with workplace relations laws</w:t>
      </w:r>
      <w:r w:rsidR="007D08B7">
        <w:t>.</w:t>
      </w:r>
      <w:r w:rsidR="0077363C" w:rsidRPr="00AA4629">
        <w:t xml:space="preserve">  </w:t>
      </w:r>
    </w:p>
    <w:p w14:paraId="5C18CD98" w14:textId="77777777" w:rsidR="00812038" w:rsidRDefault="00812038" w:rsidP="0087270F">
      <w:pPr>
        <w:pStyle w:val="Heading2"/>
      </w:pPr>
      <w:bookmarkStart w:id="7" w:name="_Toc1047661"/>
      <w:bookmarkStart w:id="8" w:name="_Toc5694063"/>
      <w:r>
        <w:br w:type="page"/>
      </w:r>
    </w:p>
    <w:p w14:paraId="37A8DF3A" w14:textId="4C57B71E" w:rsidR="00E329A6" w:rsidRDefault="00E329A6" w:rsidP="0087270F">
      <w:pPr>
        <w:pStyle w:val="Heading2"/>
      </w:pPr>
      <w:r>
        <w:lastRenderedPageBreak/>
        <w:t>Methodology</w:t>
      </w:r>
      <w:bookmarkEnd w:id="7"/>
      <w:bookmarkEnd w:id="8"/>
    </w:p>
    <w:p w14:paraId="5E0E7878" w14:textId="243A4CB8" w:rsidR="000A3877" w:rsidRPr="00C61167" w:rsidRDefault="000A3877" w:rsidP="00D0710C">
      <w:r>
        <w:t xml:space="preserve">Fair Work Inspectors </w:t>
      </w:r>
      <w:r w:rsidR="00333CC1">
        <w:t>audited</w:t>
      </w:r>
      <w:r w:rsidR="000A667A">
        <w:t xml:space="preserve"> 489</w:t>
      </w:r>
      <w:r>
        <w:t xml:space="preserve"> </w:t>
      </w:r>
      <w:r w:rsidR="00C64C47">
        <w:t>businesses</w:t>
      </w:r>
      <w:r w:rsidR="00A66EA7">
        <w:t>, including</w:t>
      </w:r>
      <w:r w:rsidR="00823DAE">
        <w:t>:</w:t>
      </w:r>
    </w:p>
    <w:p w14:paraId="464B16DF" w14:textId="2E8A2161" w:rsidR="000A3877" w:rsidRPr="00CE74F4" w:rsidRDefault="000A667A" w:rsidP="00185943">
      <w:pPr>
        <w:pStyle w:val="Bullet"/>
        <w:numPr>
          <w:ilvl w:val="0"/>
          <w:numId w:val="28"/>
        </w:numPr>
      </w:pPr>
      <w:r w:rsidRPr="00AA4629">
        <w:t>192</w:t>
      </w:r>
      <w:r w:rsidR="009B7C80" w:rsidRPr="00AA4629">
        <w:t xml:space="preserve"> audits in </w:t>
      </w:r>
      <w:r w:rsidRPr="00AA4629">
        <w:t>Ballarat</w:t>
      </w:r>
      <w:r w:rsidR="009B7C80" w:rsidRPr="00AA4629">
        <w:t xml:space="preserve"> </w:t>
      </w:r>
    </w:p>
    <w:p w14:paraId="49B94300" w14:textId="5FC2FBAA" w:rsidR="000A3877" w:rsidRPr="00AA4629" w:rsidRDefault="00BE1B86" w:rsidP="00185943">
      <w:pPr>
        <w:pStyle w:val="Bullet"/>
        <w:numPr>
          <w:ilvl w:val="0"/>
          <w:numId w:val="28"/>
        </w:numPr>
      </w:pPr>
      <w:r w:rsidRPr="00AA4629">
        <w:t>97</w:t>
      </w:r>
      <w:r w:rsidR="009B7C80" w:rsidRPr="00AA4629">
        <w:t xml:space="preserve"> in </w:t>
      </w:r>
      <w:r w:rsidRPr="00AA4629">
        <w:t>Wollongong</w:t>
      </w:r>
      <w:r w:rsidR="009B7C80" w:rsidRPr="00AA4629">
        <w:t xml:space="preserve"> </w:t>
      </w:r>
    </w:p>
    <w:p w14:paraId="634C369B" w14:textId="2833EBA5" w:rsidR="000A3877" w:rsidRPr="00AA4629" w:rsidRDefault="00BE1B86" w:rsidP="00185943">
      <w:pPr>
        <w:pStyle w:val="Bullet"/>
        <w:numPr>
          <w:ilvl w:val="0"/>
          <w:numId w:val="28"/>
        </w:numPr>
      </w:pPr>
      <w:r w:rsidRPr="00AA4629">
        <w:t xml:space="preserve">200 </w:t>
      </w:r>
      <w:r w:rsidR="009B7C80" w:rsidRPr="00AA4629">
        <w:t xml:space="preserve">in </w:t>
      </w:r>
      <w:r w:rsidRPr="00AA4629">
        <w:t>the Albury-Wodonga</w:t>
      </w:r>
      <w:r w:rsidR="003A6810">
        <w:t xml:space="preserve"> region</w:t>
      </w:r>
      <w:r w:rsidR="00D07885">
        <w:t>.</w:t>
      </w:r>
      <w:r w:rsidRPr="00AA4629">
        <w:t xml:space="preserve"> </w:t>
      </w:r>
    </w:p>
    <w:p w14:paraId="564765D2" w14:textId="72B38E32" w:rsidR="00A34D4A" w:rsidRDefault="00A66EA7" w:rsidP="00A34D4A">
      <w:r>
        <w:t>I</w:t>
      </w:r>
      <w:r w:rsidR="003A6810">
        <w:t xml:space="preserve">nspectors </w:t>
      </w:r>
      <w:r w:rsidR="00A34D4A">
        <w:t>made unannounced site visits to businesses</w:t>
      </w:r>
      <w:r w:rsidR="000D7C4F">
        <w:t xml:space="preserve"> in each of these locations</w:t>
      </w:r>
      <w:r w:rsidR="00A34D4A">
        <w:t>. They</w:t>
      </w:r>
      <w:r w:rsidR="00A34D4A" w:rsidRPr="00AA4629">
        <w:t xml:space="preserve"> asked to see employee time and wages records</w:t>
      </w:r>
      <w:r w:rsidR="00A34D4A">
        <w:t xml:space="preserve">, interviewed workers and noted </w:t>
      </w:r>
      <w:r w:rsidR="00A34D4A" w:rsidRPr="00AA4629">
        <w:t>the number of staff on site</w:t>
      </w:r>
      <w:r w:rsidR="00A34D4A">
        <w:t xml:space="preserve">. </w:t>
      </w:r>
      <w:r w:rsidR="00AB3C31">
        <w:t xml:space="preserve">They used this information to assess </w:t>
      </w:r>
      <w:r w:rsidR="00AB3C31" w:rsidRPr="00AB3C31">
        <w:t xml:space="preserve">the accuracy of </w:t>
      </w:r>
      <w:r w:rsidR="00A34D4A" w:rsidRPr="00AB3C31">
        <w:t>records</w:t>
      </w:r>
      <w:r w:rsidR="00AD009A" w:rsidRPr="00AB3C31">
        <w:t>.</w:t>
      </w:r>
      <w:r w:rsidR="00AD009A">
        <w:t xml:space="preserve"> </w:t>
      </w:r>
      <w:r w:rsidR="00A34D4A">
        <w:t xml:space="preserve"> </w:t>
      </w:r>
    </w:p>
    <w:p w14:paraId="648889A3" w14:textId="332FC58C" w:rsidR="00E329A6" w:rsidRPr="00D10397" w:rsidRDefault="00A34D4A" w:rsidP="00D10397">
      <w:r>
        <w:t xml:space="preserve">Inspectors assessed </w:t>
      </w:r>
      <w:r w:rsidR="00E329A6" w:rsidRPr="00D10397">
        <w:t xml:space="preserve">records against the </w:t>
      </w:r>
      <w:r w:rsidR="00E329A6" w:rsidRPr="00AA4629">
        <w:rPr>
          <w:i/>
        </w:rPr>
        <w:t>Fair Work Act 2009</w:t>
      </w:r>
      <w:r w:rsidR="00E329A6" w:rsidRPr="00D10397">
        <w:t xml:space="preserve"> (the Act), the </w:t>
      </w:r>
      <w:r w:rsidR="00E329A6" w:rsidRPr="00AA4629">
        <w:rPr>
          <w:i/>
        </w:rPr>
        <w:t>Fair Work Regulations 2009</w:t>
      </w:r>
      <w:r w:rsidR="00E329A6" w:rsidRPr="00D10397">
        <w:t xml:space="preserve"> (the Regulations) and the applicable award/agreement. </w:t>
      </w:r>
      <w:r w:rsidR="00BE1B86" w:rsidRPr="00D10397">
        <w:t>The most common</w:t>
      </w:r>
      <w:r w:rsidR="00A66EA7">
        <w:t xml:space="preserve"> awards </w:t>
      </w:r>
      <w:r w:rsidR="003A6810">
        <w:t>were</w:t>
      </w:r>
      <w:r w:rsidR="00E329A6" w:rsidRPr="00D10397">
        <w:t>:</w:t>
      </w:r>
    </w:p>
    <w:p w14:paraId="75FA6A0B" w14:textId="77777777" w:rsidR="00E329A6" w:rsidRPr="00916E6A" w:rsidRDefault="00E329A6" w:rsidP="00185943">
      <w:pPr>
        <w:pStyle w:val="Bullet"/>
        <w:numPr>
          <w:ilvl w:val="0"/>
          <w:numId w:val="28"/>
        </w:numPr>
      </w:pPr>
      <w:r w:rsidRPr="00916E6A">
        <w:t>Hospitality Industry (General) Award 2010</w:t>
      </w:r>
    </w:p>
    <w:p w14:paraId="22C32D98" w14:textId="6385229F" w:rsidR="00E329A6" w:rsidRPr="00916E6A" w:rsidRDefault="00E329A6" w:rsidP="00185943">
      <w:pPr>
        <w:pStyle w:val="Bullet"/>
        <w:numPr>
          <w:ilvl w:val="0"/>
          <w:numId w:val="28"/>
        </w:numPr>
      </w:pPr>
      <w:r w:rsidRPr="00916E6A">
        <w:t>Restaurant Industry Award 2010</w:t>
      </w:r>
    </w:p>
    <w:p w14:paraId="058E1C5C" w14:textId="035F193E" w:rsidR="00397739" w:rsidRPr="00916E6A" w:rsidRDefault="00397739" w:rsidP="00185943">
      <w:pPr>
        <w:pStyle w:val="Bullet"/>
        <w:numPr>
          <w:ilvl w:val="0"/>
          <w:numId w:val="28"/>
        </w:numPr>
      </w:pPr>
      <w:r w:rsidRPr="00916E6A">
        <w:t>Fast Food Industry Award 2010</w:t>
      </w:r>
    </w:p>
    <w:p w14:paraId="06B6361D" w14:textId="22CAB8A2" w:rsidR="00BE1B86" w:rsidRPr="00916E6A" w:rsidRDefault="00BE1B86" w:rsidP="00185943">
      <w:pPr>
        <w:pStyle w:val="Bullet"/>
        <w:numPr>
          <w:ilvl w:val="0"/>
          <w:numId w:val="28"/>
        </w:numPr>
      </w:pPr>
      <w:r w:rsidRPr="00916E6A">
        <w:t>General Retail Industry Award 2010</w:t>
      </w:r>
      <w:r w:rsidR="00397ACC" w:rsidRPr="00916E6A">
        <w:t>.</w:t>
      </w:r>
    </w:p>
    <w:p w14:paraId="0FC5E791" w14:textId="75928A7D" w:rsidR="00CE1A86" w:rsidRDefault="00A66EA7" w:rsidP="00A34D4A">
      <w:r>
        <w:t>E</w:t>
      </w:r>
      <w:r w:rsidR="00E329A6">
        <w:t xml:space="preserve">mployers </w:t>
      </w:r>
      <w:r>
        <w:t xml:space="preserve">were required </w:t>
      </w:r>
      <w:r w:rsidR="00E329A6">
        <w:t>to rectify any breaches and to provide evidence of corrective action, for example proof of payment of out</w:t>
      </w:r>
      <w:r w:rsidR="00990A44">
        <w:t>stand</w:t>
      </w:r>
      <w:r w:rsidR="00990A44" w:rsidRPr="00AB3C31">
        <w:t xml:space="preserve">ing employee entitlements. </w:t>
      </w:r>
      <w:r w:rsidR="00AB3C31" w:rsidRPr="00AB3C31">
        <w:t>T</w:t>
      </w:r>
      <w:r w:rsidRPr="00AB3C31">
        <w:t xml:space="preserve">ailored </w:t>
      </w:r>
      <w:r w:rsidR="006B13A4" w:rsidRPr="00AB3C31">
        <w:t xml:space="preserve">advice </w:t>
      </w:r>
      <w:r w:rsidR="00AB3C31" w:rsidRPr="00AB3C31">
        <w:t xml:space="preserve">was provided based on the </w:t>
      </w:r>
      <w:r w:rsidR="006B13A4" w:rsidRPr="00AB3C31">
        <w:t>reasons for non-compliance</w:t>
      </w:r>
      <w:r w:rsidR="00AB3C31" w:rsidRPr="00AB3C31">
        <w:t>. T</w:t>
      </w:r>
      <w:r w:rsidR="006B13A4" w:rsidRPr="00AB3C31">
        <w:t xml:space="preserve">he </w:t>
      </w:r>
      <w:r w:rsidR="00AB3C31">
        <w:t xml:space="preserve">causes and extent </w:t>
      </w:r>
      <w:r w:rsidR="00AB3C31" w:rsidRPr="00AB3C31">
        <w:t xml:space="preserve">of </w:t>
      </w:r>
      <w:r w:rsidR="00990A44" w:rsidRPr="00AB3C31">
        <w:t>non-compliance</w:t>
      </w:r>
      <w:r w:rsidR="006B13A4" w:rsidRPr="00AB3C31">
        <w:t xml:space="preserve"> </w:t>
      </w:r>
      <w:r w:rsidR="00AB3C31" w:rsidRPr="00AB3C31">
        <w:t xml:space="preserve">also determined </w:t>
      </w:r>
      <w:r w:rsidR="00AB3C31">
        <w:t xml:space="preserve">which </w:t>
      </w:r>
      <w:r w:rsidR="006B13A4" w:rsidRPr="00AB3C31">
        <w:t>co</w:t>
      </w:r>
      <w:r w:rsidRPr="00AB3C31">
        <w:t>mpliance and enforcement tools</w:t>
      </w:r>
      <w:r w:rsidR="00AB3C31">
        <w:t xml:space="preserve"> were used</w:t>
      </w:r>
      <w:r w:rsidRPr="00AB3C31">
        <w:t>.</w:t>
      </w:r>
    </w:p>
    <w:p w14:paraId="32CF20A1" w14:textId="4F3E1963" w:rsidR="009A1A88" w:rsidRDefault="005D36C4" w:rsidP="009A1A88">
      <w:r>
        <w:t xml:space="preserve">Following the activity in Wollongong, the FWO returned to the region </w:t>
      </w:r>
      <w:r w:rsidRPr="005D36C4">
        <w:t>to present a</w:t>
      </w:r>
      <w:r w:rsidR="009A1A88">
        <w:t xml:space="preserve"> </w:t>
      </w:r>
      <w:r w:rsidRPr="005D36C4">
        <w:t xml:space="preserve">workshop on industrial relations for local </w:t>
      </w:r>
      <w:r>
        <w:t>businesses</w:t>
      </w:r>
      <w:r w:rsidR="009A1A88">
        <w:t xml:space="preserve">.  </w:t>
      </w:r>
      <w:r w:rsidR="00CA38EE">
        <w:t>The</w:t>
      </w:r>
      <w:r w:rsidRPr="005D36C4">
        <w:t xml:space="preserve"> event</w:t>
      </w:r>
      <w:r w:rsidR="00CA38EE">
        <w:t xml:space="preserve"> was</w:t>
      </w:r>
      <w:r>
        <w:t xml:space="preserve"> a </w:t>
      </w:r>
      <w:r w:rsidRPr="005D36C4">
        <w:t>collaboration</w:t>
      </w:r>
      <w:r w:rsidR="00446011">
        <w:t xml:space="preserve"> between the FWO,</w:t>
      </w:r>
      <w:r w:rsidRPr="005D36C4">
        <w:t xml:space="preserve"> </w:t>
      </w:r>
      <w:r w:rsidRPr="005D36C4">
        <w:rPr>
          <w:iCs/>
        </w:rPr>
        <w:t>Industrial Relations NSW and the Illawarra Business Chamber</w:t>
      </w:r>
      <w:r w:rsidR="00446011">
        <w:rPr>
          <w:iCs/>
        </w:rPr>
        <w:t>. R</w:t>
      </w:r>
      <w:r w:rsidR="009A1A88">
        <w:t>epresentatives from the FWO discussed:</w:t>
      </w:r>
    </w:p>
    <w:p w14:paraId="462745A5" w14:textId="26562804" w:rsidR="009A1A88" w:rsidRDefault="00CA38EE" w:rsidP="009A1A88">
      <w:pPr>
        <w:pStyle w:val="ListParagraph"/>
        <w:numPr>
          <w:ilvl w:val="0"/>
          <w:numId w:val="32"/>
        </w:numPr>
      </w:pPr>
      <w:r>
        <w:t xml:space="preserve">the </w:t>
      </w:r>
      <w:r w:rsidR="009A1A88">
        <w:t>workplace rights and obligations of employer</w:t>
      </w:r>
      <w:r>
        <w:t>s</w:t>
      </w:r>
      <w:r w:rsidR="009A1A88">
        <w:t xml:space="preserve"> and employees</w:t>
      </w:r>
    </w:p>
    <w:p w14:paraId="6BA7B171" w14:textId="78BFD77E" w:rsidR="009A1A88" w:rsidRDefault="009A1A88" w:rsidP="009A1A88">
      <w:pPr>
        <w:pStyle w:val="ListParagraph"/>
        <w:numPr>
          <w:ilvl w:val="0"/>
          <w:numId w:val="32"/>
        </w:numPr>
      </w:pPr>
      <w:proofErr w:type="gramStart"/>
      <w:r>
        <w:t>the</w:t>
      </w:r>
      <w:proofErr w:type="gramEnd"/>
      <w:r>
        <w:t xml:space="preserve"> support </w:t>
      </w:r>
      <w:r w:rsidR="00CA38EE">
        <w:t xml:space="preserve">the FWO makes available to employers to </w:t>
      </w:r>
      <w:r>
        <w:t>assist them with their workplace relations needs, including the free tools and resources at fairwork.gov.au</w:t>
      </w:r>
      <w:r w:rsidR="00CA38EE">
        <w:t>.</w:t>
      </w:r>
    </w:p>
    <w:p w14:paraId="56752A86" w14:textId="2AEA0838" w:rsidR="00D07885" w:rsidRPr="00CA38EE" w:rsidRDefault="005D36C4" w:rsidP="00A34D4A">
      <w:r w:rsidRPr="00CA38EE">
        <w:lastRenderedPageBreak/>
        <w:t xml:space="preserve">The workshop </w:t>
      </w:r>
      <w:r w:rsidR="009A1A88" w:rsidRPr="00CA38EE">
        <w:t xml:space="preserve">also </w:t>
      </w:r>
      <w:r w:rsidRPr="00CA38EE">
        <w:t xml:space="preserve">featured a presentation by </w:t>
      </w:r>
      <w:r w:rsidRPr="00CA38EE">
        <w:rPr>
          <w:iCs/>
        </w:rPr>
        <w:t>Joe Murphy, Director of Workplace Relations from Australian Business Lawyers and Advisors</w:t>
      </w:r>
      <w:r w:rsidR="00FF4CB9" w:rsidRPr="00CA38EE">
        <w:t>,</w:t>
      </w:r>
      <w:r w:rsidRPr="00CA38EE">
        <w:t xml:space="preserve"> </w:t>
      </w:r>
      <w:r w:rsidR="00FF4CB9" w:rsidRPr="00CA38EE">
        <w:t>on the importance of:</w:t>
      </w:r>
    </w:p>
    <w:p w14:paraId="69FC8BC3" w14:textId="7A675B2E" w:rsidR="00FF4CB9" w:rsidRDefault="00FF4CB9" w:rsidP="00FF4CB9">
      <w:pPr>
        <w:pStyle w:val="Bullet"/>
        <w:numPr>
          <w:ilvl w:val="0"/>
          <w:numId w:val="28"/>
        </w:numPr>
      </w:pPr>
      <w:r>
        <w:t>investing the time required to ensure compliance with workplace relations laws</w:t>
      </w:r>
    </w:p>
    <w:p w14:paraId="4828676B" w14:textId="24D95DCA" w:rsidR="00FF4CB9" w:rsidRDefault="00FF4CB9" w:rsidP="00FF4CB9">
      <w:pPr>
        <w:pStyle w:val="Bullet"/>
        <w:numPr>
          <w:ilvl w:val="0"/>
          <w:numId w:val="28"/>
        </w:numPr>
      </w:pPr>
      <w:proofErr w:type="gramStart"/>
      <w:r>
        <w:t>engaging</w:t>
      </w:r>
      <w:proofErr w:type="gramEnd"/>
      <w:r>
        <w:t xml:space="preserve"> with the FWO.</w:t>
      </w:r>
    </w:p>
    <w:p w14:paraId="35E33721" w14:textId="7D99BCD2" w:rsidR="005B26B1" w:rsidRDefault="00CA38EE" w:rsidP="00CA38EE">
      <w:bookmarkStart w:id="9" w:name="_Toc1047662"/>
      <w:bookmarkStart w:id="10" w:name="_Toc5694064"/>
      <w:r>
        <w:rPr>
          <w:iCs/>
        </w:rPr>
        <w:t xml:space="preserve">The workshop </w:t>
      </w:r>
      <w:r w:rsidR="009A1A88" w:rsidRPr="00CA38EE">
        <w:rPr>
          <w:iCs/>
        </w:rPr>
        <w:t xml:space="preserve">generated strong local interest and </w:t>
      </w:r>
      <w:r w:rsidR="009A1A88">
        <w:t xml:space="preserve">was attended by around 70 local employers. </w:t>
      </w:r>
    </w:p>
    <w:p w14:paraId="0DEDB25D" w14:textId="77777777" w:rsidR="005B26B1" w:rsidRDefault="005B26B1">
      <w:pPr>
        <w:spacing w:before="0" w:line="240" w:lineRule="auto"/>
      </w:pPr>
      <w:r>
        <w:br w:type="page"/>
      </w:r>
    </w:p>
    <w:p w14:paraId="069B48DB" w14:textId="77777777" w:rsidR="00E329A6" w:rsidRDefault="00A66EA7" w:rsidP="0087270F">
      <w:pPr>
        <w:pStyle w:val="Heading1"/>
      </w:pPr>
      <w:r>
        <w:lastRenderedPageBreak/>
        <w:t>R</w:t>
      </w:r>
      <w:r w:rsidR="00E329A6">
        <w:t>esults</w:t>
      </w:r>
      <w:bookmarkEnd w:id="9"/>
      <w:bookmarkEnd w:id="10"/>
      <w:r w:rsidR="00E329A6">
        <w:t xml:space="preserve"> </w:t>
      </w:r>
    </w:p>
    <w:p w14:paraId="0E46B342" w14:textId="77EA8EC8" w:rsidR="00E329A6" w:rsidRDefault="00E329A6" w:rsidP="00E329A6">
      <w:r>
        <w:t xml:space="preserve">Of the </w:t>
      </w:r>
      <w:r w:rsidR="00BE1B86">
        <w:t>489</w:t>
      </w:r>
      <w:r>
        <w:t xml:space="preserve"> businesses audited, Fair Work Inspectors found:</w:t>
      </w:r>
    </w:p>
    <w:p w14:paraId="49579935" w14:textId="2667A287" w:rsidR="00E329A6" w:rsidRPr="00AA4629" w:rsidRDefault="00BE1B86" w:rsidP="00C97A19">
      <w:pPr>
        <w:pStyle w:val="Bullet"/>
        <w:numPr>
          <w:ilvl w:val="0"/>
          <w:numId w:val="28"/>
        </w:numPr>
      </w:pPr>
      <w:r w:rsidRPr="00AA4629">
        <w:t>259</w:t>
      </w:r>
      <w:r w:rsidR="00E329A6" w:rsidRPr="00AA4629">
        <w:t xml:space="preserve"> (5</w:t>
      </w:r>
      <w:r w:rsidRPr="00AA4629">
        <w:t>3</w:t>
      </w:r>
      <w:r w:rsidR="00E329A6" w:rsidRPr="00AA4629">
        <w:t>%) were compliant with all workplace relations laws</w:t>
      </w:r>
    </w:p>
    <w:p w14:paraId="409D62DE" w14:textId="0E3BA7DA" w:rsidR="00E329A6" w:rsidRPr="00AA4629" w:rsidRDefault="00BE1B86" w:rsidP="00C97A19">
      <w:pPr>
        <w:pStyle w:val="Bullet"/>
        <w:numPr>
          <w:ilvl w:val="0"/>
          <w:numId w:val="28"/>
        </w:numPr>
      </w:pPr>
      <w:r w:rsidRPr="00AA4629">
        <w:t>230</w:t>
      </w:r>
      <w:r w:rsidR="00E329A6" w:rsidRPr="00AA4629">
        <w:t xml:space="preserve"> (4</w:t>
      </w:r>
      <w:r w:rsidRPr="00AA4629">
        <w:t>7</w:t>
      </w:r>
      <w:r w:rsidR="00E329A6" w:rsidRPr="00AA4629">
        <w:t>%) were in breach of their obligations.</w:t>
      </w:r>
    </w:p>
    <w:p w14:paraId="075E1B82" w14:textId="6A644B2E" w:rsidR="00040421" w:rsidRPr="00AA4629" w:rsidRDefault="00FF22CE" w:rsidP="00E329A6">
      <w:r w:rsidRPr="00AA4629">
        <w:t xml:space="preserve">Overall compliance rates for the </w:t>
      </w:r>
      <w:r w:rsidR="00040421" w:rsidRPr="00AA4629">
        <w:t>regions</w:t>
      </w:r>
      <w:r w:rsidRPr="00AA4629">
        <w:t xml:space="preserve"> were</w:t>
      </w:r>
      <w:r w:rsidR="00040421" w:rsidRPr="00AA4629">
        <w:t>:</w:t>
      </w:r>
    </w:p>
    <w:p w14:paraId="4D670086" w14:textId="092934B4" w:rsidR="00040421" w:rsidRPr="00AA4629" w:rsidRDefault="00040421" w:rsidP="00C97A19">
      <w:pPr>
        <w:pStyle w:val="Bullet"/>
        <w:numPr>
          <w:ilvl w:val="0"/>
          <w:numId w:val="28"/>
        </w:numPr>
      </w:pPr>
      <w:r w:rsidRPr="00AA4629">
        <w:t>5</w:t>
      </w:r>
      <w:r w:rsidR="00F10F11">
        <w:t>4</w:t>
      </w:r>
      <w:r w:rsidRPr="00AA4629">
        <w:t xml:space="preserve">% in </w:t>
      </w:r>
      <w:r w:rsidR="00FF22CE" w:rsidRPr="00AA4629">
        <w:t xml:space="preserve">Ballarat </w:t>
      </w:r>
    </w:p>
    <w:p w14:paraId="1E5697C4" w14:textId="14E665FB" w:rsidR="00040421" w:rsidRPr="00AA4629" w:rsidRDefault="00FF22CE" w:rsidP="00C97A19">
      <w:pPr>
        <w:pStyle w:val="Bullet"/>
        <w:numPr>
          <w:ilvl w:val="0"/>
          <w:numId w:val="28"/>
        </w:numPr>
      </w:pPr>
      <w:r w:rsidRPr="00AA4629">
        <w:t>38</w:t>
      </w:r>
      <w:r w:rsidR="00040421" w:rsidRPr="00AA4629">
        <w:t xml:space="preserve">% in </w:t>
      </w:r>
      <w:r w:rsidRPr="00AA4629">
        <w:t>Wollongong</w:t>
      </w:r>
    </w:p>
    <w:p w14:paraId="41EFCCF6" w14:textId="72BA5555" w:rsidR="00040421" w:rsidRPr="00AA4629" w:rsidRDefault="00040421" w:rsidP="00C97A19">
      <w:pPr>
        <w:pStyle w:val="Bullet"/>
        <w:numPr>
          <w:ilvl w:val="0"/>
          <w:numId w:val="28"/>
        </w:numPr>
      </w:pPr>
      <w:r w:rsidRPr="00AA4629">
        <w:t>5</w:t>
      </w:r>
      <w:r w:rsidR="00FF22CE" w:rsidRPr="00AA4629">
        <w:t>9</w:t>
      </w:r>
      <w:r w:rsidRPr="00AA4629">
        <w:t xml:space="preserve">% in </w:t>
      </w:r>
      <w:r w:rsidR="00FF22CE" w:rsidRPr="00AA4629">
        <w:t>Albury-Wodonga</w:t>
      </w:r>
      <w:r w:rsidR="00D07885">
        <w:t>.</w:t>
      </w:r>
      <w:r w:rsidR="00A66EA7">
        <w:rPr>
          <w:rStyle w:val="FootnoteReference"/>
        </w:rPr>
        <w:footnoteReference w:id="3"/>
      </w:r>
    </w:p>
    <w:p w14:paraId="70E6A59A" w14:textId="59309160" w:rsidR="00E329A6" w:rsidRPr="00AA4629" w:rsidRDefault="00E329A6" w:rsidP="00E329A6">
      <w:r w:rsidRPr="008743EC">
        <w:t xml:space="preserve">Of </w:t>
      </w:r>
      <w:r w:rsidRPr="00B662EA">
        <w:t xml:space="preserve">the </w:t>
      </w:r>
      <w:r w:rsidR="00A72963">
        <w:t xml:space="preserve">230 </w:t>
      </w:r>
      <w:r w:rsidRPr="00CE74F4">
        <w:t>non-compliant businesses</w:t>
      </w:r>
      <w:r w:rsidRPr="008743EC">
        <w:t>:</w:t>
      </w:r>
    </w:p>
    <w:p w14:paraId="5B6C05AC" w14:textId="69BF30A1" w:rsidR="00E329A6" w:rsidRPr="00AA4629" w:rsidRDefault="00FF22CE" w:rsidP="00C97A19">
      <w:pPr>
        <w:pStyle w:val="Bullet"/>
        <w:numPr>
          <w:ilvl w:val="0"/>
          <w:numId w:val="28"/>
        </w:numPr>
      </w:pPr>
      <w:r w:rsidRPr="00AA4629">
        <w:t>103</w:t>
      </w:r>
      <w:r w:rsidR="00E329A6" w:rsidRPr="00AA4629">
        <w:t xml:space="preserve"> (</w:t>
      </w:r>
      <w:r w:rsidR="002F0D3A">
        <w:t xml:space="preserve">or </w:t>
      </w:r>
      <w:r w:rsidR="00E329A6" w:rsidRPr="00AA4629">
        <w:t>2</w:t>
      </w:r>
      <w:r w:rsidRPr="00AA4629">
        <w:t>1</w:t>
      </w:r>
      <w:r w:rsidR="00E329A6" w:rsidRPr="00AA4629">
        <w:t>% of all audited business) failed to pay their employees correctly, but complied with pay slip and record-keeping obligations (non-monetary obligations)</w:t>
      </w:r>
    </w:p>
    <w:p w14:paraId="5A2273B8" w14:textId="794A4F82" w:rsidR="00E329A6" w:rsidRPr="00AA4629" w:rsidRDefault="00FF22CE" w:rsidP="00C97A19">
      <w:pPr>
        <w:pStyle w:val="Bullet"/>
        <w:numPr>
          <w:ilvl w:val="0"/>
          <w:numId w:val="28"/>
        </w:numPr>
      </w:pPr>
      <w:r w:rsidRPr="00AA4629">
        <w:t>79</w:t>
      </w:r>
      <w:r w:rsidR="00E329A6" w:rsidRPr="00AA4629">
        <w:t xml:space="preserve"> (1</w:t>
      </w:r>
      <w:r w:rsidRPr="00AA4629">
        <w:t>6</w:t>
      </w:r>
      <w:r w:rsidR="00E329A6" w:rsidRPr="00AA4629">
        <w:t>%) were in breach of non-monetary obligations, but complied with monetary requirements</w:t>
      </w:r>
    </w:p>
    <w:p w14:paraId="76BE4AAF" w14:textId="015B9D9A" w:rsidR="00E329A6" w:rsidRPr="00AA4629" w:rsidRDefault="00FF22CE" w:rsidP="00C97A19">
      <w:pPr>
        <w:pStyle w:val="Bullet"/>
        <w:numPr>
          <w:ilvl w:val="0"/>
          <w:numId w:val="28"/>
        </w:numPr>
      </w:pPr>
      <w:r w:rsidRPr="00AA4629">
        <w:t>48</w:t>
      </w:r>
      <w:r w:rsidR="00E329A6" w:rsidRPr="00AA4629">
        <w:t xml:space="preserve"> (</w:t>
      </w:r>
      <w:r w:rsidRPr="00AA4629">
        <w:t>10</w:t>
      </w:r>
      <w:r w:rsidR="00E329A6" w:rsidRPr="00AA4629">
        <w:t>%) were in breach of both their monetary and non-monetary obligations.</w:t>
      </w:r>
    </w:p>
    <w:p w14:paraId="7D440A8A" w14:textId="1140A637" w:rsidR="00E329A6" w:rsidRPr="00AA4629" w:rsidRDefault="00E329A6" w:rsidP="00E329A6">
      <w:r w:rsidRPr="00AA4629">
        <w:t xml:space="preserve">The most common breaches </w:t>
      </w:r>
      <w:r w:rsidR="00D07885">
        <w:t xml:space="preserve">that </w:t>
      </w:r>
      <w:r w:rsidRPr="00AA4629">
        <w:t>Fair Work Inspectors identified were:</w:t>
      </w:r>
    </w:p>
    <w:p w14:paraId="365550C9" w14:textId="42637DBA" w:rsidR="00E329A6" w:rsidRPr="00AA4629" w:rsidRDefault="00E329A6" w:rsidP="00C97A19">
      <w:pPr>
        <w:pStyle w:val="Bullet"/>
        <w:numPr>
          <w:ilvl w:val="0"/>
          <w:numId w:val="28"/>
        </w:numPr>
      </w:pPr>
      <w:r w:rsidRPr="00AA4629">
        <w:t>underpayment of the minimum hourly rate (</w:t>
      </w:r>
      <w:r w:rsidR="00FF22CE" w:rsidRPr="00AA4629">
        <w:t>35</w:t>
      </w:r>
      <w:r w:rsidRPr="00AA4629">
        <w:t>% of all breaches)</w:t>
      </w:r>
    </w:p>
    <w:p w14:paraId="02090438" w14:textId="4802F9AD" w:rsidR="00E329A6" w:rsidRPr="00AA4629" w:rsidRDefault="008D0614" w:rsidP="00C97A19">
      <w:pPr>
        <w:pStyle w:val="Bullet"/>
        <w:numPr>
          <w:ilvl w:val="0"/>
          <w:numId w:val="28"/>
        </w:numPr>
      </w:pPr>
      <w:proofErr w:type="gramStart"/>
      <w:r w:rsidRPr="00AA4629">
        <w:t>non-compliance</w:t>
      </w:r>
      <w:proofErr w:type="gramEnd"/>
      <w:r w:rsidRPr="00AA4629">
        <w:t xml:space="preserve"> with </w:t>
      </w:r>
      <w:r w:rsidR="00E329A6" w:rsidRPr="00AA4629">
        <w:t>pay slip</w:t>
      </w:r>
      <w:r w:rsidR="00333CC1">
        <w:t xml:space="preserve"> obligations as </w:t>
      </w:r>
      <w:r w:rsidR="00D07885">
        <w:t xml:space="preserve">set out by the </w:t>
      </w:r>
      <w:r w:rsidRPr="00AA4629">
        <w:t>Act</w:t>
      </w:r>
      <w:r w:rsidR="00E329A6" w:rsidRPr="00AA4629">
        <w:t xml:space="preserve"> </w:t>
      </w:r>
      <w:r w:rsidRPr="00AA4629">
        <w:t>and</w:t>
      </w:r>
      <w:r w:rsidR="00E329A6" w:rsidRPr="00AA4629">
        <w:t xml:space="preserve"> Regulations (</w:t>
      </w:r>
      <w:r w:rsidRPr="00AA4629">
        <w:t>30</w:t>
      </w:r>
      <w:r w:rsidR="00E329A6" w:rsidRPr="00AA4629">
        <w:t>%)</w:t>
      </w:r>
    </w:p>
    <w:p w14:paraId="4F4345F8" w14:textId="312E929B" w:rsidR="008D0614" w:rsidRPr="00AA4629" w:rsidRDefault="008D0614" w:rsidP="00C97A19">
      <w:pPr>
        <w:pStyle w:val="Bullet"/>
        <w:numPr>
          <w:ilvl w:val="0"/>
          <w:numId w:val="28"/>
        </w:numPr>
      </w:pPr>
      <w:proofErr w:type="gramStart"/>
      <w:r w:rsidRPr="00AA4629">
        <w:t>penalty</w:t>
      </w:r>
      <w:proofErr w:type="gramEnd"/>
      <w:r w:rsidRPr="00AA4629">
        <w:t xml:space="preserve"> rate breaches (12%)</w:t>
      </w:r>
    </w:p>
    <w:p w14:paraId="2EF3799D" w14:textId="6C30B093" w:rsidR="00E329A6" w:rsidRPr="00AA4629" w:rsidRDefault="008D0614" w:rsidP="00C97A19">
      <w:pPr>
        <w:pStyle w:val="Bullet"/>
        <w:numPr>
          <w:ilvl w:val="0"/>
          <w:numId w:val="28"/>
        </w:numPr>
      </w:pPr>
      <w:proofErr w:type="gramStart"/>
      <w:r w:rsidRPr="00AA4629">
        <w:t>the</w:t>
      </w:r>
      <w:proofErr w:type="gramEnd"/>
      <w:r w:rsidRPr="00AA4629">
        <w:t xml:space="preserve"> failure to comply with record-keeping requirements </w:t>
      </w:r>
      <w:r w:rsidR="00E329A6" w:rsidRPr="00AA4629">
        <w:t>(10%)</w:t>
      </w:r>
    </w:p>
    <w:p w14:paraId="1D22A804" w14:textId="614D2BE9" w:rsidR="00F1004B" w:rsidRDefault="00FF22CE" w:rsidP="005B26B1">
      <w:r w:rsidRPr="00584698">
        <w:t xml:space="preserve">$331 286 </w:t>
      </w:r>
      <w:r>
        <w:t xml:space="preserve">was recovered </w:t>
      </w:r>
      <w:r w:rsidRPr="00584698">
        <w:t>for 725 employees from 128 businesses</w:t>
      </w:r>
      <w:r w:rsidR="00AA4629">
        <w:t>.</w:t>
      </w:r>
    </w:p>
    <w:p w14:paraId="4AF4E736" w14:textId="77777777" w:rsidR="005B26B1" w:rsidRDefault="005B26B1">
      <w:pPr>
        <w:spacing w:before="0" w:line="240" w:lineRule="auto"/>
      </w:pPr>
      <w:r>
        <w:br w:type="page"/>
      </w:r>
    </w:p>
    <w:p w14:paraId="666DEEF8" w14:textId="1C8F9286" w:rsidR="00D07885" w:rsidRDefault="007A432E" w:rsidP="00D07885">
      <w:pPr>
        <w:pStyle w:val="ListParagraph"/>
      </w:pPr>
      <w:r>
        <w:lastRenderedPageBreak/>
        <w:t xml:space="preserve">Some of the identified reasons for </w:t>
      </w:r>
      <w:r w:rsidR="00B37669">
        <w:t>non-compliance</w:t>
      </w:r>
      <w:r>
        <w:t xml:space="preserve"> included</w:t>
      </w:r>
      <w:r w:rsidR="00D07885">
        <w:t>:</w:t>
      </w:r>
    </w:p>
    <w:p w14:paraId="4B9C8211" w14:textId="5CAC8C1C" w:rsidR="00F1004B" w:rsidRPr="008B4F7F" w:rsidRDefault="008D0614" w:rsidP="006E530F">
      <w:pPr>
        <w:pStyle w:val="Bullet"/>
        <w:numPr>
          <w:ilvl w:val="0"/>
          <w:numId w:val="28"/>
        </w:numPr>
      </w:pPr>
      <w:r w:rsidRPr="00D07885">
        <w:t>63</w:t>
      </w:r>
      <w:r w:rsidR="00F1004B" w:rsidRPr="00D07885">
        <w:t xml:space="preserve">% of employers were unaware of all </w:t>
      </w:r>
      <w:r w:rsidRPr="00D07885">
        <w:t>applicable</w:t>
      </w:r>
      <w:r w:rsidR="00F1004B" w:rsidRPr="00D07885">
        <w:t xml:space="preserve"> workplace relations obligations</w:t>
      </w:r>
    </w:p>
    <w:p w14:paraId="4E36B31F" w14:textId="68AA8D42" w:rsidR="00F1004B" w:rsidRPr="008B4F7F" w:rsidRDefault="008D0614" w:rsidP="006E530F">
      <w:pPr>
        <w:pStyle w:val="Bullet"/>
        <w:numPr>
          <w:ilvl w:val="0"/>
          <w:numId w:val="28"/>
        </w:numPr>
      </w:pPr>
      <w:r w:rsidRPr="008B4F7F">
        <w:t>15</w:t>
      </w:r>
      <w:r w:rsidR="00F1004B" w:rsidRPr="008B4F7F">
        <w:t>% had misinterpreted award r</w:t>
      </w:r>
      <w:r w:rsidRPr="008B4F7F">
        <w:t>equirements</w:t>
      </w:r>
    </w:p>
    <w:p w14:paraId="23828A26" w14:textId="003A138F" w:rsidR="00F1004B" w:rsidRPr="008B4F7F" w:rsidRDefault="008D0614" w:rsidP="006E530F">
      <w:pPr>
        <w:pStyle w:val="Bullet"/>
        <w:numPr>
          <w:ilvl w:val="0"/>
          <w:numId w:val="28"/>
        </w:numPr>
      </w:pPr>
      <w:r w:rsidRPr="008B4F7F">
        <w:t>9</w:t>
      </w:r>
      <w:r w:rsidR="00F1004B" w:rsidRPr="008B4F7F">
        <w:t>% of employers made a business decision that led to non-compliance, such as paying flat hourly rates in lieu of weekend penalties</w:t>
      </w:r>
    </w:p>
    <w:p w14:paraId="66915F62" w14:textId="6AE22328" w:rsidR="00F1004B" w:rsidRPr="008B4F7F" w:rsidRDefault="008D0614" w:rsidP="006E530F">
      <w:pPr>
        <w:pStyle w:val="Bullet"/>
        <w:numPr>
          <w:ilvl w:val="0"/>
          <w:numId w:val="28"/>
        </w:numPr>
      </w:pPr>
      <w:r w:rsidRPr="008B4F7F">
        <w:t>6</w:t>
      </w:r>
      <w:r w:rsidR="00F1004B" w:rsidRPr="008B4F7F">
        <w:t>% were non-compliant for ‘other’ reasons</w:t>
      </w:r>
      <w:r w:rsidR="00B37669">
        <w:t>,</w:t>
      </w:r>
      <w:r w:rsidR="00F1004B" w:rsidRPr="008B4F7F">
        <w:t xml:space="preserve"> for example, payroll software issues</w:t>
      </w:r>
    </w:p>
    <w:p w14:paraId="38EBC36C" w14:textId="77777777" w:rsidR="008D0614" w:rsidRPr="008B4F7F" w:rsidRDefault="008D0614" w:rsidP="006E530F">
      <w:pPr>
        <w:pStyle w:val="Bullet"/>
        <w:numPr>
          <w:ilvl w:val="0"/>
          <w:numId w:val="28"/>
        </w:numPr>
      </w:pPr>
      <w:r w:rsidRPr="008B4F7F">
        <w:t>4% missed the July annual wage increase</w:t>
      </w:r>
    </w:p>
    <w:p w14:paraId="7205150E" w14:textId="77777777" w:rsidR="00F1004B" w:rsidRPr="008B4F7F" w:rsidRDefault="00F1004B" w:rsidP="006E530F">
      <w:pPr>
        <w:pStyle w:val="Bullet"/>
        <w:numPr>
          <w:ilvl w:val="0"/>
          <w:numId w:val="28"/>
        </w:numPr>
      </w:pPr>
      <w:r w:rsidRPr="008B4F7F">
        <w:t>3% received incorrect advice from a third party, such as an accountant.</w:t>
      </w:r>
    </w:p>
    <w:p w14:paraId="5A59C147" w14:textId="4134DCA1" w:rsidR="00DE1FFA" w:rsidRDefault="00DE1FFA" w:rsidP="0087270F">
      <w:pPr>
        <w:pStyle w:val="Heading2"/>
      </w:pPr>
      <w:bookmarkStart w:id="11" w:name="_Toc5694065"/>
      <w:r>
        <w:t>Industry non-compliance</w:t>
      </w:r>
      <w:bookmarkEnd w:id="11"/>
    </w:p>
    <w:p w14:paraId="73368962" w14:textId="4E155E0E" w:rsidR="00B05C42" w:rsidRDefault="00B05C42" w:rsidP="00B3565A">
      <w:pPr>
        <w:spacing w:before="0"/>
      </w:pPr>
      <w:r>
        <w:t xml:space="preserve">The </w:t>
      </w:r>
      <w:r w:rsidR="007A432E">
        <w:t>Accommodation</w:t>
      </w:r>
      <w:r>
        <w:t xml:space="preserve"> and Food Services (hospitality) and Retail sectors were the focus of these activities, with the majority of audits conducted with employers in these industries.</w:t>
      </w:r>
    </w:p>
    <w:p w14:paraId="5E9C9984" w14:textId="3D650499" w:rsidR="00B37669" w:rsidRDefault="007A432E" w:rsidP="00B3565A">
      <w:pPr>
        <w:spacing w:before="0"/>
      </w:pPr>
      <w:r>
        <w:t>The c</w:t>
      </w:r>
      <w:r w:rsidR="00B37669">
        <w:t xml:space="preserve">ompliance rates in industries where at least 20 audits were </w:t>
      </w:r>
      <w:r>
        <w:t>conducted</w:t>
      </w:r>
      <w:r w:rsidR="00B37669">
        <w:t xml:space="preserve"> were:</w:t>
      </w:r>
    </w:p>
    <w:p w14:paraId="4CA48320" w14:textId="2BB35ABF" w:rsidR="00B37669" w:rsidRDefault="00B37669" w:rsidP="00B37669">
      <w:pPr>
        <w:pStyle w:val="Bullet"/>
      </w:pPr>
      <w:r>
        <w:t>66% Manufacturing</w:t>
      </w:r>
    </w:p>
    <w:p w14:paraId="1AAD1174" w14:textId="75F86413" w:rsidR="00B37669" w:rsidRDefault="00B37669" w:rsidP="00B37669">
      <w:pPr>
        <w:pStyle w:val="Bullet"/>
      </w:pPr>
      <w:r>
        <w:t>57% Retail</w:t>
      </w:r>
    </w:p>
    <w:p w14:paraId="55241CC5" w14:textId="27B8C3EC" w:rsidR="00B37669" w:rsidRDefault="00B37669" w:rsidP="00B37669">
      <w:pPr>
        <w:pStyle w:val="Bullet"/>
      </w:pPr>
      <w:r>
        <w:t>56%</w:t>
      </w:r>
      <w:r w:rsidRPr="00B37669">
        <w:t xml:space="preserve"> </w:t>
      </w:r>
      <w:r w:rsidRPr="008B4F7F">
        <w:t>Transport Postal and Warehousing</w:t>
      </w:r>
    </w:p>
    <w:p w14:paraId="76410FC5" w14:textId="5475B261" w:rsidR="00B37669" w:rsidRDefault="00B37669" w:rsidP="00B37669">
      <w:pPr>
        <w:pStyle w:val="Bullet"/>
      </w:pPr>
      <w:r>
        <w:t xml:space="preserve">46% </w:t>
      </w:r>
      <w:r w:rsidR="007A432E">
        <w:t>Accommodation</w:t>
      </w:r>
      <w:r>
        <w:t xml:space="preserve"> and Food </w:t>
      </w:r>
      <w:r w:rsidR="007A432E">
        <w:t>Services</w:t>
      </w:r>
      <w:r>
        <w:t>.</w:t>
      </w:r>
    </w:p>
    <w:p w14:paraId="3EAA6181" w14:textId="764B8248" w:rsidR="00553EB7" w:rsidRPr="00B37669" w:rsidRDefault="00B37669" w:rsidP="00B37669">
      <w:pPr>
        <w:spacing w:before="0"/>
      </w:pPr>
      <w:r>
        <w:t>Over</w:t>
      </w:r>
      <w:r w:rsidRPr="00734F76">
        <w:t xml:space="preserve"> half (55%) of the </w:t>
      </w:r>
      <w:r>
        <w:t xml:space="preserve">total </w:t>
      </w:r>
      <w:r w:rsidRPr="00734F76">
        <w:t xml:space="preserve">money </w:t>
      </w:r>
      <w:r>
        <w:t>recovered through these activities was from hospitality businesses</w:t>
      </w:r>
      <w:r w:rsidR="007A432E">
        <w:t xml:space="preserve"> - </w:t>
      </w:r>
      <w:r w:rsidR="00734F76" w:rsidRPr="00734F76">
        <w:t xml:space="preserve">$181 557 from </w:t>
      </w:r>
      <w:r w:rsidR="00CE7181">
        <w:t xml:space="preserve">67 </w:t>
      </w:r>
      <w:r>
        <w:t xml:space="preserve">employers </w:t>
      </w:r>
      <w:r w:rsidR="00CE7181">
        <w:t>for</w:t>
      </w:r>
      <w:r w:rsidR="00734F76" w:rsidRPr="00734F76">
        <w:t xml:space="preserve"> </w:t>
      </w:r>
      <w:r w:rsidR="006556EB">
        <w:t>573 employees.</w:t>
      </w:r>
    </w:p>
    <w:p w14:paraId="45B14A7A" w14:textId="53E2C211" w:rsidR="00E329A6" w:rsidRPr="00E329A6" w:rsidRDefault="002F0D3A" w:rsidP="0087270F">
      <w:pPr>
        <w:pStyle w:val="Heading1"/>
      </w:pPr>
      <w:bookmarkStart w:id="12" w:name="_Toc1047663"/>
      <w:bookmarkStart w:id="13" w:name="_Toc5694066"/>
      <w:r>
        <w:t>C</w:t>
      </w:r>
      <w:r w:rsidR="00E329A6" w:rsidRPr="00E329A6">
        <w:t>ompliance and enforcement outcomes</w:t>
      </w:r>
      <w:bookmarkEnd w:id="12"/>
      <w:bookmarkEnd w:id="13"/>
    </w:p>
    <w:p w14:paraId="77B17A1D" w14:textId="4370C47C" w:rsidR="005A63FE" w:rsidRDefault="00E329A6" w:rsidP="005A63FE">
      <w:r>
        <w:t xml:space="preserve">Fair Work Inspectors used compliance and enforcement tools to ensure </w:t>
      </w:r>
      <w:r w:rsidR="005A63FE">
        <w:t xml:space="preserve">employers took corrective action to rectify </w:t>
      </w:r>
      <w:r w:rsidR="00D07885">
        <w:t>their non-compliance</w:t>
      </w:r>
      <w:r w:rsidR="005A63FE">
        <w:t>. They issued:</w:t>
      </w:r>
    </w:p>
    <w:p w14:paraId="6877EC22" w14:textId="46106A33" w:rsidR="00E329A6" w:rsidRPr="00F7085E" w:rsidRDefault="005A63FE" w:rsidP="00514A2C">
      <w:pPr>
        <w:pStyle w:val="Bullet"/>
        <w:numPr>
          <w:ilvl w:val="0"/>
          <w:numId w:val="28"/>
        </w:numPr>
      </w:pPr>
      <w:r w:rsidRPr="00F7085E">
        <w:t>37</w:t>
      </w:r>
      <w:r w:rsidR="00E329A6" w:rsidRPr="00F7085E">
        <w:t xml:space="preserve"> Infringement Notices</w:t>
      </w:r>
      <w:r w:rsidRPr="00F7085E">
        <w:t xml:space="preserve">, </w:t>
      </w:r>
      <w:r w:rsidR="00E329A6" w:rsidRPr="00F7085E">
        <w:t>amounting to $</w:t>
      </w:r>
      <w:r w:rsidRPr="00F7085E">
        <w:t>30 360</w:t>
      </w:r>
      <w:r w:rsidR="00E329A6" w:rsidRPr="00F7085E">
        <w:t xml:space="preserve"> in penalties for breaches of pay slip and/or record-keeping requirements</w:t>
      </w:r>
    </w:p>
    <w:p w14:paraId="41F9BC18" w14:textId="0A169983" w:rsidR="005A63FE" w:rsidRPr="00F7085E" w:rsidRDefault="005A63FE" w:rsidP="00514A2C">
      <w:pPr>
        <w:pStyle w:val="Bullet"/>
        <w:numPr>
          <w:ilvl w:val="0"/>
          <w:numId w:val="28"/>
        </w:numPr>
      </w:pPr>
      <w:r w:rsidRPr="00F7085E">
        <w:t>35 Formal Cautions, putting employers on notice about the consequences of continued non-compliance</w:t>
      </w:r>
    </w:p>
    <w:p w14:paraId="5BAAB9A7" w14:textId="77A34F69" w:rsidR="00E329A6" w:rsidRPr="00F7085E" w:rsidRDefault="005A63FE" w:rsidP="00514A2C">
      <w:pPr>
        <w:pStyle w:val="Bullet"/>
        <w:numPr>
          <w:ilvl w:val="0"/>
          <w:numId w:val="28"/>
        </w:numPr>
      </w:pPr>
      <w:proofErr w:type="gramStart"/>
      <w:r w:rsidRPr="00F7085E">
        <w:lastRenderedPageBreak/>
        <w:t>nine</w:t>
      </w:r>
      <w:proofErr w:type="gramEnd"/>
      <w:r w:rsidRPr="00F7085E">
        <w:t xml:space="preserve"> </w:t>
      </w:r>
      <w:r w:rsidR="00E329A6" w:rsidRPr="00F7085E">
        <w:t>Compliance Notices, through which $</w:t>
      </w:r>
      <w:r w:rsidRPr="00F7085E">
        <w:t>27 685</w:t>
      </w:r>
      <w:r w:rsidR="00E329A6" w:rsidRPr="00F7085E">
        <w:t xml:space="preserve"> was recovered for </w:t>
      </w:r>
      <w:r w:rsidR="00F7085E" w:rsidRPr="00F7085E">
        <w:t>2</w:t>
      </w:r>
      <w:r w:rsidRPr="00F7085E">
        <w:t>9</w:t>
      </w:r>
      <w:r w:rsidR="00E329A6" w:rsidRPr="00F7085E">
        <w:t xml:space="preserve"> workers.</w:t>
      </w:r>
    </w:p>
    <w:p w14:paraId="0F73D5E0" w14:textId="77777777" w:rsidR="00A31CA2" w:rsidRDefault="00A31CA2">
      <w:pPr>
        <w:spacing w:before="0" w:line="240" w:lineRule="auto"/>
        <w:rPr>
          <w:rFonts w:ascii="Helvetica" w:hAnsi="Helvetica"/>
          <w:color w:val="263746"/>
          <w:sz w:val="24"/>
        </w:rPr>
      </w:pPr>
      <w:r>
        <w:br w:type="page"/>
      </w:r>
    </w:p>
    <w:p w14:paraId="33981825" w14:textId="69270729" w:rsidR="00E329A6" w:rsidRPr="00F0072E" w:rsidRDefault="000F0866" w:rsidP="0087270F">
      <w:pPr>
        <w:pStyle w:val="Heading1"/>
      </w:pPr>
      <w:bookmarkStart w:id="14" w:name="_Toc1047669"/>
      <w:bookmarkStart w:id="15" w:name="_Toc5694067"/>
      <w:r>
        <w:lastRenderedPageBreak/>
        <w:t>C</w:t>
      </w:r>
      <w:r w:rsidR="00E329A6">
        <w:t>onclusion</w:t>
      </w:r>
      <w:bookmarkEnd w:id="14"/>
      <w:bookmarkEnd w:id="15"/>
      <w:r w:rsidR="006F0308">
        <w:t xml:space="preserve"> </w:t>
      </w:r>
    </w:p>
    <w:p w14:paraId="0AB2C6C4" w14:textId="77777777" w:rsidR="006556EB" w:rsidRDefault="000339A4" w:rsidP="00553EB7">
      <w:pPr>
        <w:spacing w:before="0"/>
      </w:pPr>
      <w:r>
        <w:t>T</w:t>
      </w:r>
      <w:r w:rsidR="00B97F40">
        <w:t xml:space="preserve">he FWO found </w:t>
      </w:r>
      <w:r w:rsidR="005B42AA">
        <w:t>4</w:t>
      </w:r>
      <w:r w:rsidR="000F0866">
        <w:t>7</w:t>
      </w:r>
      <w:r w:rsidR="005B42AA">
        <w:t xml:space="preserve">% of </w:t>
      </w:r>
      <w:r w:rsidR="004B27BB">
        <w:t xml:space="preserve">employers audited </w:t>
      </w:r>
      <w:r>
        <w:t xml:space="preserve">in </w:t>
      </w:r>
      <w:r w:rsidR="00B662EA">
        <w:t xml:space="preserve">Ballarat, Wollongong and Albury/Wodonga </w:t>
      </w:r>
      <w:r w:rsidR="005B42AA">
        <w:t xml:space="preserve">failed to comply </w:t>
      </w:r>
      <w:r w:rsidR="00974C37">
        <w:t>with their workplace relations</w:t>
      </w:r>
      <w:r w:rsidR="00B97F40">
        <w:t xml:space="preserve"> obligations</w:t>
      </w:r>
      <w:r w:rsidR="00974C37">
        <w:t>.</w:t>
      </w:r>
      <w:r w:rsidR="004B27BB">
        <w:t xml:space="preserve"> </w:t>
      </w:r>
    </w:p>
    <w:p w14:paraId="24322A6E" w14:textId="7521B153" w:rsidR="00553EB7" w:rsidRDefault="00266369" w:rsidP="00AA0A63">
      <w:r>
        <w:t>Employers in the h</w:t>
      </w:r>
      <w:r w:rsidR="004B27BB">
        <w:t xml:space="preserve">ospitality </w:t>
      </w:r>
      <w:r>
        <w:t>sector w</w:t>
      </w:r>
      <w:r w:rsidR="004B27BB">
        <w:t>ere</w:t>
      </w:r>
      <w:r>
        <w:t xml:space="preserve"> the least compliant overall, with 54% of businesses in breach of workplace laws</w:t>
      </w:r>
      <w:r w:rsidR="00553EB7">
        <w:t>.</w:t>
      </w:r>
      <w:r w:rsidR="00553EB7" w:rsidRPr="00553EB7">
        <w:t xml:space="preserve"> </w:t>
      </w:r>
      <w:r w:rsidR="006556EB">
        <w:t xml:space="preserve">This is </w:t>
      </w:r>
      <w:r w:rsidR="00553EB7">
        <w:t xml:space="preserve">consistent with findings from across </w:t>
      </w:r>
      <w:r w:rsidR="006556EB">
        <w:t xml:space="preserve">several FWO </w:t>
      </w:r>
      <w:r w:rsidR="00553EB7">
        <w:t xml:space="preserve">activities and </w:t>
      </w:r>
      <w:r w:rsidR="00737653">
        <w:t xml:space="preserve">highlights why </w:t>
      </w:r>
      <w:r w:rsidR="00553EB7">
        <w:t xml:space="preserve">the hospitality sector </w:t>
      </w:r>
      <w:r w:rsidR="006556EB">
        <w:t>will remain</w:t>
      </w:r>
      <w:r w:rsidR="00553EB7">
        <w:t xml:space="preserve"> a strategic priority for the agency.  </w:t>
      </w:r>
    </w:p>
    <w:p w14:paraId="0B7B6A90" w14:textId="7702785B" w:rsidR="00637679" w:rsidRDefault="006556EB" w:rsidP="00D20D8E">
      <w:r>
        <w:t>N</w:t>
      </w:r>
      <w:r w:rsidR="000F0866">
        <w:t xml:space="preserve">early two-thirds (63%) </w:t>
      </w:r>
      <w:r w:rsidR="002F1725">
        <w:t xml:space="preserve">of non-compliant employers </w:t>
      </w:r>
      <w:r w:rsidR="00B97F40" w:rsidRPr="00E329A6">
        <w:t>were unaware of workplace relations laws</w:t>
      </w:r>
      <w:r w:rsidR="00F00150">
        <w:t xml:space="preserve">. </w:t>
      </w:r>
      <w:r w:rsidR="009D546A">
        <w:t>A</w:t>
      </w:r>
      <w:r w:rsidR="00F00150">
        <w:t xml:space="preserve"> further 15% </w:t>
      </w:r>
      <w:r w:rsidR="009D546A">
        <w:t xml:space="preserve">incorrectly interpreted the award </w:t>
      </w:r>
      <w:r w:rsidR="00D20D8E">
        <w:t xml:space="preserve">covering </w:t>
      </w:r>
      <w:r w:rsidR="009D546A">
        <w:t xml:space="preserve">their business. </w:t>
      </w:r>
      <w:r w:rsidR="00915ECF">
        <w:t xml:space="preserve">Inspectors </w:t>
      </w:r>
      <w:r w:rsidR="00D20D8E">
        <w:t>educate</w:t>
      </w:r>
      <w:r w:rsidR="00526AB2">
        <w:t>d</w:t>
      </w:r>
      <w:r w:rsidR="00D20D8E">
        <w:t xml:space="preserve"> employers </w:t>
      </w:r>
      <w:r w:rsidR="00637679">
        <w:t xml:space="preserve">and encouraged them to use </w:t>
      </w:r>
      <w:r>
        <w:t xml:space="preserve">the </w:t>
      </w:r>
      <w:r w:rsidR="00637679">
        <w:t>FWO’s</w:t>
      </w:r>
      <w:r w:rsidR="00525DDB">
        <w:t xml:space="preserve"> </w:t>
      </w:r>
      <w:r w:rsidR="00637679">
        <w:t xml:space="preserve">free </w:t>
      </w:r>
      <w:r w:rsidR="00915ECF">
        <w:t>tools and resources</w:t>
      </w:r>
      <w:r w:rsidR="00637679">
        <w:t>, including:</w:t>
      </w:r>
    </w:p>
    <w:p w14:paraId="26317EE3" w14:textId="1DACB23D" w:rsidR="00637679" w:rsidRDefault="009B19EE" w:rsidP="00514A2C">
      <w:pPr>
        <w:pStyle w:val="Bullet"/>
        <w:numPr>
          <w:ilvl w:val="0"/>
          <w:numId w:val="28"/>
        </w:numPr>
      </w:pPr>
      <w:r>
        <w:t>PACT</w:t>
      </w:r>
      <w:r w:rsidR="00AF21B8">
        <w:t xml:space="preserve"> - </w:t>
      </w:r>
      <w:r w:rsidR="00637679">
        <w:t>which calculates employee entitlements including award pay rates, leave entitlements and termination pay</w:t>
      </w:r>
      <w:r w:rsidR="006556EB">
        <w:rPr>
          <w:rStyle w:val="FootnoteReference"/>
        </w:rPr>
        <w:footnoteReference w:id="4"/>
      </w:r>
    </w:p>
    <w:p w14:paraId="219AA149" w14:textId="78F16E36" w:rsidR="00526AB2" w:rsidRDefault="009B19EE" w:rsidP="00514A2C">
      <w:pPr>
        <w:pStyle w:val="Bullet"/>
        <w:numPr>
          <w:ilvl w:val="0"/>
          <w:numId w:val="28"/>
        </w:numPr>
      </w:pPr>
      <w:r>
        <w:t>My Account</w:t>
      </w:r>
      <w:r w:rsidR="00AF21B8">
        <w:t xml:space="preserve"> - </w:t>
      </w:r>
      <w:r w:rsidR="00CD6409">
        <w:t xml:space="preserve">which provides </w:t>
      </w:r>
      <w:r w:rsidR="008D6F9A">
        <w:t>users</w:t>
      </w:r>
      <w:r w:rsidR="00CD6409">
        <w:t xml:space="preserve"> with</w:t>
      </w:r>
      <w:r>
        <w:t xml:space="preserve"> access to tailored information and updates.</w:t>
      </w:r>
      <w:r w:rsidR="00EB462A">
        <w:rPr>
          <w:rStyle w:val="FootnoteReference"/>
        </w:rPr>
        <w:footnoteReference w:id="5"/>
      </w:r>
    </w:p>
    <w:p w14:paraId="48F78F26" w14:textId="77777777" w:rsidR="00EB462A" w:rsidRDefault="005E398F" w:rsidP="00CD6409">
      <w:r>
        <w:t xml:space="preserve">The FWO expects employers to use the education and advice provided during audits to be </w:t>
      </w:r>
      <w:r w:rsidRPr="00E329A6">
        <w:t xml:space="preserve">compliant with workplace relations </w:t>
      </w:r>
      <w:r w:rsidR="00CD6409">
        <w:t xml:space="preserve">laws. </w:t>
      </w:r>
    </w:p>
    <w:p w14:paraId="200A93A6" w14:textId="6651ACB8" w:rsidR="00CD6409" w:rsidRDefault="00BA1AEE" w:rsidP="00CD6409">
      <w:r>
        <w:t>Tools and r</w:t>
      </w:r>
      <w:r w:rsidR="00CD6409" w:rsidRPr="003E1765">
        <w:t xml:space="preserve">esources to </w:t>
      </w:r>
      <w:r w:rsidR="00EB462A">
        <w:t xml:space="preserve">help </w:t>
      </w:r>
      <w:r w:rsidR="00CD6409" w:rsidRPr="003E1765">
        <w:t xml:space="preserve">young workers </w:t>
      </w:r>
      <w:r w:rsidR="00EB462A">
        <w:t>and employers of young people include</w:t>
      </w:r>
      <w:r w:rsidR="00CD6409">
        <w:t xml:space="preserve">: </w:t>
      </w:r>
    </w:p>
    <w:p w14:paraId="50CF1A40" w14:textId="34E0BA40" w:rsidR="00CD6409" w:rsidRDefault="0035027C" w:rsidP="0007102B">
      <w:pPr>
        <w:pStyle w:val="Bullet"/>
        <w:numPr>
          <w:ilvl w:val="0"/>
          <w:numId w:val="28"/>
        </w:numPr>
      </w:pPr>
      <w:r>
        <w:t>‘</w:t>
      </w:r>
      <w:r w:rsidR="00721916">
        <w:t>An employer’s g</w:t>
      </w:r>
      <w:r w:rsidR="00CD6409" w:rsidRPr="003E1765">
        <w:t>uide to employing young workers</w:t>
      </w:r>
      <w:r>
        <w:t>’</w:t>
      </w:r>
      <w:r w:rsidR="00721916">
        <w:rPr>
          <w:rStyle w:val="FootnoteReference"/>
        </w:rPr>
        <w:footnoteReference w:id="6"/>
      </w:r>
    </w:p>
    <w:p w14:paraId="342EE603" w14:textId="1B2226E1" w:rsidR="00CD6409" w:rsidRDefault="00721916" w:rsidP="0007102B">
      <w:pPr>
        <w:pStyle w:val="Bullet"/>
        <w:numPr>
          <w:ilvl w:val="0"/>
          <w:numId w:val="28"/>
        </w:numPr>
      </w:pPr>
      <w:r>
        <w:t xml:space="preserve">Myths and tips for young </w:t>
      </w:r>
      <w:r w:rsidR="00CD6409">
        <w:t>workers</w:t>
      </w:r>
      <w:r>
        <w:rPr>
          <w:rStyle w:val="FootnoteReference"/>
        </w:rPr>
        <w:footnoteReference w:id="7"/>
      </w:r>
    </w:p>
    <w:p w14:paraId="063AD5FD" w14:textId="7415F3F1" w:rsidR="00CD6409" w:rsidRDefault="00CD6409" w:rsidP="0007102B">
      <w:pPr>
        <w:pStyle w:val="Bullet"/>
        <w:numPr>
          <w:ilvl w:val="0"/>
          <w:numId w:val="28"/>
        </w:numPr>
      </w:pPr>
      <w:r>
        <w:t>Online learning centre</w:t>
      </w:r>
      <w:r w:rsidR="00AF21B8">
        <w:t xml:space="preserve"> - </w:t>
      </w:r>
      <w:r w:rsidR="005C5C13">
        <w:t xml:space="preserve">which includes </w:t>
      </w:r>
      <w:r>
        <w:t>videos on key subjects like managing performance, starting a new job, and having difficult conversations in the workplace</w:t>
      </w:r>
      <w:r w:rsidR="005C5C13">
        <w:t>.</w:t>
      </w:r>
      <w:r w:rsidR="00EB462A" w:rsidRPr="00EB462A">
        <w:rPr>
          <w:rStyle w:val="FootnoteReference"/>
        </w:rPr>
        <w:t xml:space="preserve"> </w:t>
      </w:r>
      <w:r w:rsidR="00EB462A">
        <w:rPr>
          <w:rStyle w:val="FootnoteReference"/>
        </w:rPr>
        <w:footnoteReference w:id="8"/>
      </w:r>
    </w:p>
    <w:p w14:paraId="418004BE" w14:textId="20A8A5D3" w:rsidR="009D0B07" w:rsidRDefault="00EB462A">
      <w:r>
        <w:lastRenderedPageBreak/>
        <w:t>N</w:t>
      </w:r>
      <w:r w:rsidR="00813CE1">
        <w:t xml:space="preserve">on-compliant employers </w:t>
      </w:r>
      <w:r>
        <w:t xml:space="preserve">are </w:t>
      </w:r>
      <w:r w:rsidR="00AF21B8">
        <w:t>revisited</w:t>
      </w:r>
      <w:r>
        <w:t xml:space="preserve"> </w:t>
      </w:r>
      <w:r w:rsidR="00E329A6" w:rsidRPr="00E329A6">
        <w:t xml:space="preserve">as part of </w:t>
      </w:r>
      <w:r>
        <w:t>the FWO</w:t>
      </w:r>
      <w:r w:rsidR="00AF21B8">
        <w:t>’s</w:t>
      </w:r>
      <w:r>
        <w:t xml:space="preserve"> </w:t>
      </w:r>
      <w:r w:rsidR="00E329A6" w:rsidRPr="00E329A6">
        <w:t>National Compliance Monitoring Progr</w:t>
      </w:r>
      <w:r w:rsidR="00813CE1">
        <w:t xml:space="preserve">am. </w:t>
      </w:r>
      <w:r w:rsidR="00FE3F27">
        <w:t>Employers</w:t>
      </w:r>
      <w:r w:rsidR="005C5C13">
        <w:t xml:space="preserve"> who </w:t>
      </w:r>
      <w:r w:rsidR="00813CE1">
        <w:t>continue to breach work</w:t>
      </w:r>
      <w:r w:rsidR="00FE3F27">
        <w:t xml:space="preserve">place laws can expect </w:t>
      </w:r>
      <w:r w:rsidR="00240C38">
        <w:t>the FWO to use its strongest compliance and enforcement tools</w:t>
      </w:r>
      <w:r w:rsidR="005E398F">
        <w:t xml:space="preserve">. Where deliberate non-compliance </w:t>
      </w:r>
      <w:r>
        <w:t>affecting</w:t>
      </w:r>
      <w:r w:rsidR="005E398F">
        <w:t xml:space="preserve"> vulnerable employees</w:t>
      </w:r>
      <w:r>
        <w:t xml:space="preserve"> is involved, </w:t>
      </w:r>
      <w:r w:rsidR="005E398F">
        <w:t xml:space="preserve">the FWO may commence legal proceedings </w:t>
      </w:r>
      <w:r w:rsidR="005C5C13">
        <w:t xml:space="preserve">and </w:t>
      </w:r>
      <w:r w:rsidR="00CD6409">
        <w:t>seek penalties against the business and individuals.</w:t>
      </w:r>
      <w:r w:rsidR="00CD6409">
        <w:rPr>
          <w:rStyle w:val="FootnoteReference"/>
        </w:rPr>
        <w:footnoteReference w:id="9"/>
      </w:r>
    </w:p>
    <w:p w14:paraId="58985399" w14:textId="77777777" w:rsidR="00E329A6" w:rsidRPr="00E52DAD" w:rsidRDefault="00E329A6" w:rsidP="0087270F">
      <w:pPr>
        <w:pStyle w:val="Heading1"/>
      </w:pPr>
      <w:bookmarkStart w:id="16" w:name="_Toc531876787"/>
      <w:bookmarkStart w:id="17" w:name="_Toc534281800"/>
      <w:bookmarkStart w:id="18" w:name="_Toc1047670"/>
      <w:bookmarkStart w:id="19" w:name="_Toc5694068"/>
      <w:r>
        <w:t>A</w:t>
      </w:r>
      <w:r w:rsidRPr="00E52DAD">
        <w:t>bout the Fair Work Ombudsman</w:t>
      </w:r>
      <w:bookmarkEnd w:id="16"/>
      <w:bookmarkEnd w:id="17"/>
      <w:bookmarkEnd w:id="18"/>
      <w:bookmarkEnd w:id="19"/>
    </w:p>
    <w:p w14:paraId="66CBF131" w14:textId="77777777" w:rsidR="00E329A6" w:rsidRPr="004936C7" w:rsidRDefault="00E329A6" w:rsidP="00B5560A">
      <w:pPr>
        <w:rPr>
          <w:lang w:eastAsia="en-AU"/>
        </w:rPr>
      </w:pPr>
      <w:r w:rsidRPr="004936C7">
        <w:rPr>
          <w:lang w:eastAsia="en-AU"/>
        </w:rPr>
        <w:t xml:space="preserve">The Fair Work Ombudsman is an independent agency created by the </w:t>
      </w:r>
      <w:r w:rsidRPr="004936C7">
        <w:rPr>
          <w:i/>
          <w:lang w:eastAsia="en-AU"/>
        </w:rPr>
        <w:t>Fair Work Act 2009</w:t>
      </w:r>
      <w:r w:rsidRPr="004936C7">
        <w:rPr>
          <w:lang w:eastAsia="en-AU"/>
        </w:rPr>
        <w:t xml:space="preserve"> on 1 July 2009. </w:t>
      </w:r>
      <w:r>
        <w:rPr>
          <w:lang w:eastAsia="en-AU"/>
        </w:rPr>
        <w:t xml:space="preserve">The </w:t>
      </w:r>
      <w:r w:rsidRPr="004936C7">
        <w:rPr>
          <w:lang w:eastAsia="en-AU"/>
        </w:rPr>
        <w:t>Fair Work Ombudsman</w:t>
      </w:r>
      <w:r>
        <w:rPr>
          <w:lang w:eastAsia="en-AU"/>
        </w:rPr>
        <w:t>’s</w:t>
      </w:r>
      <w:r w:rsidRPr="004936C7">
        <w:rPr>
          <w:lang w:eastAsia="en-AU"/>
        </w:rPr>
        <w:t xml:space="preserve"> role is to promote harmonious, productive and </w:t>
      </w:r>
      <w:r>
        <w:rPr>
          <w:lang w:eastAsia="en-AU"/>
        </w:rPr>
        <w:t>inclusive Australian workplaces as well as ensure compliance with Commonwealth workplace laws</w:t>
      </w:r>
      <w:r w:rsidRPr="004936C7">
        <w:rPr>
          <w:lang w:eastAsia="en-AU"/>
        </w:rPr>
        <w:t>.</w:t>
      </w:r>
    </w:p>
    <w:p w14:paraId="38F0D21F" w14:textId="5E511DEA" w:rsidR="00E329A6" w:rsidRDefault="00E329A6" w:rsidP="00B5560A">
      <w:pPr>
        <w:rPr>
          <w:rFonts w:eastAsia="Calibri"/>
          <w:szCs w:val="22"/>
        </w:rPr>
      </w:pPr>
      <w:r>
        <w:rPr>
          <w:rFonts w:eastAsia="Calibri"/>
          <w:szCs w:val="22"/>
        </w:rPr>
        <w:t>T</w:t>
      </w:r>
      <w:r w:rsidRPr="004936C7">
        <w:rPr>
          <w:rFonts w:eastAsia="Calibri"/>
          <w:szCs w:val="22"/>
        </w:rPr>
        <w:t xml:space="preserve">he Fair Work Ombudsman </w:t>
      </w:r>
      <w:r>
        <w:rPr>
          <w:rFonts w:eastAsia="Calibri"/>
          <w:szCs w:val="22"/>
        </w:rPr>
        <w:t xml:space="preserve">regularly conducts </w:t>
      </w:r>
      <w:r w:rsidRPr="004936C7">
        <w:rPr>
          <w:rFonts w:eastAsia="Calibri"/>
          <w:szCs w:val="22"/>
        </w:rPr>
        <w:t>proactive campaigns</w:t>
      </w:r>
      <w:r>
        <w:rPr>
          <w:rFonts w:eastAsia="Calibri"/>
          <w:szCs w:val="22"/>
        </w:rPr>
        <w:t xml:space="preserve"> targeting at-risk employers and employees as part of its monitoring function. As part of its role, the Fair Work Ombudsman encourages employers to </w:t>
      </w:r>
      <w:r w:rsidR="00462163">
        <w:rPr>
          <w:rFonts w:eastAsia="Calibri"/>
          <w:szCs w:val="22"/>
        </w:rPr>
        <w:t>implement sustainable</w:t>
      </w:r>
      <w:r>
        <w:rPr>
          <w:rFonts w:eastAsia="Calibri"/>
          <w:szCs w:val="22"/>
        </w:rPr>
        <w:t xml:space="preserve"> self-monitoring compliance arrangements.</w:t>
      </w:r>
    </w:p>
    <w:p w14:paraId="09B9C9A1" w14:textId="752968CA" w:rsidR="00E329A6" w:rsidRPr="004936C7" w:rsidRDefault="00E329A6" w:rsidP="00B5560A">
      <w:pPr>
        <w:rPr>
          <w:lang w:eastAsia="en-AU"/>
        </w:rPr>
      </w:pPr>
      <w:r>
        <w:rPr>
          <w:lang w:eastAsia="en-AU"/>
        </w:rPr>
        <w:t>For</w:t>
      </w:r>
      <w:r w:rsidRPr="004936C7">
        <w:rPr>
          <w:lang w:eastAsia="en-AU"/>
        </w:rPr>
        <w:t xml:space="preserve"> media enquiries please contact the media team at </w:t>
      </w:r>
      <w:hyperlink r:id="rId15" w:history="1">
        <w:r w:rsidRPr="004936C7">
          <w:rPr>
            <w:color w:val="0000FF"/>
            <w:u w:val="single"/>
            <w:lang w:eastAsia="en-AU"/>
          </w:rPr>
          <w:t>media@fwo.gov.au</w:t>
        </w:r>
      </w:hyperlink>
    </w:p>
    <w:p w14:paraId="79A3286E" w14:textId="4184F5C5" w:rsidR="00E43030" w:rsidRDefault="00E329A6" w:rsidP="00B5560A">
      <w:r w:rsidRPr="004936C7">
        <w:rPr>
          <w:lang w:eastAsia="en-AU"/>
        </w:rPr>
        <w:t xml:space="preserve">If you would like further information about the Fair Work Ombudsman’s campaigns please contact </w:t>
      </w:r>
      <w:r>
        <w:rPr>
          <w:lang w:eastAsia="en-AU"/>
        </w:rPr>
        <w:t>Steven Ronson</w:t>
      </w:r>
      <w:r w:rsidRPr="004936C7">
        <w:rPr>
          <w:lang w:eastAsia="en-AU"/>
        </w:rPr>
        <w:t>, Executive Director</w:t>
      </w:r>
      <w:r w:rsidR="00E6155A">
        <w:t>-</w:t>
      </w:r>
      <w:r w:rsidRPr="004936C7">
        <w:rPr>
          <w:lang w:eastAsia="en-AU"/>
        </w:rPr>
        <w:t>Proactive Compliance at</w:t>
      </w:r>
      <w:r>
        <w:rPr>
          <w:lang w:eastAsia="en-AU"/>
        </w:rPr>
        <w:t>:</w:t>
      </w:r>
      <w:r w:rsidRPr="004936C7">
        <w:rPr>
          <w:lang w:eastAsia="en-AU"/>
        </w:rPr>
        <w:t xml:space="preserve"> </w:t>
      </w:r>
      <w:hyperlink r:id="rId16" w:history="1">
        <w:r w:rsidRPr="00B5560A">
          <w:rPr>
            <w:rStyle w:val="Hyperlink"/>
            <w:rFonts w:cs="Arial"/>
            <w:szCs w:val="22"/>
            <w:lang w:eastAsia="en-AU"/>
          </w:rPr>
          <w:t>steven.ronson@fwo.gov.au</w:t>
        </w:r>
      </w:hyperlink>
    </w:p>
    <w:sectPr w:rsidR="00E43030" w:rsidSect="00AF21B8">
      <w:type w:val="continuous"/>
      <w:pgSz w:w="11907" w:h="16840" w:code="9"/>
      <w:pgMar w:top="1276" w:right="992" w:bottom="567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BDBA" w14:textId="77777777" w:rsidR="00B05C42" w:rsidRDefault="00B05C42" w:rsidP="00AB27F9">
      <w:r>
        <w:separator/>
      </w:r>
    </w:p>
  </w:endnote>
  <w:endnote w:type="continuationSeparator" w:id="0">
    <w:p w14:paraId="4E185172" w14:textId="77777777" w:rsidR="00B05C42" w:rsidRDefault="00B05C42" w:rsidP="00AB27F9">
      <w:r>
        <w:continuationSeparator/>
      </w:r>
    </w:p>
  </w:endnote>
  <w:endnote w:type="continuationNotice" w:id="1">
    <w:p w14:paraId="18B42E0A" w14:textId="77777777" w:rsidR="00B05C42" w:rsidRDefault="00B05C4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83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DEB7" w14:textId="77777777" w:rsidR="00B05C42" w:rsidRDefault="00B05C42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389CE0D" w14:textId="77777777" w:rsidR="00B05C42" w:rsidRDefault="00B05C42" w:rsidP="00AB27F9"/>
  <w:p w14:paraId="48B28BB5" w14:textId="77777777" w:rsidR="00B05C42" w:rsidRDefault="00B05C42"/>
  <w:p w14:paraId="04A6876F" w14:textId="77777777" w:rsidR="00B05C42" w:rsidRDefault="00B05C42"/>
  <w:p w14:paraId="03A6574A" w14:textId="77777777" w:rsidR="00B05C42" w:rsidRDefault="00B05C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5EB8" w14:textId="0410384F" w:rsidR="00B05C42" w:rsidRPr="0045600E" w:rsidRDefault="00B05C42" w:rsidP="003319D2">
    <w:pPr>
      <w:pStyle w:val="Footer"/>
      <w:rPr>
        <w:color w:val="FFFFFF" w:themeColor="background1"/>
      </w:rPr>
    </w:pP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 w:rsidRPr="0045600E">
      <w:rPr>
        <w:color w:val="FFFFFF" w:themeColor="background1"/>
        <w:szCs w:val="18"/>
      </w:rPr>
      <w:tab/>
    </w:r>
    <w:sdt>
      <w:sdtPr>
        <w:id w:val="-1505813797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BF0029">
          <w:rPr>
            <w:sz w:val="20"/>
            <w:szCs w:val="20"/>
          </w:rPr>
          <w:fldChar w:fldCharType="begin"/>
        </w:r>
        <w:r w:rsidRPr="00BF0029">
          <w:rPr>
            <w:sz w:val="20"/>
            <w:szCs w:val="20"/>
          </w:rPr>
          <w:instrText xml:space="preserve"> PAGE   \* MERGEFORMAT </w:instrText>
        </w:r>
        <w:r w:rsidRPr="00BF0029">
          <w:rPr>
            <w:sz w:val="20"/>
            <w:szCs w:val="20"/>
          </w:rPr>
          <w:fldChar w:fldCharType="separate"/>
        </w:r>
        <w:r w:rsidR="00812A77">
          <w:rPr>
            <w:noProof/>
            <w:sz w:val="20"/>
            <w:szCs w:val="20"/>
          </w:rPr>
          <w:t>8</w:t>
        </w:r>
        <w:r w:rsidRPr="00BF0029">
          <w:rPr>
            <w:noProof/>
            <w:sz w:val="20"/>
            <w:szCs w:val="20"/>
          </w:rPr>
          <w:fldChar w:fldCharType="end"/>
        </w:r>
      </w:sdtContent>
    </w:sdt>
  </w:p>
  <w:p w14:paraId="26287DDB" w14:textId="77777777" w:rsidR="00B05C42" w:rsidRDefault="00B05C42" w:rsidP="004B2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4A83" w14:textId="7985E7B4" w:rsidR="00B05C42" w:rsidRDefault="00B05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5C9F" w14:textId="77777777" w:rsidR="00B05C42" w:rsidRDefault="00B05C42" w:rsidP="00AB27F9">
      <w:r>
        <w:separator/>
      </w:r>
    </w:p>
  </w:footnote>
  <w:footnote w:type="continuationSeparator" w:id="0">
    <w:p w14:paraId="4488DD97" w14:textId="77777777" w:rsidR="00B05C42" w:rsidRDefault="00B05C42" w:rsidP="00AB27F9">
      <w:r>
        <w:continuationSeparator/>
      </w:r>
    </w:p>
  </w:footnote>
  <w:footnote w:type="continuationNotice" w:id="1">
    <w:p w14:paraId="7B68D6F1" w14:textId="77777777" w:rsidR="00B05C42" w:rsidRDefault="00B05C42">
      <w:pPr>
        <w:spacing w:before="0" w:line="240" w:lineRule="auto"/>
      </w:pPr>
    </w:p>
  </w:footnote>
  <w:footnote w:id="2">
    <w:p w14:paraId="6398E470" w14:textId="536D2369" w:rsidR="00B05C42" w:rsidRDefault="00B05C42" w:rsidP="00CE74F4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1779EA">
        <w:rPr>
          <w:sz w:val="18"/>
          <w:szCs w:val="16"/>
        </w:rPr>
        <w:t>See:</w:t>
      </w:r>
      <w:r w:rsidR="00981868" w:rsidRPr="00981868">
        <w:t xml:space="preserve"> </w:t>
      </w:r>
      <w:r w:rsidR="00981868" w:rsidRPr="00981868">
        <w:rPr>
          <w:sz w:val="18"/>
          <w:szCs w:val="16"/>
        </w:rPr>
        <w:t>https://www.thecourier.com.au/story/4227064/ballarat-on-the-radar-of-inquiry/</w:t>
      </w:r>
      <w:r w:rsidRPr="001779EA">
        <w:rPr>
          <w:sz w:val="18"/>
          <w:szCs w:val="16"/>
        </w:rPr>
        <w:t>&amp; also  https://www.smh.com.au/interactive/2016/great-student-swindle</w:t>
      </w:r>
    </w:p>
  </w:footnote>
  <w:footnote w:id="3">
    <w:p w14:paraId="716893E3" w14:textId="5666EC3E" w:rsidR="00B05C42" w:rsidRDefault="00B05C42" w:rsidP="00EC791F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A31CA2">
        <w:rPr>
          <w:sz w:val="18"/>
        </w:rPr>
        <w:t>Caution should be used when comparing results between regions due to limitations arising from sample profile and size.</w:t>
      </w:r>
    </w:p>
  </w:footnote>
  <w:footnote w:id="4">
    <w:p w14:paraId="52B98BC5" w14:textId="77777777" w:rsidR="00B05C42" w:rsidRDefault="00B05C42" w:rsidP="006556EB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https://calculate.fairwork.gov.au/</w:t>
      </w:r>
    </w:p>
  </w:footnote>
  <w:footnote w:id="5">
    <w:p w14:paraId="108C345F" w14:textId="77777777" w:rsidR="00B05C42" w:rsidRDefault="00B05C42" w:rsidP="00EB462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https://www.fairwork.gov.au/my-account/registerpage.aspx</w:t>
      </w:r>
    </w:p>
  </w:footnote>
  <w:footnote w:id="6">
    <w:p w14:paraId="4D9AF41B" w14:textId="06AC412F" w:rsidR="00B05C42" w:rsidRDefault="00B05C42" w:rsidP="00721916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721916">
        <w:rPr>
          <w:sz w:val="18"/>
          <w:szCs w:val="18"/>
          <w:lang w:eastAsia="en-AU"/>
        </w:rPr>
        <w:t>https://www.fairwork.gov.au/how-we-will-help/templates-and-guides/best-practice-guides/an-employers-guide-to-employing-young-workers</w:t>
      </w:r>
    </w:p>
  </w:footnote>
  <w:footnote w:id="7">
    <w:p w14:paraId="3B646ECD" w14:textId="44D0D2F7" w:rsidR="00B05C42" w:rsidRDefault="00B05C42" w:rsidP="00721916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721916">
        <w:rPr>
          <w:sz w:val="18"/>
          <w:szCs w:val="18"/>
          <w:lang w:eastAsia="en-AU"/>
        </w:rPr>
        <w:t>https://www.fairwork.gov.au/find-help-for/young-workers-and-students/myths-and-tips-for-young-workers</w:t>
      </w:r>
    </w:p>
  </w:footnote>
  <w:footnote w:id="8">
    <w:p w14:paraId="577E4455" w14:textId="77777777" w:rsidR="00B05C42" w:rsidRDefault="00B05C42" w:rsidP="00EB462A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https://www.fairwork.gov.au/how-we-will-help/online-training/online-learning-centre</w:t>
      </w:r>
    </w:p>
  </w:footnote>
  <w:footnote w:id="9">
    <w:p w14:paraId="44DCE147" w14:textId="6DE98BA8" w:rsidR="00B05C42" w:rsidRDefault="00B05C42" w:rsidP="00CE74F4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C3030A">
        <w:rPr>
          <w:sz w:val="18"/>
          <w:szCs w:val="18"/>
          <w:lang w:eastAsia="en-AU"/>
        </w:rPr>
        <w:t>Courts may impose penalties up to $12 600 per breach for an individual</w:t>
      </w:r>
      <w:r>
        <w:rPr>
          <w:sz w:val="18"/>
          <w:szCs w:val="18"/>
          <w:lang w:eastAsia="en-AU"/>
        </w:rPr>
        <w:t xml:space="preserve">, </w:t>
      </w:r>
      <w:r w:rsidRPr="00C3030A">
        <w:rPr>
          <w:sz w:val="18"/>
          <w:szCs w:val="18"/>
          <w:lang w:eastAsia="en-AU"/>
        </w:rPr>
        <w:t xml:space="preserve">and $63 000 per </w:t>
      </w:r>
      <w:r>
        <w:rPr>
          <w:sz w:val="18"/>
          <w:szCs w:val="18"/>
          <w:lang w:eastAsia="en-AU"/>
        </w:rPr>
        <w:t>breach</w:t>
      </w:r>
      <w:r w:rsidRPr="00C3030A">
        <w:rPr>
          <w:sz w:val="18"/>
          <w:szCs w:val="18"/>
          <w:lang w:eastAsia="en-AU"/>
        </w:rPr>
        <w:t xml:space="preserve"> for companies. Where non-compliance is proven to be deliberate or systemic, penalties can amount to $126 000 per breach for individuals and $630 000 per for companies</w:t>
      </w:r>
      <w:r>
        <w:rPr>
          <w:sz w:val="18"/>
          <w:szCs w:val="18"/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09A5" w14:textId="77777777" w:rsidR="00812A77" w:rsidRDefault="0081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AA05" w14:textId="77777777" w:rsidR="00812A77" w:rsidRDefault="00812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EDAC" w14:textId="77777777" w:rsidR="00B05C42" w:rsidRPr="003952ED" w:rsidRDefault="00B05C42" w:rsidP="00AB27F9">
    <w:pPr>
      <w:rPr>
        <w:u w:val="single"/>
      </w:rPr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6DD006EA" wp14:editId="5BDDED13">
          <wp:simplePos x="0" y="0"/>
          <wp:positionH relativeFrom="margin">
            <wp:posOffset>-936923</wp:posOffset>
          </wp:positionH>
          <wp:positionV relativeFrom="paragraph">
            <wp:posOffset>0</wp:posOffset>
          </wp:positionV>
          <wp:extent cx="7722577" cy="10847173"/>
          <wp:effectExtent l="0" t="0" r="0" b="0"/>
          <wp:wrapNone/>
          <wp:docPr id="37" name="Picture 37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ac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577" cy="108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3516A1F"/>
    <w:multiLevelType w:val="hybridMultilevel"/>
    <w:tmpl w:val="C5C82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0E84"/>
    <w:multiLevelType w:val="hybridMultilevel"/>
    <w:tmpl w:val="342CD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3EFA"/>
    <w:multiLevelType w:val="hybridMultilevel"/>
    <w:tmpl w:val="A1EE8E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A2B71"/>
    <w:multiLevelType w:val="hybridMultilevel"/>
    <w:tmpl w:val="2744A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3387"/>
    <w:multiLevelType w:val="hybridMultilevel"/>
    <w:tmpl w:val="0A081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888368F"/>
    <w:multiLevelType w:val="hybridMultilevel"/>
    <w:tmpl w:val="AD00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3606"/>
    <w:multiLevelType w:val="hybridMultilevel"/>
    <w:tmpl w:val="5F1E5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17DB"/>
    <w:multiLevelType w:val="hybridMultilevel"/>
    <w:tmpl w:val="A70A9406"/>
    <w:lvl w:ilvl="0" w:tplc="9C5281C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473B8"/>
    <w:multiLevelType w:val="hybridMultilevel"/>
    <w:tmpl w:val="383A58E2"/>
    <w:lvl w:ilvl="0" w:tplc="5366BFA4">
      <w:start w:val="1"/>
      <w:numFmt w:val="bullet"/>
      <w:pStyle w:val="Callout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50743"/>
    <w:multiLevelType w:val="hybridMultilevel"/>
    <w:tmpl w:val="C59EC5E0"/>
    <w:lvl w:ilvl="0" w:tplc="9C5281C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71A1"/>
    <w:multiLevelType w:val="hybridMultilevel"/>
    <w:tmpl w:val="05AC0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64FFB"/>
    <w:multiLevelType w:val="hybridMultilevel"/>
    <w:tmpl w:val="2416E0A0"/>
    <w:lvl w:ilvl="0" w:tplc="9C5281C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0D07BA"/>
    <w:multiLevelType w:val="hybridMultilevel"/>
    <w:tmpl w:val="263E6594"/>
    <w:lvl w:ilvl="0" w:tplc="3640AF7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67560"/>
    <w:multiLevelType w:val="hybridMultilevel"/>
    <w:tmpl w:val="5B46EAC8"/>
    <w:lvl w:ilvl="0" w:tplc="8330287E">
      <w:start w:val="1"/>
      <w:numFmt w:val="bullet"/>
      <w:pStyle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0E9F"/>
    <w:multiLevelType w:val="hybridMultilevel"/>
    <w:tmpl w:val="C7B4D102"/>
    <w:lvl w:ilvl="0" w:tplc="DD64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0B2"/>
    <w:multiLevelType w:val="hybridMultilevel"/>
    <w:tmpl w:val="221CD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4639"/>
    <w:multiLevelType w:val="hybridMultilevel"/>
    <w:tmpl w:val="2182DC1A"/>
    <w:lvl w:ilvl="0" w:tplc="5A864108">
      <w:start w:val="1"/>
      <w:numFmt w:val="bullet"/>
      <w:pStyle w:val="CalloutBullet0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6"/>
  </w:num>
  <w:num w:numId="4">
    <w:abstractNumId w:val="18"/>
  </w:num>
  <w:num w:numId="5">
    <w:abstractNumId w:val="19"/>
  </w:num>
  <w:num w:numId="6">
    <w:abstractNumId w:val="11"/>
  </w:num>
  <w:num w:numId="7">
    <w:abstractNumId w:val="10"/>
  </w:num>
  <w:num w:numId="8">
    <w:abstractNumId w:val="21"/>
  </w:num>
  <w:num w:numId="9">
    <w:abstractNumId w:val="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11"/>
  </w:num>
  <w:num w:numId="15">
    <w:abstractNumId w:val="7"/>
  </w:num>
  <w:num w:numId="16">
    <w:abstractNumId w:val="8"/>
  </w:num>
  <w:num w:numId="17">
    <w:abstractNumId w:val="5"/>
  </w:num>
  <w:num w:numId="18">
    <w:abstractNumId w:val="12"/>
  </w:num>
  <w:num w:numId="19">
    <w:abstractNumId w:val="11"/>
  </w:num>
  <w:num w:numId="20">
    <w:abstractNumId w:val="11"/>
  </w:num>
  <w:num w:numId="21">
    <w:abstractNumId w:val="16"/>
  </w:num>
  <w:num w:numId="22">
    <w:abstractNumId w:val="17"/>
  </w:num>
  <w:num w:numId="23">
    <w:abstractNumId w:val="11"/>
  </w:num>
  <w:num w:numId="24">
    <w:abstractNumId w:val="2"/>
  </w:num>
  <w:num w:numId="25">
    <w:abstractNumId w:val="11"/>
  </w:num>
  <w:num w:numId="26">
    <w:abstractNumId w:val="11"/>
  </w:num>
  <w:num w:numId="27">
    <w:abstractNumId w:val="14"/>
  </w:num>
  <w:num w:numId="28">
    <w:abstractNumId w:val="13"/>
  </w:num>
  <w:num w:numId="29">
    <w:abstractNumId w:val="15"/>
  </w:num>
  <w:num w:numId="30">
    <w:abstractNumId w:val="15"/>
  </w:num>
  <w:num w:numId="31">
    <w:abstractNumId w:val="3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63"/>
    <w:rsid w:val="00001CAA"/>
    <w:rsid w:val="0000366A"/>
    <w:rsid w:val="00003FF8"/>
    <w:rsid w:val="00006D48"/>
    <w:rsid w:val="00020ED9"/>
    <w:rsid w:val="0002263F"/>
    <w:rsid w:val="00024087"/>
    <w:rsid w:val="00030133"/>
    <w:rsid w:val="000339A4"/>
    <w:rsid w:val="00040421"/>
    <w:rsid w:val="00043D63"/>
    <w:rsid w:val="00044A07"/>
    <w:rsid w:val="00044B3E"/>
    <w:rsid w:val="00044BEC"/>
    <w:rsid w:val="00057AE4"/>
    <w:rsid w:val="000607A6"/>
    <w:rsid w:val="00064562"/>
    <w:rsid w:val="000652ED"/>
    <w:rsid w:val="00066430"/>
    <w:rsid w:val="00067031"/>
    <w:rsid w:val="00070178"/>
    <w:rsid w:val="0007102B"/>
    <w:rsid w:val="00080941"/>
    <w:rsid w:val="0008342B"/>
    <w:rsid w:val="00084D66"/>
    <w:rsid w:val="00090047"/>
    <w:rsid w:val="00094EE5"/>
    <w:rsid w:val="0009727F"/>
    <w:rsid w:val="0009729A"/>
    <w:rsid w:val="000A0281"/>
    <w:rsid w:val="000A3877"/>
    <w:rsid w:val="000A5FE4"/>
    <w:rsid w:val="000A667A"/>
    <w:rsid w:val="000A6F94"/>
    <w:rsid w:val="000B04DA"/>
    <w:rsid w:val="000B2B8E"/>
    <w:rsid w:val="000C09CA"/>
    <w:rsid w:val="000C0E0C"/>
    <w:rsid w:val="000C1DF4"/>
    <w:rsid w:val="000C1EE9"/>
    <w:rsid w:val="000C2B08"/>
    <w:rsid w:val="000C359C"/>
    <w:rsid w:val="000C63F1"/>
    <w:rsid w:val="000C6A5F"/>
    <w:rsid w:val="000D29E1"/>
    <w:rsid w:val="000D724E"/>
    <w:rsid w:val="000D7C4F"/>
    <w:rsid w:val="000E08E4"/>
    <w:rsid w:val="000E2601"/>
    <w:rsid w:val="000E362E"/>
    <w:rsid w:val="000E37AC"/>
    <w:rsid w:val="000F0866"/>
    <w:rsid w:val="000F0FBA"/>
    <w:rsid w:val="000F1E14"/>
    <w:rsid w:val="000F269C"/>
    <w:rsid w:val="000F2720"/>
    <w:rsid w:val="000F2C32"/>
    <w:rsid w:val="000F4B5B"/>
    <w:rsid w:val="001014A0"/>
    <w:rsid w:val="00105CEF"/>
    <w:rsid w:val="00106B77"/>
    <w:rsid w:val="00111949"/>
    <w:rsid w:val="001120FE"/>
    <w:rsid w:val="00125A38"/>
    <w:rsid w:val="00127C72"/>
    <w:rsid w:val="00133B21"/>
    <w:rsid w:val="0013580F"/>
    <w:rsid w:val="001400E0"/>
    <w:rsid w:val="00142043"/>
    <w:rsid w:val="0014267A"/>
    <w:rsid w:val="001506E4"/>
    <w:rsid w:val="001607FB"/>
    <w:rsid w:val="0016101D"/>
    <w:rsid w:val="0016465A"/>
    <w:rsid w:val="001676B6"/>
    <w:rsid w:val="00167D70"/>
    <w:rsid w:val="00181475"/>
    <w:rsid w:val="001827B7"/>
    <w:rsid w:val="001850B4"/>
    <w:rsid w:val="00185943"/>
    <w:rsid w:val="00190392"/>
    <w:rsid w:val="0019080C"/>
    <w:rsid w:val="00191D61"/>
    <w:rsid w:val="0019259E"/>
    <w:rsid w:val="00192A3D"/>
    <w:rsid w:val="00194A0D"/>
    <w:rsid w:val="001A2364"/>
    <w:rsid w:val="001A4525"/>
    <w:rsid w:val="001B2781"/>
    <w:rsid w:val="001B2A68"/>
    <w:rsid w:val="001D0161"/>
    <w:rsid w:val="001D6D36"/>
    <w:rsid w:val="001D75B0"/>
    <w:rsid w:val="001E47B4"/>
    <w:rsid w:val="001F20C3"/>
    <w:rsid w:val="001F3149"/>
    <w:rsid w:val="001F3169"/>
    <w:rsid w:val="001F6192"/>
    <w:rsid w:val="00202975"/>
    <w:rsid w:val="00202E5C"/>
    <w:rsid w:val="00205DBE"/>
    <w:rsid w:val="00211CA2"/>
    <w:rsid w:val="00214011"/>
    <w:rsid w:val="00216777"/>
    <w:rsid w:val="00225DB8"/>
    <w:rsid w:val="0023014A"/>
    <w:rsid w:val="00240C38"/>
    <w:rsid w:val="00244EEE"/>
    <w:rsid w:val="002450DA"/>
    <w:rsid w:val="0025207B"/>
    <w:rsid w:val="00252336"/>
    <w:rsid w:val="00252709"/>
    <w:rsid w:val="002533F0"/>
    <w:rsid w:val="002545AB"/>
    <w:rsid w:val="0025534A"/>
    <w:rsid w:val="00266369"/>
    <w:rsid w:val="00266688"/>
    <w:rsid w:val="00274039"/>
    <w:rsid w:val="00274AEF"/>
    <w:rsid w:val="002756F3"/>
    <w:rsid w:val="00277375"/>
    <w:rsid w:val="0028208F"/>
    <w:rsid w:val="00292AAB"/>
    <w:rsid w:val="002958C4"/>
    <w:rsid w:val="002A22A5"/>
    <w:rsid w:val="002A4276"/>
    <w:rsid w:val="002B03C2"/>
    <w:rsid w:val="002B5FAD"/>
    <w:rsid w:val="002B621B"/>
    <w:rsid w:val="002C2A81"/>
    <w:rsid w:val="002C4986"/>
    <w:rsid w:val="002C6A00"/>
    <w:rsid w:val="002C769D"/>
    <w:rsid w:val="002D4156"/>
    <w:rsid w:val="002D7B33"/>
    <w:rsid w:val="002E23E2"/>
    <w:rsid w:val="002E6E0C"/>
    <w:rsid w:val="002F0D3A"/>
    <w:rsid w:val="002F0DF6"/>
    <w:rsid w:val="002F1725"/>
    <w:rsid w:val="002F61D0"/>
    <w:rsid w:val="0030359D"/>
    <w:rsid w:val="00310CF1"/>
    <w:rsid w:val="00310DD5"/>
    <w:rsid w:val="00314591"/>
    <w:rsid w:val="00315AB8"/>
    <w:rsid w:val="0032006D"/>
    <w:rsid w:val="003215C7"/>
    <w:rsid w:val="00330F14"/>
    <w:rsid w:val="003319D2"/>
    <w:rsid w:val="00332317"/>
    <w:rsid w:val="0033295B"/>
    <w:rsid w:val="00333CC1"/>
    <w:rsid w:val="0033684C"/>
    <w:rsid w:val="00340E0D"/>
    <w:rsid w:val="003412BC"/>
    <w:rsid w:val="00341A80"/>
    <w:rsid w:val="0034403B"/>
    <w:rsid w:val="00345AD1"/>
    <w:rsid w:val="0034609C"/>
    <w:rsid w:val="00346FF9"/>
    <w:rsid w:val="00350260"/>
    <w:rsid w:val="0035027C"/>
    <w:rsid w:val="003564C5"/>
    <w:rsid w:val="00357D51"/>
    <w:rsid w:val="0036373A"/>
    <w:rsid w:val="00371258"/>
    <w:rsid w:val="003749B1"/>
    <w:rsid w:val="00374EF9"/>
    <w:rsid w:val="0038439E"/>
    <w:rsid w:val="003861B5"/>
    <w:rsid w:val="00390F93"/>
    <w:rsid w:val="003952ED"/>
    <w:rsid w:val="0039589D"/>
    <w:rsid w:val="00397739"/>
    <w:rsid w:val="00397ACC"/>
    <w:rsid w:val="003A6810"/>
    <w:rsid w:val="003A6F68"/>
    <w:rsid w:val="003B121D"/>
    <w:rsid w:val="003B1487"/>
    <w:rsid w:val="003B1C62"/>
    <w:rsid w:val="003B2808"/>
    <w:rsid w:val="003B35B1"/>
    <w:rsid w:val="003B62FE"/>
    <w:rsid w:val="003C493F"/>
    <w:rsid w:val="003C6D5B"/>
    <w:rsid w:val="003D18E2"/>
    <w:rsid w:val="003D2933"/>
    <w:rsid w:val="003D32FB"/>
    <w:rsid w:val="003D6EBE"/>
    <w:rsid w:val="003E0FDA"/>
    <w:rsid w:val="003E2FB5"/>
    <w:rsid w:val="003E514D"/>
    <w:rsid w:val="003F2A71"/>
    <w:rsid w:val="003F3447"/>
    <w:rsid w:val="003F63FF"/>
    <w:rsid w:val="00400743"/>
    <w:rsid w:val="0040294F"/>
    <w:rsid w:val="00403015"/>
    <w:rsid w:val="004033BF"/>
    <w:rsid w:val="00403C88"/>
    <w:rsid w:val="004044C1"/>
    <w:rsid w:val="004046AC"/>
    <w:rsid w:val="0040543F"/>
    <w:rsid w:val="00405844"/>
    <w:rsid w:val="00410018"/>
    <w:rsid w:val="004171B5"/>
    <w:rsid w:val="0042447A"/>
    <w:rsid w:val="00426ABF"/>
    <w:rsid w:val="00433812"/>
    <w:rsid w:val="00436CD6"/>
    <w:rsid w:val="00440FF9"/>
    <w:rsid w:val="00445620"/>
    <w:rsid w:val="00446011"/>
    <w:rsid w:val="00451CB0"/>
    <w:rsid w:val="0045285F"/>
    <w:rsid w:val="0045600E"/>
    <w:rsid w:val="00462163"/>
    <w:rsid w:val="00463F3A"/>
    <w:rsid w:val="004650C3"/>
    <w:rsid w:val="00467B47"/>
    <w:rsid w:val="00475F07"/>
    <w:rsid w:val="00481C1B"/>
    <w:rsid w:val="00483866"/>
    <w:rsid w:val="004947D1"/>
    <w:rsid w:val="00494BAC"/>
    <w:rsid w:val="0049591D"/>
    <w:rsid w:val="00495DA8"/>
    <w:rsid w:val="0049619F"/>
    <w:rsid w:val="00497F76"/>
    <w:rsid w:val="004A29A2"/>
    <w:rsid w:val="004B2104"/>
    <w:rsid w:val="004B22F3"/>
    <w:rsid w:val="004B27BB"/>
    <w:rsid w:val="004C0B58"/>
    <w:rsid w:val="004C33F0"/>
    <w:rsid w:val="004C6B22"/>
    <w:rsid w:val="004D111F"/>
    <w:rsid w:val="004E2431"/>
    <w:rsid w:val="004E2D65"/>
    <w:rsid w:val="004E3470"/>
    <w:rsid w:val="004E36F6"/>
    <w:rsid w:val="004E51B2"/>
    <w:rsid w:val="004E7102"/>
    <w:rsid w:val="004E7C5C"/>
    <w:rsid w:val="004F15FA"/>
    <w:rsid w:val="004F3284"/>
    <w:rsid w:val="004F4518"/>
    <w:rsid w:val="00501D43"/>
    <w:rsid w:val="00502485"/>
    <w:rsid w:val="00502C5C"/>
    <w:rsid w:val="00503E04"/>
    <w:rsid w:val="00505D71"/>
    <w:rsid w:val="00506C55"/>
    <w:rsid w:val="005103EE"/>
    <w:rsid w:val="005117BB"/>
    <w:rsid w:val="00512B40"/>
    <w:rsid w:val="0051423E"/>
    <w:rsid w:val="00514A2C"/>
    <w:rsid w:val="00517108"/>
    <w:rsid w:val="00523F90"/>
    <w:rsid w:val="005247B0"/>
    <w:rsid w:val="00524C21"/>
    <w:rsid w:val="00525DDB"/>
    <w:rsid w:val="00526AB2"/>
    <w:rsid w:val="005327A0"/>
    <w:rsid w:val="00533528"/>
    <w:rsid w:val="0054474D"/>
    <w:rsid w:val="00546C2E"/>
    <w:rsid w:val="00546CDC"/>
    <w:rsid w:val="00551512"/>
    <w:rsid w:val="00553EB7"/>
    <w:rsid w:val="0058303C"/>
    <w:rsid w:val="00584698"/>
    <w:rsid w:val="00587007"/>
    <w:rsid w:val="00587A9D"/>
    <w:rsid w:val="00590D2C"/>
    <w:rsid w:val="00592A13"/>
    <w:rsid w:val="00593E35"/>
    <w:rsid w:val="00596451"/>
    <w:rsid w:val="005A63FE"/>
    <w:rsid w:val="005B0E73"/>
    <w:rsid w:val="005B26B1"/>
    <w:rsid w:val="005B3334"/>
    <w:rsid w:val="005B3A17"/>
    <w:rsid w:val="005B42AA"/>
    <w:rsid w:val="005B513C"/>
    <w:rsid w:val="005B613A"/>
    <w:rsid w:val="005B7259"/>
    <w:rsid w:val="005C1BD5"/>
    <w:rsid w:val="005C3295"/>
    <w:rsid w:val="005C390A"/>
    <w:rsid w:val="005C5C13"/>
    <w:rsid w:val="005D107E"/>
    <w:rsid w:val="005D36C4"/>
    <w:rsid w:val="005E398F"/>
    <w:rsid w:val="005E3ED5"/>
    <w:rsid w:val="00602CBE"/>
    <w:rsid w:val="006037A3"/>
    <w:rsid w:val="0060649A"/>
    <w:rsid w:val="00607993"/>
    <w:rsid w:val="00612257"/>
    <w:rsid w:val="00616148"/>
    <w:rsid w:val="006214B3"/>
    <w:rsid w:val="00624A88"/>
    <w:rsid w:val="006255A1"/>
    <w:rsid w:val="0062705E"/>
    <w:rsid w:val="00631685"/>
    <w:rsid w:val="00635BD6"/>
    <w:rsid w:val="00637381"/>
    <w:rsid w:val="00637679"/>
    <w:rsid w:val="00637D93"/>
    <w:rsid w:val="0064200E"/>
    <w:rsid w:val="006556EB"/>
    <w:rsid w:val="006615E0"/>
    <w:rsid w:val="00662179"/>
    <w:rsid w:val="00663CE6"/>
    <w:rsid w:val="00663F9B"/>
    <w:rsid w:val="00666A7E"/>
    <w:rsid w:val="00666FD1"/>
    <w:rsid w:val="00672DEF"/>
    <w:rsid w:val="00673C8F"/>
    <w:rsid w:val="00681844"/>
    <w:rsid w:val="006824E7"/>
    <w:rsid w:val="006836FC"/>
    <w:rsid w:val="00684B6F"/>
    <w:rsid w:val="006878B3"/>
    <w:rsid w:val="0069564F"/>
    <w:rsid w:val="006A3313"/>
    <w:rsid w:val="006A4099"/>
    <w:rsid w:val="006A412C"/>
    <w:rsid w:val="006B13A4"/>
    <w:rsid w:val="006B7D36"/>
    <w:rsid w:val="006C24BC"/>
    <w:rsid w:val="006C2BEE"/>
    <w:rsid w:val="006C423B"/>
    <w:rsid w:val="006C6211"/>
    <w:rsid w:val="006D108D"/>
    <w:rsid w:val="006E34AE"/>
    <w:rsid w:val="006E4D7E"/>
    <w:rsid w:val="006E530F"/>
    <w:rsid w:val="006E66AD"/>
    <w:rsid w:val="006E7D24"/>
    <w:rsid w:val="006F0308"/>
    <w:rsid w:val="006F04B0"/>
    <w:rsid w:val="006F2DFC"/>
    <w:rsid w:val="007013DD"/>
    <w:rsid w:val="007174A2"/>
    <w:rsid w:val="00717C75"/>
    <w:rsid w:val="00721444"/>
    <w:rsid w:val="00721916"/>
    <w:rsid w:val="00722A6D"/>
    <w:rsid w:val="007242D0"/>
    <w:rsid w:val="0073179E"/>
    <w:rsid w:val="00734F76"/>
    <w:rsid w:val="007355B1"/>
    <w:rsid w:val="00736A07"/>
    <w:rsid w:val="00736C10"/>
    <w:rsid w:val="00737653"/>
    <w:rsid w:val="00743B2F"/>
    <w:rsid w:val="00746E6E"/>
    <w:rsid w:val="007470A8"/>
    <w:rsid w:val="00755472"/>
    <w:rsid w:val="00767884"/>
    <w:rsid w:val="007707B9"/>
    <w:rsid w:val="0077363C"/>
    <w:rsid w:val="00774166"/>
    <w:rsid w:val="00782D47"/>
    <w:rsid w:val="00786F22"/>
    <w:rsid w:val="00791818"/>
    <w:rsid w:val="00795D56"/>
    <w:rsid w:val="007A2082"/>
    <w:rsid w:val="007A2D49"/>
    <w:rsid w:val="007A432E"/>
    <w:rsid w:val="007A6309"/>
    <w:rsid w:val="007B16EE"/>
    <w:rsid w:val="007B3D64"/>
    <w:rsid w:val="007B55A3"/>
    <w:rsid w:val="007D08B7"/>
    <w:rsid w:val="007D66FA"/>
    <w:rsid w:val="007E1B5B"/>
    <w:rsid w:val="007E3190"/>
    <w:rsid w:val="007E43F2"/>
    <w:rsid w:val="007E4C63"/>
    <w:rsid w:val="007E6493"/>
    <w:rsid w:val="008048B9"/>
    <w:rsid w:val="008072B1"/>
    <w:rsid w:val="00812038"/>
    <w:rsid w:val="008122F6"/>
    <w:rsid w:val="00812A77"/>
    <w:rsid w:val="00813552"/>
    <w:rsid w:val="00813CE1"/>
    <w:rsid w:val="008159EE"/>
    <w:rsid w:val="008205AC"/>
    <w:rsid w:val="008217E4"/>
    <w:rsid w:val="00823071"/>
    <w:rsid w:val="00823DAE"/>
    <w:rsid w:val="008324C6"/>
    <w:rsid w:val="008340F6"/>
    <w:rsid w:val="00835B39"/>
    <w:rsid w:val="008367D0"/>
    <w:rsid w:val="00837F8C"/>
    <w:rsid w:val="00840399"/>
    <w:rsid w:val="00842AFE"/>
    <w:rsid w:val="00851F76"/>
    <w:rsid w:val="00855AE3"/>
    <w:rsid w:val="00856E98"/>
    <w:rsid w:val="00860091"/>
    <w:rsid w:val="00866BE5"/>
    <w:rsid w:val="0087270F"/>
    <w:rsid w:val="00872779"/>
    <w:rsid w:val="008743EC"/>
    <w:rsid w:val="008770CF"/>
    <w:rsid w:val="00877300"/>
    <w:rsid w:val="008850A2"/>
    <w:rsid w:val="0088737E"/>
    <w:rsid w:val="00892902"/>
    <w:rsid w:val="008967E4"/>
    <w:rsid w:val="008979FD"/>
    <w:rsid w:val="00897C6D"/>
    <w:rsid w:val="008A0515"/>
    <w:rsid w:val="008A45F7"/>
    <w:rsid w:val="008A6906"/>
    <w:rsid w:val="008B21DA"/>
    <w:rsid w:val="008B4B17"/>
    <w:rsid w:val="008B4F7F"/>
    <w:rsid w:val="008B5B96"/>
    <w:rsid w:val="008B64FB"/>
    <w:rsid w:val="008B7763"/>
    <w:rsid w:val="008B7934"/>
    <w:rsid w:val="008C494F"/>
    <w:rsid w:val="008C68B5"/>
    <w:rsid w:val="008D01E0"/>
    <w:rsid w:val="008D0614"/>
    <w:rsid w:val="008D6F9A"/>
    <w:rsid w:val="008D7319"/>
    <w:rsid w:val="008E2FD7"/>
    <w:rsid w:val="008E45C7"/>
    <w:rsid w:val="008E46F0"/>
    <w:rsid w:val="008E53BF"/>
    <w:rsid w:val="008E59DE"/>
    <w:rsid w:val="008E5CCA"/>
    <w:rsid w:val="008E7C2C"/>
    <w:rsid w:val="008F1070"/>
    <w:rsid w:val="008F22E5"/>
    <w:rsid w:val="008F2CC1"/>
    <w:rsid w:val="008F5354"/>
    <w:rsid w:val="008F5E6D"/>
    <w:rsid w:val="008F7AFC"/>
    <w:rsid w:val="00900E8C"/>
    <w:rsid w:val="009042A7"/>
    <w:rsid w:val="00911CB2"/>
    <w:rsid w:val="00911D94"/>
    <w:rsid w:val="0091246E"/>
    <w:rsid w:val="009137A0"/>
    <w:rsid w:val="009137A7"/>
    <w:rsid w:val="00915ECF"/>
    <w:rsid w:val="00916E6A"/>
    <w:rsid w:val="0092566E"/>
    <w:rsid w:val="00925B42"/>
    <w:rsid w:val="00932AA0"/>
    <w:rsid w:val="00933863"/>
    <w:rsid w:val="009344C6"/>
    <w:rsid w:val="0093542C"/>
    <w:rsid w:val="00936511"/>
    <w:rsid w:val="009365AC"/>
    <w:rsid w:val="009401AC"/>
    <w:rsid w:val="009433B6"/>
    <w:rsid w:val="00945B18"/>
    <w:rsid w:val="00960B57"/>
    <w:rsid w:val="00960FF5"/>
    <w:rsid w:val="009629F3"/>
    <w:rsid w:val="00972C87"/>
    <w:rsid w:val="00973C4D"/>
    <w:rsid w:val="009742D2"/>
    <w:rsid w:val="00974C37"/>
    <w:rsid w:val="00975FA0"/>
    <w:rsid w:val="0098080F"/>
    <w:rsid w:val="00981868"/>
    <w:rsid w:val="00985890"/>
    <w:rsid w:val="00985A3E"/>
    <w:rsid w:val="00990A44"/>
    <w:rsid w:val="009916C6"/>
    <w:rsid w:val="009943AB"/>
    <w:rsid w:val="009A1A88"/>
    <w:rsid w:val="009B0B6A"/>
    <w:rsid w:val="009B19EE"/>
    <w:rsid w:val="009B7C80"/>
    <w:rsid w:val="009C10C3"/>
    <w:rsid w:val="009C14E2"/>
    <w:rsid w:val="009C75D6"/>
    <w:rsid w:val="009D0B07"/>
    <w:rsid w:val="009D1D34"/>
    <w:rsid w:val="009D2725"/>
    <w:rsid w:val="009D322E"/>
    <w:rsid w:val="009D3BBF"/>
    <w:rsid w:val="009D546A"/>
    <w:rsid w:val="009D5F9F"/>
    <w:rsid w:val="009D7631"/>
    <w:rsid w:val="009E226F"/>
    <w:rsid w:val="009E7A4A"/>
    <w:rsid w:val="009F0957"/>
    <w:rsid w:val="009F0C25"/>
    <w:rsid w:val="00A05A24"/>
    <w:rsid w:val="00A0704D"/>
    <w:rsid w:val="00A07A1B"/>
    <w:rsid w:val="00A12742"/>
    <w:rsid w:val="00A14046"/>
    <w:rsid w:val="00A15574"/>
    <w:rsid w:val="00A25424"/>
    <w:rsid w:val="00A266EE"/>
    <w:rsid w:val="00A31CA2"/>
    <w:rsid w:val="00A31EED"/>
    <w:rsid w:val="00A32E18"/>
    <w:rsid w:val="00A34D4A"/>
    <w:rsid w:val="00A40015"/>
    <w:rsid w:val="00A46F23"/>
    <w:rsid w:val="00A50448"/>
    <w:rsid w:val="00A53B2B"/>
    <w:rsid w:val="00A66EA7"/>
    <w:rsid w:val="00A7186B"/>
    <w:rsid w:val="00A71FA8"/>
    <w:rsid w:val="00A72963"/>
    <w:rsid w:val="00A73C8E"/>
    <w:rsid w:val="00A82E86"/>
    <w:rsid w:val="00A9000B"/>
    <w:rsid w:val="00A946A9"/>
    <w:rsid w:val="00A95312"/>
    <w:rsid w:val="00AA0A3E"/>
    <w:rsid w:val="00AA0A63"/>
    <w:rsid w:val="00AA4629"/>
    <w:rsid w:val="00AB098D"/>
    <w:rsid w:val="00AB27F9"/>
    <w:rsid w:val="00AB28E6"/>
    <w:rsid w:val="00AB3C31"/>
    <w:rsid w:val="00AC17ED"/>
    <w:rsid w:val="00AC229B"/>
    <w:rsid w:val="00AC7EC8"/>
    <w:rsid w:val="00AD009A"/>
    <w:rsid w:val="00AD0B0A"/>
    <w:rsid w:val="00AD269B"/>
    <w:rsid w:val="00AD3FD7"/>
    <w:rsid w:val="00AD5F7F"/>
    <w:rsid w:val="00AD7ACB"/>
    <w:rsid w:val="00AD7E25"/>
    <w:rsid w:val="00AE0C8C"/>
    <w:rsid w:val="00AF0936"/>
    <w:rsid w:val="00AF21B8"/>
    <w:rsid w:val="00B0049B"/>
    <w:rsid w:val="00B00BC8"/>
    <w:rsid w:val="00B05C42"/>
    <w:rsid w:val="00B0742B"/>
    <w:rsid w:val="00B11DDC"/>
    <w:rsid w:val="00B13C89"/>
    <w:rsid w:val="00B148E4"/>
    <w:rsid w:val="00B14AD9"/>
    <w:rsid w:val="00B206C4"/>
    <w:rsid w:val="00B26E4B"/>
    <w:rsid w:val="00B27089"/>
    <w:rsid w:val="00B33C57"/>
    <w:rsid w:val="00B3565A"/>
    <w:rsid w:val="00B37669"/>
    <w:rsid w:val="00B37AA0"/>
    <w:rsid w:val="00B42289"/>
    <w:rsid w:val="00B52733"/>
    <w:rsid w:val="00B5560A"/>
    <w:rsid w:val="00B662EA"/>
    <w:rsid w:val="00B67D04"/>
    <w:rsid w:val="00B81C1A"/>
    <w:rsid w:val="00B842F5"/>
    <w:rsid w:val="00B8655E"/>
    <w:rsid w:val="00B90991"/>
    <w:rsid w:val="00B9339B"/>
    <w:rsid w:val="00B94A6B"/>
    <w:rsid w:val="00B97961"/>
    <w:rsid w:val="00B97F40"/>
    <w:rsid w:val="00BA1ACC"/>
    <w:rsid w:val="00BA1AEE"/>
    <w:rsid w:val="00BA4FF9"/>
    <w:rsid w:val="00BA602C"/>
    <w:rsid w:val="00BA7A77"/>
    <w:rsid w:val="00BB25C4"/>
    <w:rsid w:val="00BB26EF"/>
    <w:rsid w:val="00BB59AA"/>
    <w:rsid w:val="00BC0280"/>
    <w:rsid w:val="00BC6C96"/>
    <w:rsid w:val="00BC6CA9"/>
    <w:rsid w:val="00BD0563"/>
    <w:rsid w:val="00BD79E5"/>
    <w:rsid w:val="00BE15EC"/>
    <w:rsid w:val="00BE19F9"/>
    <w:rsid w:val="00BE1B86"/>
    <w:rsid w:val="00BE54C2"/>
    <w:rsid w:val="00BF0029"/>
    <w:rsid w:val="00BF1CCF"/>
    <w:rsid w:val="00C00C46"/>
    <w:rsid w:val="00C02BFF"/>
    <w:rsid w:val="00C07D3F"/>
    <w:rsid w:val="00C11D0C"/>
    <w:rsid w:val="00C14135"/>
    <w:rsid w:val="00C2298B"/>
    <w:rsid w:val="00C24A7A"/>
    <w:rsid w:val="00C26327"/>
    <w:rsid w:val="00C36E87"/>
    <w:rsid w:val="00C37FD5"/>
    <w:rsid w:val="00C423F4"/>
    <w:rsid w:val="00C46495"/>
    <w:rsid w:val="00C46A9A"/>
    <w:rsid w:val="00C51199"/>
    <w:rsid w:val="00C51AE0"/>
    <w:rsid w:val="00C5291B"/>
    <w:rsid w:val="00C538CC"/>
    <w:rsid w:val="00C56962"/>
    <w:rsid w:val="00C61167"/>
    <w:rsid w:val="00C62ACD"/>
    <w:rsid w:val="00C6446B"/>
    <w:rsid w:val="00C64C47"/>
    <w:rsid w:val="00C66585"/>
    <w:rsid w:val="00C66C25"/>
    <w:rsid w:val="00C67DCC"/>
    <w:rsid w:val="00C72D97"/>
    <w:rsid w:val="00C81AF7"/>
    <w:rsid w:val="00C84B03"/>
    <w:rsid w:val="00C9231F"/>
    <w:rsid w:val="00C9494D"/>
    <w:rsid w:val="00C94C75"/>
    <w:rsid w:val="00C97A19"/>
    <w:rsid w:val="00CA38EE"/>
    <w:rsid w:val="00CA3EAA"/>
    <w:rsid w:val="00CA54E2"/>
    <w:rsid w:val="00CB319E"/>
    <w:rsid w:val="00CC3FFC"/>
    <w:rsid w:val="00CC7FFE"/>
    <w:rsid w:val="00CD404B"/>
    <w:rsid w:val="00CD6409"/>
    <w:rsid w:val="00CD6F15"/>
    <w:rsid w:val="00CE1A86"/>
    <w:rsid w:val="00CE3D01"/>
    <w:rsid w:val="00CE60A1"/>
    <w:rsid w:val="00CE63BE"/>
    <w:rsid w:val="00CE7181"/>
    <w:rsid w:val="00CE74F4"/>
    <w:rsid w:val="00CF035C"/>
    <w:rsid w:val="00CF1056"/>
    <w:rsid w:val="00CF3B06"/>
    <w:rsid w:val="00D048A5"/>
    <w:rsid w:val="00D05CB6"/>
    <w:rsid w:val="00D0710C"/>
    <w:rsid w:val="00D07885"/>
    <w:rsid w:val="00D10397"/>
    <w:rsid w:val="00D13A87"/>
    <w:rsid w:val="00D20D8E"/>
    <w:rsid w:val="00D2439A"/>
    <w:rsid w:val="00D27F43"/>
    <w:rsid w:val="00D32399"/>
    <w:rsid w:val="00D3277B"/>
    <w:rsid w:val="00D363DC"/>
    <w:rsid w:val="00D40511"/>
    <w:rsid w:val="00D61846"/>
    <w:rsid w:val="00D6528F"/>
    <w:rsid w:val="00D72DFB"/>
    <w:rsid w:val="00D7342F"/>
    <w:rsid w:val="00D73722"/>
    <w:rsid w:val="00D7578E"/>
    <w:rsid w:val="00D76470"/>
    <w:rsid w:val="00D8198B"/>
    <w:rsid w:val="00D83B2C"/>
    <w:rsid w:val="00D83BB3"/>
    <w:rsid w:val="00D964E9"/>
    <w:rsid w:val="00DA0189"/>
    <w:rsid w:val="00DA096D"/>
    <w:rsid w:val="00DA1806"/>
    <w:rsid w:val="00DA57D3"/>
    <w:rsid w:val="00DA7E1A"/>
    <w:rsid w:val="00DB2A3D"/>
    <w:rsid w:val="00DB5915"/>
    <w:rsid w:val="00DC0961"/>
    <w:rsid w:val="00DC1F8D"/>
    <w:rsid w:val="00DC249A"/>
    <w:rsid w:val="00DC5A09"/>
    <w:rsid w:val="00DC6E83"/>
    <w:rsid w:val="00DC7AC2"/>
    <w:rsid w:val="00DE1FFA"/>
    <w:rsid w:val="00DE7422"/>
    <w:rsid w:val="00DE7C28"/>
    <w:rsid w:val="00DF4831"/>
    <w:rsid w:val="00DF55E4"/>
    <w:rsid w:val="00DF6D17"/>
    <w:rsid w:val="00E06338"/>
    <w:rsid w:val="00E10583"/>
    <w:rsid w:val="00E151A0"/>
    <w:rsid w:val="00E16BB0"/>
    <w:rsid w:val="00E22203"/>
    <w:rsid w:val="00E224BD"/>
    <w:rsid w:val="00E2368A"/>
    <w:rsid w:val="00E2399E"/>
    <w:rsid w:val="00E25760"/>
    <w:rsid w:val="00E32352"/>
    <w:rsid w:val="00E329A6"/>
    <w:rsid w:val="00E402C2"/>
    <w:rsid w:val="00E403BA"/>
    <w:rsid w:val="00E43030"/>
    <w:rsid w:val="00E45F4B"/>
    <w:rsid w:val="00E46CCA"/>
    <w:rsid w:val="00E47350"/>
    <w:rsid w:val="00E601F8"/>
    <w:rsid w:val="00E6155A"/>
    <w:rsid w:val="00E64EE0"/>
    <w:rsid w:val="00E65E59"/>
    <w:rsid w:val="00E71869"/>
    <w:rsid w:val="00E7220A"/>
    <w:rsid w:val="00E73829"/>
    <w:rsid w:val="00E763E3"/>
    <w:rsid w:val="00E8273A"/>
    <w:rsid w:val="00E841ED"/>
    <w:rsid w:val="00E8678A"/>
    <w:rsid w:val="00E9391B"/>
    <w:rsid w:val="00E93AB3"/>
    <w:rsid w:val="00E944DC"/>
    <w:rsid w:val="00E974A6"/>
    <w:rsid w:val="00EA5329"/>
    <w:rsid w:val="00EA5DFA"/>
    <w:rsid w:val="00EA6181"/>
    <w:rsid w:val="00EB1522"/>
    <w:rsid w:val="00EB2C3E"/>
    <w:rsid w:val="00EB462A"/>
    <w:rsid w:val="00EC4CBA"/>
    <w:rsid w:val="00EC55E6"/>
    <w:rsid w:val="00EC791F"/>
    <w:rsid w:val="00ED0D64"/>
    <w:rsid w:val="00ED295F"/>
    <w:rsid w:val="00ED4AEB"/>
    <w:rsid w:val="00ED60EC"/>
    <w:rsid w:val="00ED7084"/>
    <w:rsid w:val="00EE2EF8"/>
    <w:rsid w:val="00EE3963"/>
    <w:rsid w:val="00EE3A19"/>
    <w:rsid w:val="00EE573C"/>
    <w:rsid w:val="00EF394B"/>
    <w:rsid w:val="00EF6D72"/>
    <w:rsid w:val="00F00150"/>
    <w:rsid w:val="00F00238"/>
    <w:rsid w:val="00F1004B"/>
    <w:rsid w:val="00F105AC"/>
    <w:rsid w:val="00F10F11"/>
    <w:rsid w:val="00F23488"/>
    <w:rsid w:val="00F23651"/>
    <w:rsid w:val="00F2588C"/>
    <w:rsid w:val="00F26590"/>
    <w:rsid w:val="00F31E30"/>
    <w:rsid w:val="00F51A80"/>
    <w:rsid w:val="00F5285A"/>
    <w:rsid w:val="00F55653"/>
    <w:rsid w:val="00F557CB"/>
    <w:rsid w:val="00F56433"/>
    <w:rsid w:val="00F573B5"/>
    <w:rsid w:val="00F57B70"/>
    <w:rsid w:val="00F66106"/>
    <w:rsid w:val="00F7085E"/>
    <w:rsid w:val="00F77208"/>
    <w:rsid w:val="00F77D9C"/>
    <w:rsid w:val="00F8218D"/>
    <w:rsid w:val="00F871F1"/>
    <w:rsid w:val="00F90B6A"/>
    <w:rsid w:val="00F94F7D"/>
    <w:rsid w:val="00FA1039"/>
    <w:rsid w:val="00FA137B"/>
    <w:rsid w:val="00FA37A8"/>
    <w:rsid w:val="00FA3B05"/>
    <w:rsid w:val="00FA64BA"/>
    <w:rsid w:val="00FB1516"/>
    <w:rsid w:val="00FB48B9"/>
    <w:rsid w:val="00FC11E0"/>
    <w:rsid w:val="00FC7AA2"/>
    <w:rsid w:val="00FD0ABB"/>
    <w:rsid w:val="00FD21CA"/>
    <w:rsid w:val="00FD297F"/>
    <w:rsid w:val="00FE2A0E"/>
    <w:rsid w:val="00FE3F27"/>
    <w:rsid w:val="00FE5EDF"/>
    <w:rsid w:val="00FE638A"/>
    <w:rsid w:val="00FF0DC5"/>
    <w:rsid w:val="00FF22CE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7B295B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8D01E0"/>
    <w:pPr>
      <w:spacing w:before="120" w:line="360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87270F"/>
    <w:pPr>
      <w:keepNext/>
      <w:keepLines/>
      <w:spacing w:before="180" w:after="60" w:line="360" w:lineRule="auto"/>
      <w:outlineLvl w:val="0"/>
    </w:pPr>
    <w:rPr>
      <w:rFonts w:ascii="Helvetica" w:hAnsi="Helvetica" w:cs="Arial"/>
      <w:color w:val="263746"/>
      <w:sz w:val="44"/>
      <w:szCs w:val="26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D08B7"/>
    <w:pPr>
      <w:numPr>
        <w:ilvl w:val="1"/>
      </w:numPr>
      <w:outlineLvl w:val="1"/>
    </w:pPr>
    <w:rPr>
      <w:sz w:val="3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49619F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5560A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7270F"/>
    <w:rPr>
      <w:rFonts w:ascii="Helvetica" w:hAnsi="Helvetica" w:cs="Arial"/>
      <w:color w:val="26374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D08B7"/>
    <w:rPr>
      <w:rFonts w:ascii="Helvetica" w:hAnsi="Helvetica" w:cs="Arial"/>
      <w:color w:val="263746"/>
      <w:sz w:val="3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619F"/>
    <w:rPr>
      <w:rFonts w:ascii="Helvetica" w:hAnsi="Helvetica" w:cs="Arial"/>
      <w:color w:val="263746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5560A"/>
    <w:rPr>
      <w:rFonts w:ascii="Helvetica" w:hAnsi="Helvetica" w:cs="Arial"/>
      <w:color w:val="26374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5117BB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35027C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5117BB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5117BB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7BB"/>
    <w:rPr>
      <w:rFonts w:ascii="Arial" w:hAnsi="Arial" w:cs="Arial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E329A6"/>
    <w:pPr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5117BB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5117BB"/>
    <w:rPr>
      <w:rFonts w:ascii="Arial" w:hAnsi="Arial" w:cs="Arial"/>
      <w:sz w:val="22"/>
      <w:szCs w:val="24"/>
      <w:lang w:eastAsia="en-US"/>
    </w:rPr>
  </w:style>
  <w:style w:type="paragraph" w:customStyle="1" w:styleId="CoverReportTitle">
    <w:name w:val="Cover Report Title"/>
    <w:autoRedefine/>
    <w:rsid w:val="0092566E"/>
    <w:pPr>
      <w:framePr w:w="4820" w:wrap="around" w:vAnchor="page" w:hAnchor="text" w:x="5388" w:y="795"/>
      <w:spacing w:before="4440" w:after="2400" w:line="480" w:lineRule="auto"/>
    </w:pPr>
    <w:rPr>
      <w:rFonts w:ascii="Arial" w:eastAsiaTheme="minorHAnsi" w:hAnsi="Arial"/>
      <w:color w:val="FFFFFF" w:themeColor="background1"/>
      <w:sz w:val="60"/>
      <w:szCs w:val="22"/>
      <w:lang w:eastAsia="en-US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546CDC"/>
    <w:pPr>
      <w:framePr w:w="0" w:wrap="auto" w:vAnchor="margin" w:xAlign="left" w:yAlign="inline"/>
      <w:spacing w:before="113" w:after="57" w:line="400" w:lineRule="exact"/>
    </w:pPr>
    <w:rPr>
      <w:rFonts w:ascii="Helvetica" w:hAnsi="Helvetica"/>
      <w:color w:val="auto"/>
      <w:sz w:val="36"/>
    </w:rPr>
  </w:style>
  <w:style w:type="paragraph" w:customStyle="1" w:styleId="Bullet">
    <w:name w:val="Bullet"/>
    <w:basedOn w:val="Normal"/>
    <w:autoRedefine/>
    <w:qFormat/>
    <w:rsid w:val="00066430"/>
    <w:pPr>
      <w:numPr>
        <w:numId w:val="29"/>
      </w:numPr>
      <w:spacing w:after="240" w:line="240" w:lineRule="auto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0A6F94"/>
    <w:pPr>
      <w:pBdr>
        <w:top w:val="single" w:sz="36" w:space="3" w:color="263746"/>
        <w:left w:val="single" w:sz="36" w:space="8" w:color="263746"/>
        <w:bottom w:val="single" w:sz="36" w:space="17" w:color="263746"/>
        <w:right w:val="single" w:sz="36" w:space="8" w:color="263746"/>
      </w:pBdr>
      <w:spacing w:before="240" w:after="60" w:line="320" w:lineRule="exact"/>
      <w:ind w:left="288" w:right="288"/>
      <w:contextualSpacing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CF3B06"/>
    <w:pPr>
      <w:keepNext/>
      <w:keepLines/>
      <w:widowControl w:val="0"/>
      <w:spacing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qFormat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0B2B8E"/>
    <w:pPr>
      <w:contextualSpacing w:val="0"/>
    </w:pPr>
    <w:rPr>
      <w:b/>
      <w:sz w:val="24"/>
      <w:lang w:eastAsia="en-AU"/>
    </w:rPr>
  </w:style>
  <w:style w:type="character" w:customStyle="1" w:styleId="CalloutboxChar">
    <w:name w:val="Callout box Char"/>
    <w:basedOn w:val="DefaultParagraphFont"/>
    <w:link w:val="Calloutbox"/>
    <w:rsid w:val="000A6F94"/>
    <w:rPr>
      <w:rFonts w:ascii="Arial" w:eastAsiaTheme="minorHAnsi" w:hAnsi="Arial"/>
      <w:sz w:val="22"/>
      <w:szCs w:val="22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0B2B8E"/>
    <w:rPr>
      <w:rFonts w:ascii="Arial" w:eastAsiaTheme="minorHAnsi" w:hAnsi="Arial"/>
      <w:b/>
      <w:sz w:val="24"/>
      <w:szCs w:val="22"/>
      <w:shd w:val="clear" w:color="auto" w:fill="DDDDDD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5117BB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StyleCentered">
    <w:name w:val="Style Centered"/>
    <w:basedOn w:val="Normal"/>
    <w:rsid w:val="005117BB"/>
    <w:pPr>
      <w:jc w:val="center"/>
    </w:pPr>
    <w:rPr>
      <w:rFonts w:cs="Times New Roman"/>
      <w:szCs w:val="20"/>
    </w:rPr>
  </w:style>
  <w:style w:type="paragraph" w:customStyle="1" w:styleId="Coverheading">
    <w:name w:val="Cover heading"/>
    <w:basedOn w:val="Normal"/>
    <w:link w:val="CoverheadingChar"/>
    <w:qFormat/>
    <w:rsid w:val="009D1D34"/>
    <w:pPr>
      <w:spacing w:before="4440" w:after="2400" w:line="480" w:lineRule="auto"/>
    </w:pPr>
    <w:rPr>
      <w:rFonts w:ascii="Helvetica" w:eastAsiaTheme="minorHAnsi" w:hAnsi="Helvetica" w:cs="Times New Roman"/>
      <w:color w:val="263746"/>
      <w:sz w:val="60"/>
      <w:szCs w:val="22"/>
    </w:rPr>
  </w:style>
  <w:style w:type="character" w:customStyle="1" w:styleId="CoverheadingChar">
    <w:name w:val="Cover heading Char"/>
    <w:basedOn w:val="DefaultParagraphFont"/>
    <w:link w:val="Coverheading"/>
    <w:rsid w:val="009D1D34"/>
    <w:rPr>
      <w:rFonts w:ascii="Helvetica" w:eastAsiaTheme="minorHAnsi" w:hAnsi="Helvetica"/>
      <w:color w:val="263746"/>
      <w:sz w:val="60"/>
      <w:szCs w:val="22"/>
      <w:lang w:eastAsia="en-US"/>
    </w:rPr>
  </w:style>
  <w:style w:type="paragraph" w:customStyle="1" w:styleId="CalloutItalic">
    <w:name w:val="Callout Italic"/>
    <w:basedOn w:val="Calloutbox"/>
    <w:link w:val="CalloutItalicChar"/>
    <w:qFormat/>
    <w:rsid w:val="00D72DFB"/>
    <w:pPr>
      <w:contextualSpacing w:val="0"/>
    </w:pPr>
    <w:rPr>
      <w:i/>
    </w:rPr>
  </w:style>
  <w:style w:type="paragraph" w:customStyle="1" w:styleId="Calloutbullet">
    <w:name w:val="Callout bullet"/>
    <w:basedOn w:val="Calloutbox"/>
    <w:qFormat/>
    <w:rsid w:val="00D72DFB"/>
    <w:pPr>
      <w:numPr>
        <w:numId w:val="7"/>
      </w:numPr>
      <w:ind w:left="1080"/>
    </w:pPr>
  </w:style>
  <w:style w:type="character" w:customStyle="1" w:styleId="CalloutItalicChar">
    <w:name w:val="Callout Italic Char"/>
    <w:basedOn w:val="CalloutboxChar"/>
    <w:link w:val="CalloutItalic"/>
    <w:rsid w:val="00D72DFB"/>
    <w:rPr>
      <w:rFonts w:ascii="Arial" w:eastAsiaTheme="minorHAnsi" w:hAnsi="Arial"/>
      <w:i/>
      <w:sz w:val="22"/>
      <w:szCs w:val="22"/>
      <w:shd w:val="clear" w:color="auto" w:fill="DDDDDD"/>
      <w:lang w:eastAsia="en-US"/>
    </w:rPr>
  </w:style>
  <w:style w:type="paragraph" w:styleId="Revision">
    <w:name w:val="Revision"/>
    <w:hidden/>
    <w:uiPriority w:val="99"/>
    <w:semiHidden/>
    <w:rsid w:val="000F2C32"/>
    <w:rPr>
      <w:rFonts w:ascii="Arial" w:hAnsi="Arial" w:cs="Arial"/>
      <w:sz w:val="22"/>
      <w:szCs w:val="24"/>
      <w:lang w:eastAsia="en-US"/>
    </w:rPr>
  </w:style>
  <w:style w:type="paragraph" w:customStyle="1" w:styleId="CalloutBullet0">
    <w:name w:val="Callout Bullet"/>
    <w:basedOn w:val="CalloutItalic"/>
    <w:link w:val="CalloutBulletChar"/>
    <w:qFormat/>
    <w:rsid w:val="000B2B8E"/>
    <w:pPr>
      <w:numPr>
        <w:numId w:val="8"/>
      </w:numPr>
      <w:ind w:left="709" w:hanging="425"/>
    </w:pPr>
    <w:rPr>
      <w:i w:val="0"/>
    </w:rPr>
  </w:style>
  <w:style w:type="character" w:customStyle="1" w:styleId="CalloutBulletChar">
    <w:name w:val="Callout Bullet Char"/>
    <w:basedOn w:val="CalloutItalicChar"/>
    <w:link w:val="CalloutBullet0"/>
    <w:rsid w:val="000B2B8E"/>
    <w:rPr>
      <w:rFonts w:ascii="Arial" w:eastAsiaTheme="minorHAnsi" w:hAnsi="Arial"/>
      <w:i w:val="0"/>
      <w:sz w:val="22"/>
      <w:szCs w:val="22"/>
      <w:shd w:val="clear" w:color="auto" w:fill="DDDDDD"/>
      <w:lang w:eastAsia="en-US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E329A6"/>
    <w:rPr>
      <w:rFonts w:ascii="Arial" w:hAnsi="Arial" w:cs="Arial"/>
      <w:sz w:val="22"/>
      <w:szCs w:val="24"/>
      <w:lang w:eastAsia="en-US"/>
    </w:rPr>
  </w:style>
  <w:style w:type="paragraph" w:customStyle="1" w:styleId="Footnotes">
    <w:name w:val="Footnotes"/>
    <w:basedOn w:val="FootnoteText"/>
    <w:qFormat/>
    <w:rsid w:val="00E329A6"/>
    <w:pPr>
      <w:spacing w:line="240" w:lineRule="auto"/>
    </w:pPr>
    <w:rPr>
      <w:sz w:val="18"/>
      <w:szCs w:val="16"/>
    </w:rPr>
  </w:style>
  <w:style w:type="paragraph" w:customStyle="1" w:styleId="Default">
    <w:name w:val="Default"/>
    <w:rsid w:val="008B21D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55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even.ronson@fwo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edia@fwo.gov.a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6A52-2411-433C-9289-B7E55AC6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11743699.dotm</Template>
  <TotalTime>0</TotalTime>
  <Pages>9</Pages>
  <Words>1544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2019-06-12T06:22:00Z</dcterms:created>
  <dcterms:modified xsi:type="dcterms:W3CDTF">2019-06-12T06:22:00Z</dcterms:modified>
</cp:coreProperties>
</file>