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5592" w14:textId="31180725" w:rsidR="007B043E" w:rsidRDefault="00014C04" w:rsidP="002A65CC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34F8E7D" wp14:editId="57A41C04">
            <wp:simplePos x="0" y="0"/>
            <wp:positionH relativeFrom="page">
              <wp:posOffset>12065</wp:posOffset>
            </wp:positionH>
            <wp:positionV relativeFrom="paragraph">
              <wp:posOffset>-979008</wp:posOffset>
            </wp:positionV>
            <wp:extent cx="7548765" cy="10677852"/>
            <wp:effectExtent l="0" t="0" r="0" b="0"/>
            <wp:wrapNone/>
            <wp:docPr id="2" name="Picture 2" descr="Infographic outlining findings and outcomes of Combined Campaigns Compliance Report. $985,909 recovered for 2325 employees from 498 businesses." title="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-report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65" cy="1067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CB50E" w14:textId="79020371" w:rsidR="00174429" w:rsidRDefault="00174429" w:rsidP="002A65CC"/>
    <w:p w14:paraId="517F4337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B1A949C" w14:textId="140C455B" w:rsidR="00AF74D9" w:rsidRPr="009C4EEF" w:rsidRDefault="0014201D" w:rsidP="00FD7C4E">
      <w:pPr>
        <w:pStyle w:val="Heading1"/>
      </w:pPr>
      <w:r>
        <w:lastRenderedPageBreak/>
        <w:t xml:space="preserve">Combined </w:t>
      </w:r>
      <w:r w:rsidR="00333193">
        <w:t>Campaigns</w:t>
      </w:r>
      <w:r w:rsidR="003B5656">
        <w:t xml:space="preserve"> </w:t>
      </w:r>
      <w:r>
        <w:t xml:space="preserve">Compliance </w:t>
      </w:r>
      <w:r w:rsidR="005D5A92">
        <w:t>Report</w:t>
      </w:r>
      <w:r w:rsidR="00AF74D9" w:rsidRPr="009C4EEF">
        <w:tab/>
      </w:r>
    </w:p>
    <w:p w14:paraId="15C3D2D5" w14:textId="77777777" w:rsidR="00AF74D9" w:rsidRDefault="005D5A92" w:rsidP="00AF74D9">
      <w:pPr>
        <w:pStyle w:val="Heading2"/>
      </w:pPr>
      <w:r>
        <w:t>What we did and why</w:t>
      </w:r>
    </w:p>
    <w:p w14:paraId="63CBE377" w14:textId="17D24606" w:rsidR="003B5656" w:rsidRDefault="00F9725F" w:rsidP="00AD4CF6">
      <w:r>
        <w:t xml:space="preserve">Between July 2017 and November </w:t>
      </w:r>
      <w:r w:rsidR="003B5656">
        <w:t>2018, t</w:t>
      </w:r>
      <w:r w:rsidR="000B7D1C">
        <w:t xml:space="preserve">he Fair Work Ombudsman </w:t>
      </w:r>
      <w:r w:rsidR="00AD4CF6">
        <w:t xml:space="preserve">(FWO) </w:t>
      </w:r>
      <w:r w:rsidR="009830B4">
        <w:t xml:space="preserve">conducted </w:t>
      </w:r>
      <w:r w:rsidR="003B5656">
        <w:t xml:space="preserve">1786 </w:t>
      </w:r>
      <w:r w:rsidR="0007401F">
        <w:t xml:space="preserve">audits </w:t>
      </w:r>
      <w:r w:rsidR="00810E0C">
        <w:t xml:space="preserve">of </w:t>
      </w:r>
      <w:r w:rsidR="0007401F">
        <w:t xml:space="preserve">businesses </w:t>
      </w:r>
      <w:r w:rsidR="007A6D98">
        <w:t>operating in a range industries</w:t>
      </w:r>
      <w:r w:rsidR="00333193">
        <w:t xml:space="preserve"> and regions </w:t>
      </w:r>
      <w:r w:rsidR="003B5656">
        <w:t>across</w:t>
      </w:r>
      <w:r w:rsidR="00810E0C">
        <w:t xml:space="preserve"> </w:t>
      </w:r>
      <w:r w:rsidR="00333193">
        <w:t>Australia</w:t>
      </w:r>
      <w:r w:rsidR="003B5656">
        <w:t>:</w:t>
      </w:r>
    </w:p>
    <w:p w14:paraId="42BED168" w14:textId="4BBB3C11" w:rsidR="003B5656" w:rsidRDefault="00CE6883" w:rsidP="000A45F4">
      <w:pPr>
        <w:pStyle w:val="Bullet"/>
      </w:pPr>
      <w:proofErr w:type="spellStart"/>
      <w:r>
        <w:t>Fleurieu</w:t>
      </w:r>
      <w:proofErr w:type="spellEnd"/>
      <w:r>
        <w:t xml:space="preserve">-Kangaroo Island, Limestone Coast and Murray-Mallee regions of </w:t>
      </w:r>
      <w:r w:rsidR="005D5A92" w:rsidRPr="006D19EE">
        <w:t>South-East South Australia</w:t>
      </w:r>
      <w:r w:rsidR="00732D91">
        <w:t xml:space="preserve"> (201)</w:t>
      </w:r>
    </w:p>
    <w:p w14:paraId="74A3609E" w14:textId="4B908A8D" w:rsidR="003B5656" w:rsidRDefault="00732D91" w:rsidP="003B5656">
      <w:pPr>
        <w:pStyle w:val="Bullet"/>
      </w:pPr>
      <w:r>
        <w:t xml:space="preserve">Launceston and </w:t>
      </w:r>
      <w:r w:rsidR="005D5A92" w:rsidRPr="006D19EE">
        <w:t>North</w:t>
      </w:r>
      <w:r w:rsidR="00371024">
        <w:t>-</w:t>
      </w:r>
      <w:r w:rsidR="005D5A92" w:rsidRPr="006D19EE">
        <w:t>East Tasmania</w:t>
      </w:r>
      <w:r>
        <w:t xml:space="preserve"> (55)</w:t>
      </w:r>
    </w:p>
    <w:p w14:paraId="2A65BF61" w14:textId="175F2359" w:rsidR="003B5656" w:rsidRDefault="000B7D1C" w:rsidP="003B5656">
      <w:pPr>
        <w:pStyle w:val="Bullet"/>
      </w:pPr>
      <w:r>
        <w:t xml:space="preserve">the </w:t>
      </w:r>
      <w:r w:rsidR="005D5A92" w:rsidRPr="006D19EE">
        <w:t>Inner-Eastern suburbs of Melbourne</w:t>
      </w:r>
      <w:r w:rsidR="00810E0C">
        <w:t xml:space="preserve"> </w:t>
      </w:r>
      <w:r w:rsidR="00732D91">
        <w:t>(266)</w:t>
      </w:r>
    </w:p>
    <w:p w14:paraId="45F19A9B" w14:textId="3BD9FDAD" w:rsidR="003B5656" w:rsidRDefault="003B5656" w:rsidP="003B5656">
      <w:pPr>
        <w:pStyle w:val="Bullet"/>
      </w:pPr>
      <w:r w:rsidRPr="00906409">
        <w:t>New England</w:t>
      </w:r>
      <w:r w:rsidR="00CE7A1A">
        <w:t xml:space="preserve"> and </w:t>
      </w:r>
      <w:r w:rsidR="008A2053">
        <w:t>North-</w:t>
      </w:r>
      <w:r w:rsidR="00732D91">
        <w:t>West</w:t>
      </w:r>
      <w:r w:rsidR="00CE7A1A">
        <w:t xml:space="preserve"> and the </w:t>
      </w:r>
      <w:r w:rsidRPr="00906409">
        <w:t>Northern Rivers regions of New South Wales</w:t>
      </w:r>
      <w:r w:rsidR="00732D91">
        <w:t xml:space="preserve"> (860)</w:t>
      </w:r>
    </w:p>
    <w:p w14:paraId="14971273" w14:textId="07873345" w:rsidR="00732D91" w:rsidRDefault="00732D91" w:rsidP="003B5656">
      <w:pPr>
        <w:pStyle w:val="Bullet"/>
      </w:pPr>
      <w:r>
        <w:t xml:space="preserve">outer-Western </w:t>
      </w:r>
      <w:r w:rsidR="00CE7A1A">
        <w:t xml:space="preserve">Sydney and the Blue Mountains in NSW </w:t>
      </w:r>
      <w:r>
        <w:t>(375)</w:t>
      </w:r>
    </w:p>
    <w:p w14:paraId="62FB3089" w14:textId="602207EE" w:rsidR="003B5656" w:rsidRDefault="003B5656" w:rsidP="003B5656">
      <w:pPr>
        <w:pStyle w:val="Bullet"/>
      </w:pPr>
      <w:proofErr w:type="gramStart"/>
      <w:r w:rsidRPr="00906409">
        <w:t>the</w:t>
      </w:r>
      <w:proofErr w:type="gramEnd"/>
      <w:r w:rsidRPr="00906409">
        <w:t xml:space="preserve"> Toowoomba region of Queensland</w:t>
      </w:r>
      <w:r w:rsidR="00732D91">
        <w:t xml:space="preserve"> (29)</w:t>
      </w:r>
      <w:r w:rsidR="005D5A92" w:rsidRPr="006D19EE">
        <w:t>.</w:t>
      </w:r>
    </w:p>
    <w:p w14:paraId="21397686" w14:textId="63E58E92" w:rsidR="009830B4" w:rsidRDefault="009830B4" w:rsidP="00AD4CF6">
      <w:r>
        <w:t xml:space="preserve">We </w:t>
      </w:r>
      <w:r w:rsidR="003B5656">
        <w:t xml:space="preserve">selected areas based on </w:t>
      </w:r>
      <w:r w:rsidR="00F94C5E" w:rsidRPr="00166274">
        <w:t xml:space="preserve">internal and external </w:t>
      </w:r>
      <w:r>
        <w:t xml:space="preserve">data </w:t>
      </w:r>
      <w:r w:rsidR="00F94C5E" w:rsidRPr="00166274">
        <w:t xml:space="preserve">indicating </w:t>
      </w:r>
      <w:r>
        <w:t xml:space="preserve">potentially </w:t>
      </w:r>
      <w:r w:rsidR="00F94C5E" w:rsidRPr="00166274">
        <w:t>high levels of non-compliance</w:t>
      </w:r>
      <w:r w:rsidR="003B5656">
        <w:t>, including</w:t>
      </w:r>
      <w:r>
        <w:t>:</w:t>
      </w:r>
    </w:p>
    <w:p w14:paraId="1AFA7436" w14:textId="145186A0" w:rsidR="009830B4" w:rsidRPr="009830B4" w:rsidRDefault="003B5656" w:rsidP="009830B4">
      <w:pPr>
        <w:pStyle w:val="Bullet"/>
        <w:rPr>
          <w:rStyle w:val="Hyperlink"/>
          <w:rFonts w:asciiTheme="minorHAnsi" w:hAnsiTheme="minorHAnsi" w:cs="Arial"/>
          <w:color w:val="auto"/>
          <w:u w:val="none"/>
        </w:rPr>
      </w:pPr>
      <w:r>
        <w:rPr>
          <w:rStyle w:val="Hyperlink"/>
          <w:rFonts w:asciiTheme="minorHAnsi" w:hAnsiTheme="minorHAnsi" w:cs="Arial"/>
          <w:color w:val="auto"/>
          <w:u w:val="none"/>
        </w:rPr>
        <w:t xml:space="preserve">volume of 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>disputes lodged with the FWO</w:t>
      </w:r>
    </w:p>
    <w:p w14:paraId="1548EBA6" w14:textId="2988FCF2" w:rsidR="009830B4" w:rsidRPr="009830B4" w:rsidRDefault="003B5656" w:rsidP="009830B4">
      <w:pPr>
        <w:pStyle w:val="Bullet"/>
        <w:rPr>
          <w:rStyle w:val="Hyperlink"/>
          <w:rFonts w:asciiTheme="minorHAnsi" w:hAnsiTheme="minorHAnsi" w:cs="Arial"/>
          <w:color w:val="auto"/>
          <w:u w:val="none"/>
        </w:rPr>
      </w:pPr>
      <w:r>
        <w:rPr>
          <w:rStyle w:val="Hyperlink"/>
          <w:rFonts w:asciiTheme="minorHAnsi" w:hAnsiTheme="minorHAnsi" w:cs="Arial"/>
          <w:color w:val="auto"/>
          <w:u w:val="none"/>
        </w:rPr>
        <w:t xml:space="preserve">incidence of 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 xml:space="preserve">vulnerable workers, including those from </w:t>
      </w:r>
      <w:r w:rsidR="009830B4">
        <w:rPr>
          <w:rStyle w:val="Hyperlink"/>
          <w:rFonts w:asciiTheme="minorHAnsi" w:hAnsiTheme="minorHAnsi" w:cs="Arial"/>
          <w:color w:val="auto"/>
          <w:u w:val="none"/>
        </w:rPr>
        <w:t xml:space="preserve">culturally and linguistically diverse 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>backgrounds</w:t>
      </w:r>
      <w:r w:rsidR="009830B4">
        <w:rPr>
          <w:rStyle w:val="Hyperlink"/>
          <w:rFonts w:asciiTheme="minorHAnsi" w:hAnsiTheme="minorHAnsi" w:cs="Arial"/>
          <w:color w:val="auto"/>
          <w:u w:val="none"/>
        </w:rPr>
        <w:t xml:space="preserve"> (CALD)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 xml:space="preserve">, young </w:t>
      </w:r>
      <w:r w:rsidR="00810E0C">
        <w:rPr>
          <w:rStyle w:val="Hyperlink"/>
          <w:rFonts w:asciiTheme="minorHAnsi" w:hAnsiTheme="minorHAnsi" w:cs="Arial"/>
          <w:color w:val="auto"/>
          <w:u w:val="none"/>
        </w:rPr>
        <w:t xml:space="preserve">/ mature-age 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>workers</w:t>
      </w:r>
      <w:r w:rsidR="00810E0C">
        <w:rPr>
          <w:rStyle w:val="Hyperlink"/>
          <w:rFonts w:asciiTheme="minorHAnsi" w:hAnsiTheme="minorHAnsi" w:cs="Arial"/>
          <w:color w:val="auto"/>
          <w:u w:val="none"/>
        </w:rPr>
        <w:t>, temporary migrants, students / apprentices /trainees,</w:t>
      </w:r>
      <w:r w:rsidR="009830B4" w:rsidRPr="009830B4">
        <w:rPr>
          <w:rStyle w:val="Hyperlink"/>
          <w:rFonts w:asciiTheme="minorHAnsi" w:hAnsiTheme="minorHAnsi" w:cs="Arial"/>
          <w:color w:val="auto"/>
          <w:u w:val="none"/>
        </w:rPr>
        <w:t xml:space="preserve"> and low-skilled work</w:t>
      </w:r>
      <w:r w:rsidR="009830B4">
        <w:rPr>
          <w:rStyle w:val="Hyperlink"/>
          <w:rFonts w:asciiTheme="minorHAnsi" w:hAnsiTheme="minorHAnsi" w:cs="Arial"/>
          <w:color w:val="auto"/>
          <w:u w:val="none"/>
        </w:rPr>
        <w:t>ers</w:t>
      </w:r>
    </w:p>
    <w:p w14:paraId="6EDDF7BF" w14:textId="24A6D96E" w:rsidR="009830B4" w:rsidRPr="009830B4" w:rsidRDefault="009830B4" w:rsidP="009830B4">
      <w:pPr>
        <w:pStyle w:val="Bullet"/>
        <w:rPr>
          <w:rStyle w:val="Hyperlink"/>
          <w:rFonts w:asciiTheme="minorHAnsi" w:hAnsiTheme="minorHAnsi" w:cs="Arial"/>
          <w:color w:val="auto"/>
          <w:u w:val="none"/>
        </w:rPr>
      </w:pPr>
      <w:proofErr w:type="gramStart"/>
      <w:r>
        <w:rPr>
          <w:rStyle w:val="Hyperlink"/>
          <w:rFonts w:asciiTheme="minorHAnsi" w:hAnsiTheme="minorHAnsi" w:cs="Arial"/>
          <w:color w:val="auto"/>
          <w:u w:val="none"/>
        </w:rPr>
        <w:t>concentration</w:t>
      </w:r>
      <w:proofErr w:type="gramEnd"/>
      <w:r>
        <w:rPr>
          <w:rStyle w:val="Hyperlink"/>
          <w:rFonts w:asciiTheme="minorHAnsi" w:hAnsiTheme="minorHAnsi" w:cs="Arial"/>
          <w:color w:val="auto"/>
          <w:u w:val="none"/>
        </w:rPr>
        <w:t xml:space="preserve"> </w:t>
      </w:r>
      <w:r w:rsidR="00371024">
        <w:rPr>
          <w:rStyle w:val="Hyperlink"/>
          <w:rFonts w:asciiTheme="minorHAnsi" w:hAnsiTheme="minorHAnsi" w:cs="Arial"/>
          <w:color w:val="auto"/>
          <w:u w:val="none"/>
        </w:rPr>
        <w:t xml:space="preserve">of </w:t>
      </w:r>
      <w:r w:rsidRPr="009830B4">
        <w:rPr>
          <w:rStyle w:val="Hyperlink"/>
          <w:rFonts w:asciiTheme="minorHAnsi" w:hAnsiTheme="minorHAnsi" w:cs="Arial"/>
          <w:color w:val="auto"/>
          <w:u w:val="none"/>
        </w:rPr>
        <w:t xml:space="preserve">hospitality </w:t>
      </w:r>
      <w:r>
        <w:rPr>
          <w:rStyle w:val="Hyperlink"/>
          <w:rFonts w:asciiTheme="minorHAnsi" w:hAnsiTheme="minorHAnsi" w:cs="Arial"/>
          <w:color w:val="auto"/>
          <w:u w:val="none"/>
        </w:rPr>
        <w:t>businesses</w:t>
      </w:r>
      <w:r w:rsidR="00810E0C" w:rsidRPr="00810E0C">
        <w:t xml:space="preserve"> </w:t>
      </w:r>
      <w:r w:rsidR="00810E0C">
        <w:t>(the fast food, restaurant and cafés (FRAC) sub-sector a key priority for the FWO</w:t>
      </w:r>
      <w:r w:rsidR="00810E0C">
        <w:rPr>
          <w:rStyle w:val="FootnoteReference"/>
        </w:rPr>
        <w:footnoteReference w:id="2"/>
      </w:r>
      <w:r w:rsidR="00810E0C">
        <w:t>)</w:t>
      </w:r>
      <w:r>
        <w:rPr>
          <w:rStyle w:val="Hyperlink"/>
          <w:rFonts w:asciiTheme="minorHAnsi" w:hAnsiTheme="minorHAnsi" w:cs="Arial"/>
          <w:color w:val="auto"/>
          <w:u w:val="none"/>
        </w:rPr>
        <w:t>.</w:t>
      </w:r>
    </w:p>
    <w:p w14:paraId="661B5E2A" w14:textId="19CC07FF" w:rsidR="00CD049C" w:rsidRPr="001E0C0E" w:rsidRDefault="00AF0EAF" w:rsidP="00AD4CF6">
      <w:r w:rsidRPr="00013275">
        <w:t xml:space="preserve">Fair Work Inspectors </w:t>
      </w:r>
      <w:r w:rsidR="0007401F">
        <w:t xml:space="preserve">reviewed </w:t>
      </w:r>
      <w:r w:rsidRPr="00013275">
        <w:t>employment and payroll records, interviewed employers, managers and workers and observed work practi</w:t>
      </w:r>
      <w:r w:rsidR="007A6D98">
        <w:t>s</w:t>
      </w:r>
      <w:r w:rsidRPr="00013275">
        <w:t xml:space="preserve">es. </w:t>
      </w:r>
      <w:r w:rsidR="00CD049C" w:rsidRPr="00AD4CF6">
        <w:t>Pay slip</w:t>
      </w:r>
      <w:r w:rsidR="00CD049C" w:rsidRPr="00752E5E">
        <w:t xml:space="preserve"> and record-keeping practises were assessed against the requirements of the </w:t>
      </w:r>
      <w:r w:rsidR="00CD049C" w:rsidRPr="00752E5E">
        <w:rPr>
          <w:i/>
        </w:rPr>
        <w:t>Fair Work Act 2009</w:t>
      </w:r>
      <w:r w:rsidR="00CD049C" w:rsidRPr="00013275">
        <w:t xml:space="preserve"> (the Act), the </w:t>
      </w:r>
      <w:r w:rsidR="00CD049C" w:rsidRPr="00752E5E">
        <w:rPr>
          <w:i/>
        </w:rPr>
        <w:t>Fair Work Regulations 2009</w:t>
      </w:r>
      <w:r w:rsidR="00CD049C" w:rsidRPr="00013275">
        <w:t xml:space="preserve"> (the Regulations), and applicable awards or registered agreements. </w:t>
      </w:r>
    </w:p>
    <w:p w14:paraId="581B0E97" w14:textId="77777777" w:rsidR="00CE6883" w:rsidRDefault="00CE6883">
      <w:pPr>
        <w:spacing w:after="0" w:line="240" w:lineRule="auto"/>
        <w:rPr>
          <w:b/>
          <w:color w:val="1B365D"/>
          <w:sz w:val="32"/>
        </w:rPr>
      </w:pPr>
      <w:r>
        <w:br w:type="page"/>
      </w:r>
    </w:p>
    <w:p w14:paraId="1FA0EDEE" w14:textId="7BA084FE" w:rsidR="00F94C5E" w:rsidRDefault="00F94C5E" w:rsidP="00F94C5E">
      <w:pPr>
        <w:pStyle w:val="Heading2"/>
      </w:pPr>
      <w:r>
        <w:lastRenderedPageBreak/>
        <w:t>Our findings</w:t>
      </w:r>
    </w:p>
    <w:p w14:paraId="7BD4853F" w14:textId="7CB48869" w:rsidR="00F94C5E" w:rsidRPr="000B2A24" w:rsidRDefault="00732D91" w:rsidP="009830B4">
      <w:pPr>
        <w:pStyle w:val="Bullet"/>
        <w:numPr>
          <w:ilvl w:val="0"/>
          <w:numId w:val="0"/>
        </w:numPr>
      </w:pPr>
      <w:proofErr w:type="gramStart"/>
      <w:r>
        <w:t>1000</w:t>
      </w:r>
      <w:proofErr w:type="gramEnd"/>
      <w:r w:rsidR="00F94C5E" w:rsidRPr="000B2A24">
        <w:t xml:space="preserve"> </w:t>
      </w:r>
      <w:r w:rsidR="0007401F" w:rsidRPr="000B2A24">
        <w:t xml:space="preserve">businesses </w:t>
      </w:r>
      <w:r w:rsidR="00F94C5E" w:rsidRPr="000B2A24">
        <w:t>(</w:t>
      </w:r>
      <w:r>
        <w:t>56%</w:t>
      </w:r>
      <w:r w:rsidR="00F94C5E" w:rsidRPr="000B2A24">
        <w:t>) were in breach of</w:t>
      </w:r>
      <w:r w:rsidR="00F87CD3" w:rsidRPr="000B2A24">
        <w:t xml:space="preserve"> </w:t>
      </w:r>
      <w:r w:rsidR="00F94C5E" w:rsidRPr="000B2A24">
        <w:t>workplace law</w:t>
      </w:r>
      <w:r w:rsidR="0007401F" w:rsidRPr="000B2A24">
        <w:t>s</w:t>
      </w:r>
      <w:r w:rsidR="00333193">
        <w:t>:</w:t>
      </w:r>
    </w:p>
    <w:p w14:paraId="11D53D63" w14:textId="7F2030E9" w:rsidR="00732D91" w:rsidRDefault="00732D91" w:rsidP="00732D91">
      <w:pPr>
        <w:pStyle w:val="Bullet"/>
      </w:pPr>
      <w:r>
        <w:t>401</w:t>
      </w:r>
      <w:r w:rsidRPr="000B2A24">
        <w:t xml:space="preserve"> (</w:t>
      </w:r>
      <w:r w:rsidR="006139FB">
        <w:t>22</w:t>
      </w:r>
      <w:r w:rsidRPr="000B2A24">
        <w:t xml:space="preserve">%) </w:t>
      </w:r>
      <w:r>
        <w:t>failed to pay employees correctly</w:t>
      </w:r>
    </w:p>
    <w:p w14:paraId="527F0E77" w14:textId="345C293C" w:rsidR="00732D91" w:rsidRPr="000B2A24" w:rsidRDefault="006139FB" w:rsidP="00732D91">
      <w:pPr>
        <w:pStyle w:val="Bullet"/>
      </w:pPr>
      <w:r>
        <w:t>374</w:t>
      </w:r>
      <w:r w:rsidR="00732D91" w:rsidRPr="000B2A24">
        <w:t xml:space="preserve"> (</w:t>
      </w:r>
      <w:r>
        <w:t>21</w:t>
      </w:r>
      <w:r w:rsidR="00732D91" w:rsidRPr="000B2A24">
        <w:t xml:space="preserve">%) </w:t>
      </w:r>
      <w:r>
        <w:t xml:space="preserve">were </w:t>
      </w:r>
      <w:r w:rsidR="00732D91" w:rsidRPr="000B2A24">
        <w:t>non-compliant with pay</w:t>
      </w:r>
      <w:r>
        <w:t xml:space="preserve"> </w:t>
      </w:r>
      <w:r w:rsidR="00732D91" w:rsidRPr="000B2A24">
        <w:t xml:space="preserve">slip </w:t>
      </w:r>
      <w:r w:rsidR="00791AB0">
        <w:t>and record-keeping requirements</w:t>
      </w:r>
    </w:p>
    <w:p w14:paraId="7F68A1BF" w14:textId="240190C2" w:rsidR="000B2A24" w:rsidRPr="000B2A24" w:rsidRDefault="000B2A24" w:rsidP="00FB30A9">
      <w:pPr>
        <w:pStyle w:val="Bullet"/>
      </w:pPr>
      <w:proofErr w:type="gramStart"/>
      <w:r w:rsidRPr="000B2A24">
        <w:t>2</w:t>
      </w:r>
      <w:r w:rsidR="006139FB">
        <w:t>25</w:t>
      </w:r>
      <w:proofErr w:type="gramEnd"/>
      <w:r w:rsidRPr="000B2A24">
        <w:t xml:space="preserve"> (</w:t>
      </w:r>
      <w:r w:rsidR="006139FB">
        <w:t>13</w:t>
      </w:r>
      <w:r w:rsidRPr="000B2A24">
        <w:t xml:space="preserve">%) </w:t>
      </w:r>
      <w:r w:rsidR="006139FB">
        <w:t xml:space="preserve">had </w:t>
      </w:r>
      <w:r w:rsidRPr="000B2A24">
        <w:t>breach</w:t>
      </w:r>
      <w:r w:rsidR="006139FB">
        <w:t>ed</w:t>
      </w:r>
      <w:r w:rsidRPr="000B2A24">
        <w:t xml:space="preserve"> both their monetary and non-monetary obligations</w:t>
      </w:r>
      <w:r w:rsidR="006139FB">
        <w:t>.</w:t>
      </w:r>
    </w:p>
    <w:p w14:paraId="7E84F129" w14:textId="77777777" w:rsidR="001C7CFE" w:rsidRPr="007729B7" w:rsidRDefault="001C7CFE" w:rsidP="001C7CFE">
      <w:r w:rsidRPr="007729B7">
        <w:t>The most common breaches identified were:</w:t>
      </w:r>
    </w:p>
    <w:p w14:paraId="4D24BD43" w14:textId="77777777" w:rsidR="001C7CFE" w:rsidRPr="00013275" w:rsidRDefault="001C7CFE" w:rsidP="001C7CFE">
      <w:pPr>
        <w:pStyle w:val="Bullet"/>
      </w:pPr>
      <w:proofErr w:type="gramStart"/>
      <w:r w:rsidRPr="00013275">
        <w:t>failure</w:t>
      </w:r>
      <w:proofErr w:type="gramEnd"/>
      <w:r w:rsidRPr="00013275">
        <w:t xml:space="preserve"> to provide pay slip</w:t>
      </w:r>
      <w:r>
        <w:t>s</w:t>
      </w:r>
      <w:r w:rsidRPr="00013275">
        <w:t xml:space="preserve"> as per</w:t>
      </w:r>
      <w:r>
        <w:t xml:space="preserve"> the </w:t>
      </w:r>
      <w:r w:rsidRPr="00013275">
        <w:t>Act and Regulations (3</w:t>
      </w:r>
      <w:r>
        <w:t>4</w:t>
      </w:r>
      <w:r w:rsidRPr="00013275">
        <w:t>%)</w:t>
      </w:r>
    </w:p>
    <w:p w14:paraId="157D877D" w14:textId="77777777" w:rsidR="001C7CFE" w:rsidRPr="00013275" w:rsidRDefault="001C7CFE" w:rsidP="001C7CFE">
      <w:pPr>
        <w:pStyle w:val="Bullet"/>
      </w:pPr>
      <w:proofErr w:type="gramStart"/>
      <w:r w:rsidRPr="00013275">
        <w:t>underpaymen</w:t>
      </w:r>
      <w:r>
        <w:t>t</w:t>
      </w:r>
      <w:proofErr w:type="gramEnd"/>
      <w:r>
        <w:t xml:space="preserve"> of the minimum hourly rate (32</w:t>
      </w:r>
      <w:r w:rsidRPr="00013275">
        <w:t>%)</w:t>
      </w:r>
    </w:p>
    <w:p w14:paraId="0BC37937" w14:textId="77777777" w:rsidR="001C7CFE" w:rsidRPr="0007401F" w:rsidRDefault="001C7CFE" w:rsidP="001C7CFE">
      <w:pPr>
        <w:pStyle w:val="Bullet"/>
        <w:rPr>
          <w:rFonts w:cstheme="minorHAnsi"/>
        </w:rPr>
      </w:pPr>
      <w:proofErr w:type="gramStart"/>
      <w:r w:rsidRPr="00013275">
        <w:t>non-pay</w:t>
      </w:r>
      <w:r>
        <w:t>ment</w:t>
      </w:r>
      <w:proofErr w:type="gramEnd"/>
      <w:r>
        <w:t xml:space="preserve"> of weekend/shift penalty rates (13</w:t>
      </w:r>
      <w:r w:rsidRPr="00013275">
        <w:t>%).</w:t>
      </w:r>
    </w:p>
    <w:p w14:paraId="650DEC4C" w14:textId="77777777" w:rsidR="001C7CFE" w:rsidRPr="0035400D" w:rsidRDefault="001C7CFE" w:rsidP="001C7CFE">
      <w:pPr>
        <w:rPr>
          <w:rFonts w:cstheme="minorHAnsi"/>
        </w:rPr>
      </w:pPr>
      <w:r>
        <w:rPr>
          <w:rFonts w:cstheme="minorHAnsi"/>
        </w:rPr>
        <w:t>Some of the r</w:t>
      </w:r>
      <w:r w:rsidRPr="0035400D">
        <w:rPr>
          <w:rFonts w:cstheme="minorHAnsi"/>
        </w:rPr>
        <w:t>easons for non-compliance given by employers</w:t>
      </w:r>
      <w:r>
        <w:rPr>
          <w:rFonts w:cstheme="minorHAnsi"/>
        </w:rPr>
        <w:t xml:space="preserve"> included</w:t>
      </w:r>
      <w:r w:rsidRPr="0035400D">
        <w:rPr>
          <w:rFonts w:cstheme="minorHAnsi"/>
        </w:rPr>
        <w:t>:</w:t>
      </w:r>
    </w:p>
    <w:p w14:paraId="622F1E16" w14:textId="77777777" w:rsidR="001C7CFE" w:rsidRPr="00013275" w:rsidRDefault="001C7CFE" w:rsidP="001C7CFE">
      <w:pPr>
        <w:pStyle w:val="Bullet"/>
      </w:pPr>
      <w:r w:rsidRPr="00013275">
        <w:t>6</w:t>
      </w:r>
      <w:r>
        <w:t>9</w:t>
      </w:r>
      <w:r w:rsidRPr="00013275">
        <w:t xml:space="preserve">% unaware of all </w:t>
      </w:r>
      <w:r>
        <w:t xml:space="preserve">their </w:t>
      </w:r>
      <w:r w:rsidRPr="00013275">
        <w:t>obligations</w:t>
      </w:r>
    </w:p>
    <w:p w14:paraId="44A22335" w14:textId="77777777" w:rsidR="001C7CFE" w:rsidRPr="00013275" w:rsidRDefault="001C7CFE" w:rsidP="001C7CFE">
      <w:pPr>
        <w:pStyle w:val="Bullet"/>
      </w:pPr>
      <w:r>
        <w:t>11</w:t>
      </w:r>
      <w:r w:rsidRPr="00013275">
        <w:t>% misinterpreted award requirements</w:t>
      </w:r>
    </w:p>
    <w:p w14:paraId="1B2D93B4" w14:textId="77777777" w:rsidR="001C7CFE" w:rsidRDefault="001C7CFE" w:rsidP="001C7CFE">
      <w:pPr>
        <w:pStyle w:val="Bullet"/>
      </w:pPr>
      <w:proofErr w:type="gramStart"/>
      <w:r>
        <w:t>6</w:t>
      </w:r>
      <w:proofErr w:type="gramEnd"/>
      <w:r w:rsidRPr="00AF0EAF">
        <w:t>% missed the July annual wage increase</w:t>
      </w:r>
      <w:r>
        <w:t>.</w:t>
      </w:r>
    </w:p>
    <w:p w14:paraId="742115ED" w14:textId="2BD8B515" w:rsidR="006139FB" w:rsidRDefault="006139FB" w:rsidP="00013275">
      <w:r>
        <w:t>H</w:t>
      </w:r>
      <w:r w:rsidR="00F87CD3">
        <w:t xml:space="preserve">ospitality </w:t>
      </w:r>
      <w:r w:rsidR="00BB613F">
        <w:t xml:space="preserve">businesses </w:t>
      </w:r>
      <w:r>
        <w:t>had the highest non-compliance rate of all industry sectors at 64%.</w:t>
      </w:r>
      <w:r w:rsidR="00A1044D">
        <w:t xml:space="preserve"> </w:t>
      </w:r>
      <w:r w:rsidR="001C7CFE">
        <w:t>Non-c</w:t>
      </w:r>
      <w:r w:rsidR="00A1044D">
        <w:t xml:space="preserve">ompliance </w:t>
      </w:r>
      <w:r w:rsidR="001C7CFE">
        <w:t xml:space="preserve">rates </w:t>
      </w:r>
      <w:r w:rsidR="00A1044D">
        <w:t xml:space="preserve">by industry (for sectors where we audited 30 or more businesses) </w:t>
      </w:r>
      <w:proofErr w:type="gramStart"/>
      <w:r w:rsidR="00A1044D">
        <w:t>are shown</w:t>
      </w:r>
      <w:proofErr w:type="gramEnd"/>
      <w:r w:rsidR="00A1044D">
        <w:t xml:space="preserve"> below.</w:t>
      </w:r>
    </w:p>
    <w:p w14:paraId="2BC4F761" w14:textId="3B064EDE" w:rsidR="00A1044D" w:rsidRDefault="00A1044D" w:rsidP="00A1044D">
      <w:pPr>
        <w:pStyle w:val="Heading3"/>
        <w:spacing w:before="0"/>
      </w:pPr>
      <w:r>
        <w:lastRenderedPageBreak/>
        <w:t>Table 1. Compliance results by industry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3544"/>
      </w:tblGrid>
      <w:tr w:rsidR="001C7CFE" w:rsidRPr="00A1044D" w14:paraId="68AF8457" w14:textId="40871EA9" w:rsidTr="006659DD">
        <w:trPr>
          <w:tblHeader/>
        </w:trPr>
        <w:tc>
          <w:tcPr>
            <w:tcW w:w="2263" w:type="dxa"/>
            <w:shd w:val="clear" w:color="auto" w:fill="DAEEF3" w:themeFill="accent5" w:themeFillTint="33"/>
          </w:tcPr>
          <w:p w14:paraId="06C97323" w14:textId="26C05605" w:rsidR="001C7CFE" w:rsidRPr="00A1044D" w:rsidRDefault="001C7CFE" w:rsidP="00A1044D">
            <w:pPr>
              <w:rPr>
                <w:b/>
                <w:sz w:val="18"/>
                <w:szCs w:val="18"/>
              </w:rPr>
            </w:pPr>
            <w:r w:rsidRPr="00A1044D">
              <w:rPr>
                <w:b/>
                <w:sz w:val="18"/>
                <w:szCs w:val="18"/>
              </w:rPr>
              <w:t>Industry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952B5D1" w14:textId="77777777" w:rsidR="001C7CFE" w:rsidRPr="00A1044D" w:rsidRDefault="001C7CFE" w:rsidP="001C7CFE">
            <w:pPr>
              <w:rPr>
                <w:b/>
                <w:sz w:val="18"/>
                <w:szCs w:val="18"/>
              </w:rPr>
            </w:pPr>
            <w:r w:rsidRPr="00A1044D">
              <w:rPr>
                <w:b/>
                <w:sz w:val="18"/>
                <w:szCs w:val="18"/>
              </w:rPr>
              <w:t>Total audits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516044A" w14:textId="77777777" w:rsidR="001C7CFE" w:rsidRPr="00A1044D" w:rsidRDefault="001C7CFE" w:rsidP="001C7CFE">
            <w:pPr>
              <w:rPr>
                <w:b/>
                <w:sz w:val="18"/>
                <w:szCs w:val="18"/>
              </w:rPr>
            </w:pPr>
            <w:r w:rsidRPr="00A1044D">
              <w:rPr>
                <w:b/>
                <w:sz w:val="18"/>
                <w:szCs w:val="18"/>
              </w:rPr>
              <w:t>Non-compliance rate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1AB00274" w14:textId="66D021B7" w:rsidR="001C7CFE" w:rsidRPr="00A1044D" w:rsidRDefault="001C7CFE" w:rsidP="001C7C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Monies recovered</w:t>
            </w:r>
          </w:p>
        </w:tc>
      </w:tr>
      <w:tr w:rsidR="001C7CFE" w:rsidRPr="00A1044D" w14:paraId="651B4EA6" w14:textId="32524E6E" w:rsidTr="006659DD">
        <w:trPr>
          <w:tblHeader/>
        </w:trPr>
        <w:tc>
          <w:tcPr>
            <w:tcW w:w="2263" w:type="dxa"/>
          </w:tcPr>
          <w:p w14:paraId="3074E861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Accommodation and Food Services</w:t>
            </w:r>
          </w:p>
        </w:tc>
        <w:tc>
          <w:tcPr>
            <w:tcW w:w="1134" w:type="dxa"/>
          </w:tcPr>
          <w:p w14:paraId="1003A4DD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576</w:t>
            </w:r>
          </w:p>
        </w:tc>
        <w:tc>
          <w:tcPr>
            <w:tcW w:w="1843" w:type="dxa"/>
          </w:tcPr>
          <w:p w14:paraId="76D85AAB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64%</w:t>
            </w:r>
          </w:p>
        </w:tc>
        <w:tc>
          <w:tcPr>
            <w:tcW w:w="3544" w:type="dxa"/>
          </w:tcPr>
          <w:p w14:paraId="1A728891" w14:textId="77777777" w:rsidR="00B746E5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$506,406 </w:t>
            </w:r>
          </w:p>
          <w:p w14:paraId="1A9793E7" w14:textId="7C91F28C" w:rsidR="001C7CFE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1464 employees from </w:t>
            </w:r>
            <w:r w:rsidR="006B1080"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277150C9" w14:textId="733ACDEB" w:rsidTr="006659DD">
        <w:trPr>
          <w:tblHeader/>
        </w:trPr>
        <w:tc>
          <w:tcPr>
            <w:tcW w:w="2263" w:type="dxa"/>
          </w:tcPr>
          <w:p w14:paraId="63A5324F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Wholesale Trade</w:t>
            </w:r>
          </w:p>
        </w:tc>
        <w:tc>
          <w:tcPr>
            <w:tcW w:w="1134" w:type="dxa"/>
          </w:tcPr>
          <w:p w14:paraId="5387F224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14:paraId="21612912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62%</w:t>
            </w:r>
          </w:p>
        </w:tc>
        <w:tc>
          <w:tcPr>
            <w:tcW w:w="3544" w:type="dxa"/>
          </w:tcPr>
          <w:p w14:paraId="40497248" w14:textId="3CE8E7AE" w:rsidR="001C7CFE" w:rsidRDefault="006B1080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$27,047</w:t>
            </w:r>
          </w:p>
          <w:p w14:paraId="31FAAD6D" w14:textId="51EDE38C" w:rsidR="00B746E5" w:rsidRPr="00A1044D" w:rsidRDefault="006B1080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 47</w:t>
            </w:r>
            <w:r w:rsidR="00B746E5">
              <w:rPr>
                <w:sz w:val="18"/>
                <w:szCs w:val="18"/>
              </w:rPr>
              <w:t xml:space="preserve"> employees from </w:t>
            </w:r>
            <w:r>
              <w:rPr>
                <w:sz w:val="18"/>
                <w:szCs w:val="18"/>
              </w:rPr>
              <w:t>23</w:t>
            </w:r>
            <w:r w:rsidR="00B746E5"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29E1F061" w14:textId="7AEFC7D8" w:rsidTr="006659DD">
        <w:trPr>
          <w:tblHeader/>
        </w:trPr>
        <w:tc>
          <w:tcPr>
            <w:tcW w:w="2263" w:type="dxa"/>
          </w:tcPr>
          <w:p w14:paraId="4135002B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Agriculture, Forestry and Fishing</w:t>
            </w:r>
          </w:p>
        </w:tc>
        <w:tc>
          <w:tcPr>
            <w:tcW w:w="1134" w:type="dxa"/>
          </w:tcPr>
          <w:p w14:paraId="29544099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14:paraId="203EF24B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57%</w:t>
            </w:r>
          </w:p>
        </w:tc>
        <w:tc>
          <w:tcPr>
            <w:tcW w:w="3544" w:type="dxa"/>
          </w:tcPr>
          <w:p w14:paraId="6377C078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$9152</w:t>
            </w:r>
          </w:p>
          <w:p w14:paraId="5BD2966A" w14:textId="336BD5C0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14 employees from </w:t>
            </w:r>
            <w:r w:rsidR="006B108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37EB7060" w14:textId="2B8D3BA2" w:rsidTr="006659DD">
        <w:trPr>
          <w:tblHeader/>
        </w:trPr>
        <w:tc>
          <w:tcPr>
            <w:tcW w:w="2263" w:type="dxa"/>
          </w:tcPr>
          <w:p w14:paraId="5BCF7781" w14:textId="1A165F7B" w:rsidR="001C7CFE" w:rsidRDefault="00E6204A" w:rsidP="00E6204A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c</w:t>
            </w:r>
            <w:r w:rsidR="001C7CFE" w:rsidRPr="00A1044D">
              <w:rPr>
                <w:sz w:val="18"/>
                <w:szCs w:val="18"/>
              </w:rPr>
              <w:t>onstruction</w:t>
            </w:r>
          </w:p>
        </w:tc>
        <w:tc>
          <w:tcPr>
            <w:tcW w:w="1134" w:type="dxa"/>
          </w:tcPr>
          <w:p w14:paraId="41286788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61893D0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56%</w:t>
            </w:r>
          </w:p>
        </w:tc>
        <w:tc>
          <w:tcPr>
            <w:tcW w:w="3544" w:type="dxa"/>
          </w:tcPr>
          <w:p w14:paraId="18FD4723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$38,895</w:t>
            </w:r>
          </w:p>
          <w:p w14:paraId="643572B1" w14:textId="11CE3927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39 employees from </w:t>
            </w:r>
            <w:r w:rsidR="006B108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47D1D658" w14:textId="620113BC" w:rsidTr="006659DD">
        <w:trPr>
          <w:tblHeader/>
        </w:trPr>
        <w:tc>
          <w:tcPr>
            <w:tcW w:w="2263" w:type="dxa"/>
          </w:tcPr>
          <w:p w14:paraId="5E42D63C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Rental, Hiring &amp; Real Estate Services</w:t>
            </w:r>
          </w:p>
        </w:tc>
        <w:tc>
          <w:tcPr>
            <w:tcW w:w="1134" w:type="dxa"/>
          </w:tcPr>
          <w:p w14:paraId="4521A0F3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14:paraId="36286C5C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53%</w:t>
            </w:r>
          </w:p>
        </w:tc>
        <w:tc>
          <w:tcPr>
            <w:tcW w:w="3544" w:type="dxa"/>
          </w:tcPr>
          <w:p w14:paraId="1F08476A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$15,077</w:t>
            </w:r>
          </w:p>
          <w:p w14:paraId="5E5F0124" w14:textId="29229C83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16 employees from </w:t>
            </w:r>
            <w:r w:rsidR="006B108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709B6C7C" w14:textId="5FBBDB6C" w:rsidTr="006659DD">
        <w:trPr>
          <w:tblHeader/>
        </w:trPr>
        <w:tc>
          <w:tcPr>
            <w:tcW w:w="2263" w:type="dxa"/>
          </w:tcPr>
          <w:p w14:paraId="5818CE66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Retail Trade</w:t>
            </w:r>
          </w:p>
        </w:tc>
        <w:tc>
          <w:tcPr>
            <w:tcW w:w="1134" w:type="dxa"/>
          </w:tcPr>
          <w:p w14:paraId="4AB3167D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437</w:t>
            </w:r>
          </w:p>
        </w:tc>
        <w:tc>
          <w:tcPr>
            <w:tcW w:w="1843" w:type="dxa"/>
          </w:tcPr>
          <w:p w14:paraId="5372A7C7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52%</w:t>
            </w:r>
          </w:p>
        </w:tc>
        <w:tc>
          <w:tcPr>
            <w:tcW w:w="3544" w:type="dxa"/>
          </w:tcPr>
          <w:p w14:paraId="155EA207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$154,680</w:t>
            </w:r>
          </w:p>
          <w:p w14:paraId="44DD9CCB" w14:textId="5359CB17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269 employees from </w:t>
            </w:r>
            <w:r w:rsidR="006B1080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03CB4D84" w14:textId="58C0C8BF" w:rsidTr="006659DD">
        <w:trPr>
          <w:tblHeader/>
        </w:trPr>
        <w:tc>
          <w:tcPr>
            <w:tcW w:w="2263" w:type="dxa"/>
          </w:tcPr>
          <w:p w14:paraId="159DC02B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Manufacturing</w:t>
            </w:r>
          </w:p>
        </w:tc>
        <w:tc>
          <w:tcPr>
            <w:tcW w:w="1134" w:type="dxa"/>
          </w:tcPr>
          <w:p w14:paraId="5FE1F37B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173</w:t>
            </w:r>
          </w:p>
        </w:tc>
        <w:tc>
          <w:tcPr>
            <w:tcW w:w="1843" w:type="dxa"/>
          </w:tcPr>
          <w:p w14:paraId="7A46A8EC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49%</w:t>
            </w:r>
          </w:p>
        </w:tc>
        <w:tc>
          <w:tcPr>
            <w:tcW w:w="3544" w:type="dxa"/>
          </w:tcPr>
          <w:p w14:paraId="548F4C63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$45,811</w:t>
            </w:r>
          </w:p>
          <w:p w14:paraId="76E21B87" w14:textId="129AD2FF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94 employees from </w:t>
            </w:r>
            <w:r w:rsidR="006B1080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57E0258B" w14:textId="72B92210" w:rsidTr="006659DD">
        <w:trPr>
          <w:tblHeader/>
        </w:trPr>
        <w:tc>
          <w:tcPr>
            <w:tcW w:w="2263" w:type="dxa"/>
          </w:tcPr>
          <w:p w14:paraId="29696419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Health and Social Assistance</w:t>
            </w:r>
          </w:p>
        </w:tc>
        <w:tc>
          <w:tcPr>
            <w:tcW w:w="1134" w:type="dxa"/>
          </w:tcPr>
          <w:p w14:paraId="4B31CDD3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227</w:t>
            </w:r>
          </w:p>
        </w:tc>
        <w:tc>
          <w:tcPr>
            <w:tcW w:w="1843" w:type="dxa"/>
          </w:tcPr>
          <w:p w14:paraId="50B20113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49%</w:t>
            </w:r>
          </w:p>
        </w:tc>
        <w:tc>
          <w:tcPr>
            <w:tcW w:w="3544" w:type="dxa"/>
          </w:tcPr>
          <w:p w14:paraId="16F5DA7E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$35,109</w:t>
            </w:r>
          </w:p>
          <w:p w14:paraId="435CA8CA" w14:textId="5A3520DF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156 employees from </w:t>
            </w:r>
            <w:r w:rsidR="006B108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  <w:tr w:rsidR="001C7CFE" w:rsidRPr="00A1044D" w14:paraId="342B6B32" w14:textId="002966B7" w:rsidTr="006659DD">
        <w:trPr>
          <w:tblHeader/>
        </w:trPr>
        <w:tc>
          <w:tcPr>
            <w:tcW w:w="2263" w:type="dxa"/>
          </w:tcPr>
          <w:p w14:paraId="4D0D3810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Other</w:t>
            </w:r>
          </w:p>
        </w:tc>
        <w:tc>
          <w:tcPr>
            <w:tcW w:w="1134" w:type="dxa"/>
          </w:tcPr>
          <w:p w14:paraId="0F2C8D3D" w14:textId="77777777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3B332551" w14:textId="581B34AB" w:rsidR="001C7CFE" w:rsidRPr="00A1044D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A1044D">
              <w:rPr>
                <w:sz w:val="18"/>
                <w:szCs w:val="18"/>
              </w:rPr>
              <w:t>48%</w:t>
            </w:r>
          </w:p>
        </w:tc>
        <w:tc>
          <w:tcPr>
            <w:tcW w:w="3544" w:type="dxa"/>
          </w:tcPr>
          <w:p w14:paraId="0484AEF6" w14:textId="77777777" w:rsidR="001C7CFE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$26,782</w:t>
            </w:r>
          </w:p>
          <w:p w14:paraId="4F5631C7" w14:textId="043E084D" w:rsidR="00B746E5" w:rsidRPr="00A1044D" w:rsidRDefault="00B746E5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(for 22 employees from </w:t>
            </w:r>
            <w:r w:rsidR="006B108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businesses)</w:t>
            </w:r>
          </w:p>
        </w:tc>
      </w:tr>
    </w:tbl>
    <w:p w14:paraId="0F06B2E0" w14:textId="77777777" w:rsidR="001C7CFE" w:rsidRDefault="001C7CFE" w:rsidP="00013275"/>
    <w:p w14:paraId="0D18BE93" w14:textId="77777777" w:rsidR="001C7CFE" w:rsidRDefault="001C7CFE" w:rsidP="00A31966"/>
    <w:p w14:paraId="395CACCE" w14:textId="5B6759F5" w:rsidR="006B1080" w:rsidRDefault="006B1080" w:rsidP="00A31966"/>
    <w:p w14:paraId="125EC953" w14:textId="36928AD0" w:rsidR="00A31966" w:rsidRDefault="00A31966" w:rsidP="00A31966">
      <w:r>
        <w:t xml:space="preserve">Compliance results for each region </w:t>
      </w:r>
      <w:proofErr w:type="gramStart"/>
      <w:r w:rsidR="008114FB">
        <w:t xml:space="preserve">are </w:t>
      </w:r>
      <w:r>
        <w:t>shown</w:t>
      </w:r>
      <w:proofErr w:type="gramEnd"/>
      <w:r>
        <w:t xml:space="preserve"> in the table below.</w:t>
      </w:r>
      <w:r w:rsidR="00593BFB">
        <w:t xml:space="preserve"> </w:t>
      </w:r>
      <w:r w:rsidR="00593BFB" w:rsidDel="00333193">
        <w:t xml:space="preserve">Caution </w:t>
      </w:r>
      <w:proofErr w:type="gramStart"/>
      <w:r w:rsidR="00593BFB" w:rsidDel="00333193">
        <w:t>should be used</w:t>
      </w:r>
      <w:proofErr w:type="gramEnd"/>
      <w:r w:rsidR="00593BFB" w:rsidDel="00333193">
        <w:t xml:space="preserve"> when comparing results by area given differences in sample size and composition.</w:t>
      </w:r>
    </w:p>
    <w:p w14:paraId="622EEAF9" w14:textId="2DAF51D8" w:rsidR="00A31966" w:rsidRPr="00CE72FC" w:rsidRDefault="00A31966" w:rsidP="00A31966">
      <w:pPr>
        <w:pStyle w:val="Heading3"/>
      </w:pPr>
      <w:r w:rsidRPr="00CE72FC">
        <w:t xml:space="preserve">Table </w:t>
      </w:r>
      <w:r w:rsidR="00A1044D">
        <w:t>2</w:t>
      </w:r>
      <w:r w:rsidRPr="00CE72FC">
        <w:t xml:space="preserve">: Compliance results by </w:t>
      </w:r>
      <w:r>
        <w:t>region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  <w:tblCaption w:val="Table 1: Compliance results by area"/>
        <w:tblDescription w:val="Compliance results breakdown by each area audited - Launceston and North East TAS, Melbourne Inner-East and South East SA"/>
      </w:tblPr>
      <w:tblGrid>
        <w:gridCol w:w="2263"/>
        <w:gridCol w:w="1134"/>
        <w:gridCol w:w="1843"/>
        <w:gridCol w:w="3544"/>
      </w:tblGrid>
      <w:tr w:rsidR="001C7CFE" w:rsidRPr="00D51D69" w14:paraId="19D88C1D" w14:textId="77777777" w:rsidTr="006659DD">
        <w:trPr>
          <w:tblHeader/>
        </w:trPr>
        <w:tc>
          <w:tcPr>
            <w:tcW w:w="2263" w:type="dxa"/>
            <w:shd w:val="clear" w:color="auto" w:fill="DAEEF3" w:themeFill="accent5" w:themeFillTint="33"/>
          </w:tcPr>
          <w:p w14:paraId="0E32242E" w14:textId="77777777" w:rsidR="001C7CFE" w:rsidRPr="00D51D69" w:rsidRDefault="001C7CFE" w:rsidP="00BA68A3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4A2A1B3" w14:textId="77777777" w:rsidR="001C7CFE" w:rsidRPr="00D51D69" w:rsidRDefault="001C7CFE" w:rsidP="001C7CFE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Total audits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BFB45DE" w14:textId="66D82AC1" w:rsidR="001C7CFE" w:rsidRPr="00D51D69" w:rsidRDefault="001C7CFE" w:rsidP="001C7C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Non-compliance rate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6133C34F" w14:textId="77777777" w:rsidR="001C7CFE" w:rsidRPr="00D51D69" w:rsidRDefault="001C7CFE" w:rsidP="00BA68A3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Monies recovered</w:t>
            </w:r>
          </w:p>
        </w:tc>
      </w:tr>
      <w:tr w:rsidR="001C7CFE" w14:paraId="1D202C10" w14:textId="77777777" w:rsidTr="006B1080">
        <w:tc>
          <w:tcPr>
            <w:tcW w:w="2263" w:type="dxa"/>
          </w:tcPr>
          <w:p w14:paraId="2383E2EB" w14:textId="204D83A1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Launceston and North-East Tasmania</w:t>
            </w:r>
          </w:p>
        </w:tc>
        <w:tc>
          <w:tcPr>
            <w:tcW w:w="1134" w:type="dxa"/>
          </w:tcPr>
          <w:p w14:paraId="15A5158F" w14:textId="77777777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1336CDE0" w14:textId="648B20C9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3544" w:type="dxa"/>
          </w:tcPr>
          <w:p w14:paraId="66D44655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 xml:space="preserve">$47,644 </w:t>
            </w:r>
          </w:p>
          <w:p w14:paraId="04B133E3" w14:textId="505BA4F6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for 93 employees from </w:t>
            </w:r>
            <w:r w:rsidRPr="004C1847">
              <w:rPr>
                <w:sz w:val="18"/>
                <w:szCs w:val="18"/>
              </w:rPr>
              <w:t>28 businesses</w:t>
            </w:r>
            <w:r>
              <w:rPr>
                <w:sz w:val="18"/>
                <w:szCs w:val="18"/>
              </w:rPr>
              <w:t>)</w:t>
            </w:r>
          </w:p>
        </w:tc>
      </w:tr>
      <w:tr w:rsidR="001C7CFE" w14:paraId="4D0EA0B4" w14:textId="77777777" w:rsidTr="006B1080">
        <w:tc>
          <w:tcPr>
            <w:tcW w:w="2263" w:type="dxa"/>
          </w:tcPr>
          <w:p w14:paraId="764715CF" w14:textId="77777777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Melbourne Inner-East</w:t>
            </w:r>
          </w:p>
        </w:tc>
        <w:tc>
          <w:tcPr>
            <w:tcW w:w="1134" w:type="dxa"/>
          </w:tcPr>
          <w:p w14:paraId="201CA8A7" w14:textId="77777777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266</w:t>
            </w:r>
          </w:p>
        </w:tc>
        <w:tc>
          <w:tcPr>
            <w:tcW w:w="1843" w:type="dxa"/>
          </w:tcPr>
          <w:p w14:paraId="49498756" w14:textId="64A97880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3544" w:type="dxa"/>
          </w:tcPr>
          <w:p w14:paraId="25AFFD6C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 xml:space="preserve">$136,301 </w:t>
            </w:r>
          </w:p>
          <w:p w14:paraId="522ABFD8" w14:textId="26253B3D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for </w:t>
            </w:r>
            <w:r w:rsidRPr="004C1847">
              <w:rPr>
                <w:sz w:val="18"/>
                <w:szCs w:val="18"/>
              </w:rPr>
              <w:t xml:space="preserve">203 employees from 72 businesses) </w:t>
            </w:r>
          </w:p>
        </w:tc>
      </w:tr>
      <w:tr w:rsidR="001C7CFE" w14:paraId="4EED947B" w14:textId="77777777" w:rsidTr="006B1080">
        <w:tc>
          <w:tcPr>
            <w:tcW w:w="2263" w:type="dxa"/>
          </w:tcPr>
          <w:p w14:paraId="4537EE0F" w14:textId="32552F1A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South-East South Australia</w:t>
            </w:r>
          </w:p>
        </w:tc>
        <w:tc>
          <w:tcPr>
            <w:tcW w:w="1134" w:type="dxa"/>
          </w:tcPr>
          <w:p w14:paraId="0DB49908" w14:textId="77777777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201</w:t>
            </w:r>
          </w:p>
        </w:tc>
        <w:tc>
          <w:tcPr>
            <w:tcW w:w="1843" w:type="dxa"/>
          </w:tcPr>
          <w:p w14:paraId="405A75C3" w14:textId="511D1896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3544" w:type="dxa"/>
          </w:tcPr>
          <w:p w14:paraId="2B735B03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 xml:space="preserve">$28,563 </w:t>
            </w:r>
          </w:p>
          <w:p w14:paraId="20DCBA8E" w14:textId="285BE9FB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for </w:t>
            </w:r>
            <w:r w:rsidRPr="00C346A5">
              <w:rPr>
                <w:sz w:val="18"/>
                <w:szCs w:val="18"/>
              </w:rPr>
              <w:t>94 employees from 37 businesses)</w:t>
            </w:r>
          </w:p>
        </w:tc>
      </w:tr>
      <w:tr w:rsidR="001C7CFE" w14:paraId="2A0895CD" w14:textId="77777777" w:rsidTr="006B1080">
        <w:tc>
          <w:tcPr>
            <w:tcW w:w="2263" w:type="dxa"/>
          </w:tcPr>
          <w:p w14:paraId="34A0033A" w14:textId="77777777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Northern Rivers (NSW)</w:t>
            </w:r>
          </w:p>
        </w:tc>
        <w:tc>
          <w:tcPr>
            <w:tcW w:w="1134" w:type="dxa"/>
          </w:tcPr>
          <w:p w14:paraId="79A896E4" w14:textId="77777777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1843" w:type="dxa"/>
          </w:tcPr>
          <w:p w14:paraId="622CE3F6" w14:textId="5ED55257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</w:t>
            </w:r>
          </w:p>
        </w:tc>
        <w:tc>
          <w:tcPr>
            <w:tcW w:w="3544" w:type="dxa"/>
          </w:tcPr>
          <w:p w14:paraId="349E889C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401,645</w:t>
            </w:r>
            <w:r w:rsidRPr="004C1847">
              <w:rPr>
                <w:sz w:val="18"/>
                <w:szCs w:val="18"/>
              </w:rPr>
              <w:t xml:space="preserve"> </w:t>
            </w:r>
          </w:p>
          <w:p w14:paraId="40EB9D91" w14:textId="77777777" w:rsidR="001C7CFE" w:rsidRPr="009D61F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1042 employees from 177</w:t>
            </w:r>
            <w:r w:rsidRPr="004C1847">
              <w:rPr>
                <w:sz w:val="18"/>
                <w:szCs w:val="18"/>
              </w:rPr>
              <w:t xml:space="preserve"> businesses</w:t>
            </w:r>
            <w:r>
              <w:rPr>
                <w:sz w:val="18"/>
                <w:szCs w:val="18"/>
              </w:rPr>
              <w:t>)</w:t>
            </w:r>
          </w:p>
        </w:tc>
      </w:tr>
      <w:tr w:rsidR="001C7CFE" w14:paraId="5F7C227F" w14:textId="77777777" w:rsidTr="006B1080">
        <w:tc>
          <w:tcPr>
            <w:tcW w:w="2263" w:type="dxa"/>
          </w:tcPr>
          <w:p w14:paraId="26678FF3" w14:textId="77777777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Outer Western Sydney and Blue Mountains (NSW)</w:t>
            </w:r>
          </w:p>
        </w:tc>
        <w:tc>
          <w:tcPr>
            <w:tcW w:w="1134" w:type="dxa"/>
          </w:tcPr>
          <w:p w14:paraId="6E0A12C6" w14:textId="77777777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843" w:type="dxa"/>
          </w:tcPr>
          <w:p w14:paraId="10865C89" w14:textId="19290B65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3544" w:type="dxa"/>
          </w:tcPr>
          <w:p w14:paraId="1A8196A3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250,526</w:t>
            </w:r>
            <w:r w:rsidRPr="004C1847">
              <w:rPr>
                <w:sz w:val="18"/>
                <w:szCs w:val="18"/>
              </w:rPr>
              <w:t xml:space="preserve"> </w:t>
            </w:r>
          </w:p>
          <w:p w14:paraId="787C9C11" w14:textId="77777777" w:rsidR="001C7CFE" w:rsidRPr="004C1847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4C18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420 employees from 118</w:t>
            </w:r>
            <w:r w:rsidRPr="004C1847">
              <w:rPr>
                <w:sz w:val="18"/>
                <w:szCs w:val="18"/>
              </w:rPr>
              <w:t xml:space="preserve"> businesses) </w:t>
            </w:r>
          </w:p>
        </w:tc>
        <w:bookmarkStart w:id="0" w:name="_GoBack"/>
        <w:bookmarkEnd w:id="0"/>
      </w:tr>
      <w:tr w:rsidR="001C7CFE" w14:paraId="2DFCC44E" w14:textId="77777777" w:rsidTr="006B1080">
        <w:tc>
          <w:tcPr>
            <w:tcW w:w="2263" w:type="dxa"/>
          </w:tcPr>
          <w:p w14:paraId="384458C0" w14:textId="5CF50B18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New England and North-West (NSW)</w:t>
            </w:r>
          </w:p>
        </w:tc>
        <w:tc>
          <w:tcPr>
            <w:tcW w:w="1134" w:type="dxa"/>
          </w:tcPr>
          <w:p w14:paraId="310D85D5" w14:textId="77777777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843" w:type="dxa"/>
          </w:tcPr>
          <w:p w14:paraId="57E40558" w14:textId="7D46BB99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3544" w:type="dxa"/>
          </w:tcPr>
          <w:p w14:paraId="248EA163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46,627</w:t>
            </w:r>
            <w:r w:rsidRPr="00C346A5">
              <w:rPr>
                <w:sz w:val="18"/>
                <w:szCs w:val="18"/>
              </w:rPr>
              <w:t xml:space="preserve"> </w:t>
            </w:r>
          </w:p>
          <w:p w14:paraId="0ED21F05" w14:textId="77777777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115</w:t>
            </w:r>
            <w:r w:rsidRPr="00C346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employees from 55</w:t>
            </w:r>
            <w:r w:rsidRPr="00C346A5">
              <w:rPr>
                <w:sz w:val="18"/>
                <w:szCs w:val="18"/>
              </w:rPr>
              <w:t xml:space="preserve"> businesses)</w:t>
            </w:r>
          </w:p>
        </w:tc>
      </w:tr>
      <w:tr w:rsidR="001C7CFE" w14:paraId="165D44C0" w14:textId="77777777" w:rsidTr="006B1080">
        <w:tc>
          <w:tcPr>
            <w:tcW w:w="2263" w:type="dxa"/>
          </w:tcPr>
          <w:p w14:paraId="5503B4BC" w14:textId="77777777" w:rsidR="001C7CFE" w:rsidRPr="006B1080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6B1080">
              <w:rPr>
                <w:sz w:val="18"/>
                <w:szCs w:val="18"/>
              </w:rPr>
              <w:t>Toowoomba (QLD)</w:t>
            </w:r>
          </w:p>
        </w:tc>
        <w:tc>
          <w:tcPr>
            <w:tcW w:w="1134" w:type="dxa"/>
          </w:tcPr>
          <w:p w14:paraId="0A396651" w14:textId="77777777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275AA0EF" w14:textId="36D54F34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3544" w:type="dxa"/>
          </w:tcPr>
          <w:p w14:paraId="54B78DC9" w14:textId="77777777" w:rsidR="001C7CFE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74,603</w:t>
            </w:r>
            <w:r w:rsidRPr="00C346A5">
              <w:rPr>
                <w:sz w:val="18"/>
                <w:szCs w:val="18"/>
              </w:rPr>
              <w:t xml:space="preserve"> </w:t>
            </w:r>
          </w:p>
          <w:p w14:paraId="20C73C33" w14:textId="25D7814B" w:rsidR="001C7CFE" w:rsidRPr="00C346A5" w:rsidRDefault="001C7CFE" w:rsidP="003F1B93">
            <w:pPr>
              <w:spacing w:before="0" w:after="0"/>
              <w:rPr>
                <w:sz w:val="18"/>
                <w:szCs w:val="18"/>
              </w:rPr>
            </w:pPr>
            <w:r w:rsidRPr="00C346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358</w:t>
            </w:r>
            <w:r w:rsidRPr="00C346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employees from 11</w:t>
            </w:r>
            <w:r w:rsidRPr="00C346A5">
              <w:rPr>
                <w:sz w:val="18"/>
                <w:szCs w:val="18"/>
              </w:rPr>
              <w:t xml:space="preserve"> businesses)</w:t>
            </w:r>
          </w:p>
        </w:tc>
      </w:tr>
    </w:tbl>
    <w:p w14:paraId="7ACDEA3E" w14:textId="135BC5C0" w:rsidR="00F94C5E" w:rsidRDefault="00A31966" w:rsidP="00F94C5E">
      <w:pPr>
        <w:pStyle w:val="Heading2"/>
      </w:pPr>
      <w:r>
        <w:lastRenderedPageBreak/>
        <w:t>Action taken and next steps</w:t>
      </w:r>
    </w:p>
    <w:p w14:paraId="5DD2D465" w14:textId="1481C3DD" w:rsidR="009147FE" w:rsidRPr="006D19EE" w:rsidRDefault="009147FE" w:rsidP="006D19EE">
      <w:r w:rsidRPr="006D19EE">
        <w:t>Employers were required to fix non-compliance and provide evidence of action taken, for example proof of payment of outstanding employee entitlements</w:t>
      </w:r>
      <w:r w:rsidRPr="009147FE">
        <w:t>.</w:t>
      </w:r>
    </w:p>
    <w:p w14:paraId="25DFFA49" w14:textId="2B682CE4" w:rsidR="007729B7" w:rsidRPr="00F94C5E" w:rsidRDefault="007729B7" w:rsidP="00CE72FC">
      <w:pPr>
        <w:rPr>
          <w:rFonts w:cstheme="minorHAnsi"/>
        </w:rPr>
      </w:pPr>
      <w:r>
        <w:t xml:space="preserve">We recovered </w:t>
      </w:r>
      <w:r w:rsidR="009060B0">
        <w:t xml:space="preserve">a total of </w:t>
      </w:r>
      <w:r w:rsidRPr="00F94C5E">
        <w:rPr>
          <w:rFonts w:cstheme="minorHAnsi"/>
        </w:rPr>
        <w:t>$</w:t>
      </w:r>
      <w:r w:rsidR="00CE7A1A">
        <w:rPr>
          <w:rFonts w:cstheme="minorHAnsi"/>
        </w:rPr>
        <w:t>985,909</w:t>
      </w:r>
      <w:r w:rsidRPr="00F94C5E">
        <w:rPr>
          <w:rFonts w:cstheme="minorHAnsi"/>
        </w:rPr>
        <w:t xml:space="preserve"> from </w:t>
      </w:r>
      <w:r w:rsidR="00CE7A1A">
        <w:rPr>
          <w:rFonts w:cstheme="minorHAnsi"/>
        </w:rPr>
        <w:t>498</w:t>
      </w:r>
      <w:r w:rsidRPr="00F94C5E">
        <w:rPr>
          <w:rFonts w:cstheme="minorHAnsi"/>
        </w:rPr>
        <w:t xml:space="preserve"> businesses for </w:t>
      </w:r>
      <w:r w:rsidR="00CE7A1A">
        <w:rPr>
          <w:rFonts w:cstheme="minorHAnsi"/>
        </w:rPr>
        <w:t>2325</w:t>
      </w:r>
      <w:r w:rsidRPr="00F94C5E">
        <w:rPr>
          <w:rFonts w:cstheme="minorHAnsi"/>
        </w:rPr>
        <w:t xml:space="preserve"> employees.</w:t>
      </w:r>
    </w:p>
    <w:p w14:paraId="1C9192EC" w14:textId="602E145A" w:rsidR="007729B7" w:rsidRPr="00F94C5E" w:rsidRDefault="007729B7" w:rsidP="006D19EE">
      <w:pPr>
        <w:rPr>
          <w:rFonts w:cstheme="minorHAnsi"/>
        </w:rPr>
      </w:pPr>
      <w:r>
        <w:rPr>
          <w:rFonts w:cstheme="minorHAnsi"/>
        </w:rPr>
        <w:t>Fair Work Inspectors issu</w:t>
      </w:r>
      <w:r w:rsidR="00A31966">
        <w:rPr>
          <w:rFonts w:cstheme="minorHAnsi"/>
        </w:rPr>
        <w:t>ed</w:t>
      </w:r>
      <w:r w:rsidR="00CE7A1A">
        <w:rPr>
          <w:rFonts w:cstheme="minorHAnsi"/>
        </w:rPr>
        <w:t>:</w:t>
      </w:r>
    </w:p>
    <w:p w14:paraId="17BE1764" w14:textId="1FF6994B" w:rsidR="007729B7" w:rsidRPr="00F94C5E" w:rsidRDefault="00CE7A1A" w:rsidP="009830B4">
      <w:pPr>
        <w:pStyle w:val="Bullet"/>
      </w:pPr>
      <w:r>
        <w:t>825</w:t>
      </w:r>
      <w:r w:rsidR="007729B7" w:rsidRPr="00F94C5E">
        <w:t xml:space="preserve"> </w:t>
      </w:r>
      <w:r w:rsidR="007729B7">
        <w:t>c</w:t>
      </w:r>
      <w:r w:rsidR="007729B7" w:rsidRPr="00F94C5E">
        <w:t xml:space="preserve">ontravention </w:t>
      </w:r>
      <w:r w:rsidR="00371024">
        <w:t>l</w:t>
      </w:r>
      <w:r w:rsidR="007729B7" w:rsidRPr="00F94C5E">
        <w:t xml:space="preserve">etters </w:t>
      </w:r>
    </w:p>
    <w:p w14:paraId="72941EE2" w14:textId="63EA692D" w:rsidR="007729B7" w:rsidRPr="007729B7" w:rsidRDefault="00CE7A1A" w:rsidP="009830B4">
      <w:pPr>
        <w:pStyle w:val="Bullet"/>
      </w:pPr>
      <w:r>
        <w:t>70</w:t>
      </w:r>
      <w:r w:rsidR="00C30565">
        <w:t xml:space="preserve"> </w:t>
      </w:r>
      <w:r w:rsidR="007729B7">
        <w:t>formal c</w:t>
      </w:r>
      <w:r w:rsidR="007729B7" w:rsidRPr="00F94C5E">
        <w:t>autions</w:t>
      </w:r>
    </w:p>
    <w:p w14:paraId="3771AFD9" w14:textId="35514544" w:rsidR="007729B7" w:rsidRDefault="00CE7A1A" w:rsidP="009830B4">
      <w:pPr>
        <w:pStyle w:val="Bullet"/>
      </w:pPr>
      <w:r>
        <w:t>79</w:t>
      </w:r>
      <w:r w:rsidR="007729B7" w:rsidRPr="00F94C5E">
        <w:t xml:space="preserve"> </w:t>
      </w:r>
      <w:r w:rsidR="007729B7">
        <w:t>i</w:t>
      </w:r>
      <w:r w:rsidR="007729B7" w:rsidRPr="00F94C5E">
        <w:t>n</w:t>
      </w:r>
      <w:r w:rsidR="007729B7">
        <w:t>fringement notices (</w:t>
      </w:r>
      <w:r>
        <w:t>$32,830</w:t>
      </w:r>
      <w:r w:rsidR="007729B7">
        <w:t xml:space="preserve"> in penalties)</w:t>
      </w:r>
    </w:p>
    <w:p w14:paraId="09DB0810" w14:textId="084FF630" w:rsidR="00CE7A1A" w:rsidRDefault="00CE7A1A" w:rsidP="009830B4">
      <w:pPr>
        <w:pStyle w:val="Bullet"/>
      </w:pPr>
      <w:proofErr w:type="gramStart"/>
      <w:r>
        <w:t>54</w:t>
      </w:r>
      <w:proofErr w:type="gramEnd"/>
      <w:r>
        <w:t xml:space="preserve"> compliance notices ($232,476 back paid to 321 employees).</w:t>
      </w:r>
    </w:p>
    <w:p w14:paraId="4A405B16" w14:textId="12904F9A" w:rsidR="00CE7A1A" w:rsidRPr="00F84CF7" w:rsidRDefault="00CE7A1A" w:rsidP="00CE7A1A">
      <w:r>
        <w:t xml:space="preserve">We commenced legal action against </w:t>
      </w:r>
      <w:r w:rsidR="007A6D98">
        <w:t xml:space="preserve">Available </w:t>
      </w:r>
      <w:r>
        <w:t>Dental Care Pty Ltd for failing to comply with a compliance notice.</w:t>
      </w:r>
      <w:r>
        <w:rPr>
          <w:rStyle w:val="FootnoteReference"/>
        </w:rPr>
        <w:footnoteReference w:id="3"/>
      </w:r>
      <w:r>
        <w:t xml:space="preserve"> </w:t>
      </w:r>
      <w:proofErr w:type="gramStart"/>
      <w:r>
        <w:t>It’s</w:t>
      </w:r>
      <w:proofErr w:type="gramEnd"/>
      <w:r>
        <w:t xml:space="preserve"> alleged that </w:t>
      </w:r>
      <w:r w:rsidRPr="002C3983">
        <w:t xml:space="preserve">employees </w:t>
      </w:r>
      <w:r>
        <w:t xml:space="preserve">were underpaid ordinary hourly </w:t>
      </w:r>
      <w:r w:rsidRPr="002C3983">
        <w:t xml:space="preserve">and Saturday penalty </w:t>
      </w:r>
      <w:r>
        <w:t xml:space="preserve">rates. </w:t>
      </w:r>
    </w:p>
    <w:p w14:paraId="7FC9E647" w14:textId="77777777" w:rsidR="00CE7A1A" w:rsidRDefault="00E3299B" w:rsidP="003F1B93">
      <w:pPr>
        <w:pStyle w:val="Bullet"/>
        <w:numPr>
          <w:ilvl w:val="0"/>
          <w:numId w:val="0"/>
        </w:numPr>
        <w:spacing w:before="0" w:after="120" w:line="360" w:lineRule="auto"/>
      </w:pPr>
      <w:bookmarkStart w:id="1" w:name="_Toc15039103"/>
      <w:r>
        <w:t>N</w:t>
      </w:r>
      <w:r w:rsidR="00F94C5E">
        <w:t xml:space="preserve">on-compliant employers </w:t>
      </w:r>
      <w:r w:rsidR="00F941BF">
        <w:t xml:space="preserve">identified as part of this activity </w:t>
      </w:r>
      <w:proofErr w:type="gramStart"/>
      <w:r w:rsidR="00F941BF">
        <w:t>were made</w:t>
      </w:r>
      <w:proofErr w:type="gramEnd"/>
      <w:r w:rsidR="00F941BF">
        <w:t xml:space="preserve"> aware of </w:t>
      </w:r>
      <w:r>
        <w:t xml:space="preserve">FWO’s </w:t>
      </w:r>
      <w:r w:rsidR="00F94C5E">
        <w:t>tools and resources</w:t>
      </w:r>
      <w:r>
        <w:t>.</w:t>
      </w:r>
      <w:r w:rsidR="00F94C5E">
        <w:t xml:space="preserve"> </w:t>
      </w:r>
      <w:r>
        <w:t xml:space="preserve">They were also </w:t>
      </w:r>
      <w:r w:rsidR="00F941BF">
        <w:t xml:space="preserve">advised </w:t>
      </w:r>
      <w:r w:rsidR="00FB711F">
        <w:t xml:space="preserve">that </w:t>
      </w:r>
      <w:r w:rsidR="00F94C5E">
        <w:t xml:space="preserve">repeated breaches </w:t>
      </w:r>
      <w:proofErr w:type="gramStart"/>
      <w:r>
        <w:t>will</w:t>
      </w:r>
      <w:proofErr w:type="gramEnd"/>
      <w:r>
        <w:t xml:space="preserve"> see </w:t>
      </w:r>
      <w:r w:rsidR="00F94C5E">
        <w:t xml:space="preserve">a stronger </w:t>
      </w:r>
      <w:r>
        <w:t>response</w:t>
      </w:r>
      <w:r w:rsidR="00F94C5E">
        <w:t xml:space="preserve">, including significantly </w:t>
      </w:r>
      <w:r>
        <w:t xml:space="preserve">higher </w:t>
      </w:r>
      <w:r w:rsidR="00F94C5E">
        <w:t>financial penalties.</w:t>
      </w:r>
      <w:r w:rsidR="00CE7A1A" w:rsidRPr="00CE7A1A">
        <w:t xml:space="preserve"> </w:t>
      </w:r>
    </w:p>
    <w:p w14:paraId="3E933C81" w14:textId="16AB734E" w:rsidR="00CE7A1A" w:rsidRPr="002A65CC" w:rsidRDefault="00CE7A1A" w:rsidP="003F1B93">
      <w:pPr>
        <w:pStyle w:val="Bullet"/>
        <w:numPr>
          <w:ilvl w:val="0"/>
          <w:numId w:val="0"/>
        </w:numPr>
        <w:spacing w:before="0" w:after="120" w:line="360" w:lineRule="auto"/>
      </w:pPr>
      <w:r>
        <w:t xml:space="preserve">Our compliance monitoring and enforcement activities remain </w:t>
      </w:r>
      <w:r w:rsidRPr="006D19EE">
        <w:t>focus</w:t>
      </w:r>
      <w:r>
        <w:t>sed</w:t>
      </w:r>
      <w:r w:rsidRPr="006D19EE">
        <w:t xml:space="preserve"> on high-risk industries</w:t>
      </w:r>
      <w:r>
        <w:t xml:space="preserve"> across Australia.</w:t>
      </w:r>
    </w:p>
    <w:p w14:paraId="2682376D" w14:textId="41033180" w:rsidR="00360204" w:rsidRDefault="00360204" w:rsidP="00360204">
      <w:r w:rsidRPr="00440AAF">
        <w:t xml:space="preserve">The FWO </w:t>
      </w:r>
      <w:r w:rsidRPr="00AF149D">
        <w:t>expects employers to comply with all basic</w:t>
      </w:r>
      <w:r w:rsidRPr="00CC7123">
        <w:t xml:space="preserve"> workplace relations obligations</w:t>
      </w:r>
      <w:r w:rsidRPr="00AF149D">
        <w:t xml:space="preserve"> and </w:t>
      </w:r>
      <w:r w:rsidRPr="00440AAF">
        <w:t xml:space="preserve">utilise </w:t>
      </w:r>
      <w:r>
        <w:t>our free tools and resources, including:</w:t>
      </w:r>
      <w:r w:rsidRPr="00440AAF">
        <w:t xml:space="preserve"> </w:t>
      </w:r>
    </w:p>
    <w:p w14:paraId="07F6B18D" w14:textId="14A2945E" w:rsidR="00CE7A1A" w:rsidRPr="00CB2EBE" w:rsidRDefault="00360204" w:rsidP="00360204">
      <w:pPr>
        <w:pStyle w:val="Bullet"/>
        <w:spacing w:before="0" w:after="120" w:line="360" w:lineRule="auto"/>
      </w:pPr>
      <w:r w:rsidRPr="00CB2EBE">
        <w:t xml:space="preserve"> </w:t>
      </w:r>
      <w:r w:rsidR="00CE7A1A" w:rsidRPr="00CB2EBE">
        <w:t>PACT</w:t>
      </w:r>
      <w:r w:rsidR="00CE7A1A">
        <w:t xml:space="preserve"> </w:t>
      </w:r>
      <w:r w:rsidR="00CE7A1A" w:rsidRPr="00CB2EBE">
        <w:t>- calculates employee entitlements</w:t>
      </w:r>
      <w:r w:rsidR="00CE7A1A">
        <w:t>,</w:t>
      </w:r>
      <w:r w:rsidR="00CE7A1A" w:rsidRPr="00CB2EBE">
        <w:t xml:space="preserve"> including award pay rates, leave entitlements and termination pay</w:t>
      </w:r>
      <w:r w:rsidR="00CE7A1A" w:rsidRPr="000C1D1F">
        <w:rPr>
          <w:rStyle w:val="FootnoteReference"/>
        </w:rPr>
        <w:footnoteReference w:id="4"/>
      </w:r>
    </w:p>
    <w:p w14:paraId="1E062EE3" w14:textId="77777777" w:rsidR="00CE7A1A" w:rsidRPr="00B11B64" w:rsidRDefault="00CE7A1A" w:rsidP="00360204">
      <w:pPr>
        <w:pStyle w:val="Bullet"/>
        <w:spacing w:before="0" w:after="120" w:line="360" w:lineRule="auto"/>
      </w:pPr>
      <w:r w:rsidRPr="00B11B64">
        <w:t>My</w:t>
      </w:r>
      <w:r>
        <w:t xml:space="preserve"> a</w:t>
      </w:r>
      <w:r w:rsidRPr="00B11B64">
        <w:t>ccount - interactive service where employers receive tailored information and updates</w:t>
      </w:r>
      <w:r w:rsidRPr="00B11B64">
        <w:rPr>
          <w:rStyle w:val="FootnoteReference"/>
        </w:rPr>
        <w:footnoteReference w:id="5"/>
      </w:r>
    </w:p>
    <w:p w14:paraId="6E418AEF" w14:textId="77777777" w:rsidR="00CE7A1A" w:rsidRPr="00E16759" w:rsidRDefault="00CE7A1A" w:rsidP="00360204">
      <w:pPr>
        <w:pStyle w:val="Bullet"/>
        <w:spacing w:before="0" w:after="120" w:line="360" w:lineRule="auto"/>
      </w:pPr>
      <w:r w:rsidRPr="00E16759">
        <w:t xml:space="preserve">Online </w:t>
      </w:r>
      <w:r>
        <w:t>Learning C</w:t>
      </w:r>
      <w:r w:rsidRPr="00E16759">
        <w:t>entre - award-winning videos on key subjects like hiring employees, managing performance and record-keeping and pay slip obligations</w:t>
      </w:r>
      <w:r w:rsidRPr="00E16759">
        <w:rPr>
          <w:rStyle w:val="FootnoteReference"/>
        </w:rPr>
        <w:footnoteReference w:id="6"/>
      </w:r>
      <w:r w:rsidRPr="00E16759">
        <w:t xml:space="preserve"> </w:t>
      </w:r>
    </w:p>
    <w:p w14:paraId="637BF62C" w14:textId="77777777" w:rsidR="00CE7A1A" w:rsidRDefault="00CE7A1A" w:rsidP="00360204">
      <w:pPr>
        <w:pStyle w:val="Bullet"/>
        <w:spacing w:before="0" w:after="120" w:line="360" w:lineRule="auto"/>
      </w:pPr>
      <w:r>
        <w:lastRenderedPageBreak/>
        <w:t>Templates and guides</w:t>
      </w:r>
      <w:r w:rsidRPr="00CB2EBE">
        <w:t xml:space="preserve"> - tools and resources specif</w:t>
      </w:r>
      <w:r>
        <w:t xml:space="preserve">ically designed to assist </w:t>
      </w:r>
      <w:r w:rsidRPr="00CB2EBE">
        <w:t xml:space="preserve">businesses with their </w:t>
      </w:r>
      <w:r>
        <w:t>payslips and record keeping</w:t>
      </w:r>
      <w:r w:rsidRPr="00CB2EBE">
        <w:t xml:space="preserve"> obligations.</w:t>
      </w:r>
      <w:r w:rsidRPr="000C1D1F">
        <w:rPr>
          <w:rStyle w:val="FootnoteReference"/>
        </w:rPr>
        <w:footnoteReference w:id="7"/>
      </w:r>
      <w:r>
        <w:t xml:space="preserve"> </w:t>
      </w:r>
    </w:p>
    <w:bookmarkEnd w:id="1"/>
    <w:p w14:paraId="71248BE6" w14:textId="726F1D80" w:rsidR="00CE7A1A" w:rsidRPr="002A65CC" w:rsidRDefault="00333193" w:rsidP="00360204">
      <w:pPr>
        <w:pStyle w:val="Bullet"/>
        <w:numPr>
          <w:ilvl w:val="0"/>
          <w:numId w:val="0"/>
        </w:numPr>
        <w:spacing w:before="0" w:after="120" w:line="360" w:lineRule="auto"/>
      </w:pPr>
      <w:r>
        <w:t xml:space="preserve">The FWO considers employers who </w:t>
      </w:r>
      <w:proofErr w:type="gramStart"/>
      <w:r>
        <w:t>don’t</w:t>
      </w:r>
      <w:proofErr w:type="gramEnd"/>
      <w:r>
        <w:t xml:space="preserve"> take advantage of these free tools and resources to be negligent. A lack of awareness </w:t>
      </w:r>
      <w:r w:rsidR="009C61A2">
        <w:t xml:space="preserve">of obligations under the </w:t>
      </w:r>
      <w:r w:rsidR="009C61A2" w:rsidRPr="0014201D">
        <w:rPr>
          <w:i/>
        </w:rPr>
        <w:t>Fair Work Act 2009</w:t>
      </w:r>
      <w:r w:rsidR="009C61A2">
        <w:t xml:space="preserve"> </w:t>
      </w:r>
      <w:r>
        <w:t>is not a valid reason for n</w:t>
      </w:r>
      <w:r w:rsidR="0014201D">
        <w:t>on-compliance in the workplace.</w:t>
      </w:r>
    </w:p>
    <w:sectPr w:rsidR="00CE7A1A" w:rsidRPr="002A65CC" w:rsidSect="00DA1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5B38A" w14:textId="77777777" w:rsidR="000315E1" w:rsidRDefault="000315E1" w:rsidP="00AB465A">
      <w:pPr>
        <w:spacing w:after="0" w:line="240" w:lineRule="auto"/>
      </w:pPr>
      <w:r>
        <w:separator/>
      </w:r>
    </w:p>
  </w:endnote>
  <w:endnote w:type="continuationSeparator" w:id="0">
    <w:p w14:paraId="61471FE4" w14:textId="77777777" w:rsidR="000315E1" w:rsidRDefault="000315E1" w:rsidP="00AB465A">
      <w:pPr>
        <w:spacing w:after="0" w:line="240" w:lineRule="auto"/>
      </w:pPr>
      <w:r>
        <w:continuationSeparator/>
      </w:r>
    </w:p>
  </w:endnote>
  <w:endnote w:type="continuationNotice" w:id="1">
    <w:p w14:paraId="796ABE57" w14:textId="77777777" w:rsidR="000315E1" w:rsidRDefault="00031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BCE6" w14:textId="77777777" w:rsidR="00CA2F9C" w:rsidRDefault="00CA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8BEB" w14:textId="77777777" w:rsidR="0069313C" w:rsidRDefault="0069313C" w:rsidP="001C47EA">
    <w:pPr>
      <w:pStyle w:val="Header"/>
      <w:rPr>
        <w:rFonts w:ascii="Times New Roman" w:hAnsi="Times New Roman" w:cs="Times New Roman"/>
        <w:sz w:val="20"/>
        <w:szCs w:val="20"/>
      </w:rPr>
    </w:pPr>
  </w:p>
  <w:p w14:paraId="01B85818" w14:textId="0EC0891F" w:rsidR="0069313C" w:rsidRPr="00520458" w:rsidRDefault="0069313C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sz w:val="18"/>
        <w:szCs w:val="18"/>
      </w:rPr>
      <w:fldChar w:fldCharType="begin"/>
    </w:r>
    <w:r w:rsidRPr="00520458">
      <w:rPr>
        <w:rFonts w:cstheme="minorHAnsi"/>
        <w:sz w:val="18"/>
        <w:szCs w:val="18"/>
      </w:rPr>
      <w:instrText xml:space="preserve"> DOCPROPERTY "mvRef" \* MERGEFORMAT </w:instrText>
    </w:r>
    <w:r w:rsidRPr="00520458">
      <w:rPr>
        <w:rFonts w:cstheme="minorHAnsi"/>
        <w:sz w:val="18"/>
        <w:szCs w:val="18"/>
      </w:rPr>
      <w:fldChar w:fldCharType="separate"/>
    </w:r>
    <w:r w:rsidR="000D5F45">
      <w:rPr>
        <w:rFonts w:cstheme="minorHAnsi"/>
        <w:b/>
        <w:bCs/>
        <w:sz w:val="18"/>
        <w:szCs w:val="18"/>
        <w:lang w:val="en-US"/>
      </w:rPr>
      <w:t>Error! Unknown document property name.</w:t>
    </w:r>
    <w:r w:rsidRPr="00520458">
      <w:rPr>
        <w:rFonts w:cstheme="minorHAnsi"/>
        <w:sz w:val="18"/>
        <w:szCs w:val="18"/>
      </w:rPr>
      <w:fldChar w:fldCharType="end"/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2311632" wp14:editId="102D7181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A0B15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A682693" wp14:editId="489C9E88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1AC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18183955" w14:textId="4A98A04E" w:rsidR="0069313C" w:rsidRDefault="0069313C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D5F45">
      <w:rPr>
        <w:noProof/>
      </w:rPr>
      <w:t>6</w:t>
    </w:r>
    <w:r>
      <w:rPr>
        <w:noProof/>
      </w:rPr>
      <w:fldChar w:fldCharType="end"/>
    </w:r>
  </w:p>
  <w:p w14:paraId="745C3696" w14:textId="193A010F" w:rsidR="0069313C" w:rsidRPr="00DA1AD1" w:rsidRDefault="0069313C" w:rsidP="00DA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F6DC" w14:textId="6CCA7070" w:rsidR="0069313C" w:rsidRDefault="00E6204A" w:rsidP="00DA1AD1">
    <w:pPr>
      <w:pStyle w:val="Header"/>
    </w:pPr>
    <w:r>
      <w:fldChar w:fldCharType="begin"/>
    </w:r>
    <w:r>
      <w:instrText xml:space="preserve"> DOCPROPERTY "mvRef" \* MERGEFORMAT </w:instrText>
    </w:r>
    <w:r>
      <w:fldChar w:fldCharType="separate"/>
    </w:r>
    <w:r w:rsidR="000D5F45">
      <w:rPr>
        <w:b/>
        <w:bCs/>
        <w:lang w:val="en-US"/>
      </w:rPr>
      <w:t>Error! Unknown document property name.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28226" w14:textId="205D9D79" w:rsidR="0069313C" w:rsidRPr="00D171E3" w:rsidRDefault="0069313C" w:rsidP="00DA1AD1">
        <w:pPr>
          <w:pStyle w:val="Header"/>
          <w:rPr>
            <w:sz w:val="18"/>
            <w:szCs w:val="18"/>
          </w:rPr>
        </w:pPr>
        <w:r w:rsidRPr="00D171E3">
          <w:rPr>
            <w:sz w:val="18"/>
            <w:szCs w:val="18"/>
          </w:rPr>
          <w:t>Southern States Regions Campaign Report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w:t xml:space="preserve"> </w:t>
        </w: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702E5123" wp14:editId="3BEB8CB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FF018A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6835DEB" wp14:editId="08B6D4B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675F997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  <w:p w14:paraId="4307D0F5" w14:textId="6B319FC5" w:rsidR="0069313C" w:rsidRDefault="0069313C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45">
          <w:rPr>
            <w:noProof/>
          </w:rPr>
          <w:t>1</w:t>
        </w:r>
        <w:r>
          <w:rPr>
            <w:noProof/>
          </w:rPr>
          <w:fldChar w:fldCharType="end"/>
        </w:r>
      </w:p>
      <w:p w14:paraId="1DE82916" w14:textId="77777777" w:rsidR="0069313C" w:rsidRPr="00DA1AD1" w:rsidRDefault="000315E1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6B5E" w14:textId="77777777" w:rsidR="000315E1" w:rsidRDefault="000315E1" w:rsidP="00AB465A">
      <w:pPr>
        <w:spacing w:after="0" w:line="240" w:lineRule="auto"/>
      </w:pPr>
      <w:r>
        <w:separator/>
      </w:r>
    </w:p>
  </w:footnote>
  <w:footnote w:type="continuationSeparator" w:id="0">
    <w:p w14:paraId="22BD3B7C" w14:textId="77777777" w:rsidR="000315E1" w:rsidRDefault="000315E1" w:rsidP="00AB465A">
      <w:pPr>
        <w:spacing w:after="0" w:line="240" w:lineRule="auto"/>
      </w:pPr>
      <w:r>
        <w:continuationSeparator/>
      </w:r>
    </w:p>
  </w:footnote>
  <w:footnote w:type="continuationNotice" w:id="1">
    <w:p w14:paraId="1EDF6CD9" w14:textId="77777777" w:rsidR="000315E1" w:rsidRDefault="000315E1">
      <w:pPr>
        <w:spacing w:after="0" w:line="240" w:lineRule="auto"/>
      </w:pPr>
    </w:p>
  </w:footnote>
  <w:footnote w:id="2">
    <w:p w14:paraId="10D761B5" w14:textId="3550048C" w:rsidR="0069313C" w:rsidRDefault="0069313C" w:rsidP="00810E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tooltip="Fair Work Ombudsman priorities" w:history="1">
        <w:r w:rsidRPr="009F1881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https://www.fairwork.gov.au/about-us/our-purpose/our-priorities</w:t>
        </w:r>
      </w:hyperlink>
    </w:p>
  </w:footnote>
  <w:footnote w:id="3">
    <w:p w14:paraId="21F33C67" w14:textId="624021BC" w:rsidR="0069313C" w:rsidRPr="003200F0" w:rsidRDefault="0069313C" w:rsidP="00CE7A1A">
      <w:pPr>
        <w:pStyle w:val="FootnoteText"/>
        <w:spacing w:line="240" w:lineRule="auto"/>
        <w:rPr>
          <w:rFonts w:asciiTheme="minorHAnsi" w:hAnsiTheme="minorHAnsi"/>
          <w:sz w:val="18"/>
          <w:szCs w:val="18"/>
        </w:rPr>
      </w:pPr>
      <w:r w:rsidRPr="003200F0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200F0">
        <w:rPr>
          <w:rFonts w:asciiTheme="minorHAnsi" w:hAnsiTheme="minorHAnsi"/>
          <w:sz w:val="18"/>
          <w:szCs w:val="18"/>
        </w:rPr>
        <w:t xml:space="preserve"> </w:t>
      </w:r>
      <w:hyperlink r:id="rId2" w:tooltip="Dental practice operator faces court media release" w:history="1">
        <w:r w:rsidRPr="003200F0">
          <w:rPr>
            <w:rStyle w:val="Hyperlink"/>
            <w:rFonts w:asciiTheme="minorHAnsi" w:hAnsiTheme="minorHAnsi"/>
            <w:sz w:val="18"/>
            <w:szCs w:val="18"/>
          </w:rPr>
          <w:t>https://www.fairwork.gov.au/about-us/news-and-media-releases/2019-media-releases/november-2019/20191118-available-dental-care-litigation-media-release</w:t>
        </w:r>
      </w:hyperlink>
    </w:p>
  </w:footnote>
  <w:footnote w:id="4">
    <w:p w14:paraId="259FDFDC" w14:textId="4BB9C1C7" w:rsidR="0069313C" w:rsidRPr="00AD4CF6" w:rsidRDefault="0069313C" w:rsidP="00CE7A1A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tooltip="Find wages and penalty rates for employees.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https://calculate.fairwork.gov.au/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5">
    <w:p w14:paraId="015BC7A7" w14:textId="46E4F199" w:rsidR="0069313C" w:rsidRPr="00AD4CF6" w:rsidRDefault="0069313C" w:rsidP="00CE7A1A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4" w:tooltip="Register an account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https://www.fairwork.gov.au/my-account/registerpage.aspx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39070525" w14:textId="456AB955" w:rsidR="0069313C" w:rsidRPr="00AD4CF6" w:rsidRDefault="0069313C" w:rsidP="00CE7A1A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tooltip="Online learning centre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https://www.fairwork.gov.au/how-we-will-help/online-training/online-learning-centre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7">
    <w:p w14:paraId="5D5D2E1D" w14:textId="77777777" w:rsidR="0069313C" w:rsidRDefault="0069313C" w:rsidP="00CE7A1A">
      <w:pPr>
        <w:pStyle w:val="FootnoteText"/>
        <w:spacing w:before="0" w:line="240" w:lineRule="auto"/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r w:rsidRPr="00AD4CF6">
        <w:rPr>
          <w:rStyle w:val="Hyperlink"/>
          <w:rFonts w:asciiTheme="minorHAnsi" w:hAnsiTheme="minorHAnsi" w:cstheme="minorHAnsi"/>
          <w:sz w:val="18"/>
          <w:szCs w:val="18"/>
        </w:rPr>
        <w:t>https://www.fairwork.gov.au/how-we-will-help/templates-and-guides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D10B" w14:textId="77777777" w:rsidR="00CA2F9C" w:rsidRDefault="00CA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A29D" w14:textId="3008C0C6" w:rsidR="0069313C" w:rsidRDefault="0069313C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45923497" wp14:editId="62DF9BA1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B8B" w14:textId="6DD95076" w:rsidR="0069313C" w:rsidRPr="00583EDF" w:rsidRDefault="0069313C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3B7AAC09" wp14:editId="73D73046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C53A99" wp14:editId="0365B71C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25B25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8"/>
  </w:num>
  <w:num w:numId="7">
    <w:abstractNumId w:val="7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0"/>
  </w:num>
  <w:num w:numId="15">
    <w:abstractNumId w:val="10"/>
  </w:num>
  <w:num w:numId="16">
    <w:abstractNumId w:val="23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25"/>
  </w:num>
  <w:num w:numId="22">
    <w:abstractNumId w:val="2"/>
  </w:num>
  <w:num w:numId="23">
    <w:abstractNumId w:val="22"/>
  </w:num>
  <w:num w:numId="24">
    <w:abstractNumId w:val="9"/>
  </w:num>
  <w:num w:numId="25">
    <w:abstractNumId w:val="6"/>
  </w:num>
  <w:num w:numId="26">
    <w:abstractNumId w:val="14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2"/>
    <w:rsid w:val="00011400"/>
    <w:rsid w:val="00013275"/>
    <w:rsid w:val="00014C04"/>
    <w:rsid w:val="000315E1"/>
    <w:rsid w:val="000318D5"/>
    <w:rsid w:val="00033E9B"/>
    <w:rsid w:val="00053693"/>
    <w:rsid w:val="000732BA"/>
    <w:rsid w:val="0007401F"/>
    <w:rsid w:val="00093049"/>
    <w:rsid w:val="000A0BB1"/>
    <w:rsid w:val="000A45F4"/>
    <w:rsid w:val="000B2A24"/>
    <w:rsid w:val="000B7D1C"/>
    <w:rsid w:val="000C0DF8"/>
    <w:rsid w:val="000C2CD2"/>
    <w:rsid w:val="000D46B8"/>
    <w:rsid w:val="000D5F45"/>
    <w:rsid w:val="000E08E8"/>
    <w:rsid w:val="000E3C54"/>
    <w:rsid w:val="00100FA4"/>
    <w:rsid w:val="0014201D"/>
    <w:rsid w:val="00166274"/>
    <w:rsid w:val="00174429"/>
    <w:rsid w:val="0018384F"/>
    <w:rsid w:val="001C47EA"/>
    <w:rsid w:val="001C7CFE"/>
    <w:rsid w:val="001D3234"/>
    <w:rsid w:val="001D3773"/>
    <w:rsid w:val="001E0C0E"/>
    <w:rsid w:val="001F69CA"/>
    <w:rsid w:val="00232CA4"/>
    <w:rsid w:val="002424D0"/>
    <w:rsid w:val="002666D5"/>
    <w:rsid w:val="0026797B"/>
    <w:rsid w:val="002A5A4D"/>
    <w:rsid w:val="002A65CC"/>
    <w:rsid w:val="002E0DB1"/>
    <w:rsid w:val="002E28E8"/>
    <w:rsid w:val="002E78A5"/>
    <w:rsid w:val="00331519"/>
    <w:rsid w:val="00333193"/>
    <w:rsid w:val="0035400D"/>
    <w:rsid w:val="00360204"/>
    <w:rsid w:val="00371024"/>
    <w:rsid w:val="00377962"/>
    <w:rsid w:val="003B31C0"/>
    <w:rsid w:val="003B39E2"/>
    <w:rsid w:val="003B5656"/>
    <w:rsid w:val="003C36DA"/>
    <w:rsid w:val="003D3891"/>
    <w:rsid w:val="003F1B93"/>
    <w:rsid w:val="00440DF5"/>
    <w:rsid w:val="00456006"/>
    <w:rsid w:val="004654FA"/>
    <w:rsid w:val="00465E7E"/>
    <w:rsid w:val="00483507"/>
    <w:rsid w:val="00486F77"/>
    <w:rsid w:val="004874D2"/>
    <w:rsid w:val="004A1A32"/>
    <w:rsid w:val="004B5F95"/>
    <w:rsid w:val="004C1847"/>
    <w:rsid w:val="004D223B"/>
    <w:rsid w:val="004F0A17"/>
    <w:rsid w:val="00520458"/>
    <w:rsid w:val="005261A5"/>
    <w:rsid w:val="00593BFB"/>
    <w:rsid w:val="005D5A92"/>
    <w:rsid w:val="00612470"/>
    <w:rsid w:val="006139FB"/>
    <w:rsid w:val="0062768F"/>
    <w:rsid w:val="00643C4B"/>
    <w:rsid w:val="00647D11"/>
    <w:rsid w:val="006659DD"/>
    <w:rsid w:val="006836C8"/>
    <w:rsid w:val="0069313C"/>
    <w:rsid w:val="00694033"/>
    <w:rsid w:val="006A445A"/>
    <w:rsid w:val="006B1080"/>
    <w:rsid w:val="006D19EE"/>
    <w:rsid w:val="006D4A6F"/>
    <w:rsid w:val="006E54F5"/>
    <w:rsid w:val="006F4DA6"/>
    <w:rsid w:val="00703886"/>
    <w:rsid w:val="0072110A"/>
    <w:rsid w:val="00727206"/>
    <w:rsid w:val="00732D91"/>
    <w:rsid w:val="007479AD"/>
    <w:rsid w:val="00750DF7"/>
    <w:rsid w:val="00752E5E"/>
    <w:rsid w:val="00753483"/>
    <w:rsid w:val="00763A33"/>
    <w:rsid w:val="007729B7"/>
    <w:rsid w:val="00786E3C"/>
    <w:rsid w:val="007900FB"/>
    <w:rsid w:val="00791AB0"/>
    <w:rsid w:val="007A0B86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E5FAD"/>
    <w:rsid w:val="00803A9A"/>
    <w:rsid w:val="00810E0C"/>
    <w:rsid w:val="008114FB"/>
    <w:rsid w:val="008258AC"/>
    <w:rsid w:val="0083679C"/>
    <w:rsid w:val="00840520"/>
    <w:rsid w:val="00856542"/>
    <w:rsid w:val="008A1058"/>
    <w:rsid w:val="008A2053"/>
    <w:rsid w:val="009060B0"/>
    <w:rsid w:val="00906409"/>
    <w:rsid w:val="009147FE"/>
    <w:rsid w:val="00932C9C"/>
    <w:rsid w:val="009470A4"/>
    <w:rsid w:val="009819E5"/>
    <w:rsid w:val="009830B4"/>
    <w:rsid w:val="00993703"/>
    <w:rsid w:val="009946F6"/>
    <w:rsid w:val="00995EBE"/>
    <w:rsid w:val="00997DD8"/>
    <w:rsid w:val="009A294E"/>
    <w:rsid w:val="009C0C7F"/>
    <w:rsid w:val="009C61A2"/>
    <w:rsid w:val="009E2EF8"/>
    <w:rsid w:val="009E5D7B"/>
    <w:rsid w:val="009F4608"/>
    <w:rsid w:val="00A04703"/>
    <w:rsid w:val="00A1044D"/>
    <w:rsid w:val="00A25A80"/>
    <w:rsid w:val="00A267BA"/>
    <w:rsid w:val="00A31966"/>
    <w:rsid w:val="00A41C93"/>
    <w:rsid w:val="00A841DA"/>
    <w:rsid w:val="00A97F48"/>
    <w:rsid w:val="00AA0244"/>
    <w:rsid w:val="00AA1953"/>
    <w:rsid w:val="00AB465A"/>
    <w:rsid w:val="00AB5511"/>
    <w:rsid w:val="00AD4CF6"/>
    <w:rsid w:val="00AE4954"/>
    <w:rsid w:val="00AF0EAF"/>
    <w:rsid w:val="00AF74D9"/>
    <w:rsid w:val="00B02B68"/>
    <w:rsid w:val="00B03B2B"/>
    <w:rsid w:val="00B42C18"/>
    <w:rsid w:val="00B474FA"/>
    <w:rsid w:val="00B478AD"/>
    <w:rsid w:val="00B50641"/>
    <w:rsid w:val="00B56C5A"/>
    <w:rsid w:val="00B746E5"/>
    <w:rsid w:val="00B775C1"/>
    <w:rsid w:val="00B8128F"/>
    <w:rsid w:val="00B91121"/>
    <w:rsid w:val="00BA5269"/>
    <w:rsid w:val="00BA59D7"/>
    <w:rsid w:val="00BA68A3"/>
    <w:rsid w:val="00BB53D7"/>
    <w:rsid w:val="00BB613F"/>
    <w:rsid w:val="00BC0303"/>
    <w:rsid w:val="00BF66C0"/>
    <w:rsid w:val="00C079AD"/>
    <w:rsid w:val="00C208A3"/>
    <w:rsid w:val="00C30565"/>
    <w:rsid w:val="00C346A5"/>
    <w:rsid w:val="00C72594"/>
    <w:rsid w:val="00C93B8D"/>
    <w:rsid w:val="00C94F81"/>
    <w:rsid w:val="00CA2F9C"/>
    <w:rsid w:val="00CA3551"/>
    <w:rsid w:val="00CA39F1"/>
    <w:rsid w:val="00CD049C"/>
    <w:rsid w:val="00CE6055"/>
    <w:rsid w:val="00CE6883"/>
    <w:rsid w:val="00CE72FC"/>
    <w:rsid w:val="00CE7A1A"/>
    <w:rsid w:val="00CE7CD4"/>
    <w:rsid w:val="00CF5AFE"/>
    <w:rsid w:val="00D11BC7"/>
    <w:rsid w:val="00D171E3"/>
    <w:rsid w:val="00D17674"/>
    <w:rsid w:val="00D20453"/>
    <w:rsid w:val="00D2094E"/>
    <w:rsid w:val="00D316FC"/>
    <w:rsid w:val="00D803E6"/>
    <w:rsid w:val="00D95B26"/>
    <w:rsid w:val="00D960E2"/>
    <w:rsid w:val="00DA1AD1"/>
    <w:rsid w:val="00DA7095"/>
    <w:rsid w:val="00DB083C"/>
    <w:rsid w:val="00E13A01"/>
    <w:rsid w:val="00E31A99"/>
    <w:rsid w:val="00E3299B"/>
    <w:rsid w:val="00E47482"/>
    <w:rsid w:val="00E52830"/>
    <w:rsid w:val="00E6204A"/>
    <w:rsid w:val="00E62AC7"/>
    <w:rsid w:val="00E65A3D"/>
    <w:rsid w:val="00E70539"/>
    <w:rsid w:val="00E80136"/>
    <w:rsid w:val="00E83691"/>
    <w:rsid w:val="00EA6B05"/>
    <w:rsid w:val="00EB6998"/>
    <w:rsid w:val="00EE6873"/>
    <w:rsid w:val="00EE6F1A"/>
    <w:rsid w:val="00EF0D4B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9725F"/>
    <w:rsid w:val="00FB30A9"/>
    <w:rsid w:val="00FB711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alculate.fairwork.gov.au/" TargetMode="External"/><Relationship Id="rId2" Type="http://schemas.openxmlformats.org/officeDocument/2006/relationships/hyperlink" Target="https://www.fairwork.gov.au/about-us/news-and-media-releases/2019-media-releases/november-2019/20191118-available-dental-care-litigation-media-release" TargetMode="External"/><Relationship Id="rId1" Type="http://schemas.openxmlformats.org/officeDocument/2006/relationships/hyperlink" Target="https://www.fairwork.gov.au/about-us/our-purpose/our-priorities" TargetMode="External"/><Relationship Id="rId5" Type="http://schemas.openxmlformats.org/officeDocument/2006/relationships/hyperlink" Target="https://www.fairwork.gov.au/how-we-will-help/online-training/online-learning-centre" TargetMode="External"/><Relationship Id="rId4" Type="http://schemas.openxmlformats.org/officeDocument/2006/relationships/hyperlink" Target="https://www.fairwork.gov.au/my-account/registerpage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8374-687D-4096-8117-E5D25FF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BF56ADF9.dotm</Template>
  <TotalTime>0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Campaigns Compliance Report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Campaigns Compliance Report</dc:title>
  <dc:subject>Combined Campaigns Compliance Report</dc:subject>
  <dc:creator/>
  <cp:keywords>Combined Campaigns Compliance Report</cp:keywords>
  <cp:lastModifiedBy/>
  <cp:revision>1</cp:revision>
  <dcterms:created xsi:type="dcterms:W3CDTF">2020-04-17T05:15:00Z</dcterms:created>
  <dcterms:modified xsi:type="dcterms:W3CDTF">2020-04-17T05:28:00Z</dcterms:modified>
  <cp:category/>
</cp:coreProperties>
</file>