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7C45BB" w:rsidRDefault="007C45BB" w:rsidP="004322A4">
      <w:pPr>
        <w:spacing w:after="0" w:line="240" w:lineRule="auto"/>
        <w:rPr>
          <w:rFonts w:ascii="Myriad Pro" w:hAnsi="Myriad Pro" w:cs="Arial"/>
          <w:color w:val="31849B" w:themeColor="accent5" w:themeShade="BF"/>
          <w:sz w:val="35"/>
          <w:szCs w:val="35"/>
        </w:rPr>
      </w:pPr>
    </w:p>
    <w:p w:rsidR="004322A4" w:rsidRPr="003F722E" w:rsidRDefault="004322A4" w:rsidP="004322A4">
      <w:pPr>
        <w:spacing w:after="0" w:line="240" w:lineRule="auto"/>
        <w:rPr>
          <w:rFonts w:ascii="Myriad Pro" w:hAnsi="Myriad Pro" w:cs="Arial"/>
          <w:color w:val="31849B" w:themeColor="accent5" w:themeShade="BF"/>
          <w:sz w:val="35"/>
          <w:szCs w:val="35"/>
        </w:rPr>
      </w:pPr>
      <w:r w:rsidRPr="003F722E">
        <w:rPr>
          <w:rFonts w:ascii="Myriad Pro" w:hAnsi="Myriad Pro" w:cs="Arial"/>
          <w:color w:val="31849B" w:themeColor="accent5" w:themeShade="BF"/>
          <w:sz w:val="35"/>
          <w:szCs w:val="35"/>
        </w:rPr>
        <w:t xml:space="preserve">Fair Work Ombudsman </w:t>
      </w:r>
    </w:p>
    <w:p w:rsidR="004322A4" w:rsidRPr="003F722E" w:rsidRDefault="004322A4" w:rsidP="004322A4">
      <w:pPr>
        <w:spacing w:after="0" w:line="240" w:lineRule="auto"/>
        <w:rPr>
          <w:rFonts w:ascii="Myriad Pro" w:hAnsi="Myriad Pro" w:cs="Arial"/>
          <w:color w:val="31849B" w:themeColor="accent5" w:themeShade="BF"/>
          <w:sz w:val="35"/>
          <w:szCs w:val="35"/>
        </w:rPr>
      </w:pPr>
      <w:r w:rsidRPr="003F722E">
        <w:rPr>
          <w:rFonts w:ascii="Myriad Pro" w:hAnsi="Myriad Pro" w:cs="Arial"/>
          <w:color w:val="31849B" w:themeColor="accent5" w:themeShade="BF"/>
          <w:sz w:val="35"/>
          <w:szCs w:val="35"/>
        </w:rPr>
        <w:t>Regulator Performance Framework Report 2015-16</w:t>
      </w: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p w:rsidR="004322A4" w:rsidRDefault="004322A4" w:rsidP="004322A4">
      <w:pPr>
        <w:spacing w:after="0" w:line="240" w:lineRule="auto"/>
        <w:rPr>
          <w:rFonts w:ascii="Myriad Pro" w:hAnsi="Myriad Pro" w:cs="Arial"/>
          <w:color w:val="31849B" w:themeColor="accent5" w:themeShade="BF"/>
          <w:sz w:val="24"/>
          <w:szCs w:val="24"/>
        </w:rPr>
      </w:pPr>
    </w:p>
    <w:sdt>
      <w:sdtPr>
        <w:rPr>
          <w:rFonts w:asciiTheme="minorHAnsi" w:eastAsiaTheme="minorHAnsi" w:hAnsiTheme="minorHAnsi" w:cstheme="minorBidi"/>
          <w:b w:val="0"/>
          <w:bCs w:val="0"/>
          <w:color w:val="auto"/>
          <w:sz w:val="22"/>
          <w:szCs w:val="22"/>
          <w:lang w:val="en-AU" w:eastAsia="en-US"/>
        </w:rPr>
        <w:id w:val="-1846388340"/>
        <w:docPartObj>
          <w:docPartGallery w:val="Table of Contents"/>
          <w:docPartUnique/>
        </w:docPartObj>
      </w:sdtPr>
      <w:sdtEndPr>
        <w:rPr>
          <w:rFonts w:ascii="Arial" w:eastAsiaTheme="majorEastAsia" w:hAnsi="Arial" w:cs="Arial"/>
          <w:noProof/>
          <w:color w:val="365F91" w:themeColor="accent1" w:themeShade="BF"/>
          <w:sz w:val="19"/>
          <w:szCs w:val="19"/>
        </w:rPr>
      </w:sdtEndPr>
      <w:sdtContent>
        <w:p w:rsidR="004322A4" w:rsidRPr="004322A4" w:rsidRDefault="004322A4" w:rsidP="004322A4">
          <w:pPr>
            <w:pStyle w:val="TOCHeading"/>
            <w:spacing w:before="0" w:line="240" w:lineRule="auto"/>
            <w:rPr>
              <w:rFonts w:ascii="Myriad Pro" w:hAnsi="Myriad Pro"/>
              <w:b w:val="0"/>
              <w:color w:val="31849B" w:themeColor="accent5" w:themeShade="BF"/>
            </w:rPr>
          </w:pPr>
          <w:r w:rsidRPr="004322A4">
            <w:rPr>
              <w:rFonts w:ascii="Myriad Pro" w:hAnsi="Myriad Pro"/>
              <w:b w:val="0"/>
              <w:color w:val="31849B" w:themeColor="accent5" w:themeShade="BF"/>
            </w:rPr>
            <w:t>Contents</w:t>
          </w:r>
        </w:p>
        <w:p w:rsidR="004322A4" w:rsidRPr="004322A4" w:rsidRDefault="004322A4" w:rsidP="004322A4">
          <w:pPr>
            <w:spacing w:after="0" w:line="240" w:lineRule="auto"/>
            <w:rPr>
              <w:rFonts w:ascii="Arial" w:hAnsi="Arial" w:cs="Arial"/>
              <w:sz w:val="20"/>
              <w:szCs w:val="20"/>
              <w:lang w:val="en-US" w:eastAsia="ja-JP"/>
            </w:rPr>
          </w:pPr>
        </w:p>
        <w:p w:rsidR="005172AC" w:rsidRDefault="004322A4">
          <w:pPr>
            <w:pStyle w:val="TOC1"/>
            <w:tabs>
              <w:tab w:val="right" w:leader="dot" w:pos="9016"/>
            </w:tabs>
            <w:rPr>
              <w:rFonts w:eastAsiaTheme="minorEastAsia"/>
              <w:noProof/>
              <w:lang w:eastAsia="en-AU"/>
            </w:rPr>
          </w:pPr>
          <w:r w:rsidRPr="005172AC">
            <w:rPr>
              <w:rFonts w:ascii="Arial" w:hAnsi="Arial" w:cs="Arial"/>
              <w:sz w:val="20"/>
              <w:szCs w:val="20"/>
            </w:rPr>
            <w:fldChar w:fldCharType="begin"/>
          </w:r>
          <w:r w:rsidRPr="005172AC">
            <w:rPr>
              <w:rFonts w:ascii="Arial" w:hAnsi="Arial" w:cs="Arial"/>
              <w:sz w:val="20"/>
              <w:szCs w:val="20"/>
            </w:rPr>
            <w:instrText xml:space="preserve"> TOC \o "1-3" \h \z \u </w:instrText>
          </w:r>
          <w:r w:rsidRPr="005172AC">
            <w:rPr>
              <w:rFonts w:ascii="Arial" w:hAnsi="Arial" w:cs="Arial"/>
              <w:sz w:val="20"/>
              <w:szCs w:val="20"/>
            </w:rPr>
            <w:fldChar w:fldCharType="separate"/>
          </w:r>
          <w:hyperlink w:anchor="_Toc460917293" w:history="1">
            <w:r w:rsidR="005172AC" w:rsidRPr="00E036AB">
              <w:rPr>
                <w:rStyle w:val="Hyperlink"/>
                <w:rFonts w:ascii="Myriad Pro" w:hAnsi="Myriad Pro"/>
                <w:noProof/>
              </w:rPr>
              <w:t>Executive summary</w:t>
            </w:r>
            <w:r w:rsidR="005172AC">
              <w:rPr>
                <w:noProof/>
                <w:webHidden/>
              </w:rPr>
              <w:tab/>
            </w:r>
            <w:r w:rsidR="005172AC">
              <w:rPr>
                <w:noProof/>
                <w:webHidden/>
              </w:rPr>
              <w:fldChar w:fldCharType="begin"/>
            </w:r>
            <w:r w:rsidR="005172AC">
              <w:rPr>
                <w:noProof/>
                <w:webHidden/>
              </w:rPr>
              <w:instrText xml:space="preserve"> PAGEREF _Toc460917293 \h </w:instrText>
            </w:r>
            <w:r w:rsidR="005172AC">
              <w:rPr>
                <w:noProof/>
                <w:webHidden/>
              </w:rPr>
            </w:r>
            <w:r w:rsidR="005172AC">
              <w:rPr>
                <w:noProof/>
                <w:webHidden/>
              </w:rPr>
              <w:fldChar w:fldCharType="separate"/>
            </w:r>
            <w:r w:rsidR="005172AC">
              <w:rPr>
                <w:noProof/>
                <w:webHidden/>
              </w:rPr>
              <w:t>3</w:t>
            </w:r>
            <w:r w:rsidR="005172AC">
              <w:rPr>
                <w:noProof/>
                <w:webHidden/>
              </w:rPr>
              <w:fldChar w:fldCharType="end"/>
            </w:r>
          </w:hyperlink>
        </w:p>
        <w:p w:rsidR="005172AC" w:rsidRDefault="00BF005B">
          <w:pPr>
            <w:pStyle w:val="TOC1"/>
            <w:tabs>
              <w:tab w:val="right" w:leader="dot" w:pos="9016"/>
            </w:tabs>
            <w:rPr>
              <w:rFonts w:eastAsiaTheme="minorEastAsia"/>
              <w:noProof/>
              <w:lang w:eastAsia="en-AU"/>
            </w:rPr>
          </w:pPr>
          <w:hyperlink w:anchor="_Toc460917294" w:history="1">
            <w:r w:rsidR="005172AC" w:rsidRPr="00E036AB">
              <w:rPr>
                <w:rStyle w:val="Hyperlink"/>
                <w:rFonts w:ascii="Myriad Pro" w:hAnsi="Myriad Pro"/>
                <w:noProof/>
              </w:rPr>
              <w:t>Introduction</w:t>
            </w:r>
            <w:r w:rsidR="005172AC">
              <w:rPr>
                <w:noProof/>
                <w:webHidden/>
              </w:rPr>
              <w:tab/>
            </w:r>
            <w:r w:rsidR="005172AC">
              <w:rPr>
                <w:noProof/>
                <w:webHidden/>
              </w:rPr>
              <w:fldChar w:fldCharType="begin"/>
            </w:r>
            <w:r w:rsidR="005172AC">
              <w:rPr>
                <w:noProof/>
                <w:webHidden/>
              </w:rPr>
              <w:instrText xml:space="preserve"> PAGEREF _Toc460917294 \h </w:instrText>
            </w:r>
            <w:r w:rsidR="005172AC">
              <w:rPr>
                <w:noProof/>
                <w:webHidden/>
              </w:rPr>
            </w:r>
            <w:r w:rsidR="005172AC">
              <w:rPr>
                <w:noProof/>
                <w:webHidden/>
              </w:rPr>
              <w:fldChar w:fldCharType="separate"/>
            </w:r>
            <w:r w:rsidR="005172AC">
              <w:rPr>
                <w:noProof/>
                <w:webHidden/>
              </w:rPr>
              <w:t>4</w:t>
            </w:r>
            <w:r w:rsidR="005172AC">
              <w:rPr>
                <w:noProof/>
                <w:webHidden/>
              </w:rPr>
              <w:fldChar w:fldCharType="end"/>
            </w:r>
          </w:hyperlink>
        </w:p>
        <w:p w:rsidR="005172AC" w:rsidRDefault="00BF005B">
          <w:pPr>
            <w:pStyle w:val="TOC1"/>
            <w:tabs>
              <w:tab w:val="right" w:leader="dot" w:pos="9016"/>
            </w:tabs>
            <w:rPr>
              <w:rFonts w:eastAsiaTheme="minorEastAsia"/>
              <w:noProof/>
              <w:lang w:eastAsia="en-AU"/>
            </w:rPr>
          </w:pPr>
          <w:hyperlink w:anchor="_Toc460917295" w:history="1">
            <w:r w:rsidR="005172AC" w:rsidRPr="00E036AB">
              <w:rPr>
                <w:rStyle w:val="Hyperlink"/>
                <w:rFonts w:ascii="Myriad Pro" w:hAnsi="Myriad Pro"/>
                <w:noProof/>
              </w:rPr>
              <w:t>Evidence</w:t>
            </w:r>
            <w:r w:rsidR="005172AC">
              <w:rPr>
                <w:noProof/>
                <w:webHidden/>
              </w:rPr>
              <w:tab/>
            </w:r>
            <w:r w:rsidR="005172AC">
              <w:rPr>
                <w:noProof/>
                <w:webHidden/>
              </w:rPr>
              <w:fldChar w:fldCharType="begin"/>
            </w:r>
            <w:r w:rsidR="005172AC">
              <w:rPr>
                <w:noProof/>
                <w:webHidden/>
              </w:rPr>
              <w:instrText xml:space="preserve"> PAGEREF _Toc460917295 \h </w:instrText>
            </w:r>
            <w:r w:rsidR="005172AC">
              <w:rPr>
                <w:noProof/>
                <w:webHidden/>
              </w:rPr>
            </w:r>
            <w:r w:rsidR="005172AC">
              <w:rPr>
                <w:noProof/>
                <w:webHidden/>
              </w:rPr>
              <w:fldChar w:fldCharType="separate"/>
            </w:r>
            <w:r w:rsidR="005172AC">
              <w:rPr>
                <w:noProof/>
                <w:webHidden/>
              </w:rPr>
              <w:t>4</w:t>
            </w:r>
            <w:r w:rsidR="005172AC">
              <w:rPr>
                <w:noProof/>
                <w:webHidden/>
              </w:rPr>
              <w:fldChar w:fldCharType="end"/>
            </w:r>
          </w:hyperlink>
        </w:p>
        <w:p w:rsidR="005172AC" w:rsidRDefault="00BF005B">
          <w:pPr>
            <w:pStyle w:val="TOC1"/>
            <w:tabs>
              <w:tab w:val="right" w:leader="dot" w:pos="9016"/>
            </w:tabs>
            <w:rPr>
              <w:rFonts w:eastAsiaTheme="minorEastAsia"/>
              <w:noProof/>
              <w:lang w:eastAsia="en-AU"/>
            </w:rPr>
          </w:pPr>
          <w:hyperlink w:anchor="_Toc460917296" w:history="1">
            <w:r w:rsidR="005172AC" w:rsidRPr="00E036AB">
              <w:rPr>
                <w:rStyle w:val="Hyperlink"/>
                <w:rFonts w:ascii="Myriad Pro" w:hAnsi="Myriad Pro"/>
                <w:noProof/>
              </w:rPr>
              <w:t>KPI 1 – Regulators do not unnecessarily impede the efficient operation of regulated entities</w:t>
            </w:r>
            <w:r w:rsidR="005172AC">
              <w:rPr>
                <w:noProof/>
                <w:webHidden/>
              </w:rPr>
              <w:tab/>
            </w:r>
            <w:r w:rsidR="005172AC">
              <w:rPr>
                <w:noProof/>
                <w:webHidden/>
              </w:rPr>
              <w:fldChar w:fldCharType="begin"/>
            </w:r>
            <w:r w:rsidR="005172AC">
              <w:rPr>
                <w:noProof/>
                <w:webHidden/>
              </w:rPr>
              <w:instrText xml:space="preserve"> PAGEREF _Toc460917296 \h </w:instrText>
            </w:r>
            <w:r w:rsidR="005172AC">
              <w:rPr>
                <w:noProof/>
                <w:webHidden/>
              </w:rPr>
            </w:r>
            <w:r w:rsidR="005172AC">
              <w:rPr>
                <w:noProof/>
                <w:webHidden/>
              </w:rPr>
              <w:fldChar w:fldCharType="separate"/>
            </w:r>
            <w:r w:rsidR="005172AC">
              <w:rPr>
                <w:noProof/>
                <w:webHidden/>
              </w:rPr>
              <w:t>5</w:t>
            </w:r>
            <w:r w:rsidR="005172AC">
              <w:rPr>
                <w:noProof/>
                <w:webHidden/>
              </w:rPr>
              <w:fldChar w:fldCharType="end"/>
            </w:r>
          </w:hyperlink>
        </w:p>
        <w:p w:rsidR="005172AC" w:rsidRPr="000447F6" w:rsidRDefault="00BF005B">
          <w:pPr>
            <w:pStyle w:val="TOC2"/>
            <w:tabs>
              <w:tab w:val="right" w:leader="dot" w:pos="9016"/>
            </w:tabs>
            <w:rPr>
              <w:rStyle w:val="Hyperlink"/>
              <w:rFonts w:ascii="Myriad Pro" w:hAnsi="Myriad Pro"/>
              <w:i/>
              <w:sz w:val="18"/>
              <w:szCs w:val="18"/>
            </w:rPr>
          </w:pPr>
          <w:hyperlink w:anchor="_Toc460917297" w:history="1">
            <w:r w:rsidR="005172AC" w:rsidRPr="000447F6">
              <w:rPr>
                <w:rStyle w:val="Hyperlink"/>
                <w:rFonts w:ascii="Myriad Pro" w:hAnsi="Myriad Pro"/>
                <w:i/>
                <w:noProof/>
                <w:sz w:val="18"/>
                <w:szCs w:val="18"/>
              </w:rPr>
              <w:t xml:space="preserve">Measure 1.1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uses appropriate methods to manage requests for assistance to reduce the burden on regulated entities.</w:t>
            </w:r>
            <w:r w:rsidR="005172AC" w:rsidRPr="000447F6">
              <w:rPr>
                <w:rStyle w:val="Hyperlink"/>
                <w:rFonts w:ascii="Myriad Pro" w:hAnsi="Myriad Pro"/>
                <w:i/>
                <w:webHidden/>
                <w:sz w:val="18"/>
                <w:szCs w:val="18"/>
              </w:rPr>
              <w:tab/>
            </w:r>
            <w:r w:rsidR="005172AC" w:rsidRPr="000447F6">
              <w:rPr>
                <w:rStyle w:val="Hyperlink"/>
                <w:rFonts w:ascii="Myriad Pro" w:hAnsi="Myriad Pro"/>
                <w:i/>
                <w:webHidden/>
                <w:sz w:val="18"/>
                <w:szCs w:val="18"/>
              </w:rPr>
              <w:fldChar w:fldCharType="begin"/>
            </w:r>
            <w:r w:rsidR="005172AC" w:rsidRPr="000447F6">
              <w:rPr>
                <w:rStyle w:val="Hyperlink"/>
                <w:rFonts w:ascii="Myriad Pro" w:hAnsi="Myriad Pro"/>
                <w:i/>
                <w:webHidden/>
                <w:sz w:val="18"/>
                <w:szCs w:val="18"/>
              </w:rPr>
              <w:instrText xml:space="preserve"> PAGEREF _Toc460917297 \h </w:instrText>
            </w:r>
            <w:r w:rsidR="005172AC" w:rsidRPr="000447F6">
              <w:rPr>
                <w:rStyle w:val="Hyperlink"/>
                <w:rFonts w:ascii="Myriad Pro" w:hAnsi="Myriad Pro"/>
                <w:i/>
                <w:webHidden/>
                <w:sz w:val="18"/>
                <w:szCs w:val="18"/>
              </w:rPr>
            </w:r>
            <w:r w:rsidR="005172AC" w:rsidRPr="000447F6">
              <w:rPr>
                <w:rStyle w:val="Hyperlink"/>
                <w:rFonts w:ascii="Myriad Pro" w:hAnsi="Myriad Pro"/>
                <w:i/>
                <w:webHidden/>
                <w:sz w:val="18"/>
                <w:szCs w:val="18"/>
              </w:rPr>
              <w:fldChar w:fldCharType="separate"/>
            </w:r>
            <w:r w:rsidR="005172AC">
              <w:rPr>
                <w:rStyle w:val="Hyperlink"/>
                <w:rFonts w:ascii="Myriad Pro" w:hAnsi="Myriad Pro"/>
                <w:i/>
                <w:noProof/>
                <w:webHidden/>
                <w:sz w:val="18"/>
                <w:szCs w:val="18"/>
              </w:rPr>
              <w:t>5</w:t>
            </w:r>
            <w:r w:rsidR="005172AC" w:rsidRPr="000447F6">
              <w:rPr>
                <w:rStyle w:val="Hyperlink"/>
                <w:rFonts w:ascii="Myriad Pro" w:hAnsi="Myriad Pro"/>
                <w:i/>
                <w:webHidden/>
                <w:sz w:val="18"/>
                <w:szCs w:val="18"/>
              </w:rPr>
              <w:fldChar w:fldCharType="end"/>
            </w:r>
          </w:hyperlink>
        </w:p>
        <w:p w:rsidR="005172AC" w:rsidRPr="000447F6" w:rsidRDefault="00BF005B">
          <w:pPr>
            <w:pStyle w:val="TOC2"/>
            <w:tabs>
              <w:tab w:val="right" w:leader="dot" w:pos="9016"/>
            </w:tabs>
            <w:rPr>
              <w:rStyle w:val="Hyperlink"/>
              <w:rFonts w:ascii="Myriad Pro" w:hAnsi="Myriad Pro"/>
              <w:i/>
              <w:sz w:val="18"/>
              <w:szCs w:val="18"/>
            </w:rPr>
          </w:pPr>
          <w:hyperlink w:anchor="_Toc460917298" w:history="1">
            <w:r w:rsidR="005172AC" w:rsidRPr="000447F6">
              <w:rPr>
                <w:rStyle w:val="Hyperlink"/>
                <w:rFonts w:ascii="Myriad Pro" w:hAnsi="Myriad Pro"/>
                <w:i/>
                <w:noProof/>
                <w:sz w:val="18"/>
                <w:szCs w:val="18"/>
              </w:rPr>
              <w:t xml:space="preserve">Measure 1.2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engages with regulated entities and peak bodies to understand and inform the design and execution of our work.</w:t>
            </w:r>
            <w:r w:rsidR="005172AC" w:rsidRPr="000447F6">
              <w:rPr>
                <w:rStyle w:val="Hyperlink"/>
                <w:rFonts w:ascii="Myriad Pro" w:hAnsi="Myriad Pro"/>
                <w:i/>
                <w:webHidden/>
                <w:sz w:val="18"/>
                <w:szCs w:val="18"/>
              </w:rPr>
              <w:tab/>
            </w:r>
            <w:r w:rsidR="005172AC" w:rsidRPr="000447F6">
              <w:rPr>
                <w:rStyle w:val="Hyperlink"/>
                <w:rFonts w:ascii="Myriad Pro" w:hAnsi="Myriad Pro"/>
                <w:i/>
                <w:webHidden/>
                <w:sz w:val="18"/>
                <w:szCs w:val="18"/>
              </w:rPr>
              <w:fldChar w:fldCharType="begin"/>
            </w:r>
            <w:r w:rsidR="005172AC" w:rsidRPr="000447F6">
              <w:rPr>
                <w:rStyle w:val="Hyperlink"/>
                <w:rFonts w:ascii="Myriad Pro" w:hAnsi="Myriad Pro"/>
                <w:i/>
                <w:webHidden/>
                <w:sz w:val="18"/>
                <w:szCs w:val="18"/>
              </w:rPr>
              <w:instrText xml:space="preserve"> PAGEREF _Toc460917298 \h </w:instrText>
            </w:r>
            <w:r w:rsidR="005172AC" w:rsidRPr="000447F6">
              <w:rPr>
                <w:rStyle w:val="Hyperlink"/>
                <w:rFonts w:ascii="Myriad Pro" w:hAnsi="Myriad Pro"/>
                <w:i/>
                <w:webHidden/>
                <w:sz w:val="18"/>
                <w:szCs w:val="18"/>
              </w:rPr>
            </w:r>
            <w:r w:rsidR="005172AC" w:rsidRPr="000447F6">
              <w:rPr>
                <w:rStyle w:val="Hyperlink"/>
                <w:rFonts w:ascii="Myriad Pro" w:hAnsi="Myriad Pro"/>
                <w:i/>
                <w:webHidden/>
                <w:sz w:val="18"/>
                <w:szCs w:val="18"/>
              </w:rPr>
              <w:fldChar w:fldCharType="separate"/>
            </w:r>
            <w:r w:rsidR="005172AC">
              <w:rPr>
                <w:rStyle w:val="Hyperlink"/>
                <w:rFonts w:ascii="Myriad Pro" w:hAnsi="Myriad Pro"/>
                <w:i/>
                <w:noProof/>
                <w:webHidden/>
                <w:sz w:val="18"/>
                <w:szCs w:val="18"/>
              </w:rPr>
              <w:t>6</w:t>
            </w:r>
            <w:r w:rsidR="005172AC" w:rsidRPr="000447F6">
              <w:rPr>
                <w:rStyle w:val="Hyperlink"/>
                <w:rFonts w:ascii="Myriad Pro" w:hAnsi="Myriad Pro"/>
                <w:i/>
                <w:webHidden/>
                <w:sz w:val="18"/>
                <w:szCs w:val="18"/>
              </w:rPr>
              <w:fldChar w:fldCharType="end"/>
            </w:r>
          </w:hyperlink>
        </w:p>
        <w:p w:rsidR="005172AC" w:rsidRDefault="00BF005B">
          <w:pPr>
            <w:pStyle w:val="TOC1"/>
            <w:tabs>
              <w:tab w:val="right" w:leader="dot" w:pos="9016"/>
            </w:tabs>
            <w:rPr>
              <w:rFonts w:eastAsiaTheme="minorEastAsia"/>
              <w:noProof/>
              <w:lang w:eastAsia="en-AU"/>
            </w:rPr>
          </w:pPr>
          <w:hyperlink w:anchor="_Toc460917299" w:history="1">
            <w:r w:rsidR="005172AC" w:rsidRPr="00E036AB">
              <w:rPr>
                <w:rStyle w:val="Hyperlink"/>
                <w:rFonts w:ascii="Myriad Pro" w:hAnsi="Myriad Pro"/>
                <w:noProof/>
              </w:rPr>
              <w:t>KPI 2 – Communication with regulated entities is clear, targeted and effective</w:t>
            </w:r>
            <w:r w:rsidR="005172AC">
              <w:rPr>
                <w:noProof/>
                <w:webHidden/>
              </w:rPr>
              <w:tab/>
            </w:r>
            <w:r w:rsidR="005172AC">
              <w:rPr>
                <w:noProof/>
                <w:webHidden/>
              </w:rPr>
              <w:fldChar w:fldCharType="begin"/>
            </w:r>
            <w:r w:rsidR="005172AC">
              <w:rPr>
                <w:noProof/>
                <w:webHidden/>
              </w:rPr>
              <w:instrText xml:space="preserve"> PAGEREF _Toc460917299 \h </w:instrText>
            </w:r>
            <w:r w:rsidR="005172AC">
              <w:rPr>
                <w:noProof/>
                <w:webHidden/>
              </w:rPr>
            </w:r>
            <w:r w:rsidR="005172AC">
              <w:rPr>
                <w:noProof/>
                <w:webHidden/>
              </w:rPr>
              <w:fldChar w:fldCharType="separate"/>
            </w:r>
            <w:r w:rsidR="005172AC">
              <w:rPr>
                <w:noProof/>
                <w:webHidden/>
              </w:rPr>
              <w:t>7</w:t>
            </w:r>
            <w:r w:rsidR="005172AC">
              <w:rPr>
                <w:noProof/>
                <w:webHidden/>
              </w:rPr>
              <w:fldChar w:fldCharType="end"/>
            </w:r>
          </w:hyperlink>
        </w:p>
        <w:p w:rsidR="005172AC" w:rsidRPr="000447F6" w:rsidRDefault="00BF005B">
          <w:pPr>
            <w:pStyle w:val="TOC2"/>
            <w:tabs>
              <w:tab w:val="right" w:leader="dot" w:pos="9016"/>
            </w:tabs>
            <w:rPr>
              <w:rStyle w:val="Hyperlink"/>
              <w:rFonts w:ascii="Myriad Pro" w:hAnsi="Myriad Pro"/>
              <w:i/>
              <w:sz w:val="18"/>
              <w:szCs w:val="18"/>
            </w:rPr>
          </w:pPr>
          <w:hyperlink w:anchor="_Toc460917300" w:history="1">
            <w:r w:rsidR="005172AC" w:rsidRPr="000447F6">
              <w:rPr>
                <w:rStyle w:val="Hyperlink"/>
                <w:rFonts w:ascii="Myriad Pro" w:hAnsi="Myriad Pro"/>
                <w:i/>
                <w:noProof/>
                <w:sz w:val="18"/>
                <w:szCs w:val="18"/>
              </w:rPr>
              <w:t xml:space="preserve">Measure 2.1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provides information and advice that is timely, useful and reliable to make it easier for regulated entities to comply with their obligations.</w:t>
            </w:r>
            <w:r w:rsidR="005172AC" w:rsidRPr="000447F6">
              <w:rPr>
                <w:rStyle w:val="Hyperlink"/>
                <w:rFonts w:ascii="Myriad Pro" w:hAnsi="Myriad Pro"/>
                <w:i/>
                <w:webHidden/>
                <w:sz w:val="18"/>
                <w:szCs w:val="18"/>
              </w:rPr>
              <w:tab/>
            </w:r>
            <w:r w:rsidR="005172AC" w:rsidRPr="000447F6">
              <w:rPr>
                <w:rStyle w:val="Hyperlink"/>
                <w:rFonts w:ascii="Myriad Pro" w:hAnsi="Myriad Pro"/>
                <w:i/>
                <w:webHidden/>
                <w:sz w:val="18"/>
                <w:szCs w:val="18"/>
              </w:rPr>
              <w:fldChar w:fldCharType="begin"/>
            </w:r>
            <w:r w:rsidR="005172AC" w:rsidRPr="000447F6">
              <w:rPr>
                <w:rStyle w:val="Hyperlink"/>
                <w:rFonts w:ascii="Myriad Pro" w:hAnsi="Myriad Pro"/>
                <w:i/>
                <w:webHidden/>
                <w:sz w:val="18"/>
                <w:szCs w:val="18"/>
              </w:rPr>
              <w:instrText xml:space="preserve"> PAGEREF _Toc460917300 \h </w:instrText>
            </w:r>
            <w:r w:rsidR="005172AC" w:rsidRPr="000447F6">
              <w:rPr>
                <w:rStyle w:val="Hyperlink"/>
                <w:rFonts w:ascii="Myriad Pro" w:hAnsi="Myriad Pro"/>
                <w:i/>
                <w:webHidden/>
                <w:sz w:val="18"/>
                <w:szCs w:val="18"/>
              </w:rPr>
            </w:r>
            <w:r w:rsidR="005172AC" w:rsidRPr="000447F6">
              <w:rPr>
                <w:rStyle w:val="Hyperlink"/>
                <w:rFonts w:ascii="Myriad Pro" w:hAnsi="Myriad Pro"/>
                <w:i/>
                <w:webHidden/>
                <w:sz w:val="18"/>
                <w:szCs w:val="18"/>
              </w:rPr>
              <w:fldChar w:fldCharType="separate"/>
            </w:r>
            <w:r w:rsidR="005172AC">
              <w:rPr>
                <w:rStyle w:val="Hyperlink"/>
                <w:rFonts w:ascii="Myriad Pro" w:hAnsi="Myriad Pro"/>
                <w:i/>
                <w:noProof/>
                <w:webHidden/>
                <w:sz w:val="18"/>
                <w:szCs w:val="18"/>
              </w:rPr>
              <w:t>7</w:t>
            </w:r>
            <w:r w:rsidR="005172AC" w:rsidRPr="000447F6">
              <w:rPr>
                <w:rStyle w:val="Hyperlink"/>
                <w:rFonts w:ascii="Myriad Pro" w:hAnsi="Myriad Pro"/>
                <w:i/>
                <w:webHidden/>
                <w:sz w:val="18"/>
                <w:szCs w:val="18"/>
              </w:rPr>
              <w:fldChar w:fldCharType="end"/>
            </w:r>
          </w:hyperlink>
        </w:p>
        <w:p w:rsidR="005172AC" w:rsidRPr="000447F6" w:rsidRDefault="00BF005B">
          <w:pPr>
            <w:pStyle w:val="TOC2"/>
            <w:tabs>
              <w:tab w:val="right" w:leader="dot" w:pos="9016"/>
            </w:tabs>
            <w:rPr>
              <w:rStyle w:val="Hyperlink"/>
              <w:rFonts w:ascii="Myriad Pro" w:hAnsi="Myriad Pro"/>
              <w:i/>
              <w:sz w:val="18"/>
              <w:szCs w:val="18"/>
            </w:rPr>
          </w:pPr>
          <w:hyperlink w:anchor="_Toc460917301" w:history="1">
            <w:r w:rsidR="005172AC" w:rsidRPr="000447F6">
              <w:rPr>
                <w:rStyle w:val="Hyperlink"/>
                <w:rFonts w:ascii="Myriad Pro" w:hAnsi="Myriad Pro"/>
                <w:i/>
                <w:noProof/>
                <w:sz w:val="18"/>
                <w:szCs w:val="18"/>
              </w:rPr>
              <w:t xml:space="preserve">Measure 2.2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consults with regulated entities prior to implementing key strategies.</w:t>
            </w:r>
            <w:r w:rsidR="005172AC" w:rsidRPr="000447F6">
              <w:rPr>
                <w:rStyle w:val="Hyperlink"/>
                <w:rFonts w:ascii="Myriad Pro" w:hAnsi="Myriad Pro"/>
                <w:i/>
                <w:webHidden/>
                <w:sz w:val="18"/>
                <w:szCs w:val="18"/>
              </w:rPr>
              <w:tab/>
            </w:r>
            <w:r w:rsidR="005172AC" w:rsidRPr="000447F6">
              <w:rPr>
                <w:rStyle w:val="Hyperlink"/>
                <w:rFonts w:ascii="Myriad Pro" w:hAnsi="Myriad Pro"/>
                <w:i/>
                <w:webHidden/>
                <w:sz w:val="18"/>
                <w:szCs w:val="18"/>
              </w:rPr>
              <w:fldChar w:fldCharType="begin"/>
            </w:r>
            <w:r w:rsidR="005172AC" w:rsidRPr="000447F6">
              <w:rPr>
                <w:rStyle w:val="Hyperlink"/>
                <w:rFonts w:ascii="Myriad Pro" w:hAnsi="Myriad Pro"/>
                <w:i/>
                <w:webHidden/>
                <w:sz w:val="18"/>
                <w:szCs w:val="18"/>
              </w:rPr>
              <w:instrText xml:space="preserve"> PAGEREF _Toc460917301 \h </w:instrText>
            </w:r>
            <w:r w:rsidR="005172AC" w:rsidRPr="000447F6">
              <w:rPr>
                <w:rStyle w:val="Hyperlink"/>
                <w:rFonts w:ascii="Myriad Pro" w:hAnsi="Myriad Pro"/>
                <w:i/>
                <w:webHidden/>
                <w:sz w:val="18"/>
                <w:szCs w:val="18"/>
              </w:rPr>
            </w:r>
            <w:r w:rsidR="005172AC" w:rsidRPr="000447F6">
              <w:rPr>
                <w:rStyle w:val="Hyperlink"/>
                <w:rFonts w:ascii="Myriad Pro" w:hAnsi="Myriad Pro"/>
                <w:i/>
                <w:webHidden/>
                <w:sz w:val="18"/>
                <w:szCs w:val="18"/>
              </w:rPr>
              <w:fldChar w:fldCharType="separate"/>
            </w:r>
            <w:r w:rsidR="005172AC">
              <w:rPr>
                <w:rStyle w:val="Hyperlink"/>
                <w:rFonts w:ascii="Myriad Pro" w:hAnsi="Myriad Pro"/>
                <w:i/>
                <w:noProof/>
                <w:webHidden/>
                <w:sz w:val="18"/>
                <w:szCs w:val="18"/>
              </w:rPr>
              <w:t>8</w:t>
            </w:r>
            <w:r w:rsidR="005172AC" w:rsidRPr="000447F6">
              <w:rPr>
                <w:rStyle w:val="Hyperlink"/>
                <w:rFonts w:ascii="Myriad Pro" w:hAnsi="Myriad Pro"/>
                <w:i/>
                <w:webHidden/>
                <w:sz w:val="18"/>
                <w:szCs w:val="18"/>
              </w:rPr>
              <w:fldChar w:fldCharType="end"/>
            </w:r>
          </w:hyperlink>
        </w:p>
        <w:p w:rsidR="005172AC" w:rsidRDefault="00BF005B">
          <w:pPr>
            <w:pStyle w:val="TOC1"/>
            <w:tabs>
              <w:tab w:val="right" w:leader="dot" w:pos="9016"/>
            </w:tabs>
            <w:rPr>
              <w:rFonts w:eastAsiaTheme="minorEastAsia"/>
              <w:noProof/>
              <w:lang w:eastAsia="en-AU"/>
            </w:rPr>
          </w:pPr>
          <w:hyperlink w:anchor="_Toc460917302" w:history="1">
            <w:r w:rsidR="005172AC" w:rsidRPr="00E036AB">
              <w:rPr>
                <w:rStyle w:val="Hyperlink"/>
                <w:rFonts w:ascii="Myriad Pro" w:hAnsi="Myriad Pro"/>
                <w:noProof/>
              </w:rPr>
              <w:t>KPI 3 – Actions undertaken by regulators are proportionate to the regulatory risk being managed</w:t>
            </w:r>
            <w:r w:rsidR="005172AC">
              <w:rPr>
                <w:noProof/>
                <w:webHidden/>
              </w:rPr>
              <w:tab/>
            </w:r>
            <w:r w:rsidR="005172AC">
              <w:rPr>
                <w:noProof/>
                <w:webHidden/>
              </w:rPr>
              <w:fldChar w:fldCharType="begin"/>
            </w:r>
            <w:r w:rsidR="005172AC">
              <w:rPr>
                <w:noProof/>
                <w:webHidden/>
              </w:rPr>
              <w:instrText xml:space="preserve"> PAGEREF _Toc460917302 \h </w:instrText>
            </w:r>
            <w:r w:rsidR="005172AC">
              <w:rPr>
                <w:noProof/>
                <w:webHidden/>
              </w:rPr>
            </w:r>
            <w:r w:rsidR="005172AC">
              <w:rPr>
                <w:noProof/>
                <w:webHidden/>
              </w:rPr>
              <w:fldChar w:fldCharType="separate"/>
            </w:r>
            <w:r w:rsidR="005172AC">
              <w:rPr>
                <w:noProof/>
                <w:webHidden/>
              </w:rPr>
              <w:t>9</w:t>
            </w:r>
            <w:r w:rsidR="005172AC">
              <w:rPr>
                <w:noProof/>
                <w:webHidden/>
              </w:rPr>
              <w:fldChar w:fldCharType="end"/>
            </w:r>
          </w:hyperlink>
        </w:p>
        <w:p w:rsidR="005172AC" w:rsidRPr="000447F6" w:rsidRDefault="00BF005B">
          <w:pPr>
            <w:pStyle w:val="TOC2"/>
            <w:tabs>
              <w:tab w:val="right" w:leader="dot" w:pos="9016"/>
            </w:tabs>
            <w:rPr>
              <w:rStyle w:val="Hyperlink"/>
              <w:rFonts w:ascii="Myriad Pro" w:hAnsi="Myriad Pro"/>
              <w:i/>
              <w:sz w:val="18"/>
              <w:szCs w:val="18"/>
            </w:rPr>
          </w:pPr>
          <w:hyperlink w:anchor="_Toc460917303" w:history="1">
            <w:r w:rsidR="005172AC" w:rsidRPr="000447F6">
              <w:rPr>
                <w:rStyle w:val="Hyperlink"/>
                <w:rFonts w:ascii="Myriad Pro" w:hAnsi="Myriad Pro"/>
                <w:i/>
                <w:noProof/>
                <w:sz w:val="18"/>
                <w:szCs w:val="18"/>
              </w:rPr>
              <w:t xml:space="preserve">Measure 3.1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focuses its compliance and enforcement efforts proportionate to the seriousness of the matter.</w:t>
            </w:r>
            <w:r w:rsidR="005172AC" w:rsidRPr="000447F6">
              <w:rPr>
                <w:rStyle w:val="Hyperlink"/>
                <w:rFonts w:ascii="Myriad Pro" w:hAnsi="Myriad Pro"/>
                <w:i/>
                <w:webHidden/>
                <w:sz w:val="18"/>
                <w:szCs w:val="18"/>
              </w:rPr>
              <w:tab/>
            </w:r>
            <w:r w:rsidR="005172AC" w:rsidRPr="000447F6">
              <w:rPr>
                <w:rStyle w:val="Hyperlink"/>
                <w:rFonts w:ascii="Myriad Pro" w:hAnsi="Myriad Pro"/>
                <w:i/>
                <w:webHidden/>
                <w:sz w:val="18"/>
                <w:szCs w:val="18"/>
              </w:rPr>
              <w:fldChar w:fldCharType="begin"/>
            </w:r>
            <w:r w:rsidR="005172AC" w:rsidRPr="000447F6">
              <w:rPr>
                <w:rStyle w:val="Hyperlink"/>
                <w:rFonts w:ascii="Myriad Pro" w:hAnsi="Myriad Pro"/>
                <w:i/>
                <w:webHidden/>
                <w:sz w:val="18"/>
                <w:szCs w:val="18"/>
              </w:rPr>
              <w:instrText xml:space="preserve"> PAGEREF _Toc460917303 \h </w:instrText>
            </w:r>
            <w:r w:rsidR="005172AC" w:rsidRPr="000447F6">
              <w:rPr>
                <w:rStyle w:val="Hyperlink"/>
                <w:rFonts w:ascii="Myriad Pro" w:hAnsi="Myriad Pro"/>
                <w:i/>
                <w:webHidden/>
                <w:sz w:val="18"/>
                <w:szCs w:val="18"/>
              </w:rPr>
            </w:r>
            <w:r w:rsidR="005172AC" w:rsidRPr="000447F6">
              <w:rPr>
                <w:rStyle w:val="Hyperlink"/>
                <w:rFonts w:ascii="Myriad Pro" w:hAnsi="Myriad Pro"/>
                <w:i/>
                <w:webHidden/>
                <w:sz w:val="18"/>
                <w:szCs w:val="18"/>
              </w:rPr>
              <w:fldChar w:fldCharType="separate"/>
            </w:r>
            <w:r w:rsidR="005172AC">
              <w:rPr>
                <w:rStyle w:val="Hyperlink"/>
                <w:rFonts w:ascii="Myriad Pro" w:hAnsi="Myriad Pro"/>
                <w:i/>
                <w:noProof/>
                <w:webHidden/>
                <w:sz w:val="18"/>
                <w:szCs w:val="18"/>
              </w:rPr>
              <w:t>9</w:t>
            </w:r>
            <w:r w:rsidR="005172AC" w:rsidRPr="000447F6">
              <w:rPr>
                <w:rStyle w:val="Hyperlink"/>
                <w:rFonts w:ascii="Myriad Pro" w:hAnsi="Myriad Pro"/>
                <w:i/>
                <w:webHidden/>
                <w:sz w:val="18"/>
                <w:szCs w:val="18"/>
              </w:rPr>
              <w:fldChar w:fldCharType="end"/>
            </w:r>
          </w:hyperlink>
        </w:p>
        <w:p w:rsidR="005172AC" w:rsidRPr="000447F6" w:rsidRDefault="00BF005B">
          <w:pPr>
            <w:pStyle w:val="TOC2"/>
            <w:tabs>
              <w:tab w:val="right" w:leader="dot" w:pos="9016"/>
            </w:tabs>
            <w:rPr>
              <w:rStyle w:val="Hyperlink"/>
              <w:rFonts w:ascii="Myriad Pro" w:hAnsi="Myriad Pro"/>
              <w:i/>
              <w:sz w:val="18"/>
              <w:szCs w:val="18"/>
            </w:rPr>
          </w:pPr>
          <w:hyperlink w:anchor="_Toc460917304" w:history="1">
            <w:r w:rsidR="005172AC" w:rsidRPr="000447F6">
              <w:rPr>
                <w:rStyle w:val="Hyperlink"/>
                <w:rFonts w:ascii="Myriad Pro" w:hAnsi="Myriad Pro"/>
                <w:i/>
                <w:noProof/>
                <w:sz w:val="18"/>
                <w:szCs w:val="18"/>
              </w:rPr>
              <w:t xml:space="preserve">Measure 3.2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applies a risk-based approach to its compliance and monitoring activities.</w:t>
            </w:r>
            <w:r w:rsidR="005172AC" w:rsidRPr="000447F6">
              <w:rPr>
                <w:rStyle w:val="Hyperlink"/>
                <w:rFonts w:ascii="Myriad Pro" w:hAnsi="Myriad Pro"/>
                <w:i/>
                <w:webHidden/>
                <w:sz w:val="18"/>
                <w:szCs w:val="18"/>
              </w:rPr>
              <w:tab/>
            </w:r>
            <w:r w:rsidR="005172AC" w:rsidRPr="000447F6">
              <w:rPr>
                <w:rStyle w:val="Hyperlink"/>
                <w:rFonts w:ascii="Myriad Pro" w:hAnsi="Myriad Pro"/>
                <w:i/>
                <w:webHidden/>
                <w:sz w:val="18"/>
                <w:szCs w:val="18"/>
              </w:rPr>
              <w:fldChar w:fldCharType="begin"/>
            </w:r>
            <w:r w:rsidR="005172AC" w:rsidRPr="000447F6">
              <w:rPr>
                <w:rStyle w:val="Hyperlink"/>
                <w:rFonts w:ascii="Myriad Pro" w:hAnsi="Myriad Pro"/>
                <w:i/>
                <w:webHidden/>
                <w:sz w:val="18"/>
                <w:szCs w:val="18"/>
              </w:rPr>
              <w:instrText xml:space="preserve"> PAGEREF _Toc460917304 \h </w:instrText>
            </w:r>
            <w:r w:rsidR="005172AC" w:rsidRPr="000447F6">
              <w:rPr>
                <w:rStyle w:val="Hyperlink"/>
                <w:rFonts w:ascii="Myriad Pro" w:hAnsi="Myriad Pro"/>
                <w:i/>
                <w:webHidden/>
                <w:sz w:val="18"/>
                <w:szCs w:val="18"/>
              </w:rPr>
            </w:r>
            <w:r w:rsidR="005172AC" w:rsidRPr="000447F6">
              <w:rPr>
                <w:rStyle w:val="Hyperlink"/>
                <w:rFonts w:ascii="Myriad Pro" w:hAnsi="Myriad Pro"/>
                <w:i/>
                <w:webHidden/>
                <w:sz w:val="18"/>
                <w:szCs w:val="18"/>
              </w:rPr>
              <w:fldChar w:fldCharType="separate"/>
            </w:r>
            <w:r w:rsidR="005172AC">
              <w:rPr>
                <w:rStyle w:val="Hyperlink"/>
                <w:rFonts w:ascii="Myriad Pro" w:hAnsi="Myriad Pro"/>
                <w:i/>
                <w:noProof/>
                <w:webHidden/>
                <w:sz w:val="18"/>
                <w:szCs w:val="18"/>
              </w:rPr>
              <w:t>10</w:t>
            </w:r>
            <w:r w:rsidR="005172AC" w:rsidRPr="000447F6">
              <w:rPr>
                <w:rStyle w:val="Hyperlink"/>
                <w:rFonts w:ascii="Myriad Pro" w:hAnsi="Myriad Pro"/>
                <w:i/>
                <w:webHidden/>
                <w:sz w:val="18"/>
                <w:szCs w:val="18"/>
              </w:rPr>
              <w:fldChar w:fldCharType="end"/>
            </w:r>
          </w:hyperlink>
        </w:p>
        <w:p w:rsidR="005172AC" w:rsidRDefault="00BF005B">
          <w:pPr>
            <w:pStyle w:val="TOC1"/>
            <w:tabs>
              <w:tab w:val="right" w:leader="dot" w:pos="9016"/>
            </w:tabs>
            <w:rPr>
              <w:rFonts w:eastAsiaTheme="minorEastAsia"/>
              <w:noProof/>
              <w:lang w:eastAsia="en-AU"/>
            </w:rPr>
          </w:pPr>
          <w:hyperlink w:anchor="_Toc460917305" w:history="1">
            <w:r w:rsidR="005172AC" w:rsidRPr="00E036AB">
              <w:rPr>
                <w:rStyle w:val="Hyperlink"/>
                <w:rFonts w:ascii="Myriad Pro" w:hAnsi="Myriad Pro"/>
                <w:noProof/>
              </w:rPr>
              <w:t>KPI 4 – Compliance and monitoring approaches are streamlined and coordinated</w:t>
            </w:r>
            <w:r w:rsidR="005172AC">
              <w:rPr>
                <w:noProof/>
                <w:webHidden/>
              </w:rPr>
              <w:tab/>
            </w:r>
            <w:r w:rsidR="005172AC">
              <w:rPr>
                <w:noProof/>
                <w:webHidden/>
              </w:rPr>
              <w:fldChar w:fldCharType="begin"/>
            </w:r>
            <w:r w:rsidR="005172AC">
              <w:rPr>
                <w:noProof/>
                <w:webHidden/>
              </w:rPr>
              <w:instrText xml:space="preserve"> PAGEREF _Toc460917305 \h </w:instrText>
            </w:r>
            <w:r w:rsidR="005172AC">
              <w:rPr>
                <w:noProof/>
                <w:webHidden/>
              </w:rPr>
            </w:r>
            <w:r w:rsidR="005172AC">
              <w:rPr>
                <w:noProof/>
                <w:webHidden/>
              </w:rPr>
              <w:fldChar w:fldCharType="separate"/>
            </w:r>
            <w:r w:rsidR="005172AC">
              <w:rPr>
                <w:noProof/>
                <w:webHidden/>
              </w:rPr>
              <w:t>11</w:t>
            </w:r>
            <w:r w:rsidR="005172AC">
              <w:rPr>
                <w:noProof/>
                <w:webHidden/>
              </w:rPr>
              <w:fldChar w:fldCharType="end"/>
            </w:r>
          </w:hyperlink>
        </w:p>
        <w:p w:rsidR="005172AC" w:rsidRPr="000447F6" w:rsidRDefault="00BF005B">
          <w:pPr>
            <w:pStyle w:val="TOC2"/>
            <w:tabs>
              <w:tab w:val="right" w:leader="dot" w:pos="9016"/>
            </w:tabs>
            <w:rPr>
              <w:rStyle w:val="Hyperlink"/>
              <w:rFonts w:ascii="Myriad Pro" w:hAnsi="Myriad Pro"/>
              <w:i/>
              <w:sz w:val="18"/>
              <w:szCs w:val="18"/>
            </w:rPr>
          </w:pPr>
          <w:hyperlink w:anchor="_Toc460917306" w:history="1">
            <w:r w:rsidR="005172AC" w:rsidRPr="000447F6">
              <w:rPr>
                <w:rStyle w:val="Hyperlink"/>
                <w:rFonts w:ascii="Myriad Pro" w:hAnsi="Myriad Pro"/>
                <w:i/>
                <w:noProof/>
                <w:sz w:val="18"/>
                <w:szCs w:val="18"/>
              </w:rPr>
              <w:t xml:space="preserve">Measure 4.1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takes a coordinated approach to delivering its services.</w:t>
            </w:r>
            <w:r w:rsidR="005172AC" w:rsidRPr="000447F6">
              <w:rPr>
                <w:rStyle w:val="Hyperlink"/>
                <w:rFonts w:ascii="Myriad Pro" w:hAnsi="Myriad Pro"/>
                <w:i/>
                <w:webHidden/>
                <w:sz w:val="18"/>
                <w:szCs w:val="18"/>
              </w:rPr>
              <w:tab/>
            </w:r>
            <w:r w:rsidR="005172AC" w:rsidRPr="000447F6">
              <w:rPr>
                <w:rStyle w:val="Hyperlink"/>
                <w:rFonts w:ascii="Myriad Pro" w:hAnsi="Myriad Pro"/>
                <w:i/>
                <w:webHidden/>
                <w:sz w:val="18"/>
                <w:szCs w:val="18"/>
              </w:rPr>
              <w:fldChar w:fldCharType="begin"/>
            </w:r>
            <w:r w:rsidR="005172AC" w:rsidRPr="000447F6">
              <w:rPr>
                <w:rStyle w:val="Hyperlink"/>
                <w:rFonts w:ascii="Myriad Pro" w:hAnsi="Myriad Pro"/>
                <w:i/>
                <w:webHidden/>
                <w:sz w:val="18"/>
                <w:szCs w:val="18"/>
              </w:rPr>
              <w:instrText xml:space="preserve"> PAGEREF _Toc460917306 \h </w:instrText>
            </w:r>
            <w:r w:rsidR="005172AC" w:rsidRPr="000447F6">
              <w:rPr>
                <w:rStyle w:val="Hyperlink"/>
                <w:rFonts w:ascii="Myriad Pro" w:hAnsi="Myriad Pro"/>
                <w:i/>
                <w:webHidden/>
                <w:sz w:val="18"/>
                <w:szCs w:val="18"/>
              </w:rPr>
            </w:r>
            <w:r w:rsidR="005172AC" w:rsidRPr="000447F6">
              <w:rPr>
                <w:rStyle w:val="Hyperlink"/>
                <w:rFonts w:ascii="Myriad Pro" w:hAnsi="Myriad Pro"/>
                <w:i/>
                <w:webHidden/>
                <w:sz w:val="18"/>
                <w:szCs w:val="18"/>
              </w:rPr>
              <w:fldChar w:fldCharType="separate"/>
            </w:r>
            <w:r w:rsidR="005172AC">
              <w:rPr>
                <w:rStyle w:val="Hyperlink"/>
                <w:rFonts w:ascii="Myriad Pro" w:hAnsi="Myriad Pro"/>
                <w:i/>
                <w:noProof/>
                <w:webHidden/>
                <w:sz w:val="18"/>
                <w:szCs w:val="18"/>
              </w:rPr>
              <w:t>11</w:t>
            </w:r>
            <w:r w:rsidR="005172AC" w:rsidRPr="000447F6">
              <w:rPr>
                <w:rStyle w:val="Hyperlink"/>
                <w:rFonts w:ascii="Myriad Pro" w:hAnsi="Myriad Pro"/>
                <w:i/>
                <w:webHidden/>
                <w:sz w:val="18"/>
                <w:szCs w:val="18"/>
              </w:rPr>
              <w:fldChar w:fldCharType="end"/>
            </w:r>
          </w:hyperlink>
        </w:p>
        <w:p w:rsidR="005172AC" w:rsidRPr="000447F6" w:rsidRDefault="00BF005B">
          <w:pPr>
            <w:pStyle w:val="TOC2"/>
            <w:tabs>
              <w:tab w:val="right" w:leader="dot" w:pos="9016"/>
            </w:tabs>
            <w:rPr>
              <w:rStyle w:val="Hyperlink"/>
              <w:rFonts w:ascii="Myriad Pro" w:hAnsi="Myriad Pro"/>
              <w:i/>
              <w:sz w:val="18"/>
              <w:szCs w:val="18"/>
            </w:rPr>
          </w:pPr>
          <w:hyperlink w:anchor="_Toc460917307" w:history="1">
            <w:r w:rsidR="005172AC" w:rsidRPr="000447F6">
              <w:rPr>
                <w:rStyle w:val="Hyperlink"/>
                <w:rFonts w:ascii="Myriad Pro" w:hAnsi="Myriad Pro"/>
                <w:i/>
                <w:noProof/>
                <w:sz w:val="18"/>
                <w:szCs w:val="18"/>
              </w:rPr>
              <w:t xml:space="preserve">Measure 4.2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works collaboratively with other regulators and industry bodies to minimise the burden of interacting with government bodies.</w:t>
            </w:r>
            <w:r w:rsidR="005172AC" w:rsidRPr="000447F6">
              <w:rPr>
                <w:rStyle w:val="Hyperlink"/>
                <w:rFonts w:ascii="Myriad Pro" w:hAnsi="Myriad Pro"/>
                <w:i/>
                <w:webHidden/>
                <w:sz w:val="18"/>
                <w:szCs w:val="18"/>
              </w:rPr>
              <w:tab/>
            </w:r>
            <w:r w:rsidR="005172AC" w:rsidRPr="000447F6">
              <w:rPr>
                <w:rStyle w:val="Hyperlink"/>
                <w:rFonts w:ascii="Myriad Pro" w:hAnsi="Myriad Pro"/>
                <w:i/>
                <w:webHidden/>
                <w:sz w:val="18"/>
                <w:szCs w:val="18"/>
              </w:rPr>
              <w:fldChar w:fldCharType="begin"/>
            </w:r>
            <w:r w:rsidR="005172AC" w:rsidRPr="000447F6">
              <w:rPr>
                <w:rStyle w:val="Hyperlink"/>
                <w:rFonts w:ascii="Myriad Pro" w:hAnsi="Myriad Pro"/>
                <w:i/>
                <w:webHidden/>
                <w:sz w:val="18"/>
                <w:szCs w:val="18"/>
              </w:rPr>
              <w:instrText xml:space="preserve"> PAGEREF _Toc460917307 \h </w:instrText>
            </w:r>
            <w:r w:rsidR="005172AC" w:rsidRPr="000447F6">
              <w:rPr>
                <w:rStyle w:val="Hyperlink"/>
                <w:rFonts w:ascii="Myriad Pro" w:hAnsi="Myriad Pro"/>
                <w:i/>
                <w:webHidden/>
                <w:sz w:val="18"/>
                <w:szCs w:val="18"/>
              </w:rPr>
            </w:r>
            <w:r w:rsidR="005172AC" w:rsidRPr="000447F6">
              <w:rPr>
                <w:rStyle w:val="Hyperlink"/>
                <w:rFonts w:ascii="Myriad Pro" w:hAnsi="Myriad Pro"/>
                <w:i/>
                <w:webHidden/>
                <w:sz w:val="18"/>
                <w:szCs w:val="18"/>
              </w:rPr>
              <w:fldChar w:fldCharType="separate"/>
            </w:r>
            <w:r w:rsidR="005172AC">
              <w:rPr>
                <w:rStyle w:val="Hyperlink"/>
                <w:rFonts w:ascii="Myriad Pro" w:hAnsi="Myriad Pro"/>
                <w:i/>
                <w:noProof/>
                <w:webHidden/>
                <w:sz w:val="18"/>
                <w:szCs w:val="18"/>
              </w:rPr>
              <w:t>12</w:t>
            </w:r>
            <w:r w:rsidR="005172AC" w:rsidRPr="000447F6">
              <w:rPr>
                <w:rStyle w:val="Hyperlink"/>
                <w:rFonts w:ascii="Myriad Pro" w:hAnsi="Myriad Pro"/>
                <w:i/>
                <w:webHidden/>
                <w:sz w:val="18"/>
                <w:szCs w:val="18"/>
              </w:rPr>
              <w:fldChar w:fldCharType="end"/>
            </w:r>
          </w:hyperlink>
        </w:p>
        <w:p w:rsidR="005172AC" w:rsidRDefault="00BF005B">
          <w:pPr>
            <w:pStyle w:val="TOC1"/>
            <w:tabs>
              <w:tab w:val="right" w:leader="dot" w:pos="9016"/>
            </w:tabs>
            <w:rPr>
              <w:rFonts w:eastAsiaTheme="minorEastAsia"/>
              <w:noProof/>
              <w:lang w:eastAsia="en-AU"/>
            </w:rPr>
          </w:pPr>
          <w:hyperlink w:anchor="_Toc460917308" w:history="1">
            <w:r w:rsidR="005172AC" w:rsidRPr="00E036AB">
              <w:rPr>
                <w:rStyle w:val="Hyperlink"/>
                <w:rFonts w:ascii="Myriad Pro" w:hAnsi="Myriad Pro"/>
                <w:noProof/>
              </w:rPr>
              <w:t>KPI 5 – Regulators are open and transparent in their dealings with regulated entities</w:t>
            </w:r>
            <w:r w:rsidR="005172AC">
              <w:rPr>
                <w:noProof/>
                <w:webHidden/>
              </w:rPr>
              <w:tab/>
            </w:r>
            <w:r w:rsidR="005172AC">
              <w:rPr>
                <w:noProof/>
                <w:webHidden/>
              </w:rPr>
              <w:fldChar w:fldCharType="begin"/>
            </w:r>
            <w:r w:rsidR="005172AC">
              <w:rPr>
                <w:noProof/>
                <w:webHidden/>
              </w:rPr>
              <w:instrText xml:space="preserve"> PAGEREF _Toc460917308 \h </w:instrText>
            </w:r>
            <w:r w:rsidR="005172AC">
              <w:rPr>
                <w:noProof/>
                <w:webHidden/>
              </w:rPr>
            </w:r>
            <w:r w:rsidR="005172AC">
              <w:rPr>
                <w:noProof/>
                <w:webHidden/>
              </w:rPr>
              <w:fldChar w:fldCharType="separate"/>
            </w:r>
            <w:r w:rsidR="005172AC">
              <w:rPr>
                <w:noProof/>
                <w:webHidden/>
              </w:rPr>
              <w:t>13</w:t>
            </w:r>
            <w:r w:rsidR="005172AC">
              <w:rPr>
                <w:noProof/>
                <w:webHidden/>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09" w:history="1">
            <w:r w:rsidR="005172AC" w:rsidRPr="000447F6">
              <w:rPr>
                <w:rStyle w:val="Hyperlink"/>
                <w:rFonts w:ascii="Myriad Pro" w:hAnsi="Myriad Pro"/>
                <w:i/>
                <w:noProof/>
                <w:sz w:val="18"/>
                <w:szCs w:val="18"/>
              </w:rPr>
              <w:t xml:space="preserve">Measure 5.1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publishes key performance results in a timely manner to ensure accountability and transparency.</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_Toc460917309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13</w:t>
            </w:r>
            <w:r w:rsidR="005172AC" w:rsidRPr="000447F6">
              <w:rPr>
                <w:noProof/>
                <w:webHidden/>
                <w:sz w:val="18"/>
                <w:szCs w:val="18"/>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10" w:history="1">
            <w:r w:rsidR="005172AC" w:rsidRPr="000447F6">
              <w:rPr>
                <w:rStyle w:val="Hyperlink"/>
                <w:rFonts w:ascii="Myriad Pro" w:hAnsi="Myriad Pro"/>
                <w:i/>
                <w:noProof/>
                <w:sz w:val="18"/>
                <w:szCs w:val="18"/>
              </w:rPr>
              <w:t xml:space="preserve">Measure 5.2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publishes key strategies and acts on feedback regarding the effectiveness of how it operates.</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_Toc460917310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14</w:t>
            </w:r>
            <w:r w:rsidR="005172AC" w:rsidRPr="000447F6">
              <w:rPr>
                <w:noProof/>
                <w:webHidden/>
                <w:sz w:val="18"/>
                <w:szCs w:val="18"/>
              </w:rPr>
              <w:fldChar w:fldCharType="end"/>
            </w:r>
          </w:hyperlink>
        </w:p>
        <w:p w:rsidR="005172AC" w:rsidRDefault="00BF005B">
          <w:pPr>
            <w:pStyle w:val="TOC1"/>
            <w:tabs>
              <w:tab w:val="right" w:leader="dot" w:pos="9016"/>
            </w:tabs>
            <w:rPr>
              <w:rFonts w:eastAsiaTheme="minorEastAsia"/>
              <w:noProof/>
              <w:lang w:eastAsia="en-AU"/>
            </w:rPr>
          </w:pPr>
          <w:hyperlink w:anchor="_Toc460917311" w:history="1">
            <w:r w:rsidR="005172AC" w:rsidRPr="00E036AB">
              <w:rPr>
                <w:rStyle w:val="Hyperlink"/>
                <w:rFonts w:ascii="Myriad Pro" w:hAnsi="Myriad Pro"/>
                <w:noProof/>
              </w:rPr>
              <w:t>KPI 6 – Regulators actively contribute to the continuous improvement of regulatory frameworks</w:t>
            </w:r>
            <w:r w:rsidR="005172AC">
              <w:rPr>
                <w:noProof/>
                <w:webHidden/>
              </w:rPr>
              <w:tab/>
            </w:r>
            <w:r w:rsidR="005172AC">
              <w:rPr>
                <w:noProof/>
                <w:webHidden/>
              </w:rPr>
              <w:fldChar w:fldCharType="begin"/>
            </w:r>
            <w:r w:rsidR="005172AC">
              <w:rPr>
                <w:noProof/>
                <w:webHidden/>
              </w:rPr>
              <w:instrText xml:space="preserve"> PAGEREF _Toc460917311 \h </w:instrText>
            </w:r>
            <w:r w:rsidR="005172AC">
              <w:rPr>
                <w:noProof/>
                <w:webHidden/>
              </w:rPr>
            </w:r>
            <w:r w:rsidR="005172AC">
              <w:rPr>
                <w:noProof/>
                <w:webHidden/>
              </w:rPr>
              <w:fldChar w:fldCharType="separate"/>
            </w:r>
            <w:r w:rsidR="005172AC">
              <w:rPr>
                <w:noProof/>
                <w:webHidden/>
              </w:rPr>
              <w:t>15</w:t>
            </w:r>
            <w:r w:rsidR="005172AC">
              <w:rPr>
                <w:noProof/>
                <w:webHidden/>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12" w:history="1">
            <w:r w:rsidR="005172AC" w:rsidRPr="000447F6">
              <w:rPr>
                <w:rStyle w:val="Hyperlink"/>
                <w:rFonts w:ascii="Myriad Pro" w:hAnsi="Myriad Pro"/>
                <w:i/>
                <w:noProof/>
                <w:sz w:val="18"/>
                <w:szCs w:val="18"/>
              </w:rPr>
              <w:t xml:space="preserve">Measures 6.1 </w:t>
            </w:r>
            <w:r w:rsidR="005172AC" w:rsidRPr="000447F6">
              <w:rPr>
                <w:rStyle w:val="Hyperlink"/>
                <w:rFonts w:ascii="Myriad Pro" w:hAnsi="Myriad Pro" w:hint="eastAsia"/>
                <w:i/>
                <w:noProof/>
                <w:sz w:val="18"/>
                <w:szCs w:val="18"/>
              </w:rPr>
              <w:t>–</w:t>
            </w:r>
            <w:r w:rsidR="005172AC" w:rsidRPr="000447F6">
              <w:rPr>
                <w:rStyle w:val="Hyperlink"/>
                <w:rFonts w:ascii="Myriad Pro" w:hAnsi="Myriad Pro"/>
                <w:i/>
                <w:noProof/>
                <w:sz w:val="18"/>
                <w:szCs w:val="18"/>
              </w:rPr>
              <w:t xml:space="preserve"> The FWO makes it easy for stakeholders and regulated entities to contribute to the efficient operation of the FWO.</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_Toc460917312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15</w:t>
            </w:r>
            <w:r w:rsidR="005172AC" w:rsidRPr="000447F6">
              <w:rPr>
                <w:noProof/>
                <w:webHidden/>
                <w:sz w:val="18"/>
                <w:szCs w:val="18"/>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13" w:history="1">
            <w:r w:rsidR="005172AC" w:rsidRPr="000447F6">
              <w:rPr>
                <w:rStyle w:val="Hyperlink"/>
                <w:rFonts w:ascii="Myriad Pro" w:hAnsi="Myriad Pro"/>
                <w:i/>
                <w:noProof/>
                <w:sz w:val="18"/>
                <w:szCs w:val="18"/>
              </w:rPr>
              <w:t>Measure 6.2 - The FWO shares information, intelligence and feedback with policy departments for the improvement of the regulatory framework.</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_Toc460917313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16</w:t>
            </w:r>
            <w:r w:rsidR="005172AC" w:rsidRPr="000447F6">
              <w:rPr>
                <w:noProof/>
                <w:webHidden/>
                <w:sz w:val="18"/>
                <w:szCs w:val="18"/>
              </w:rPr>
              <w:fldChar w:fldCharType="end"/>
            </w:r>
          </w:hyperlink>
        </w:p>
        <w:p w:rsidR="005172AC" w:rsidRDefault="00BF005B">
          <w:pPr>
            <w:pStyle w:val="TOC1"/>
            <w:tabs>
              <w:tab w:val="right" w:leader="dot" w:pos="9016"/>
            </w:tabs>
            <w:rPr>
              <w:rFonts w:eastAsiaTheme="minorEastAsia"/>
              <w:noProof/>
              <w:lang w:eastAsia="en-AU"/>
            </w:rPr>
          </w:pPr>
          <w:hyperlink w:anchor="_Toc460917314" w:history="1">
            <w:r w:rsidR="005172AC" w:rsidRPr="00E036AB">
              <w:rPr>
                <w:rStyle w:val="Hyperlink"/>
                <w:rFonts w:ascii="Myriad Pro" w:hAnsi="Myriad Pro"/>
                <w:noProof/>
              </w:rPr>
              <w:t>Overall assessment</w:t>
            </w:r>
            <w:r w:rsidR="005172AC">
              <w:rPr>
                <w:noProof/>
                <w:webHidden/>
              </w:rPr>
              <w:tab/>
            </w:r>
            <w:r w:rsidR="005172AC">
              <w:rPr>
                <w:noProof/>
                <w:webHidden/>
              </w:rPr>
              <w:fldChar w:fldCharType="begin"/>
            </w:r>
            <w:r w:rsidR="005172AC">
              <w:rPr>
                <w:noProof/>
                <w:webHidden/>
              </w:rPr>
              <w:instrText xml:space="preserve"> PAGEREF _Toc460917314 \h </w:instrText>
            </w:r>
            <w:r w:rsidR="005172AC">
              <w:rPr>
                <w:noProof/>
                <w:webHidden/>
              </w:rPr>
            </w:r>
            <w:r w:rsidR="005172AC">
              <w:rPr>
                <w:noProof/>
                <w:webHidden/>
              </w:rPr>
              <w:fldChar w:fldCharType="separate"/>
            </w:r>
            <w:r w:rsidR="005172AC">
              <w:rPr>
                <w:noProof/>
                <w:webHidden/>
              </w:rPr>
              <w:t>17</w:t>
            </w:r>
            <w:r w:rsidR="005172AC">
              <w:rPr>
                <w:noProof/>
                <w:webHidden/>
              </w:rPr>
              <w:fldChar w:fldCharType="end"/>
            </w:r>
          </w:hyperlink>
        </w:p>
        <w:p w:rsidR="005172AC" w:rsidRDefault="00BF005B">
          <w:pPr>
            <w:pStyle w:val="TOC1"/>
            <w:tabs>
              <w:tab w:val="right" w:leader="dot" w:pos="9016"/>
            </w:tabs>
            <w:rPr>
              <w:rFonts w:eastAsiaTheme="minorEastAsia"/>
              <w:noProof/>
              <w:lang w:eastAsia="en-AU"/>
            </w:rPr>
          </w:pPr>
          <w:hyperlink w:anchor="_Toc460917315" w:history="1">
            <w:r w:rsidR="005172AC" w:rsidRPr="00E036AB">
              <w:rPr>
                <w:rStyle w:val="Hyperlink"/>
                <w:rFonts w:ascii="Myriad Pro" w:hAnsi="Myriad Pro"/>
                <w:noProof/>
              </w:rPr>
              <w:t>Opportunities for Improvement</w:t>
            </w:r>
            <w:r w:rsidR="005172AC">
              <w:rPr>
                <w:noProof/>
                <w:webHidden/>
              </w:rPr>
              <w:tab/>
            </w:r>
            <w:r w:rsidR="005172AC">
              <w:rPr>
                <w:noProof/>
                <w:webHidden/>
              </w:rPr>
              <w:fldChar w:fldCharType="begin"/>
            </w:r>
            <w:r w:rsidR="005172AC">
              <w:rPr>
                <w:noProof/>
                <w:webHidden/>
              </w:rPr>
              <w:instrText xml:space="preserve"> PAGEREF _Toc460917315 \h </w:instrText>
            </w:r>
            <w:r w:rsidR="005172AC">
              <w:rPr>
                <w:noProof/>
                <w:webHidden/>
              </w:rPr>
            </w:r>
            <w:r w:rsidR="005172AC">
              <w:rPr>
                <w:noProof/>
                <w:webHidden/>
              </w:rPr>
              <w:fldChar w:fldCharType="separate"/>
            </w:r>
            <w:r w:rsidR="005172AC">
              <w:rPr>
                <w:noProof/>
                <w:webHidden/>
              </w:rPr>
              <w:t>18</w:t>
            </w:r>
            <w:r w:rsidR="005172AC">
              <w:rPr>
                <w:noProof/>
                <w:webHidden/>
              </w:rPr>
              <w:fldChar w:fldCharType="end"/>
            </w:r>
          </w:hyperlink>
        </w:p>
        <w:p w:rsidR="005172AC" w:rsidRDefault="00BF005B">
          <w:pPr>
            <w:pStyle w:val="TOC1"/>
            <w:tabs>
              <w:tab w:val="right" w:leader="dot" w:pos="9016"/>
            </w:tabs>
            <w:rPr>
              <w:rFonts w:eastAsiaTheme="minorEastAsia"/>
              <w:noProof/>
              <w:lang w:eastAsia="en-AU"/>
            </w:rPr>
          </w:pPr>
          <w:hyperlink w:anchor="_Toc460917316" w:history="1">
            <w:r w:rsidR="005172AC" w:rsidRPr="00E036AB">
              <w:rPr>
                <w:rStyle w:val="Hyperlink"/>
                <w:rFonts w:ascii="Myriad Pro" w:hAnsi="Myriad Pro"/>
                <w:noProof/>
              </w:rPr>
              <w:t>Appendix</w:t>
            </w:r>
            <w:r w:rsidR="005172AC">
              <w:rPr>
                <w:noProof/>
                <w:webHidden/>
              </w:rPr>
              <w:tab/>
            </w:r>
            <w:r w:rsidR="005172AC">
              <w:rPr>
                <w:noProof/>
                <w:webHidden/>
              </w:rPr>
              <w:fldChar w:fldCharType="begin"/>
            </w:r>
            <w:r w:rsidR="005172AC">
              <w:rPr>
                <w:noProof/>
                <w:webHidden/>
              </w:rPr>
              <w:instrText xml:space="preserve"> PAGEREF _Toc460917316 \h </w:instrText>
            </w:r>
            <w:r w:rsidR="005172AC">
              <w:rPr>
                <w:noProof/>
                <w:webHidden/>
              </w:rPr>
            </w:r>
            <w:r w:rsidR="005172AC">
              <w:rPr>
                <w:noProof/>
                <w:webHidden/>
              </w:rPr>
              <w:fldChar w:fldCharType="separate"/>
            </w:r>
            <w:r w:rsidR="005172AC">
              <w:rPr>
                <w:noProof/>
                <w:webHidden/>
              </w:rPr>
              <w:t>19</w:t>
            </w:r>
            <w:r w:rsidR="005172AC">
              <w:rPr>
                <w:noProof/>
                <w:webHidden/>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17" w:history="1">
            <w:r w:rsidR="005172AC" w:rsidRPr="000447F6">
              <w:rPr>
                <w:rStyle w:val="Hyperlink"/>
                <w:rFonts w:ascii="Myriad Pro" w:hAnsi="Myriad Pro"/>
                <w:noProof/>
                <w:sz w:val="18"/>
                <w:szCs w:val="18"/>
              </w:rPr>
              <w:t>Case study 1</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_Toc460917317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19</w:t>
            </w:r>
            <w:r w:rsidR="005172AC" w:rsidRPr="000447F6">
              <w:rPr>
                <w:noProof/>
                <w:webHidden/>
                <w:sz w:val="18"/>
                <w:szCs w:val="18"/>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18" w:history="1">
            <w:r w:rsidR="005172AC" w:rsidRPr="000447F6">
              <w:rPr>
                <w:rStyle w:val="Hyperlink"/>
                <w:rFonts w:ascii="Myriad Pro" w:hAnsi="Myriad Pro"/>
                <w:noProof/>
                <w:sz w:val="18"/>
                <w:szCs w:val="18"/>
              </w:rPr>
              <w:t>Case study 2</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_Toc460917318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20</w:t>
            </w:r>
            <w:r w:rsidR="005172AC" w:rsidRPr="000447F6">
              <w:rPr>
                <w:noProof/>
                <w:webHidden/>
                <w:sz w:val="18"/>
                <w:szCs w:val="18"/>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19" w:history="1">
            <w:r w:rsidR="005172AC" w:rsidRPr="000447F6">
              <w:rPr>
                <w:rStyle w:val="Hyperlink"/>
                <w:rFonts w:ascii="Myriad Pro" w:hAnsi="Myriad Pro"/>
                <w:noProof/>
                <w:sz w:val="18"/>
                <w:szCs w:val="18"/>
              </w:rPr>
              <w:t>Case study 3</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_Toc460917319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21</w:t>
            </w:r>
            <w:r w:rsidR="005172AC" w:rsidRPr="000447F6">
              <w:rPr>
                <w:noProof/>
                <w:webHidden/>
                <w:sz w:val="18"/>
                <w:szCs w:val="18"/>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20" w:history="1">
            <w:r w:rsidR="005172AC" w:rsidRPr="000447F6">
              <w:rPr>
                <w:rStyle w:val="Hyperlink"/>
                <w:rFonts w:ascii="Myriad Pro" w:hAnsi="Myriad Pro"/>
                <w:noProof/>
                <w:sz w:val="18"/>
                <w:szCs w:val="18"/>
              </w:rPr>
              <w:t>Case study 4</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_Toc460917320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22</w:t>
            </w:r>
            <w:r w:rsidR="005172AC" w:rsidRPr="000447F6">
              <w:rPr>
                <w:noProof/>
                <w:webHidden/>
                <w:sz w:val="18"/>
                <w:szCs w:val="18"/>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21" w:history="1">
            <w:r w:rsidR="005172AC" w:rsidRPr="000447F6">
              <w:rPr>
                <w:rStyle w:val="Hyperlink"/>
                <w:rFonts w:ascii="Myriad Pro" w:hAnsi="Myriad Pro"/>
                <w:noProof/>
                <w:sz w:val="18"/>
                <w:szCs w:val="18"/>
              </w:rPr>
              <w:t>Case study 5</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_Toc460917321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23</w:t>
            </w:r>
            <w:r w:rsidR="005172AC" w:rsidRPr="000447F6">
              <w:rPr>
                <w:noProof/>
                <w:webHidden/>
                <w:sz w:val="18"/>
                <w:szCs w:val="18"/>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22" w:history="1">
            <w:r w:rsidR="005172AC" w:rsidRPr="000447F6">
              <w:rPr>
                <w:rStyle w:val="Hyperlink"/>
                <w:rFonts w:ascii="Myriad Pro" w:hAnsi="Myriad Pro"/>
                <w:noProof/>
                <w:sz w:val="18"/>
                <w:szCs w:val="18"/>
              </w:rPr>
              <w:t>Case study 6</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_Toc460917322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23</w:t>
            </w:r>
            <w:r w:rsidR="005172AC" w:rsidRPr="000447F6">
              <w:rPr>
                <w:noProof/>
                <w:webHidden/>
                <w:sz w:val="18"/>
                <w:szCs w:val="18"/>
              </w:rPr>
              <w:fldChar w:fldCharType="end"/>
            </w:r>
          </w:hyperlink>
        </w:p>
        <w:p w:rsidR="005172AC" w:rsidRPr="000447F6" w:rsidRDefault="00BF005B">
          <w:pPr>
            <w:pStyle w:val="TOC2"/>
            <w:tabs>
              <w:tab w:val="right" w:leader="dot" w:pos="9016"/>
            </w:tabs>
            <w:rPr>
              <w:rFonts w:eastAsiaTheme="minorEastAsia"/>
              <w:noProof/>
              <w:sz w:val="18"/>
              <w:szCs w:val="18"/>
              <w:lang w:eastAsia="en-AU"/>
            </w:rPr>
          </w:pPr>
          <w:hyperlink w:anchor="_Toc460917323" w:history="1">
            <w:r w:rsidR="005172AC" w:rsidRPr="000447F6">
              <w:rPr>
                <w:rStyle w:val="Hyperlink"/>
                <w:rFonts w:ascii="Myriad Pro" w:hAnsi="Myriad Pro"/>
                <w:noProof/>
                <w:sz w:val="18"/>
                <w:szCs w:val="18"/>
              </w:rPr>
              <w:t>Case study 7</w:t>
            </w:r>
            <w:r w:rsidR="005172AC" w:rsidRPr="000447F6">
              <w:rPr>
                <w:noProof/>
                <w:webHidden/>
                <w:sz w:val="18"/>
                <w:szCs w:val="18"/>
              </w:rPr>
              <w:tab/>
            </w:r>
            <w:r w:rsidR="005172AC" w:rsidRPr="000447F6">
              <w:rPr>
                <w:noProof/>
                <w:webHidden/>
                <w:sz w:val="18"/>
                <w:szCs w:val="18"/>
              </w:rPr>
              <w:fldChar w:fldCharType="begin"/>
            </w:r>
            <w:r w:rsidR="005172AC" w:rsidRPr="000447F6">
              <w:rPr>
                <w:noProof/>
                <w:webHidden/>
                <w:sz w:val="18"/>
                <w:szCs w:val="18"/>
              </w:rPr>
              <w:instrText xml:space="preserve"> PAGEREF _Toc460917323 \h </w:instrText>
            </w:r>
            <w:r w:rsidR="005172AC" w:rsidRPr="000447F6">
              <w:rPr>
                <w:noProof/>
                <w:webHidden/>
                <w:sz w:val="18"/>
                <w:szCs w:val="18"/>
              </w:rPr>
            </w:r>
            <w:r w:rsidR="005172AC" w:rsidRPr="000447F6">
              <w:rPr>
                <w:noProof/>
                <w:webHidden/>
                <w:sz w:val="18"/>
                <w:szCs w:val="18"/>
              </w:rPr>
              <w:fldChar w:fldCharType="separate"/>
            </w:r>
            <w:r w:rsidR="005172AC">
              <w:rPr>
                <w:noProof/>
                <w:webHidden/>
                <w:sz w:val="18"/>
                <w:szCs w:val="18"/>
              </w:rPr>
              <w:t>24</w:t>
            </w:r>
            <w:r w:rsidR="005172AC" w:rsidRPr="000447F6">
              <w:rPr>
                <w:noProof/>
                <w:webHidden/>
                <w:sz w:val="18"/>
                <w:szCs w:val="18"/>
              </w:rPr>
              <w:fldChar w:fldCharType="end"/>
            </w:r>
          </w:hyperlink>
        </w:p>
        <w:p w:rsidR="00167869" w:rsidRDefault="004322A4" w:rsidP="000447F6">
          <w:pPr>
            <w:pStyle w:val="Heading1"/>
            <w:spacing w:before="0" w:line="240" w:lineRule="auto"/>
            <w:rPr>
              <w:rFonts w:ascii="Arial" w:hAnsi="Arial" w:cs="Arial"/>
              <w:b w:val="0"/>
              <w:bCs w:val="0"/>
              <w:noProof/>
              <w:sz w:val="19"/>
              <w:szCs w:val="19"/>
            </w:rPr>
          </w:pPr>
          <w:r w:rsidRPr="005172AC">
            <w:rPr>
              <w:rFonts w:ascii="Arial" w:hAnsi="Arial" w:cs="Arial"/>
              <w:b w:val="0"/>
              <w:bCs w:val="0"/>
              <w:noProof/>
              <w:sz w:val="20"/>
              <w:szCs w:val="20"/>
            </w:rPr>
            <w:lastRenderedPageBreak/>
            <w:fldChar w:fldCharType="end"/>
          </w:r>
        </w:p>
      </w:sdtContent>
    </w:sdt>
    <w:bookmarkStart w:id="0" w:name="_Toc460917293" w:displacedByCustomXml="prev"/>
    <w:p w:rsidR="004322A4" w:rsidRPr="00167869" w:rsidRDefault="004322A4" w:rsidP="000447F6">
      <w:pPr>
        <w:pStyle w:val="Heading1"/>
        <w:spacing w:before="0" w:line="240" w:lineRule="auto"/>
        <w:rPr>
          <w:rFonts w:ascii="Myriad Pro" w:hAnsi="Myriad Pro"/>
          <w:b w:val="0"/>
          <w:color w:val="31849B" w:themeColor="accent5" w:themeShade="BF"/>
        </w:rPr>
      </w:pPr>
      <w:r w:rsidRPr="00167869">
        <w:rPr>
          <w:rFonts w:ascii="Myriad Pro" w:hAnsi="Myriad Pro"/>
          <w:b w:val="0"/>
          <w:color w:val="31849B" w:themeColor="accent5" w:themeShade="BF"/>
        </w:rPr>
        <w:t>Executive summary</w:t>
      </w:r>
      <w:bookmarkEnd w:id="0"/>
    </w:p>
    <w:p w:rsid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r w:rsidRPr="00881686">
        <w:rPr>
          <w:rFonts w:ascii="Arial" w:hAnsi="Arial" w:cs="Arial"/>
          <w:sz w:val="20"/>
          <w:szCs w:val="20"/>
        </w:rPr>
        <w:t xml:space="preserve">The Fair Work Ombudsman (FWO) has conducted its first assessment against the Regulator Performance Framework for the period 1 July 2015 to 30 June 2016. Throughout 2015-16, the FWO continued to listen closely to regulated entities – that is employers, employees and the groups that represent them - to identify ways to decrease the burden of interacting with the agency.   </w:t>
      </w: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r w:rsidRPr="00881686">
        <w:rPr>
          <w:rFonts w:ascii="Arial" w:hAnsi="Arial" w:cs="Arial"/>
          <w:sz w:val="20"/>
          <w:szCs w:val="20"/>
        </w:rPr>
        <w:t xml:space="preserve">The FWO is achieving a balance between assisting customers to get the basics right and resolve problems early in their workplaces, and bringing about sustainable change in non-compliant industries, regions and labour markets. We will continue to support small business to understand and apply workplace laws and focus on vulnerable groups, </w:t>
      </w:r>
      <w:r w:rsidR="00487D1D">
        <w:rPr>
          <w:rFonts w:ascii="Arial" w:hAnsi="Arial" w:cs="Arial"/>
          <w:sz w:val="20"/>
          <w:szCs w:val="20"/>
        </w:rPr>
        <w:t>including</w:t>
      </w:r>
      <w:r w:rsidRPr="00881686">
        <w:rPr>
          <w:rFonts w:ascii="Arial" w:hAnsi="Arial" w:cs="Arial"/>
          <w:sz w:val="20"/>
          <w:szCs w:val="20"/>
        </w:rPr>
        <w:t xml:space="preserve"> migrant workers and young workers.</w:t>
      </w: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r w:rsidRPr="00881686">
        <w:rPr>
          <w:rFonts w:ascii="Arial" w:hAnsi="Arial" w:cs="Arial"/>
          <w:sz w:val="20"/>
          <w:szCs w:val="20"/>
        </w:rPr>
        <w:t>With our focus on vulnerable workers and migrant</w:t>
      </w:r>
      <w:r w:rsidR="00487D1D">
        <w:rPr>
          <w:rFonts w:ascii="Arial" w:hAnsi="Arial" w:cs="Arial"/>
          <w:sz w:val="20"/>
          <w:szCs w:val="20"/>
        </w:rPr>
        <w:t xml:space="preserve"> small</w:t>
      </w:r>
      <w:r w:rsidRPr="00881686">
        <w:rPr>
          <w:rFonts w:ascii="Arial" w:hAnsi="Arial" w:cs="Arial"/>
          <w:sz w:val="20"/>
          <w:szCs w:val="20"/>
        </w:rPr>
        <w:t xml:space="preserve"> business operators, the FWO is engaging with a broader range of stakeholders than ever before; consultation with community groups is now </w:t>
      </w:r>
      <w:r w:rsidR="004912F7">
        <w:rPr>
          <w:rFonts w:ascii="Arial" w:hAnsi="Arial" w:cs="Arial"/>
          <w:sz w:val="20"/>
          <w:szCs w:val="20"/>
        </w:rPr>
        <w:t>a fundamental part of the way we conduct</w:t>
      </w:r>
      <w:r w:rsidRPr="00881686">
        <w:rPr>
          <w:rFonts w:ascii="Arial" w:hAnsi="Arial" w:cs="Arial"/>
          <w:sz w:val="20"/>
          <w:szCs w:val="20"/>
        </w:rPr>
        <w:t xml:space="preserve"> our business. We recognise that </w:t>
      </w:r>
      <w:r w:rsidR="00487D1D">
        <w:rPr>
          <w:rFonts w:ascii="Arial" w:hAnsi="Arial" w:cs="Arial"/>
          <w:sz w:val="20"/>
          <w:szCs w:val="20"/>
        </w:rPr>
        <w:t xml:space="preserve">vulnerable workers and the businesses that employ </w:t>
      </w:r>
      <w:r w:rsidR="00EF31DC">
        <w:rPr>
          <w:rFonts w:ascii="Arial" w:hAnsi="Arial" w:cs="Arial"/>
          <w:sz w:val="20"/>
          <w:szCs w:val="20"/>
        </w:rPr>
        <w:t xml:space="preserve">them </w:t>
      </w:r>
      <w:r w:rsidR="00EF31DC" w:rsidRPr="00881686">
        <w:rPr>
          <w:rFonts w:ascii="Arial" w:hAnsi="Arial" w:cs="Arial"/>
          <w:sz w:val="20"/>
          <w:szCs w:val="20"/>
        </w:rPr>
        <w:t>have</w:t>
      </w:r>
      <w:r w:rsidRPr="00881686">
        <w:rPr>
          <w:rFonts w:ascii="Arial" w:hAnsi="Arial" w:cs="Arial"/>
          <w:sz w:val="20"/>
          <w:szCs w:val="20"/>
        </w:rPr>
        <w:t xml:space="preserve"> particular needs and face greater barriers to achieving compliance. For these individuals and businesses, getting the </w:t>
      </w:r>
      <w:r w:rsidR="004912F7">
        <w:rPr>
          <w:rFonts w:ascii="Arial" w:hAnsi="Arial" w:cs="Arial"/>
          <w:sz w:val="20"/>
          <w:szCs w:val="20"/>
        </w:rPr>
        <w:t>‘</w:t>
      </w:r>
      <w:r w:rsidRPr="00881686">
        <w:rPr>
          <w:rFonts w:ascii="Arial" w:hAnsi="Arial" w:cs="Arial"/>
          <w:sz w:val="20"/>
          <w:szCs w:val="20"/>
        </w:rPr>
        <w:t>basics</w:t>
      </w:r>
      <w:r w:rsidR="004912F7">
        <w:rPr>
          <w:rFonts w:ascii="Arial" w:hAnsi="Arial" w:cs="Arial"/>
          <w:sz w:val="20"/>
          <w:szCs w:val="20"/>
        </w:rPr>
        <w:t>’</w:t>
      </w:r>
      <w:r w:rsidRPr="00881686">
        <w:rPr>
          <w:rFonts w:ascii="Arial" w:hAnsi="Arial" w:cs="Arial"/>
          <w:sz w:val="20"/>
          <w:szCs w:val="20"/>
        </w:rPr>
        <w:t xml:space="preserve"> right is often difficult and the burden of regulatory intervention can be acute. </w:t>
      </w:r>
    </w:p>
    <w:p w:rsidR="00881686" w:rsidRPr="00881686" w:rsidRDefault="00881686" w:rsidP="00642E36">
      <w:pPr>
        <w:spacing w:after="0" w:line="240" w:lineRule="auto"/>
        <w:rPr>
          <w:rFonts w:ascii="Arial" w:hAnsi="Arial" w:cs="Arial"/>
          <w:sz w:val="20"/>
          <w:szCs w:val="20"/>
        </w:rPr>
      </w:pPr>
    </w:p>
    <w:p w:rsidR="00881686" w:rsidRPr="00881686" w:rsidRDefault="00487D1D" w:rsidP="00642E36">
      <w:pPr>
        <w:spacing w:after="0" w:line="240" w:lineRule="auto"/>
        <w:rPr>
          <w:rFonts w:ascii="Arial" w:hAnsi="Arial" w:cs="Arial"/>
          <w:sz w:val="20"/>
          <w:szCs w:val="20"/>
        </w:rPr>
      </w:pPr>
      <w:r>
        <w:rPr>
          <w:rFonts w:ascii="Arial" w:hAnsi="Arial" w:cs="Arial"/>
          <w:sz w:val="20"/>
          <w:szCs w:val="20"/>
        </w:rPr>
        <w:t>While w</w:t>
      </w:r>
      <w:r w:rsidR="00881686" w:rsidRPr="00881686">
        <w:rPr>
          <w:rFonts w:ascii="Arial" w:hAnsi="Arial" w:cs="Arial"/>
          <w:sz w:val="20"/>
          <w:szCs w:val="20"/>
        </w:rPr>
        <w:t xml:space="preserve">e are making progress </w:t>
      </w:r>
      <w:r>
        <w:rPr>
          <w:rFonts w:ascii="Arial" w:hAnsi="Arial" w:cs="Arial"/>
          <w:sz w:val="20"/>
          <w:szCs w:val="20"/>
        </w:rPr>
        <w:t xml:space="preserve">in these areas, we continue to look for </w:t>
      </w:r>
      <w:r w:rsidR="00EF31DC">
        <w:rPr>
          <w:rFonts w:ascii="Arial" w:hAnsi="Arial" w:cs="Arial"/>
          <w:sz w:val="20"/>
          <w:szCs w:val="20"/>
        </w:rPr>
        <w:t>ways to</w:t>
      </w:r>
      <w:r>
        <w:rPr>
          <w:rFonts w:ascii="Arial" w:hAnsi="Arial" w:cs="Arial"/>
          <w:sz w:val="20"/>
          <w:szCs w:val="20"/>
        </w:rPr>
        <w:t xml:space="preserve"> improve how we measure our impact. </w:t>
      </w:r>
      <w:r w:rsidR="00881686" w:rsidRPr="00881686">
        <w:rPr>
          <w:rFonts w:ascii="Arial" w:hAnsi="Arial" w:cs="Arial"/>
          <w:sz w:val="20"/>
          <w:szCs w:val="20"/>
        </w:rPr>
        <w:t>This includes better measurement of our efforts to reduce our regulatory burden; publishing more information about our activities and strategies; and investing in technology to streamline processes and improve our service offerings.</w:t>
      </w:r>
    </w:p>
    <w:p w:rsidR="00D64C03" w:rsidRPr="00881686" w:rsidRDefault="00D64C03" w:rsidP="00642E36">
      <w:pPr>
        <w:spacing w:after="0" w:line="240" w:lineRule="auto"/>
        <w:rPr>
          <w:rFonts w:ascii="Arial" w:hAnsi="Arial" w:cs="Arial"/>
          <w:sz w:val="20"/>
          <w:szCs w:val="20"/>
        </w:rPr>
      </w:pPr>
    </w:p>
    <w:p w:rsidR="00881686" w:rsidRPr="004322A4" w:rsidRDefault="00881686" w:rsidP="00642E36">
      <w:pPr>
        <w:spacing w:after="0" w:line="240" w:lineRule="auto"/>
        <w:rPr>
          <w:rFonts w:ascii="Myriad Pro" w:hAnsi="Myriad Pro"/>
          <w:color w:val="31849B" w:themeColor="accent5" w:themeShade="BF"/>
          <w:sz w:val="28"/>
          <w:szCs w:val="28"/>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970593" w:rsidRDefault="00970593" w:rsidP="00970593">
      <w:pPr>
        <w:pStyle w:val="Heade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p>
    <w:p w:rsidR="00881686" w:rsidRDefault="00881686"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D75649" w:rsidRDefault="00D75649" w:rsidP="00642E36">
      <w:pPr>
        <w:spacing w:after="0" w:line="240" w:lineRule="auto"/>
        <w:rPr>
          <w:rFonts w:ascii="Arial" w:hAnsi="Arial" w:cs="Arial"/>
          <w:sz w:val="20"/>
          <w:szCs w:val="20"/>
        </w:rPr>
      </w:pPr>
    </w:p>
    <w:p w:rsidR="00D75649" w:rsidRDefault="00D75649" w:rsidP="00642E36">
      <w:pPr>
        <w:spacing w:after="0" w:line="240" w:lineRule="auto"/>
        <w:rPr>
          <w:rFonts w:ascii="Arial" w:hAnsi="Arial" w:cs="Arial"/>
          <w:sz w:val="20"/>
          <w:szCs w:val="20"/>
        </w:rPr>
      </w:pPr>
    </w:p>
    <w:p w:rsidR="00D75649" w:rsidRDefault="00D75649" w:rsidP="00642E36">
      <w:pPr>
        <w:spacing w:after="0" w:line="240" w:lineRule="auto"/>
        <w:rPr>
          <w:rFonts w:ascii="Arial" w:hAnsi="Arial" w:cs="Arial"/>
          <w:sz w:val="20"/>
          <w:szCs w:val="20"/>
        </w:rPr>
      </w:pPr>
    </w:p>
    <w:p w:rsidR="00D75649" w:rsidRDefault="00D75649"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4322A4" w:rsidRPr="004322A4" w:rsidRDefault="004322A4" w:rsidP="00642E36">
      <w:pPr>
        <w:pStyle w:val="Heading1"/>
        <w:spacing w:before="0" w:line="240" w:lineRule="auto"/>
        <w:rPr>
          <w:rFonts w:ascii="Myriad Pro" w:hAnsi="Myriad Pro"/>
          <w:b w:val="0"/>
          <w:color w:val="31849B" w:themeColor="accent5" w:themeShade="BF"/>
        </w:rPr>
      </w:pPr>
      <w:bookmarkStart w:id="1" w:name="_Toc460917294"/>
      <w:r w:rsidRPr="004322A4">
        <w:rPr>
          <w:rFonts w:ascii="Myriad Pro" w:hAnsi="Myriad Pro"/>
          <w:b w:val="0"/>
          <w:color w:val="31849B" w:themeColor="accent5" w:themeShade="BF"/>
        </w:rPr>
        <w:lastRenderedPageBreak/>
        <w:t>Introduction</w:t>
      </w:r>
      <w:bookmarkEnd w:id="1"/>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r w:rsidRPr="00EC47FB">
        <w:rPr>
          <w:rFonts w:ascii="Arial" w:hAnsi="Arial" w:cs="Arial"/>
          <w:sz w:val="20"/>
          <w:szCs w:val="20"/>
        </w:rPr>
        <w:t xml:space="preserve">The Australian Government has developed </w:t>
      </w:r>
      <w:r>
        <w:rPr>
          <w:rFonts w:ascii="Arial" w:hAnsi="Arial" w:cs="Arial"/>
          <w:sz w:val="20"/>
          <w:szCs w:val="20"/>
        </w:rPr>
        <w:t>the Regulator Performance F</w:t>
      </w:r>
      <w:r w:rsidRPr="00EC47FB">
        <w:rPr>
          <w:rFonts w:ascii="Arial" w:hAnsi="Arial" w:cs="Arial"/>
          <w:sz w:val="20"/>
          <w:szCs w:val="20"/>
        </w:rPr>
        <w:t>ramework</w:t>
      </w:r>
      <w:r w:rsidR="009C7256">
        <w:rPr>
          <w:rFonts w:ascii="Arial" w:hAnsi="Arial" w:cs="Arial"/>
          <w:sz w:val="20"/>
          <w:szCs w:val="20"/>
        </w:rPr>
        <w:t xml:space="preserve"> (the Framework)</w:t>
      </w:r>
      <w:r w:rsidRPr="00EC47FB">
        <w:rPr>
          <w:rFonts w:ascii="Arial" w:hAnsi="Arial" w:cs="Arial"/>
          <w:sz w:val="20"/>
          <w:szCs w:val="20"/>
        </w:rPr>
        <w:t xml:space="preserve"> to measure the performance of regulators</w:t>
      </w:r>
      <w:r>
        <w:rPr>
          <w:rFonts w:ascii="Arial" w:hAnsi="Arial" w:cs="Arial"/>
          <w:sz w:val="20"/>
          <w:szCs w:val="20"/>
        </w:rPr>
        <w:t>.</w:t>
      </w:r>
      <w:r w:rsidRPr="00EC47FB">
        <w:rPr>
          <w:rFonts w:ascii="Arial" w:hAnsi="Arial" w:cs="Arial"/>
          <w:sz w:val="20"/>
          <w:szCs w:val="20"/>
        </w:rPr>
        <w:t xml:space="preserve"> The </w:t>
      </w:r>
      <w:r>
        <w:rPr>
          <w:rFonts w:ascii="Arial" w:hAnsi="Arial" w:cs="Arial"/>
          <w:sz w:val="20"/>
          <w:szCs w:val="20"/>
        </w:rPr>
        <w:t>Framework applies</w:t>
      </w:r>
      <w:r w:rsidRPr="008E0D25">
        <w:rPr>
          <w:rFonts w:ascii="Arial" w:hAnsi="Arial" w:cs="Arial"/>
          <w:sz w:val="20"/>
          <w:szCs w:val="20"/>
        </w:rPr>
        <w:t xml:space="preserve"> </w:t>
      </w:r>
      <w:r>
        <w:rPr>
          <w:rFonts w:ascii="Arial" w:hAnsi="Arial" w:cs="Arial"/>
          <w:sz w:val="20"/>
          <w:szCs w:val="20"/>
        </w:rPr>
        <w:t xml:space="preserve">to </w:t>
      </w:r>
      <w:r w:rsidRPr="008E0D25">
        <w:rPr>
          <w:rFonts w:ascii="Arial" w:hAnsi="Arial" w:cs="Arial"/>
          <w:sz w:val="20"/>
          <w:szCs w:val="20"/>
        </w:rPr>
        <w:t>Commonwealth regulators from 1 July 2015.</w:t>
      </w:r>
      <w:r>
        <w:rPr>
          <w:rFonts w:ascii="Arial" w:hAnsi="Arial" w:cs="Arial"/>
          <w:sz w:val="20"/>
          <w:szCs w:val="20"/>
        </w:rPr>
        <w:t xml:space="preserve"> </w:t>
      </w: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r w:rsidRPr="00EC47FB">
        <w:rPr>
          <w:rFonts w:ascii="Arial" w:hAnsi="Arial" w:cs="Arial"/>
          <w:sz w:val="20"/>
          <w:szCs w:val="20"/>
        </w:rPr>
        <w:t>The</w:t>
      </w:r>
      <w:r>
        <w:rPr>
          <w:rFonts w:ascii="Arial" w:hAnsi="Arial" w:cs="Arial"/>
          <w:sz w:val="20"/>
          <w:szCs w:val="20"/>
        </w:rPr>
        <w:t xml:space="preserve"> objective of</w:t>
      </w:r>
      <w:r w:rsidRPr="00EC47FB">
        <w:rPr>
          <w:rFonts w:ascii="Arial" w:hAnsi="Arial" w:cs="Arial"/>
          <w:sz w:val="20"/>
          <w:szCs w:val="20"/>
        </w:rPr>
        <w:t xml:space="preserve"> </w:t>
      </w:r>
      <w:r>
        <w:rPr>
          <w:rFonts w:ascii="Arial" w:hAnsi="Arial" w:cs="Arial"/>
          <w:sz w:val="20"/>
          <w:szCs w:val="20"/>
        </w:rPr>
        <w:t xml:space="preserve">the </w:t>
      </w:r>
      <w:r w:rsidRPr="00EC47FB">
        <w:rPr>
          <w:rFonts w:ascii="Arial" w:hAnsi="Arial" w:cs="Arial"/>
          <w:sz w:val="20"/>
          <w:szCs w:val="20"/>
        </w:rPr>
        <w:t>Framework is to encourage regulators to undertake their functions with the minimum impact necessary to achieve regulatory objectives</w:t>
      </w:r>
      <w:r>
        <w:rPr>
          <w:rFonts w:ascii="Arial" w:hAnsi="Arial" w:cs="Arial"/>
          <w:sz w:val="20"/>
          <w:szCs w:val="20"/>
        </w:rPr>
        <w:t>, as well as</w:t>
      </w:r>
      <w:r w:rsidRPr="00EC47FB">
        <w:rPr>
          <w:rFonts w:ascii="Arial" w:hAnsi="Arial" w:cs="Arial"/>
          <w:sz w:val="20"/>
          <w:szCs w:val="20"/>
        </w:rPr>
        <w:t xml:space="preserve"> to </w:t>
      </w:r>
      <w:r w:rsidR="009C7256">
        <w:rPr>
          <w:rFonts w:ascii="Arial" w:hAnsi="Arial" w:cs="Arial"/>
          <w:sz w:val="20"/>
          <w:szCs w:val="20"/>
        </w:rPr>
        <w:t>influence</w:t>
      </w:r>
      <w:r w:rsidRPr="00EC47FB">
        <w:rPr>
          <w:rFonts w:ascii="Arial" w:hAnsi="Arial" w:cs="Arial"/>
          <w:sz w:val="20"/>
          <w:szCs w:val="20"/>
        </w:rPr>
        <w:t xml:space="preserve"> positive</w:t>
      </w:r>
      <w:r>
        <w:rPr>
          <w:rFonts w:ascii="Arial" w:hAnsi="Arial" w:cs="Arial"/>
          <w:sz w:val="20"/>
          <w:szCs w:val="20"/>
        </w:rPr>
        <w:t>,</w:t>
      </w:r>
      <w:r w:rsidRPr="00EC47FB">
        <w:rPr>
          <w:rFonts w:ascii="Arial" w:hAnsi="Arial" w:cs="Arial"/>
          <w:sz w:val="20"/>
          <w:szCs w:val="20"/>
        </w:rPr>
        <w:t xml:space="preserve"> ongoing and lasting change.</w:t>
      </w:r>
      <w:r>
        <w:rPr>
          <w:rFonts w:ascii="Arial" w:hAnsi="Arial" w:cs="Arial"/>
          <w:sz w:val="20"/>
          <w:szCs w:val="20"/>
        </w:rPr>
        <w:t xml:space="preserve"> </w:t>
      </w: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r w:rsidRPr="008E0D25">
        <w:rPr>
          <w:rFonts w:ascii="Arial" w:hAnsi="Arial" w:cs="Arial"/>
          <w:sz w:val="20"/>
          <w:szCs w:val="20"/>
        </w:rPr>
        <w:t xml:space="preserve">The </w:t>
      </w:r>
      <w:r>
        <w:rPr>
          <w:rFonts w:ascii="Arial" w:hAnsi="Arial" w:cs="Arial"/>
          <w:sz w:val="20"/>
          <w:szCs w:val="20"/>
        </w:rPr>
        <w:t>F</w:t>
      </w:r>
      <w:r w:rsidRPr="008E0D25">
        <w:rPr>
          <w:rFonts w:ascii="Arial" w:hAnsi="Arial" w:cs="Arial"/>
          <w:sz w:val="20"/>
          <w:szCs w:val="20"/>
        </w:rPr>
        <w:t>ramework establishes a common set of six outcomes-based key performance</w:t>
      </w:r>
      <w:r>
        <w:rPr>
          <w:rFonts w:ascii="Arial" w:hAnsi="Arial" w:cs="Arial"/>
          <w:sz w:val="20"/>
          <w:szCs w:val="20"/>
        </w:rPr>
        <w:t xml:space="preserve"> </w:t>
      </w:r>
      <w:r w:rsidRPr="008E0D25">
        <w:rPr>
          <w:rFonts w:ascii="Arial" w:hAnsi="Arial" w:cs="Arial"/>
          <w:sz w:val="20"/>
          <w:szCs w:val="20"/>
        </w:rPr>
        <w:t>indicators (</w:t>
      </w:r>
      <w:proofErr w:type="spellStart"/>
      <w:r w:rsidRPr="008E0D25">
        <w:rPr>
          <w:rFonts w:ascii="Arial" w:hAnsi="Arial" w:cs="Arial"/>
          <w:sz w:val="20"/>
          <w:szCs w:val="20"/>
        </w:rPr>
        <w:t>KPIs</w:t>
      </w:r>
      <w:proofErr w:type="spellEnd"/>
      <w:r w:rsidRPr="008E0D25">
        <w:rPr>
          <w:rFonts w:ascii="Arial" w:hAnsi="Arial" w:cs="Arial"/>
          <w:sz w:val="20"/>
          <w:szCs w:val="20"/>
        </w:rPr>
        <w:t>) that will allow for the comprehensive assessment of regulator performance</w:t>
      </w:r>
      <w:r>
        <w:rPr>
          <w:rFonts w:ascii="Arial" w:hAnsi="Arial" w:cs="Arial"/>
          <w:sz w:val="20"/>
          <w:szCs w:val="20"/>
        </w:rPr>
        <w:t xml:space="preserve"> </w:t>
      </w:r>
      <w:r w:rsidRPr="008E0D25">
        <w:rPr>
          <w:rFonts w:ascii="Arial" w:hAnsi="Arial" w:cs="Arial"/>
          <w:sz w:val="20"/>
          <w:szCs w:val="20"/>
        </w:rPr>
        <w:t xml:space="preserve">and their </w:t>
      </w:r>
      <w:r>
        <w:rPr>
          <w:rFonts w:ascii="Arial" w:hAnsi="Arial" w:cs="Arial"/>
          <w:sz w:val="20"/>
          <w:szCs w:val="20"/>
        </w:rPr>
        <w:t>interactions</w:t>
      </w:r>
      <w:r w:rsidRPr="008E0D25">
        <w:rPr>
          <w:rFonts w:ascii="Arial" w:hAnsi="Arial" w:cs="Arial"/>
          <w:sz w:val="20"/>
          <w:szCs w:val="20"/>
        </w:rPr>
        <w:t xml:space="preserve"> with </w:t>
      </w:r>
      <w:r>
        <w:rPr>
          <w:rFonts w:ascii="Arial" w:hAnsi="Arial" w:cs="Arial"/>
          <w:sz w:val="20"/>
          <w:szCs w:val="20"/>
        </w:rPr>
        <w:t>regulated entities</w:t>
      </w:r>
      <w:r w:rsidRPr="008E0D25">
        <w:rPr>
          <w:rFonts w:ascii="Arial" w:hAnsi="Arial" w:cs="Arial"/>
          <w:sz w:val="20"/>
          <w:szCs w:val="20"/>
        </w:rPr>
        <w:t>, specifically:</w:t>
      </w:r>
    </w:p>
    <w:p w:rsidR="004322A4" w:rsidRPr="008E0D25" w:rsidRDefault="004322A4" w:rsidP="00642E36">
      <w:pPr>
        <w:spacing w:after="0" w:line="240" w:lineRule="auto"/>
        <w:rPr>
          <w:rFonts w:ascii="Arial" w:hAnsi="Arial" w:cs="Arial"/>
          <w:sz w:val="20"/>
          <w:szCs w:val="20"/>
        </w:rPr>
      </w:pPr>
    </w:p>
    <w:p w:rsidR="004322A4" w:rsidRPr="002855BE" w:rsidRDefault="004322A4" w:rsidP="00CF5264">
      <w:pPr>
        <w:pStyle w:val="ListParagraph"/>
        <w:numPr>
          <w:ilvl w:val="0"/>
          <w:numId w:val="1"/>
        </w:numPr>
        <w:spacing w:after="0" w:line="240" w:lineRule="auto"/>
        <w:ind w:left="709"/>
        <w:rPr>
          <w:rFonts w:ascii="Arial" w:hAnsi="Arial" w:cs="Arial"/>
          <w:sz w:val="20"/>
          <w:szCs w:val="20"/>
        </w:rPr>
      </w:pPr>
      <w:r w:rsidRPr="002855BE">
        <w:rPr>
          <w:rFonts w:ascii="Arial" w:hAnsi="Arial" w:cs="Arial"/>
          <w:sz w:val="20"/>
          <w:szCs w:val="20"/>
        </w:rPr>
        <w:t>Regulators do not unnecessarily impede the efficient operation of regulated entities</w:t>
      </w:r>
    </w:p>
    <w:p w:rsidR="004322A4" w:rsidRPr="002855BE" w:rsidRDefault="004322A4" w:rsidP="00CF5264">
      <w:pPr>
        <w:pStyle w:val="ListParagraph"/>
        <w:numPr>
          <w:ilvl w:val="0"/>
          <w:numId w:val="1"/>
        </w:numPr>
        <w:spacing w:after="0" w:line="240" w:lineRule="auto"/>
        <w:ind w:left="709"/>
        <w:rPr>
          <w:rFonts w:ascii="Arial" w:hAnsi="Arial" w:cs="Arial"/>
          <w:sz w:val="20"/>
          <w:szCs w:val="20"/>
        </w:rPr>
      </w:pPr>
      <w:r w:rsidRPr="002855BE">
        <w:rPr>
          <w:rFonts w:ascii="Arial" w:hAnsi="Arial" w:cs="Arial"/>
          <w:sz w:val="20"/>
          <w:szCs w:val="20"/>
        </w:rPr>
        <w:t>Communication with regulated entities is clear, targeted and effective</w:t>
      </w:r>
    </w:p>
    <w:p w:rsidR="004322A4" w:rsidRPr="002855BE" w:rsidRDefault="004322A4" w:rsidP="00CF5264">
      <w:pPr>
        <w:pStyle w:val="ListParagraph"/>
        <w:numPr>
          <w:ilvl w:val="0"/>
          <w:numId w:val="1"/>
        </w:numPr>
        <w:spacing w:after="0" w:line="240" w:lineRule="auto"/>
        <w:ind w:left="709"/>
        <w:rPr>
          <w:rFonts w:ascii="Arial" w:hAnsi="Arial" w:cs="Arial"/>
          <w:sz w:val="20"/>
          <w:szCs w:val="20"/>
        </w:rPr>
      </w:pPr>
      <w:r w:rsidRPr="002855BE">
        <w:rPr>
          <w:rFonts w:ascii="Arial" w:hAnsi="Arial" w:cs="Arial"/>
          <w:sz w:val="20"/>
          <w:szCs w:val="20"/>
        </w:rPr>
        <w:t>Actions undertaken by regulators are proportionate to the regulatory risk being managed</w:t>
      </w:r>
    </w:p>
    <w:p w:rsidR="004322A4" w:rsidRPr="002855BE" w:rsidRDefault="004322A4" w:rsidP="00CF5264">
      <w:pPr>
        <w:pStyle w:val="ListParagraph"/>
        <w:numPr>
          <w:ilvl w:val="0"/>
          <w:numId w:val="1"/>
        </w:numPr>
        <w:spacing w:after="0" w:line="240" w:lineRule="auto"/>
        <w:ind w:left="709"/>
        <w:rPr>
          <w:rFonts w:ascii="Arial" w:hAnsi="Arial" w:cs="Arial"/>
          <w:sz w:val="20"/>
          <w:szCs w:val="20"/>
        </w:rPr>
      </w:pPr>
      <w:r w:rsidRPr="002855BE">
        <w:rPr>
          <w:rFonts w:ascii="Arial" w:hAnsi="Arial" w:cs="Arial"/>
          <w:sz w:val="20"/>
          <w:szCs w:val="20"/>
        </w:rPr>
        <w:t>Compliance and monitoring approaches are streamlined and coordinated</w:t>
      </w:r>
    </w:p>
    <w:p w:rsidR="004322A4" w:rsidRPr="002855BE" w:rsidRDefault="004322A4" w:rsidP="00CF5264">
      <w:pPr>
        <w:pStyle w:val="ListParagraph"/>
        <w:numPr>
          <w:ilvl w:val="0"/>
          <w:numId w:val="1"/>
        </w:numPr>
        <w:spacing w:after="0" w:line="240" w:lineRule="auto"/>
        <w:ind w:left="709"/>
        <w:rPr>
          <w:rFonts w:ascii="Arial" w:hAnsi="Arial" w:cs="Arial"/>
          <w:sz w:val="20"/>
          <w:szCs w:val="20"/>
        </w:rPr>
      </w:pPr>
      <w:r w:rsidRPr="002855BE">
        <w:rPr>
          <w:rFonts w:ascii="Arial" w:hAnsi="Arial" w:cs="Arial"/>
          <w:sz w:val="20"/>
          <w:szCs w:val="20"/>
        </w:rPr>
        <w:t>Regulators are open and transparent in their dealings with regulated entities</w:t>
      </w:r>
    </w:p>
    <w:p w:rsidR="004322A4" w:rsidRPr="002855BE" w:rsidRDefault="004322A4" w:rsidP="00CF5264">
      <w:pPr>
        <w:pStyle w:val="ListParagraph"/>
        <w:numPr>
          <w:ilvl w:val="0"/>
          <w:numId w:val="1"/>
        </w:numPr>
        <w:spacing w:after="0" w:line="240" w:lineRule="auto"/>
        <w:ind w:left="709"/>
        <w:rPr>
          <w:rFonts w:ascii="Arial" w:hAnsi="Arial" w:cs="Arial"/>
          <w:sz w:val="20"/>
          <w:szCs w:val="20"/>
        </w:rPr>
      </w:pPr>
      <w:r w:rsidRPr="002855BE">
        <w:rPr>
          <w:rFonts w:ascii="Arial" w:hAnsi="Arial" w:cs="Arial"/>
          <w:sz w:val="20"/>
          <w:szCs w:val="20"/>
        </w:rPr>
        <w:t>Regulators actively contribute to the continuous improvement of regulatory frameworks</w:t>
      </w:r>
    </w:p>
    <w:p w:rsidR="004322A4" w:rsidRDefault="004322A4" w:rsidP="00642E36">
      <w:pPr>
        <w:spacing w:after="0" w:line="240" w:lineRule="auto"/>
        <w:rPr>
          <w:rFonts w:ascii="Myriad Pro" w:hAnsi="Myriad Pro" w:cs="Arial"/>
          <w:color w:val="31849B" w:themeColor="accent5" w:themeShade="BF"/>
          <w:sz w:val="28"/>
          <w:szCs w:val="28"/>
        </w:rPr>
      </w:pPr>
    </w:p>
    <w:p w:rsidR="004322A4" w:rsidRPr="00E524C7" w:rsidRDefault="00DB415F" w:rsidP="00642E36">
      <w:pPr>
        <w:spacing w:after="0" w:line="240" w:lineRule="auto"/>
        <w:rPr>
          <w:rFonts w:ascii="Arial" w:hAnsi="Arial" w:cs="Arial"/>
          <w:sz w:val="20"/>
          <w:szCs w:val="20"/>
        </w:rPr>
      </w:pPr>
      <w:r w:rsidRPr="00E524C7">
        <w:rPr>
          <w:rFonts w:ascii="Arial" w:hAnsi="Arial" w:cs="Arial"/>
          <w:sz w:val="20"/>
          <w:szCs w:val="20"/>
        </w:rPr>
        <w:t>The Fair Work Ombudsman (FWO) support</w:t>
      </w:r>
      <w:r w:rsidR="002E3357" w:rsidRPr="00E524C7">
        <w:rPr>
          <w:rFonts w:ascii="Arial" w:hAnsi="Arial" w:cs="Arial"/>
          <w:sz w:val="20"/>
          <w:szCs w:val="20"/>
        </w:rPr>
        <w:t>s</w:t>
      </w:r>
      <w:r w:rsidRPr="00E524C7">
        <w:rPr>
          <w:rFonts w:ascii="Arial" w:hAnsi="Arial" w:cs="Arial"/>
          <w:sz w:val="20"/>
          <w:szCs w:val="20"/>
        </w:rPr>
        <w:t xml:space="preserve"> the Fram</w:t>
      </w:r>
      <w:r w:rsidR="002E3357" w:rsidRPr="00E524C7">
        <w:rPr>
          <w:rFonts w:ascii="Arial" w:hAnsi="Arial" w:cs="Arial"/>
          <w:sz w:val="20"/>
          <w:szCs w:val="20"/>
        </w:rPr>
        <w:t>e</w:t>
      </w:r>
      <w:r w:rsidRPr="00E524C7">
        <w:rPr>
          <w:rFonts w:ascii="Arial" w:hAnsi="Arial" w:cs="Arial"/>
          <w:sz w:val="20"/>
          <w:szCs w:val="20"/>
        </w:rPr>
        <w:t xml:space="preserve">work, as it allows the </w:t>
      </w:r>
      <w:r w:rsidR="002E3357" w:rsidRPr="00E524C7">
        <w:rPr>
          <w:rFonts w:ascii="Arial" w:hAnsi="Arial" w:cs="Arial"/>
          <w:sz w:val="20"/>
          <w:szCs w:val="20"/>
        </w:rPr>
        <w:t xml:space="preserve">agency </w:t>
      </w:r>
      <w:r w:rsidRPr="00E524C7">
        <w:rPr>
          <w:rFonts w:ascii="Arial" w:hAnsi="Arial" w:cs="Arial"/>
          <w:sz w:val="20"/>
          <w:szCs w:val="20"/>
        </w:rPr>
        <w:t xml:space="preserve">to report objectively on the outcomes of its efforts to administer the </w:t>
      </w:r>
      <w:r w:rsidRPr="00E524C7">
        <w:rPr>
          <w:rFonts w:ascii="Arial" w:hAnsi="Arial" w:cs="Arial"/>
          <w:i/>
          <w:sz w:val="20"/>
          <w:szCs w:val="20"/>
        </w:rPr>
        <w:t>Fair Work Act 2009</w:t>
      </w:r>
      <w:r w:rsidRPr="00E524C7">
        <w:rPr>
          <w:rFonts w:ascii="Arial" w:hAnsi="Arial" w:cs="Arial"/>
          <w:sz w:val="20"/>
          <w:szCs w:val="20"/>
        </w:rPr>
        <w:t>.</w:t>
      </w:r>
    </w:p>
    <w:p w:rsidR="00DB415F" w:rsidRPr="00DB415F" w:rsidRDefault="00DB415F" w:rsidP="00642E36">
      <w:pPr>
        <w:spacing w:after="0" w:line="240" w:lineRule="auto"/>
        <w:rPr>
          <w:rFonts w:ascii="Arial" w:hAnsi="Arial" w:cs="Arial"/>
          <w:color w:val="FF0000"/>
          <w:sz w:val="20"/>
          <w:szCs w:val="20"/>
        </w:rPr>
      </w:pPr>
    </w:p>
    <w:p w:rsidR="004322A4" w:rsidRPr="00421DD8" w:rsidRDefault="004322A4" w:rsidP="00642E36">
      <w:pPr>
        <w:spacing w:after="0" w:line="240" w:lineRule="auto"/>
        <w:rPr>
          <w:rFonts w:ascii="Arial" w:hAnsi="Arial" w:cs="Arial"/>
          <w:sz w:val="20"/>
          <w:szCs w:val="20"/>
        </w:rPr>
      </w:pPr>
      <w:r w:rsidRPr="00421DD8">
        <w:rPr>
          <w:rFonts w:ascii="Arial" w:hAnsi="Arial" w:cs="Arial"/>
          <w:sz w:val="20"/>
          <w:szCs w:val="20"/>
        </w:rPr>
        <w:t>Self-assessment under the Framework will enhance accountability and transparency in how the FWO achieves its regulatory objectives, and contribute to the Australian Government’s deregulation agenda</w:t>
      </w:r>
      <w:r>
        <w:rPr>
          <w:rFonts w:ascii="Arial" w:hAnsi="Arial" w:cs="Arial"/>
          <w:sz w:val="20"/>
          <w:szCs w:val="20"/>
        </w:rPr>
        <w:t xml:space="preserve">, which aims to reduce the cost of unnecessary red tape and inefficient regulation imposed on individuals, business and the community. </w:t>
      </w:r>
      <w:r w:rsidRPr="00421DD8">
        <w:rPr>
          <w:rFonts w:ascii="Arial" w:hAnsi="Arial" w:cs="Arial"/>
          <w:sz w:val="20"/>
          <w:szCs w:val="20"/>
        </w:rPr>
        <w:t xml:space="preserve"> </w:t>
      </w:r>
    </w:p>
    <w:p w:rsidR="004322A4" w:rsidRPr="004322A4" w:rsidRDefault="004322A4" w:rsidP="00642E36">
      <w:pPr>
        <w:spacing w:after="0" w:line="240" w:lineRule="auto"/>
        <w:rPr>
          <w:rFonts w:ascii="Arial" w:hAnsi="Arial" w:cs="Arial"/>
          <w:sz w:val="20"/>
          <w:szCs w:val="20"/>
        </w:rPr>
      </w:pPr>
    </w:p>
    <w:p w:rsidR="004322A4" w:rsidRPr="004322A4" w:rsidRDefault="004322A4" w:rsidP="00642E36">
      <w:pPr>
        <w:spacing w:after="0" w:line="240" w:lineRule="auto"/>
        <w:rPr>
          <w:rFonts w:ascii="Arial" w:hAnsi="Arial" w:cs="Arial"/>
          <w:sz w:val="20"/>
          <w:szCs w:val="20"/>
        </w:rPr>
      </w:pPr>
    </w:p>
    <w:p w:rsidR="00970593" w:rsidRPr="00EF31DC" w:rsidRDefault="00881686" w:rsidP="00EF31DC">
      <w:pPr>
        <w:pStyle w:val="Heading1"/>
        <w:spacing w:before="0" w:line="240" w:lineRule="auto"/>
        <w:rPr>
          <w:rFonts w:ascii="Myriad Pro" w:hAnsi="Myriad Pro"/>
          <w:b w:val="0"/>
          <w:color w:val="31849B" w:themeColor="accent5" w:themeShade="BF"/>
        </w:rPr>
      </w:pPr>
      <w:bookmarkStart w:id="2" w:name="_Toc460917295"/>
      <w:r w:rsidRPr="00EF31DC">
        <w:rPr>
          <w:rFonts w:ascii="Myriad Pro" w:hAnsi="Myriad Pro"/>
          <w:b w:val="0"/>
          <w:color w:val="31849B" w:themeColor="accent5" w:themeShade="BF"/>
        </w:rPr>
        <w:t>Evidence</w:t>
      </w:r>
      <w:bookmarkEnd w:id="2"/>
      <w:r w:rsidRPr="00EF31DC">
        <w:rPr>
          <w:rFonts w:ascii="Myriad Pro" w:hAnsi="Myriad Pro"/>
          <w:b w:val="0"/>
          <w:color w:val="31849B" w:themeColor="accent5" w:themeShade="BF"/>
        </w:rPr>
        <w:t xml:space="preserve"> </w:t>
      </w:r>
    </w:p>
    <w:p w:rsidR="00881686" w:rsidRPr="00881686" w:rsidRDefault="00881686" w:rsidP="00642E36">
      <w:pPr>
        <w:spacing w:after="0" w:line="240" w:lineRule="auto"/>
        <w:rPr>
          <w:rFonts w:ascii="Arial" w:hAnsi="Arial" w:cs="Arial"/>
          <w:color w:val="1F497D" w:themeColor="text2"/>
          <w:sz w:val="20"/>
          <w:szCs w:val="20"/>
        </w:rPr>
      </w:pPr>
    </w:p>
    <w:p w:rsidR="00881686" w:rsidRPr="00881686" w:rsidRDefault="009D2A87" w:rsidP="00642E36">
      <w:pPr>
        <w:spacing w:after="0" w:line="240" w:lineRule="auto"/>
        <w:rPr>
          <w:rFonts w:ascii="Arial" w:hAnsi="Arial" w:cs="Arial"/>
          <w:sz w:val="20"/>
          <w:szCs w:val="20"/>
        </w:rPr>
      </w:pPr>
      <w:r w:rsidRPr="00881686">
        <w:rPr>
          <w:rFonts w:ascii="Arial" w:hAnsi="Arial" w:cs="Arial"/>
          <w:sz w:val="20"/>
          <w:szCs w:val="20"/>
        </w:rPr>
        <w:t xml:space="preserve">The agency has collected a combination of quantitative and qualitative evidence from a range of sources to demonstrate and assess </w:t>
      </w:r>
      <w:r>
        <w:rPr>
          <w:rFonts w:ascii="Arial" w:hAnsi="Arial" w:cs="Arial"/>
          <w:sz w:val="20"/>
          <w:szCs w:val="20"/>
        </w:rPr>
        <w:t>its</w:t>
      </w:r>
      <w:r w:rsidRPr="00881686">
        <w:rPr>
          <w:rFonts w:ascii="Arial" w:hAnsi="Arial" w:cs="Arial"/>
          <w:sz w:val="20"/>
          <w:szCs w:val="20"/>
        </w:rPr>
        <w:t xml:space="preserve"> performance under the </w:t>
      </w:r>
      <w:proofErr w:type="spellStart"/>
      <w:r w:rsidRPr="00881686">
        <w:rPr>
          <w:rFonts w:ascii="Arial" w:hAnsi="Arial" w:cs="Arial"/>
          <w:sz w:val="20"/>
          <w:szCs w:val="20"/>
        </w:rPr>
        <w:t>KPIs</w:t>
      </w:r>
      <w:proofErr w:type="spellEnd"/>
      <w:r w:rsidRPr="00881686">
        <w:rPr>
          <w:rFonts w:ascii="Arial" w:hAnsi="Arial" w:cs="Arial"/>
          <w:sz w:val="20"/>
          <w:szCs w:val="20"/>
        </w:rPr>
        <w:t xml:space="preserve">. </w:t>
      </w:r>
      <w:r w:rsidR="00881686" w:rsidRPr="00881686">
        <w:rPr>
          <w:rFonts w:ascii="Arial" w:hAnsi="Arial" w:cs="Arial"/>
          <w:sz w:val="20"/>
          <w:szCs w:val="20"/>
        </w:rPr>
        <w:t xml:space="preserve">The evidence </w:t>
      </w:r>
      <w:proofErr w:type="gramStart"/>
      <w:r w:rsidR="00881686" w:rsidRPr="00881686">
        <w:rPr>
          <w:rFonts w:ascii="Arial" w:hAnsi="Arial" w:cs="Arial"/>
          <w:sz w:val="20"/>
          <w:szCs w:val="20"/>
        </w:rPr>
        <w:t>has been drawn</w:t>
      </w:r>
      <w:proofErr w:type="gramEnd"/>
      <w:r w:rsidR="00881686" w:rsidRPr="00881686">
        <w:rPr>
          <w:rFonts w:ascii="Arial" w:hAnsi="Arial" w:cs="Arial"/>
          <w:sz w:val="20"/>
          <w:szCs w:val="20"/>
        </w:rPr>
        <w:t xml:space="preserve"> from existing internal reporting and data collection processes. This includes: </w:t>
      </w: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numPr>
          <w:ilvl w:val="0"/>
          <w:numId w:val="23"/>
        </w:numPr>
        <w:spacing w:after="0" w:line="240" w:lineRule="auto"/>
        <w:contextualSpacing/>
        <w:rPr>
          <w:rFonts w:ascii="Arial" w:hAnsi="Arial" w:cs="Arial"/>
          <w:sz w:val="20"/>
          <w:szCs w:val="20"/>
        </w:rPr>
      </w:pPr>
      <w:r w:rsidRPr="00881686">
        <w:rPr>
          <w:rFonts w:ascii="Arial" w:hAnsi="Arial" w:cs="Arial"/>
          <w:sz w:val="20"/>
          <w:szCs w:val="20"/>
        </w:rPr>
        <w:t>performance data from key service offerings</w:t>
      </w:r>
    </w:p>
    <w:p w:rsidR="00881686" w:rsidRPr="00881686" w:rsidRDefault="00881686" w:rsidP="00642E36">
      <w:pPr>
        <w:numPr>
          <w:ilvl w:val="0"/>
          <w:numId w:val="23"/>
        </w:numPr>
        <w:spacing w:after="0" w:line="240" w:lineRule="auto"/>
        <w:contextualSpacing/>
        <w:rPr>
          <w:rFonts w:ascii="Arial" w:hAnsi="Arial" w:cs="Arial"/>
          <w:sz w:val="20"/>
          <w:szCs w:val="20"/>
        </w:rPr>
      </w:pPr>
      <w:r w:rsidRPr="00881686">
        <w:rPr>
          <w:rFonts w:ascii="Arial" w:hAnsi="Arial" w:cs="Arial"/>
          <w:sz w:val="20"/>
          <w:szCs w:val="20"/>
        </w:rPr>
        <w:t xml:space="preserve">examples and case studies of stakeholder engagement, such as inter-agency initiatives, memoranda of understanding </w:t>
      </w:r>
      <w:r w:rsidR="009C7256">
        <w:rPr>
          <w:rFonts w:ascii="Arial" w:hAnsi="Arial" w:cs="Arial"/>
          <w:sz w:val="20"/>
          <w:szCs w:val="20"/>
        </w:rPr>
        <w:t xml:space="preserve">(MoU) </w:t>
      </w:r>
      <w:r w:rsidRPr="00881686">
        <w:rPr>
          <w:rFonts w:ascii="Arial" w:hAnsi="Arial" w:cs="Arial"/>
          <w:sz w:val="20"/>
          <w:szCs w:val="20"/>
        </w:rPr>
        <w:t>and stakeholder forums</w:t>
      </w:r>
    </w:p>
    <w:p w:rsidR="00881686" w:rsidRPr="00881686" w:rsidRDefault="00881686" w:rsidP="00642E36">
      <w:pPr>
        <w:numPr>
          <w:ilvl w:val="0"/>
          <w:numId w:val="23"/>
        </w:numPr>
        <w:spacing w:after="0" w:line="240" w:lineRule="auto"/>
        <w:contextualSpacing/>
        <w:rPr>
          <w:rFonts w:ascii="Arial" w:hAnsi="Arial" w:cs="Arial"/>
          <w:sz w:val="20"/>
          <w:szCs w:val="20"/>
        </w:rPr>
      </w:pPr>
      <w:r w:rsidRPr="00881686">
        <w:rPr>
          <w:rFonts w:ascii="Arial" w:hAnsi="Arial" w:cs="Arial"/>
          <w:sz w:val="20"/>
          <w:szCs w:val="20"/>
        </w:rPr>
        <w:t>explanatory material</w:t>
      </w:r>
      <w:r w:rsidR="000447F6">
        <w:rPr>
          <w:rFonts w:ascii="Arial" w:hAnsi="Arial" w:cs="Arial"/>
          <w:sz w:val="20"/>
          <w:szCs w:val="20"/>
        </w:rPr>
        <w:t>s</w:t>
      </w:r>
      <w:r w:rsidRPr="00881686">
        <w:rPr>
          <w:rFonts w:ascii="Arial" w:hAnsi="Arial" w:cs="Arial"/>
          <w:sz w:val="20"/>
          <w:szCs w:val="20"/>
        </w:rPr>
        <w:t xml:space="preserve"> about FWO processes and procedures </w:t>
      </w:r>
      <w:r w:rsidR="002B04FB">
        <w:rPr>
          <w:rFonts w:ascii="Arial" w:hAnsi="Arial" w:cs="Arial"/>
          <w:sz w:val="20"/>
          <w:szCs w:val="20"/>
        </w:rPr>
        <w:t>and</w:t>
      </w:r>
    </w:p>
    <w:p w:rsidR="00881686" w:rsidRPr="00881686" w:rsidRDefault="00881686" w:rsidP="00642E36">
      <w:pPr>
        <w:numPr>
          <w:ilvl w:val="0"/>
          <w:numId w:val="23"/>
        </w:numPr>
        <w:spacing w:after="0" w:line="240" w:lineRule="auto"/>
        <w:contextualSpacing/>
        <w:rPr>
          <w:rFonts w:ascii="Arial" w:hAnsi="Arial" w:cs="Arial"/>
          <w:sz w:val="20"/>
          <w:szCs w:val="20"/>
        </w:rPr>
      </w:pPr>
      <w:proofErr w:type="gramStart"/>
      <w:r w:rsidRPr="00881686">
        <w:rPr>
          <w:rFonts w:ascii="Arial" w:hAnsi="Arial" w:cs="Arial"/>
          <w:sz w:val="20"/>
          <w:szCs w:val="20"/>
        </w:rPr>
        <w:t>published</w:t>
      </w:r>
      <w:proofErr w:type="gramEnd"/>
      <w:r w:rsidRPr="00881686">
        <w:rPr>
          <w:rFonts w:ascii="Arial" w:hAnsi="Arial" w:cs="Arial"/>
          <w:sz w:val="20"/>
          <w:szCs w:val="20"/>
        </w:rPr>
        <w:t xml:space="preserve"> guidance that assists regulated entities comply with regulation.  </w:t>
      </w:r>
    </w:p>
    <w:p w:rsidR="00881686" w:rsidRPr="00881686" w:rsidRDefault="00881686" w:rsidP="00642E36">
      <w:pPr>
        <w:spacing w:after="0" w:line="240" w:lineRule="auto"/>
        <w:rPr>
          <w:rFonts w:ascii="Arial" w:hAnsi="Arial" w:cs="Arial"/>
          <w:color w:val="1F497D" w:themeColor="text2"/>
          <w:sz w:val="20"/>
          <w:szCs w:val="20"/>
        </w:rPr>
      </w:pPr>
    </w:p>
    <w:p w:rsidR="00881686" w:rsidRPr="00881686" w:rsidRDefault="00881686" w:rsidP="00642E36">
      <w:pPr>
        <w:spacing w:after="0" w:line="240" w:lineRule="auto"/>
        <w:rPr>
          <w:rFonts w:ascii="Arial" w:hAnsi="Arial" w:cs="Arial"/>
          <w:sz w:val="20"/>
          <w:szCs w:val="20"/>
        </w:rPr>
      </w:pPr>
      <w:r w:rsidRPr="00881686">
        <w:rPr>
          <w:rFonts w:ascii="Arial" w:hAnsi="Arial" w:cs="Arial"/>
          <w:sz w:val="20"/>
          <w:szCs w:val="20"/>
        </w:rPr>
        <w:t xml:space="preserve">We have adopted a descriptive approach to the self-assessment report, which allows causal links to </w:t>
      </w:r>
      <w:proofErr w:type="gramStart"/>
      <w:r w:rsidR="00C23A6D">
        <w:rPr>
          <w:rFonts w:ascii="Arial" w:hAnsi="Arial" w:cs="Arial"/>
          <w:sz w:val="20"/>
          <w:szCs w:val="20"/>
        </w:rPr>
        <w:t xml:space="preserve">be </w:t>
      </w:r>
      <w:r w:rsidRPr="00881686">
        <w:rPr>
          <w:rFonts w:ascii="Arial" w:hAnsi="Arial" w:cs="Arial"/>
          <w:sz w:val="20"/>
          <w:szCs w:val="20"/>
        </w:rPr>
        <w:t>drawn</w:t>
      </w:r>
      <w:proofErr w:type="gramEnd"/>
      <w:r w:rsidRPr="00881686">
        <w:rPr>
          <w:rFonts w:ascii="Arial" w:hAnsi="Arial" w:cs="Arial"/>
          <w:sz w:val="20"/>
          <w:szCs w:val="20"/>
        </w:rPr>
        <w:t xml:space="preserve"> between the evidence and the outcomes achieved in relation to the performance measures. </w:t>
      </w: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r w:rsidRPr="00881686">
        <w:rPr>
          <w:rFonts w:ascii="Arial" w:hAnsi="Arial" w:cs="Arial"/>
          <w:sz w:val="20"/>
          <w:szCs w:val="20"/>
        </w:rPr>
        <w:t xml:space="preserve">In future years, the self-assessment report will </w:t>
      </w:r>
      <w:r w:rsidR="00C23A6D">
        <w:rPr>
          <w:rFonts w:ascii="Arial" w:hAnsi="Arial" w:cs="Arial"/>
          <w:sz w:val="20"/>
          <w:szCs w:val="20"/>
        </w:rPr>
        <w:t xml:space="preserve">also </w:t>
      </w:r>
      <w:r w:rsidRPr="00881686">
        <w:rPr>
          <w:rFonts w:ascii="Arial" w:hAnsi="Arial" w:cs="Arial"/>
          <w:sz w:val="20"/>
          <w:szCs w:val="20"/>
        </w:rPr>
        <w:t xml:space="preserve">provide feedback on the </w:t>
      </w:r>
      <w:proofErr w:type="spellStart"/>
      <w:r w:rsidRPr="00881686">
        <w:rPr>
          <w:rFonts w:ascii="Arial" w:hAnsi="Arial" w:cs="Arial"/>
          <w:sz w:val="20"/>
          <w:szCs w:val="20"/>
        </w:rPr>
        <w:t>FWO’s</w:t>
      </w:r>
      <w:proofErr w:type="spellEnd"/>
      <w:r w:rsidRPr="00881686">
        <w:rPr>
          <w:rFonts w:ascii="Arial" w:hAnsi="Arial" w:cs="Arial"/>
          <w:sz w:val="20"/>
          <w:szCs w:val="20"/>
        </w:rPr>
        <w:t xml:space="preserve"> progress against continuous improvement activities </w:t>
      </w:r>
      <w:r w:rsidR="00C23A6D">
        <w:rPr>
          <w:rFonts w:ascii="Arial" w:hAnsi="Arial" w:cs="Arial"/>
          <w:sz w:val="20"/>
          <w:szCs w:val="20"/>
        </w:rPr>
        <w:t xml:space="preserve">that </w:t>
      </w:r>
      <w:proofErr w:type="gramStart"/>
      <w:r w:rsidR="00C23A6D">
        <w:rPr>
          <w:rFonts w:ascii="Arial" w:hAnsi="Arial" w:cs="Arial"/>
          <w:sz w:val="20"/>
          <w:szCs w:val="20"/>
        </w:rPr>
        <w:t xml:space="preserve">have been </w:t>
      </w:r>
      <w:r w:rsidRPr="00881686">
        <w:rPr>
          <w:rFonts w:ascii="Arial" w:hAnsi="Arial" w:cs="Arial"/>
          <w:sz w:val="20"/>
          <w:szCs w:val="20"/>
        </w:rPr>
        <w:t>identified</w:t>
      </w:r>
      <w:proofErr w:type="gramEnd"/>
      <w:r w:rsidRPr="00881686">
        <w:rPr>
          <w:rFonts w:ascii="Arial" w:hAnsi="Arial" w:cs="Arial"/>
          <w:sz w:val="20"/>
          <w:szCs w:val="20"/>
        </w:rPr>
        <w:t xml:space="preserve"> in </w:t>
      </w:r>
      <w:r w:rsidR="00C23A6D">
        <w:rPr>
          <w:rFonts w:ascii="Arial" w:hAnsi="Arial" w:cs="Arial"/>
          <w:sz w:val="20"/>
          <w:szCs w:val="20"/>
        </w:rPr>
        <w:t xml:space="preserve">earlier </w:t>
      </w:r>
      <w:r w:rsidRPr="00881686">
        <w:rPr>
          <w:rFonts w:ascii="Arial" w:hAnsi="Arial" w:cs="Arial"/>
          <w:sz w:val="20"/>
          <w:szCs w:val="20"/>
        </w:rPr>
        <w:t xml:space="preserve">reports. </w:t>
      </w:r>
    </w:p>
    <w:p w:rsidR="004322A4" w:rsidRPr="004322A4" w:rsidRDefault="004322A4" w:rsidP="00642E36">
      <w:pPr>
        <w:spacing w:after="0" w:line="240" w:lineRule="auto"/>
        <w:rPr>
          <w:rFonts w:ascii="Arial" w:hAnsi="Arial" w:cs="Arial"/>
          <w:sz w:val="20"/>
          <w:szCs w:val="20"/>
        </w:rPr>
      </w:pPr>
    </w:p>
    <w:p w:rsidR="004322A4" w:rsidRPr="004322A4" w:rsidRDefault="004322A4" w:rsidP="00642E36">
      <w:pPr>
        <w:spacing w:after="0" w:line="240" w:lineRule="auto"/>
        <w:rPr>
          <w:rFonts w:ascii="Arial" w:hAnsi="Arial" w:cs="Arial"/>
          <w:sz w:val="20"/>
          <w:szCs w:val="20"/>
        </w:rPr>
      </w:pPr>
    </w:p>
    <w:p w:rsidR="004322A4" w:rsidRPr="004322A4" w:rsidRDefault="004322A4" w:rsidP="00642E36">
      <w:pPr>
        <w:spacing w:after="0" w:line="240" w:lineRule="auto"/>
        <w:rPr>
          <w:rFonts w:ascii="Arial" w:hAnsi="Arial" w:cs="Arial"/>
          <w:sz w:val="20"/>
          <w:szCs w:val="20"/>
        </w:rPr>
      </w:pPr>
    </w:p>
    <w:p w:rsidR="004322A4" w:rsidRP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D75649" w:rsidRDefault="00D75649"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D75649" w:rsidRPr="004322A4" w:rsidRDefault="00D75649"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EF31DC">
      <w:pPr>
        <w:pStyle w:val="Heading1"/>
        <w:spacing w:before="0" w:line="240" w:lineRule="auto"/>
        <w:rPr>
          <w:rFonts w:ascii="Myriad Pro" w:hAnsi="Myriad Pro"/>
          <w:b w:val="0"/>
          <w:color w:val="31849B" w:themeColor="accent5" w:themeShade="BF"/>
        </w:rPr>
      </w:pPr>
      <w:r>
        <w:rPr>
          <w:rFonts w:ascii="Myriad Pro" w:hAnsi="Myriad Pro"/>
          <w:b w:val="0"/>
          <w:color w:val="31849B" w:themeColor="accent5" w:themeShade="BF"/>
        </w:rPr>
        <w:lastRenderedPageBreak/>
        <w:t xml:space="preserve">FWO </w:t>
      </w:r>
      <w:r w:rsidRPr="004322A4">
        <w:rPr>
          <w:rFonts w:ascii="Myriad Pro" w:hAnsi="Myriad Pro"/>
          <w:b w:val="0"/>
          <w:color w:val="31849B" w:themeColor="accent5" w:themeShade="BF"/>
        </w:rPr>
        <w:t>R</w:t>
      </w:r>
      <w:r>
        <w:rPr>
          <w:rFonts w:ascii="Myriad Pro" w:hAnsi="Myriad Pro"/>
          <w:b w:val="0"/>
          <w:color w:val="31849B" w:themeColor="accent5" w:themeShade="BF"/>
        </w:rPr>
        <w:t>egulatory Performance Framework Summary Table</w:t>
      </w:r>
    </w:p>
    <w:p w:rsidR="00EF31DC" w:rsidRPr="00A03916" w:rsidRDefault="00EF31DC" w:rsidP="00EF31DC">
      <w:pPr>
        <w:spacing w:after="0" w:line="240" w:lineRule="auto"/>
        <w:rPr>
          <w:rFonts w:ascii="Arial" w:hAnsi="Arial" w:cs="Arial"/>
          <w:color w:val="FF0000"/>
          <w:sz w:val="20"/>
          <w:szCs w:val="20"/>
        </w:rPr>
      </w:pPr>
    </w:p>
    <w:tbl>
      <w:tblPr>
        <w:tblStyle w:val="TableGrid"/>
        <w:tblW w:w="9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667"/>
        <w:gridCol w:w="1815"/>
      </w:tblGrid>
      <w:tr w:rsidR="00EF31DC" w:rsidRPr="00CF5D53" w:rsidTr="00951510">
        <w:trPr>
          <w:trHeight w:val="454"/>
          <w:tblHeader/>
        </w:trPr>
        <w:tc>
          <w:tcPr>
            <w:tcW w:w="3240" w:type="dxa"/>
            <w:tcBorders>
              <w:bottom w:val="single" w:sz="4" w:space="0" w:color="4BACC6" w:themeColor="accent5"/>
            </w:tcBorders>
            <w:shd w:val="clear" w:color="auto" w:fill="DAEEF3" w:themeFill="accent5" w:themeFillTint="33"/>
            <w:vAlign w:val="center"/>
          </w:tcPr>
          <w:p w:rsidR="00EF31DC" w:rsidRPr="00CF5D53" w:rsidRDefault="00EF31DC" w:rsidP="00247A18">
            <w:pPr>
              <w:rPr>
                <w:rFonts w:ascii="Myriad Pro" w:hAnsi="Myriad Pro" w:cs="Arial"/>
                <w:color w:val="31849B" w:themeColor="accent5" w:themeShade="BF"/>
              </w:rPr>
            </w:pPr>
            <w:proofErr w:type="spellStart"/>
            <w:r w:rsidRPr="00CF5D53">
              <w:rPr>
                <w:rFonts w:ascii="Myriad Pro" w:hAnsi="Myriad Pro" w:cs="Arial"/>
                <w:color w:val="31849B" w:themeColor="accent5" w:themeShade="BF"/>
              </w:rPr>
              <w:t>KPI</w:t>
            </w:r>
            <w:proofErr w:type="spellEnd"/>
          </w:p>
        </w:tc>
        <w:tc>
          <w:tcPr>
            <w:tcW w:w="4667" w:type="dxa"/>
            <w:tcBorders>
              <w:bottom w:val="single" w:sz="4" w:space="0" w:color="4BACC6" w:themeColor="accent5"/>
            </w:tcBorders>
            <w:shd w:val="clear" w:color="auto" w:fill="DAEEF3" w:themeFill="accent5" w:themeFillTint="33"/>
            <w:vAlign w:val="center"/>
          </w:tcPr>
          <w:p w:rsidR="00EF31DC" w:rsidRPr="00A75D83" w:rsidRDefault="00EF31DC" w:rsidP="00247A18">
            <w:pPr>
              <w:rPr>
                <w:rFonts w:ascii="Myriad Pro" w:hAnsi="Myriad Pro" w:cs="Arial"/>
                <w:color w:val="31849B" w:themeColor="accent5" w:themeShade="BF"/>
              </w:rPr>
            </w:pPr>
            <w:r w:rsidRPr="005B45C2">
              <w:rPr>
                <w:rFonts w:ascii="Myriad Pro" w:hAnsi="Myriad Pro" w:cs="Arial"/>
                <w:color w:val="31849B" w:themeColor="accent5" w:themeShade="BF"/>
              </w:rPr>
              <w:t>Measure</w:t>
            </w:r>
          </w:p>
        </w:tc>
        <w:tc>
          <w:tcPr>
            <w:tcW w:w="1815" w:type="dxa"/>
            <w:tcBorders>
              <w:bottom w:val="single" w:sz="4" w:space="0" w:color="4BACC6" w:themeColor="accent5"/>
            </w:tcBorders>
            <w:shd w:val="clear" w:color="auto" w:fill="DAEEF3" w:themeFill="accent5" w:themeFillTint="33"/>
            <w:vAlign w:val="center"/>
          </w:tcPr>
          <w:p w:rsidR="00EF31DC" w:rsidRPr="00A75D83" w:rsidRDefault="00A03916" w:rsidP="00247A18">
            <w:pPr>
              <w:jc w:val="center"/>
              <w:rPr>
                <w:rFonts w:ascii="Myriad Pro" w:hAnsi="Myriad Pro" w:cs="Arial"/>
                <w:color w:val="31849B" w:themeColor="accent5" w:themeShade="BF"/>
              </w:rPr>
            </w:pPr>
            <w:r>
              <w:rPr>
                <w:rFonts w:ascii="Myriad Pro" w:hAnsi="Myriad Pro" w:cs="Arial"/>
                <w:color w:val="31849B" w:themeColor="accent5" w:themeShade="BF"/>
              </w:rPr>
              <w:t>Indicator</w:t>
            </w:r>
          </w:p>
        </w:tc>
      </w:tr>
      <w:tr w:rsidR="00EF31DC" w:rsidRPr="00CF5D53" w:rsidTr="00247A18">
        <w:trPr>
          <w:trHeight w:val="827"/>
        </w:trPr>
        <w:tc>
          <w:tcPr>
            <w:tcW w:w="3240" w:type="dxa"/>
            <w:vMerge w:val="restart"/>
            <w:tcBorders>
              <w:top w:val="single" w:sz="4" w:space="0" w:color="4BACC6" w:themeColor="accent5"/>
            </w:tcBorders>
            <w:vAlign w:val="center"/>
          </w:tcPr>
          <w:p w:rsidR="00EF31DC" w:rsidRPr="00CF5D53" w:rsidRDefault="00EF31DC" w:rsidP="00247A18">
            <w:pPr>
              <w:spacing w:line="240" w:lineRule="atLeast"/>
              <w:rPr>
                <w:rFonts w:ascii="Arial" w:hAnsi="Arial" w:cs="Arial"/>
                <w:b/>
                <w:sz w:val="20"/>
                <w:szCs w:val="20"/>
              </w:rPr>
            </w:pPr>
            <w:proofErr w:type="spellStart"/>
            <w:r w:rsidRPr="00BD14AE">
              <w:rPr>
                <w:rFonts w:ascii="Arial" w:hAnsi="Arial" w:cs="Arial"/>
                <w:b/>
                <w:sz w:val="20"/>
                <w:szCs w:val="20"/>
              </w:rPr>
              <w:t>KPI</w:t>
            </w:r>
            <w:proofErr w:type="spellEnd"/>
            <w:r w:rsidRPr="00BD14AE">
              <w:rPr>
                <w:rFonts w:ascii="Arial" w:hAnsi="Arial" w:cs="Arial"/>
                <w:b/>
                <w:sz w:val="20"/>
                <w:szCs w:val="20"/>
              </w:rPr>
              <w:t xml:space="preserve"> 1:</w:t>
            </w:r>
            <w:r w:rsidRPr="00CF5D53">
              <w:rPr>
                <w:rFonts w:ascii="Arial" w:hAnsi="Arial" w:cs="Arial"/>
                <w:sz w:val="20"/>
                <w:szCs w:val="20"/>
              </w:rPr>
              <w:t xml:space="preserve"> Regulators do not unnecessarily impede the efficient operation of regulated entities.</w:t>
            </w:r>
          </w:p>
        </w:tc>
        <w:tc>
          <w:tcPr>
            <w:tcW w:w="4667" w:type="dxa"/>
            <w:tcBorders>
              <w:top w:val="single" w:sz="4" w:space="0" w:color="4BACC6" w:themeColor="accent5"/>
            </w:tcBorders>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1.1 </w:t>
            </w:r>
            <w:r w:rsidRPr="00CF5D53">
              <w:rPr>
                <w:rFonts w:ascii="Arial" w:hAnsi="Arial" w:cs="Arial"/>
                <w:sz w:val="20"/>
                <w:szCs w:val="20"/>
              </w:rPr>
              <w:t>The FWO uses appropriate methods to manage requests for assistance to reduce the burden on regulated entities</w:t>
            </w:r>
          </w:p>
        </w:tc>
        <w:tc>
          <w:tcPr>
            <w:tcW w:w="1815" w:type="dxa"/>
            <w:tcBorders>
              <w:top w:val="single" w:sz="4" w:space="0" w:color="4BACC6" w:themeColor="accent5"/>
            </w:tcBorders>
            <w:vAlign w:val="center"/>
          </w:tcPr>
          <w:p w:rsidR="00EF31DC" w:rsidRPr="00EF31DC" w:rsidRDefault="00EF31DC" w:rsidP="00247A18">
            <w:pPr>
              <w:jc w:val="center"/>
              <w:rPr>
                <w:rFonts w:ascii="Arial" w:hAnsi="Arial" w:cs="Arial"/>
                <w:sz w:val="30"/>
                <w:szCs w:val="30"/>
              </w:rPr>
            </w:pPr>
            <w:r w:rsidRPr="00EF31DC">
              <w:rPr>
                <w:rFonts w:ascii="Arial" w:hAnsi="Arial" w:cs="Arial"/>
                <w:color w:val="00B050"/>
                <w:sz w:val="30"/>
                <w:szCs w:val="30"/>
              </w:rPr>
              <w:sym w:font="Wingdings 2" w:char="F098"/>
            </w:r>
          </w:p>
        </w:tc>
      </w:tr>
      <w:tr w:rsidR="00EF31DC" w:rsidRPr="00CF5D53" w:rsidTr="00247A18">
        <w:trPr>
          <w:trHeight w:val="848"/>
        </w:trPr>
        <w:tc>
          <w:tcPr>
            <w:tcW w:w="3240" w:type="dxa"/>
            <w:vMerge/>
            <w:vAlign w:val="center"/>
          </w:tcPr>
          <w:p w:rsidR="00EF31DC" w:rsidRPr="00CF5D53" w:rsidRDefault="00EF31DC" w:rsidP="00247A18">
            <w:pPr>
              <w:spacing w:line="240" w:lineRule="atLeast"/>
              <w:rPr>
                <w:rFonts w:ascii="Arial" w:hAnsi="Arial" w:cs="Arial"/>
                <w:sz w:val="20"/>
                <w:szCs w:val="20"/>
              </w:rPr>
            </w:pPr>
          </w:p>
        </w:tc>
        <w:tc>
          <w:tcPr>
            <w:tcW w:w="4667" w:type="dxa"/>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1.2 </w:t>
            </w:r>
            <w:r w:rsidR="00751B76" w:rsidRPr="00751B76">
              <w:rPr>
                <w:rFonts w:ascii="Arial" w:hAnsi="Arial" w:cs="Arial"/>
                <w:sz w:val="20"/>
                <w:szCs w:val="20"/>
              </w:rPr>
              <w:t>The FWO engages with regulated entities and peak bodies to understand and inform the design and execution of our work</w:t>
            </w:r>
          </w:p>
        </w:tc>
        <w:tc>
          <w:tcPr>
            <w:tcW w:w="1815" w:type="dxa"/>
            <w:vAlign w:val="center"/>
          </w:tcPr>
          <w:p w:rsidR="00EF31DC" w:rsidRPr="00EF31DC" w:rsidRDefault="00EF31DC" w:rsidP="00247A18">
            <w:pPr>
              <w:jc w:val="center"/>
              <w:rPr>
                <w:rFonts w:ascii="Arial" w:hAnsi="Arial" w:cs="Arial"/>
                <w:sz w:val="30"/>
                <w:szCs w:val="30"/>
              </w:rPr>
            </w:pPr>
            <w:r w:rsidRPr="00EF31DC">
              <w:rPr>
                <w:rFonts w:ascii="Arial" w:hAnsi="Arial" w:cs="Arial"/>
                <w:color w:val="F79646" w:themeColor="accent6"/>
                <w:sz w:val="30"/>
                <w:szCs w:val="30"/>
              </w:rPr>
              <w:sym w:font="Wingdings 2" w:char="F098"/>
            </w:r>
          </w:p>
        </w:tc>
      </w:tr>
      <w:tr w:rsidR="00EF31DC" w:rsidRPr="00CF5D53" w:rsidTr="00247A18">
        <w:trPr>
          <w:trHeight w:val="1014"/>
        </w:trPr>
        <w:tc>
          <w:tcPr>
            <w:tcW w:w="3240" w:type="dxa"/>
            <w:vMerge w:val="restart"/>
            <w:shd w:val="clear" w:color="auto" w:fill="DAEEF3" w:themeFill="accent5" w:themeFillTint="33"/>
            <w:vAlign w:val="center"/>
          </w:tcPr>
          <w:p w:rsidR="00EF31DC" w:rsidRPr="00CF5D53" w:rsidRDefault="00EF31DC" w:rsidP="00247A18">
            <w:pPr>
              <w:rPr>
                <w:rFonts w:ascii="Arial" w:hAnsi="Arial" w:cs="Arial"/>
                <w:sz w:val="20"/>
                <w:szCs w:val="20"/>
              </w:rPr>
            </w:pPr>
            <w:proofErr w:type="spellStart"/>
            <w:r w:rsidRPr="00BD14AE">
              <w:rPr>
                <w:rFonts w:ascii="Arial" w:hAnsi="Arial" w:cs="Arial"/>
                <w:b/>
                <w:sz w:val="20"/>
                <w:szCs w:val="20"/>
              </w:rPr>
              <w:t>KPI</w:t>
            </w:r>
            <w:proofErr w:type="spellEnd"/>
            <w:r w:rsidRPr="00BD14AE">
              <w:rPr>
                <w:rFonts w:ascii="Arial" w:hAnsi="Arial" w:cs="Arial"/>
                <w:b/>
                <w:sz w:val="20"/>
                <w:szCs w:val="20"/>
              </w:rPr>
              <w:t xml:space="preserve"> 2:</w:t>
            </w:r>
            <w:r w:rsidRPr="00CF5D53">
              <w:rPr>
                <w:rFonts w:ascii="Arial" w:hAnsi="Arial" w:cs="Arial"/>
                <w:sz w:val="20"/>
                <w:szCs w:val="20"/>
              </w:rPr>
              <w:t xml:space="preserve"> </w:t>
            </w:r>
            <w:r w:rsidR="00751B76" w:rsidRPr="00751B76">
              <w:rPr>
                <w:rFonts w:ascii="Arial" w:hAnsi="Arial" w:cs="Arial"/>
                <w:sz w:val="20"/>
                <w:szCs w:val="20"/>
              </w:rPr>
              <w:t>Communication with regulated entities is clear, targeted and effective</w:t>
            </w:r>
            <w:r w:rsidR="00536FD4">
              <w:rPr>
                <w:rFonts w:ascii="Arial" w:hAnsi="Arial" w:cs="Arial"/>
                <w:sz w:val="20"/>
                <w:szCs w:val="20"/>
              </w:rPr>
              <w:t>.</w:t>
            </w:r>
          </w:p>
        </w:tc>
        <w:tc>
          <w:tcPr>
            <w:tcW w:w="4667" w:type="dxa"/>
            <w:shd w:val="clear" w:color="auto" w:fill="DAEEF3" w:themeFill="accent5" w:themeFillTint="33"/>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2.1 </w:t>
            </w:r>
            <w:r w:rsidRPr="00CF5D53">
              <w:rPr>
                <w:rFonts w:ascii="Arial" w:hAnsi="Arial" w:cs="Arial"/>
                <w:sz w:val="20"/>
                <w:szCs w:val="20"/>
              </w:rPr>
              <w:t>The FWO provides information and advice that is timely, useful and reliable to make it easier for regulated entities to comply with their obligations</w:t>
            </w:r>
          </w:p>
        </w:tc>
        <w:tc>
          <w:tcPr>
            <w:tcW w:w="1815" w:type="dxa"/>
            <w:shd w:val="clear" w:color="auto" w:fill="DAEEF3" w:themeFill="accent5" w:themeFillTint="33"/>
            <w:vAlign w:val="center"/>
          </w:tcPr>
          <w:p w:rsidR="00EF31DC" w:rsidRPr="00EF31DC" w:rsidRDefault="00EF31DC" w:rsidP="00247A18">
            <w:pPr>
              <w:jc w:val="center"/>
              <w:rPr>
                <w:rFonts w:ascii="Arial" w:hAnsi="Arial" w:cs="Arial"/>
                <w:sz w:val="30"/>
                <w:szCs w:val="30"/>
              </w:rPr>
            </w:pPr>
            <w:r w:rsidRPr="00EF31DC">
              <w:rPr>
                <w:rFonts w:ascii="Arial" w:hAnsi="Arial" w:cs="Arial"/>
                <w:color w:val="00B050"/>
                <w:sz w:val="30"/>
                <w:szCs w:val="30"/>
              </w:rPr>
              <w:sym w:font="Wingdings 2" w:char="F098"/>
            </w:r>
          </w:p>
        </w:tc>
      </w:tr>
      <w:tr w:rsidR="00EF31DC" w:rsidRPr="00CF5D53" w:rsidTr="00247A18">
        <w:trPr>
          <w:trHeight w:val="549"/>
        </w:trPr>
        <w:tc>
          <w:tcPr>
            <w:tcW w:w="3240" w:type="dxa"/>
            <w:vMerge/>
            <w:shd w:val="clear" w:color="auto" w:fill="DAEEF3" w:themeFill="accent5" w:themeFillTint="33"/>
            <w:vAlign w:val="center"/>
          </w:tcPr>
          <w:p w:rsidR="00EF31DC" w:rsidRPr="00CF5D53" w:rsidRDefault="00EF31DC" w:rsidP="00247A18">
            <w:pPr>
              <w:rPr>
                <w:rFonts w:ascii="Arial" w:hAnsi="Arial" w:cs="Arial"/>
                <w:sz w:val="20"/>
                <w:szCs w:val="20"/>
              </w:rPr>
            </w:pPr>
          </w:p>
        </w:tc>
        <w:tc>
          <w:tcPr>
            <w:tcW w:w="4667" w:type="dxa"/>
            <w:shd w:val="clear" w:color="auto" w:fill="DAEEF3" w:themeFill="accent5" w:themeFillTint="33"/>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2.2 </w:t>
            </w:r>
            <w:r w:rsidRPr="00CF5D53">
              <w:rPr>
                <w:rFonts w:ascii="Arial" w:hAnsi="Arial" w:cs="Arial"/>
                <w:sz w:val="20"/>
                <w:szCs w:val="20"/>
              </w:rPr>
              <w:t>The FWO consults with regulated entities prior to implementing key strategies</w:t>
            </w:r>
          </w:p>
        </w:tc>
        <w:tc>
          <w:tcPr>
            <w:tcW w:w="1815" w:type="dxa"/>
            <w:shd w:val="clear" w:color="auto" w:fill="DAEEF3" w:themeFill="accent5" w:themeFillTint="33"/>
            <w:vAlign w:val="center"/>
          </w:tcPr>
          <w:p w:rsidR="00EF31DC" w:rsidRPr="00CF5D53" w:rsidRDefault="00EF31DC" w:rsidP="00247A18">
            <w:pPr>
              <w:jc w:val="center"/>
              <w:rPr>
                <w:rFonts w:ascii="Arial" w:hAnsi="Arial" w:cs="Arial"/>
                <w:sz w:val="28"/>
                <w:szCs w:val="28"/>
              </w:rPr>
            </w:pPr>
            <w:r w:rsidRPr="00EF31DC">
              <w:rPr>
                <w:rFonts w:ascii="Arial" w:hAnsi="Arial" w:cs="Arial"/>
                <w:color w:val="F79646" w:themeColor="accent6"/>
                <w:sz w:val="30"/>
                <w:szCs w:val="30"/>
              </w:rPr>
              <w:sym w:font="Wingdings 2" w:char="F098"/>
            </w:r>
          </w:p>
        </w:tc>
      </w:tr>
      <w:tr w:rsidR="00EF31DC" w:rsidRPr="00CF5D53" w:rsidTr="00247A18">
        <w:trPr>
          <w:trHeight w:val="854"/>
        </w:trPr>
        <w:tc>
          <w:tcPr>
            <w:tcW w:w="3240" w:type="dxa"/>
            <w:vMerge w:val="restart"/>
            <w:vAlign w:val="center"/>
          </w:tcPr>
          <w:p w:rsidR="00EF31DC" w:rsidRPr="00CF5D53" w:rsidRDefault="00EF31DC" w:rsidP="00247A18">
            <w:pPr>
              <w:rPr>
                <w:rFonts w:ascii="Arial" w:hAnsi="Arial" w:cs="Arial"/>
                <w:sz w:val="20"/>
                <w:szCs w:val="20"/>
              </w:rPr>
            </w:pPr>
            <w:proofErr w:type="spellStart"/>
            <w:r w:rsidRPr="00BD14AE">
              <w:rPr>
                <w:rFonts w:ascii="Arial" w:hAnsi="Arial" w:cs="Arial"/>
                <w:b/>
                <w:sz w:val="20"/>
                <w:szCs w:val="20"/>
              </w:rPr>
              <w:t>KPI</w:t>
            </w:r>
            <w:proofErr w:type="spellEnd"/>
            <w:r w:rsidRPr="00BD14AE">
              <w:rPr>
                <w:rFonts w:ascii="Arial" w:hAnsi="Arial" w:cs="Arial"/>
                <w:b/>
                <w:sz w:val="20"/>
                <w:szCs w:val="20"/>
              </w:rPr>
              <w:t xml:space="preserve"> 3:</w:t>
            </w:r>
            <w:r w:rsidRPr="00CF5D53">
              <w:rPr>
                <w:rFonts w:ascii="Arial" w:hAnsi="Arial" w:cs="Arial"/>
                <w:sz w:val="20"/>
                <w:szCs w:val="20"/>
              </w:rPr>
              <w:t xml:space="preserve"> Actions undertaken by regulators are proportionate to the regulatory risk </w:t>
            </w:r>
            <w:proofErr w:type="gramStart"/>
            <w:r w:rsidRPr="00CF5D53">
              <w:rPr>
                <w:rFonts w:ascii="Arial" w:hAnsi="Arial" w:cs="Arial"/>
                <w:sz w:val="20"/>
                <w:szCs w:val="20"/>
              </w:rPr>
              <w:t>being managed</w:t>
            </w:r>
            <w:proofErr w:type="gramEnd"/>
            <w:r w:rsidRPr="00CF5D53">
              <w:rPr>
                <w:rFonts w:ascii="Arial" w:hAnsi="Arial" w:cs="Arial"/>
                <w:sz w:val="20"/>
                <w:szCs w:val="20"/>
              </w:rPr>
              <w:t>.</w:t>
            </w:r>
          </w:p>
        </w:tc>
        <w:tc>
          <w:tcPr>
            <w:tcW w:w="4667" w:type="dxa"/>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3.1 </w:t>
            </w:r>
            <w:r w:rsidRPr="00CF5D53">
              <w:rPr>
                <w:rFonts w:ascii="Arial" w:hAnsi="Arial" w:cs="Arial"/>
                <w:sz w:val="20"/>
                <w:szCs w:val="20"/>
              </w:rPr>
              <w:t>The FWO focuses its compliance and enforcement efforts proportionate to the seriousness of the matter</w:t>
            </w:r>
          </w:p>
        </w:tc>
        <w:tc>
          <w:tcPr>
            <w:tcW w:w="1815" w:type="dxa"/>
            <w:vAlign w:val="center"/>
          </w:tcPr>
          <w:p w:rsidR="00EF31DC" w:rsidRPr="00CF5D53" w:rsidRDefault="00EF31DC" w:rsidP="00247A18">
            <w:pPr>
              <w:jc w:val="center"/>
              <w:rPr>
                <w:rFonts w:ascii="Arial" w:hAnsi="Arial" w:cs="Arial"/>
                <w:sz w:val="28"/>
                <w:szCs w:val="28"/>
              </w:rPr>
            </w:pPr>
            <w:r w:rsidRPr="00EF31DC">
              <w:rPr>
                <w:rFonts w:ascii="Arial" w:hAnsi="Arial" w:cs="Arial"/>
                <w:color w:val="00B050"/>
                <w:sz w:val="30"/>
                <w:szCs w:val="30"/>
              </w:rPr>
              <w:sym w:font="Wingdings 2" w:char="F098"/>
            </w:r>
          </w:p>
        </w:tc>
      </w:tr>
      <w:tr w:rsidR="00EF31DC" w:rsidRPr="00CF5D53" w:rsidTr="00247A18">
        <w:trPr>
          <w:trHeight w:val="569"/>
        </w:trPr>
        <w:tc>
          <w:tcPr>
            <w:tcW w:w="3240" w:type="dxa"/>
            <w:vMerge/>
            <w:vAlign w:val="center"/>
          </w:tcPr>
          <w:p w:rsidR="00EF31DC" w:rsidRPr="00CF5D53" w:rsidRDefault="00EF31DC" w:rsidP="00247A18">
            <w:pPr>
              <w:rPr>
                <w:rFonts w:ascii="Arial" w:hAnsi="Arial" w:cs="Arial"/>
                <w:sz w:val="20"/>
                <w:szCs w:val="20"/>
              </w:rPr>
            </w:pPr>
          </w:p>
        </w:tc>
        <w:tc>
          <w:tcPr>
            <w:tcW w:w="4667" w:type="dxa"/>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3.2 </w:t>
            </w:r>
            <w:r w:rsidRPr="00CF5D53">
              <w:rPr>
                <w:rFonts w:ascii="Arial" w:hAnsi="Arial" w:cs="Arial"/>
                <w:sz w:val="20"/>
                <w:szCs w:val="20"/>
              </w:rPr>
              <w:t>The FWO applies a risk-based approach to its compliance and monitoring activities</w:t>
            </w:r>
          </w:p>
        </w:tc>
        <w:tc>
          <w:tcPr>
            <w:tcW w:w="1815" w:type="dxa"/>
            <w:vAlign w:val="center"/>
          </w:tcPr>
          <w:p w:rsidR="00EF31DC" w:rsidRPr="00CF5D53" w:rsidRDefault="00EF31DC" w:rsidP="00247A18">
            <w:pPr>
              <w:jc w:val="center"/>
              <w:rPr>
                <w:rFonts w:ascii="Arial" w:hAnsi="Arial" w:cs="Arial"/>
                <w:sz w:val="28"/>
                <w:szCs w:val="28"/>
              </w:rPr>
            </w:pPr>
            <w:r w:rsidRPr="00EF31DC">
              <w:rPr>
                <w:rFonts w:ascii="Arial" w:hAnsi="Arial" w:cs="Arial"/>
                <w:color w:val="00B050"/>
                <w:sz w:val="30"/>
                <w:szCs w:val="30"/>
              </w:rPr>
              <w:sym w:font="Wingdings 2" w:char="F098"/>
            </w:r>
          </w:p>
        </w:tc>
      </w:tr>
      <w:tr w:rsidR="00EF31DC" w:rsidRPr="00CF5D53" w:rsidTr="00247A18">
        <w:trPr>
          <w:trHeight w:val="563"/>
        </w:trPr>
        <w:tc>
          <w:tcPr>
            <w:tcW w:w="3240" w:type="dxa"/>
            <w:vMerge w:val="restart"/>
            <w:shd w:val="clear" w:color="auto" w:fill="DAEEF3" w:themeFill="accent5" w:themeFillTint="33"/>
            <w:vAlign w:val="center"/>
          </w:tcPr>
          <w:p w:rsidR="00EF31DC" w:rsidRPr="00CF5D53" w:rsidRDefault="00EF31DC" w:rsidP="00247A18">
            <w:pPr>
              <w:spacing w:line="240" w:lineRule="atLeast"/>
              <w:rPr>
                <w:rFonts w:ascii="Arial" w:hAnsi="Arial" w:cs="Arial"/>
                <w:b/>
                <w:sz w:val="20"/>
                <w:szCs w:val="20"/>
              </w:rPr>
            </w:pPr>
            <w:proofErr w:type="spellStart"/>
            <w:r w:rsidRPr="00BD14AE">
              <w:rPr>
                <w:rFonts w:ascii="Arial" w:hAnsi="Arial" w:cs="Arial"/>
                <w:b/>
                <w:sz w:val="20"/>
                <w:szCs w:val="20"/>
              </w:rPr>
              <w:t>KPI</w:t>
            </w:r>
            <w:proofErr w:type="spellEnd"/>
            <w:r w:rsidRPr="00BD14AE">
              <w:rPr>
                <w:rFonts w:ascii="Arial" w:hAnsi="Arial" w:cs="Arial"/>
                <w:b/>
                <w:sz w:val="20"/>
                <w:szCs w:val="20"/>
              </w:rPr>
              <w:t xml:space="preserve"> 4:</w:t>
            </w:r>
            <w:r w:rsidRPr="00CF5D53">
              <w:rPr>
                <w:rFonts w:ascii="Arial" w:hAnsi="Arial" w:cs="Arial"/>
                <w:sz w:val="20"/>
                <w:szCs w:val="20"/>
              </w:rPr>
              <w:t xml:space="preserve"> Compliance and monitoring approaches are streamlined and coordinated.</w:t>
            </w:r>
          </w:p>
          <w:p w:rsidR="00EF31DC" w:rsidRPr="00CF5D53" w:rsidRDefault="00EF31DC" w:rsidP="00247A18">
            <w:pPr>
              <w:rPr>
                <w:rFonts w:ascii="Arial" w:hAnsi="Arial" w:cs="Arial"/>
                <w:sz w:val="20"/>
                <w:szCs w:val="20"/>
              </w:rPr>
            </w:pPr>
          </w:p>
        </w:tc>
        <w:tc>
          <w:tcPr>
            <w:tcW w:w="4667" w:type="dxa"/>
            <w:shd w:val="clear" w:color="auto" w:fill="DAEEF3" w:themeFill="accent5" w:themeFillTint="33"/>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4.1 </w:t>
            </w:r>
            <w:r w:rsidRPr="00CF5D53">
              <w:rPr>
                <w:rFonts w:ascii="Arial" w:hAnsi="Arial" w:cs="Arial"/>
                <w:sz w:val="20"/>
                <w:szCs w:val="20"/>
              </w:rPr>
              <w:t>The FWO takes a coordinated approach to delivering its services</w:t>
            </w:r>
          </w:p>
        </w:tc>
        <w:tc>
          <w:tcPr>
            <w:tcW w:w="1815" w:type="dxa"/>
            <w:shd w:val="clear" w:color="auto" w:fill="DAEEF3" w:themeFill="accent5" w:themeFillTint="33"/>
            <w:vAlign w:val="center"/>
          </w:tcPr>
          <w:p w:rsidR="00EF31DC" w:rsidRPr="00CF5D53" w:rsidRDefault="00EF31DC" w:rsidP="00247A18">
            <w:pPr>
              <w:jc w:val="center"/>
              <w:rPr>
                <w:rFonts w:ascii="Arial" w:hAnsi="Arial" w:cs="Arial"/>
                <w:sz w:val="28"/>
                <w:szCs w:val="28"/>
              </w:rPr>
            </w:pPr>
            <w:r w:rsidRPr="00EF31DC">
              <w:rPr>
                <w:rFonts w:ascii="Arial" w:hAnsi="Arial" w:cs="Arial"/>
                <w:color w:val="00B050"/>
                <w:sz w:val="30"/>
                <w:szCs w:val="30"/>
              </w:rPr>
              <w:sym w:font="Wingdings 2" w:char="F098"/>
            </w:r>
          </w:p>
        </w:tc>
      </w:tr>
      <w:tr w:rsidR="00EF31DC" w:rsidRPr="00CF5D53" w:rsidTr="00247A18">
        <w:trPr>
          <w:trHeight w:val="841"/>
        </w:trPr>
        <w:tc>
          <w:tcPr>
            <w:tcW w:w="3240" w:type="dxa"/>
            <w:vMerge/>
            <w:shd w:val="clear" w:color="auto" w:fill="DAEEF3" w:themeFill="accent5" w:themeFillTint="33"/>
            <w:vAlign w:val="center"/>
          </w:tcPr>
          <w:p w:rsidR="00EF31DC" w:rsidRPr="00CF5D53" w:rsidRDefault="00EF31DC" w:rsidP="00247A18">
            <w:pPr>
              <w:spacing w:line="240" w:lineRule="atLeast"/>
              <w:rPr>
                <w:rFonts w:ascii="Arial" w:hAnsi="Arial" w:cs="Arial"/>
                <w:sz w:val="20"/>
                <w:szCs w:val="20"/>
              </w:rPr>
            </w:pPr>
          </w:p>
        </w:tc>
        <w:tc>
          <w:tcPr>
            <w:tcW w:w="4667" w:type="dxa"/>
            <w:shd w:val="clear" w:color="auto" w:fill="DAEEF3" w:themeFill="accent5" w:themeFillTint="33"/>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4.2 </w:t>
            </w:r>
            <w:r w:rsidRPr="00CF5D53">
              <w:rPr>
                <w:rFonts w:ascii="Arial" w:hAnsi="Arial" w:cs="Arial"/>
                <w:sz w:val="20"/>
                <w:szCs w:val="20"/>
              </w:rPr>
              <w:t>The FWO works collaboratively with other regulators and industry bodies to minimise the burden of interacting with government bodies</w:t>
            </w:r>
          </w:p>
        </w:tc>
        <w:tc>
          <w:tcPr>
            <w:tcW w:w="1815" w:type="dxa"/>
            <w:shd w:val="clear" w:color="auto" w:fill="DAEEF3" w:themeFill="accent5" w:themeFillTint="33"/>
            <w:vAlign w:val="center"/>
          </w:tcPr>
          <w:p w:rsidR="00EF31DC" w:rsidRPr="00CF5D53" w:rsidRDefault="00EF31DC" w:rsidP="00247A18">
            <w:pPr>
              <w:jc w:val="center"/>
              <w:rPr>
                <w:rFonts w:ascii="Arial" w:hAnsi="Arial" w:cs="Arial"/>
                <w:sz w:val="28"/>
                <w:szCs w:val="28"/>
              </w:rPr>
            </w:pPr>
            <w:r w:rsidRPr="00EF31DC">
              <w:rPr>
                <w:rFonts w:ascii="Arial" w:hAnsi="Arial" w:cs="Arial"/>
                <w:color w:val="00B050"/>
                <w:sz w:val="30"/>
                <w:szCs w:val="30"/>
              </w:rPr>
              <w:sym w:font="Wingdings 2" w:char="F098"/>
            </w:r>
          </w:p>
        </w:tc>
      </w:tr>
      <w:tr w:rsidR="00EF31DC" w:rsidRPr="00CF5D53" w:rsidTr="00247A18">
        <w:trPr>
          <w:trHeight w:val="852"/>
        </w:trPr>
        <w:tc>
          <w:tcPr>
            <w:tcW w:w="3240" w:type="dxa"/>
            <w:vMerge w:val="restart"/>
            <w:vAlign w:val="center"/>
          </w:tcPr>
          <w:p w:rsidR="00EF31DC" w:rsidRPr="00CF5D53" w:rsidRDefault="00EF31DC" w:rsidP="00247A18">
            <w:pPr>
              <w:spacing w:line="240" w:lineRule="atLeast"/>
              <w:rPr>
                <w:rFonts w:ascii="Arial" w:hAnsi="Arial" w:cs="Arial"/>
                <w:b/>
                <w:sz w:val="20"/>
                <w:szCs w:val="20"/>
              </w:rPr>
            </w:pPr>
            <w:proofErr w:type="spellStart"/>
            <w:r w:rsidRPr="00BD14AE">
              <w:rPr>
                <w:rFonts w:ascii="Arial" w:hAnsi="Arial" w:cs="Arial"/>
                <w:b/>
                <w:sz w:val="20"/>
                <w:szCs w:val="20"/>
              </w:rPr>
              <w:t>KPI</w:t>
            </w:r>
            <w:proofErr w:type="spellEnd"/>
            <w:r w:rsidRPr="00BD14AE">
              <w:rPr>
                <w:rFonts w:ascii="Arial" w:hAnsi="Arial" w:cs="Arial"/>
                <w:b/>
                <w:sz w:val="20"/>
                <w:szCs w:val="20"/>
              </w:rPr>
              <w:t xml:space="preserve"> 5:</w:t>
            </w:r>
            <w:r w:rsidRPr="00CF5D53">
              <w:rPr>
                <w:rFonts w:ascii="Arial" w:hAnsi="Arial" w:cs="Arial"/>
                <w:sz w:val="20"/>
                <w:szCs w:val="20"/>
              </w:rPr>
              <w:t xml:space="preserve"> </w:t>
            </w:r>
            <w:r w:rsidR="00751B76" w:rsidRPr="00751B76">
              <w:rPr>
                <w:rFonts w:ascii="Arial" w:hAnsi="Arial" w:cs="Arial"/>
                <w:sz w:val="20"/>
                <w:szCs w:val="20"/>
              </w:rPr>
              <w:t>Regulators are open and transparent in their dealings with regulated entities</w:t>
            </w:r>
            <w:r w:rsidRPr="00CF5D53">
              <w:rPr>
                <w:rFonts w:ascii="Arial" w:hAnsi="Arial" w:cs="Arial"/>
                <w:sz w:val="20"/>
                <w:szCs w:val="20"/>
              </w:rPr>
              <w:t>.</w:t>
            </w:r>
          </w:p>
        </w:tc>
        <w:tc>
          <w:tcPr>
            <w:tcW w:w="4667" w:type="dxa"/>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5.1 </w:t>
            </w:r>
            <w:r w:rsidR="00751B76" w:rsidRPr="00751B76">
              <w:rPr>
                <w:rFonts w:ascii="Arial" w:hAnsi="Arial" w:cs="Arial"/>
                <w:sz w:val="20"/>
                <w:szCs w:val="20"/>
              </w:rPr>
              <w:t>The FWO publishes key performance results in a timely manner to ensure accountability and transparency</w:t>
            </w:r>
          </w:p>
        </w:tc>
        <w:tc>
          <w:tcPr>
            <w:tcW w:w="1815" w:type="dxa"/>
            <w:vAlign w:val="center"/>
          </w:tcPr>
          <w:p w:rsidR="00EF31DC" w:rsidRPr="00CF5D53" w:rsidRDefault="00EF31DC" w:rsidP="00247A18">
            <w:pPr>
              <w:jc w:val="center"/>
              <w:rPr>
                <w:rFonts w:ascii="Arial" w:hAnsi="Arial" w:cs="Arial"/>
                <w:sz w:val="28"/>
                <w:szCs w:val="28"/>
              </w:rPr>
            </w:pPr>
            <w:r w:rsidRPr="00EF31DC">
              <w:rPr>
                <w:rFonts w:ascii="Arial" w:hAnsi="Arial" w:cs="Arial"/>
                <w:color w:val="00B050"/>
                <w:sz w:val="30"/>
                <w:szCs w:val="30"/>
              </w:rPr>
              <w:sym w:font="Wingdings 2" w:char="F098"/>
            </w:r>
          </w:p>
        </w:tc>
      </w:tr>
      <w:tr w:rsidR="00EF31DC" w:rsidRPr="00CF5D53" w:rsidTr="00247A18">
        <w:trPr>
          <w:trHeight w:val="851"/>
        </w:trPr>
        <w:tc>
          <w:tcPr>
            <w:tcW w:w="3240" w:type="dxa"/>
            <w:vMerge/>
            <w:vAlign w:val="center"/>
          </w:tcPr>
          <w:p w:rsidR="00EF31DC" w:rsidRPr="00CF5D53" w:rsidRDefault="00EF31DC" w:rsidP="00247A18">
            <w:pPr>
              <w:spacing w:line="240" w:lineRule="atLeast"/>
              <w:rPr>
                <w:rFonts w:ascii="Arial" w:hAnsi="Arial" w:cs="Arial"/>
                <w:sz w:val="20"/>
                <w:szCs w:val="20"/>
              </w:rPr>
            </w:pPr>
          </w:p>
        </w:tc>
        <w:tc>
          <w:tcPr>
            <w:tcW w:w="4667" w:type="dxa"/>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5.2 </w:t>
            </w:r>
            <w:r w:rsidR="00751B76" w:rsidRPr="00751B76">
              <w:rPr>
                <w:rFonts w:ascii="Arial" w:hAnsi="Arial" w:cs="Arial"/>
                <w:sz w:val="20"/>
                <w:szCs w:val="20"/>
              </w:rPr>
              <w:t>The FWO publishes key strategies and acts on feedback regarding the effectiveness of how it operates</w:t>
            </w:r>
          </w:p>
        </w:tc>
        <w:tc>
          <w:tcPr>
            <w:tcW w:w="1815" w:type="dxa"/>
            <w:vAlign w:val="center"/>
          </w:tcPr>
          <w:p w:rsidR="00EF31DC" w:rsidRPr="00CF5D53" w:rsidRDefault="00EF31DC" w:rsidP="00247A18">
            <w:pPr>
              <w:jc w:val="center"/>
              <w:rPr>
                <w:rFonts w:ascii="Arial" w:hAnsi="Arial" w:cs="Arial"/>
                <w:sz w:val="28"/>
                <w:szCs w:val="28"/>
              </w:rPr>
            </w:pPr>
            <w:r w:rsidRPr="00EF31DC">
              <w:rPr>
                <w:rFonts w:ascii="Arial" w:hAnsi="Arial" w:cs="Arial"/>
                <w:color w:val="F79646" w:themeColor="accent6"/>
                <w:sz w:val="30"/>
                <w:szCs w:val="30"/>
              </w:rPr>
              <w:sym w:font="Wingdings 2" w:char="F098"/>
            </w:r>
          </w:p>
        </w:tc>
      </w:tr>
      <w:tr w:rsidR="00EF31DC" w:rsidRPr="00CF5D53" w:rsidTr="00247A18">
        <w:trPr>
          <w:trHeight w:val="578"/>
        </w:trPr>
        <w:tc>
          <w:tcPr>
            <w:tcW w:w="3240" w:type="dxa"/>
            <w:vMerge w:val="restart"/>
            <w:shd w:val="clear" w:color="auto" w:fill="DAEEF3" w:themeFill="accent5" w:themeFillTint="33"/>
            <w:vAlign w:val="center"/>
          </w:tcPr>
          <w:p w:rsidR="00EF31DC" w:rsidRPr="00CF5D53" w:rsidRDefault="00EF31DC" w:rsidP="00247A18">
            <w:pPr>
              <w:rPr>
                <w:rFonts w:ascii="Arial" w:hAnsi="Arial" w:cs="Arial"/>
                <w:sz w:val="20"/>
                <w:szCs w:val="20"/>
              </w:rPr>
            </w:pPr>
            <w:proofErr w:type="spellStart"/>
            <w:r w:rsidRPr="00BD14AE">
              <w:rPr>
                <w:rFonts w:ascii="Arial" w:hAnsi="Arial" w:cs="Arial"/>
                <w:b/>
                <w:sz w:val="20"/>
                <w:szCs w:val="20"/>
              </w:rPr>
              <w:t>KPI</w:t>
            </w:r>
            <w:proofErr w:type="spellEnd"/>
            <w:r w:rsidRPr="00BD14AE">
              <w:rPr>
                <w:rFonts w:ascii="Arial" w:hAnsi="Arial" w:cs="Arial"/>
                <w:b/>
                <w:sz w:val="20"/>
                <w:szCs w:val="20"/>
              </w:rPr>
              <w:t xml:space="preserve"> 6:</w:t>
            </w:r>
            <w:r w:rsidRPr="00CF5D53">
              <w:rPr>
                <w:rFonts w:ascii="Arial" w:hAnsi="Arial" w:cs="Arial"/>
                <w:sz w:val="20"/>
                <w:szCs w:val="20"/>
              </w:rPr>
              <w:t xml:space="preserve"> Regulators actively contribute to the continuous improvement of regulatory frameworks.</w:t>
            </w:r>
          </w:p>
        </w:tc>
        <w:tc>
          <w:tcPr>
            <w:tcW w:w="4667" w:type="dxa"/>
            <w:shd w:val="clear" w:color="auto" w:fill="DAEEF3" w:themeFill="accent5" w:themeFillTint="33"/>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6.1 </w:t>
            </w:r>
            <w:r w:rsidRPr="00CF5D53">
              <w:rPr>
                <w:rFonts w:ascii="Arial" w:hAnsi="Arial" w:cs="Arial"/>
                <w:sz w:val="20"/>
                <w:szCs w:val="20"/>
              </w:rPr>
              <w:t xml:space="preserve">The FWO makes it easy for stakeholders and regulated entities to contribute to the efficient </w:t>
            </w:r>
            <w:r w:rsidR="00536FD4">
              <w:rPr>
                <w:rFonts w:ascii="Arial" w:hAnsi="Arial" w:cs="Arial"/>
                <w:sz w:val="20"/>
                <w:szCs w:val="20"/>
              </w:rPr>
              <w:t>operation of the FWO</w:t>
            </w:r>
          </w:p>
        </w:tc>
        <w:tc>
          <w:tcPr>
            <w:tcW w:w="1815" w:type="dxa"/>
            <w:shd w:val="clear" w:color="auto" w:fill="DAEEF3" w:themeFill="accent5" w:themeFillTint="33"/>
            <w:vAlign w:val="center"/>
          </w:tcPr>
          <w:p w:rsidR="00EF31DC" w:rsidRPr="00CF5D53" w:rsidRDefault="00EF31DC" w:rsidP="00247A18">
            <w:pPr>
              <w:jc w:val="center"/>
              <w:rPr>
                <w:rFonts w:ascii="Arial" w:hAnsi="Arial" w:cs="Arial"/>
                <w:sz w:val="28"/>
                <w:szCs w:val="28"/>
              </w:rPr>
            </w:pPr>
            <w:r w:rsidRPr="00EF31DC">
              <w:rPr>
                <w:rFonts w:ascii="Arial" w:hAnsi="Arial" w:cs="Arial"/>
                <w:color w:val="F79646" w:themeColor="accent6"/>
                <w:sz w:val="30"/>
                <w:szCs w:val="30"/>
              </w:rPr>
              <w:sym w:font="Wingdings 2" w:char="F098"/>
            </w:r>
          </w:p>
        </w:tc>
      </w:tr>
      <w:tr w:rsidR="00EF31DC" w:rsidRPr="00CF5D53" w:rsidTr="00247A18">
        <w:trPr>
          <w:trHeight w:val="842"/>
        </w:trPr>
        <w:tc>
          <w:tcPr>
            <w:tcW w:w="3240" w:type="dxa"/>
            <w:vMerge/>
            <w:tcBorders>
              <w:bottom w:val="single" w:sz="4" w:space="0" w:color="4BACC6" w:themeColor="accent5"/>
            </w:tcBorders>
            <w:shd w:val="clear" w:color="auto" w:fill="DAEEF3" w:themeFill="accent5" w:themeFillTint="33"/>
            <w:vAlign w:val="center"/>
          </w:tcPr>
          <w:p w:rsidR="00EF31DC" w:rsidRPr="00CF5D53" w:rsidRDefault="00EF31DC" w:rsidP="00247A18">
            <w:pPr>
              <w:rPr>
                <w:rFonts w:ascii="Arial" w:hAnsi="Arial" w:cs="Arial"/>
                <w:sz w:val="20"/>
                <w:szCs w:val="20"/>
              </w:rPr>
            </w:pPr>
          </w:p>
        </w:tc>
        <w:tc>
          <w:tcPr>
            <w:tcW w:w="4667" w:type="dxa"/>
            <w:tcBorders>
              <w:bottom w:val="single" w:sz="4" w:space="0" w:color="4BACC6" w:themeColor="accent5"/>
            </w:tcBorders>
            <w:shd w:val="clear" w:color="auto" w:fill="DAEEF3" w:themeFill="accent5" w:themeFillTint="33"/>
            <w:vAlign w:val="center"/>
          </w:tcPr>
          <w:p w:rsidR="00EF31DC" w:rsidRPr="00CF5D53" w:rsidRDefault="00EF31DC" w:rsidP="00247A18">
            <w:pPr>
              <w:rPr>
                <w:rFonts w:ascii="Arial" w:hAnsi="Arial" w:cs="Arial"/>
                <w:sz w:val="20"/>
                <w:szCs w:val="20"/>
              </w:rPr>
            </w:pPr>
            <w:r w:rsidRPr="00CF5D53">
              <w:rPr>
                <w:rFonts w:ascii="Arial" w:hAnsi="Arial" w:cs="Arial"/>
                <w:b/>
                <w:sz w:val="20"/>
                <w:szCs w:val="20"/>
              </w:rPr>
              <w:t xml:space="preserve">6.2 </w:t>
            </w:r>
            <w:r w:rsidRPr="00CF5D53">
              <w:rPr>
                <w:rFonts w:ascii="Arial" w:hAnsi="Arial" w:cs="Arial"/>
                <w:sz w:val="20"/>
                <w:szCs w:val="20"/>
              </w:rPr>
              <w:t>The FWO shares information, intelligence and feedback with policy departments for the improvement of</w:t>
            </w:r>
            <w:r w:rsidR="00536FD4">
              <w:rPr>
                <w:rFonts w:ascii="Arial" w:hAnsi="Arial" w:cs="Arial"/>
                <w:sz w:val="20"/>
                <w:szCs w:val="20"/>
              </w:rPr>
              <w:t xml:space="preserve"> the</w:t>
            </w:r>
            <w:r w:rsidRPr="00CF5D53">
              <w:rPr>
                <w:rFonts w:ascii="Arial" w:hAnsi="Arial" w:cs="Arial"/>
                <w:sz w:val="20"/>
                <w:szCs w:val="20"/>
              </w:rPr>
              <w:t xml:space="preserve"> regulatory framework</w:t>
            </w:r>
          </w:p>
        </w:tc>
        <w:tc>
          <w:tcPr>
            <w:tcW w:w="1815" w:type="dxa"/>
            <w:tcBorders>
              <w:bottom w:val="single" w:sz="4" w:space="0" w:color="4BACC6" w:themeColor="accent5"/>
            </w:tcBorders>
            <w:shd w:val="clear" w:color="auto" w:fill="DAEEF3" w:themeFill="accent5" w:themeFillTint="33"/>
            <w:vAlign w:val="center"/>
          </w:tcPr>
          <w:p w:rsidR="00EF31DC" w:rsidRPr="00CF5D53" w:rsidRDefault="00EF31DC" w:rsidP="00247A18">
            <w:pPr>
              <w:jc w:val="center"/>
              <w:rPr>
                <w:rFonts w:ascii="Arial" w:hAnsi="Arial" w:cs="Arial"/>
                <w:sz w:val="28"/>
                <w:szCs w:val="28"/>
              </w:rPr>
            </w:pPr>
            <w:r w:rsidRPr="00EF31DC">
              <w:rPr>
                <w:rFonts w:ascii="Arial" w:hAnsi="Arial" w:cs="Arial"/>
                <w:color w:val="00B050"/>
                <w:sz w:val="30"/>
                <w:szCs w:val="30"/>
              </w:rPr>
              <w:sym w:font="Wingdings 2" w:char="F098"/>
            </w:r>
          </w:p>
        </w:tc>
      </w:tr>
    </w:tbl>
    <w:p w:rsidR="00A03916" w:rsidRDefault="00A03916" w:rsidP="00A03916">
      <w:pPr>
        <w:spacing w:after="0" w:line="240" w:lineRule="auto"/>
        <w:rPr>
          <w:rFonts w:ascii="Arial" w:hAnsi="Arial" w:cs="Arial"/>
          <w:sz w:val="20"/>
          <w:szCs w:val="20"/>
        </w:rPr>
      </w:pPr>
    </w:p>
    <w:p w:rsidR="00A03916" w:rsidRPr="00A03916" w:rsidRDefault="00A03916" w:rsidP="00A03916">
      <w:pPr>
        <w:spacing w:after="0" w:line="240" w:lineRule="auto"/>
        <w:rPr>
          <w:rFonts w:ascii="Arial" w:hAnsi="Arial" w:cs="Arial"/>
          <w:sz w:val="20"/>
          <w:szCs w:val="20"/>
        </w:rPr>
      </w:pPr>
      <w:r>
        <w:rPr>
          <w:rFonts w:ascii="Arial" w:hAnsi="Arial" w:cs="Arial"/>
          <w:sz w:val="20"/>
          <w:szCs w:val="20"/>
        </w:rPr>
        <w:t xml:space="preserve">The summary table above provides an indication of the extent to which the FWO is achieving </w:t>
      </w:r>
      <w:r w:rsidR="00CF2C96">
        <w:rPr>
          <w:rFonts w:ascii="Arial" w:hAnsi="Arial" w:cs="Arial"/>
          <w:sz w:val="20"/>
          <w:szCs w:val="20"/>
        </w:rPr>
        <w:t xml:space="preserve">the </w:t>
      </w:r>
      <w:proofErr w:type="spellStart"/>
      <w:r>
        <w:rPr>
          <w:rFonts w:ascii="Arial" w:hAnsi="Arial" w:cs="Arial"/>
          <w:sz w:val="20"/>
          <w:szCs w:val="20"/>
        </w:rPr>
        <w:t>KPI</w:t>
      </w:r>
      <w:proofErr w:type="spellEnd"/>
      <w:r>
        <w:rPr>
          <w:rFonts w:ascii="Arial" w:hAnsi="Arial" w:cs="Arial"/>
          <w:sz w:val="20"/>
          <w:szCs w:val="20"/>
        </w:rPr>
        <w:t xml:space="preserve"> measures. The measures highlighted in amber indicate that there are potential areas for improvement.  </w:t>
      </w:r>
    </w:p>
    <w:p w:rsidR="00EF31DC" w:rsidRDefault="00EF31DC" w:rsidP="00EF31DC"/>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4322A4" w:rsidRPr="004322A4" w:rsidRDefault="004322A4" w:rsidP="00642E36">
      <w:pPr>
        <w:pStyle w:val="Heading1"/>
        <w:spacing w:before="0" w:line="240" w:lineRule="auto"/>
        <w:rPr>
          <w:rFonts w:ascii="Myriad Pro" w:hAnsi="Myriad Pro"/>
          <w:b w:val="0"/>
          <w:color w:val="31849B" w:themeColor="accent5" w:themeShade="BF"/>
        </w:rPr>
      </w:pPr>
      <w:bookmarkStart w:id="3" w:name="_Toc460917296"/>
      <w:proofErr w:type="spellStart"/>
      <w:r w:rsidRPr="004322A4">
        <w:rPr>
          <w:rFonts w:ascii="Myriad Pro" w:hAnsi="Myriad Pro"/>
          <w:b w:val="0"/>
          <w:color w:val="31849B" w:themeColor="accent5" w:themeShade="BF"/>
        </w:rPr>
        <w:lastRenderedPageBreak/>
        <w:t>KPI</w:t>
      </w:r>
      <w:proofErr w:type="spellEnd"/>
      <w:r w:rsidRPr="004322A4">
        <w:rPr>
          <w:rFonts w:ascii="Myriad Pro" w:hAnsi="Myriad Pro"/>
          <w:b w:val="0"/>
          <w:color w:val="31849B" w:themeColor="accent5" w:themeShade="BF"/>
        </w:rPr>
        <w:t xml:space="preserve"> 1 – Regulators do not unnecessarily impede the efficient operation of regulated entities</w:t>
      </w:r>
      <w:bookmarkEnd w:id="3"/>
    </w:p>
    <w:p w:rsidR="004322A4" w:rsidRPr="004322A4" w:rsidRDefault="004322A4" w:rsidP="00642E36">
      <w:pPr>
        <w:spacing w:after="0" w:line="240" w:lineRule="auto"/>
        <w:rPr>
          <w:rFonts w:ascii="Myriad Pro" w:hAnsi="Myriad Pro" w:cs="Arial"/>
          <w:color w:val="31849B" w:themeColor="accent5" w:themeShade="BF"/>
          <w:sz w:val="20"/>
          <w:szCs w:val="20"/>
        </w:rPr>
      </w:pPr>
    </w:p>
    <w:p w:rsidR="004322A4" w:rsidRPr="00886868" w:rsidRDefault="004322A4" w:rsidP="00642E36">
      <w:pPr>
        <w:pStyle w:val="Heading2"/>
        <w:spacing w:before="0" w:line="240" w:lineRule="auto"/>
        <w:rPr>
          <w:rFonts w:ascii="Myriad Pro" w:hAnsi="Myriad Pro"/>
          <w:b w:val="0"/>
          <w:i/>
          <w:color w:val="31849B" w:themeColor="accent5" w:themeShade="BF"/>
          <w:sz w:val="25"/>
          <w:szCs w:val="25"/>
        </w:rPr>
      </w:pPr>
      <w:bookmarkStart w:id="4" w:name="_Toc460917297"/>
      <w:r w:rsidRPr="00886868">
        <w:rPr>
          <w:rFonts w:ascii="Myriad Pro" w:hAnsi="Myriad Pro"/>
          <w:b w:val="0"/>
          <w:i/>
          <w:color w:val="31849B" w:themeColor="accent5" w:themeShade="BF"/>
          <w:sz w:val="25"/>
          <w:szCs w:val="25"/>
        </w:rPr>
        <w:t>Measure 1.1 – The FWO uses appropriate methods to manage requests for assistance to reduce the burden on regulated entities.</w:t>
      </w:r>
      <w:bookmarkEnd w:id="4"/>
    </w:p>
    <w:p w:rsidR="004322A4" w:rsidRPr="004322A4" w:rsidRDefault="004322A4" w:rsidP="00642E36">
      <w:pPr>
        <w:spacing w:after="0" w:line="240" w:lineRule="auto"/>
        <w:rPr>
          <w:rFonts w:ascii="Myriad Pro" w:hAnsi="Myriad Pro" w:cs="Arial"/>
          <w:i/>
          <w:color w:val="31849B" w:themeColor="accent5" w:themeShade="BF"/>
          <w:sz w:val="24"/>
          <w:szCs w:val="24"/>
        </w:rPr>
      </w:pPr>
    </w:p>
    <w:p w:rsidR="00881686" w:rsidRPr="00881686" w:rsidRDefault="00881686" w:rsidP="00642E36">
      <w:pPr>
        <w:spacing w:after="0" w:line="240" w:lineRule="auto"/>
        <w:rPr>
          <w:rFonts w:ascii="Arial" w:hAnsi="Arial" w:cs="Arial"/>
          <w:sz w:val="20"/>
          <w:szCs w:val="20"/>
        </w:rPr>
      </w:pPr>
      <w:r w:rsidRPr="00881686">
        <w:rPr>
          <w:rFonts w:ascii="Arial" w:hAnsi="Arial" w:cs="Arial"/>
          <w:sz w:val="20"/>
          <w:szCs w:val="20"/>
        </w:rPr>
        <w:t xml:space="preserve">The FWO is aware of the burden </w:t>
      </w:r>
      <w:r w:rsidR="00536FD4">
        <w:rPr>
          <w:rFonts w:ascii="Arial" w:hAnsi="Arial" w:cs="Arial"/>
          <w:sz w:val="20"/>
          <w:szCs w:val="20"/>
        </w:rPr>
        <w:t>that</w:t>
      </w:r>
      <w:r w:rsidR="00536FD4" w:rsidRPr="00881686">
        <w:rPr>
          <w:rFonts w:ascii="Arial" w:hAnsi="Arial" w:cs="Arial"/>
          <w:sz w:val="20"/>
          <w:szCs w:val="20"/>
        </w:rPr>
        <w:t xml:space="preserve"> </w:t>
      </w:r>
      <w:r w:rsidRPr="00881686">
        <w:rPr>
          <w:rFonts w:ascii="Arial" w:hAnsi="Arial" w:cs="Arial"/>
          <w:sz w:val="20"/>
          <w:szCs w:val="20"/>
        </w:rPr>
        <w:t>unnecessary red tape can impose on individuals, businesses and the community, and the potential impact this has on productivity. The agency is continuously working to streamline its processes and implement changes to make it easier for regulated entities to comply with workplace laws.</w:t>
      </w:r>
    </w:p>
    <w:p w:rsidR="00881686" w:rsidRPr="00881686" w:rsidRDefault="00881686" w:rsidP="00642E36">
      <w:pPr>
        <w:spacing w:after="0" w:line="240" w:lineRule="auto"/>
        <w:rPr>
          <w:rFonts w:ascii="Arial" w:hAnsi="Arial" w:cs="Arial"/>
          <w:sz w:val="20"/>
          <w:szCs w:val="20"/>
        </w:rPr>
      </w:pPr>
    </w:p>
    <w:p w:rsidR="007C45BB" w:rsidRPr="00D75649" w:rsidRDefault="00881686" w:rsidP="00D75649">
      <w:pPr>
        <w:pStyle w:val="Header"/>
        <w:rPr>
          <w:rFonts w:ascii="Arial" w:hAnsi="Arial" w:cs="Arial"/>
          <w:sz w:val="20"/>
          <w:szCs w:val="20"/>
        </w:rPr>
      </w:pPr>
      <w:r w:rsidRPr="00487D1D">
        <w:rPr>
          <w:rFonts w:ascii="Arial" w:hAnsi="Arial" w:cs="Arial"/>
          <w:sz w:val="20"/>
          <w:szCs w:val="20"/>
        </w:rPr>
        <w:t xml:space="preserve">A key priority outlined in the FWO </w:t>
      </w:r>
      <w:r w:rsidRPr="00487D1D">
        <w:rPr>
          <w:rFonts w:ascii="Arial" w:hAnsi="Arial" w:cs="Arial"/>
          <w:i/>
          <w:sz w:val="20"/>
          <w:szCs w:val="20"/>
        </w:rPr>
        <w:t>2015-16 Corporate Plan</w:t>
      </w:r>
      <w:r w:rsidRPr="00487D1D">
        <w:rPr>
          <w:rFonts w:ascii="Arial" w:hAnsi="Arial" w:cs="Arial"/>
          <w:sz w:val="20"/>
          <w:szCs w:val="20"/>
        </w:rPr>
        <w:t xml:space="preserve"> is to encourage and empower employers</w:t>
      </w:r>
      <w:r w:rsidR="00EF31DC">
        <w:rPr>
          <w:rFonts w:ascii="Arial" w:hAnsi="Arial" w:cs="Arial"/>
          <w:sz w:val="20"/>
          <w:szCs w:val="20"/>
        </w:rPr>
        <w:t xml:space="preserve"> and employees</w:t>
      </w:r>
      <w:r w:rsidRPr="00487D1D">
        <w:rPr>
          <w:rFonts w:ascii="Arial" w:hAnsi="Arial" w:cs="Arial"/>
          <w:sz w:val="20"/>
          <w:szCs w:val="20"/>
        </w:rPr>
        <w:t xml:space="preserve"> to resolve disputes within their workplace</w:t>
      </w:r>
      <w:r w:rsidR="007C45BB" w:rsidRPr="00487D1D">
        <w:rPr>
          <w:rFonts w:ascii="Arial" w:hAnsi="Arial" w:cs="Arial"/>
          <w:sz w:val="20"/>
          <w:szCs w:val="20"/>
        </w:rPr>
        <w:t>,</w:t>
      </w:r>
      <w:r w:rsidRPr="00487D1D">
        <w:rPr>
          <w:rFonts w:ascii="Arial" w:hAnsi="Arial" w:cs="Arial"/>
          <w:sz w:val="20"/>
          <w:szCs w:val="20"/>
        </w:rPr>
        <w:t xml:space="preserve"> recognis</w:t>
      </w:r>
      <w:r w:rsidR="007C45BB" w:rsidRPr="00487D1D">
        <w:rPr>
          <w:rFonts w:ascii="Arial" w:hAnsi="Arial" w:cs="Arial"/>
          <w:sz w:val="20"/>
          <w:szCs w:val="20"/>
        </w:rPr>
        <w:t>ing</w:t>
      </w:r>
      <w:r w:rsidRPr="00487D1D">
        <w:rPr>
          <w:rFonts w:ascii="Arial" w:hAnsi="Arial" w:cs="Arial"/>
          <w:sz w:val="20"/>
          <w:szCs w:val="20"/>
        </w:rPr>
        <w:t xml:space="preserve"> that workplace disputes can potentially lead to both financial and non-financial costs for regulate</w:t>
      </w:r>
      <w:r w:rsidRPr="00D75649">
        <w:rPr>
          <w:rFonts w:ascii="Arial" w:hAnsi="Arial" w:cs="Arial"/>
          <w:sz w:val="20"/>
          <w:szCs w:val="20"/>
        </w:rPr>
        <w:t>d entities, including lost productivity and reputational damage.</w:t>
      </w:r>
    </w:p>
    <w:p w:rsidR="007C45BB" w:rsidRDefault="007C45BB" w:rsidP="00642E36">
      <w:pPr>
        <w:spacing w:after="0" w:line="240" w:lineRule="auto"/>
        <w:rPr>
          <w:rFonts w:ascii="Arial" w:hAnsi="Arial" w:cs="Arial"/>
          <w:sz w:val="20"/>
          <w:szCs w:val="20"/>
        </w:rPr>
      </w:pPr>
    </w:p>
    <w:p w:rsidR="00881686" w:rsidRPr="00881686" w:rsidRDefault="007C45BB" w:rsidP="00642E36">
      <w:pPr>
        <w:spacing w:after="0" w:line="240" w:lineRule="auto"/>
        <w:rPr>
          <w:rFonts w:ascii="Arial" w:hAnsi="Arial" w:cs="Arial"/>
          <w:sz w:val="20"/>
          <w:szCs w:val="20"/>
        </w:rPr>
      </w:pPr>
      <w:r>
        <w:rPr>
          <w:rFonts w:ascii="Arial" w:hAnsi="Arial" w:cs="Arial"/>
          <w:sz w:val="20"/>
          <w:szCs w:val="20"/>
        </w:rPr>
        <w:t xml:space="preserve">The FWO provides services </w:t>
      </w:r>
      <w:r w:rsidR="00C23A6D">
        <w:rPr>
          <w:rFonts w:ascii="Arial" w:hAnsi="Arial" w:cs="Arial"/>
          <w:sz w:val="20"/>
          <w:szCs w:val="20"/>
        </w:rPr>
        <w:t xml:space="preserve">that </w:t>
      </w:r>
      <w:proofErr w:type="gramStart"/>
      <w:r w:rsidR="00C23A6D">
        <w:rPr>
          <w:rFonts w:ascii="Arial" w:hAnsi="Arial" w:cs="Arial"/>
          <w:sz w:val="20"/>
          <w:szCs w:val="20"/>
        </w:rPr>
        <w:t>are</w:t>
      </w:r>
      <w:r w:rsidR="002E3357">
        <w:rPr>
          <w:rFonts w:ascii="Arial" w:hAnsi="Arial" w:cs="Arial"/>
          <w:sz w:val="20"/>
          <w:szCs w:val="20"/>
        </w:rPr>
        <w:t xml:space="preserve"> d</w:t>
      </w:r>
      <w:r w:rsidR="00C23A6D">
        <w:rPr>
          <w:rFonts w:ascii="Arial" w:hAnsi="Arial" w:cs="Arial"/>
          <w:sz w:val="20"/>
          <w:szCs w:val="20"/>
        </w:rPr>
        <w:t>esigned</w:t>
      </w:r>
      <w:proofErr w:type="gramEnd"/>
      <w:r w:rsidR="00C23A6D">
        <w:rPr>
          <w:rFonts w:ascii="Arial" w:hAnsi="Arial" w:cs="Arial"/>
          <w:sz w:val="20"/>
          <w:szCs w:val="20"/>
        </w:rPr>
        <w:t xml:space="preserve"> to reduce the burden on</w:t>
      </w:r>
      <w:r>
        <w:rPr>
          <w:rFonts w:ascii="Arial" w:hAnsi="Arial" w:cs="Arial"/>
          <w:sz w:val="20"/>
          <w:szCs w:val="20"/>
        </w:rPr>
        <w:t xml:space="preserve"> regulated entities:</w:t>
      </w:r>
    </w:p>
    <w:p w:rsidR="00881686" w:rsidRPr="00881686" w:rsidRDefault="00881686" w:rsidP="00642E36">
      <w:pPr>
        <w:spacing w:after="0" w:line="240" w:lineRule="auto"/>
        <w:rPr>
          <w:rFonts w:ascii="Arial" w:hAnsi="Arial" w:cs="Arial"/>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881686" w:rsidRPr="00881686" w:rsidTr="00951510">
        <w:trPr>
          <w:trHeight w:val="454"/>
          <w:tblHeader/>
        </w:trPr>
        <w:tc>
          <w:tcPr>
            <w:tcW w:w="4077" w:type="dxa"/>
            <w:tcBorders>
              <w:bottom w:val="single" w:sz="2" w:space="0" w:color="4BACC6" w:themeColor="accent5"/>
            </w:tcBorders>
            <w:shd w:val="clear" w:color="auto" w:fill="DAEEF3" w:themeFill="accent5" w:themeFillTint="33"/>
            <w:vAlign w:val="center"/>
          </w:tcPr>
          <w:p w:rsidR="00881686" w:rsidRPr="00881686" w:rsidRDefault="00C23A6D" w:rsidP="00642E36">
            <w:pPr>
              <w:rPr>
                <w:rFonts w:ascii="Myriad Pro" w:hAnsi="Myriad Pro" w:cs="Arial"/>
                <w:color w:val="31849B" w:themeColor="accent5" w:themeShade="BF"/>
              </w:rPr>
            </w:pPr>
            <w:r>
              <w:rPr>
                <w:rFonts w:ascii="Myriad Pro" w:hAnsi="Myriad Pro" w:cs="Arial"/>
                <w:color w:val="31849B" w:themeColor="accent5" w:themeShade="BF"/>
              </w:rPr>
              <w:t>Activity</w:t>
            </w:r>
          </w:p>
        </w:tc>
        <w:tc>
          <w:tcPr>
            <w:tcW w:w="5165" w:type="dxa"/>
            <w:tcBorders>
              <w:bottom w:val="single" w:sz="2" w:space="0" w:color="4BACC6" w:themeColor="accent5"/>
            </w:tcBorders>
            <w:shd w:val="clear" w:color="auto" w:fill="DAEEF3" w:themeFill="accent5" w:themeFillTint="33"/>
            <w:vAlign w:val="center"/>
          </w:tcPr>
          <w:p w:rsidR="00881686" w:rsidRPr="00881686" w:rsidRDefault="00C23A6D" w:rsidP="009D2A87">
            <w:pPr>
              <w:rPr>
                <w:rFonts w:ascii="Myriad Pro" w:hAnsi="Myriad Pro" w:cs="Arial"/>
                <w:color w:val="31849B" w:themeColor="accent5" w:themeShade="BF"/>
              </w:rPr>
            </w:pPr>
            <w:r>
              <w:rPr>
                <w:rFonts w:ascii="Myriad Pro" w:hAnsi="Myriad Pro" w:cs="Arial"/>
                <w:color w:val="31849B" w:themeColor="accent5" w:themeShade="BF"/>
              </w:rPr>
              <w:t>Achievement</w:t>
            </w:r>
          </w:p>
        </w:tc>
      </w:tr>
      <w:tr w:rsidR="00881686" w:rsidRPr="00881686" w:rsidTr="00751B76">
        <w:trPr>
          <w:trHeight w:val="1861"/>
        </w:trPr>
        <w:tc>
          <w:tcPr>
            <w:tcW w:w="4077" w:type="dxa"/>
            <w:tcBorders>
              <w:top w:val="single" w:sz="2" w:space="0" w:color="4BACC6" w:themeColor="accent5"/>
              <w:bottom w:val="nil"/>
            </w:tcBorders>
          </w:tcPr>
          <w:p w:rsidR="00881686" w:rsidRPr="00642E36" w:rsidRDefault="00881686" w:rsidP="00642E36">
            <w:pPr>
              <w:rPr>
                <w:rFonts w:ascii="Arial" w:hAnsi="Arial" w:cs="Arial"/>
                <w:sz w:val="20"/>
                <w:szCs w:val="20"/>
              </w:rPr>
            </w:pPr>
            <w:r w:rsidRPr="00642E36">
              <w:rPr>
                <w:rFonts w:ascii="Arial" w:hAnsi="Arial" w:cs="Arial"/>
                <w:sz w:val="20"/>
                <w:szCs w:val="20"/>
              </w:rPr>
              <w:t>The FWO provides information and advice in a timely manner to enable regulated entities to resolve workplace disputes efficiently, reducing the potential for the dispute to turn into a formal complaint.</w:t>
            </w:r>
          </w:p>
        </w:tc>
        <w:tc>
          <w:tcPr>
            <w:tcW w:w="5165" w:type="dxa"/>
            <w:tcBorders>
              <w:top w:val="single" w:sz="2" w:space="0" w:color="4BACC6" w:themeColor="accent5"/>
              <w:bottom w:val="nil"/>
            </w:tcBorders>
          </w:tcPr>
          <w:p w:rsidR="00881686" w:rsidRPr="00642E36" w:rsidRDefault="00881686" w:rsidP="00642E36">
            <w:pPr>
              <w:pStyle w:val="ListParagraph"/>
              <w:numPr>
                <w:ilvl w:val="0"/>
                <w:numId w:val="16"/>
              </w:numPr>
              <w:rPr>
                <w:rFonts w:ascii="Arial" w:hAnsi="Arial" w:cs="Arial"/>
                <w:sz w:val="20"/>
                <w:szCs w:val="20"/>
              </w:rPr>
            </w:pPr>
            <w:r w:rsidRPr="00642E36">
              <w:rPr>
                <w:rFonts w:ascii="Arial" w:hAnsi="Arial" w:cs="Arial"/>
                <w:sz w:val="20"/>
                <w:szCs w:val="20"/>
              </w:rPr>
              <w:t xml:space="preserve">15.3 million visits to fairwork.gov.au </w:t>
            </w:r>
          </w:p>
          <w:p w:rsidR="00881686" w:rsidRPr="00642E36" w:rsidRDefault="00881686" w:rsidP="00642E36">
            <w:pPr>
              <w:pStyle w:val="ListParagraph"/>
              <w:numPr>
                <w:ilvl w:val="0"/>
                <w:numId w:val="16"/>
              </w:numPr>
              <w:rPr>
                <w:rFonts w:ascii="Arial" w:hAnsi="Arial" w:cs="Arial"/>
                <w:sz w:val="20"/>
                <w:szCs w:val="20"/>
              </w:rPr>
            </w:pPr>
            <w:r w:rsidRPr="00642E36">
              <w:rPr>
                <w:rFonts w:ascii="Arial" w:hAnsi="Arial" w:cs="Arial"/>
                <w:sz w:val="20"/>
                <w:szCs w:val="20"/>
              </w:rPr>
              <w:t>47</w:t>
            </w:r>
            <w:r w:rsidR="00487D1D">
              <w:rPr>
                <w:rFonts w:ascii="Arial" w:hAnsi="Arial" w:cs="Arial"/>
                <w:sz w:val="20"/>
                <w:szCs w:val="20"/>
              </w:rPr>
              <w:t xml:space="preserve"> </w:t>
            </w:r>
            <w:r w:rsidRPr="00642E36">
              <w:rPr>
                <w:rFonts w:ascii="Arial" w:hAnsi="Arial" w:cs="Arial"/>
                <w:sz w:val="20"/>
                <w:szCs w:val="20"/>
              </w:rPr>
              <w:t xml:space="preserve">605 </w:t>
            </w:r>
            <w:r w:rsidRPr="00642E36">
              <w:rPr>
                <w:rFonts w:ascii="Arial" w:hAnsi="Arial" w:cs="Arial"/>
                <w:i/>
                <w:sz w:val="20"/>
                <w:szCs w:val="20"/>
              </w:rPr>
              <w:t>My account</w:t>
            </w:r>
            <w:r w:rsidRPr="00642E36">
              <w:rPr>
                <w:rFonts w:ascii="Arial" w:hAnsi="Arial" w:cs="Arial"/>
                <w:sz w:val="20"/>
                <w:szCs w:val="20"/>
              </w:rPr>
              <w:t xml:space="preserve"> enquiries answered</w:t>
            </w:r>
          </w:p>
          <w:p w:rsidR="00881686" w:rsidRPr="00642E36" w:rsidRDefault="002B04FB" w:rsidP="00642E36">
            <w:pPr>
              <w:pStyle w:val="ListParagraph"/>
              <w:numPr>
                <w:ilvl w:val="0"/>
                <w:numId w:val="16"/>
              </w:numPr>
              <w:rPr>
                <w:rFonts w:ascii="Arial" w:hAnsi="Arial" w:cs="Arial"/>
                <w:sz w:val="20"/>
                <w:szCs w:val="20"/>
              </w:rPr>
            </w:pPr>
            <w:r>
              <w:rPr>
                <w:rFonts w:ascii="Arial" w:hAnsi="Arial" w:cs="Arial"/>
                <w:sz w:val="20"/>
                <w:szCs w:val="20"/>
              </w:rPr>
              <w:t>M</w:t>
            </w:r>
            <w:r w:rsidR="00881686" w:rsidRPr="00642E36">
              <w:rPr>
                <w:rFonts w:ascii="Arial" w:hAnsi="Arial" w:cs="Arial"/>
                <w:sz w:val="20"/>
                <w:szCs w:val="20"/>
              </w:rPr>
              <w:t>ore than 5 million calculations carried out on the Pay and Conditions Tool (PACT)</w:t>
            </w:r>
          </w:p>
          <w:p w:rsidR="00881686" w:rsidRPr="00642E36" w:rsidRDefault="00881686" w:rsidP="00642E36">
            <w:pPr>
              <w:pStyle w:val="ListParagraph"/>
              <w:numPr>
                <w:ilvl w:val="0"/>
                <w:numId w:val="16"/>
              </w:numPr>
              <w:rPr>
                <w:rFonts w:ascii="Arial" w:hAnsi="Arial" w:cs="Arial"/>
                <w:sz w:val="20"/>
                <w:szCs w:val="20"/>
              </w:rPr>
            </w:pPr>
            <w:r w:rsidRPr="00642E36">
              <w:rPr>
                <w:rFonts w:ascii="Arial" w:hAnsi="Arial" w:cs="Arial"/>
                <w:sz w:val="20"/>
                <w:szCs w:val="20"/>
              </w:rPr>
              <w:t>18</w:t>
            </w:r>
            <w:r w:rsidR="00487D1D">
              <w:rPr>
                <w:rFonts w:ascii="Arial" w:hAnsi="Arial" w:cs="Arial"/>
                <w:sz w:val="20"/>
                <w:szCs w:val="20"/>
              </w:rPr>
              <w:t xml:space="preserve"> </w:t>
            </w:r>
            <w:r w:rsidRPr="00642E36">
              <w:rPr>
                <w:rFonts w:ascii="Arial" w:hAnsi="Arial" w:cs="Arial"/>
                <w:sz w:val="20"/>
                <w:szCs w:val="20"/>
              </w:rPr>
              <w:t xml:space="preserve">220 </w:t>
            </w:r>
            <w:r w:rsidR="007C45BB" w:rsidRPr="00642E36">
              <w:rPr>
                <w:rFonts w:ascii="Arial" w:hAnsi="Arial" w:cs="Arial"/>
                <w:sz w:val="20"/>
                <w:szCs w:val="20"/>
              </w:rPr>
              <w:t xml:space="preserve">views </w:t>
            </w:r>
            <w:r w:rsidR="00EF31DC">
              <w:rPr>
                <w:rFonts w:ascii="Arial" w:hAnsi="Arial" w:cs="Arial"/>
                <w:sz w:val="20"/>
                <w:szCs w:val="20"/>
              </w:rPr>
              <w:t>of</w:t>
            </w:r>
            <w:r w:rsidR="007C45BB" w:rsidRPr="00642E36">
              <w:rPr>
                <w:rFonts w:ascii="Arial" w:hAnsi="Arial" w:cs="Arial"/>
                <w:sz w:val="20"/>
                <w:szCs w:val="20"/>
              </w:rPr>
              <w:t xml:space="preserve"> online learning modules</w:t>
            </w:r>
          </w:p>
          <w:p w:rsidR="00881686" w:rsidRPr="00642E36" w:rsidRDefault="00881686" w:rsidP="00642E36">
            <w:pPr>
              <w:pStyle w:val="ListParagraph"/>
              <w:numPr>
                <w:ilvl w:val="0"/>
                <w:numId w:val="16"/>
              </w:numPr>
              <w:rPr>
                <w:rFonts w:ascii="Arial" w:hAnsi="Arial" w:cs="Arial"/>
                <w:sz w:val="20"/>
                <w:szCs w:val="20"/>
              </w:rPr>
            </w:pPr>
            <w:r w:rsidRPr="00642E36">
              <w:rPr>
                <w:rFonts w:ascii="Arial" w:hAnsi="Arial" w:cs="Arial"/>
                <w:sz w:val="20"/>
                <w:szCs w:val="20"/>
              </w:rPr>
              <w:t>2.8 million fact sheet views</w:t>
            </w:r>
          </w:p>
          <w:p w:rsidR="00881686" w:rsidRPr="00642E36" w:rsidRDefault="00881686" w:rsidP="00642E36">
            <w:pPr>
              <w:pStyle w:val="ListParagraph"/>
              <w:numPr>
                <w:ilvl w:val="0"/>
                <w:numId w:val="16"/>
              </w:numPr>
              <w:rPr>
                <w:rFonts w:ascii="Arial" w:hAnsi="Arial" w:cs="Arial"/>
                <w:sz w:val="20"/>
                <w:szCs w:val="20"/>
              </w:rPr>
            </w:pPr>
            <w:r w:rsidRPr="00642E36">
              <w:rPr>
                <w:rFonts w:ascii="Arial" w:hAnsi="Arial" w:cs="Arial"/>
                <w:sz w:val="20"/>
                <w:szCs w:val="20"/>
              </w:rPr>
              <w:t>345</w:t>
            </w:r>
            <w:r w:rsidR="00487D1D">
              <w:rPr>
                <w:rFonts w:ascii="Arial" w:hAnsi="Arial" w:cs="Arial"/>
                <w:sz w:val="20"/>
                <w:szCs w:val="20"/>
              </w:rPr>
              <w:t xml:space="preserve"> </w:t>
            </w:r>
            <w:r w:rsidRPr="00642E36">
              <w:rPr>
                <w:rFonts w:ascii="Arial" w:hAnsi="Arial" w:cs="Arial"/>
                <w:sz w:val="20"/>
                <w:szCs w:val="20"/>
              </w:rPr>
              <w:t>637 template downloads</w:t>
            </w:r>
          </w:p>
          <w:p w:rsidR="00881686" w:rsidRPr="00642E36" w:rsidRDefault="00881686" w:rsidP="00642E36">
            <w:pPr>
              <w:pStyle w:val="ListParagraph"/>
              <w:numPr>
                <w:ilvl w:val="0"/>
                <w:numId w:val="16"/>
              </w:numPr>
              <w:rPr>
                <w:rFonts w:ascii="Arial" w:hAnsi="Arial" w:cs="Arial"/>
                <w:sz w:val="20"/>
                <w:szCs w:val="20"/>
              </w:rPr>
            </w:pPr>
            <w:r w:rsidRPr="00642E36">
              <w:rPr>
                <w:rFonts w:ascii="Arial" w:hAnsi="Arial" w:cs="Arial"/>
                <w:sz w:val="20"/>
                <w:szCs w:val="20"/>
              </w:rPr>
              <w:t>13</w:t>
            </w:r>
            <w:r w:rsidR="00487D1D">
              <w:rPr>
                <w:rFonts w:ascii="Arial" w:hAnsi="Arial" w:cs="Arial"/>
                <w:sz w:val="20"/>
                <w:szCs w:val="20"/>
              </w:rPr>
              <w:t xml:space="preserve"> </w:t>
            </w:r>
            <w:r w:rsidRPr="00642E36">
              <w:rPr>
                <w:rFonts w:ascii="Arial" w:hAnsi="Arial" w:cs="Arial"/>
                <w:sz w:val="20"/>
                <w:szCs w:val="20"/>
              </w:rPr>
              <w:t>991 employer newsletter subscribers</w:t>
            </w:r>
          </w:p>
        </w:tc>
      </w:tr>
      <w:tr w:rsidR="00881686" w:rsidRPr="00881686" w:rsidTr="00751B76">
        <w:trPr>
          <w:trHeight w:val="1171"/>
        </w:trPr>
        <w:tc>
          <w:tcPr>
            <w:tcW w:w="4077" w:type="dxa"/>
            <w:tcBorders>
              <w:bottom w:val="nil"/>
            </w:tcBorders>
            <w:shd w:val="clear" w:color="auto" w:fill="DAEEF3" w:themeFill="accent5" w:themeFillTint="33"/>
          </w:tcPr>
          <w:p w:rsidR="00881686" w:rsidRPr="00642E36" w:rsidRDefault="00881686" w:rsidP="00D26096">
            <w:pPr>
              <w:rPr>
                <w:rFonts w:ascii="Arial" w:hAnsi="Arial" w:cs="Arial"/>
                <w:sz w:val="20"/>
                <w:szCs w:val="20"/>
              </w:rPr>
            </w:pPr>
            <w:r w:rsidRPr="00642E36">
              <w:rPr>
                <w:rFonts w:ascii="Arial" w:hAnsi="Arial" w:cs="Arial"/>
                <w:sz w:val="20"/>
                <w:szCs w:val="20"/>
              </w:rPr>
              <w:t>The FWO provides an ‘</w:t>
            </w:r>
            <w:r w:rsidR="00487D1D">
              <w:rPr>
                <w:rFonts w:ascii="Arial" w:hAnsi="Arial" w:cs="Arial"/>
                <w:sz w:val="20"/>
                <w:szCs w:val="20"/>
              </w:rPr>
              <w:t>e</w:t>
            </w:r>
            <w:r w:rsidRPr="00642E36">
              <w:rPr>
                <w:rFonts w:ascii="Arial" w:hAnsi="Arial" w:cs="Arial"/>
                <w:sz w:val="20"/>
                <w:szCs w:val="20"/>
              </w:rPr>
              <w:t>arly intervention’ service to assist in the resolution of workplace issues without formal investigation</w:t>
            </w:r>
            <w:r w:rsidR="00C23A6D">
              <w:rPr>
                <w:rFonts w:ascii="Arial" w:hAnsi="Arial" w:cs="Arial"/>
                <w:sz w:val="20"/>
                <w:szCs w:val="20"/>
              </w:rPr>
              <w:t xml:space="preserve">, saving </w:t>
            </w:r>
            <w:r w:rsidR="00D26096">
              <w:rPr>
                <w:rFonts w:ascii="Arial" w:hAnsi="Arial" w:cs="Arial"/>
                <w:sz w:val="20"/>
                <w:szCs w:val="20"/>
              </w:rPr>
              <w:t xml:space="preserve">all </w:t>
            </w:r>
            <w:r w:rsidR="00C23A6D">
              <w:rPr>
                <w:rFonts w:ascii="Arial" w:hAnsi="Arial" w:cs="Arial"/>
                <w:sz w:val="20"/>
                <w:szCs w:val="20"/>
              </w:rPr>
              <w:t>parties time and money</w:t>
            </w:r>
            <w:r w:rsidRPr="00642E36">
              <w:rPr>
                <w:rFonts w:ascii="Arial" w:hAnsi="Arial" w:cs="Arial"/>
                <w:sz w:val="20"/>
                <w:szCs w:val="20"/>
              </w:rPr>
              <w:t>.</w:t>
            </w:r>
          </w:p>
        </w:tc>
        <w:tc>
          <w:tcPr>
            <w:tcW w:w="5165" w:type="dxa"/>
            <w:tcBorders>
              <w:bottom w:val="nil"/>
            </w:tcBorders>
            <w:shd w:val="clear" w:color="auto" w:fill="DAEEF3" w:themeFill="accent5" w:themeFillTint="33"/>
          </w:tcPr>
          <w:p w:rsidR="00881686" w:rsidRPr="00642E36" w:rsidRDefault="00881686" w:rsidP="00642E36">
            <w:pPr>
              <w:pStyle w:val="ListParagraph"/>
              <w:numPr>
                <w:ilvl w:val="0"/>
                <w:numId w:val="17"/>
              </w:numPr>
              <w:rPr>
                <w:rFonts w:ascii="Arial" w:hAnsi="Arial" w:cs="Arial"/>
                <w:sz w:val="20"/>
                <w:szCs w:val="20"/>
              </w:rPr>
            </w:pPr>
            <w:r w:rsidRPr="00642E36">
              <w:rPr>
                <w:rFonts w:ascii="Arial" w:hAnsi="Arial" w:cs="Arial"/>
                <w:sz w:val="20"/>
                <w:szCs w:val="20"/>
              </w:rPr>
              <w:t>10</w:t>
            </w:r>
            <w:r w:rsidR="00487D1D">
              <w:rPr>
                <w:rFonts w:ascii="Arial" w:hAnsi="Arial" w:cs="Arial"/>
                <w:sz w:val="20"/>
                <w:szCs w:val="20"/>
              </w:rPr>
              <w:t xml:space="preserve"> </w:t>
            </w:r>
            <w:r w:rsidRPr="00642E36">
              <w:rPr>
                <w:rFonts w:ascii="Arial" w:hAnsi="Arial" w:cs="Arial"/>
                <w:sz w:val="20"/>
                <w:szCs w:val="20"/>
              </w:rPr>
              <w:t>256 early intervention activities were undertaken, resulting in $4.4 million in recoveries</w:t>
            </w:r>
          </w:p>
        </w:tc>
      </w:tr>
      <w:tr w:rsidR="00881686" w:rsidRPr="00881686" w:rsidTr="00642E36">
        <w:trPr>
          <w:trHeight w:val="996"/>
        </w:trPr>
        <w:tc>
          <w:tcPr>
            <w:tcW w:w="4077" w:type="dxa"/>
            <w:tcBorders>
              <w:top w:val="nil"/>
              <w:bottom w:val="nil"/>
            </w:tcBorders>
          </w:tcPr>
          <w:p w:rsidR="00881686" w:rsidRPr="00642E36" w:rsidRDefault="00881686" w:rsidP="00642E36">
            <w:pPr>
              <w:rPr>
                <w:rFonts w:ascii="Arial" w:hAnsi="Arial" w:cs="Arial"/>
                <w:sz w:val="20"/>
                <w:szCs w:val="20"/>
              </w:rPr>
            </w:pPr>
            <w:r w:rsidRPr="00642E36">
              <w:rPr>
                <w:rFonts w:ascii="Arial" w:hAnsi="Arial" w:cs="Arial"/>
                <w:sz w:val="20"/>
                <w:szCs w:val="20"/>
              </w:rPr>
              <w:t xml:space="preserve">The FWO uses mediation so parties to a dispute can reach a mutually agreeable solution and, where possible, preserve the employment relationship. </w:t>
            </w:r>
          </w:p>
        </w:tc>
        <w:tc>
          <w:tcPr>
            <w:tcW w:w="5165" w:type="dxa"/>
            <w:tcBorders>
              <w:top w:val="nil"/>
              <w:bottom w:val="nil"/>
            </w:tcBorders>
          </w:tcPr>
          <w:p w:rsidR="00881686" w:rsidRPr="00642E36" w:rsidRDefault="00881686" w:rsidP="00642E36">
            <w:pPr>
              <w:pStyle w:val="ListParagraph"/>
              <w:numPr>
                <w:ilvl w:val="0"/>
                <w:numId w:val="18"/>
              </w:numPr>
              <w:rPr>
                <w:rFonts w:ascii="Arial" w:hAnsi="Arial" w:cs="Arial"/>
                <w:sz w:val="20"/>
                <w:szCs w:val="20"/>
              </w:rPr>
            </w:pPr>
            <w:r w:rsidRPr="00642E36">
              <w:rPr>
                <w:rFonts w:ascii="Arial" w:hAnsi="Arial" w:cs="Arial"/>
                <w:sz w:val="20"/>
                <w:szCs w:val="20"/>
              </w:rPr>
              <w:t xml:space="preserve">31 per cent of formal disputes were resolved via mediation </w:t>
            </w:r>
            <w:r w:rsidR="00F80344" w:rsidRPr="00642E36">
              <w:rPr>
                <w:rFonts w:ascii="Arial" w:hAnsi="Arial" w:cs="Arial"/>
                <w:sz w:val="20"/>
                <w:szCs w:val="20"/>
              </w:rPr>
              <w:t>in</w:t>
            </w:r>
            <w:r w:rsidRPr="00642E36">
              <w:rPr>
                <w:rFonts w:ascii="Arial" w:hAnsi="Arial" w:cs="Arial"/>
                <w:sz w:val="20"/>
                <w:szCs w:val="20"/>
              </w:rPr>
              <w:t xml:space="preserve"> 2015</w:t>
            </w:r>
            <w:r w:rsidR="007C45BB" w:rsidRPr="00642E36">
              <w:rPr>
                <w:rFonts w:ascii="Arial" w:hAnsi="Arial" w:cs="Arial"/>
                <w:sz w:val="20"/>
                <w:szCs w:val="20"/>
              </w:rPr>
              <w:t>-</w:t>
            </w:r>
            <w:r w:rsidRPr="00642E36">
              <w:rPr>
                <w:rFonts w:ascii="Arial" w:hAnsi="Arial" w:cs="Arial"/>
                <w:sz w:val="20"/>
                <w:szCs w:val="20"/>
              </w:rPr>
              <w:t>16</w:t>
            </w:r>
          </w:p>
        </w:tc>
      </w:tr>
      <w:tr w:rsidR="00881686" w:rsidRPr="00881686" w:rsidTr="00881686">
        <w:tc>
          <w:tcPr>
            <w:tcW w:w="4077" w:type="dxa"/>
            <w:tcBorders>
              <w:bottom w:val="single" w:sz="2" w:space="0" w:color="4BACC6" w:themeColor="accent5"/>
            </w:tcBorders>
            <w:shd w:val="clear" w:color="auto" w:fill="DAEEF3" w:themeFill="accent5" w:themeFillTint="33"/>
          </w:tcPr>
          <w:p w:rsidR="00881686" w:rsidRPr="00642E36" w:rsidRDefault="00881686" w:rsidP="00642E36">
            <w:pPr>
              <w:rPr>
                <w:rFonts w:ascii="Arial" w:hAnsi="Arial" w:cs="Arial"/>
                <w:sz w:val="20"/>
                <w:szCs w:val="20"/>
              </w:rPr>
            </w:pPr>
            <w:r w:rsidRPr="00642E36">
              <w:rPr>
                <w:rFonts w:ascii="Arial" w:hAnsi="Arial" w:cs="Arial"/>
                <w:sz w:val="20"/>
                <w:szCs w:val="20"/>
              </w:rPr>
              <w:t>The FWO conducts proactive compliance and education campaigns</w:t>
            </w:r>
            <w:r w:rsidR="007C45BB" w:rsidRPr="00642E36">
              <w:rPr>
                <w:rFonts w:ascii="Arial" w:hAnsi="Arial" w:cs="Arial"/>
                <w:sz w:val="20"/>
                <w:szCs w:val="20"/>
              </w:rPr>
              <w:t xml:space="preserve"> to</w:t>
            </w:r>
            <w:r w:rsidRPr="00642E36">
              <w:rPr>
                <w:rFonts w:ascii="Arial" w:hAnsi="Arial" w:cs="Arial"/>
                <w:sz w:val="20"/>
                <w:szCs w:val="20"/>
              </w:rPr>
              <w:t xml:space="preserve"> assist regulated entities comply with workplace laws.</w:t>
            </w:r>
          </w:p>
        </w:tc>
        <w:tc>
          <w:tcPr>
            <w:tcW w:w="5165" w:type="dxa"/>
            <w:tcBorders>
              <w:bottom w:val="single" w:sz="2" w:space="0" w:color="4BACC6" w:themeColor="accent5"/>
            </w:tcBorders>
            <w:shd w:val="clear" w:color="auto" w:fill="DAEEF3" w:themeFill="accent5" w:themeFillTint="33"/>
          </w:tcPr>
          <w:p w:rsidR="00881686" w:rsidRPr="00642E36" w:rsidRDefault="00881686" w:rsidP="00642E36">
            <w:pPr>
              <w:pStyle w:val="ListParagraph"/>
              <w:numPr>
                <w:ilvl w:val="0"/>
                <w:numId w:val="19"/>
              </w:numPr>
              <w:rPr>
                <w:rFonts w:ascii="Arial" w:hAnsi="Arial" w:cs="Arial"/>
                <w:sz w:val="20"/>
                <w:szCs w:val="20"/>
              </w:rPr>
            </w:pPr>
            <w:r w:rsidRPr="00642E36">
              <w:rPr>
                <w:rFonts w:ascii="Arial" w:hAnsi="Arial" w:cs="Arial"/>
                <w:sz w:val="20"/>
                <w:szCs w:val="20"/>
              </w:rPr>
              <w:t xml:space="preserve">4539 proactive compliance and education audits were undertaken </w:t>
            </w:r>
          </w:p>
          <w:p w:rsidR="00881686" w:rsidRPr="00642E36" w:rsidRDefault="00881686" w:rsidP="00642E36">
            <w:pPr>
              <w:ind w:left="720"/>
              <w:rPr>
                <w:rFonts w:ascii="Arial" w:hAnsi="Arial" w:cs="Arial"/>
                <w:sz w:val="20"/>
                <w:szCs w:val="20"/>
              </w:rPr>
            </w:pPr>
          </w:p>
        </w:tc>
      </w:tr>
    </w:tbl>
    <w:p w:rsidR="00881686" w:rsidRDefault="00881686" w:rsidP="00642E36">
      <w:pPr>
        <w:spacing w:after="0" w:line="240" w:lineRule="auto"/>
        <w:rPr>
          <w:rFonts w:ascii="Arial" w:hAnsi="Arial" w:cs="Arial"/>
          <w:sz w:val="20"/>
          <w:szCs w:val="20"/>
        </w:rPr>
      </w:pPr>
    </w:p>
    <w:p w:rsidR="00881686" w:rsidRDefault="00EF31DC" w:rsidP="00642E36">
      <w:pPr>
        <w:spacing w:after="0" w:line="240" w:lineRule="auto"/>
        <w:rPr>
          <w:rFonts w:ascii="Arial" w:hAnsi="Arial" w:cs="Arial"/>
          <w:sz w:val="20"/>
          <w:szCs w:val="20"/>
        </w:rPr>
      </w:pPr>
      <w:r>
        <w:rPr>
          <w:rFonts w:ascii="Arial" w:hAnsi="Arial" w:cs="Arial"/>
          <w:sz w:val="20"/>
          <w:szCs w:val="20"/>
        </w:rPr>
        <w:t xml:space="preserve">For a summary of all customer interactions refer to the </w:t>
      </w:r>
      <w:r w:rsidRPr="00EF31DC">
        <w:rPr>
          <w:rFonts w:ascii="Arial" w:hAnsi="Arial" w:cs="Arial"/>
          <w:i/>
          <w:sz w:val="20"/>
          <w:szCs w:val="20"/>
        </w:rPr>
        <w:t xml:space="preserve">2015-16 Fair Work Ombudsman Annual </w:t>
      </w:r>
      <w:proofErr w:type="gramStart"/>
      <w:r w:rsidRPr="00EF31DC">
        <w:rPr>
          <w:rFonts w:ascii="Arial" w:hAnsi="Arial" w:cs="Arial"/>
          <w:i/>
          <w:sz w:val="20"/>
          <w:szCs w:val="20"/>
        </w:rPr>
        <w:t>Report</w:t>
      </w:r>
      <w:r>
        <w:rPr>
          <w:rFonts w:ascii="Arial" w:hAnsi="Arial" w:cs="Arial"/>
          <w:sz w:val="20"/>
          <w:szCs w:val="20"/>
        </w:rPr>
        <w:t xml:space="preserve">  (</w:t>
      </w:r>
      <w:proofErr w:type="gramEnd"/>
      <w:r>
        <w:rPr>
          <w:rFonts w:ascii="Arial" w:hAnsi="Arial" w:cs="Arial"/>
          <w:sz w:val="20"/>
          <w:szCs w:val="20"/>
        </w:rPr>
        <w:t>pp. 2-3). The Annual Report also presents the annual performance statement and summary of key outcomes (</w:t>
      </w:r>
      <w:r w:rsidR="00D43369">
        <w:rPr>
          <w:rFonts w:ascii="Arial" w:hAnsi="Arial" w:cs="Arial"/>
          <w:sz w:val="20"/>
          <w:szCs w:val="20"/>
        </w:rPr>
        <w:t>pp. 14</w:t>
      </w:r>
      <w:r>
        <w:rPr>
          <w:rFonts w:ascii="Arial" w:hAnsi="Arial" w:cs="Arial"/>
          <w:sz w:val="20"/>
          <w:szCs w:val="20"/>
        </w:rPr>
        <w:t>-28).</w:t>
      </w: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F80344" w:rsidRPr="00F80344" w:rsidRDefault="00F80344"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F80344" w:rsidRDefault="00F80344" w:rsidP="00642E36">
      <w:pPr>
        <w:spacing w:after="0" w:line="240" w:lineRule="auto"/>
        <w:rPr>
          <w:rFonts w:ascii="Arial" w:hAnsi="Arial" w:cs="Arial"/>
          <w:sz w:val="20"/>
          <w:szCs w:val="20"/>
        </w:rPr>
      </w:pPr>
    </w:p>
    <w:p w:rsidR="004322A4" w:rsidRDefault="00881686" w:rsidP="00642E36">
      <w:pPr>
        <w:spacing w:after="0" w:line="240" w:lineRule="auto"/>
        <w:rPr>
          <w:rFonts w:ascii="Arial" w:hAnsi="Arial" w:cs="Arial"/>
          <w:sz w:val="20"/>
          <w:szCs w:val="20"/>
        </w:rPr>
      </w:pPr>
      <w:r>
        <w:rPr>
          <w:rFonts w:ascii="Arial" w:hAnsi="Arial" w:cs="Arial"/>
          <w:sz w:val="20"/>
          <w:szCs w:val="20"/>
        </w:rPr>
        <w:t xml:space="preserve">The following </w:t>
      </w:r>
      <w:r w:rsidR="00F80344">
        <w:rPr>
          <w:rFonts w:ascii="Arial" w:hAnsi="Arial" w:cs="Arial"/>
          <w:sz w:val="20"/>
          <w:szCs w:val="20"/>
        </w:rPr>
        <w:t>cas</w:t>
      </w:r>
      <w:r>
        <w:rPr>
          <w:rFonts w:ascii="Arial" w:hAnsi="Arial" w:cs="Arial"/>
          <w:sz w:val="20"/>
          <w:szCs w:val="20"/>
        </w:rPr>
        <w:t>e</w:t>
      </w:r>
      <w:r w:rsidR="00F80344">
        <w:rPr>
          <w:rFonts w:ascii="Arial" w:hAnsi="Arial" w:cs="Arial"/>
          <w:sz w:val="20"/>
          <w:szCs w:val="20"/>
        </w:rPr>
        <w:t xml:space="preserve"> study</w:t>
      </w:r>
      <w:r>
        <w:rPr>
          <w:rFonts w:ascii="Arial" w:hAnsi="Arial" w:cs="Arial"/>
          <w:sz w:val="20"/>
          <w:szCs w:val="20"/>
        </w:rPr>
        <w:t xml:space="preserve"> demonstrates how the FWO has achieved this measure</w:t>
      </w:r>
      <w:r w:rsidR="00F80344">
        <w:rPr>
          <w:rFonts w:ascii="Arial" w:hAnsi="Arial" w:cs="Arial"/>
          <w:sz w:val="20"/>
          <w:szCs w:val="20"/>
        </w:rPr>
        <w:t xml:space="preserve"> (see </w:t>
      </w:r>
      <w:r w:rsidR="00F80344" w:rsidRPr="00F80344">
        <w:rPr>
          <w:rFonts w:ascii="Arial" w:hAnsi="Arial" w:cs="Arial"/>
          <w:b/>
          <w:sz w:val="20"/>
          <w:szCs w:val="20"/>
        </w:rPr>
        <w:t>Appendix</w:t>
      </w:r>
      <w:r w:rsidR="00F80344">
        <w:rPr>
          <w:rFonts w:ascii="Arial" w:hAnsi="Arial" w:cs="Arial"/>
          <w:sz w:val="20"/>
          <w:szCs w:val="20"/>
        </w:rPr>
        <w:t>)</w:t>
      </w:r>
      <w:r>
        <w:rPr>
          <w:rFonts w:ascii="Arial" w:hAnsi="Arial" w:cs="Arial"/>
          <w:sz w:val="20"/>
          <w:szCs w:val="20"/>
        </w:rPr>
        <w:t xml:space="preserve">: </w:t>
      </w:r>
    </w:p>
    <w:p w:rsidR="00881686" w:rsidRPr="004322A4" w:rsidRDefault="00881686" w:rsidP="00642E36">
      <w:pPr>
        <w:spacing w:after="0" w:line="240" w:lineRule="auto"/>
        <w:rPr>
          <w:rFonts w:ascii="Arial" w:hAnsi="Arial" w:cs="Arial"/>
          <w:sz w:val="20"/>
          <w:szCs w:val="20"/>
        </w:rPr>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Pr>
      <w:tblGrid>
        <w:gridCol w:w="1384"/>
        <w:gridCol w:w="1142"/>
        <w:gridCol w:w="1143"/>
        <w:gridCol w:w="1142"/>
        <w:gridCol w:w="1143"/>
        <w:gridCol w:w="1142"/>
        <w:gridCol w:w="1143"/>
        <w:gridCol w:w="1123"/>
      </w:tblGrid>
      <w:tr w:rsidR="00881686" w:rsidRPr="00881686" w:rsidTr="00951510">
        <w:trPr>
          <w:cantSplit/>
          <w:trHeight w:val="454"/>
          <w:tblHeader/>
        </w:trPr>
        <w:tc>
          <w:tcPr>
            <w:tcW w:w="1384" w:type="dxa"/>
            <w:shd w:val="clear" w:color="auto" w:fill="DAEEF3" w:themeFill="accent5" w:themeFillTint="33"/>
            <w:vAlign w:val="center"/>
          </w:tcPr>
          <w:p w:rsidR="00881686" w:rsidRPr="00881686" w:rsidRDefault="00F80344" w:rsidP="00642E36">
            <w:pPr>
              <w:rPr>
                <w:rFonts w:ascii="Myriad Pro" w:hAnsi="Myriad Pro" w:cs="Arial"/>
                <w:color w:val="31849B" w:themeColor="accent5" w:themeShade="BF"/>
              </w:rPr>
            </w:pPr>
            <w:r>
              <w:rPr>
                <w:rFonts w:ascii="Myriad Pro" w:hAnsi="Myriad Pro" w:cs="Arial"/>
                <w:color w:val="31849B" w:themeColor="accent5" w:themeShade="BF"/>
              </w:rPr>
              <w:t>Case study</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1</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2</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3</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4</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5</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6</w:t>
            </w:r>
          </w:p>
        </w:tc>
        <w:tc>
          <w:tcPr>
            <w:tcW w:w="112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7</w:t>
            </w:r>
          </w:p>
        </w:tc>
      </w:tr>
      <w:tr w:rsidR="00881686" w:rsidRPr="00881686" w:rsidTr="00881686">
        <w:trPr>
          <w:cantSplit/>
          <w:trHeight w:val="454"/>
        </w:trPr>
        <w:tc>
          <w:tcPr>
            <w:tcW w:w="1384" w:type="dxa"/>
            <w:vAlign w:val="center"/>
          </w:tcPr>
          <w:p w:rsidR="00881686" w:rsidRPr="00881686" w:rsidRDefault="00881686" w:rsidP="00642E36">
            <w:pPr>
              <w:jc w:val="center"/>
              <w:rPr>
                <w:rFonts w:ascii="Myriad Pro" w:hAnsi="Myriad Pro" w:cs="Arial"/>
              </w:rPr>
            </w:pPr>
            <w:r w:rsidRPr="00881686">
              <w:rPr>
                <w:rFonts w:ascii="Myriad Pro" w:hAnsi="Myriad Pro" w:cs="Arial"/>
              </w:rPr>
              <w:t>Measure 1.1</w:t>
            </w:r>
          </w:p>
        </w:tc>
        <w:tc>
          <w:tcPr>
            <w:tcW w:w="1142"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23" w:type="dxa"/>
            <w:vAlign w:val="center"/>
          </w:tcPr>
          <w:p w:rsidR="00881686" w:rsidRPr="00881686" w:rsidRDefault="00881686" w:rsidP="00642E36">
            <w:pPr>
              <w:jc w:val="center"/>
              <w:rPr>
                <w:rFonts w:ascii="Myriad Pro" w:hAnsi="Myriad Pro" w:cs="Arial"/>
              </w:rPr>
            </w:pPr>
          </w:p>
        </w:tc>
      </w:tr>
    </w:tbl>
    <w:p w:rsidR="007C45BB" w:rsidRDefault="007C45BB" w:rsidP="00642E36">
      <w:pPr>
        <w:spacing w:after="0" w:line="240" w:lineRule="auto"/>
        <w:rPr>
          <w:rFonts w:ascii="Arial" w:hAnsi="Arial" w:cs="Arial"/>
          <w:sz w:val="20"/>
          <w:szCs w:val="20"/>
        </w:rPr>
      </w:pPr>
    </w:p>
    <w:p w:rsidR="007C45BB" w:rsidRDefault="007C45BB" w:rsidP="00642E36">
      <w:pPr>
        <w:spacing w:after="0" w:line="240" w:lineRule="auto"/>
        <w:rPr>
          <w:rFonts w:ascii="Arial" w:hAnsi="Arial" w:cs="Arial"/>
          <w:sz w:val="20"/>
          <w:szCs w:val="20"/>
        </w:rPr>
      </w:pPr>
    </w:p>
    <w:p w:rsidR="00642E36" w:rsidRDefault="00642E36" w:rsidP="00642E36">
      <w:pPr>
        <w:spacing w:after="0" w:line="240" w:lineRule="auto"/>
        <w:rPr>
          <w:rFonts w:ascii="Arial" w:hAnsi="Arial" w:cs="Arial"/>
          <w:sz w:val="20"/>
          <w:szCs w:val="20"/>
        </w:rPr>
      </w:pPr>
    </w:p>
    <w:p w:rsidR="004322A4" w:rsidRPr="00886868" w:rsidRDefault="00487D1D" w:rsidP="00EF31DC">
      <w:pPr>
        <w:rPr>
          <w:rFonts w:ascii="Myriad Pro" w:hAnsi="Myriad Pro"/>
          <w:b/>
          <w:i/>
          <w:color w:val="31849B" w:themeColor="accent5" w:themeShade="BF"/>
          <w:sz w:val="25"/>
          <w:szCs w:val="25"/>
        </w:rPr>
      </w:pPr>
      <w:r>
        <w:rPr>
          <w:rFonts w:ascii="Arial" w:hAnsi="Arial" w:cs="Arial"/>
          <w:sz w:val="20"/>
          <w:szCs w:val="20"/>
        </w:rPr>
        <w:br w:type="page"/>
      </w:r>
      <w:bookmarkStart w:id="5" w:name="_Toc460917298"/>
      <w:r w:rsidR="00881686" w:rsidRPr="00886868">
        <w:rPr>
          <w:rFonts w:ascii="Myriad Pro" w:hAnsi="Myriad Pro"/>
          <w:i/>
          <w:color w:val="31849B" w:themeColor="accent5" w:themeShade="BF"/>
          <w:sz w:val="25"/>
          <w:szCs w:val="25"/>
        </w:rPr>
        <w:lastRenderedPageBreak/>
        <w:t>M</w:t>
      </w:r>
      <w:r w:rsidR="004322A4" w:rsidRPr="00886868">
        <w:rPr>
          <w:rFonts w:ascii="Myriad Pro" w:hAnsi="Myriad Pro"/>
          <w:i/>
          <w:color w:val="31849B" w:themeColor="accent5" w:themeShade="BF"/>
          <w:sz w:val="25"/>
          <w:szCs w:val="25"/>
        </w:rPr>
        <w:t>easure 1.2 – The FWO engages with regulated entities and peak bodies to understand and inform the design and execution of our work.</w:t>
      </w:r>
      <w:bookmarkEnd w:id="5"/>
    </w:p>
    <w:p w:rsidR="00881686" w:rsidRPr="00881686" w:rsidRDefault="007C45BB" w:rsidP="00642E36">
      <w:pPr>
        <w:pStyle w:val="ListParagraph"/>
        <w:spacing w:after="0" w:line="240" w:lineRule="auto"/>
        <w:ind w:left="0"/>
        <w:rPr>
          <w:rFonts w:ascii="Arial" w:hAnsi="Arial" w:cs="Arial"/>
          <w:sz w:val="20"/>
          <w:szCs w:val="20"/>
        </w:rPr>
      </w:pPr>
      <w:r w:rsidRPr="00267F04">
        <w:rPr>
          <w:rFonts w:ascii="Arial" w:hAnsi="Arial" w:cs="Arial"/>
          <w:sz w:val="20"/>
          <w:szCs w:val="20"/>
        </w:rPr>
        <w:t xml:space="preserve">Stakeholder engagements represent an ongoing commitment by the FWO to collaborate and exchange information with regulated entities and peak bodies, in order to promote and achieve workplace compliance, improve the agency’s regulatory function and improve the regulatory framework. </w:t>
      </w:r>
      <w:r w:rsidR="00881686" w:rsidRPr="00881686">
        <w:rPr>
          <w:rFonts w:ascii="Arial" w:hAnsi="Arial" w:cs="Arial"/>
          <w:sz w:val="20"/>
          <w:szCs w:val="20"/>
        </w:rPr>
        <w:t xml:space="preserve">Stakeholder consultations enable the FWO to gain insight into: </w:t>
      </w:r>
    </w:p>
    <w:p w:rsidR="00881686" w:rsidRPr="00127250" w:rsidRDefault="00881686" w:rsidP="00642E36">
      <w:pPr>
        <w:spacing w:after="0" w:line="240" w:lineRule="auto"/>
        <w:rPr>
          <w:rFonts w:ascii="Arial" w:hAnsi="Arial" w:cs="Arial"/>
          <w:sz w:val="10"/>
          <w:szCs w:val="10"/>
        </w:rPr>
      </w:pPr>
    </w:p>
    <w:p w:rsidR="00881686" w:rsidRPr="00881686" w:rsidRDefault="002B04FB" w:rsidP="00642E36">
      <w:pPr>
        <w:pStyle w:val="ListParagraph"/>
        <w:numPr>
          <w:ilvl w:val="0"/>
          <w:numId w:val="13"/>
        </w:numPr>
        <w:spacing w:after="0" w:line="240" w:lineRule="auto"/>
        <w:rPr>
          <w:rFonts w:ascii="Arial" w:hAnsi="Arial" w:cs="Arial"/>
          <w:sz w:val="20"/>
          <w:szCs w:val="20"/>
        </w:rPr>
      </w:pPr>
      <w:r>
        <w:rPr>
          <w:rFonts w:ascii="Arial" w:hAnsi="Arial" w:cs="Arial"/>
          <w:sz w:val="20"/>
          <w:szCs w:val="20"/>
        </w:rPr>
        <w:t>t</w:t>
      </w:r>
      <w:r w:rsidR="00881686" w:rsidRPr="00881686">
        <w:rPr>
          <w:rFonts w:ascii="Arial" w:hAnsi="Arial" w:cs="Arial"/>
          <w:sz w:val="20"/>
          <w:szCs w:val="20"/>
        </w:rPr>
        <w:t>he agency’s operating environment</w:t>
      </w:r>
    </w:p>
    <w:p w:rsidR="00881686" w:rsidRPr="00881686" w:rsidRDefault="002B04FB" w:rsidP="00642E36">
      <w:pPr>
        <w:pStyle w:val="ListParagraph"/>
        <w:numPr>
          <w:ilvl w:val="0"/>
          <w:numId w:val="13"/>
        </w:numPr>
        <w:spacing w:after="0" w:line="240" w:lineRule="auto"/>
        <w:rPr>
          <w:rFonts w:ascii="Arial" w:hAnsi="Arial" w:cs="Arial"/>
          <w:sz w:val="20"/>
          <w:szCs w:val="20"/>
        </w:rPr>
      </w:pPr>
      <w:r>
        <w:rPr>
          <w:rFonts w:ascii="Arial" w:hAnsi="Arial" w:cs="Arial"/>
          <w:sz w:val="20"/>
          <w:szCs w:val="20"/>
        </w:rPr>
        <w:t>t</w:t>
      </w:r>
      <w:r w:rsidR="00881686" w:rsidRPr="00881686">
        <w:rPr>
          <w:rFonts w:ascii="Arial" w:hAnsi="Arial" w:cs="Arial"/>
          <w:sz w:val="20"/>
          <w:szCs w:val="20"/>
        </w:rPr>
        <w:t>he effectiveness of the agency’s interventions, products and services</w:t>
      </w:r>
    </w:p>
    <w:p w:rsidR="00881686" w:rsidRPr="00881686" w:rsidRDefault="002B04FB" w:rsidP="00642E36">
      <w:pPr>
        <w:pStyle w:val="ListParagraph"/>
        <w:numPr>
          <w:ilvl w:val="0"/>
          <w:numId w:val="13"/>
        </w:numPr>
        <w:spacing w:after="0" w:line="240" w:lineRule="auto"/>
        <w:rPr>
          <w:rFonts w:ascii="Arial" w:hAnsi="Arial" w:cs="Arial"/>
          <w:sz w:val="20"/>
          <w:szCs w:val="20"/>
        </w:rPr>
      </w:pPr>
      <w:r>
        <w:rPr>
          <w:rFonts w:ascii="Arial" w:hAnsi="Arial" w:cs="Arial"/>
          <w:sz w:val="20"/>
          <w:szCs w:val="20"/>
        </w:rPr>
        <w:t>e</w:t>
      </w:r>
      <w:r w:rsidR="00881686" w:rsidRPr="00881686">
        <w:rPr>
          <w:rFonts w:ascii="Arial" w:hAnsi="Arial" w:cs="Arial"/>
          <w:sz w:val="20"/>
          <w:szCs w:val="20"/>
        </w:rPr>
        <w:t>xisting or emerging issues that affect regulated entities and particular industries</w:t>
      </w:r>
      <w:r w:rsidR="00EF31DC">
        <w:rPr>
          <w:rFonts w:ascii="Arial" w:hAnsi="Arial" w:cs="Arial"/>
          <w:sz w:val="20"/>
          <w:szCs w:val="20"/>
        </w:rPr>
        <w:t xml:space="preserve"> or groups</w:t>
      </w:r>
    </w:p>
    <w:p w:rsidR="00881686" w:rsidRPr="00881686" w:rsidRDefault="002B04FB" w:rsidP="00642E36">
      <w:pPr>
        <w:pStyle w:val="ListParagraph"/>
        <w:numPr>
          <w:ilvl w:val="0"/>
          <w:numId w:val="13"/>
        </w:numPr>
        <w:spacing w:after="0" w:line="240" w:lineRule="auto"/>
        <w:rPr>
          <w:rFonts w:ascii="Arial" w:hAnsi="Arial" w:cs="Arial"/>
          <w:sz w:val="20"/>
          <w:szCs w:val="20"/>
        </w:rPr>
      </w:pPr>
      <w:proofErr w:type="gramStart"/>
      <w:r>
        <w:rPr>
          <w:rFonts w:ascii="Arial" w:hAnsi="Arial" w:cs="Arial"/>
          <w:sz w:val="20"/>
          <w:szCs w:val="20"/>
        </w:rPr>
        <w:t>t</w:t>
      </w:r>
      <w:r w:rsidR="00881686" w:rsidRPr="00881686">
        <w:rPr>
          <w:rFonts w:ascii="Arial" w:hAnsi="Arial" w:cs="Arial"/>
          <w:sz w:val="20"/>
          <w:szCs w:val="20"/>
        </w:rPr>
        <w:t>he</w:t>
      </w:r>
      <w:proofErr w:type="gramEnd"/>
      <w:r w:rsidR="00881686" w:rsidRPr="00881686">
        <w:rPr>
          <w:rFonts w:ascii="Arial" w:hAnsi="Arial" w:cs="Arial"/>
          <w:sz w:val="20"/>
          <w:szCs w:val="20"/>
        </w:rPr>
        <w:t xml:space="preserve"> compliance costs and unintended consequences of administering, monitoring and enforcing regulation.   </w:t>
      </w:r>
    </w:p>
    <w:p w:rsidR="00881686" w:rsidRPr="00881686" w:rsidRDefault="00881686" w:rsidP="00642E36">
      <w:pPr>
        <w:spacing w:after="0" w:line="240" w:lineRule="auto"/>
        <w:rPr>
          <w:rFonts w:ascii="Arial" w:hAnsi="Arial" w:cs="Arial"/>
          <w:sz w:val="20"/>
          <w:szCs w:val="20"/>
        </w:rPr>
      </w:pPr>
    </w:p>
    <w:p w:rsidR="00C23A6D" w:rsidRPr="00316417" w:rsidRDefault="00C23A6D" w:rsidP="00127250">
      <w:pPr>
        <w:spacing w:after="0" w:line="240" w:lineRule="auto"/>
        <w:rPr>
          <w:rFonts w:ascii="Myriad Pro" w:eastAsia="Times New Roman" w:hAnsi="Myriad Pro" w:cs="Arial"/>
          <w:color w:val="31849B" w:themeColor="accent5" w:themeShade="BF"/>
          <w:sz w:val="24"/>
          <w:szCs w:val="24"/>
          <w:lang w:eastAsia="en-AU"/>
        </w:rPr>
      </w:pPr>
      <w:r>
        <w:rPr>
          <w:rFonts w:ascii="Myriad Pro" w:eastAsia="Times New Roman" w:hAnsi="Myriad Pro" w:cs="Arial"/>
          <w:color w:val="31849B" w:themeColor="accent5" w:themeShade="BF"/>
          <w:sz w:val="24"/>
          <w:szCs w:val="24"/>
          <w:lang w:eastAsia="en-AU"/>
        </w:rPr>
        <w:t xml:space="preserve">Stakeholder Consultation </w:t>
      </w:r>
    </w:p>
    <w:p w:rsidR="00127250" w:rsidRPr="00127250" w:rsidRDefault="00127250" w:rsidP="00127250">
      <w:pPr>
        <w:spacing w:after="0" w:line="240" w:lineRule="auto"/>
        <w:rPr>
          <w:rFonts w:ascii="Arial" w:hAnsi="Arial" w:cs="Arial"/>
          <w:sz w:val="10"/>
          <w:szCs w:val="10"/>
        </w:rPr>
      </w:pPr>
    </w:p>
    <w:p w:rsidR="00881686" w:rsidRDefault="00881686" w:rsidP="00127250">
      <w:pPr>
        <w:spacing w:after="0" w:line="240" w:lineRule="auto"/>
        <w:rPr>
          <w:rFonts w:ascii="Arial" w:hAnsi="Arial" w:cs="Arial"/>
          <w:sz w:val="20"/>
          <w:szCs w:val="20"/>
        </w:rPr>
      </w:pPr>
      <w:r w:rsidRPr="00881686">
        <w:rPr>
          <w:rFonts w:ascii="Arial" w:hAnsi="Arial" w:cs="Arial"/>
          <w:sz w:val="20"/>
          <w:szCs w:val="20"/>
        </w:rPr>
        <w:t xml:space="preserve">The FWO meets with key industry stakeholders (employer associations and unions) to share information about the agency’s priorities and seek feedback. </w:t>
      </w:r>
      <w:r w:rsidR="007C45BB">
        <w:rPr>
          <w:rFonts w:ascii="Arial" w:hAnsi="Arial" w:cs="Arial"/>
          <w:sz w:val="20"/>
          <w:szCs w:val="20"/>
        </w:rPr>
        <w:t>I</w:t>
      </w:r>
      <w:r w:rsidRPr="00881686">
        <w:rPr>
          <w:rFonts w:ascii="Arial" w:hAnsi="Arial" w:cs="Arial"/>
          <w:sz w:val="20"/>
          <w:szCs w:val="20"/>
        </w:rPr>
        <w:t>n 2015</w:t>
      </w:r>
      <w:r w:rsidR="007C45BB">
        <w:rPr>
          <w:rFonts w:ascii="Arial" w:hAnsi="Arial" w:cs="Arial"/>
          <w:sz w:val="20"/>
          <w:szCs w:val="20"/>
        </w:rPr>
        <w:t>-16,</w:t>
      </w:r>
      <w:r w:rsidR="0011279F">
        <w:rPr>
          <w:rFonts w:ascii="Arial" w:hAnsi="Arial" w:cs="Arial"/>
          <w:sz w:val="20"/>
          <w:szCs w:val="20"/>
        </w:rPr>
        <w:t xml:space="preserve"> </w:t>
      </w:r>
      <w:r w:rsidRPr="00881686">
        <w:rPr>
          <w:rFonts w:ascii="Arial" w:hAnsi="Arial" w:cs="Arial"/>
          <w:sz w:val="20"/>
          <w:szCs w:val="20"/>
        </w:rPr>
        <w:t>the FWO</w:t>
      </w:r>
      <w:r w:rsidR="007C45BB">
        <w:rPr>
          <w:rFonts w:ascii="Arial" w:hAnsi="Arial" w:cs="Arial"/>
          <w:sz w:val="20"/>
          <w:szCs w:val="20"/>
        </w:rPr>
        <w:t xml:space="preserve"> </w:t>
      </w:r>
      <w:r w:rsidR="00487D1D">
        <w:rPr>
          <w:rFonts w:ascii="Arial" w:hAnsi="Arial" w:cs="Arial"/>
          <w:sz w:val="20"/>
          <w:szCs w:val="20"/>
        </w:rPr>
        <w:t>collaborated</w:t>
      </w:r>
      <w:r w:rsidR="00487D1D" w:rsidRPr="00881686">
        <w:rPr>
          <w:rFonts w:ascii="Arial" w:hAnsi="Arial" w:cs="Arial"/>
          <w:sz w:val="20"/>
          <w:szCs w:val="20"/>
        </w:rPr>
        <w:t xml:space="preserve"> </w:t>
      </w:r>
      <w:r w:rsidR="002F1A33">
        <w:rPr>
          <w:rFonts w:ascii="Arial" w:hAnsi="Arial" w:cs="Arial"/>
          <w:sz w:val="20"/>
          <w:szCs w:val="20"/>
        </w:rPr>
        <w:t>with a range of stakeholders across government, industry and the not-for-profit sectors</w:t>
      </w:r>
      <w:r w:rsidRPr="00881686">
        <w:rPr>
          <w:rFonts w:ascii="Arial" w:hAnsi="Arial" w:cs="Arial"/>
          <w:sz w:val="20"/>
          <w:szCs w:val="20"/>
        </w:rPr>
        <w:t xml:space="preserve">. </w:t>
      </w:r>
      <w:r w:rsidR="007C45BB">
        <w:rPr>
          <w:rFonts w:ascii="Arial" w:hAnsi="Arial" w:cs="Arial"/>
          <w:sz w:val="20"/>
          <w:szCs w:val="20"/>
        </w:rPr>
        <w:t xml:space="preserve">This included, but </w:t>
      </w:r>
      <w:r w:rsidR="00D26096">
        <w:rPr>
          <w:rFonts w:ascii="Arial" w:hAnsi="Arial" w:cs="Arial"/>
          <w:sz w:val="20"/>
          <w:szCs w:val="20"/>
        </w:rPr>
        <w:t xml:space="preserve">was </w:t>
      </w:r>
      <w:r w:rsidR="007C45BB">
        <w:rPr>
          <w:rFonts w:ascii="Arial" w:hAnsi="Arial" w:cs="Arial"/>
          <w:sz w:val="20"/>
          <w:szCs w:val="20"/>
        </w:rPr>
        <w:t xml:space="preserve">not limited to the following organisations: </w:t>
      </w:r>
    </w:p>
    <w:p w:rsidR="00881686" w:rsidRPr="00127250" w:rsidRDefault="00881686" w:rsidP="00642E36">
      <w:pPr>
        <w:spacing w:after="0" w:line="240" w:lineRule="auto"/>
        <w:rPr>
          <w:rFonts w:ascii="Arial" w:hAnsi="Arial" w:cs="Arial"/>
          <w:sz w:val="10"/>
          <w:szCs w:val="10"/>
        </w:rPr>
      </w:pPr>
    </w:p>
    <w:p w:rsidR="00EF31DC" w:rsidRDefault="00EF31DC" w:rsidP="00642E36">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Australian Chamber of Commerce and </w:t>
      </w:r>
      <w:r w:rsidR="000D3230">
        <w:rPr>
          <w:rFonts w:ascii="Arial" w:hAnsi="Arial" w:cs="Arial"/>
          <w:sz w:val="20"/>
          <w:szCs w:val="20"/>
        </w:rPr>
        <w:t>I</w:t>
      </w:r>
      <w:r>
        <w:rPr>
          <w:rFonts w:ascii="Arial" w:hAnsi="Arial" w:cs="Arial"/>
          <w:sz w:val="20"/>
          <w:szCs w:val="20"/>
        </w:rPr>
        <w:t>ndustry</w:t>
      </w:r>
    </w:p>
    <w:p w:rsidR="00EF31DC" w:rsidRDefault="00EF31DC" w:rsidP="00642E36">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Australian Council of Trade Unions </w:t>
      </w:r>
    </w:p>
    <w:p w:rsidR="00881686" w:rsidRPr="00881686" w:rsidRDefault="00881686" w:rsidP="00642E36">
      <w:pPr>
        <w:pStyle w:val="ListParagraph"/>
        <w:numPr>
          <w:ilvl w:val="0"/>
          <w:numId w:val="14"/>
        </w:numPr>
        <w:spacing w:after="0" w:line="240" w:lineRule="auto"/>
        <w:rPr>
          <w:rFonts w:ascii="Arial" w:hAnsi="Arial" w:cs="Arial"/>
          <w:sz w:val="20"/>
          <w:szCs w:val="20"/>
        </w:rPr>
      </w:pPr>
      <w:r w:rsidRPr="00881686">
        <w:rPr>
          <w:rFonts w:ascii="Arial" w:hAnsi="Arial" w:cs="Arial"/>
          <w:sz w:val="20"/>
          <w:szCs w:val="20"/>
        </w:rPr>
        <w:t>Australian Industry Group</w:t>
      </w:r>
    </w:p>
    <w:p w:rsidR="00536FD4" w:rsidRDefault="007C45BB">
      <w:pPr>
        <w:pStyle w:val="ListParagraph"/>
        <w:numPr>
          <w:ilvl w:val="0"/>
          <w:numId w:val="14"/>
        </w:numPr>
        <w:spacing w:after="0" w:line="240" w:lineRule="auto"/>
        <w:rPr>
          <w:rFonts w:ascii="Arial" w:hAnsi="Arial" w:cs="Arial"/>
          <w:sz w:val="20"/>
          <w:szCs w:val="20"/>
        </w:rPr>
      </w:pPr>
      <w:r>
        <w:rPr>
          <w:rFonts w:ascii="Arial" w:hAnsi="Arial" w:cs="Arial"/>
          <w:sz w:val="20"/>
          <w:szCs w:val="20"/>
        </w:rPr>
        <w:t>Australian Research Council</w:t>
      </w:r>
      <w:r w:rsidR="00F65208">
        <w:rPr>
          <w:rFonts w:ascii="Arial" w:hAnsi="Arial" w:cs="Arial"/>
          <w:sz w:val="20"/>
          <w:szCs w:val="20"/>
        </w:rPr>
        <w:t xml:space="preserve"> </w:t>
      </w:r>
    </w:p>
    <w:p w:rsidR="007C45BB" w:rsidRPr="00D75649" w:rsidRDefault="007C45BB">
      <w:pPr>
        <w:pStyle w:val="ListParagraph"/>
        <w:numPr>
          <w:ilvl w:val="0"/>
          <w:numId w:val="14"/>
        </w:numPr>
        <w:spacing w:after="0" w:line="240" w:lineRule="auto"/>
        <w:rPr>
          <w:rFonts w:ascii="Arial" w:hAnsi="Arial" w:cs="Arial"/>
          <w:sz w:val="20"/>
          <w:szCs w:val="20"/>
        </w:rPr>
      </w:pPr>
      <w:r w:rsidRPr="00D75649">
        <w:rPr>
          <w:rFonts w:ascii="Arial" w:hAnsi="Arial" w:cs="Arial"/>
          <w:sz w:val="20"/>
          <w:szCs w:val="20"/>
        </w:rPr>
        <w:t>Community Migrant Resource Centre</w:t>
      </w:r>
      <w:r w:rsidR="00970593" w:rsidRPr="00970593">
        <w:t xml:space="preserve"> </w:t>
      </w:r>
    </w:p>
    <w:p w:rsidR="007C45BB" w:rsidRPr="00881686" w:rsidRDefault="007C45BB" w:rsidP="00642E36">
      <w:pPr>
        <w:pStyle w:val="ListParagraph"/>
        <w:numPr>
          <w:ilvl w:val="0"/>
          <w:numId w:val="14"/>
        </w:numPr>
        <w:spacing w:after="0" w:line="240" w:lineRule="auto"/>
        <w:rPr>
          <w:rFonts w:ascii="Arial" w:hAnsi="Arial" w:cs="Arial"/>
          <w:sz w:val="20"/>
          <w:szCs w:val="20"/>
        </w:rPr>
      </w:pPr>
      <w:r>
        <w:rPr>
          <w:rFonts w:ascii="Arial" w:hAnsi="Arial" w:cs="Arial"/>
          <w:sz w:val="20"/>
          <w:szCs w:val="20"/>
        </w:rPr>
        <w:t>Cultural Perspectives Group</w:t>
      </w:r>
    </w:p>
    <w:p w:rsidR="007C45BB" w:rsidRPr="00881686" w:rsidRDefault="007C45BB" w:rsidP="00642E36">
      <w:pPr>
        <w:pStyle w:val="ListParagraph"/>
        <w:numPr>
          <w:ilvl w:val="0"/>
          <w:numId w:val="14"/>
        </w:numPr>
        <w:spacing w:after="0" w:line="240" w:lineRule="auto"/>
        <w:rPr>
          <w:rFonts w:ascii="Arial" w:hAnsi="Arial" w:cs="Arial"/>
          <w:sz w:val="20"/>
          <w:szCs w:val="20"/>
        </w:rPr>
      </w:pPr>
      <w:r w:rsidRPr="00881686">
        <w:rPr>
          <w:rFonts w:ascii="Arial" w:hAnsi="Arial" w:cs="Arial"/>
          <w:sz w:val="20"/>
          <w:szCs w:val="20"/>
        </w:rPr>
        <w:t>Franchise Council of Australia</w:t>
      </w:r>
    </w:p>
    <w:p w:rsidR="00881686" w:rsidRPr="00881686" w:rsidRDefault="00881686" w:rsidP="00642E36">
      <w:pPr>
        <w:pStyle w:val="ListParagraph"/>
        <w:numPr>
          <w:ilvl w:val="0"/>
          <w:numId w:val="14"/>
        </w:numPr>
        <w:spacing w:after="0" w:line="240" w:lineRule="auto"/>
        <w:rPr>
          <w:rFonts w:ascii="Arial" w:hAnsi="Arial" w:cs="Arial"/>
          <w:sz w:val="20"/>
          <w:szCs w:val="20"/>
        </w:rPr>
      </w:pPr>
      <w:r w:rsidRPr="00881686">
        <w:rPr>
          <w:rFonts w:ascii="Arial" w:hAnsi="Arial" w:cs="Arial"/>
          <w:sz w:val="20"/>
          <w:szCs w:val="20"/>
        </w:rPr>
        <w:t>Council of</w:t>
      </w:r>
      <w:r w:rsidR="00EF31DC">
        <w:rPr>
          <w:rFonts w:ascii="Arial" w:hAnsi="Arial" w:cs="Arial"/>
          <w:sz w:val="20"/>
          <w:szCs w:val="20"/>
        </w:rPr>
        <w:t xml:space="preserve"> Small Business</w:t>
      </w:r>
      <w:r w:rsidRPr="00881686">
        <w:rPr>
          <w:rFonts w:ascii="Arial" w:hAnsi="Arial" w:cs="Arial"/>
          <w:sz w:val="20"/>
          <w:szCs w:val="20"/>
        </w:rPr>
        <w:t xml:space="preserve"> Australia</w:t>
      </w:r>
    </w:p>
    <w:p w:rsidR="00881686" w:rsidRPr="00881686" w:rsidRDefault="00881686" w:rsidP="00642E36">
      <w:pPr>
        <w:pStyle w:val="ListParagraph"/>
        <w:numPr>
          <w:ilvl w:val="0"/>
          <w:numId w:val="14"/>
        </w:numPr>
        <w:spacing w:after="0" w:line="240" w:lineRule="auto"/>
        <w:rPr>
          <w:rFonts w:ascii="Arial" w:hAnsi="Arial" w:cs="Arial"/>
          <w:sz w:val="20"/>
          <w:szCs w:val="20"/>
        </w:rPr>
      </w:pPr>
      <w:r w:rsidRPr="00881686">
        <w:rPr>
          <w:rFonts w:ascii="Arial" w:hAnsi="Arial" w:cs="Arial"/>
          <w:sz w:val="20"/>
          <w:szCs w:val="20"/>
        </w:rPr>
        <w:t>State and Federal Small Business Commissioners</w:t>
      </w:r>
    </w:p>
    <w:p w:rsidR="00881686" w:rsidRPr="00881686" w:rsidRDefault="00881686" w:rsidP="00642E36">
      <w:pPr>
        <w:spacing w:after="0" w:line="240" w:lineRule="auto"/>
        <w:rPr>
          <w:rFonts w:ascii="Arial" w:hAnsi="Arial" w:cs="Arial"/>
          <w:sz w:val="20"/>
          <w:szCs w:val="20"/>
        </w:rPr>
      </w:pPr>
    </w:p>
    <w:p w:rsidR="00C23A6D" w:rsidRDefault="00C23A6D" w:rsidP="00642E36">
      <w:pPr>
        <w:spacing w:after="0" w:line="240" w:lineRule="auto"/>
        <w:rPr>
          <w:rFonts w:ascii="Myriad Pro" w:eastAsia="Times New Roman" w:hAnsi="Myriad Pro" w:cs="Arial"/>
          <w:color w:val="31849B" w:themeColor="accent5" w:themeShade="BF"/>
          <w:sz w:val="24"/>
          <w:szCs w:val="24"/>
          <w:lang w:eastAsia="en-AU"/>
        </w:rPr>
      </w:pPr>
      <w:r w:rsidRPr="00127250">
        <w:rPr>
          <w:rFonts w:ascii="Myriad Pro" w:eastAsia="Times New Roman" w:hAnsi="Myriad Pro" w:cs="Arial"/>
          <w:color w:val="31849B" w:themeColor="accent5" w:themeShade="BF"/>
          <w:sz w:val="24"/>
          <w:szCs w:val="24"/>
          <w:lang w:eastAsia="en-AU"/>
        </w:rPr>
        <w:t xml:space="preserve">Co-Design </w:t>
      </w:r>
    </w:p>
    <w:p w:rsidR="00C23A6D" w:rsidRPr="00127250" w:rsidRDefault="00C23A6D" w:rsidP="00642E36">
      <w:pPr>
        <w:spacing w:after="0" w:line="240" w:lineRule="auto"/>
        <w:rPr>
          <w:rFonts w:ascii="Myriad Pro" w:eastAsia="Times New Roman" w:hAnsi="Myriad Pro" w:cs="Arial"/>
          <w:color w:val="31849B" w:themeColor="accent5" w:themeShade="BF"/>
          <w:sz w:val="10"/>
          <w:szCs w:val="10"/>
          <w:lang w:eastAsia="en-AU"/>
        </w:rPr>
      </w:pPr>
    </w:p>
    <w:p w:rsidR="00881686" w:rsidRPr="00881686" w:rsidRDefault="007C45BB" w:rsidP="00642E36">
      <w:pPr>
        <w:spacing w:after="0" w:line="240" w:lineRule="auto"/>
        <w:rPr>
          <w:rFonts w:ascii="Arial" w:hAnsi="Arial" w:cs="Arial"/>
          <w:sz w:val="20"/>
          <w:szCs w:val="20"/>
        </w:rPr>
      </w:pPr>
      <w:r>
        <w:rPr>
          <w:rFonts w:ascii="Arial" w:hAnsi="Arial" w:cs="Arial"/>
          <w:sz w:val="20"/>
          <w:szCs w:val="20"/>
        </w:rPr>
        <w:t>Another wa</w:t>
      </w:r>
      <w:r w:rsidR="009C7256">
        <w:rPr>
          <w:rFonts w:ascii="Arial" w:hAnsi="Arial" w:cs="Arial"/>
          <w:sz w:val="20"/>
          <w:szCs w:val="20"/>
        </w:rPr>
        <w:t>y</w:t>
      </w:r>
      <w:r>
        <w:rPr>
          <w:rFonts w:ascii="Arial" w:hAnsi="Arial" w:cs="Arial"/>
          <w:sz w:val="20"/>
          <w:szCs w:val="20"/>
        </w:rPr>
        <w:t xml:space="preserve"> the agency engages with stakeholders in order to inform the design and execution of its work is to consult extensively in the development of information and advice for the website. </w:t>
      </w:r>
      <w:r w:rsidR="00881686" w:rsidRPr="00881686">
        <w:rPr>
          <w:rFonts w:ascii="Arial" w:hAnsi="Arial" w:cs="Arial"/>
          <w:sz w:val="20"/>
          <w:szCs w:val="20"/>
        </w:rPr>
        <w:t xml:space="preserve">The </w:t>
      </w:r>
      <w:proofErr w:type="spellStart"/>
      <w:r w:rsidR="00881686" w:rsidRPr="00881686">
        <w:rPr>
          <w:rFonts w:ascii="Arial" w:hAnsi="Arial" w:cs="Arial"/>
          <w:sz w:val="20"/>
          <w:szCs w:val="20"/>
        </w:rPr>
        <w:t>FWO’s</w:t>
      </w:r>
      <w:proofErr w:type="spellEnd"/>
      <w:r w:rsidR="00881686" w:rsidRPr="00881686">
        <w:rPr>
          <w:rFonts w:ascii="Arial" w:hAnsi="Arial" w:cs="Arial"/>
          <w:sz w:val="20"/>
          <w:szCs w:val="20"/>
        </w:rPr>
        <w:t xml:space="preserve"> online tools and the agency’s position on legislative matters </w:t>
      </w:r>
      <w:proofErr w:type="gramStart"/>
      <w:r w:rsidR="00881686" w:rsidRPr="00881686">
        <w:rPr>
          <w:rFonts w:ascii="Arial" w:hAnsi="Arial" w:cs="Arial"/>
          <w:sz w:val="20"/>
          <w:szCs w:val="20"/>
        </w:rPr>
        <w:t>are routinely tested</w:t>
      </w:r>
      <w:proofErr w:type="gramEnd"/>
      <w:r w:rsidR="00881686" w:rsidRPr="00881686">
        <w:rPr>
          <w:rFonts w:ascii="Arial" w:hAnsi="Arial" w:cs="Arial"/>
          <w:sz w:val="20"/>
          <w:szCs w:val="20"/>
        </w:rPr>
        <w:t xml:space="preserve"> with stakeholders and user groups to ensure they account for the needs of our customer</w:t>
      </w:r>
      <w:r w:rsidR="00D26096">
        <w:rPr>
          <w:rFonts w:ascii="Arial" w:hAnsi="Arial" w:cs="Arial"/>
          <w:sz w:val="20"/>
          <w:szCs w:val="20"/>
        </w:rPr>
        <w:t>s</w:t>
      </w:r>
      <w:r w:rsidR="00881686" w:rsidRPr="00881686">
        <w:rPr>
          <w:rFonts w:ascii="Arial" w:hAnsi="Arial" w:cs="Arial"/>
          <w:sz w:val="20"/>
          <w:szCs w:val="20"/>
        </w:rPr>
        <w:t xml:space="preserve"> and stakeholders.</w:t>
      </w: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r w:rsidRPr="00881686">
        <w:rPr>
          <w:rFonts w:ascii="Arial" w:hAnsi="Arial" w:cs="Arial"/>
          <w:sz w:val="20"/>
          <w:szCs w:val="20"/>
        </w:rPr>
        <w:t xml:space="preserve">For example, when developing the ‘Anonymous tip off’ form for fairwork.gov.au the FWO user-tested the form with the help of an external provider. Twelve employers and employees </w:t>
      </w:r>
      <w:proofErr w:type="gramStart"/>
      <w:r w:rsidRPr="00881686">
        <w:rPr>
          <w:rFonts w:ascii="Arial" w:hAnsi="Arial" w:cs="Arial"/>
          <w:sz w:val="20"/>
          <w:szCs w:val="20"/>
        </w:rPr>
        <w:t>were observed</w:t>
      </w:r>
      <w:proofErr w:type="gramEnd"/>
      <w:r w:rsidRPr="00881686">
        <w:rPr>
          <w:rFonts w:ascii="Arial" w:hAnsi="Arial" w:cs="Arial"/>
          <w:sz w:val="20"/>
          <w:szCs w:val="20"/>
        </w:rPr>
        <w:t xml:space="preserve"> using </w:t>
      </w:r>
      <w:r w:rsidR="00EF31DC">
        <w:rPr>
          <w:rFonts w:ascii="Arial" w:hAnsi="Arial" w:cs="Arial"/>
          <w:sz w:val="20"/>
          <w:szCs w:val="20"/>
        </w:rPr>
        <w:t>the form</w:t>
      </w:r>
      <w:r w:rsidRPr="00881686">
        <w:rPr>
          <w:rFonts w:ascii="Arial" w:hAnsi="Arial" w:cs="Arial"/>
          <w:sz w:val="20"/>
          <w:szCs w:val="20"/>
        </w:rPr>
        <w:t xml:space="preserve">. The user feedback informed </w:t>
      </w:r>
      <w:proofErr w:type="gramStart"/>
      <w:r w:rsidRPr="00881686">
        <w:rPr>
          <w:rFonts w:ascii="Arial" w:hAnsi="Arial" w:cs="Arial"/>
          <w:sz w:val="20"/>
          <w:szCs w:val="20"/>
        </w:rPr>
        <w:t>changes to the</w:t>
      </w:r>
      <w:r w:rsidR="00F65208">
        <w:rPr>
          <w:rFonts w:ascii="Arial" w:hAnsi="Arial" w:cs="Arial"/>
          <w:sz w:val="20"/>
          <w:szCs w:val="20"/>
        </w:rPr>
        <w:t xml:space="preserve"> way the form was</w:t>
      </w:r>
      <w:proofErr w:type="gramEnd"/>
      <w:r w:rsidR="00F65208">
        <w:rPr>
          <w:rFonts w:ascii="Arial" w:hAnsi="Arial" w:cs="Arial"/>
          <w:sz w:val="20"/>
          <w:szCs w:val="20"/>
        </w:rPr>
        <w:t xml:space="preserve"> presented to manage </w:t>
      </w:r>
      <w:r w:rsidRPr="00881686">
        <w:rPr>
          <w:rFonts w:ascii="Arial" w:hAnsi="Arial" w:cs="Arial"/>
          <w:sz w:val="20"/>
          <w:szCs w:val="20"/>
        </w:rPr>
        <w:t xml:space="preserve">customer expectations around how the FWO would treat </w:t>
      </w:r>
      <w:r w:rsidR="00F65208">
        <w:rPr>
          <w:rFonts w:ascii="Arial" w:hAnsi="Arial" w:cs="Arial"/>
          <w:sz w:val="20"/>
          <w:szCs w:val="20"/>
        </w:rPr>
        <w:t xml:space="preserve">the </w:t>
      </w:r>
      <w:r w:rsidRPr="00881686">
        <w:rPr>
          <w:rFonts w:ascii="Arial" w:hAnsi="Arial" w:cs="Arial"/>
          <w:sz w:val="20"/>
          <w:szCs w:val="20"/>
        </w:rPr>
        <w:t>intelligence.</w:t>
      </w:r>
    </w:p>
    <w:p w:rsidR="00881686" w:rsidRDefault="00881686" w:rsidP="00642E36">
      <w:pPr>
        <w:spacing w:after="0" w:line="240" w:lineRule="auto"/>
        <w:rPr>
          <w:rFonts w:ascii="Arial" w:hAnsi="Arial" w:cs="Arial"/>
          <w:sz w:val="20"/>
          <w:szCs w:val="20"/>
        </w:rPr>
      </w:pPr>
    </w:p>
    <w:tbl>
      <w:tblPr>
        <w:tblStyle w:val="TableGrid"/>
        <w:tblW w:w="0" w:type="auto"/>
        <w:tblBorders>
          <w:top w:val="single" w:sz="2" w:space="0" w:color="4BACC6" w:themeColor="accent5"/>
          <w:left w:val="none" w:sz="0" w:space="0" w:color="auto"/>
          <w:bottom w:val="single" w:sz="2" w:space="0" w:color="4BACC6" w:themeColor="accent5"/>
          <w:right w:val="none" w:sz="0" w:space="0" w:color="auto"/>
        </w:tblBorders>
        <w:tblLook w:val="04A0" w:firstRow="1" w:lastRow="0" w:firstColumn="1" w:lastColumn="0" w:noHBand="0" w:noVBand="1"/>
      </w:tblPr>
      <w:tblGrid>
        <w:gridCol w:w="9242"/>
      </w:tblGrid>
      <w:tr w:rsidR="007C45BB" w:rsidTr="00951510">
        <w:trPr>
          <w:tblHeader/>
        </w:trPr>
        <w:tc>
          <w:tcPr>
            <w:tcW w:w="9242" w:type="dxa"/>
          </w:tcPr>
          <w:p w:rsidR="007C45BB" w:rsidRPr="007C45BB" w:rsidRDefault="007C45BB" w:rsidP="00642E36">
            <w:pPr>
              <w:rPr>
                <w:rFonts w:ascii="Myriad Pro" w:eastAsia="Times New Roman" w:hAnsi="Myriad Pro" w:cs="Arial"/>
                <w:color w:val="31849B" w:themeColor="accent5" w:themeShade="BF"/>
                <w:sz w:val="10"/>
                <w:szCs w:val="10"/>
                <w:lang w:eastAsia="en-AU"/>
              </w:rPr>
            </w:pPr>
          </w:p>
          <w:p w:rsidR="007C45BB" w:rsidRPr="00316417" w:rsidRDefault="007C45BB" w:rsidP="00642E36">
            <w:pPr>
              <w:rPr>
                <w:rFonts w:ascii="Myriad Pro" w:eastAsia="Times New Roman" w:hAnsi="Myriad Pro" w:cs="Arial"/>
                <w:color w:val="31849B" w:themeColor="accent5" w:themeShade="BF"/>
                <w:sz w:val="24"/>
                <w:szCs w:val="24"/>
                <w:lang w:eastAsia="en-AU"/>
              </w:rPr>
            </w:pPr>
            <w:r w:rsidRPr="00316417">
              <w:rPr>
                <w:rFonts w:ascii="Myriad Pro" w:eastAsia="Times New Roman" w:hAnsi="Myriad Pro" w:cs="Arial"/>
                <w:color w:val="31849B" w:themeColor="accent5" w:themeShade="BF"/>
                <w:sz w:val="24"/>
                <w:szCs w:val="24"/>
                <w:lang w:eastAsia="en-AU"/>
              </w:rPr>
              <w:t xml:space="preserve">Campaign development </w:t>
            </w:r>
            <w:r>
              <w:rPr>
                <w:rFonts w:ascii="Myriad Pro" w:eastAsia="Times New Roman" w:hAnsi="Myriad Pro" w:cs="Arial"/>
                <w:color w:val="31849B" w:themeColor="accent5" w:themeShade="BF"/>
                <w:sz w:val="24"/>
                <w:szCs w:val="24"/>
                <w:lang w:eastAsia="en-AU"/>
              </w:rPr>
              <w:t>and design</w:t>
            </w:r>
          </w:p>
          <w:p w:rsidR="007C45BB" w:rsidRPr="00127250" w:rsidRDefault="007C45BB" w:rsidP="00642E36">
            <w:pPr>
              <w:rPr>
                <w:rFonts w:ascii="Lucida Fax" w:hAnsi="Lucida Fax" w:cs="Arial"/>
                <w:color w:val="31849B" w:themeColor="accent5" w:themeShade="BF"/>
                <w:sz w:val="10"/>
                <w:szCs w:val="10"/>
              </w:rPr>
            </w:pPr>
          </w:p>
          <w:p w:rsidR="007C45BB" w:rsidRDefault="007C45BB" w:rsidP="00642E36">
            <w:pPr>
              <w:pStyle w:val="ListParagraph"/>
              <w:ind w:left="0"/>
              <w:rPr>
                <w:rFonts w:ascii="Arial" w:hAnsi="Arial" w:cs="Arial"/>
                <w:sz w:val="20"/>
                <w:szCs w:val="20"/>
              </w:rPr>
            </w:pPr>
            <w:r w:rsidRPr="004A5FB4">
              <w:rPr>
                <w:rFonts w:ascii="Arial" w:hAnsi="Arial" w:cs="Arial"/>
                <w:sz w:val="20"/>
                <w:szCs w:val="20"/>
              </w:rPr>
              <w:t xml:space="preserve">The FWO makes </w:t>
            </w:r>
            <w:r>
              <w:rPr>
                <w:rFonts w:ascii="Arial" w:hAnsi="Arial" w:cs="Arial"/>
                <w:sz w:val="20"/>
                <w:szCs w:val="20"/>
              </w:rPr>
              <w:t xml:space="preserve">comprehensive use of </w:t>
            </w:r>
            <w:r w:rsidRPr="004A5FB4">
              <w:rPr>
                <w:rFonts w:ascii="Arial" w:hAnsi="Arial" w:cs="Arial"/>
                <w:sz w:val="20"/>
                <w:szCs w:val="20"/>
              </w:rPr>
              <w:t>campaigns to provide information and advice to workplace participants, encourag</w:t>
            </w:r>
            <w:r w:rsidR="00F65208">
              <w:rPr>
                <w:rFonts w:ascii="Arial" w:hAnsi="Arial" w:cs="Arial"/>
                <w:sz w:val="20"/>
                <w:szCs w:val="20"/>
              </w:rPr>
              <w:t>ing</w:t>
            </w:r>
            <w:r w:rsidRPr="004A5FB4">
              <w:rPr>
                <w:rFonts w:ascii="Arial" w:hAnsi="Arial" w:cs="Arial"/>
                <w:sz w:val="20"/>
                <w:szCs w:val="20"/>
              </w:rPr>
              <w:t xml:space="preserve"> compliance with </w:t>
            </w:r>
            <w:r>
              <w:rPr>
                <w:rFonts w:ascii="Arial" w:hAnsi="Arial" w:cs="Arial"/>
                <w:sz w:val="20"/>
                <w:szCs w:val="20"/>
              </w:rPr>
              <w:t>workplace laws</w:t>
            </w:r>
            <w:r w:rsidRPr="004A5FB4">
              <w:rPr>
                <w:rFonts w:ascii="Arial" w:hAnsi="Arial" w:cs="Arial"/>
                <w:sz w:val="20"/>
                <w:szCs w:val="20"/>
              </w:rPr>
              <w:t xml:space="preserve">. During the inception phase of </w:t>
            </w:r>
            <w:r>
              <w:rPr>
                <w:rFonts w:ascii="Arial" w:hAnsi="Arial" w:cs="Arial"/>
                <w:sz w:val="20"/>
                <w:szCs w:val="20"/>
              </w:rPr>
              <w:t>a</w:t>
            </w:r>
            <w:r w:rsidRPr="004A5FB4">
              <w:rPr>
                <w:rFonts w:ascii="Arial" w:hAnsi="Arial" w:cs="Arial"/>
                <w:sz w:val="20"/>
                <w:szCs w:val="20"/>
              </w:rPr>
              <w:t xml:space="preserve"> campaign</w:t>
            </w:r>
            <w:r>
              <w:rPr>
                <w:rFonts w:ascii="Arial" w:hAnsi="Arial" w:cs="Arial"/>
                <w:sz w:val="20"/>
                <w:szCs w:val="20"/>
              </w:rPr>
              <w:t xml:space="preserve">, data and intelligence collected by the agency is analysed to identify priority areas. This ensures that the intended campaign will deliver the greatest benefit to the industry or geographic location where systemic compliance issues </w:t>
            </w:r>
            <w:proofErr w:type="gramStart"/>
            <w:r>
              <w:rPr>
                <w:rFonts w:ascii="Arial" w:hAnsi="Arial" w:cs="Arial"/>
                <w:sz w:val="20"/>
                <w:szCs w:val="20"/>
              </w:rPr>
              <w:t>have been identified</w:t>
            </w:r>
            <w:proofErr w:type="gramEnd"/>
            <w:r>
              <w:rPr>
                <w:rFonts w:ascii="Arial" w:hAnsi="Arial" w:cs="Arial"/>
                <w:sz w:val="20"/>
                <w:szCs w:val="20"/>
              </w:rPr>
              <w:t>. To complement the research, project teams within the FWO also</w:t>
            </w:r>
            <w:r w:rsidR="009C7256">
              <w:rPr>
                <w:rFonts w:ascii="Arial" w:hAnsi="Arial" w:cs="Arial"/>
                <w:sz w:val="20"/>
                <w:szCs w:val="20"/>
              </w:rPr>
              <w:t xml:space="preserve"> conduct</w:t>
            </w:r>
            <w:r>
              <w:rPr>
                <w:rFonts w:ascii="Arial" w:hAnsi="Arial" w:cs="Arial"/>
                <w:sz w:val="20"/>
                <w:szCs w:val="20"/>
              </w:rPr>
              <w:t xml:space="preserve"> stakeholder consultations to inform the design of campaigns. This includes engaging with industry associations, employer representatives, unions and community groups. </w:t>
            </w:r>
          </w:p>
          <w:p w:rsidR="007C45BB" w:rsidRPr="007C45BB" w:rsidRDefault="007C45BB" w:rsidP="00642E36">
            <w:pPr>
              <w:rPr>
                <w:rFonts w:ascii="Arial" w:hAnsi="Arial" w:cs="Arial"/>
                <w:sz w:val="10"/>
                <w:szCs w:val="10"/>
              </w:rPr>
            </w:pPr>
          </w:p>
        </w:tc>
      </w:tr>
    </w:tbl>
    <w:p w:rsidR="00F80344" w:rsidRDefault="00F80344" w:rsidP="00642E36">
      <w:pPr>
        <w:spacing w:after="0" w:line="240" w:lineRule="auto"/>
        <w:rPr>
          <w:rFonts w:ascii="Arial" w:hAnsi="Arial" w:cs="Arial"/>
          <w:sz w:val="20"/>
          <w:szCs w:val="20"/>
        </w:rPr>
      </w:pPr>
    </w:p>
    <w:p w:rsidR="00F80344" w:rsidRPr="00F80344" w:rsidRDefault="00F80344"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F80344" w:rsidRPr="00127250" w:rsidRDefault="00F80344" w:rsidP="00642E36">
      <w:pPr>
        <w:spacing w:after="0" w:line="240" w:lineRule="auto"/>
        <w:rPr>
          <w:rFonts w:ascii="Arial" w:hAnsi="Arial" w:cs="Arial"/>
          <w:sz w:val="10"/>
          <w:szCs w:val="10"/>
        </w:rPr>
      </w:pPr>
    </w:p>
    <w:p w:rsidR="00881686" w:rsidRDefault="00881686" w:rsidP="00642E36">
      <w:pPr>
        <w:spacing w:after="0" w:line="240" w:lineRule="auto"/>
        <w:rPr>
          <w:rFonts w:ascii="Arial" w:hAnsi="Arial" w:cs="Arial"/>
          <w:sz w:val="20"/>
          <w:szCs w:val="20"/>
        </w:rPr>
      </w:pPr>
      <w:r>
        <w:rPr>
          <w:rFonts w:ascii="Arial" w:hAnsi="Arial" w:cs="Arial"/>
          <w:sz w:val="20"/>
          <w:szCs w:val="20"/>
        </w:rPr>
        <w:t xml:space="preserve">The following </w:t>
      </w:r>
      <w:r w:rsidR="00F80344">
        <w:rPr>
          <w:rFonts w:ascii="Arial" w:hAnsi="Arial" w:cs="Arial"/>
          <w:sz w:val="20"/>
          <w:szCs w:val="20"/>
        </w:rPr>
        <w:t>case studies</w:t>
      </w:r>
      <w:r>
        <w:rPr>
          <w:rFonts w:ascii="Arial" w:hAnsi="Arial" w:cs="Arial"/>
          <w:sz w:val="20"/>
          <w:szCs w:val="20"/>
        </w:rPr>
        <w:t xml:space="preserve"> demonstrate how the FWO has achieved this measure</w:t>
      </w:r>
      <w:r w:rsidR="00F80344">
        <w:rPr>
          <w:rFonts w:ascii="Arial" w:hAnsi="Arial" w:cs="Arial"/>
          <w:sz w:val="20"/>
          <w:szCs w:val="20"/>
        </w:rPr>
        <w:t xml:space="preserve"> (see </w:t>
      </w:r>
      <w:r w:rsidR="00F80344" w:rsidRPr="00F80344">
        <w:rPr>
          <w:rFonts w:ascii="Arial" w:hAnsi="Arial" w:cs="Arial"/>
          <w:b/>
          <w:sz w:val="20"/>
          <w:szCs w:val="20"/>
        </w:rPr>
        <w:t>Appendix</w:t>
      </w:r>
      <w:r w:rsidR="00F80344">
        <w:rPr>
          <w:rFonts w:ascii="Arial" w:hAnsi="Arial" w:cs="Arial"/>
          <w:sz w:val="20"/>
          <w:szCs w:val="20"/>
        </w:rPr>
        <w:t>)</w:t>
      </w:r>
      <w:r>
        <w:rPr>
          <w:rFonts w:ascii="Arial" w:hAnsi="Arial" w:cs="Arial"/>
          <w:sz w:val="20"/>
          <w:szCs w:val="20"/>
        </w:rPr>
        <w:t>:</w:t>
      </w:r>
    </w:p>
    <w:p w:rsidR="00881686" w:rsidRPr="00127250" w:rsidRDefault="00881686" w:rsidP="00642E36">
      <w:pPr>
        <w:spacing w:after="0" w:line="240" w:lineRule="auto"/>
        <w:rPr>
          <w:rFonts w:ascii="Arial" w:hAnsi="Arial" w:cs="Arial"/>
          <w:b/>
          <w:sz w:val="10"/>
          <w:szCs w:val="10"/>
        </w:rPr>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Pr>
      <w:tblGrid>
        <w:gridCol w:w="1384"/>
        <w:gridCol w:w="1142"/>
        <w:gridCol w:w="1143"/>
        <w:gridCol w:w="1142"/>
        <w:gridCol w:w="1143"/>
        <w:gridCol w:w="1142"/>
        <w:gridCol w:w="1143"/>
        <w:gridCol w:w="1123"/>
      </w:tblGrid>
      <w:tr w:rsidR="00881686" w:rsidRPr="00881686" w:rsidTr="00951510">
        <w:trPr>
          <w:cantSplit/>
          <w:trHeight w:val="454"/>
          <w:tblHeader/>
        </w:trPr>
        <w:tc>
          <w:tcPr>
            <w:tcW w:w="1384" w:type="dxa"/>
            <w:shd w:val="clear" w:color="auto" w:fill="DAEEF3" w:themeFill="accent5" w:themeFillTint="33"/>
            <w:vAlign w:val="center"/>
          </w:tcPr>
          <w:p w:rsidR="00881686" w:rsidRPr="00881686" w:rsidRDefault="007C45BB" w:rsidP="00642E36">
            <w:pPr>
              <w:rPr>
                <w:rFonts w:ascii="Myriad Pro" w:hAnsi="Myriad Pro" w:cs="Arial"/>
                <w:color w:val="31849B" w:themeColor="accent5" w:themeShade="BF"/>
              </w:rPr>
            </w:pPr>
            <w:r>
              <w:rPr>
                <w:rFonts w:ascii="Myriad Pro" w:hAnsi="Myriad Pro" w:cs="Arial"/>
                <w:color w:val="31849B" w:themeColor="accent5" w:themeShade="BF"/>
              </w:rPr>
              <w:t>Case study</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1</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2</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3</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4</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5</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6</w:t>
            </w:r>
          </w:p>
        </w:tc>
        <w:tc>
          <w:tcPr>
            <w:tcW w:w="112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7</w:t>
            </w:r>
          </w:p>
        </w:tc>
      </w:tr>
      <w:tr w:rsidR="00881686" w:rsidRPr="00881686" w:rsidTr="00881686">
        <w:trPr>
          <w:cantSplit/>
          <w:trHeight w:val="454"/>
        </w:trPr>
        <w:tc>
          <w:tcPr>
            <w:tcW w:w="1384" w:type="dxa"/>
            <w:vAlign w:val="center"/>
          </w:tcPr>
          <w:p w:rsidR="00881686" w:rsidRPr="00881686" w:rsidRDefault="00881686" w:rsidP="00642E36">
            <w:pPr>
              <w:jc w:val="center"/>
              <w:rPr>
                <w:rFonts w:ascii="Myriad Pro" w:hAnsi="Myriad Pro" w:cs="Arial"/>
              </w:rPr>
            </w:pPr>
            <w:r w:rsidRPr="00881686">
              <w:rPr>
                <w:rFonts w:ascii="Myriad Pro" w:hAnsi="Myriad Pro" w:cs="Arial"/>
              </w:rPr>
              <w:t>Measure 1.</w:t>
            </w:r>
            <w:r>
              <w:rPr>
                <w:rFonts w:ascii="Myriad Pro" w:hAnsi="Myriad Pro" w:cs="Arial"/>
              </w:rPr>
              <w:t>2</w:t>
            </w: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2"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3" w:type="dxa"/>
            <w:vAlign w:val="center"/>
          </w:tcPr>
          <w:p w:rsidR="00881686" w:rsidRPr="00881686" w:rsidRDefault="00881686" w:rsidP="00642E36">
            <w:pPr>
              <w:jc w:val="center"/>
              <w:rPr>
                <w:rFonts w:ascii="Myriad Pro" w:hAnsi="Myriad Pro" w:cs="Arial"/>
              </w:rPr>
            </w:pPr>
          </w:p>
        </w:tc>
        <w:tc>
          <w:tcPr>
            <w:tcW w:w="1123" w:type="dxa"/>
            <w:vAlign w:val="center"/>
          </w:tcPr>
          <w:p w:rsidR="00881686" w:rsidRPr="00881686" w:rsidRDefault="00881686" w:rsidP="00642E36">
            <w:pPr>
              <w:jc w:val="center"/>
              <w:rPr>
                <w:rFonts w:ascii="Myriad Pro" w:hAnsi="Myriad Pro" w:cs="Arial"/>
              </w:rPr>
            </w:pPr>
          </w:p>
        </w:tc>
      </w:tr>
    </w:tbl>
    <w:p w:rsidR="004322A4" w:rsidRPr="004322A4" w:rsidRDefault="004322A4" w:rsidP="00642E36">
      <w:pPr>
        <w:pStyle w:val="Heading1"/>
        <w:spacing w:before="0" w:line="240" w:lineRule="auto"/>
        <w:rPr>
          <w:rFonts w:ascii="Myriad Pro" w:hAnsi="Myriad Pro"/>
          <w:b w:val="0"/>
          <w:color w:val="31849B" w:themeColor="accent5" w:themeShade="BF"/>
        </w:rPr>
      </w:pPr>
      <w:bookmarkStart w:id="6" w:name="_Toc460917299"/>
      <w:proofErr w:type="spellStart"/>
      <w:r w:rsidRPr="004322A4">
        <w:rPr>
          <w:rFonts w:ascii="Myriad Pro" w:hAnsi="Myriad Pro"/>
          <w:b w:val="0"/>
          <w:color w:val="31849B" w:themeColor="accent5" w:themeShade="BF"/>
        </w:rPr>
        <w:lastRenderedPageBreak/>
        <w:t>KPI</w:t>
      </w:r>
      <w:proofErr w:type="spellEnd"/>
      <w:r w:rsidRPr="004322A4">
        <w:rPr>
          <w:rFonts w:ascii="Myriad Pro" w:hAnsi="Myriad Pro"/>
          <w:b w:val="0"/>
          <w:color w:val="31849B" w:themeColor="accent5" w:themeShade="BF"/>
        </w:rPr>
        <w:t xml:space="preserve"> 2 – Communication with regulated entities is clear, targeted and effective</w:t>
      </w:r>
      <w:bookmarkEnd w:id="6"/>
    </w:p>
    <w:p w:rsidR="004322A4" w:rsidRPr="004322A4" w:rsidRDefault="004322A4" w:rsidP="00642E36">
      <w:pPr>
        <w:spacing w:after="0" w:line="240" w:lineRule="auto"/>
        <w:rPr>
          <w:rFonts w:ascii="Myriad Pro" w:hAnsi="Myriad Pro" w:cs="Arial"/>
          <w:i/>
          <w:color w:val="31849B" w:themeColor="accent5" w:themeShade="BF"/>
          <w:sz w:val="20"/>
          <w:szCs w:val="20"/>
        </w:rPr>
      </w:pPr>
    </w:p>
    <w:p w:rsidR="004322A4" w:rsidRPr="00886868" w:rsidRDefault="004322A4" w:rsidP="00642E36">
      <w:pPr>
        <w:pStyle w:val="Heading2"/>
        <w:spacing w:before="0" w:line="240" w:lineRule="auto"/>
        <w:rPr>
          <w:rFonts w:ascii="Myriad Pro" w:hAnsi="Myriad Pro"/>
          <w:b w:val="0"/>
          <w:i/>
          <w:color w:val="31849B" w:themeColor="accent5" w:themeShade="BF"/>
          <w:sz w:val="25"/>
          <w:szCs w:val="25"/>
        </w:rPr>
      </w:pPr>
      <w:bookmarkStart w:id="7" w:name="_Toc460917300"/>
      <w:r w:rsidRPr="00886868">
        <w:rPr>
          <w:rFonts w:ascii="Myriad Pro" w:hAnsi="Myriad Pro"/>
          <w:b w:val="0"/>
          <w:i/>
          <w:color w:val="31849B" w:themeColor="accent5" w:themeShade="BF"/>
          <w:sz w:val="25"/>
          <w:szCs w:val="25"/>
        </w:rPr>
        <w:t>Measure 2.1 – The FWO provides information and advice that is timely, useful and reliable to make it easier for regulated entities to comply with their obligations.</w:t>
      </w:r>
      <w:bookmarkEnd w:id="7"/>
    </w:p>
    <w:p w:rsidR="004322A4" w:rsidRDefault="004322A4" w:rsidP="00642E36">
      <w:pPr>
        <w:spacing w:after="0" w:line="240" w:lineRule="auto"/>
        <w:rPr>
          <w:rFonts w:ascii="Arial" w:hAnsi="Arial" w:cs="Arial"/>
          <w:sz w:val="20"/>
          <w:szCs w:val="20"/>
        </w:rPr>
      </w:pPr>
    </w:p>
    <w:p w:rsidR="00F80344" w:rsidRPr="00F80344" w:rsidRDefault="00F80344" w:rsidP="00642E36">
      <w:pPr>
        <w:spacing w:after="0" w:line="240" w:lineRule="auto"/>
        <w:rPr>
          <w:rFonts w:ascii="Arial" w:hAnsi="Arial" w:cs="Arial"/>
          <w:sz w:val="20"/>
          <w:szCs w:val="20"/>
        </w:rPr>
      </w:pPr>
      <w:r w:rsidRPr="00F80344">
        <w:rPr>
          <w:rFonts w:ascii="Arial" w:hAnsi="Arial" w:cs="Arial"/>
          <w:sz w:val="20"/>
          <w:szCs w:val="20"/>
        </w:rPr>
        <w:t xml:space="preserve">The FWO provides timely and reliable information and assistance to the </w:t>
      </w:r>
      <w:r w:rsidR="00D26096">
        <w:rPr>
          <w:rFonts w:ascii="Arial" w:hAnsi="Arial" w:cs="Arial"/>
          <w:sz w:val="20"/>
          <w:szCs w:val="20"/>
        </w:rPr>
        <w:t xml:space="preserve">community </w:t>
      </w:r>
      <w:r w:rsidRPr="00F80344">
        <w:rPr>
          <w:rFonts w:ascii="Arial" w:hAnsi="Arial" w:cs="Arial"/>
          <w:sz w:val="20"/>
          <w:szCs w:val="20"/>
        </w:rPr>
        <w:t xml:space="preserve">through a number of different channels. </w:t>
      </w:r>
      <w:r w:rsidR="007C45BB">
        <w:rPr>
          <w:rFonts w:ascii="Arial" w:hAnsi="Arial" w:cs="Arial"/>
          <w:sz w:val="20"/>
          <w:szCs w:val="20"/>
        </w:rPr>
        <w:t xml:space="preserve">Regulated entities have access to a range of services, including self-service tools and </w:t>
      </w:r>
      <w:r w:rsidR="00F65208">
        <w:rPr>
          <w:rFonts w:ascii="Arial" w:hAnsi="Arial" w:cs="Arial"/>
          <w:sz w:val="20"/>
          <w:szCs w:val="20"/>
        </w:rPr>
        <w:t xml:space="preserve">online </w:t>
      </w:r>
      <w:r w:rsidR="007C45BB">
        <w:rPr>
          <w:rFonts w:ascii="Arial" w:hAnsi="Arial" w:cs="Arial"/>
          <w:sz w:val="20"/>
          <w:szCs w:val="20"/>
        </w:rPr>
        <w:t xml:space="preserve">resources, to assist them </w:t>
      </w:r>
      <w:r w:rsidR="00462D92">
        <w:rPr>
          <w:rFonts w:ascii="Arial" w:hAnsi="Arial" w:cs="Arial"/>
          <w:sz w:val="20"/>
          <w:szCs w:val="20"/>
        </w:rPr>
        <w:t xml:space="preserve">better </w:t>
      </w:r>
      <w:r w:rsidR="00F65208">
        <w:rPr>
          <w:rFonts w:ascii="Arial" w:hAnsi="Arial" w:cs="Arial"/>
          <w:sz w:val="20"/>
          <w:szCs w:val="20"/>
        </w:rPr>
        <w:t>understand</w:t>
      </w:r>
      <w:r w:rsidR="00462D92">
        <w:rPr>
          <w:rFonts w:ascii="Arial" w:hAnsi="Arial" w:cs="Arial"/>
          <w:sz w:val="20"/>
          <w:szCs w:val="20"/>
        </w:rPr>
        <w:t xml:space="preserve"> and comply with</w:t>
      </w:r>
      <w:r w:rsidR="00F65208">
        <w:rPr>
          <w:rFonts w:ascii="Arial" w:hAnsi="Arial" w:cs="Arial"/>
          <w:sz w:val="20"/>
          <w:szCs w:val="20"/>
        </w:rPr>
        <w:t xml:space="preserve"> </w:t>
      </w:r>
      <w:r w:rsidR="007C45BB">
        <w:rPr>
          <w:rFonts w:ascii="Arial" w:hAnsi="Arial" w:cs="Arial"/>
          <w:sz w:val="20"/>
          <w:szCs w:val="20"/>
        </w:rPr>
        <w:t>workplace laws</w:t>
      </w:r>
      <w:r w:rsidR="00462D92">
        <w:rPr>
          <w:rFonts w:ascii="Arial" w:hAnsi="Arial" w:cs="Arial"/>
          <w:sz w:val="20"/>
          <w:szCs w:val="20"/>
        </w:rPr>
        <w:t>,</w:t>
      </w:r>
      <w:r w:rsidR="007C45BB">
        <w:rPr>
          <w:rFonts w:ascii="Arial" w:hAnsi="Arial" w:cs="Arial"/>
          <w:sz w:val="20"/>
          <w:szCs w:val="20"/>
        </w:rPr>
        <w:t xml:space="preserve"> and implement better workplace practices.   </w:t>
      </w:r>
    </w:p>
    <w:p w:rsidR="00F80344" w:rsidRPr="00F80344" w:rsidRDefault="00F80344" w:rsidP="00642E36">
      <w:pPr>
        <w:spacing w:after="0" w:line="240" w:lineRule="auto"/>
        <w:rPr>
          <w:rFonts w:ascii="Arial" w:hAnsi="Arial" w:cs="Arial"/>
          <w:sz w:val="20"/>
          <w:szCs w:val="20"/>
        </w:rPr>
      </w:pPr>
    </w:p>
    <w:p w:rsidR="00F80344" w:rsidRPr="00F80344" w:rsidRDefault="00F80344" w:rsidP="00642E36">
      <w:pPr>
        <w:spacing w:after="0" w:line="240" w:lineRule="auto"/>
        <w:rPr>
          <w:rFonts w:ascii="Arial" w:hAnsi="Arial" w:cs="Arial"/>
          <w:sz w:val="20"/>
          <w:szCs w:val="20"/>
        </w:rPr>
      </w:pPr>
      <w:r w:rsidRPr="00F80344">
        <w:rPr>
          <w:rFonts w:ascii="Arial" w:hAnsi="Arial" w:cs="Arial"/>
          <w:sz w:val="20"/>
          <w:szCs w:val="20"/>
        </w:rPr>
        <w:t xml:space="preserve">The FWO provides information and assistance to </w:t>
      </w:r>
      <w:r w:rsidR="007C45BB">
        <w:rPr>
          <w:rFonts w:ascii="Arial" w:hAnsi="Arial" w:cs="Arial"/>
          <w:sz w:val="20"/>
          <w:szCs w:val="20"/>
        </w:rPr>
        <w:t>regulated entities via</w:t>
      </w:r>
      <w:r w:rsidRPr="00F80344">
        <w:rPr>
          <w:rFonts w:ascii="Arial" w:hAnsi="Arial" w:cs="Arial"/>
          <w:sz w:val="20"/>
          <w:szCs w:val="20"/>
        </w:rPr>
        <w:t xml:space="preserve"> the following channels:</w:t>
      </w:r>
    </w:p>
    <w:p w:rsidR="00F80344" w:rsidRDefault="00F80344" w:rsidP="00642E36">
      <w:pPr>
        <w:spacing w:after="0" w:line="240" w:lineRule="auto"/>
        <w:rPr>
          <w:rFonts w:ascii="Arial" w:hAnsi="Arial" w:cs="Arial"/>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F80344" w:rsidRPr="00881686" w:rsidTr="00951510">
        <w:trPr>
          <w:trHeight w:val="454"/>
          <w:tblHeader/>
        </w:trPr>
        <w:tc>
          <w:tcPr>
            <w:tcW w:w="4077" w:type="dxa"/>
            <w:tcBorders>
              <w:bottom w:val="single" w:sz="2" w:space="0" w:color="4BACC6" w:themeColor="accent5"/>
            </w:tcBorders>
            <w:shd w:val="clear" w:color="auto" w:fill="DAEEF3" w:themeFill="accent5" w:themeFillTint="33"/>
            <w:vAlign w:val="center"/>
          </w:tcPr>
          <w:p w:rsidR="00F80344" w:rsidRPr="00881686" w:rsidRDefault="00C23A6D" w:rsidP="00C23A6D">
            <w:pPr>
              <w:rPr>
                <w:rFonts w:ascii="Myriad Pro" w:hAnsi="Myriad Pro" w:cs="Arial"/>
                <w:color w:val="31849B" w:themeColor="accent5" w:themeShade="BF"/>
              </w:rPr>
            </w:pPr>
            <w:r>
              <w:rPr>
                <w:rFonts w:ascii="Myriad Pro" w:hAnsi="Myriad Pro" w:cs="Arial"/>
                <w:color w:val="31849B" w:themeColor="accent5" w:themeShade="BF"/>
              </w:rPr>
              <w:t xml:space="preserve">Channels /Activities </w:t>
            </w:r>
            <w:r w:rsidR="00F80344" w:rsidRPr="00881686">
              <w:rPr>
                <w:rFonts w:ascii="Myriad Pro" w:hAnsi="Myriad Pro" w:cs="Arial"/>
                <w:color w:val="31849B" w:themeColor="accent5" w:themeShade="BF"/>
              </w:rPr>
              <w:t>:</w:t>
            </w:r>
          </w:p>
        </w:tc>
        <w:tc>
          <w:tcPr>
            <w:tcW w:w="5165" w:type="dxa"/>
            <w:tcBorders>
              <w:bottom w:val="single" w:sz="2" w:space="0" w:color="4BACC6" w:themeColor="accent5"/>
            </w:tcBorders>
            <w:shd w:val="clear" w:color="auto" w:fill="DAEEF3" w:themeFill="accent5" w:themeFillTint="33"/>
            <w:vAlign w:val="center"/>
          </w:tcPr>
          <w:p w:rsidR="00F80344" w:rsidRPr="00881686" w:rsidRDefault="00C23A6D" w:rsidP="00642E36">
            <w:pPr>
              <w:rPr>
                <w:rFonts w:ascii="Myriad Pro" w:hAnsi="Myriad Pro" w:cs="Arial"/>
                <w:color w:val="31849B" w:themeColor="accent5" w:themeShade="BF"/>
              </w:rPr>
            </w:pPr>
            <w:r>
              <w:rPr>
                <w:rFonts w:ascii="Myriad Pro" w:hAnsi="Myriad Pro" w:cs="Arial"/>
                <w:color w:val="31849B" w:themeColor="accent5" w:themeShade="BF"/>
              </w:rPr>
              <w:t xml:space="preserve">Achievements </w:t>
            </w:r>
          </w:p>
        </w:tc>
      </w:tr>
      <w:tr w:rsidR="00F80344" w:rsidRPr="00881686" w:rsidTr="00751B76">
        <w:trPr>
          <w:trHeight w:val="1825"/>
        </w:trPr>
        <w:tc>
          <w:tcPr>
            <w:tcW w:w="4077" w:type="dxa"/>
            <w:tcBorders>
              <w:top w:val="single" w:sz="2" w:space="0" w:color="4BACC6" w:themeColor="accent5"/>
              <w:bottom w:val="nil"/>
            </w:tcBorders>
          </w:tcPr>
          <w:p w:rsidR="00F80344" w:rsidRPr="00642E36" w:rsidRDefault="00F80344" w:rsidP="00642E36">
            <w:pPr>
              <w:rPr>
                <w:rFonts w:ascii="Arial" w:hAnsi="Arial" w:cs="Arial"/>
                <w:sz w:val="20"/>
                <w:szCs w:val="20"/>
              </w:rPr>
            </w:pPr>
            <w:r w:rsidRPr="00642E36">
              <w:rPr>
                <w:rFonts w:ascii="Arial" w:hAnsi="Arial" w:cs="Arial"/>
                <w:sz w:val="20"/>
                <w:szCs w:val="20"/>
              </w:rPr>
              <w:t>The FWO website (</w:t>
            </w:r>
            <w:r w:rsidR="00F65208">
              <w:rPr>
                <w:rFonts w:ascii="Arial" w:hAnsi="Arial" w:cs="Arial"/>
                <w:sz w:val="20"/>
                <w:szCs w:val="20"/>
              </w:rPr>
              <w:t>www.</w:t>
            </w:r>
            <w:r w:rsidRPr="00642E36">
              <w:rPr>
                <w:rFonts w:ascii="Arial" w:hAnsi="Arial" w:cs="Arial"/>
                <w:sz w:val="20"/>
                <w:szCs w:val="20"/>
              </w:rPr>
              <w:t>fairwork.gov.au) is the primary channel for customer interactions with the agency</w:t>
            </w:r>
            <w:r w:rsidR="007C45BB" w:rsidRPr="00642E36">
              <w:rPr>
                <w:rFonts w:ascii="Arial" w:hAnsi="Arial" w:cs="Arial"/>
                <w:sz w:val="20"/>
                <w:szCs w:val="20"/>
              </w:rPr>
              <w:t>.</w:t>
            </w:r>
          </w:p>
        </w:tc>
        <w:tc>
          <w:tcPr>
            <w:tcW w:w="5165" w:type="dxa"/>
            <w:tcBorders>
              <w:top w:val="single" w:sz="2" w:space="0" w:color="4BACC6" w:themeColor="accent5"/>
              <w:bottom w:val="nil"/>
            </w:tcBorders>
          </w:tcPr>
          <w:p w:rsidR="00F80344" w:rsidRPr="00642E36" w:rsidRDefault="00F80344" w:rsidP="00642E36">
            <w:pPr>
              <w:pStyle w:val="ListParagraph"/>
              <w:numPr>
                <w:ilvl w:val="0"/>
                <w:numId w:val="16"/>
              </w:numPr>
              <w:rPr>
                <w:rFonts w:ascii="Arial" w:hAnsi="Arial" w:cs="Arial"/>
                <w:sz w:val="20"/>
                <w:szCs w:val="20"/>
              </w:rPr>
            </w:pPr>
            <w:r w:rsidRPr="00642E36">
              <w:rPr>
                <w:rFonts w:ascii="Arial" w:hAnsi="Arial" w:cs="Arial"/>
                <w:sz w:val="20"/>
                <w:szCs w:val="20"/>
              </w:rPr>
              <w:t xml:space="preserve">Responsive web design </w:t>
            </w:r>
            <w:r w:rsidR="00F65208">
              <w:rPr>
                <w:rFonts w:ascii="Arial" w:hAnsi="Arial" w:cs="Arial"/>
                <w:sz w:val="20"/>
                <w:szCs w:val="20"/>
              </w:rPr>
              <w:t>allows</w:t>
            </w:r>
            <w:r w:rsidR="00F65208" w:rsidRPr="00642E36">
              <w:rPr>
                <w:rFonts w:ascii="Arial" w:hAnsi="Arial" w:cs="Arial"/>
                <w:sz w:val="20"/>
                <w:szCs w:val="20"/>
              </w:rPr>
              <w:t xml:space="preserve"> </w:t>
            </w:r>
            <w:r w:rsidRPr="00642E36">
              <w:rPr>
                <w:rFonts w:ascii="Arial" w:hAnsi="Arial" w:cs="Arial"/>
                <w:sz w:val="20"/>
                <w:szCs w:val="20"/>
              </w:rPr>
              <w:t xml:space="preserve">information </w:t>
            </w:r>
            <w:r w:rsidR="00F65208">
              <w:rPr>
                <w:rFonts w:ascii="Arial" w:hAnsi="Arial" w:cs="Arial"/>
                <w:sz w:val="20"/>
                <w:szCs w:val="20"/>
              </w:rPr>
              <w:t>to</w:t>
            </w:r>
            <w:r w:rsidR="00F65208" w:rsidRPr="00642E36">
              <w:rPr>
                <w:rFonts w:ascii="Arial" w:hAnsi="Arial" w:cs="Arial"/>
                <w:sz w:val="20"/>
                <w:szCs w:val="20"/>
              </w:rPr>
              <w:t xml:space="preserve"> </w:t>
            </w:r>
            <w:r w:rsidRPr="00642E36">
              <w:rPr>
                <w:rFonts w:ascii="Arial" w:hAnsi="Arial" w:cs="Arial"/>
                <w:sz w:val="20"/>
                <w:szCs w:val="20"/>
              </w:rPr>
              <w:t>be accessed on any desktop, smart phone or tablet (mobile device</w:t>
            </w:r>
            <w:r w:rsidR="00EF31DC">
              <w:rPr>
                <w:rFonts w:ascii="Arial" w:hAnsi="Arial" w:cs="Arial"/>
                <w:sz w:val="20"/>
                <w:szCs w:val="20"/>
              </w:rPr>
              <w:t xml:space="preserve"> visits</w:t>
            </w:r>
            <w:r w:rsidRPr="00642E36">
              <w:rPr>
                <w:rFonts w:ascii="Arial" w:hAnsi="Arial" w:cs="Arial"/>
                <w:sz w:val="20"/>
                <w:szCs w:val="20"/>
              </w:rPr>
              <w:t xml:space="preserve"> accounted</w:t>
            </w:r>
            <w:r w:rsidR="00CF5264">
              <w:rPr>
                <w:rFonts w:ascii="Arial" w:hAnsi="Arial" w:cs="Arial"/>
                <w:sz w:val="20"/>
                <w:szCs w:val="20"/>
              </w:rPr>
              <w:t xml:space="preserve"> for </w:t>
            </w:r>
            <w:r w:rsidR="00EF31DC">
              <w:rPr>
                <w:rFonts w:ascii="Arial" w:hAnsi="Arial" w:cs="Arial"/>
                <w:sz w:val="20"/>
                <w:szCs w:val="20"/>
              </w:rPr>
              <w:t>40</w:t>
            </w:r>
            <w:r w:rsidR="00CF5264">
              <w:rPr>
                <w:rFonts w:ascii="Arial" w:hAnsi="Arial" w:cs="Arial"/>
                <w:sz w:val="20"/>
                <w:szCs w:val="20"/>
              </w:rPr>
              <w:t xml:space="preserve"> per cent</w:t>
            </w:r>
            <w:r w:rsidRPr="00642E36">
              <w:rPr>
                <w:rFonts w:ascii="Arial" w:hAnsi="Arial" w:cs="Arial"/>
                <w:sz w:val="20"/>
                <w:szCs w:val="20"/>
              </w:rPr>
              <w:t xml:space="preserve">) </w:t>
            </w:r>
          </w:p>
          <w:p w:rsidR="007C45BB" w:rsidRPr="00642E36" w:rsidRDefault="007C45BB" w:rsidP="00642E36">
            <w:pPr>
              <w:pStyle w:val="ListParagraph"/>
              <w:numPr>
                <w:ilvl w:val="0"/>
                <w:numId w:val="16"/>
              </w:numPr>
              <w:rPr>
                <w:rFonts w:ascii="Arial" w:hAnsi="Arial" w:cs="Arial"/>
                <w:sz w:val="20"/>
                <w:szCs w:val="20"/>
              </w:rPr>
            </w:pPr>
            <w:r w:rsidRPr="00642E36">
              <w:rPr>
                <w:rFonts w:ascii="Arial" w:hAnsi="Arial" w:cs="Arial"/>
                <w:sz w:val="20"/>
                <w:szCs w:val="20"/>
              </w:rPr>
              <w:t xml:space="preserve">Materials developed by technical experts </w:t>
            </w:r>
            <w:r w:rsidR="00751B76">
              <w:rPr>
                <w:rFonts w:ascii="Arial" w:hAnsi="Arial" w:cs="Arial"/>
                <w:sz w:val="20"/>
                <w:szCs w:val="20"/>
              </w:rPr>
              <w:t>to ensure accuracy</w:t>
            </w:r>
          </w:p>
          <w:p w:rsidR="00F80344" w:rsidRPr="00642E36" w:rsidRDefault="00F80344" w:rsidP="00462D92">
            <w:pPr>
              <w:pStyle w:val="ListParagraph"/>
              <w:numPr>
                <w:ilvl w:val="0"/>
                <w:numId w:val="16"/>
              </w:numPr>
              <w:rPr>
                <w:rFonts w:ascii="Arial" w:hAnsi="Arial" w:cs="Arial"/>
                <w:sz w:val="20"/>
                <w:szCs w:val="20"/>
              </w:rPr>
            </w:pPr>
            <w:r w:rsidRPr="00642E36">
              <w:rPr>
                <w:rFonts w:ascii="Arial" w:hAnsi="Arial" w:cs="Arial"/>
                <w:sz w:val="20"/>
                <w:szCs w:val="20"/>
              </w:rPr>
              <w:t>Materials developed for the website are user-tested to ensure that communication i</w:t>
            </w:r>
            <w:r w:rsidR="00751B76">
              <w:rPr>
                <w:rFonts w:ascii="Arial" w:hAnsi="Arial" w:cs="Arial"/>
                <w:sz w:val="20"/>
                <w:szCs w:val="20"/>
              </w:rPr>
              <w:t>s clear, targeted and effective</w:t>
            </w:r>
            <w:r w:rsidRPr="00642E36">
              <w:rPr>
                <w:rFonts w:ascii="Arial" w:hAnsi="Arial" w:cs="Arial"/>
                <w:sz w:val="20"/>
                <w:szCs w:val="20"/>
              </w:rPr>
              <w:t xml:space="preserve">  </w:t>
            </w:r>
          </w:p>
        </w:tc>
      </w:tr>
      <w:tr w:rsidR="00F80344" w:rsidRPr="00881686" w:rsidTr="00720938">
        <w:trPr>
          <w:trHeight w:val="1846"/>
        </w:trPr>
        <w:tc>
          <w:tcPr>
            <w:tcW w:w="4077" w:type="dxa"/>
            <w:tcBorders>
              <w:bottom w:val="nil"/>
            </w:tcBorders>
            <w:shd w:val="clear" w:color="auto" w:fill="DAEEF3" w:themeFill="accent5" w:themeFillTint="33"/>
          </w:tcPr>
          <w:p w:rsidR="00F80344" w:rsidRPr="00642E36" w:rsidRDefault="00F80344" w:rsidP="00642E36">
            <w:pPr>
              <w:rPr>
                <w:rFonts w:ascii="Arial" w:hAnsi="Arial" w:cs="Arial"/>
                <w:sz w:val="20"/>
                <w:szCs w:val="20"/>
              </w:rPr>
            </w:pPr>
            <w:r w:rsidRPr="00642E36">
              <w:rPr>
                <w:rFonts w:ascii="Arial" w:hAnsi="Arial" w:cs="Arial"/>
                <w:sz w:val="20"/>
                <w:szCs w:val="20"/>
              </w:rPr>
              <w:t>Self-service tools and resources assist regulated entities comply with their workplace obligations</w:t>
            </w:r>
            <w:r w:rsidR="007C45BB" w:rsidRPr="00642E36">
              <w:rPr>
                <w:rFonts w:ascii="Arial" w:hAnsi="Arial" w:cs="Arial"/>
                <w:sz w:val="20"/>
                <w:szCs w:val="20"/>
              </w:rPr>
              <w:t>.</w:t>
            </w:r>
          </w:p>
        </w:tc>
        <w:tc>
          <w:tcPr>
            <w:tcW w:w="5165" w:type="dxa"/>
            <w:tcBorders>
              <w:bottom w:val="nil"/>
            </w:tcBorders>
            <w:shd w:val="clear" w:color="auto" w:fill="DAEEF3" w:themeFill="accent5" w:themeFillTint="33"/>
          </w:tcPr>
          <w:p w:rsidR="00F80344" w:rsidRPr="00642E36" w:rsidRDefault="00F80344" w:rsidP="00642E36">
            <w:pPr>
              <w:pStyle w:val="ListParagraph"/>
              <w:numPr>
                <w:ilvl w:val="0"/>
                <w:numId w:val="16"/>
              </w:numPr>
              <w:rPr>
                <w:rFonts w:ascii="Arial" w:hAnsi="Arial" w:cs="Arial"/>
                <w:sz w:val="20"/>
                <w:szCs w:val="20"/>
              </w:rPr>
            </w:pPr>
            <w:r w:rsidRPr="00642E36">
              <w:rPr>
                <w:rFonts w:ascii="Arial" w:hAnsi="Arial" w:cs="Arial"/>
                <w:sz w:val="20"/>
                <w:szCs w:val="20"/>
              </w:rPr>
              <w:t xml:space="preserve">My account enables </w:t>
            </w:r>
            <w:r w:rsidR="00F65208">
              <w:rPr>
                <w:rFonts w:ascii="Arial" w:hAnsi="Arial" w:cs="Arial"/>
                <w:sz w:val="20"/>
                <w:szCs w:val="20"/>
              </w:rPr>
              <w:t>customers</w:t>
            </w:r>
            <w:r w:rsidR="00F65208" w:rsidRPr="00642E36">
              <w:rPr>
                <w:rFonts w:ascii="Arial" w:hAnsi="Arial" w:cs="Arial"/>
                <w:sz w:val="20"/>
                <w:szCs w:val="20"/>
              </w:rPr>
              <w:t xml:space="preserve"> </w:t>
            </w:r>
            <w:r w:rsidRPr="00642E36">
              <w:rPr>
                <w:rFonts w:ascii="Arial" w:hAnsi="Arial" w:cs="Arial"/>
                <w:sz w:val="20"/>
                <w:szCs w:val="20"/>
              </w:rPr>
              <w:t>to store</w:t>
            </w:r>
            <w:r w:rsidR="00F65208">
              <w:rPr>
                <w:rFonts w:ascii="Arial" w:hAnsi="Arial" w:cs="Arial"/>
                <w:sz w:val="20"/>
                <w:szCs w:val="20"/>
              </w:rPr>
              <w:t xml:space="preserve"> </w:t>
            </w:r>
            <w:r w:rsidRPr="00642E36">
              <w:rPr>
                <w:rFonts w:ascii="Arial" w:hAnsi="Arial" w:cs="Arial"/>
                <w:sz w:val="20"/>
                <w:szCs w:val="20"/>
              </w:rPr>
              <w:t xml:space="preserve">tailored </w:t>
            </w:r>
            <w:r w:rsidR="00F65208">
              <w:rPr>
                <w:rFonts w:ascii="Arial" w:hAnsi="Arial" w:cs="Arial"/>
                <w:sz w:val="20"/>
                <w:szCs w:val="20"/>
              </w:rPr>
              <w:t>information</w:t>
            </w:r>
            <w:r w:rsidRPr="00642E36">
              <w:rPr>
                <w:rFonts w:ascii="Arial" w:hAnsi="Arial" w:cs="Arial"/>
                <w:sz w:val="20"/>
                <w:szCs w:val="20"/>
              </w:rPr>
              <w:t xml:space="preserve"> </w:t>
            </w:r>
          </w:p>
          <w:p w:rsidR="00F65208" w:rsidRPr="00642E36" w:rsidRDefault="00F80344" w:rsidP="00642E36">
            <w:pPr>
              <w:pStyle w:val="ListParagraph"/>
              <w:numPr>
                <w:ilvl w:val="0"/>
                <w:numId w:val="16"/>
              </w:numPr>
              <w:rPr>
                <w:rFonts w:ascii="Arial" w:hAnsi="Arial" w:cs="Arial"/>
                <w:sz w:val="20"/>
                <w:szCs w:val="20"/>
              </w:rPr>
            </w:pPr>
            <w:r w:rsidRPr="00642E36">
              <w:rPr>
                <w:rFonts w:ascii="Arial" w:hAnsi="Arial" w:cs="Arial"/>
                <w:sz w:val="20"/>
                <w:szCs w:val="20"/>
              </w:rPr>
              <w:t>PACT provides calculations on pay, leave entitlements, notice and redundancy and shift work rates</w:t>
            </w:r>
          </w:p>
          <w:p w:rsidR="00F80344" w:rsidRPr="00642E36" w:rsidRDefault="00F80344" w:rsidP="00751B76">
            <w:pPr>
              <w:pStyle w:val="ListParagraph"/>
              <w:numPr>
                <w:ilvl w:val="0"/>
                <w:numId w:val="16"/>
              </w:numPr>
              <w:rPr>
                <w:rFonts w:ascii="Arial" w:hAnsi="Arial" w:cs="Arial"/>
                <w:sz w:val="20"/>
                <w:szCs w:val="20"/>
              </w:rPr>
            </w:pPr>
            <w:r w:rsidRPr="00D75649">
              <w:rPr>
                <w:rFonts w:ascii="Arial" w:hAnsi="Arial" w:cs="Arial"/>
                <w:sz w:val="20"/>
                <w:szCs w:val="20"/>
              </w:rPr>
              <w:t xml:space="preserve">Online learning courses cover topics </w:t>
            </w:r>
            <w:r w:rsidR="00751B76">
              <w:rPr>
                <w:rFonts w:ascii="Arial" w:hAnsi="Arial" w:cs="Arial"/>
                <w:sz w:val="20"/>
                <w:szCs w:val="20"/>
              </w:rPr>
              <w:t xml:space="preserve">ranging </w:t>
            </w:r>
            <w:r w:rsidRPr="00D75649">
              <w:rPr>
                <w:rFonts w:ascii="Arial" w:hAnsi="Arial" w:cs="Arial"/>
                <w:sz w:val="20"/>
                <w:szCs w:val="20"/>
              </w:rPr>
              <w:t xml:space="preserve">from difficult </w:t>
            </w:r>
            <w:r w:rsidRPr="00642E36">
              <w:rPr>
                <w:rFonts w:ascii="Arial" w:hAnsi="Arial" w:cs="Arial"/>
                <w:sz w:val="20"/>
                <w:szCs w:val="20"/>
              </w:rPr>
              <w:t xml:space="preserve">conversations in the workplace to managing </w:t>
            </w:r>
            <w:r w:rsidR="00751B76">
              <w:rPr>
                <w:rFonts w:ascii="Arial" w:hAnsi="Arial" w:cs="Arial"/>
                <w:sz w:val="20"/>
                <w:szCs w:val="20"/>
              </w:rPr>
              <w:t>performance</w:t>
            </w:r>
          </w:p>
        </w:tc>
      </w:tr>
      <w:tr w:rsidR="00F80344" w:rsidRPr="00881686" w:rsidTr="00F80344">
        <w:tc>
          <w:tcPr>
            <w:tcW w:w="4077" w:type="dxa"/>
            <w:tcBorders>
              <w:top w:val="nil"/>
              <w:bottom w:val="single" w:sz="2" w:space="0" w:color="4BACC6" w:themeColor="accent5"/>
            </w:tcBorders>
          </w:tcPr>
          <w:p w:rsidR="00F80344" w:rsidRPr="00642E36" w:rsidRDefault="00F80344" w:rsidP="00642E36">
            <w:pPr>
              <w:rPr>
                <w:rFonts w:ascii="Arial" w:hAnsi="Arial" w:cs="Arial"/>
                <w:sz w:val="20"/>
                <w:szCs w:val="20"/>
              </w:rPr>
            </w:pPr>
            <w:r w:rsidRPr="00642E36">
              <w:rPr>
                <w:rFonts w:ascii="Arial" w:hAnsi="Arial" w:cs="Arial"/>
                <w:sz w:val="20"/>
                <w:szCs w:val="20"/>
              </w:rPr>
              <w:t>Fair Work Infoline / Small Business Helpline</w:t>
            </w:r>
            <w:r w:rsidR="007C45BB" w:rsidRPr="00642E36">
              <w:rPr>
                <w:rFonts w:ascii="Arial" w:hAnsi="Arial" w:cs="Arial"/>
                <w:sz w:val="20"/>
                <w:szCs w:val="20"/>
              </w:rPr>
              <w:t xml:space="preserve"> are available 8 a.m. to </w:t>
            </w:r>
            <w:r w:rsidR="009C7256">
              <w:rPr>
                <w:rFonts w:ascii="Arial" w:hAnsi="Arial" w:cs="Arial"/>
                <w:sz w:val="20"/>
                <w:szCs w:val="20"/>
              </w:rPr>
              <w:t xml:space="preserve">5.30 </w:t>
            </w:r>
            <w:r w:rsidR="007C45BB" w:rsidRPr="00642E36">
              <w:rPr>
                <w:rFonts w:ascii="Arial" w:hAnsi="Arial" w:cs="Arial"/>
                <w:sz w:val="20"/>
                <w:szCs w:val="20"/>
              </w:rPr>
              <w:t>p.m., Monday to Friday.</w:t>
            </w:r>
          </w:p>
        </w:tc>
        <w:tc>
          <w:tcPr>
            <w:tcW w:w="5165" w:type="dxa"/>
            <w:tcBorders>
              <w:top w:val="nil"/>
              <w:bottom w:val="single" w:sz="2" w:space="0" w:color="4BACC6" w:themeColor="accent5"/>
            </w:tcBorders>
          </w:tcPr>
          <w:p w:rsidR="007C45BB" w:rsidRPr="00642E36" w:rsidRDefault="007C45BB" w:rsidP="00642E36">
            <w:pPr>
              <w:pStyle w:val="ListParagraph"/>
              <w:numPr>
                <w:ilvl w:val="0"/>
                <w:numId w:val="16"/>
              </w:numPr>
              <w:rPr>
                <w:rFonts w:ascii="Arial" w:hAnsi="Arial" w:cs="Arial"/>
                <w:sz w:val="20"/>
                <w:szCs w:val="20"/>
              </w:rPr>
            </w:pPr>
            <w:r w:rsidRPr="00642E36">
              <w:rPr>
                <w:rFonts w:ascii="Arial" w:hAnsi="Arial" w:cs="Arial"/>
                <w:sz w:val="20"/>
                <w:szCs w:val="20"/>
              </w:rPr>
              <w:t xml:space="preserve">General information and assistance is provided to the </w:t>
            </w:r>
            <w:r w:rsidR="00D26096">
              <w:rPr>
                <w:rFonts w:ascii="Arial" w:hAnsi="Arial" w:cs="Arial"/>
                <w:sz w:val="20"/>
                <w:szCs w:val="20"/>
              </w:rPr>
              <w:t>community</w:t>
            </w:r>
          </w:p>
          <w:p w:rsidR="00F80344" w:rsidRPr="00642E36" w:rsidRDefault="00F80344" w:rsidP="00642E36">
            <w:pPr>
              <w:pStyle w:val="ListParagraph"/>
              <w:numPr>
                <w:ilvl w:val="0"/>
                <w:numId w:val="16"/>
              </w:numPr>
              <w:rPr>
                <w:rFonts w:ascii="Arial" w:hAnsi="Arial" w:cs="Arial"/>
                <w:sz w:val="20"/>
                <w:szCs w:val="20"/>
              </w:rPr>
            </w:pPr>
            <w:r w:rsidRPr="00642E36">
              <w:rPr>
                <w:rFonts w:ascii="Arial" w:hAnsi="Arial" w:cs="Arial"/>
                <w:color w:val="231F20"/>
                <w:sz w:val="20"/>
                <w:szCs w:val="20"/>
              </w:rPr>
              <w:t xml:space="preserve">Dedicated helpline to assist small business </w:t>
            </w:r>
            <w:r w:rsidR="00F65208">
              <w:rPr>
                <w:rFonts w:ascii="Arial" w:hAnsi="Arial" w:cs="Arial"/>
                <w:color w:val="231F20"/>
                <w:sz w:val="20"/>
                <w:szCs w:val="20"/>
              </w:rPr>
              <w:t>owners</w:t>
            </w:r>
            <w:r w:rsidR="00F65208" w:rsidRPr="00642E36">
              <w:rPr>
                <w:rFonts w:ascii="Arial" w:hAnsi="Arial" w:cs="Arial"/>
                <w:color w:val="231F20"/>
                <w:sz w:val="20"/>
                <w:szCs w:val="20"/>
              </w:rPr>
              <w:t xml:space="preserve"> </w:t>
            </w:r>
            <w:r w:rsidRPr="00642E36">
              <w:rPr>
                <w:rFonts w:ascii="Arial" w:hAnsi="Arial" w:cs="Arial"/>
                <w:color w:val="231F20"/>
                <w:sz w:val="20"/>
                <w:szCs w:val="20"/>
              </w:rPr>
              <w:t xml:space="preserve">meet their workplace obligations, </w:t>
            </w:r>
            <w:r w:rsidR="00F65208">
              <w:rPr>
                <w:rFonts w:ascii="Arial" w:hAnsi="Arial" w:cs="Arial"/>
                <w:color w:val="231F20"/>
                <w:sz w:val="20"/>
                <w:szCs w:val="20"/>
              </w:rPr>
              <w:t xml:space="preserve">reducing their </w:t>
            </w:r>
            <w:r w:rsidR="00751B76">
              <w:rPr>
                <w:rFonts w:ascii="Arial" w:hAnsi="Arial" w:cs="Arial"/>
                <w:color w:val="231F20"/>
                <w:sz w:val="20"/>
                <w:szCs w:val="20"/>
              </w:rPr>
              <w:t>waiting time</w:t>
            </w:r>
          </w:p>
        </w:tc>
      </w:tr>
    </w:tbl>
    <w:p w:rsidR="00AE3F2C" w:rsidRDefault="00AE3F2C" w:rsidP="00642E36">
      <w:pPr>
        <w:spacing w:after="0" w:line="240" w:lineRule="auto"/>
        <w:rPr>
          <w:rFonts w:ascii="Arial" w:hAnsi="Arial" w:cs="Arial"/>
          <w:sz w:val="20"/>
          <w:szCs w:val="20"/>
        </w:rPr>
      </w:pPr>
    </w:p>
    <w:p w:rsidR="00F80344" w:rsidRPr="00F80344" w:rsidRDefault="00F80344"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F80344" w:rsidRDefault="00F80344" w:rsidP="00642E36">
      <w:pPr>
        <w:spacing w:after="0" w:line="240" w:lineRule="auto"/>
        <w:rPr>
          <w:rFonts w:ascii="Arial" w:hAnsi="Arial" w:cs="Arial"/>
          <w:sz w:val="20"/>
          <w:szCs w:val="20"/>
        </w:rPr>
      </w:pPr>
    </w:p>
    <w:p w:rsidR="00F80344" w:rsidRDefault="00F80344" w:rsidP="00642E36">
      <w:pPr>
        <w:spacing w:after="0" w:line="240" w:lineRule="auto"/>
        <w:rPr>
          <w:rFonts w:ascii="Arial" w:hAnsi="Arial" w:cs="Arial"/>
          <w:sz w:val="20"/>
          <w:szCs w:val="20"/>
        </w:rPr>
      </w:pPr>
      <w:r>
        <w:rPr>
          <w:rFonts w:ascii="Arial" w:hAnsi="Arial" w:cs="Arial"/>
          <w:sz w:val="20"/>
          <w:szCs w:val="20"/>
        </w:rPr>
        <w:t xml:space="preserve">The following case studies demonstrate how the FWO has achieved this measure (see </w:t>
      </w:r>
      <w:r w:rsidRPr="00F80344">
        <w:rPr>
          <w:rFonts w:ascii="Arial" w:hAnsi="Arial" w:cs="Arial"/>
          <w:b/>
          <w:sz w:val="20"/>
          <w:szCs w:val="20"/>
        </w:rPr>
        <w:t>Appendix</w:t>
      </w:r>
      <w:r>
        <w:rPr>
          <w:rFonts w:ascii="Arial" w:hAnsi="Arial" w:cs="Arial"/>
          <w:sz w:val="20"/>
          <w:szCs w:val="20"/>
        </w:rPr>
        <w:t xml:space="preserve">): </w:t>
      </w:r>
    </w:p>
    <w:p w:rsidR="00881686" w:rsidRPr="00881686" w:rsidRDefault="00881686" w:rsidP="00642E36">
      <w:pPr>
        <w:spacing w:after="0" w:line="240" w:lineRule="auto"/>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Pr>
      <w:tblGrid>
        <w:gridCol w:w="1384"/>
        <w:gridCol w:w="1142"/>
        <w:gridCol w:w="1143"/>
        <w:gridCol w:w="1142"/>
        <w:gridCol w:w="1143"/>
        <w:gridCol w:w="1142"/>
        <w:gridCol w:w="1143"/>
        <w:gridCol w:w="1123"/>
      </w:tblGrid>
      <w:tr w:rsidR="00881686" w:rsidRPr="00881686" w:rsidTr="00951510">
        <w:trPr>
          <w:cantSplit/>
          <w:trHeight w:val="454"/>
          <w:tblHeader/>
        </w:trPr>
        <w:tc>
          <w:tcPr>
            <w:tcW w:w="1384" w:type="dxa"/>
            <w:shd w:val="clear" w:color="auto" w:fill="DAEEF3" w:themeFill="accent5" w:themeFillTint="33"/>
            <w:vAlign w:val="center"/>
          </w:tcPr>
          <w:p w:rsidR="00881686" w:rsidRPr="00881686" w:rsidRDefault="007C45BB" w:rsidP="00642E36">
            <w:pPr>
              <w:rPr>
                <w:rFonts w:ascii="Myriad Pro" w:hAnsi="Myriad Pro" w:cs="Arial"/>
                <w:color w:val="31849B" w:themeColor="accent5" w:themeShade="BF"/>
              </w:rPr>
            </w:pPr>
            <w:r>
              <w:rPr>
                <w:rFonts w:ascii="Myriad Pro" w:hAnsi="Myriad Pro" w:cs="Arial"/>
                <w:color w:val="31849B" w:themeColor="accent5" w:themeShade="BF"/>
              </w:rPr>
              <w:t>Case study</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1</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2</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3</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4</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5</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6</w:t>
            </w:r>
          </w:p>
        </w:tc>
        <w:tc>
          <w:tcPr>
            <w:tcW w:w="112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7</w:t>
            </w:r>
          </w:p>
        </w:tc>
      </w:tr>
      <w:tr w:rsidR="00881686" w:rsidRPr="00881686" w:rsidTr="00881686">
        <w:trPr>
          <w:cantSplit/>
          <w:trHeight w:val="454"/>
        </w:trPr>
        <w:tc>
          <w:tcPr>
            <w:tcW w:w="1384" w:type="dxa"/>
            <w:vAlign w:val="center"/>
          </w:tcPr>
          <w:p w:rsidR="00881686" w:rsidRPr="00881686" w:rsidRDefault="007C45BB" w:rsidP="00642E36">
            <w:pPr>
              <w:jc w:val="center"/>
              <w:rPr>
                <w:rFonts w:ascii="Myriad Pro" w:hAnsi="Myriad Pro" w:cs="Arial"/>
              </w:rPr>
            </w:pPr>
            <w:r>
              <w:rPr>
                <w:rFonts w:ascii="Myriad Pro" w:hAnsi="Myriad Pro" w:cs="Arial"/>
              </w:rPr>
              <w:t>Measure 2.1</w:t>
            </w:r>
          </w:p>
        </w:tc>
        <w:tc>
          <w:tcPr>
            <w:tcW w:w="1142"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9C7256" w:rsidP="00642E36">
            <w:pPr>
              <w:jc w:val="center"/>
              <w:rPr>
                <w:rFonts w:ascii="Myriad Pro" w:hAnsi="Myriad Pro" w:cs="Arial"/>
              </w:rPr>
            </w:pPr>
            <w:r w:rsidRPr="00881686">
              <w:rPr>
                <w:rFonts w:ascii="Myriad Pro" w:hAnsi="Myriad Pro" w:cs="Arial"/>
              </w:rPr>
              <w:sym w:font="Wingdings 2" w:char="F050"/>
            </w:r>
          </w:p>
        </w:tc>
        <w:tc>
          <w:tcPr>
            <w:tcW w:w="1123" w:type="dxa"/>
            <w:vAlign w:val="center"/>
          </w:tcPr>
          <w:p w:rsidR="00881686" w:rsidRPr="00881686" w:rsidRDefault="00881686" w:rsidP="00642E36">
            <w:pPr>
              <w:jc w:val="center"/>
              <w:rPr>
                <w:rFonts w:ascii="Myriad Pro" w:hAnsi="Myriad Pro" w:cs="Arial"/>
              </w:rPr>
            </w:pPr>
          </w:p>
        </w:tc>
      </w:tr>
    </w:tbl>
    <w:p w:rsidR="00AE3F2C" w:rsidRDefault="00AE3F2C" w:rsidP="00AE3F2C"/>
    <w:p w:rsidR="00AE3F2C" w:rsidRDefault="00AE3F2C" w:rsidP="00AE3F2C"/>
    <w:p w:rsidR="00AE3F2C" w:rsidRDefault="00AE3F2C" w:rsidP="00AE3F2C"/>
    <w:p w:rsidR="00AE3F2C" w:rsidRDefault="00AE3F2C" w:rsidP="00AE3F2C"/>
    <w:p w:rsidR="00AE3F2C" w:rsidRDefault="00AE3F2C" w:rsidP="00AE3F2C"/>
    <w:p w:rsidR="00727533" w:rsidRDefault="00727533" w:rsidP="00AE3F2C"/>
    <w:p w:rsidR="004322A4" w:rsidRPr="00886868" w:rsidRDefault="00EF31DC" w:rsidP="00642E36">
      <w:pPr>
        <w:pStyle w:val="Heading2"/>
        <w:spacing w:before="0" w:line="240" w:lineRule="auto"/>
        <w:rPr>
          <w:rFonts w:ascii="Myriad Pro" w:hAnsi="Myriad Pro"/>
          <w:b w:val="0"/>
          <w:i/>
          <w:color w:val="31849B" w:themeColor="accent5" w:themeShade="BF"/>
          <w:sz w:val="25"/>
          <w:szCs w:val="25"/>
        </w:rPr>
      </w:pPr>
      <w:bookmarkStart w:id="8" w:name="_Toc460917301"/>
      <w:r>
        <w:rPr>
          <w:rFonts w:ascii="Myriad Pro" w:hAnsi="Myriad Pro"/>
          <w:b w:val="0"/>
          <w:i/>
          <w:color w:val="31849B" w:themeColor="accent5" w:themeShade="BF"/>
          <w:sz w:val="25"/>
          <w:szCs w:val="25"/>
        </w:rPr>
        <w:lastRenderedPageBreak/>
        <w:t>M</w:t>
      </w:r>
      <w:r w:rsidR="004322A4" w:rsidRPr="00886868">
        <w:rPr>
          <w:rFonts w:ascii="Myriad Pro" w:hAnsi="Myriad Pro"/>
          <w:b w:val="0"/>
          <w:i/>
          <w:color w:val="31849B" w:themeColor="accent5" w:themeShade="BF"/>
          <w:sz w:val="25"/>
          <w:szCs w:val="25"/>
        </w:rPr>
        <w:t>easure 2.2 – The FWO consults with regulated entities prior to implementing key strategies.</w:t>
      </w:r>
      <w:bookmarkEnd w:id="8"/>
    </w:p>
    <w:p w:rsidR="004322A4" w:rsidRDefault="004322A4" w:rsidP="00642E36">
      <w:pPr>
        <w:spacing w:after="0" w:line="240" w:lineRule="auto"/>
        <w:rPr>
          <w:rFonts w:ascii="Arial" w:hAnsi="Arial" w:cs="Arial"/>
          <w:sz w:val="20"/>
          <w:szCs w:val="20"/>
        </w:rPr>
      </w:pPr>
    </w:p>
    <w:p w:rsidR="007C45BB" w:rsidRDefault="009C7256" w:rsidP="00642E36">
      <w:pPr>
        <w:spacing w:after="0" w:line="240" w:lineRule="auto"/>
        <w:rPr>
          <w:rFonts w:ascii="Arial" w:hAnsi="Arial" w:cs="Arial"/>
          <w:sz w:val="20"/>
          <w:szCs w:val="20"/>
        </w:rPr>
      </w:pPr>
      <w:r>
        <w:rPr>
          <w:rFonts w:ascii="Arial" w:hAnsi="Arial" w:cs="Arial"/>
          <w:sz w:val="20"/>
          <w:szCs w:val="20"/>
        </w:rPr>
        <w:t xml:space="preserve">The FWO is committed to fostering relationships with </w:t>
      </w:r>
      <w:r w:rsidR="00F65208">
        <w:rPr>
          <w:rFonts w:ascii="Arial" w:hAnsi="Arial" w:cs="Arial"/>
          <w:sz w:val="20"/>
          <w:szCs w:val="20"/>
        </w:rPr>
        <w:t>regulated entities</w:t>
      </w:r>
      <w:r>
        <w:rPr>
          <w:rFonts w:ascii="Arial" w:hAnsi="Arial" w:cs="Arial"/>
          <w:sz w:val="20"/>
          <w:szCs w:val="20"/>
        </w:rPr>
        <w:t xml:space="preserve"> by engaging in consultation prior to implementing key strategies. </w:t>
      </w:r>
      <w:r w:rsidR="007C45BB">
        <w:rPr>
          <w:rFonts w:ascii="Arial" w:hAnsi="Arial" w:cs="Arial"/>
          <w:sz w:val="20"/>
          <w:szCs w:val="20"/>
        </w:rPr>
        <w:t xml:space="preserve">Consultation enables the FWO to </w:t>
      </w:r>
      <w:r w:rsidR="007C45BB" w:rsidRPr="007C45BB">
        <w:rPr>
          <w:rFonts w:ascii="Arial" w:hAnsi="Arial" w:cs="Arial"/>
          <w:sz w:val="20"/>
          <w:szCs w:val="20"/>
        </w:rPr>
        <w:t>consider and understand the impact of changes in policy, procedures or service standards on regulated entities.</w:t>
      </w:r>
    </w:p>
    <w:p w:rsidR="009D2A87" w:rsidRDefault="009D2A87" w:rsidP="00642E36">
      <w:pPr>
        <w:spacing w:after="0" w:line="240" w:lineRule="auto"/>
        <w:rPr>
          <w:rFonts w:ascii="Arial" w:hAnsi="Arial" w:cs="Arial"/>
          <w:sz w:val="20"/>
          <w:szCs w:val="20"/>
        </w:rPr>
      </w:pPr>
    </w:p>
    <w:p w:rsidR="00881686" w:rsidRPr="00881686" w:rsidRDefault="009C7256" w:rsidP="00642E36">
      <w:pPr>
        <w:spacing w:after="0" w:line="240" w:lineRule="auto"/>
        <w:rPr>
          <w:rFonts w:ascii="Arial" w:hAnsi="Arial" w:cs="Arial"/>
          <w:sz w:val="20"/>
          <w:szCs w:val="20"/>
        </w:rPr>
      </w:pPr>
      <w:r>
        <w:rPr>
          <w:rFonts w:ascii="Arial" w:hAnsi="Arial" w:cs="Arial"/>
          <w:sz w:val="20"/>
          <w:szCs w:val="20"/>
        </w:rPr>
        <w:t xml:space="preserve">One of the key areas in which the FWO consults extensively with regulated entities in order to inform strategy development is its work with the </w:t>
      </w:r>
      <w:r w:rsidRPr="00881686">
        <w:rPr>
          <w:rFonts w:ascii="Arial" w:hAnsi="Arial" w:cs="Arial"/>
          <w:sz w:val="20"/>
          <w:szCs w:val="20"/>
        </w:rPr>
        <w:t>small business community</w:t>
      </w:r>
      <w:r>
        <w:rPr>
          <w:rFonts w:ascii="Arial" w:hAnsi="Arial" w:cs="Arial"/>
          <w:sz w:val="20"/>
          <w:szCs w:val="20"/>
        </w:rPr>
        <w:t xml:space="preserve">. </w:t>
      </w:r>
      <w:r w:rsidR="00881686" w:rsidRPr="00881686">
        <w:rPr>
          <w:rFonts w:ascii="Arial" w:hAnsi="Arial" w:cs="Arial"/>
          <w:sz w:val="20"/>
          <w:szCs w:val="20"/>
        </w:rPr>
        <w:t xml:space="preserve">As part of its commitment to establishing productive small business relationships to reduce regulatory burden, the </w:t>
      </w:r>
      <w:proofErr w:type="spellStart"/>
      <w:r w:rsidR="00881686" w:rsidRPr="00881686">
        <w:rPr>
          <w:rFonts w:ascii="Arial" w:hAnsi="Arial" w:cs="Arial"/>
          <w:sz w:val="20"/>
          <w:szCs w:val="20"/>
        </w:rPr>
        <w:t>FWO’s</w:t>
      </w:r>
      <w:proofErr w:type="spellEnd"/>
      <w:r w:rsidR="00881686" w:rsidRPr="00881686">
        <w:rPr>
          <w:rFonts w:ascii="Arial" w:hAnsi="Arial" w:cs="Arial"/>
          <w:sz w:val="20"/>
          <w:szCs w:val="20"/>
        </w:rPr>
        <w:t xml:space="preserve"> Small Business Strategy team held a Small Business Forum</w:t>
      </w:r>
      <w:r w:rsidR="00462D92">
        <w:rPr>
          <w:rFonts w:ascii="Arial" w:hAnsi="Arial" w:cs="Arial"/>
          <w:sz w:val="20"/>
          <w:szCs w:val="20"/>
        </w:rPr>
        <w:t xml:space="preserve"> on 10 November 2015</w:t>
      </w:r>
      <w:r w:rsidR="00881686" w:rsidRPr="00881686">
        <w:rPr>
          <w:rFonts w:ascii="Arial" w:hAnsi="Arial" w:cs="Arial"/>
          <w:sz w:val="20"/>
          <w:szCs w:val="20"/>
        </w:rPr>
        <w:t>, titled ‘Intermediaries: Linking Government and Small Business</w:t>
      </w:r>
      <w:r w:rsidR="00D26096">
        <w:rPr>
          <w:rFonts w:ascii="Arial" w:hAnsi="Arial" w:cs="Arial"/>
          <w:sz w:val="20"/>
          <w:szCs w:val="20"/>
        </w:rPr>
        <w:t>’</w:t>
      </w:r>
      <w:r w:rsidR="00881686" w:rsidRPr="00881686">
        <w:rPr>
          <w:rFonts w:ascii="Arial" w:hAnsi="Arial" w:cs="Arial"/>
          <w:sz w:val="20"/>
          <w:szCs w:val="20"/>
        </w:rPr>
        <w:t xml:space="preserve"> </w:t>
      </w:r>
      <w:r w:rsidR="00F65208">
        <w:rPr>
          <w:rFonts w:ascii="Arial" w:hAnsi="Arial" w:cs="Arial"/>
          <w:sz w:val="20"/>
          <w:szCs w:val="20"/>
        </w:rPr>
        <w:t>(the Forum)</w:t>
      </w:r>
      <w:r w:rsidR="00881686" w:rsidRPr="00881686">
        <w:rPr>
          <w:rFonts w:ascii="Arial" w:hAnsi="Arial" w:cs="Arial"/>
          <w:sz w:val="20"/>
          <w:szCs w:val="20"/>
        </w:rPr>
        <w:t xml:space="preserve">.  Rather than focussing on traditional stakeholders, the FWO extended invitations to organisations </w:t>
      </w:r>
      <w:r w:rsidR="00F65208">
        <w:rPr>
          <w:rFonts w:ascii="Arial" w:hAnsi="Arial" w:cs="Arial"/>
          <w:sz w:val="20"/>
          <w:szCs w:val="20"/>
        </w:rPr>
        <w:t>that provide</w:t>
      </w:r>
      <w:r w:rsidR="00F65208" w:rsidRPr="00881686">
        <w:rPr>
          <w:rFonts w:ascii="Arial" w:hAnsi="Arial" w:cs="Arial"/>
          <w:sz w:val="20"/>
          <w:szCs w:val="20"/>
        </w:rPr>
        <w:t xml:space="preserve"> </w:t>
      </w:r>
      <w:r w:rsidR="00881686" w:rsidRPr="00881686">
        <w:rPr>
          <w:rFonts w:ascii="Arial" w:hAnsi="Arial" w:cs="Arial"/>
          <w:sz w:val="20"/>
          <w:szCs w:val="20"/>
        </w:rPr>
        <w:t>advisory services to small business</w:t>
      </w:r>
      <w:r w:rsidR="00F65208">
        <w:rPr>
          <w:rFonts w:ascii="Arial" w:hAnsi="Arial" w:cs="Arial"/>
          <w:sz w:val="20"/>
          <w:szCs w:val="20"/>
        </w:rPr>
        <w:t>. T</w:t>
      </w:r>
      <w:r w:rsidR="00881686" w:rsidRPr="00881686">
        <w:rPr>
          <w:rFonts w:ascii="Arial" w:hAnsi="Arial" w:cs="Arial"/>
          <w:sz w:val="20"/>
          <w:szCs w:val="20"/>
        </w:rPr>
        <w:t xml:space="preserve">his included accountants, payroll advisers, local councils and other small business advisers. </w:t>
      </w:r>
      <w:proofErr w:type="gramStart"/>
      <w:r w:rsidR="007C45BB">
        <w:rPr>
          <w:rFonts w:ascii="Arial" w:hAnsi="Arial" w:cs="Arial"/>
          <w:sz w:val="20"/>
          <w:szCs w:val="20"/>
        </w:rPr>
        <w:t xml:space="preserve">The Forum was attended by </w:t>
      </w:r>
      <w:r w:rsidR="00C23A6D">
        <w:rPr>
          <w:rFonts w:ascii="Arial" w:hAnsi="Arial" w:cs="Arial"/>
          <w:sz w:val="20"/>
          <w:szCs w:val="20"/>
        </w:rPr>
        <w:t xml:space="preserve">representatives of </w:t>
      </w:r>
      <w:r w:rsidR="00881686" w:rsidRPr="00881686">
        <w:rPr>
          <w:rFonts w:ascii="Arial" w:hAnsi="Arial" w:cs="Arial"/>
          <w:sz w:val="20"/>
          <w:szCs w:val="20"/>
        </w:rPr>
        <w:t xml:space="preserve">38 </w:t>
      </w:r>
      <w:r w:rsidR="00C23A6D">
        <w:rPr>
          <w:rFonts w:ascii="Arial" w:hAnsi="Arial" w:cs="Arial"/>
          <w:sz w:val="20"/>
          <w:szCs w:val="20"/>
        </w:rPr>
        <w:t>different advisory</w:t>
      </w:r>
      <w:r w:rsidR="00881686" w:rsidRPr="00881686">
        <w:rPr>
          <w:rFonts w:ascii="Arial" w:hAnsi="Arial" w:cs="Arial"/>
          <w:sz w:val="20"/>
          <w:szCs w:val="20"/>
        </w:rPr>
        <w:t xml:space="preserve"> organisations</w:t>
      </w:r>
      <w:proofErr w:type="gramEnd"/>
      <w:r w:rsidR="00881686" w:rsidRPr="00881686">
        <w:rPr>
          <w:rFonts w:ascii="Arial" w:hAnsi="Arial" w:cs="Arial"/>
          <w:sz w:val="20"/>
          <w:szCs w:val="20"/>
        </w:rPr>
        <w:t>.</w:t>
      </w:r>
    </w:p>
    <w:p w:rsidR="00881686" w:rsidRPr="00881686" w:rsidRDefault="00881686" w:rsidP="00642E36">
      <w:pPr>
        <w:spacing w:after="0" w:line="240" w:lineRule="auto"/>
        <w:rPr>
          <w:rFonts w:ascii="Arial" w:hAnsi="Arial" w:cs="Arial"/>
          <w:sz w:val="20"/>
          <w:szCs w:val="20"/>
        </w:rPr>
      </w:pPr>
    </w:p>
    <w:p w:rsidR="00881686" w:rsidRPr="00881686" w:rsidRDefault="00881686" w:rsidP="00642E36">
      <w:pPr>
        <w:spacing w:after="0" w:line="240" w:lineRule="auto"/>
        <w:rPr>
          <w:rFonts w:ascii="Arial" w:hAnsi="Arial" w:cs="Arial"/>
          <w:sz w:val="20"/>
          <w:szCs w:val="20"/>
        </w:rPr>
      </w:pPr>
      <w:r w:rsidRPr="00881686">
        <w:rPr>
          <w:rFonts w:ascii="Arial" w:hAnsi="Arial" w:cs="Arial"/>
          <w:sz w:val="20"/>
          <w:szCs w:val="20"/>
        </w:rPr>
        <w:t xml:space="preserve">The Forum addressed the important role of intermediaries in relation to small business, and explored opportunities for consultation, innovation and collaboration on strategies to assist the small business community. Attendees </w:t>
      </w:r>
      <w:proofErr w:type="gramStart"/>
      <w:r w:rsidRPr="00881686">
        <w:rPr>
          <w:rFonts w:ascii="Arial" w:hAnsi="Arial" w:cs="Arial"/>
          <w:sz w:val="20"/>
          <w:szCs w:val="20"/>
        </w:rPr>
        <w:t>were given</w:t>
      </w:r>
      <w:proofErr w:type="gramEnd"/>
      <w:r w:rsidRPr="00881686">
        <w:rPr>
          <w:rFonts w:ascii="Arial" w:hAnsi="Arial" w:cs="Arial"/>
          <w:sz w:val="20"/>
          <w:szCs w:val="20"/>
        </w:rPr>
        <w:t xml:space="preserve"> a platform to provide feedback and input into </w:t>
      </w:r>
      <w:proofErr w:type="spellStart"/>
      <w:r w:rsidRPr="00881686">
        <w:rPr>
          <w:rFonts w:ascii="Arial" w:hAnsi="Arial" w:cs="Arial"/>
          <w:sz w:val="20"/>
          <w:szCs w:val="20"/>
        </w:rPr>
        <w:t>FWO’s</w:t>
      </w:r>
      <w:proofErr w:type="spellEnd"/>
      <w:r w:rsidRPr="00881686">
        <w:rPr>
          <w:rFonts w:ascii="Arial" w:hAnsi="Arial" w:cs="Arial"/>
          <w:sz w:val="20"/>
          <w:szCs w:val="20"/>
        </w:rPr>
        <w:t xml:space="preserve"> current regulatory operations. This included feedback on current compliance practices, our approach to accessorial liability, </w:t>
      </w:r>
      <w:proofErr w:type="spellStart"/>
      <w:r w:rsidRPr="00881686">
        <w:rPr>
          <w:rFonts w:ascii="Arial" w:hAnsi="Arial" w:cs="Arial"/>
          <w:sz w:val="20"/>
          <w:szCs w:val="20"/>
        </w:rPr>
        <w:t>FWO’s</w:t>
      </w:r>
      <w:proofErr w:type="spellEnd"/>
      <w:r w:rsidRPr="00881686">
        <w:rPr>
          <w:rFonts w:ascii="Arial" w:hAnsi="Arial" w:cs="Arial"/>
          <w:sz w:val="20"/>
          <w:szCs w:val="20"/>
        </w:rPr>
        <w:t xml:space="preserve"> public messaging, and support for unaffiliated small businesses.  </w:t>
      </w:r>
    </w:p>
    <w:p w:rsidR="00881686" w:rsidRPr="00F65208" w:rsidRDefault="00881686" w:rsidP="00642E36">
      <w:pPr>
        <w:spacing w:after="0" w:line="240" w:lineRule="auto"/>
        <w:rPr>
          <w:rFonts w:ascii="Arial" w:hAnsi="Arial" w:cs="Arial"/>
          <w:sz w:val="20"/>
          <w:szCs w:val="20"/>
        </w:rPr>
      </w:pPr>
    </w:p>
    <w:p w:rsidR="00881686" w:rsidRPr="00D75649" w:rsidRDefault="00881686" w:rsidP="00D75649">
      <w:pPr>
        <w:pStyle w:val="Header"/>
        <w:rPr>
          <w:rFonts w:ascii="Arial" w:hAnsi="Arial" w:cs="Arial"/>
          <w:sz w:val="20"/>
          <w:szCs w:val="20"/>
        </w:rPr>
      </w:pPr>
      <w:r w:rsidRPr="00F65208">
        <w:rPr>
          <w:rFonts w:ascii="Arial" w:hAnsi="Arial" w:cs="Arial"/>
          <w:sz w:val="20"/>
          <w:szCs w:val="20"/>
        </w:rPr>
        <w:t>Building on the intelligence gathered in th</w:t>
      </w:r>
      <w:r w:rsidR="00F65208" w:rsidRPr="00F65208">
        <w:rPr>
          <w:rFonts w:ascii="Arial" w:hAnsi="Arial" w:cs="Arial"/>
          <w:sz w:val="20"/>
          <w:szCs w:val="20"/>
        </w:rPr>
        <w:t>e</w:t>
      </w:r>
      <w:r w:rsidRPr="00F65208">
        <w:rPr>
          <w:rFonts w:ascii="Arial" w:hAnsi="Arial" w:cs="Arial"/>
          <w:sz w:val="20"/>
          <w:szCs w:val="20"/>
        </w:rPr>
        <w:t xml:space="preserve"> Forum</w:t>
      </w:r>
      <w:r w:rsidR="00D26096" w:rsidRPr="00F65208">
        <w:rPr>
          <w:rFonts w:ascii="Arial" w:hAnsi="Arial" w:cs="Arial"/>
          <w:sz w:val="20"/>
          <w:szCs w:val="20"/>
        </w:rPr>
        <w:t>,</w:t>
      </w:r>
      <w:r w:rsidRPr="00F65208">
        <w:rPr>
          <w:rFonts w:ascii="Arial" w:hAnsi="Arial" w:cs="Arial"/>
          <w:sz w:val="20"/>
          <w:szCs w:val="20"/>
        </w:rPr>
        <w:t xml:space="preserve"> the FWO has commissioned research into specific areas of the </w:t>
      </w:r>
      <w:r w:rsidR="00F65208" w:rsidRPr="00F65208">
        <w:rPr>
          <w:rFonts w:ascii="Arial" w:hAnsi="Arial" w:cs="Arial"/>
          <w:sz w:val="20"/>
          <w:szCs w:val="20"/>
        </w:rPr>
        <w:t xml:space="preserve">small </w:t>
      </w:r>
      <w:r w:rsidRPr="00F65208">
        <w:rPr>
          <w:rFonts w:ascii="Arial" w:hAnsi="Arial" w:cs="Arial"/>
          <w:sz w:val="20"/>
          <w:szCs w:val="20"/>
        </w:rPr>
        <w:t>business community. This researc</w:t>
      </w:r>
      <w:r w:rsidRPr="00D75649">
        <w:rPr>
          <w:rFonts w:ascii="Arial" w:hAnsi="Arial" w:cs="Arial"/>
          <w:sz w:val="20"/>
          <w:szCs w:val="20"/>
        </w:rPr>
        <w:t xml:space="preserve">h aims to provide an increased awareness into </w:t>
      </w:r>
      <w:r w:rsidR="004912F7" w:rsidRPr="00D75649">
        <w:rPr>
          <w:rFonts w:ascii="Arial" w:hAnsi="Arial" w:cs="Arial"/>
          <w:sz w:val="20"/>
          <w:szCs w:val="20"/>
        </w:rPr>
        <w:t xml:space="preserve">the </w:t>
      </w:r>
      <w:r w:rsidRPr="00D75649">
        <w:rPr>
          <w:rFonts w:ascii="Arial" w:hAnsi="Arial" w:cs="Arial"/>
          <w:sz w:val="20"/>
          <w:szCs w:val="20"/>
        </w:rPr>
        <w:t>drive</w:t>
      </w:r>
      <w:r w:rsidR="007C45BB" w:rsidRPr="00D75649">
        <w:rPr>
          <w:rFonts w:ascii="Arial" w:hAnsi="Arial" w:cs="Arial"/>
          <w:sz w:val="20"/>
          <w:szCs w:val="20"/>
        </w:rPr>
        <w:t>r</w:t>
      </w:r>
      <w:r w:rsidRPr="00D75649">
        <w:rPr>
          <w:rFonts w:ascii="Arial" w:hAnsi="Arial" w:cs="Arial"/>
          <w:sz w:val="20"/>
          <w:szCs w:val="20"/>
        </w:rPr>
        <w:t xml:space="preserve">s of non-compliance and </w:t>
      </w:r>
      <w:r w:rsidR="00F65208">
        <w:rPr>
          <w:rFonts w:ascii="Arial" w:hAnsi="Arial" w:cs="Arial"/>
          <w:sz w:val="20"/>
          <w:szCs w:val="20"/>
        </w:rPr>
        <w:t xml:space="preserve">the </w:t>
      </w:r>
      <w:r w:rsidRPr="00D75649">
        <w:rPr>
          <w:rFonts w:ascii="Arial" w:hAnsi="Arial" w:cs="Arial"/>
          <w:sz w:val="20"/>
          <w:szCs w:val="20"/>
        </w:rPr>
        <w:t>potential barriers to compliance</w:t>
      </w:r>
      <w:r w:rsidR="00F65208">
        <w:rPr>
          <w:rFonts w:ascii="Arial" w:hAnsi="Arial" w:cs="Arial"/>
          <w:sz w:val="20"/>
          <w:szCs w:val="20"/>
        </w:rPr>
        <w:t xml:space="preserve">. </w:t>
      </w:r>
      <w:r w:rsidR="00462D92">
        <w:rPr>
          <w:rFonts w:ascii="Arial" w:hAnsi="Arial" w:cs="Arial"/>
          <w:sz w:val="20"/>
          <w:szCs w:val="20"/>
        </w:rPr>
        <w:t>This information</w:t>
      </w:r>
      <w:r w:rsidR="00F65208">
        <w:rPr>
          <w:rFonts w:ascii="Arial" w:hAnsi="Arial" w:cs="Arial"/>
          <w:sz w:val="20"/>
          <w:szCs w:val="20"/>
        </w:rPr>
        <w:t xml:space="preserve"> </w:t>
      </w:r>
      <w:proofErr w:type="gramStart"/>
      <w:r w:rsidR="00F65208">
        <w:rPr>
          <w:rFonts w:ascii="Arial" w:hAnsi="Arial" w:cs="Arial"/>
          <w:sz w:val="20"/>
          <w:szCs w:val="20"/>
        </w:rPr>
        <w:t>is currently being</w:t>
      </w:r>
      <w:r w:rsidR="00D26096" w:rsidRPr="00D75649">
        <w:rPr>
          <w:rFonts w:ascii="Arial" w:hAnsi="Arial" w:cs="Arial"/>
          <w:sz w:val="20"/>
          <w:szCs w:val="20"/>
        </w:rPr>
        <w:t xml:space="preserve"> </w:t>
      </w:r>
      <w:r w:rsidR="007C45BB" w:rsidRPr="00D75649">
        <w:rPr>
          <w:rFonts w:ascii="Arial" w:hAnsi="Arial" w:cs="Arial"/>
          <w:sz w:val="20"/>
          <w:szCs w:val="20"/>
        </w:rPr>
        <w:t>used</w:t>
      </w:r>
      <w:proofErr w:type="gramEnd"/>
      <w:r w:rsidR="007C45BB" w:rsidRPr="00D75649">
        <w:rPr>
          <w:rFonts w:ascii="Arial" w:hAnsi="Arial" w:cs="Arial"/>
          <w:sz w:val="20"/>
          <w:szCs w:val="20"/>
        </w:rPr>
        <w:t xml:space="preserve"> to </w:t>
      </w:r>
      <w:r w:rsidRPr="00D75649">
        <w:rPr>
          <w:rFonts w:ascii="Arial" w:hAnsi="Arial" w:cs="Arial"/>
          <w:sz w:val="20"/>
          <w:szCs w:val="20"/>
        </w:rPr>
        <w:t>enhance our service delivery model.</w:t>
      </w:r>
    </w:p>
    <w:p w:rsidR="00881686" w:rsidRDefault="00881686" w:rsidP="00642E36">
      <w:pPr>
        <w:spacing w:after="0" w:line="240" w:lineRule="auto"/>
        <w:rPr>
          <w:rFonts w:ascii="Arial" w:hAnsi="Arial" w:cs="Arial"/>
          <w:sz w:val="20"/>
          <w:szCs w:val="20"/>
        </w:rPr>
      </w:pPr>
    </w:p>
    <w:p w:rsidR="00881686" w:rsidRPr="004322A4" w:rsidRDefault="00881686" w:rsidP="00642E36">
      <w:pPr>
        <w:spacing w:after="0" w:line="240" w:lineRule="auto"/>
        <w:rPr>
          <w:rFonts w:ascii="Arial" w:hAnsi="Arial" w:cs="Arial"/>
          <w:sz w:val="20"/>
          <w:szCs w:val="20"/>
        </w:rPr>
      </w:pPr>
    </w:p>
    <w:p w:rsidR="00F80344" w:rsidRPr="00F80344" w:rsidRDefault="00F80344"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F80344" w:rsidRDefault="00F80344" w:rsidP="00642E36">
      <w:pPr>
        <w:spacing w:after="0" w:line="240" w:lineRule="auto"/>
        <w:rPr>
          <w:rFonts w:ascii="Arial" w:hAnsi="Arial" w:cs="Arial"/>
          <w:sz w:val="20"/>
          <w:szCs w:val="20"/>
        </w:rPr>
      </w:pPr>
    </w:p>
    <w:p w:rsidR="00F80344" w:rsidRDefault="00F80344" w:rsidP="00642E36">
      <w:pPr>
        <w:spacing w:after="0" w:line="240" w:lineRule="auto"/>
        <w:rPr>
          <w:rFonts w:ascii="Arial" w:hAnsi="Arial" w:cs="Arial"/>
          <w:sz w:val="20"/>
          <w:szCs w:val="20"/>
        </w:rPr>
      </w:pPr>
      <w:r>
        <w:rPr>
          <w:rFonts w:ascii="Arial" w:hAnsi="Arial" w:cs="Arial"/>
          <w:sz w:val="20"/>
          <w:szCs w:val="20"/>
        </w:rPr>
        <w:t xml:space="preserve">The following case study demonstrates how the FWO has achieved this measure (see </w:t>
      </w:r>
      <w:r w:rsidRPr="00F80344">
        <w:rPr>
          <w:rFonts w:ascii="Arial" w:hAnsi="Arial" w:cs="Arial"/>
          <w:b/>
          <w:sz w:val="20"/>
          <w:szCs w:val="20"/>
        </w:rPr>
        <w:t>Appendix</w:t>
      </w:r>
      <w:r>
        <w:rPr>
          <w:rFonts w:ascii="Arial" w:hAnsi="Arial" w:cs="Arial"/>
          <w:sz w:val="20"/>
          <w:szCs w:val="20"/>
        </w:rPr>
        <w:t xml:space="preserve">): </w:t>
      </w:r>
    </w:p>
    <w:p w:rsidR="004322A4" w:rsidRPr="004322A4" w:rsidRDefault="004322A4" w:rsidP="00642E36">
      <w:pPr>
        <w:spacing w:after="0" w:line="240" w:lineRule="auto"/>
        <w:rPr>
          <w:rFonts w:ascii="Arial" w:hAnsi="Arial" w:cs="Arial"/>
          <w:b/>
          <w:sz w:val="20"/>
          <w:szCs w:val="20"/>
        </w:rPr>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Pr>
      <w:tblGrid>
        <w:gridCol w:w="1384"/>
        <w:gridCol w:w="1142"/>
        <w:gridCol w:w="1143"/>
        <w:gridCol w:w="1142"/>
        <w:gridCol w:w="1143"/>
        <w:gridCol w:w="1142"/>
        <w:gridCol w:w="1143"/>
        <w:gridCol w:w="1123"/>
      </w:tblGrid>
      <w:tr w:rsidR="00881686" w:rsidRPr="00881686" w:rsidTr="00951510">
        <w:trPr>
          <w:cantSplit/>
          <w:trHeight w:val="454"/>
          <w:tblHeader/>
        </w:trPr>
        <w:tc>
          <w:tcPr>
            <w:tcW w:w="1384" w:type="dxa"/>
            <w:shd w:val="clear" w:color="auto" w:fill="DAEEF3" w:themeFill="accent5" w:themeFillTint="33"/>
            <w:vAlign w:val="center"/>
          </w:tcPr>
          <w:p w:rsidR="00881686" w:rsidRPr="00881686" w:rsidRDefault="00881686" w:rsidP="00642E36">
            <w:pPr>
              <w:rPr>
                <w:rFonts w:ascii="Myriad Pro" w:hAnsi="Myriad Pro" w:cs="Arial"/>
                <w:color w:val="31849B" w:themeColor="accent5" w:themeShade="BF"/>
              </w:rPr>
            </w:pPr>
            <w:r>
              <w:rPr>
                <w:rFonts w:ascii="Myriad Pro" w:hAnsi="Myriad Pro" w:cs="Arial"/>
                <w:color w:val="31849B" w:themeColor="accent5" w:themeShade="BF"/>
              </w:rPr>
              <w:t>Case study</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1</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2</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3</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4</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5</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6</w:t>
            </w:r>
          </w:p>
        </w:tc>
        <w:tc>
          <w:tcPr>
            <w:tcW w:w="112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7</w:t>
            </w:r>
          </w:p>
        </w:tc>
      </w:tr>
      <w:tr w:rsidR="00881686" w:rsidRPr="00881686" w:rsidTr="00881686">
        <w:trPr>
          <w:cantSplit/>
          <w:trHeight w:val="454"/>
        </w:trPr>
        <w:tc>
          <w:tcPr>
            <w:tcW w:w="1384" w:type="dxa"/>
            <w:vAlign w:val="center"/>
          </w:tcPr>
          <w:p w:rsidR="00881686" w:rsidRPr="00881686" w:rsidRDefault="00881686" w:rsidP="00642E36">
            <w:pPr>
              <w:jc w:val="center"/>
              <w:rPr>
                <w:rFonts w:ascii="Myriad Pro" w:hAnsi="Myriad Pro" w:cs="Arial"/>
              </w:rPr>
            </w:pPr>
            <w:r w:rsidRPr="00881686">
              <w:rPr>
                <w:rFonts w:ascii="Myriad Pro" w:hAnsi="Myriad Pro" w:cs="Arial"/>
              </w:rPr>
              <w:t xml:space="preserve">Measure </w:t>
            </w:r>
            <w:r>
              <w:rPr>
                <w:rFonts w:ascii="Myriad Pro" w:hAnsi="Myriad Pro" w:cs="Arial"/>
              </w:rPr>
              <w:t>2</w:t>
            </w:r>
            <w:r w:rsidRPr="00881686">
              <w:rPr>
                <w:rFonts w:ascii="Myriad Pro" w:hAnsi="Myriad Pro" w:cs="Arial"/>
              </w:rPr>
              <w:t>.</w:t>
            </w:r>
            <w:r>
              <w:rPr>
                <w:rFonts w:ascii="Myriad Pro" w:hAnsi="Myriad Pro" w:cs="Arial"/>
              </w:rPr>
              <w:t>2</w:t>
            </w: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23" w:type="dxa"/>
            <w:vAlign w:val="center"/>
          </w:tcPr>
          <w:p w:rsidR="00881686" w:rsidRPr="00881686" w:rsidRDefault="00881686" w:rsidP="00642E36">
            <w:pPr>
              <w:jc w:val="center"/>
              <w:rPr>
                <w:rFonts w:ascii="Myriad Pro" w:hAnsi="Myriad Pro" w:cs="Arial"/>
              </w:rPr>
            </w:pPr>
          </w:p>
        </w:tc>
      </w:tr>
    </w:tbl>
    <w:p w:rsidR="004322A4" w:rsidRPr="004322A4" w:rsidRDefault="004322A4" w:rsidP="00642E36">
      <w:pPr>
        <w:spacing w:after="0" w:line="240" w:lineRule="auto"/>
        <w:rPr>
          <w:rFonts w:ascii="Arial" w:hAnsi="Arial" w:cs="Arial"/>
          <w:b/>
          <w:sz w:val="20"/>
          <w:szCs w:val="20"/>
        </w:rPr>
      </w:pPr>
    </w:p>
    <w:p w:rsidR="004322A4" w:rsidRPr="004322A4" w:rsidRDefault="004322A4" w:rsidP="00642E36">
      <w:pPr>
        <w:spacing w:after="0" w:line="240" w:lineRule="auto"/>
        <w:rPr>
          <w:rFonts w:ascii="Arial" w:hAnsi="Arial" w:cs="Arial"/>
          <w:b/>
          <w:sz w:val="20"/>
          <w:szCs w:val="20"/>
        </w:rPr>
      </w:pPr>
    </w:p>
    <w:p w:rsidR="004322A4" w:rsidRPr="004322A4" w:rsidRDefault="004322A4" w:rsidP="00642E36">
      <w:pPr>
        <w:spacing w:after="0" w:line="240" w:lineRule="auto"/>
        <w:rPr>
          <w:rFonts w:ascii="Arial" w:hAnsi="Arial" w:cs="Arial"/>
          <w:b/>
          <w:sz w:val="20"/>
          <w:szCs w:val="20"/>
        </w:rPr>
      </w:pPr>
    </w:p>
    <w:p w:rsidR="004322A4" w:rsidRPr="004322A4" w:rsidRDefault="004322A4" w:rsidP="00642E36">
      <w:pPr>
        <w:spacing w:after="0" w:line="240" w:lineRule="auto"/>
        <w:rPr>
          <w:rFonts w:ascii="Arial" w:hAnsi="Arial" w:cs="Arial"/>
          <w:b/>
          <w:sz w:val="20"/>
          <w:szCs w:val="20"/>
        </w:rPr>
      </w:pPr>
    </w:p>
    <w:p w:rsidR="004322A4" w:rsidRPr="004322A4" w:rsidRDefault="004322A4" w:rsidP="00642E36">
      <w:pPr>
        <w:spacing w:after="0" w:line="240" w:lineRule="auto"/>
        <w:rPr>
          <w:rFonts w:ascii="Arial" w:hAnsi="Arial" w:cs="Arial"/>
          <w:b/>
          <w:sz w:val="20"/>
          <w:szCs w:val="20"/>
        </w:rPr>
      </w:pPr>
    </w:p>
    <w:p w:rsidR="004322A4" w:rsidRPr="004322A4" w:rsidRDefault="004322A4" w:rsidP="00642E36">
      <w:pPr>
        <w:spacing w:after="0" w:line="240" w:lineRule="auto"/>
        <w:rPr>
          <w:rFonts w:ascii="Arial" w:hAnsi="Arial" w:cs="Arial"/>
          <w:b/>
          <w:sz w:val="20"/>
          <w:szCs w:val="20"/>
        </w:rPr>
      </w:pPr>
    </w:p>
    <w:p w:rsidR="004322A4" w:rsidRPr="004322A4" w:rsidRDefault="004322A4" w:rsidP="00642E36">
      <w:pPr>
        <w:spacing w:after="0" w:line="240" w:lineRule="auto"/>
        <w:rPr>
          <w:rFonts w:ascii="Arial" w:hAnsi="Arial" w:cs="Arial"/>
          <w:b/>
          <w:sz w:val="20"/>
          <w:szCs w:val="20"/>
        </w:rPr>
      </w:pPr>
    </w:p>
    <w:p w:rsidR="004322A4" w:rsidRPr="004322A4" w:rsidRDefault="004322A4" w:rsidP="00642E36">
      <w:pPr>
        <w:spacing w:after="0" w:line="240" w:lineRule="auto"/>
        <w:rPr>
          <w:rFonts w:ascii="Arial" w:hAnsi="Arial" w:cs="Arial"/>
          <w:b/>
          <w:sz w:val="20"/>
          <w:szCs w:val="20"/>
        </w:rPr>
      </w:pPr>
    </w:p>
    <w:p w:rsidR="004322A4" w:rsidRPr="004322A4" w:rsidRDefault="004322A4" w:rsidP="00642E36">
      <w:pPr>
        <w:spacing w:after="0" w:line="240" w:lineRule="auto"/>
        <w:rPr>
          <w:rFonts w:ascii="Arial" w:hAnsi="Arial" w:cs="Arial"/>
          <w:b/>
          <w:sz w:val="20"/>
          <w:szCs w:val="20"/>
        </w:rPr>
      </w:pPr>
    </w:p>
    <w:p w:rsidR="004322A4" w:rsidRDefault="004322A4" w:rsidP="00642E36">
      <w:pPr>
        <w:spacing w:after="0" w:line="240" w:lineRule="auto"/>
        <w:rPr>
          <w:rFonts w:ascii="Arial" w:hAnsi="Arial" w:cs="Arial"/>
          <w:b/>
          <w:sz w:val="20"/>
          <w:szCs w:val="20"/>
        </w:rPr>
      </w:pPr>
    </w:p>
    <w:p w:rsidR="007C45BB" w:rsidRDefault="007C45BB" w:rsidP="00642E36">
      <w:pPr>
        <w:spacing w:after="0" w:line="240" w:lineRule="auto"/>
        <w:rPr>
          <w:rFonts w:ascii="Arial" w:hAnsi="Arial" w:cs="Arial"/>
          <w:b/>
          <w:sz w:val="20"/>
          <w:szCs w:val="20"/>
        </w:rPr>
      </w:pPr>
    </w:p>
    <w:p w:rsidR="007C45BB" w:rsidRDefault="007C45BB" w:rsidP="00642E36">
      <w:pPr>
        <w:spacing w:after="0" w:line="240" w:lineRule="auto"/>
        <w:rPr>
          <w:rFonts w:ascii="Arial" w:hAnsi="Arial" w:cs="Arial"/>
          <w:b/>
          <w:sz w:val="20"/>
          <w:szCs w:val="20"/>
        </w:rPr>
      </w:pPr>
    </w:p>
    <w:p w:rsidR="007C45BB" w:rsidRDefault="007C45BB" w:rsidP="00642E36">
      <w:pPr>
        <w:spacing w:after="0" w:line="240" w:lineRule="auto"/>
        <w:rPr>
          <w:rFonts w:ascii="Arial" w:hAnsi="Arial" w:cs="Arial"/>
          <w:b/>
          <w:sz w:val="20"/>
          <w:szCs w:val="20"/>
        </w:rPr>
      </w:pPr>
    </w:p>
    <w:p w:rsidR="007C45BB" w:rsidRDefault="007C45BB" w:rsidP="00642E36">
      <w:pPr>
        <w:spacing w:after="0" w:line="240" w:lineRule="auto"/>
        <w:rPr>
          <w:rFonts w:ascii="Arial" w:hAnsi="Arial" w:cs="Arial"/>
          <w:b/>
          <w:sz w:val="20"/>
          <w:szCs w:val="20"/>
        </w:rPr>
      </w:pPr>
    </w:p>
    <w:p w:rsidR="007C45BB" w:rsidRDefault="007C45BB" w:rsidP="00642E36">
      <w:pPr>
        <w:spacing w:after="0" w:line="240" w:lineRule="auto"/>
        <w:rPr>
          <w:rFonts w:ascii="Arial" w:hAnsi="Arial" w:cs="Arial"/>
          <w:b/>
          <w:sz w:val="20"/>
          <w:szCs w:val="20"/>
        </w:rPr>
      </w:pPr>
    </w:p>
    <w:p w:rsidR="007C45BB" w:rsidRDefault="007C45BB" w:rsidP="00642E36">
      <w:pPr>
        <w:spacing w:after="0" w:line="240" w:lineRule="auto"/>
        <w:rPr>
          <w:rFonts w:ascii="Arial" w:hAnsi="Arial" w:cs="Arial"/>
          <w:b/>
          <w:sz w:val="20"/>
          <w:szCs w:val="20"/>
        </w:rPr>
      </w:pPr>
    </w:p>
    <w:p w:rsidR="007C45BB" w:rsidRDefault="007C45BB" w:rsidP="00642E36">
      <w:pPr>
        <w:spacing w:after="0" w:line="240" w:lineRule="auto"/>
        <w:rPr>
          <w:rFonts w:ascii="Arial" w:hAnsi="Arial" w:cs="Arial"/>
          <w:b/>
          <w:sz w:val="20"/>
          <w:szCs w:val="20"/>
        </w:rPr>
      </w:pPr>
    </w:p>
    <w:p w:rsidR="007C45BB" w:rsidRDefault="007C45BB" w:rsidP="00642E36">
      <w:pPr>
        <w:spacing w:after="0" w:line="240" w:lineRule="auto"/>
        <w:rPr>
          <w:rFonts w:ascii="Arial" w:hAnsi="Arial" w:cs="Arial"/>
          <w:b/>
          <w:sz w:val="20"/>
          <w:szCs w:val="20"/>
        </w:rPr>
      </w:pPr>
    </w:p>
    <w:p w:rsidR="007C45BB" w:rsidRDefault="007C45BB" w:rsidP="00642E36">
      <w:pPr>
        <w:spacing w:after="0" w:line="240" w:lineRule="auto"/>
        <w:rPr>
          <w:rFonts w:ascii="Arial" w:hAnsi="Arial" w:cs="Arial"/>
          <w:b/>
          <w:sz w:val="20"/>
          <w:szCs w:val="20"/>
        </w:rPr>
      </w:pPr>
    </w:p>
    <w:p w:rsidR="007C45BB" w:rsidRDefault="007C45BB" w:rsidP="00642E36">
      <w:pPr>
        <w:spacing w:after="0" w:line="240" w:lineRule="auto"/>
        <w:rPr>
          <w:rFonts w:ascii="Arial" w:hAnsi="Arial" w:cs="Arial"/>
          <w:b/>
          <w:sz w:val="20"/>
          <w:szCs w:val="20"/>
        </w:rPr>
      </w:pPr>
    </w:p>
    <w:p w:rsidR="007C45BB" w:rsidRPr="004322A4" w:rsidRDefault="007C45BB" w:rsidP="00642E36">
      <w:pPr>
        <w:spacing w:after="0" w:line="240" w:lineRule="auto"/>
        <w:rPr>
          <w:rFonts w:ascii="Arial" w:hAnsi="Arial" w:cs="Arial"/>
          <w:b/>
          <w:sz w:val="20"/>
          <w:szCs w:val="20"/>
        </w:rPr>
      </w:pPr>
    </w:p>
    <w:p w:rsidR="004322A4" w:rsidRPr="004322A4" w:rsidRDefault="004322A4" w:rsidP="00642E36">
      <w:pPr>
        <w:spacing w:after="0" w:line="240" w:lineRule="auto"/>
        <w:rPr>
          <w:rFonts w:ascii="Arial" w:hAnsi="Arial" w:cs="Arial"/>
          <w:b/>
          <w:sz w:val="20"/>
          <w:szCs w:val="20"/>
        </w:rPr>
      </w:pPr>
    </w:p>
    <w:p w:rsidR="004322A4" w:rsidRPr="004322A4" w:rsidRDefault="004322A4" w:rsidP="00642E36">
      <w:pPr>
        <w:pStyle w:val="Heading1"/>
        <w:spacing w:before="0" w:line="240" w:lineRule="auto"/>
        <w:rPr>
          <w:rFonts w:ascii="Myriad Pro" w:hAnsi="Myriad Pro"/>
          <w:b w:val="0"/>
          <w:color w:val="31849B" w:themeColor="accent5" w:themeShade="BF"/>
        </w:rPr>
      </w:pPr>
      <w:bookmarkStart w:id="9" w:name="_Toc460917302"/>
      <w:proofErr w:type="spellStart"/>
      <w:r w:rsidRPr="004322A4">
        <w:rPr>
          <w:rFonts w:ascii="Myriad Pro" w:hAnsi="Myriad Pro"/>
          <w:b w:val="0"/>
          <w:color w:val="31849B" w:themeColor="accent5" w:themeShade="BF"/>
        </w:rPr>
        <w:lastRenderedPageBreak/>
        <w:t>KPI</w:t>
      </w:r>
      <w:proofErr w:type="spellEnd"/>
      <w:r w:rsidRPr="004322A4">
        <w:rPr>
          <w:rFonts w:ascii="Myriad Pro" w:hAnsi="Myriad Pro"/>
          <w:b w:val="0"/>
          <w:color w:val="31849B" w:themeColor="accent5" w:themeShade="BF"/>
        </w:rPr>
        <w:t xml:space="preserve"> 3 – Actions undertaken by regulators are proportionate to the regulatory risk being managed</w:t>
      </w:r>
      <w:bookmarkEnd w:id="9"/>
    </w:p>
    <w:p w:rsidR="004322A4" w:rsidRPr="004322A4" w:rsidRDefault="004322A4" w:rsidP="00642E36">
      <w:pPr>
        <w:spacing w:after="0" w:line="240" w:lineRule="auto"/>
        <w:rPr>
          <w:rFonts w:ascii="Myriad Pro" w:hAnsi="Myriad Pro" w:cs="Arial"/>
          <w:i/>
          <w:color w:val="31849B" w:themeColor="accent5" w:themeShade="BF"/>
          <w:sz w:val="24"/>
          <w:szCs w:val="24"/>
        </w:rPr>
      </w:pPr>
    </w:p>
    <w:p w:rsidR="004322A4" w:rsidRPr="00886868" w:rsidRDefault="004322A4" w:rsidP="00642E36">
      <w:pPr>
        <w:pStyle w:val="Heading2"/>
        <w:spacing w:before="0" w:line="240" w:lineRule="auto"/>
        <w:rPr>
          <w:rFonts w:ascii="Myriad Pro" w:hAnsi="Myriad Pro"/>
          <w:b w:val="0"/>
          <w:i/>
          <w:color w:val="31849B" w:themeColor="accent5" w:themeShade="BF"/>
          <w:sz w:val="25"/>
          <w:szCs w:val="25"/>
        </w:rPr>
      </w:pPr>
      <w:bookmarkStart w:id="10" w:name="_Toc460917303"/>
      <w:r w:rsidRPr="00886868">
        <w:rPr>
          <w:rFonts w:ascii="Myriad Pro" w:hAnsi="Myriad Pro"/>
          <w:b w:val="0"/>
          <w:i/>
          <w:color w:val="31849B" w:themeColor="accent5" w:themeShade="BF"/>
          <w:sz w:val="25"/>
          <w:szCs w:val="25"/>
        </w:rPr>
        <w:t>Measure 3.1 – The FWO focuses its compliance and enforcement efforts proportionate to the seriousness of the matter.</w:t>
      </w:r>
      <w:bookmarkEnd w:id="10"/>
    </w:p>
    <w:p w:rsidR="004322A4" w:rsidRDefault="004322A4" w:rsidP="00642E36">
      <w:pPr>
        <w:spacing w:after="0" w:line="240" w:lineRule="auto"/>
      </w:pPr>
    </w:p>
    <w:p w:rsidR="00881686" w:rsidRDefault="00881686" w:rsidP="00642E36">
      <w:pPr>
        <w:spacing w:after="0" w:line="240" w:lineRule="auto"/>
        <w:rPr>
          <w:rFonts w:ascii="Arial" w:hAnsi="Arial" w:cs="Arial"/>
          <w:sz w:val="20"/>
          <w:szCs w:val="20"/>
        </w:rPr>
      </w:pPr>
      <w:r>
        <w:rPr>
          <w:rFonts w:ascii="Arial" w:hAnsi="Arial" w:cs="Arial"/>
          <w:sz w:val="20"/>
          <w:szCs w:val="20"/>
        </w:rPr>
        <w:t>The FWO recognises the regulatory burden that compliance and enforcement activities can place on regulated entities involved in a workplace dispute. Activities can be disruptive to business operations and have an adverse financial impact on those involve</w:t>
      </w:r>
      <w:r w:rsidR="009C7256">
        <w:rPr>
          <w:rFonts w:ascii="Arial" w:hAnsi="Arial" w:cs="Arial"/>
          <w:sz w:val="20"/>
          <w:szCs w:val="20"/>
        </w:rPr>
        <w:t>d</w:t>
      </w:r>
      <w:r>
        <w:rPr>
          <w:rFonts w:ascii="Arial" w:hAnsi="Arial" w:cs="Arial"/>
          <w:sz w:val="20"/>
          <w:szCs w:val="20"/>
        </w:rPr>
        <w:t xml:space="preserve">. Where possible, the circumstances and compliance history of regulated entities is taken into account to determine the most appropriate corrective action to remedy the issues and promote future compliance. This is an important feature of the </w:t>
      </w:r>
      <w:proofErr w:type="spellStart"/>
      <w:r>
        <w:rPr>
          <w:rFonts w:ascii="Arial" w:hAnsi="Arial" w:cs="Arial"/>
          <w:sz w:val="20"/>
          <w:szCs w:val="20"/>
        </w:rPr>
        <w:t>FWO</w:t>
      </w:r>
      <w:r w:rsidR="00D26096">
        <w:rPr>
          <w:rFonts w:ascii="Arial" w:hAnsi="Arial" w:cs="Arial"/>
          <w:sz w:val="20"/>
          <w:szCs w:val="20"/>
        </w:rPr>
        <w:t>’s</w:t>
      </w:r>
      <w:proofErr w:type="spellEnd"/>
      <w:r>
        <w:rPr>
          <w:rFonts w:ascii="Arial" w:hAnsi="Arial" w:cs="Arial"/>
          <w:sz w:val="20"/>
          <w:szCs w:val="20"/>
        </w:rPr>
        <w:t xml:space="preserve"> best practice approach to regulation.</w:t>
      </w:r>
    </w:p>
    <w:p w:rsidR="00881686" w:rsidRDefault="00881686" w:rsidP="00642E36">
      <w:pPr>
        <w:spacing w:after="0" w:line="240" w:lineRule="auto"/>
        <w:rPr>
          <w:rFonts w:ascii="Arial" w:hAnsi="Arial" w:cs="Arial"/>
          <w:sz w:val="20"/>
          <w:szCs w:val="20"/>
        </w:rPr>
      </w:pPr>
    </w:p>
    <w:p w:rsidR="007C45BB" w:rsidRDefault="007C45BB" w:rsidP="00642E36">
      <w:pPr>
        <w:spacing w:after="0" w:line="240" w:lineRule="auto"/>
        <w:rPr>
          <w:rFonts w:ascii="Arial" w:hAnsi="Arial" w:cs="Arial"/>
          <w:sz w:val="20"/>
          <w:szCs w:val="20"/>
        </w:rPr>
      </w:pPr>
      <w:r w:rsidRPr="00E11452">
        <w:rPr>
          <w:rFonts w:ascii="Arial" w:hAnsi="Arial" w:cs="Arial"/>
          <w:sz w:val="20"/>
          <w:szCs w:val="20"/>
        </w:rPr>
        <w:t xml:space="preserve">The 2015 Compliance and Enforcement Policy sets out the principles adopted by the FWO to achieve </w:t>
      </w:r>
      <w:r w:rsidRPr="004A5FB4">
        <w:rPr>
          <w:rFonts w:ascii="Arial" w:hAnsi="Arial" w:cs="Arial"/>
          <w:sz w:val="20"/>
          <w:szCs w:val="20"/>
        </w:rPr>
        <w:t>proportionate and risk-based regulation</w:t>
      </w:r>
      <w:r w:rsidRPr="00E11452">
        <w:rPr>
          <w:rFonts w:ascii="Arial" w:hAnsi="Arial" w:cs="Arial"/>
          <w:sz w:val="20"/>
          <w:szCs w:val="20"/>
        </w:rPr>
        <w:t xml:space="preserve"> </w:t>
      </w:r>
      <w:r>
        <w:rPr>
          <w:rFonts w:ascii="Arial" w:hAnsi="Arial" w:cs="Arial"/>
          <w:sz w:val="20"/>
          <w:szCs w:val="20"/>
        </w:rPr>
        <w:t xml:space="preserve">and </w:t>
      </w:r>
      <w:r w:rsidRPr="00E11452">
        <w:rPr>
          <w:rFonts w:ascii="Arial" w:hAnsi="Arial" w:cs="Arial"/>
          <w:sz w:val="20"/>
          <w:szCs w:val="20"/>
        </w:rPr>
        <w:t>compliance with the law</w:t>
      </w:r>
      <w:r>
        <w:rPr>
          <w:rFonts w:ascii="Arial" w:hAnsi="Arial" w:cs="Arial"/>
          <w:sz w:val="20"/>
          <w:szCs w:val="20"/>
        </w:rPr>
        <w:t xml:space="preserve">. The </w:t>
      </w:r>
      <w:r w:rsidR="00F65208">
        <w:rPr>
          <w:rFonts w:ascii="Arial" w:hAnsi="Arial" w:cs="Arial"/>
          <w:sz w:val="20"/>
          <w:szCs w:val="20"/>
        </w:rPr>
        <w:t>p</w:t>
      </w:r>
      <w:r>
        <w:rPr>
          <w:rFonts w:ascii="Arial" w:hAnsi="Arial" w:cs="Arial"/>
          <w:sz w:val="20"/>
          <w:szCs w:val="20"/>
        </w:rPr>
        <w:t xml:space="preserve">olicy outlines the different treatments that </w:t>
      </w:r>
      <w:proofErr w:type="gramStart"/>
      <w:r>
        <w:rPr>
          <w:rFonts w:ascii="Arial" w:hAnsi="Arial" w:cs="Arial"/>
          <w:sz w:val="20"/>
          <w:szCs w:val="20"/>
        </w:rPr>
        <w:t>are used</w:t>
      </w:r>
      <w:proofErr w:type="gramEnd"/>
      <w:r>
        <w:rPr>
          <w:rFonts w:ascii="Arial" w:hAnsi="Arial" w:cs="Arial"/>
          <w:sz w:val="20"/>
          <w:szCs w:val="20"/>
        </w:rPr>
        <w:t xml:space="preserve"> to promote and enforce compliance. </w:t>
      </w:r>
    </w:p>
    <w:p w:rsidR="007C45BB" w:rsidRDefault="007C45BB" w:rsidP="00642E36">
      <w:pPr>
        <w:spacing w:after="0" w:line="240" w:lineRule="auto"/>
        <w:rPr>
          <w:rFonts w:ascii="Arial" w:hAnsi="Arial" w:cs="Arial"/>
          <w:sz w:val="20"/>
          <w:szCs w:val="20"/>
        </w:rPr>
      </w:pPr>
    </w:p>
    <w:p w:rsidR="00881686" w:rsidRDefault="00881686" w:rsidP="00642E36">
      <w:pPr>
        <w:spacing w:after="0" w:line="240" w:lineRule="auto"/>
        <w:rPr>
          <w:rFonts w:ascii="Arial" w:hAnsi="Arial" w:cs="Arial"/>
          <w:sz w:val="20"/>
          <w:szCs w:val="20"/>
        </w:rPr>
      </w:pPr>
      <w:r>
        <w:rPr>
          <w:rFonts w:ascii="Arial" w:hAnsi="Arial" w:cs="Arial"/>
          <w:sz w:val="20"/>
          <w:szCs w:val="20"/>
        </w:rPr>
        <w:t>The importance of flexibility</w:t>
      </w:r>
      <w:r w:rsidR="00680AAD">
        <w:rPr>
          <w:rFonts w:ascii="Arial" w:hAnsi="Arial" w:cs="Arial"/>
          <w:sz w:val="20"/>
          <w:szCs w:val="20"/>
        </w:rPr>
        <w:t xml:space="preserve"> is a key consideration for the FWO</w:t>
      </w:r>
      <w:r>
        <w:rPr>
          <w:rFonts w:ascii="Arial" w:hAnsi="Arial" w:cs="Arial"/>
          <w:sz w:val="20"/>
          <w:szCs w:val="20"/>
        </w:rPr>
        <w:t xml:space="preserve"> when addressing non-compliance, as not every circumstance is the same.</w:t>
      </w:r>
      <w:r w:rsidR="00F80344">
        <w:rPr>
          <w:rFonts w:ascii="Arial" w:hAnsi="Arial" w:cs="Arial"/>
          <w:sz w:val="20"/>
          <w:szCs w:val="20"/>
        </w:rPr>
        <w:t xml:space="preserve"> </w:t>
      </w:r>
      <w:r w:rsidR="00F80344" w:rsidRPr="00881686">
        <w:rPr>
          <w:rFonts w:ascii="Arial" w:hAnsi="Arial" w:cs="Arial"/>
          <w:sz w:val="20"/>
          <w:szCs w:val="20"/>
        </w:rPr>
        <w:t xml:space="preserve">Each request for assistance </w:t>
      </w:r>
      <w:proofErr w:type="gramStart"/>
      <w:r w:rsidR="00F80344" w:rsidRPr="00881686">
        <w:rPr>
          <w:rFonts w:ascii="Arial" w:hAnsi="Arial" w:cs="Arial"/>
          <w:sz w:val="20"/>
          <w:szCs w:val="20"/>
        </w:rPr>
        <w:t>is assessed</w:t>
      </w:r>
      <w:proofErr w:type="gramEnd"/>
      <w:r w:rsidR="00F80344" w:rsidRPr="00881686">
        <w:rPr>
          <w:rFonts w:ascii="Arial" w:hAnsi="Arial" w:cs="Arial"/>
          <w:sz w:val="20"/>
          <w:szCs w:val="20"/>
        </w:rPr>
        <w:t xml:space="preserve"> on a case-by</w:t>
      </w:r>
      <w:r w:rsidR="009C7256">
        <w:rPr>
          <w:rFonts w:ascii="Arial" w:hAnsi="Arial" w:cs="Arial"/>
          <w:sz w:val="20"/>
          <w:szCs w:val="20"/>
        </w:rPr>
        <w:t>-</w:t>
      </w:r>
      <w:r w:rsidR="00F80344" w:rsidRPr="00881686">
        <w:rPr>
          <w:rFonts w:ascii="Arial" w:hAnsi="Arial" w:cs="Arial"/>
          <w:sz w:val="20"/>
          <w:szCs w:val="20"/>
        </w:rPr>
        <w:t>case basis, to ensure that the approach taken is proportionate to the seriousness and risks posed by the non-compliant conduct.</w:t>
      </w:r>
    </w:p>
    <w:p w:rsidR="00881686" w:rsidRDefault="00881686" w:rsidP="00642E36">
      <w:pPr>
        <w:spacing w:after="0" w:line="240" w:lineRule="auto"/>
        <w:rPr>
          <w:rFonts w:ascii="Arial" w:hAnsi="Arial" w:cs="Arial"/>
          <w:sz w:val="20"/>
          <w:szCs w:val="20"/>
        </w:rPr>
      </w:pPr>
    </w:p>
    <w:p w:rsidR="00F80344" w:rsidRPr="00D75649" w:rsidRDefault="00F80344" w:rsidP="00D75649">
      <w:pPr>
        <w:pStyle w:val="Header"/>
        <w:rPr>
          <w:rFonts w:ascii="Arial" w:hAnsi="Arial" w:cs="Arial"/>
          <w:sz w:val="20"/>
          <w:szCs w:val="20"/>
        </w:rPr>
      </w:pPr>
      <w:r w:rsidRPr="00F65208">
        <w:rPr>
          <w:rFonts w:ascii="Arial" w:hAnsi="Arial" w:cs="Arial"/>
          <w:sz w:val="20"/>
          <w:szCs w:val="20"/>
        </w:rPr>
        <w:t xml:space="preserve">For example, litigation action </w:t>
      </w:r>
      <w:proofErr w:type="gramStart"/>
      <w:r w:rsidRPr="00F65208">
        <w:rPr>
          <w:rFonts w:ascii="Arial" w:hAnsi="Arial" w:cs="Arial"/>
          <w:sz w:val="20"/>
          <w:szCs w:val="20"/>
        </w:rPr>
        <w:t>is reserved</w:t>
      </w:r>
      <w:proofErr w:type="gramEnd"/>
      <w:r w:rsidRPr="00F65208">
        <w:rPr>
          <w:rFonts w:ascii="Arial" w:hAnsi="Arial" w:cs="Arial"/>
          <w:sz w:val="20"/>
          <w:szCs w:val="20"/>
        </w:rPr>
        <w:t xml:space="preserve"> for circ</w:t>
      </w:r>
      <w:r w:rsidRPr="00D75649">
        <w:rPr>
          <w:rFonts w:ascii="Arial" w:hAnsi="Arial" w:cs="Arial"/>
          <w:sz w:val="20"/>
          <w:szCs w:val="20"/>
        </w:rPr>
        <w:t xml:space="preserve">umstances where the conduct is particularly </w:t>
      </w:r>
      <w:r w:rsidR="00D621B5">
        <w:rPr>
          <w:rFonts w:ascii="Arial" w:hAnsi="Arial" w:cs="Arial"/>
          <w:sz w:val="20"/>
          <w:szCs w:val="20"/>
        </w:rPr>
        <w:t>serious</w:t>
      </w:r>
      <w:r w:rsidRPr="00D75649">
        <w:rPr>
          <w:rFonts w:ascii="Arial" w:hAnsi="Arial" w:cs="Arial"/>
          <w:sz w:val="20"/>
          <w:szCs w:val="20"/>
        </w:rPr>
        <w:t xml:space="preserve">, where there is reason to be concerned about future behaviour, or where the party involved is unwilling to provide satisfactory resolution. It is an enforcement measure that causes significant financial and non-financial costs to </w:t>
      </w:r>
      <w:r w:rsidRPr="00E524C7">
        <w:rPr>
          <w:rFonts w:ascii="Arial" w:hAnsi="Arial" w:cs="Arial"/>
          <w:sz w:val="20"/>
          <w:szCs w:val="20"/>
        </w:rPr>
        <w:t xml:space="preserve">parties. </w:t>
      </w:r>
      <w:r w:rsidR="00786154" w:rsidRPr="00E524C7">
        <w:rPr>
          <w:rFonts w:ascii="Arial" w:hAnsi="Arial" w:cs="Arial"/>
          <w:sz w:val="20"/>
          <w:szCs w:val="20"/>
        </w:rPr>
        <w:t xml:space="preserve">The FWO initiates action for a range of reasons, including where it considers that litigation is the most appropriate way to achieve its compliance and enforcement objectives. Where appropriate, the FWO may also pursue matters to assist in clarifying aspects of the law to provide greater confidence in its application, particularly provisions of the Act that are ambiguous or uncertain.  </w:t>
      </w:r>
    </w:p>
    <w:p w:rsidR="00F80344" w:rsidRDefault="00F80344" w:rsidP="00642E36">
      <w:pPr>
        <w:spacing w:after="0" w:line="240" w:lineRule="auto"/>
        <w:rPr>
          <w:rFonts w:ascii="Arial" w:hAnsi="Arial" w:cs="Arial"/>
          <w:sz w:val="20"/>
          <w:szCs w:val="20"/>
        </w:rPr>
      </w:pPr>
    </w:p>
    <w:p w:rsidR="007C45BB" w:rsidRPr="00F80344" w:rsidRDefault="007C45BB" w:rsidP="00642E36">
      <w:pPr>
        <w:spacing w:after="0" w:line="240" w:lineRule="auto"/>
        <w:rPr>
          <w:rFonts w:ascii="Arial" w:hAnsi="Arial" w:cs="Arial"/>
          <w:sz w:val="20"/>
          <w:szCs w:val="20"/>
        </w:rPr>
      </w:pPr>
      <w:r>
        <w:rPr>
          <w:rFonts w:ascii="Arial" w:hAnsi="Arial" w:cs="Arial"/>
          <w:sz w:val="20"/>
          <w:szCs w:val="20"/>
        </w:rPr>
        <w:t xml:space="preserve">The FWO demonstrates its proportionate approach in the way it manages disputes and applies its compliance and enforcement </w:t>
      </w:r>
      <w:r w:rsidR="00642E36">
        <w:rPr>
          <w:rFonts w:ascii="Arial" w:hAnsi="Arial" w:cs="Arial"/>
          <w:sz w:val="20"/>
          <w:szCs w:val="20"/>
        </w:rPr>
        <w:t>options</w:t>
      </w:r>
      <w:r>
        <w:rPr>
          <w:rFonts w:ascii="Arial" w:hAnsi="Arial" w:cs="Arial"/>
          <w:sz w:val="20"/>
          <w:szCs w:val="20"/>
        </w:rPr>
        <w:t xml:space="preserve">. </w:t>
      </w:r>
    </w:p>
    <w:p w:rsidR="00F80344" w:rsidRPr="00F80344" w:rsidRDefault="00F80344" w:rsidP="00642E36">
      <w:pPr>
        <w:spacing w:after="0" w:line="240" w:lineRule="auto"/>
        <w:rPr>
          <w:rFonts w:ascii="Arial" w:hAnsi="Arial" w:cs="Arial"/>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F80344" w:rsidRPr="00881686" w:rsidTr="00951510">
        <w:trPr>
          <w:trHeight w:val="454"/>
          <w:tblHeader/>
        </w:trPr>
        <w:tc>
          <w:tcPr>
            <w:tcW w:w="4077" w:type="dxa"/>
            <w:tcBorders>
              <w:bottom w:val="single" w:sz="2" w:space="0" w:color="4BACC6" w:themeColor="accent5"/>
            </w:tcBorders>
            <w:shd w:val="clear" w:color="auto" w:fill="DAEEF3" w:themeFill="accent5" w:themeFillTint="33"/>
            <w:vAlign w:val="center"/>
          </w:tcPr>
          <w:p w:rsidR="00F80344" w:rsidRPr="00881686" w:rsidRDefault="00C23A6D" w:rsidP="00642E36">
            <w:pPr>
              <w:spacing w:line="276" w:lineRule="auto"/>
              <w:rPr>
                <w:rFonts w:ascii="Myriad Pro" w:hAnsi="Myriad Pro" w:cs="Arial"/>
                <w:color w:val="31849B" w:themeColor="accent5" w:themeShade="BF"/>
              </w:rPr>
            </w:pPr>
            <w:r>
              <w:rPr>
                <w:rFonts w:ascii="Myriad Pro" w:hAnsi="Myriad Pro" w:cs="Arial"/>
                <w:color w:val="31849B" w:themeColor="accent5" w:themeShade="BF"/>
              </w:rPr>
              <w:t>Activities</w:t>
            </w:r>
          </w:p>
        </w:tc>
        <w:tc>
          <w:tcPr>
            <w:tcW w:w="5165" w:type="dxa"/>
            <w:tcBorders>
              <w:bottom w:val="single" w:sz="2" w:space="0" w:color="4BACC6" w:themeColor="accent5"/>
            </w:tcBorders>
            <w:shd w:val="clear" w:color="auto" w:fill="DAEEF3" w:themeFill="accent5" w:themeFillTint="33"/>
            <w:vAlign w:val="center"/>
          </w:tcPr>
          <w:p w:rsidR="00F80344" w:rsidRPr="00881686" w:rsidRDefault="00C23A6D" w:rsidP="00642E36">
            <w:pPr>
              <w:spacing w:line="276" w:lineRule="auto"/>
              <w:rPr>
                <w:rFonts w:ascii="Myriad Pro" w:hAnsi="Myriad Pro" w:cs="Arial"/>
                <w:color w:val="31849B" w:themeColor="accent5" w:themeShade="BF"/>
              </w:rPr>
            </w:pPr>
            <w:r>
              <w:rPr>
                <w:rFonts w:ascii="Myriad Pro" w:hAnsi="Myriad Pro" w:cs="Arial"/>
                <w:color w:val="31849B" w:themeColor="accent5" w:themeShade="BF"/>
              </w:rPr>
              <w:t>Achievements</w:t>
            </w:r>
          </w:p>
        </w:tc>
      </w:tr>
      <w:tr w:rsidR="00F80344" w:rsidRPr="00881686" w:rsidTr="00720938">
        <w:trPr>
          <w:trHeight w:val="501"/>
        </w:trPr>
        <w:tc>
          <w:tcPr>
            <w:tcW w:w="4077" w:type="dxa"/>
            <w:tcBorders>
              <w:top w:val="single" w:sz="2" w:space="0" w:color="4BACC6" w:themeColor="accent5"/>
              <w:bottom w:val="nil"/>
            </w:tcBorders>
          </w:tcPr>
          <w:p w:rsidR="00F80344" w:rsidRPr="00642E36" w:rsidRDefault="00F80344" w:rsidP="00642E36">
            <w:pPr>
              <w:rPr>
                <w:rFonts w:ascii="Arial" w:hAnsi="Arial" w:cs="Arial"/>
                <w:sz w:val="20"/>
                <w:szCs w:val="20"/>
              </w:rPr>
            </w:pPr>
            <w:r w:rsidRPr="00642E36">
              <w:rPr>
                <w:rFonts w:ascii="Arial" w:hAnsi="Arial" w:cs="Arial"/>
                <w:sz w:val="20"/>
                <w:szCs w:val="20"/>
              </w:rPr>
              <w:t>Proactive compliance and education activities</w:t>
            </w:r>
          </w:p>
        </w:tc>
        <w:tc>
          <w:tcPr>
            <w:tcW w:w="5165" w:type="dxa"/>
            <w:tcBorders>
              <w:top w:val="single" w:sz="2" w:space="0" w:color="4BACC6" w:themeColor="accent5"/>
              <w:bottom w:val="nil"/>
            </w:tcBorders>
          </w:tcPr>
          <w:p w:rsidR="00F80344" w:rsidRPr="00642E36" w:rsidRDefault="00F80344" w:rsidP="00642E36">
            <w:pPr>
              <w:pStyle w:val="ListParagraph"/>
              <w:numPr>
                <w:ilvl w:val="0"/>
                <w:numId w:val="16"/>
              </w:numPr>
              <w:rPr>
                <w:rFonts w:ascii="Arial" w:hAnsi="Arial" w:cs="Arial"/>
                <w:sz w:val="20"/>
                <w:szCs w:val="20"/>
              </w:rPr>
            </w:pPr>
            <w:r w:rsidRPr="00642E36">
              <w:rPr>
                <w:rFonts w:ascii="Arial" w:hAnsi="Arial" w:cs="Arial"/>
                <w:sz w:val="20"/>
                <w:szCs w:val="20"/>
              </w:rPr>
              <w:t>4539 campaign audits conducted</w:t>
            </w:r>
          </w:p>
          <w:p w:rsidR="00F80344" w:rsidRPr="00642E36" w:rsidRDefault="00F80344" w:rsidP="00642E36">
            <w:pPr>
              <w:pStyle w:val="ListParagraph"/>
              <w:numPr>
                <w:ilvl w:val="0"/>
                <w:numId w:val="16"/>
              </w:numPr>
              <w:rPr>
                <w:rFonts w:ascii="Arial" w:hAnsi="Arial" w:cs="Arial"/>
                <w:sz w:val="20"/>
                <w:szCs w:val="20"/>
              </w:rPr>
            </w:pPr>
            <w:r w:rsidRPr="00642E36">
              <w:rPr>
                <w:rFonts w:ascii="Arial" w:hAnsi="Arial" w:cs="Arial"/>
                <w:sz w:val="20"/>
                <w:szCs w:val="20"/>
              </w:rPr>
              <w:t>1 compliance partnership established</w:t>
            </w:r>
          </w:p>
        </w:tc>
      </w:tr>
      <w:tr w:rsidR="00F80344" w:rsidRPr="00881686" w:rsidTr="00642E36">
        <w:trPr>
          <w:trHeight w:val="584"/>
        </w:trPr>
        <w:tc>
          <w:tcPr>
            <w:tcW w:w="4077" w:type="dxa"/>
            <w:tcBorders>
              <w:bottom w:val="nil"/>
            </w:tcBorders>
            <w:shd w:val="clear" w:color="auto" w:fill="DAEEF3" w:themeFill="accent5" w:themeFillTint="33"/>
          </w:tcPr>
          <w:p w:rsidR="00F80344" w:rsidRPr="00642E36" w:rsidRDefault="00F80344" w:rsidP="00642E36">
            <w:pPr>
              <w:rPr>
                <w:rFonts w:ascii="Arial" w:hAnsi="Arial" w:cs="Arial"/>
                <w:sz w:val="20"/>
                <w:szCs w:val="20"/>
              </w:rPr>
            </w:pPr>
            <w:r w:rsidRPr="00642E36">
              <w:rPr>
                <w:rFonts w:ascii="Arial" w:hAnsi="Arial" w:cs="Arial"/>
                <w:sz w:val="20"/>
                <w:szCs w:val="20"/>
              </w:rPr>
              <w:t>Early involvement</w:t>
            </w:r>
          </w:p>
        </w:tc>
        <w:tc>
          <w:tcPr>
            <w:tcW w:w="5165" w:type="dxa"/>
            <w:tcBorders>
              <w:bottom w:val="nil"/>
            </w:tcBorders>
            <w:shd w:val="clear" w:color="auto" w:fill="DAEEF3" w:themeFill="accent5" w:themeFillTint="33"/>
          </w:tcPr>
          <w:p w:rsidR="00F80344" w:rsidRPr="00642E36" w:rsidRDefault="00F80344" w:rsidP="00642E36">
            <w:pPr>
              <w:pStyle w:val="ListParagraph"/>
              <w:numPr>
                <w:ilvl w:val="0"/>
                <w:numId w:val="17"/>
              </w:numPr>
              <w:rPr>
                <w:rFonts w:ascii="Arial" w:hAnsi="Arial" w:cs="Arial"/>
                <w:sz w:val="20"/>
                <w:szCs w:val="20"/>
              </w:rPr>
            </w:pPr>
            <w:r w:rsidRPr="00642E36">
              <w:rPr>
                <w:rFonts w:ascii="Arial" w:hAnsi="Arial" w:cs="Arial"/>
                <w:sz w:val="20"/>
                <w:szCs w:val="20"/>
              </w:rPr>
              <w:t>10</w:t>
            </w:r>
            <w:r w:rsidR="00D621B5">
              <w:rPr>
                <w:rFonts w:ascii="Arial" w:hAnsi="Arial" w:cs="Arial"/>
                <w:sz w:val="20"/>
                <w:szCs w:val="20"/>
              </w:rPr>
              <w:t xml:space="preserve"> </w:t>
            </w:r>
            <w:r w:rsidRPr="00642E36">
              <w:rPr>
                <w:rFonts w:ascii="Arial" w:hAnsi="Arial" w:cs="Arial"/>
                <w:sz w:val="20"/>
                <w:szCs w:val="20"/>
              </w:rPr>
              <w:t>256 early interventions completed</w:t>
            </w:r>
          </w:p>
          <w:p w:rsidR="00F80344" w:rsidRPr="00642E36" w:rsidRDefault="00F80344" w:rsidP="00642E36">
            <w:pPr>
              <w:pStyle w:val="ListParagraph"/>
              <w:numPr>
                <w:ilvl w:val="0"/>
                <w:numId w:val="17"/>
              </w:numPr>
              <w:rPr>
                <w:rFonts w:ascii="Arial" w:hAnsi="Arial" w:cs="Arial"/>
                <w:sz w:val="20"/>
                <w:szCs w:val="20"/>
              </w:rPr>
            </w:pPr>
            <w:r w:rsidRPr="00642E36">
              <w:rPr>
                <w:rFonts w:ascii="Arial" w:hAnsi="Arial" w:cs="Arial"/>
                <w:sz w:val="20"/>
                <w:szCs w:val="20"/>
              </w:rPr>
              <w:t>4500 mediations completed</w:t>
            </w:r>
          </w:p>
        </w:tc>
      </w:tr>
      <w:tr w:rsidR="00F80344" w:rsidRPr="00881686" w:rsidTr="00642E36">
        <w:trPr>
          <w:trHeight w:val="565"/>
        </w:trPr>
        <w:tc>
          <w:tcPr>
            <w:tcW w:w="4077" w:type="dxa"/>
            <w:tcBorders>
              <w:top w:val="nil"/>
              <w:bottom w:val="nil"/>
            </w:tcBorders>
          </w:tcPr>
          <w:p w:rsidR="00F80344" w:rsidRPr="00642E36" w:rsidRDefault="00F80344" w:rsidP="00642E36">
            <w:pPr>
              <w:rPr>
                <w:rFonts w:ascii="Arial" w:hAnsi="Arial" w:cs="Arial"/>
                <w:sz w:val="20"/>
                <w:szCs w:val="20"/>
              </w:rPr>
            </w:pPr>
            <w:r w:rsidRPr="00642E36">
              <w:rPr>
                <w:rFonts w:ascii="Arial" w:hAnsi="Arial" w:cs="Arial"/>
                <w:sz w:val="20"/>
                <w:szCs w:val="20"/>
              </w:rPr>
              <w:t>Investigations</w:t>
            </w:r>
          </w:p>
        </w:tc>
        <w:tc>
          <w:tcPr>
            <w:tcW w:w="5165" w:type="dxa"/>
            <w:tcBorders>
              <w:top w:val="nil"/>
              <w:bottom w:val="nil"/>
            </w:tcBorders>
          </w:tcPr>
          <w:p w:rsidR="00F80344" w:rsidRPr="00642E36" w:rsidRDefault="00F80344" w:rsidP="00642E36">
            <w:pPr>
              <w:pStyle w:val="ListParagraph"/>
              <w:numPr>
                <w:ilvl w:val="0"/>
                <w:numId w:val="18"/>
              </w:numPr>
              <w:rPr>
                <w:rFonts w:ascii="Arial" w:hAnsi="Arial" w:cs="Arial"/>
                <w:sz w:val="20"/>
                <w:szCs w:val="20"/>
              </w:rPr>
            </w:pPr>
            <w:r w:rsidRPr="00642E36">
              <w:rPr>
                <w:rFonts w:ascii="Arial" w:hAnsi="Arial" w:cs="Arial"/>
                <w:sz w:val="20"/>
                <w:szCs w:val="20"/>
              </w:rPr>
              <w:t>2336 investigations completed</w:t>
            </w:r>
          </w:p>
          <w:p w:rsidR="007C45BB" w:rsidRPr="00642E36" w:rsidRDefault="007C45BB" w:rsidP="00642E36">
            <w:pPr>
              <w:pStyle w:val="ListParagraph"/>
              <w:numPr>
                <w:ilvl w:val="0"/>
                <w:numId w:val="18"/>
              </w:numPr>
              <w:rPr>
                <w:rFonts w:ascii="Arial" w:hAnsi="Arial" w:cs="Arial"/>
                <w:sz w:val="20"/>
                <w:szCs w:val="20"/>
              </w:rPr>
            </w:pPr>
            <w:r w:rsidRPr="00642E36">
              <w:rPr>
                <w:rFonts w:ascii="Arial" w:hAnsi="Arial" w:cs="Arial"/>
                <w:sz w:val="20"/>
                <w:szCs w:val="20"/>
              </w:rPr>
              <w:t>1081 letters of caution issued</w:t>
            </w:r>
          </w:p>
        </w:tc>
      </w:tr>
      <w:tr w:rsidR="00F80344" w:rsidRPr="00881686" w:rsidTr="00CF5264">
        <w:trPr>
          <w:trHeight w:val="998"/>
        </w:trPr>
        <w:tc>
          <w:tcPr>
            <w:tcW w:w="4077" w:type="dxa"/>
            <w:tcBorders>
              <w:bottom w:val="single" w:sz="2" w:space="0" w:color="4BACC6" w:themeColor="accent5"/>
            </w:tcBorders>
            <w:shd w:val="clear" w:color="auto" w:fill="DAEEF3" w:themeFill="accent5" w:themeFillTint="33"/>
          </w:tcPr>
          <w:p w:rsidR="00642E36" w:rsidRDefault="00F80344" w:rsidP="00642E36">
            <w:pPr>
              <w:rPr>
                <w:rFonts w:ascii="Arial" w:hAnsi="Arial" w:cs="Arial"/>
                <w:sz w:val="20"/>
                <w:szCs w:val="20"/>
              </w:rPr>
            </w:pPr>
            <w:r w:rsidRPr="00642E36">
              <w:rPr>
                <w:rFonts w:ascii="Arial" w:hAnsi="Arial" w:cs="Arial"/>
                <w:sz w:val="20"/>
                <w:szCs w:val="20"/>
              </w:rPr>
              <w:t>Enforcement outcomes</w:t>
            </w:r>
          </w:p>
          <w:p w:rsidR="00F80344" w:rsidRPr="00642E36" w:rsidRDefault="007C45BB" w:rsidP="00642E36">
            <w:pPr>
              <w:rPr>
                <w:rFonts w:ascii="Arial" w:hAnsi="Arial" w:cs="Arial"/>
                <w:sz w:val="20"/>
                <w:szCs w:val="20"/>
              </w:rPr>
            </w:pPr>
            <w:r w:rsidRPr="00642E36">
              <w:rPr>
                <w:rFonts w:ascii="Arial" w:hAnsi="Arial" w:cs="Arial"/>
                <w:sz w:val="20"/>
                <w:szCs w:val="20"/>
              </w:rPr>
              <w:t xml:space="preserve">(available under the </w:t>
            </w:r>
            <w:r w:rsidRPr="00642E36">
              <w:rPr>
                <w:rFonts w:ascii="Arial" w:hAnsi="Arial" w:cs="Arial"/>
                <w:i/>
                <w:sz w:val="20"/>
                <w:szCs w:val="20"/>
              </w:rPr>
              <w:t>Fair Work Act 2009</w:t>
            </w:r>
            <w:r w:rsidRPr="00642E36">
              <w:rPr>
                <w:rFonts w:ascii="Arial" w:hAnsi="Arial" w:cs="Arial"/>
                <w:sz w:val="20"/>
                <w:szCs w:val="20"/>
              </w:rPr>
              <w:t>)</w:t>
            </w:r>
          </w:p>
        </w:tc>
        <w:tc>
          <w:tcPr>
            <w:tcW w:w="5165" w:type="dxa"/>
            <w:tcBorders>
              <w:bottom w:val="single" w:sz="2" w:space="0" w:color="4BACC6" w:themeColor="accent5"/>
            </w:tcBorders>
            <w:shd w:val="clear" w:color="auto" w:fill="DAEEF3" w:themeFill="accent5" w:themeFillTint="33"/>
          </w:tcPr>
          <w:p w:rsidR="00F80344" w:rsidRPr="00642E36" w:rsidRDefault="00F80344" w:rsidP="00642E36">
            <w:pPr>
              <w:pStyle w:val="ListParagraph"/>
              <w:numPr>
                <w:ilvl w:val="0"/>
                <w:numId w:val="19"/>
              </w:numPr>
              <w:rPr>
                <w:rFonts w:ascii="Arial" w:hAnsi="Arial" w:cs="Arial"/>
                <w:sz w:val="20"/>
                <w:szCs w:val="20"/>
              </w:rPr>
            </w:pPr>
            <w:r w:rsidRPr="00642E36">
              <w:rPr>
                <w:rFonts w:ascii="Arial" w:hAnsi="Arial" w:cs="Arial"/>
                <w:sz w:val="20"/>
                <w:szCs w:val="20"/>
              </w:rPr>
              <w:t>573 infringement notices issued</w:t>
            </w:r>
          </w:p>
          <w:p w:rsidR="00F80344" w:rsidRPr="00642E36" w:rsidRDefault="00F80344" w:rsidP="00642E36">
            <w:pPr>
              <w:pStyle w:val="ListParagraph"/>
              <w:numPr>
                <w:ilvl w:val="0"/>
                <w:numId w:val="19"/>
              </w:numPr>
              <w:rPr>
                <w:rFonts w:ascii="Arial" w:hAnsi="Arial" w:cs="Arial"/>
                <w:sz w:val="20"/>
                <w:szCs w:val="20"/>
              </w:rPr>
            </w:pPr>
            <w:r w:rsidRPr="00642E36">
              <w:rPr>
                <w:rFonts w:ascii="Arial" w:hAnsi="Arial" w:cs="Arial"/>
                <w:sz w:val="20"/>
                <w:szCs w:val="20"/>
              </w:rPr>
              <w:t>186 compliance notices issued</w:t>
            </w:r>
          </w:p>
          <w:p w:rsidR="00F80344" w:rsidRPr="00642E36" w:rsidRDefault="00F80344" w:rsidP="00642E36">
            <w:pPr>
              <w:pStyle w:val="ListParagraph"/>
              <w:numPr>
                <w:ilvl w:val="0"/>
                <w:numId w:val="19"/>
              </w:numPr>
              <w:rPr>
                <w:rFonts w:ascii="Arial" w:hAnsi="Arial" w:cs="Arial"/>
                <w:sz w:val="20"/>
                <w:szCs w:val="20"/>
              </w:rPr>
            </w:pPr>
            <w:r w:rsidRPr="00642E36">
              <w:rPr>
                <w:rFonts w:ascii="Arial" w:hAnsi="Arial" w:cs="Arial"/>
                <w:sz w:val="20"/>
                <w:szCs w:val="20"/>
              </w:rPr>
              <w:t>43 enforceable undertakings executed</w:t>
            </w:r>
          </w:p>
          <w:p w:rsidR="00F80344" w:rsidRPr="00642E36" w:rsidRDefault="00F80344" w:rsidP="00642E36">
            <w:pPr>
              <w:pStyle w:val="ListParagraph"/>
              <w:numPr>
                <w:ilvl w:val="0"/>
                <w:numId w:val="19"/>
              </w:numPr>
              <w:rPr>
                <w:rFonts w:ascii="Arial" w:hAnsi="Arial" w:cs="Arial"/>
                <w:sz w:val="20"/>
                <w:szCs w:val="20"/>
              </w:rPr>
            </w:pPr>
            <w:r w:rsidRPr="00642E36">
              <w:rPr>
                <w:rFonts w:ascii="Arial" w:hAnsi="Arial" w:cs="Arial"/>
                <w:sz w:val="20"/>
                <w:szCs w:val="20"/>
              </w:rPr>
              <w:t>50 litigations commenced</w:t>
            </w:r>
          </w:p>
        </w:tc>
      </w:tr>
    </w:tbl>
    <w:p w:rsidR="00F80344" w:rsidRDefault="00F80344" w:rsidP="00642E36">
      <w:pPr>
        <w:spacing w:after="0" w:line="240" w:lineRule="auto"/>
        <w:rPr>
          <w:rFonts w:ascii="Arial" w:hAnsi="Arial" w:cs="Arial"/>
          <w:sz w:val="20"/>
          <w:szCs w:val="20"/>
        </w:rPr>
      </w:pPr>
    </w:p>
    <w:p w:rsidR="00EF31DC" w:rsidRDefault="00EF31DC" w:rsidP="00EF31DC">
      <w:pPr>
        <w:spacing w:after="0" w:line="240" w:lineRule="auto"/>
        <w:rPr>
          <w:rFonts w:ascii="Arial" w:hAnsi="Arial" w:cs="Arial"/>
          <w:sz w:val="20"/>
          <w:szCs w:val="20"/>
        </w:rPr>
      </w:pPr>
      <w:r>
        <w:rPr>
          <w:rFonts w:ascii="Arial" w:hAnsi="Arial" w:cs="Arial"/>
          <w:sz w:val="20"/>
          <w:szCs w:val="20"/>
        </w:rPr>
        <w:t xml:space="preserve">For further information on the </w:t>
      </w:r>
      <w:proofErr w:type="spellStart"/>
      <w:r>
        <w:rPr>
          <w:rFonts w:ascii="Arial" w:hAnsi="Arial" w:cs="Arial"/>
          <w:sz w:val="20"/>
          <w:szCs w:val="20"/>
        </w:rPr>
        <w:t>FWO’s</w:t>
      </w:r>
      <w:proofErr w:type="spellEnd"/>
      <w:r>
        <w:rPr>
          <w:rFonts w:ascii="Arial" w:hAnsi="Arial" w:cs="Arial"/>
          <w:sz w:val="20"/>
          <w:szCs w:val="20"/>
        </w:rPr>
        <w:t xml:space="preserve"> compliance and enforcement activities refer to the </w:t>
      </w:r>
      <w:r w:rsidRPr="00EF31DC">
        <w:rPr>
          <w:rFonts w:ascii="Arial" w:hAnsi="Arial" w:cs="Arial"/>
          <w:i/>
          <w:sz w:val="20"/>
          <w:szCs w:val="20"/>
        </w:rPr>
        <w:t xml:space="preserve">2015-16 Fair Work Ombudsman Annual </w:t>
      </w:r>
      <w:proofErr w:type="gramStart"/>
      <w:r w:rsidRPr="00EF31DC">
        <w:rPr>
          <w:rFonts w:ascii="Arial" w:hAnsi="Arial" w:cs="Arial"/>
          <w:i/>
          <w:sz w:val="20"/>
          <w:szCs w:val="20"/>
        </w:rPr>
        <w:t>Report</w:t>
      </w:r>
      <w:r>
        <w:rPr>
          <w:rFonts w:ascii="Arial" w:hAnsi="Arial" w:cs="Arial"/>
          <w:sz w:val="20"/>
          <w:szCs w:val="20"/>
        </w:rPr>
        <w:t xml:space="preserve">  (</w:t>
      </w:r>
      <w:proofErr w:type="gramEnd"/>
      <w:r>
        <w:rPr>
          <w:rFonts w:ascii="Arial" w:hAnsi="Arial" w:cs="Arial"/>
          <w:sz w:val="20"/>
          <w:szCs w:val="20"/>
        </w:rPr>
        <w:t xml:space="preserve">pp. 22-23). </w:t>
      </w:r>
    </w:p>
    <w:p w:rsidR="00EF31DC" w:rsidRDefault="00EF31DC" w:rsidP="00642E36">
      <w:pPr>
        <w:spacing w:after="0" w:line="240" w:lineRule="auto"/>
        <w:rPr>
          <w:rFonts w:ascii="Arial" w:hAnsi="Arial" w:cs="Arial"/>
          <w:sz w:val="20"/>
          <w:szCs w:val="20"/>
        </w:rPr>
      </w:pPr>
    </w:p>
    <w:p w:rsidR="00881686" w:rsidRDefault="00881686" w:rsidP="00642E36">
      <w:pPr>
        <w:spacing w:after="0" w:line="240" w:lineRule="auto"/>
        <w:rPr>
          <w:rFonts w:ascii="Arial" w:hAnsi="Arial" w:cs="Arial"/>
          <w:sz w:val="20"/>
          <w:szCs w:val="20"/>
        </w:rPr>
      </w:pPr>
    </w:p>
    <w:p w:rsidR="000E1EF6" w:rsidRDefault="000E1EF6" w:rsidP="00642E36">
      <w:pPr>
        <w:spacing w:after="0" w:line="240" w:lineRule="auto"/>
        <w:rPr>
          <w:rFonts w:ascii="Arial" w:hAnsi="Arial" w:cs="Arial"/>
          <w:sz w:val="20"/>
          <w:szCs w:val="20"/>
        </w:rPr>
      </w:pPr>
    </w:p>
    <w:p w:rsidR="000E1EF6" w:rsidRDefault="000E1EF6" w:rsidP="00642E36">
      <w:pPr>
        <w:spacing w:after="0" w:line="240" w:lineRule="auto"/>
        <w:rPr>
          <w:rFonts w:ascii="Arial" w:hAnsi="Arial" w:cs="Arial"/>
          <w:sz w:val="20"/>
          <w:szCs w:val="20"/>
        </w:rPr>
      </w:pPr>
    </w:p>
    <w:p w:rsidR="000E1EF6" w:rsidRDefault="000E1EF6" w:rsidP="00642E36">
      <w:pPr>
        <w:spacing w:after="0" w:line="240" w:lineRule="auto"/>
        <w:rPr>
          <w:rFonts w:ascii="Arial" w:hAnsi="Arial" w:cs="Arial"/>
          <w:sz w:val="20"/>
          <w:szCs w:val="20"/>
        </w:rPr>
      </w:pPr>
    </w:p>
    <w:p w:rsidR="000E1EF6" w:rsidRDefault="000E1EF6" w:rsidP="00642E36">
      <w:pPr>
        <w:spacing w:after="0" w:line="240" w:lineRule="auto"/>
        <w:rPr>
          <w:rFonts w:ascii="Arial" w:hAnsi="Arial" w:cs="Arial"/>
          <w:sz w:val="20"/>
          <w:szCs w:val="20"/>
        </w:rPr>
      </w:pPr>
    </w:p>
    <w:p w:rsidR="000E1EF6" w:rsidRDefault="000E1EF6" w:rsidP="00642E36">
      <w:pPr>
        <w:spacing w:after="0" w:line="240" w:lineRule="auto"/>
        <w:rPr>
          <w:rFonts w:ascii="Arial" w:hAnsi="Arial" w:cs="Arial"/>
          <w:sz w:val="20"/>
          <w:szCs w:val="20"/>
        </w:rPr>
      </w:pPr>
    </w:p>
    <w:p w:rsidR="000E1EF6" w:rsidRDefault="000E1EF6" w:rsidP="00642E36">
      <w:pPr>
        <w:spacing w:after="0" w:line="240" w:lineRule="auto"/>
        <w:rPr>
          <w:rFonts w:ascii="Arial" w:hAnsi="Arial" w:cs="Arial"/>
          <w:sz w:val="20"/>
          <w:szCs w:val="20"/>
        </w:rPr>
      </w:pPr>
    </w:p>
    <w:p w:rsidR="000E1EF6" w:rsidRPr="00881686" w:rsidRDefault="000E1EF6" w:rsidP="00642E36">
      <w:pPr>
        <w:spacing w:after="0" w:line="240" w:lineRule="auto"/>
        <w:rPr>
          <w:rFonts w:ascii="Arial" w:hAnsi="Arial" w:cs="Arial"/>
          <w:sz w:val="20"/>
          <w:szCs w:val="20"/>
        </w:rPr>
      </w:pPr>
    </w:p>
    <w:p w:rsidR="00F80344" w:rsidRPr="00F80344" w:rsidRDefault="00F80344"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lastRenderedPageBreak/>
        <w:t>Case study</w:t>
      </w:r>
    </w:p>
    <w:p w:rsidR="00F80344" w:rsidRDefault="00F80344" w:rsidP="00642E36">
      <w:pPr>
        <w:spacing w:after="0" w:line="240" w:lineRule="auto"/>
        <w:rPr>
          <w:rFonts w:ascii="Arial" w:hAnsi="Arial" w:cs="Arial"/>
          <w:sz w:val="20"/>
          <w:szCs w:val="20"/>
        </w:rPr>
      </w:pPr>
    </w:p>
    <w:p w:rsidR="00F80344" w:rsidRDefault="00F80344" w:rsidP="00642E36">
      <w:pPr>
        <w:spacing w:after="0" w:line="240" w:lineRule="auto"/>
        <w:rPr>
          <w:rFonts w:ascii="Arial" w:hAnsi="Arial" w:cs="Arial"/>
          <w:sz w:val="20"/>
          <w:szCs w:val="20"/>
        </w:rPr>
      </w:pPr>
      <w:r>
        <w:rPr>
          <w:rFonts w:ascii="Arial" w:hAnsi="Arial" w:cs="Arial"/>
          <w:sz w:val="20"/>
          <w:szCs w:val="20"/>
        </w:rPr>
        <w:t xml:space="preserve">The following case studies demonstrate how the FWO has achieved this measure (see </w:t>
      </w:r>
      <w:r w:rsidRPr="00F80344">
        <w:rPr>
          <w:rFonts w:ascii="Arial" w:hAnsi="Arial" w:cs="Arial"/>
          <w:b/>
          <w:sz w:val="20"/>
          <w:szCs w:val="20"/>
        </w:rPr>
        <w:t>Appendix</w:t>
      </w:r>
      <w:r>
        <w:rPr>
          <w:rFonts w:ascii="Arial" w:hAnsi="Arial" w:cs="Arial"/>
          <w:sz w:val="20"/>
          <w:szCs w:val="20"/>
        </w:rPr>
        <w:t xml:space="preserve">): </w:t>
      </w:r>
    </w:p>
    <w:p w:rsidR="004322A4" w:rsidRPr="00881686" w:rsidRDefault="004322A4" w:rsidP="00642E36">
      <w:pPr>
        <w:spacing w:after="0" w:line="240" w:lineRule="auto"/>
        <w:rPr>
          <w:rFonts w:ascii="Arial" w:hAnsi="Arial" w:cs="Arial"/>
          <w:sz w:val="20"/>
          <w:szCs w:val="20"/>
        </w:rPr>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Pr>
      <w:tblGrid>
        <w:gridCol w:w="1384"/>
        <w:gridCol w:w="1142"/>
        <w:gridCol w:w="1143"/>
        <w:gridCol w:w="1142"/>
        <w:gridCol w:w="1143"/>
        <w:gridCol w:w="1142"/>
        <w:gridCol w:w="1143"/>
        <w:gridCol w:w="1123"/>
      </w:tblGrid>
      <w:tr w:rsidR="00881686" w:rsidRPr="00881686" w:rsidTr="00951510">
        <w:trPr>
          <w:cantSplit/>
          <w:trHeight w:val="454"/>
          <w:tblHeader/>
        </w:trPr>
        <w:tc>
          <w:tcPr>
            <w:tcW w:w="1384" w:type="dxa"/>
            <w:shd w:val="clear" w:color="auto" w:fill="DAEEF3" w:themeFill="accent5" w:themeFillTint="33"/>
            <w:vAlign w:val="center"/>
          </w:tcPr>
          <w:p w:rsidR="00881686" w:rsidRPr="00881686" w:rsidRDefault="007C45BB" w:rsidP="00642E36">
            <w:pPr>
              <w:rPr>
                <w:rFonts w:ascii="Myriad Pro" w:hAnsi="Myriad Pro" w:cs="Arial"/>
                <w:color w:val="31849B" w:themeColor="accent5" w:themeShade="BF"/>
              </w:rPr>
            </w:pPr>
            <w:r>
              <w:rPr>
                <w:rFonts w:ascii="Myriad Pro" w:hAnsi="Myriad Pro" w:cs="Arial"/>
                <w:color w:val="31849B" w:themeColor="accent5" w:themeShade="BF"/>
              </w:rPr>
              <w:t>Case study</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1</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2</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3</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4</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5</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6</w:t>
            </w:r>
          </w:p>
        </w:tc>
        <w:tc>
          <w:tcPr>
            <w:tcW w:w="112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7</w:t>
            </w:r>
          </w:p>
        </w:tc>
      </w:tr>
      <w:tr w:rsidR="00881686" w:rsidRPr="00881686" w:rsidTr="00881686">
        <w:trPr>
          <w:cantSplit/>
          <w:trHeight w:val="454"/>
        </w:trPr>
        <w:tc>
          <w:tcPr>
            <w:tcW w:w="1384" w:type="dxa"/>
            <w:vAlign w:val="center"/>
          </w:tcPr>
          <w:p w:rsidR="00881686" w:rsidRPr="00881686" w:rsidRDefault="00881686" w:rsidP="00642E36">
            <w:pPr>
              <w:jc w:val="center"/>
              <w:rPr>
                <w:rFonts w:ascii="Myriad Pro" w:hAnsi="Myriad Pro" w:cs="Arial"/>
              </w:rPr>
            </w:pPr>
            <w:r w:rsidRPr="00881686">
              <w:rPr>
                <w:rFonts w:ascii="Myriad Pro" w:hAnsi="Myriad Pro" w:cs="Arial"/>
              </w:rPr>
              <w:t xml:space="preserve">Measure </w:t>
            </w:r>
            <w:r>
              <w:rPr>
                <w:rFonts w:ascii="Myriad Pro" w:hAnsi="Myriad Pro" w:cs="Arial"/>
              </w:rPr>
              <w:t>3</w:t>
            </w:r>
            <w:r w:rsidRPr="00881686">
              <w:rPr>
                <w:rFonts w:ascii="Myriad Pro" w:hAnsi="Myriad Pro" w:cs="Arial"/>
              </w:rPr>
              <w:t>.</w:t>
            </w:r>
            <w:r>
              <w:rPr>
                <w:rFonts w:ascii="Myriad Pro" w:hAnsi="Myriad Pro" w:cs="Arial"/>
              </w:rPr>
              <w:t>1</w:t>
            </w:r>
          </w:p>
        </w:tc>
        <w:tc>
          <w:tcPr>
            <w:tcW w:w="1142"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23" w:type="dxa"/>
            <w:vAlign w:val="center"/>
          </w:tcPr>
          <w:p w:rsidR="00881686" w:rsidRPr="00881686" w:rsidRDefault="00881686" w:rsidP="00642E36">
            <w:pPr>
              <w:jc w:val="center"/>
              <w:rPr>
                <w:rFonts w:ascii="Myriad Pro" w:hAnsi="Myriad Pro" w:cs="Arial"/>
              </w:rPr>
            </w:pPr>
          </w:p>
        </w:tc>
      </w:tr>
    </w:tbl>
    <w:p w:rsidR="004322A4" w:rsidRDefault="004322A4" w:rsidP="00642E36">
      <w:pPr>
        <w:spacing w:after="0" w:line="240" w:lineRule="auto"/>
      </w:pPr>
    </w:p>
    <w:p w:rsidR="004322A4" w:rsidRPr="00886868" w:rsidRDefault="004322A4" w:rsidP="00642E36">
      <w:pPr>
        <w:pStyle w:val="Heading2"/>
        <w:spacing w:before="0" w:line="240" w:lineRule="auto"/>
        <w:rPr>
          <w:rFonts w:ascii="Myriad Pro" w:hAnsi="Myriad Pro"/>
          <w:b w:val="0"/>
          <w:i/>
          <w:color w:val="31849B" w:themeColor="accent5" w:themeShade="BF"/>
          <w:sz w:val="25"/>
          <w:szCs w:val="25"/>
        </w:rPr>
      </w:pPr>
      <w:bookmarkStart w:id="11" w:name="_Toc460917304"/>
      <w:r w:rsidRPr="00886868">
        <w:rPr>
          <w:rFonts w:ascii="Myriad Pro" w:hAnsi="Myriad Pro"/>
          <w:b w:val="0"/>
          <w:i/>
          <w:color w:val="31849B" w:themeColor="accent5" w:themeShade="BF"/>
          <w:sz w:val="25"/>
          <w:szCs w:val="25"/>
        </w:rPr>
        <w:t>Measure 3.2 – The FWO applies a risk-based approach to its compliance and monitoring activities.</w:t>
      </w:r>
      <w:bookmarkEnd w:id="11"/>
    </w:p>
    <w:p w:rsidR="004322A4" w:rsidRDefault="004322A4" w:rsidP="00642E36">
      <w:pPr>
        <w:spacing w:after="0" w:line="240" w:lineRule="auto"/>
        <w:rPr>
          <w:rFonts w:ascii="Arial" w:hAnsi="Arial" w:cs="Arial"/>
          <w:sz w:val="20"/>
          <w:szCs w:val="20"/>
        </w:rPr>
      </w:pPr>
    </w:p>
    <w:p w:rsidR="00881686" w:rsidRPr="00881686" w:rsidRDefault="007C45BB" w:rsidP="00642E36">
      <w:pPr>
        <w:spacing w:after="0" w:line="240" w:lineRule="auto"/>
        <w:rPr>
          <w:rFonts w:ascii="Arial" w:hAnsi="Arial" w:cs="Arial"/>
          <w:sz w:val="20"/>
          <w:szCs w:val="20"/>
        </w:rPr>
      </w:pPr>
      <w:r>
        <w:rPr>
          <w:rFonts w:ascii="Arial" w:hAnsi="Arial" w:cs="Arial"/>
          <w:sz w:val="20"/>
          <w:szCs w:val="20"/>
        </w:rPr>
        <w:t xml:space="preserve">The FWO recognises that enforcement action is costly and not necessarily the most effective or efficient way of promoting compliance with workplace laws. </w:t>
      </w:r>
      <w:r w:rsidR="00881686" w:rsidRPr="00881686">
        <w:rPr>
          <w:rFonts w:ascii="Arial" w:hAnsi="Arial" w:cs="Arial"/>
          <w:sz w:val="20"/>
          <w:szCs w:val="20"/>
        </w:rPr>
        <w:t xml:space="preserve">The Compliance and Enforcement Policy </w:t>
      </w:r>
      <w:r>
        <w:rPr>
          <w:rFonts w:ascii="Arial" w:hAnsi="Arial" w:cs="Arial"/>
          <w:sz w:val="20"/>
          <w:szCs w:val="20"/>
        </w:rPr>
        <w:t>sets out the principles adopted by the FWO to achieve proportionate and risk-based regulation and compliance with the law. The policy allows</w:t>
      </w:r>
      <w:r w:rsidR="00881686" w:rsidRPr="00881686">
        <w:rPr>
          <w:rFonts w:ascii="Arial" w:hAnsi="Arial" w:cs="Arial"/>
          <w:sz w:val="20"/>
          <w:szCs w:val="20"/>
        </w:rPr>
        <w:t xml:space="preserve"> for proportionate responses appropriate to the</w:t>
      </w:r>
      <w:r>
        <w:rPr>
          <w:rFonts w:ascii="Arial" w:hAnsi="Arial" w:cs="Arial"/>
          <w:sz w:val="20"/>
          <w:szCs w:val="20"/>
        </w:rPr>
        <w:t xml:space="preserve"> scale</w:t>
      </w:r>
      <w:r w:rsidR="00881686" w:rsidRPr="00881686">
        <w:rPr>
          <w:rFonts w:ascii="Arial" w:hAnsi="Arial" w:cs="Arial"/>
          <w:sz w:val="20"/>
          <w:szCs w:val="20"/>
        </w:rPr>
        <w:t xml:space="preserve">, nature, complexity, seriousness and risks posed by the non-compliant conduct. Formal requests for assistance received by the FWO </w:t>
      </w:r>
      <w:proofErr w:type="gramStart"/>
      <w:r w:rsidR="00881686" w:rsidRPr="00881686">
        <w:rPr>
          <w:rFonts w:ascii="Arial" w:hAnsi="Arial" w:cs="Arial"/>
          <w:sz w:val="20"/>
          <w:szCs w:val="20"/>
        </w:rPr>
        <w:t>are assessed</w:t>
      </w:r>
      <w:proofErr w:type="gramEnd"/>
      <w:r w:rsidR="00881686" w:rsidRPr="00881686">
        <w:rPr>
          <w:rFonts w:ascii="Arial" w:hAnsi="Arial" w:cs="Arial"/>
          <w:sz w:val="20"/>
          <w:szCs w:val="20"/>
        </w:rPr>
        <w:t xml:space="preserve"> and an informed decision is made as to the </w:t>
      </w:r>
      <w:r w:rsidR="00536FD4">
        <w:rPr>
          <w:rFonts w:ascii="Arial" w:hAnsi="Arial" w:cs="Arial"/>
          <w:sz w:val="20"/>
          <w:szCs w:val="20"/>
        </w:rPr>
        <w:t xml:space="preserve">most </w:t>
      </w:r>
      <w:r w:rsidR="00881686" w:rsidRPr="00881686">
        <w:rPr>
          <w:rFonts w:ascii="Arial" w:hAnsi="Arial" w:cs="Arial"/>
          <w:sz w:val="20"/>
          <w:szCs w:val="20"/>
        </w:rPr>
        <w:t xml:space="preserve">appropriate method of dispute resolution. </w:t>
      </w:r>
    </w:p>
    <w:p w:rsidR="00F80344" w:rsidRDefault="00F80344" w:rsidP="00642E36">
      <w:pPr>
        <w:spacing w:after="0" w:line="240" w:lineRule="auto"/>
        <w:rPr>
          <w:rFonts w:ascii="Arial" w:hAnsi="Arial" w:cs="Arial"/>
          <w:sz w:val="20"/>
          <w:szCs w:val="20"/>
        </w:rPr>
      </w:pPr>
    </w:p>
    <w:p w:rsidR="00F80344" w:rsidRDefault="00C23A6D" w:rsidP="00642E36">
      <w:pPr>
        <w:spacing w:after="0" w:line="240" w:lineRule="auto"/>
        <w:rPr>
          <w:rFonts w:ascii="Arial" w:hAnsi="Arial" w:cs="Arial"/>
          <w:sz w:val="20"/>
          <w:szCs w:val="20"/>
        </w:rPr>
      </w:pPr>
      <w:r>
        <w:rPr>
          <w:rFonts w:ascii="Arial" w:hAnsi="Arial" w:cs="Arial"/>
          <w:sz w:val="20"/>
          <w:szCs w:val="20"/>
        </w:rPr>
        <w:t>The FWO understands that the actions i</w:t>
      </w:r>
      <w:r w:rsidR="009D2A87">
        <w:rPr>
          <w:rFonts w:ascii="Arial" w:hAnsi="Arial" w:cs="Arial"/>
          <w:sz w:val="20"/>
          <w:szCs w:val="20"/>
        </w:rPr>
        <w:t>t</w:t>
      </w:r>
      <w:r>
        <w:rPr>
          <w:rFonts w:ascii="Arial" w:hAnsi="Arial" w:cs="Arial"/>
          <w:sz w:val="20"/>
          <w:szCs w:val="20"/>
        </w:rPr>
        <w:t xml:space="preserve"> takes should be proportionate to the risk at hand.  </w:t>
      </w:r>
      <w:r w:rsidR="00F80344" w:rsidRPr="00881686">
        <w:rPr>
          <w:rFonts w:ascii="Arial" w:hAnsi="Arial" w:cs="Arial"/>
          <w:sz w:val="20"/>
          <w:szCs w:val="20"/>
        </w:rPr>
        <w:t xml:space="preserve">The </w:t>
      </w:r>
      <w:r>
        <w:rPr>
          <w:rFonts w:ascii="Arial" w:hAnsi="Arial" w:cs="Arial"/>
          <w:sz w:val="20"/>
          <w:szCs w:val="20"/>
        </w:rPr>
        <w:t xml:space="preserve">following are indicative of the </w:t>
      </w:r>
      <w:r w:rsidR="00F80344">
        <w:rPr>
          <w:rFonts w:ascii="Arial" w:hAnsi="Arial" w:cs="Arial"/>
          <w:sz w:val="20"/>
          <w:szCs w:val="20"/>
        </w:rPr>
        <w:t xml:space="preserve">factors </w:t>
      </w:r>
      <w:r>
        <w:rPr>
          <w:rFonts w:ascii="Arial" w:hAnsi="Arial" w:cs="Arial"/>
          <w:sz w:val="20"/>
          <w:szCs w:val="20"/>
        </w:rPr>
        <w:t xml:space="preserve">that FWO considers in weighing risks against actions. Greater risk </w:t>
      </w:r>
      <w:proofErr w:type="gramStart"/>
      <w:r>
        <w:rPr>
          <w:rFonts w:ascii="Arial" w:hAnsi="Arial" w:cs="Arial"/>
          <w:sz w:val="20"/>
          <w:szCs w:val="20"/>
        </w:rPr>
        <w:t>is attributed</w:t>
      </w:r>
      <w:proofErr w:type="gramEnd"/>
      <w:r>
        <w:rPr>
          <w:rFonts w:ascii="Arial" w:hAnsi="Arial" w:cs="Arial"/>
          <w:sz w:val="20"/>
          <w:szCs w:val="20"/>
        </w:rPr>
        <w:t xml:space="preserve"> to conduct that</w:t>
      </w:r>
      <w:r w:rsidR="00F80344" w:rsidRPr="00881686">
        <w:rPr>
          <w:rFonts w:ascii="Arial" w:hAnsi="Arial" w:cs="Arial"/>
          <w:sz w:val="20"/>
          <w:szCs w:val="20"/>
        </w:rPr>
        <w:t>:</w:t>
      </w:r>
    </w:p>
    <w:p w:rsidR="00F80344" w:rsidRPr="00881686" w:rsidRDefault="00F80344" w:rsidP="00642E36">
      <w:pPr>
        <w:spacing w:after="0" w:line="240" w:lineRule="auto"/>
        <w:rPr>
          <w:rFonts w:ascii="Arial" w:hAnsi="Arial" w:cs="Arial"/>
          <w:sz w:val="20"/>
          <w:szCs w:val="20"/>
        </w:rPr>
      </w:pPr>
    </w:p>
    <w:p w:rsidR="007C45BB" w:rsidRDefault="007C45BB" w:rsidP="00642E36">
      <w:pPr>
        <w:pStyle w:val="ListParagraph"/>
        <w:numPr>
          <w:ilvl w:val="0"/>
          <w:numId w:val="7"/>
        </w:numPr>
        <w:spacing w:after="0" w:line="240" w:lineRule="auto"/>
        <w:rPr>
          <w:rFonts w:ascii="Arial" w:hAnsi="Arial" w:cs="Arial"/>
          <w:sz w:val="20"/>
          <w:szCs w:val="20"/>
        </w:rPr>
      </w:pPr>
      <w:r>
        <w:rPr>
          <w:rFonts w:ascii="Arial" w:hAnsi="Arial" w:cs="Arial"/>
          <w:sz w:val="20"/>
          <w:szCs w:val="20"/>
        </w:rPr>
        <w:t>involv</w:t>
      </w:r>
      <w:r w:rsidR="00C23A6D">
        <w:rPr>
          <w:rFonts w:ascii="Arial" w:hAnsi="Arial" w:cs="Arial"/>
          <w:sz w:val="20"/>
          <w:szCs w:val="20"/>
        </w:rPr>
        <w:t>es</w:t>
      </w:r>
      <w:r>
        <w:rPr>
          <w:rFonts w:ascii="Arial" w:hAnsi="Arial" w:cs="Arial"/>
          <w:sz w:val="20"/>
          <w:szCs w:val="20"/>
        </w:rPr>
        <w:t xml:space="preserve"> vulnerable workers</w:t>
      </w:r>
    </w:p>
    <w:p w:rsidR="007C45BB" w:rsidRDefault="007C45BB" w:rsidP="00642E36">
      <w:pPr>
        <w:pStyle w:val="ListParagraph"/>
        <w:numPr>
          <w:ilvl w:val="0"/>
          <w:numId w:val="7"/>
        </w:numPr>
        <w:spacing w:after="0" w:line="240" w:lineRule="auto"/>
        <w:rPr>
          <w:rFonts w:ascii="Arial" w:hAnsi="Arial" w:cs="Arial"/>
          <w:sz w:val="20"/>
          <w:szCs w:val="20"/>
        </w:rPr>
      </w:pPr>
      <w:r>
        <w:rPr>
          <w:rFonts w:ascii="Arial" w:hAnsi="Arial" w:cs="Arial"/>
          <w:sz w:val="20"/>
          <w:szCs w:val="20"/>
        </w:rPr>
        <w:t>has potential implications on the broader community</w:t>
      </w:r>
    </w:p>
    <w:p w:rsidR="00462D92" w:rsidRDefault="007C45BB">
      <w:pPr>
        <w:pStyle w:val="ListParagraph"/>
        <w:numPr>
          <w:ilvl w:val="0"/>
          <w:numId w:val="7"/>
        </w:numPr>
        <w:spacing w:after="0" w:line="240" w:lineRule="auto"/>
        <w:rPr>
          <w:rFonts w:ascii="Arial" w:hAnsi="Arial" w:cs="Arial"/>
          <w:sz w:val="20"/>
          <w:szCs w:val="20"/>
        </w:rPr>
      </w:pPr>
      <w:r>
        <w:rPr>
          <w:rFonts w:ascii="Arial" w:hAnsi="Arial" w:cs="Arial"/>
          <w:sz w:val="20"/>
          <w:szCs w:val="20"/>
        </w:rPr>
        <w:t>is industry-wide or likely to become systemic if the FWO does not intervene</w:t>
      </w:r>
      <w:r w:rsidR="00D621B5">
        <w:rPr>
          <w:rFonts w:ascii="Arial" w:hAnsi="Arial" w:cs="Arial"/>
          <w:sz w:val="20"/>
          <w:szCs w:val="20"/>
        </w:rPr>
        <w:t xml:space="preserve"> </w:t>
      </w:r>
    </w:p>
    <w:p w:rsidR="007C45BB" w:rsidRPr="00D75649" w:rsidRDefault="00C23A6D">
      <w:pPr>
        <w:pStyle w:val="ListParagraph"/>
        <w:numPr>
          <w:ilvl w:val="0"/>
          <w:numId w:val="7"/>
        </w:numPr>
        <w:spacing w:after="0" w:line="240" w:lineRule="auto"/>
        <w:rPr>
          <w:rFonts w:ascii="Arial" w:hAnsi="Arial" w:cs="Arial"/>
          <w:sz w:val="20"/>
          <w:szCs w:val="20"/>
        </w:rPr>
      </w:pPr>
      <w:proofErr w:type="gramStart"/>
      <w:r w:rsidRPr="00D75649">
        <w:rPr>
          <w:rFonts w:ascii="Arial" w:hAnsi="Arial" w:cs="Arial"/>
          <w:sz w:val="20"/>
          <w:szCs w:val="20"/>
        </w:rPr>
        <w:t>suggests</w:t>
      </w:r>
      <w:proofErr w:type="gramEnd"/>
      <w:r w:rsidRPr="00D75649">
        <w:rPr>
          <w:rFonts w:ascii="Arial" w:hAnsi="Arial" w:cs="Arial"/>
          <w:sz w:val="20"/>
          <w:szCs w:val="20"/>
        </w:rPr>
        <w:t xml:space="preserve"> a</w:t>
      </w:r>
      <w:r w:rsidR="007C45BB" w:rsidRPr="00D75649">
        <w:rPr>
          <w:rFonts w:ascii="Arial" w:hAnsi="Arial" w:cs="Arial"/>
          <w:sz w:val="20"/>
          <w:szCs w:val="20"/>
        </w:rPr>
        <w:t xml:space="preserve"> deterrent effect </w:t>
      </w:r>
      <w:r w:rsidRPr="00D75649">
        <w:rPr>
          <w:rFonts w:ascii="Arial" w:hAnsi="Arial" w:cs="Arial"/>
          <w:sz w:val="20"/>
          <w:szCs w:val="20"/>
        </w:rPr>
        <w:t xml:space="preserve">is needed </w:t>
      </w:r>
      <w:r w:rsidR="007C45BB" w:rsidRPr="00D75649">
        <w:rPr>
          <w:rFonts w:ascii="Arial" w:hAnsi="Arial" w:cs="Arial"/>
          <w:sz w:val="20"/>
          <w:szCs w:val="20"/>
        </w:rPr>
        <w:t xml:space="preserve">in an industry or region.  </w:t>
      </w:r>
    </w:p>
    <w:p w:rsidR="00881686" w:rsidRDefault="00881686" w:rsidP="00642E36">
      <w:pPr>
        <w:spacing w:after="0" w:line="240" w:lineRule="auto"/>
        <w:rPr>
          <w:rFonts w:ascii="Arial" w:hAnsi="Arial" w:cs="Arial"/>
          <w:sz w:val="20"/>
          <w:szCs w:val="20"/>
        </w:rPr>
      </w:pPr>
    </w:p>
    <w:p w:rsidR="00F80344" w:rsidRDefault="00F80344" w:rsidP="00642E36">
      <w:pPr>
        <w:spacing w:after="0" w:line="240" w:lineRule="auto"/>
        <w:rPr>
          <w:rFonts w:ascii="Arial" w:hAnsi="Arial" w:cs="Arial"/>
          <w:sz w:val="20"/>
          <w:szCs w:val="20"/>
        </w:rPr>
      </w:pPr>
      <w:r>
        <w:rPr>
          <w:rFonts w:ascii="Arial" w:hAnsi="Arial" w:cs="Arial"/>
          <w:sz w:val="20"/>
          <w:szCs w:val="20"/>
        </w:rPr>
        <w:t>Where possible, the FWO will provide the necessary information and support to enable workplace participants to resolve issues within the workplace. The FWO takes the view that education and self-resolution promotes greater compliance and effects positive workplace change. In the case of serious non-compliance, the FWO will take the necessary steps to seek the appropriate corrective actions in order to uphold the integrity of the regulatory framework and deter future non-compliance. This risk-based approach enables the</w:t>
      </w:r>
      <w:r w:rsidRPr="004A5FB4">
        <w:rPr>
          <w:rFonts w:ascii="Arial" w:hAnsi="Arial" w:cs="Arial"/>
          <w:sz w:val="20"/>
          <w:szCs w:val="20"/>
        </w:rPr>
        <w:t xml:space="preserve"> FWO to achieve its</w:t>
      </w:r>
      <w:r>
        <w:rPr>
          <w:rFonts w:ascii="Arial" w:hAnsi="Arial" w:cs="Arial"/>
          <w:sz w:val="20"/>
          <w:szCs w:val="20"/>
        </w:rPr>
        <w:t xml:space="preserve"> regulatory </w:t>
      </w:r>
      <w:r w:rsidRPr="004A5FB4">
        <w:rPr>
          <w:rFonts w:ascii="Arial" w:hAnsi="Arial" w:cs="Arial"/>
          <w:sz w:val="20"/>
          <w:szCs w:val="20"/>
        </w:rPr>
        <w:t>objectives more efficiently and reduce the overall burden</w:t>
      </w:r>
      <w:r>
        <w:rPr>
          <w:rFonts w:ascii="Arial" w:hAnsi="Arial" w:cs="Arial"/>
          <w:sz w:val="20"/>
          <w:szCs w:val="20"/>
        </w:rPr>
        <w:t xml:space="preserve"> on</w:t>
      </w:r>
      <w:r w:rsidRPr="004A5FB4">
        <w:rPr>
          <w:rFonts w:ascii="Arial" w:hAnsi="Arial" w:cs="Arial"/>
          <w:sz w:val="20"/>
          <w:szCs w:val="20"/>
        </w:rPr>
        <w:t xml:space="preserve"> </w:t>
      </w:r>
      <w:r>
        <w:rPr>
          <w:rFonts w:ascii="Arial" w:hAnsi="Arial" w:cs="Arial"/>
          <w:sz w:val="20"/>
          <w:szCs w:val="20"/>
        </w:rPr>
        <w:t>regulated entities.</w:t>
      </w:r>
    </w:p>
    <w:p w:rsidR="00F80344" w:rsidRPr="00881686" w:rsidRDefault="00F8034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F80344" w:rsidRPr="00F80344" w:rsidRDefault="00F80344"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F80344" w:rsidRDefault="00F80344" w:rsidP="00642E36">
      <w:pPr>
        <w:spacing w:after="0" w:line="240" w:lineRule="auto"/>
        <w:rPr>
          <w:rFonts w:ascii="Arial" w:hAnsi="Arial" w:cs="Arial"/>
          <w:sz w:val="20"/>
          <w:szCs w:val="20"/>
        </w:rPr>
      </w:pPr>
    </w:p>
    <w:p w:rsidR="00F80344" w:rsidRDefault="00F80344" w:rsidP="00642E36">
      <w:pPr>
        <w:spacing w:after="0" w:line="240" w:lineRule="auto"/>
        <w:rPr>
          <w:rFonts w:ascii="Arial" w:hAnsi="Arial" w:cs="Arial"/>
          <w:sz w:val="20"/>
          <w:szCs w:val="20"/>
        </w:rPr>
      </w:pPr>
      <w:r>
        <w:rPr>
          <w:rFonts w:ascii="Arial" w:hAnsi="Arial" w:cs="Arial"/>
          <w:sz w:val="20"/>
          <w:szCs w:val="20"/>
        </w:rPr>
        <w:t xml:space="preserve">The following case studies demonstrate how the FWO has achieved this measure (see </w:t>
      </w:r>
      <w:r w:rsidRPr="00F80344">
        <w:rPr>
          <w:rFonts w:ascii="Arial" w:hAnsi="Arial" w:cs="Arial"/>
          <w:b/>
          <w:sz w:val="20"/>
          <w:szCs w:val="20"/>
        </w:rPr>
        <w:t>Appendix</w:t>
      </w:r>
      <w:r>
        <w:rPr>
          <w:rFonts w:ascii="Arial" w:hAnsi="Arial" w:cs="Arial"/>
          <w:sz w:val="20"/>
          <w:szCs w:val="20"/>
        </w:rPr>
        <w:t xml:space="preserve">): </w:t>
      </w:r>
    </w:p>
    <w:p w:rsidR="004322A4" w:rsidRDefault="004322A4" w:rsidP="00642E36">
      <w:pPr>
        <w:spacing w:after="0" w:line="240" w:lineRule="auto"/>
        <w:rPr>
          <w:rFonts w:ascii="Arial" w:hAnsi="Arial" w:cs="Arial"/>
          <w:sz w:val="20"/>
          <w:szCs w:val="20"/>
        </w:rPr>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Pr>
      <w:tblGrid>
        <w:gridCol w:w="1384"/>
        <w:gridCol w:w="1142"/>
        <w:gridCol w:w="1143"/>
        <w:gridCol w:w="1142"/>
        <w:gridCol w:w="1143"/>
        <w:gridCol w:w="1142"/>
        <w:gridCol w:w="1143"/>
        <w:gridCol w:w="1123"/>
      </w:tblGrid>
      <w:tr w:rsidR="00881686" w:rsidRPr="00881686" w:rsidTr="00951510">
        <w:trPr>
          <w:cantSplit/>
          <w:trHeight w:val="454"/>
          <w:tblHeader/>
        </w:trPr>
        <w:tc>
          <w:tcPr>
            <w:tcW w:w="1384" w:type="dxa"/>
            <w:shd w:val="clear" w:color="auto" w:fill="DAEEF3" w:themeFill="accent5" w:themeFillTint="33"/>
            <w:vAlign w:val="center"/>
          </w:tcPr>
          <w:p w:rsidR="00881686" w:rsidRPr="00881686" w:rsidRDefault="007C45BB" w:rsidP="00642E36">
            <w:pPr>
              <w:rPr>
                <w:rFonts w:ascii="Myriad Pro" w:hAnsi="Myriad Pro" w:cs="Arial"/>
                <w:color w:val="31849B" w:themeColor="accent5" w:themeShade="BF"/>
              </w:rPr>
            </w:pPr>
            <w:r>
              <w:rPr>
                <w:rFonts w:ascii="Myriad Pro" w:hAnsi="Myriad Pro" w:cs="Arial"/>
                <w:color w:val="31849B" w:themeColor="accent5" w:themeShade="BF"/>
              </w:rPr>
              <w:t>Case study</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1</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2</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3</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4</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5</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6</w:t>
            </w:r>
          </w:p>
        </w:tc>
        <w:tc>
          <w:tcPr>
            <w:tcW w:w="112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7</w:t>
            </w:r>
          </w:p>
        </w:tc>
      </w:tr>
      <w:tr w:rsidR="00881686" w:rsidRPr="00881686" w:rsidTr="00881686">
        <w:trPr>
          <w:cantSplit/>
          <w:trHeight w:val="454"/>
        </w:trPr>
        <w:tc>
          <w:tcPr>
            <w:tcW w:w="1384" w:type="dxa"/>
            <w:vAlign w:val="center"/>
          </w:tcPr>
          <w:p w:rsidR="00881686" w:rsidRPr="00881686" w:rsidRDefault="007C45BB" w:rsidP="00642E36">
            <w:pPr>
              <w:jc w:val="center"/>
              <w:rPr>
                <w:rFonts w:ascii="Myriad Pro" w:hAnsi="Myriad Pro" w:cs="Arial"/>
              </w:rPr>
            </w:pPr>
            <w:r>
              <w:rPr>
                <w:rFonts w:ascii="Myriad Pro" w:hAnsi="Myriad Pro" w:cs="Arial"/>
              </w:rPr>
              <w:t>Measure 3.2</w:t>
            </w:r>
          </w:p>
        </w:tc>
        <w:tc>
          <w:tcPr>
            <w:tcW w:w="1142"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23" w:type="dxa"/>
            <w:vAlign w:val="center"/>
          </w:tcPr>
          <w:p w:rsidR="00881686" w:rsidRPr="00881686" w:rsidRDefault="00881686" w:rsidP="00642E36">
            <w:pPr>
              <w:jc w:val="center"/>
              <w:rPr>
                <w:rFonts w:ascii="Myriad Pro" w:hAnsi="Myriad Pro" w:cs="Arial"/>
              </w:rPr>
            </w:pPr>
          </w:p>
        </w:tc>
      </w:tr>
    </w:tbl>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Pr="004322A4" w:rsidRDefault="004322A4" w:rsidP="00642E36">
      <w:pPr>
        <w:pStyle w:val="Heading1"/>
        <w:spacing w:before="0" w:line="240" w:lineRule="auto"/>
        <w:rPr>
          <w:rFonts w:ascii="Myriad Pro" w:hAnsi="Myriad Pro"/>
          <w:b w:val="0"/>
          <w:color w:val="31849B" w:themeColor="accent5" w:themeShade="BF"/>
        </w:rPr>
      </w:pPr>
      <w:bookmarkStart w:id="12" w:name="_Toc460917305"/>
      <w:proofErr w:type="spellStart"/>
      <w:r w:rsidRPr="004322A4">
        <w:rPr>
          <w:rFonts w:ascii="Myriad Pro" w:hAnsi="Myriad Pro"/>
          <w:b w:val="0"/>
          <w:color w:val="31849B" w:themeColor="accent5" w:themeShade="BF"/>
        </w:rPr>
        <w:lastRenderedPageBreak/>
        <w:t>KPI</w:t>
      </w:r>
      <w:proofErr w:type="spellEnd"/>
      <w:r w:rsidRPr="004322A4">
        <w:rPr>
          <w:rFonts w:ascii="Myriad Pro" w:hAnsi="Myriad Pro"/>
          <w:b w:val="0"/>
          <w:color w:val="31849B" w:themeColor="accent5" w:themeShade="BF"/>
        </w:rPr>
        <w:t xml:space="preserve"> 4 – Compliance and monitoring approaches are streamlined and coordinated</w:t>
      </w:r>
      <w:bookmarkEnd w:id="12"/>
    </w:p>
    <w:p w:rsidR="004322A4" w:rsidRDefault="004322A4" w:rsidP="00642E36">
      <w:pPr>
        <w:pStyle w:val="Heading2"/>
        <w:spacing w:before="0" w:line="240" w:lineRule="auto"/>
        <w:rPr>
          <w:rFonts w:ascii="Myriad Pro" w:hAnsi="Myriad Pro"/>
          <w:b w:val="0"/>
          <w:color w:val="31849B" w:themeColor="accent5" w:themeShade="BF"/>
        </w:rPr>
      </w:pPr>
    </w:p>
    <w:p w:rsidR="004322A4" w:rsidRPr="00886868" w:rsidRDefault="004322A4" w:rsidP="00642E36">
      <w:pPr>
        <w:pStyle w:val="Heading2"/>
        <w:spacing w:before="0" w:line="240" w:lineRule="auto"/>
        <w:rPr>
          <w:rFonts w:ascii="Myriad Pro" w:hAnsi="Myriad Pro"/>
          <w:b w:val="0"/>
          <w:i/>
          <w:color w:val="31849B" w:themeColor="accent5" w:themeShade="BF"/>
          <w:sz w:val="25"/>
          <w:szCs w:val="25"/>
        </w:rPr>
      </w:pPr>
      <w:bookmarkStart w:id="13" w:name="_Toc460917306"/>
      <w:r w:rsidRPr="00886868">
        <w:rPr>
          <w:rFonts w:ascii="Myriad Pro" w:hAnsi="Myriad Pro"/>
          <w:b w:val="0"/>
          <w:i/>
          <w:color w:val="31849B" w:themeColor="accent5" w:themeShade="BF"/>
          <w:sz w:val="25"/>
          <w:szCs w:val="25"/>
        </w:rPr>
        <w:t>Measure 4.1 – The FWO takes a coordinated approach to delivering its services.</w:t>
      </w:r>
      <w:bookmarkEnd w:id="13"/>
    </w:p>
    <w:p w:rsidR="004322A4" w:rsidRPr="004322A4" w:rsidRDefault="004322A4" w:rsidP="00642E36">
      <w:pPr>
        <w:spacing w:after="0" w:line="240" w:lineRule="auto"/>
        <w:rPr>
          <w:rFonts w:ascii="Arial" w:hAnsi="Arial" w:cs="Arial"/>
          <w:sz w:val="20"/>
          <w:szCs w:val="20"/>
        </w:rPr>
      </w:pPr>
    </w:p>
    <w:p w:rsidR="007C45BB" w:rsidRPr="0003007B" w:rsidRDefault="00BB07BB" w:rsidP="00642E36">
      <w:pPr>
        <w:spacing w:after="0" w:line="240" w:lineRule="auto"/>
        <w:rPr>
          <w:rFonts w:ascii="Arial" w:hAnsi="Arial" w:cs="Arial"/>
          <w:sz w:val="20"/>
          <w:szCs w:val="20"/>
        </w:rPr>
      </w:pPr>
      <w:r w:rsidRPr="0003007B">
        <w:rPr>
          <w:rFonts w:ascii="Arial" w:hAnsi="Arial" w:cs="Arial"/>
          <w:sz w:val="20"/>
          <w:szCs w:val="20"/>
        </w:rPr>
        <w:t>The FWO takes an evidence based approach to our work, drawing on our own intelligence and data, commissioned research and other publicly available information</w:t>
      </w:r>
      <w:r w:rsidR="001B36C2" w:rsidRPr="0003007B">
        <w:rPr>
          <w:rFonts w:ascii="Arial" w:hAnsi="Arial" w:cs="Arial"/>
          <w:sz w:val="20"/>
          <w:szCs w:val="20"/>
        </w:rPr>
        <w:t>,</w:t>
      </w:r>
      <w:r w:rsidRPr="0003007B">
        <w:rPr>
          <w:rFonts w:ascii="Arial" w:hAnsi="Arial" w:cs="Arial"/>
          <w:sz w:val="20"/>
          <w:szCs w:val="20"/>
        </w:rPr>
        <w:t xml:space="preserve"> </w:t>
      </w:r>
      <w:r w:rsidR="00BF005B">
        <w:rPr>
          <w:rFonts w:ascii="Arial" w:hAnsi="Arial" w:cs="Arial"/>
          <w:sz w:val="20"/>
          <w:szCs w:val="20"/>
        </w:rPr>
        <w:t xml:space="preserve">data and research </w:t>
      </w:r>
      <w:bookmarkStart w:id="14" w:name="_GoBack"/>
      <w:bookmarkEnd w:id="14"/>
      <w:r w:rsidRPr="0003007B">
        <w:rPr>
          <w:rFonts w:ascii="Arial" w:hAnsi="Arial" w:cs="Arial"/>
          <w:sz w:val="20"/>
          <w:szCs w:val="20"/>
        </w:rPr>
        <w:t xml:space="preserve">to inform how we organise and resource our activities. This informed and coordinated approach supports the agency’s corporate and business planning processes, ensuring that resources </w:t>
      </w:r>
      <w:proofErr w:type="gramStart"/>
      <w:r w:rsidRPr="0003007B">
        <w:rPr>
          <w:rFonts w:ascii="Arial" w:hAnsi="Arial" w:cs="Arial"/>
          <w:sz w:val="20"/>
          <w:szCs w:val="20"/>
        </w:rPr>
        <w:t>are directed</w:t>
      </w:r>
      <w:proofErr w:type="gramEnd"/>
      <w:r w:rsidRPr="0003007B">
        <w:rPr>
          <w:rFonts w:ascii="Arial" w:hAnsi="Arial" w:cs="Arial"/>
          <w:sz w:val="20"/>
          <w:szCs w:val="20"/>
        </w:rPr>
        <w:t xml:space="preserve"> to activities and services that will deliver the greatest benefit and have the greatest impact.</w:t>
      </w:r>
    </w:p>
    <w:p w:rsidR="00BB07BB" w:rsidRPr="0003007B" w:rsidRDefault="00BB07BB" w:rsidP="00642E36">
      <w:pPr>
        <w:spacing w:after="0" w:line="240" w:lineRule="auto"/>
        <w:rPr>
          <w:rFonts w:ascii="Arial" w:hAnsi="Arial" w:cs="Arial"/>
          <w:sz w:val="20"/>
          <w:szCs w:val="20"/>
        </w:rPr>
      </w:pPr>
    </w:p>
    <w:p w:rsidR="007C45BB" w:rsidRPr="0003007B" w:rsidRDefault="009E614A" w:rsidP="00642E36">
      <w:pPr>
        <w:spacing w:after="0" w:line="240" w:lineRule="auto"/>
        <w:rPr>
          <w:rFonts w:ascii="Arial" w:hAnsi="Arial" w:cs="Arial"/>
          <w:sz w:val="20"/>
          <w:szCs w:val="20"/>
        </w:rPr>
      </w:pPr>
      <w:r w:rsidRPr="0003007B">
        <w:rPr>
          <w:rFonts w:ascii="Arial" w:hAnsi="Arial" w:cs="Arial"/>
          <w:sz w:val="20"/>
          <w:szCs w:val="20"/>
        </w:rPr>
        <w:t>For example, in response to the barriers that migrant workers face understanding and enforcing their rights, the FWO established a Migrant Workers Strategy &amp; Engagement Branch. The branch brings together specialist skills from a range of functions across the FWO to ensure a coordinated approach to migrant worker and employer issues. It supplements our existing compliance teams which prioritise vulnerable workers, including visa holders and young workers, and acknowledges that building capacity amongst these workers and those who employ them is essential to enhancing compliance in the sectors that engage them. The FWO also has a dedicated team responsible for analysing intelligence and trends in the community, which inform a range of our activities. This is one of the ways the FWO ensures a consistent approach to the delivery of its services.</w:t>
      </w:r>
    </w:p>
    <w:p w:rsidR="009E614A" w:rsidRDefault="009E614A" w:rsidP="00642E36">
      <w:pPr>
        <w:spacing w:after="0" w:line="240" w:lineRule="auto"/>
        <w:rPr>
          <w:rFonts w:ascii="Myriad Pro" w:hAnsi="Myriad Pro" w:cs="Arial"/>
          <w:color w:val="31849B" w:themeColor="accent5" w:themeShade="BF"/>
          <w:sz w:val="24"/>
          <w:szCs w:val="24"/>
        </w:rPr>
      </w:pPr>
    </w:p>
    <w:tbl>
      <w:tblPr>
        <w:tblStyle w:val="TableGrid"/>
        <w:tblW w:w="0" w:type="auto"/>
        <w:tblBorders>
          <w:top w:val="single" w:sz="2" w:space="0" w:color="4BACC6" w:themeColor="accent5"/>
          <w:left w:val="none" w:sz="0" w:space="0" w:color="auto"/>
          <w:bottom w:val="single" w:sz="2"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9242"/>
      </w:tblGrid>
      <w:tr w:rsidR="007C45BB" w:rsidTr="00951510">
        <w:trPr>
          <w:tblHeader/>
        </w:trPr>
        <w:tc>
          <w:tcPr>
            <w:tcW w:w="9242" w:type="dxa"/>
          </w:tcPr>
          <w:p w:rsidR="007C45BB" w:rsidRPr="007C45BB" w:rsidRDefault="007C45BB" w:rsidP="00642E36">
            <w:pPr>
              <w:rPr>
                <w:rFonts w:ascii="Myriad Pro" w:hAnsi="Myriad Pro" w:cs="Arial"/>
                <w:color w:val="31849B" w:themeColor="accent5" w:themeShade="BF"/>
                <w:sz w:val="10"/>
                <w:szCs w:val="10"/>
              </w:rPr>
            </w:pPr>
          </w:p>
          <w:p w:rsidR="007C45BB" w:rsidRPr="00F80344" w:rsidRDefault="007C45BB" w:rsidP="00642E36">
            <w:pPr>
              <w:rPr>
                <w:rFonts w:ascii="Myriad Pro" w:hAnsi="Myriad Pro" w:cs="Arial"/>
                <w:color w:val="31849B" w:themeColor="accent5" w:themeShade="BF"/>
                <w:sz w:val="24"/>
                <w:szCs w:val="24"/>
              </w:rPr>
            </w:pPr>
            <w:r>
              <w:rPr>
                <w:rFonts w:ascii="Myriad Pro" w:hAnsi="Myriad Pro" w:cs="Arial"/>
                <w:color w:val="31849B" w:themeColor="accent5" w:themeShade="BF"/>
                <w:sz w:val="24"/>
                <w:szCs w:val="24"/>
              </w:rPr>
              <w:t>Using technology to reduce regulatory burden</w:t>
            </w:r>
          </w:p>
          <w:p w:rsidR="007C45BB" w:rsidRPr="007C45BB" w:rsidRDefault="007C45BB" w:rsidP="00642E36">
            <w:pPr>
              <w:rPr>
                <w:rFonts w:ascii="Arial" w:hAnsi="Arial" w:cs="Arial"/>
                <w:sz w:val="20"/>
                <w:szCs w:val="20"/>
              </w:rPr>
            </w:pPr>
          </w:p>
          <w:p w:rsidR="007C45BB" w:rsidRPr="007C45BB" w:rsidRDefault="007C45BB" w:rsidP="00642E36">
            <w:pPr>
              <w:rPr>
                <w:rFonts w:ascii="Arial" w:hAnsi="Arial" w:cs="Arial"/>
                <w:sz w:val="20"/>
                <w:szCs w:val="20"/>
              </w:rPr>
            </w:pPr>
            <w:r w:rsidRPr="007C45BB">
              <w:rPr>
                <w:rFonts w:ascii="Arial" w:hAnsi="Arial" w:cs="Arial"/>
                <w:sz w:val="20"/>
                <w:szCs w:val="20"/>
              </w:rPr>
              <w:t xml:space="preserve">The FWO recognises the burden that information requests </w:t>
            </w:r>
            <w:r w:rsidR="00D621B5">
              <w:rPr>
                <w:rFonts w:ascii="Arial" w:hAnsi="Arial" w:cs="Arial"/>
                <w:sz w:val="20"/>
                <w:szCs w:val="20"/>
              </w:rPr>
              <w:t xml:space="preserve">can </w:t>
            </w:r>
            <w:r w:rsidRPr="007C45BB">
              <w:rPr>
                <w:rFonts w:ascii="Arial" w:hAnsi="Arial" w:cs="Arial"/>
                <w:sz w:val="20"/>
                <w:szCs w:val="20"/>
              </w:rPr>
              <w:t xml:space="preserve">place on regulated entities, particularly small business that may not have payroll and human resources functions. Where possible, the FWO utilises existing information to limit the reliance on requests </w:t>
            </w:r>
            <w:r w:rsidR="00D26096">
              <w:rPr>
                <w:rFonts w:ascii="Arial" w:hAnsi="Arial" w:cs="Arial"/>
                <w:sz w:val="20"/>
                <w:szCs w:val="20"/>
              </w:rPr>
              <w:t xml:space="preserve">for data </w:t>
            </w:r>
            <w:r w:rsidRPr="007C45BB">
              <w:rPr>
                <w:rFonts w:ascii="Arial" w:hAnsi="Arial" w:cs="Arial"/>
                <w:sz w:val="20"/>
                <w:szCs w:val="20"/>
              </w:rPr>
              <w:t>from regulated entities.</w:t>
            </w:r>
          </w:p>
          <w:p w:rsidR="007C45BB" w:rsidRPr="007C45BB" w:rsidRDefault="007C45BB" w:rsidP="00642E36">
            <w:pPr>
              <w:rPr>
                <w:rFonts w:ascii="Arial" w:hAnsi="Arial" w:cs="Arial"/>
                <w:sz w:val="20"/>
                <w:szCs w:val="20"/>
              </w:rPr>
            </w:pPr>
          </w:p>
          <w:p w:rsidR="007C45BB" w:rsidRDefault="007C45BB" w:rsidP="00642E36">
            <w:pPr>
              <w:rPr>
                <w:rFonts w:ascii="Arial" w:hAnsi="Arial" w:cs="Arial"/>
                <w:sz w:val="20"/>
                <w:szCs w:val="20"/>
              </w:rPr>
            </w:pPr>
            <w:r w:rsidRPr="007C45BB">
              <w:rPr>
                <w:rFonts w:ascii="Arial" w:hAnsi="Arial" w:cs="Arial"/>
                <w:sz w:val="20"/>
                <w:szCs w:val="20"/>
              </w:rPr>
              <w:t xml:space="preserve">With data and intelligence at the centre of our operating model, the FWO has invested in new technology and implemented process improvements to reduce the frequency of information collected from regulated entities. </w:t>
            </w:r>
          </w:p>
          <w:p w:rsidR="007C45BB" w:rsidRDefault="007C45BB" w:rsidP="00642E36">
            <w:pPr>
              <w:rPr>
                <w:rFonts w:ascii="Arial" w:hAnsi="Arial" w:cs="Arial"/>
                <w:sz w:val="20"/>
                <w:szCs w:val="20"/>
              </w:rPr>
            </w:pPr>
          </w:p>
          <w:p w:rsidR="007C45BB" w:rsidRPr="007C45BB" w:rsidRDefault="007C45BB" w:rsidP="00642E36">
            <w:pPr>
              <w:rPr>
                <w:rFonts w:ascii="Arial" w:hAnsi="Arial" w:cs="Arial"/>
                <w:sz w:val="20"/>
                <w:szCs w:val="20"/>
              </w:rPr>
            </w:pPr>
            <w:r>
              <w:rPr>
                <w:rFonts w:ascii="Arial" w:hAnsi="Arial" w:cs="Arial"/>
                <w:sz w:val="20"/>
                <w:szCs w:val="20"/>
              </w:rPr>
              <w:t xml:space="preserve">The new customer relationship management system aims to create a single </w:t>
            </w:r>
            <w:r w:rsidR="009C7256">
              <w:rPr>
                <w:rFonts w:ascii="Arial" w:hAnsi="Arial" w:cs="Arial"/>
                <w:sz w:val="20"/>
                <w:szCs w:val="20"/>
              </w:rPr>
              <w:t xml:space="preserve">record for each </w:t>
            </w:r>
            <w:r>
              <w:rPr>
                <w:rFonts w:ascii="Arial" w:hAnsi="Arial" w:cs="Arial"/>
                <w:sz w:val="20"/>
                <w:szCs w:val="20"/>
              </w:rPr>
              <w:t xml:space="preserve">customer, which enables the agency to provide a more efficient service that </w:t>
            </w:r>
            <w:proofErr w:type="gramStart"/>
            <w:r>
              <w:rPr>
                <w:rFonts w:ascii="Arial" w:hAnsi="Arial" w:cs="Arial"/>
                <w:sz w:val="20"/>
                <w:szCs w:val="20"/>
              </w:rPr>
              <w:t>is tailored</w:t>
            </w:r>
            <w:proofErr w:type="gramEnd"/>
            <w:r>
              <w:rPr>
                <w:rFonts w:ascii="Arial" w:hAnsi="Arial" w:cs="Arial"/>
                <w:sz w:val="20"/>
                <w:szCs w:val="20"/>
              </w:rPr>
              <w:t xml:space="preserve"> to the needs of regulated entities. </w:t>
            </w:r>
          </w:p>
          <w:p w:rsidR="007C45BB" w:rsidRPr="007C45BB" w:rsidRDefault="007C45BB" w:rsidP="00642E36">
            <w:pPr>
              <w:rPr>
                <w:rFonts w:ascii="Myriad Pro" w:hAnsi="Myriad Pro" w:cs="Arial"/>
                <w:color w:val="31849B" w:themeColor="accent5" w:themeShade="BF"/>
                <w:sz w:val="10"/>
                <w:szCs w:val="10"/>
              </w:rPr>
            </w:pPr>
          </w:p>
        </w:tc>
      </w:tr>
    </w:tbl>
    <w:p w:rsidR="007C45BB" w:rsidRDefault="007C45BB" w:rsidP="00642E36">
      <w:pPr>
        <w:spacing w:after="0" w:line="240" w:lineRule="auto"/>
        <w:rPr>
          <w:rFonts w:ascii="Myriad Pro" w:hAnsi="Myriad Pro" w:cs="Arial"/>
          <w:color w:val="31849B" w:themeColor="accent5" w:themeShade="BF"/>
          <w:sz w:val="24"/>
          <w:szCs w:val="24"/>
        </w:rPr>
      </w:pPr>
    </w:p>
    <w:p w:rsidR="00EF31DC" w:rsidRDefault="00EF31DC" w:rsidP="00EF31DC">
      <w:pPr>
        <w:spacing w:after="0" w:line="240" w:lineRule="auto"/>
        <w:rPr>
          <w:rFonts w:ascii="Arial" w:hAnsi="Arial" w:cs="Arial"/>
          <w:sz w:val="20"/>
          <w:szCs w:val="20"/>
        </w:rPr>
      </w:pPr>
      <w:r>
        <w:rPr>
          <w:rFonts w:ascii="Arial" w:hAnsi="Arial" w:cs="Arial"/>
          <w:sz w:val="20"/>
          <w:szCs w:val="20"/>
        </w:rPr>
        <w:t xml:space="preserve">For further information on how the FWO uses innovation and technology to improve the services it provides to regulate entities, refer to the </w:t>
      </w:r>
      <w:r w:rsidRPr="00EF31DC">
        <w:rPr>
          <w:rFonts w:ascii="Arial" w:hAnsi="Arial" w:cs="Arial"/>
          <w:i/>
          <w:sz w:val="20"/>
          <w:szCs w:val="20"/>
        </w:rPr>
        <w:t xml:space="preserve">2015-16 Fair Work Ombudsman Annual </w:t>
      </w:r>
      <w:proofErr w:type="gramStart"/>
      <w:r w:rsidRPr="00EF31DC">
        <w:rPr>
          <w:rFonts w:ascii="Arial" w:hAnsi="Arial" w:cs="Arial"/>
          <w:i/>
          <w:sz w:val="20"/>
          <w:szCs w:val="20"/>
        </w:rPr>
        <w:t>Report</w:t>
      </w:r>
      <w:r>
        <w:rPr>
          <w:rFonts w:ascii="Arial" w:hAnsi="Arial" w:cs="Arial"/>
          <w:sz w:val="20"/>
          <w:szCs w:val="20"/>
        </w:rPr>
        <w:t xml:space="preserve">  (</w:t>
      </w:r>
      <w:proofErr w:type="gramEnd"/>
      <w:r>
        <w:rPr>
          <w:rFonts w:ascii="Arial" w:hAnsi="Arial" w:cs="Arial"/>
          <w:sz w:val="20"/>
          <w:szCs w:val="20"/>
        </w:rPr>
        <w:t xml:space="preserve">p. 7). </w:t>
      </w:r>
    </w:p>
    <w:p w:rsidR="00EF31DC" w:rsidRDefault="00EF31DC" w:rsidP="00642E36">
      <w:pPr>
        <w:spacing w:after="0" w:line="240" w:lineRule="auto"/>
        <w:rPr>
          <w:rFonts w:ascii="Myriad Pro" w:hAnsi="Myriad Pro" w:cs="Arial"/>
          <w:color w:val="31849B" w:themeColor="accent5" w:themeShade="BF"/>
          <w:sz w:val="24"/>
          <w:szCs w:val="24"/>
        </w:rPr>
      </w:pPr>
    </w:p>
    <w:p w:rsidR="007C45BB" w:rsidRDefault="007C45BB" w:rsidP="00642E36">
      <w:pPr>
        <w:spacing w:after="0" w:line="240" w:lineRule="auto"/>
        <w:rPr>
          <w:rFonts w:ascii="Myriad Pro" w:hAnsi="Myriad Pro" w:cs="Arial"/>
          <w:color w:val="31849B" w:themeColor="accent5" w:themeShade="BF"/>
          <w:sz w:val="24"/>
          <w:szCs w:val="24"/>
        </w:rPr>
      </w:pPr>
    </w:p>
    <w:p w:rsidR="00F80344" w:rsidRPr="00F80344" w:rsidRDefault="00F80344"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F80344" w:rsidRDefault="00F80344" w:rsidP="00642E36">
      <w:pPr>
        <w:spacing w:after="0" w:line="240" w:lineRule="auto"/>
        <w:rPr>
          <w:rFonts w:ascii="Arial" w:hAnsi="Arial" w:cs="Arial"/>
          <w:sz w:val="20"/>
          <w:szCs w:val="20"/>
        </w:rPr>
      </w:pPr>
    </w:p>
    <w:p w:rsidR="00F80344" w:rsidRDefault="00F80344" w:rsidP="00642E36">
      <w:pPr>
        <w:spacing w:after="0" w:line="240" w:lineRule="auto"/>
        <w:rPr>
          <w:rFonts w:ascii="Arial" w:hAnsi="Arial" w:cs="Arial"/>
          <w:sz w:val="20"/>
          <w:szCs w:val="20"/>
        </w:rPr>
      </w:pPr>
      <w:r>
        <w:rPr>
          <w:rFonts w:ascii="Arial" w:hAnsi="Arial" w:cs="Arial"/>
          <w:sz w:val="20"/>
          <w:szCs w:val="20"/>
        </w:rPr>
        <w:t xml:space="preserve">The following case studies demonstrate how the FWO has achieved this measure (see </w:t>
      </w:r>
      <w:r w:rsidRPr="00F80344">
        <w:rPr>
          <w:rFonts w:ascii="Arial" w:hAnsi="Arial" w:cs="Arial"/>
          <w:b/>
          <w:sz w:val="20"/>
          <w:szCs w:val="20"/>
        </w:rPr>
        <w:t>Appendix</w:t>
      </w:r>
      <w:r>
        <w:rPr>
          <w:rFonts w:ascii="Arial" w:hAnsi="Arial" w:cs="Arial"/>
          <w:sz w:val="20"/>
          <w:szCs w:val="20"/>
        </w:rPr>
        <w:t xml:space="preserve">): </w:t>
      </w:r>
    </w:p>
    <w:p w:rsidR="004322A4" w:rsidRDefault="004322A4" w:rsidP="00642E36">
      <w:pPr>
        <w:spacing w:after="0" w:line="240" w:lineRule="auto"/>
        <w:rPr>
          <w:rFonts w:ascii="Arial" w:hAnsi="Arial" w:cs="Arial"/>
          <w:sz w:val="20"/>
          <w:szCs w:val="20"/>
        </w:rPr>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Pr>
      <w:tblGrid>
        <w:gridCol w:w="1384"/>
        <w:gridCol w:w="1142"/>
        <w:gridCol w:w="1143"/>
        <w:gridCol w:w="1142"/>
        <w:gridCol w:w="1143"/>
        <w:gridCol w:w="1142"/>
        <w:gridCol w:w="1143"/>
        <w:gridCol w:w="1123"/>
      </w:tblGrid>
      <w:tr w:rsidR="00881686" w:rsidRPr="00881686" w:rsidTr="00951510">
        <w:trPr>
          <w:cantSplit/>
          <w:trHeight w:val="454"/>
          <w:tblHeader/>
        </w:trPr>
        <w:tc>
          <w:tcPr>
            <w:tcW w:w="1384" w:type="dxa"/>
            <w:shd w:val="clear" w:color="auto" w:fill="DAEEF3" w:themeFill="accent5" w:themeFillTint="33"/>
            <w:vAlign w:val="center"/>
          </w:tcPr>
          <w:p w:rsidR="00881686" w:rsidRPr="00881686" w:rsidRDefault="007C45BB" w:rsidP="00642E36">
            <w:pPr>
              <w:jc w:val="center"/>
              <w:rPr>
                <w:rFonts w:ascii="Myriad Pro" w:hAnsi="Myriad Pro" w:cs="Arial"/>
                <w:color w:val="31849B" w:themeColor="accent5" w:themeShade="BF"/>
              </w:rPr>
            </w:pPr>
            <w:r>
              <w:rPr>
                <w:rFonts w:ascii="Myriad Pro" w:hAnsi="Myriad Pro" w:cs="Arial"/>
                <w:color w:val="31849B" w:themeColor="accent5" w:themeShade="BF"/>
              </w:rPr>
              <w:t>Case study</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1</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2</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3</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4</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5</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6</w:t>
            </w:r>
          </w:p>
        </w:tc>
        <w:tc>
          <w:tcPr>
            <w:tcW w:w="112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7</w:t>
            </w:r>
          </w:p>
        </w:tc>
      </w:tr>
      <w:tr w:rsidR="00881686" w:rsidRPr="00881686" w:rsidTr="00881686">
        <w:trPr>
          <w:cantSplit/>
          <w:trHeight w:val="454"/>
        </w:trPr>
        <w:tc>
          <w:tcPr>
            <w:tcW w:w="1384" w:type="dxa"/>
            <w:vAlign w:val="center"/>
          </w:tcPr>
          <w:p w:rsidR="00881686" w:rsidRPr="00881686" w:rsidRDefault="007C45BB" w:rsidP="00642E36">
            <w:pPr>
              <w:jc w:val="center"/>
              <w:rPr>
                <w:rFonts w:ascii="Myriad Pro" w:hAnsi="Myriad Pro" w:cs="Arial"/>
              </w:rPr>
            </w:pPr>
            <w:r>
              <w:rPr>
                <w:rFonts w:ascii="Myriad Pro" w:hAnsi="Myriad Pro" w:cs="Arial"/>
              </w:rPr>
              <w:t>Measure 4.1</w:t>
            </w: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3"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23"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r>
    </w:tbl>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Pr="00886868" w:rsidRDefault="004322A4" w:rsidP="00642E36">
      <w:pPr>
        <w:pStyle w:val="Heading2"/>
        <w:spacing w:before="0" w:line="240" w:lineRule="auto"/>
        <w:rPr>
          <w:rFonts w:ascii="Myriad Pro" w:hAnsi="Myriad Pro"/>
          <w:b w:val="0"/>
          <w:i/>
          <w:color w:val="31849B" w:themeColor="accent5" w:themeShade="BF"/>
          <w:sz w:val="25"/>
          <w:szCs w:val="25"/>
        </w:rPr>
      </w:pPr>
      <w:bookmarkStart w:id="15" w:name="_Toc460917307"/>
      <w:r w:rsidRPr="00886868">
        <w:rPr>
          <w:rFonts w:ascii="Myriad Pro" w:hAnsi="Myriad Pro"/>
          <w:b w:val="0"/>
          <w:i/>
          <w:color w:val="31849B" w:themeColor="accent5" w:themeShade="BF"/>
          <w:sz w:val="25"/>
          <w:szCs w:val="25"/>
        </w:rPr>
        <w:lastRenderedPageBreak/>
        <w:t>Measure 4.2 – The FWO works collaboratively with other regulators and industry bodies to minimise the burden of interacting with government bodies.</w:t>
      </w:r>
      <w:bookmarkEnd w:id="15"/>
      <w:r w:rsidRPr="00886868">
        <w:rPr>
          <w:rFonts w:ascii="Myriad Pro" w:hAnsi="Myriad Pro"/>
          <w:b w:val="0"/>
          <w:i/>
          <w:color w:val="31849B" w:themeColor="accent5" w:themeShade="BF"/>
          <w:sz w:val="25"/>
          <w:szCs w:val="25"/>
        </w:rPr>
        <w:t xml:space="preserve"> </w:t>
      </w:r>
    </w:p>
    <w:p w:rsidR="004322A4" w:rsidRPr="00881686" w:rsidRDefault="004322A4" w:rsidP="00642E36">
      <w:pPr>
        <w:spacing w:after="0" w:line="240" w:lineRule="auto"/>
        <w:rPr>
          <w:rFonts w:ascii="Arial" w:hAnsi="Arial" w:cs="Arial"/>
          <w:sz w:val="20"/>
          <w:szCs w:val="20"/>
        </w:rPr>
      </w:pPr>
    </w:p>
    <w:p w:rsidR="00F80344" w:rsidRDefault="007C45BB" w:rsidP="00642E36">
      <w:pPr>
        <w:spacing w:after="0" w:line="240" w:lineRule="auto"/>
        <w:rPr>
          <w:rFonts w:ascii="Arial" w:hAnsi="Arial" w:cs="Arial"/>
          <w:color w:val="231F20"/>
          <w:sz w:val="20"/>
          <w:szCs w:val="20"/>
        </w:rPr>
      </w:pPr>
      <w:r w:rsidRPr="007C45BB">
        <w:rPr>
          <w:rFonts w:ascii="Arial" w:hAnsi="Arial" w:cs="Arial"/>
          <w:color w:val="231F20"/>
          <w:sz w:val="20"/>
          <w:szCs w:val="20"/>
        </w:rPr>
        <w:t>The FWO has established cooperative rela</w:t>
      </w:r>
      <w:r w:rsidR="00751B76">
        <w:rPr>
          <w:rFonts w:ascii="Arial" w:hAnsi="Arial" w:cs="Arial"/>
          <w:color w:val="231F20"/>
          <w:sz w:val="20"/>
          <w:szCs w:val="20"/>
        </w:rPr>
        <w:t>tionships with key stakeholders</w:t>
      </w:r>
      <w:r w:rsidRPr="007C45BB">
        <w:rPr>
          <w:rFonts w:ascii="Arial" w:hAnsi="Arial" w:cs="Arial"/>
          <w:color w:val="231F20"/>
          <w:sz w:val="20"/>
          <w:szCs w:val="20"/>
        </w:rPr>
        <w:t xml:space="preserve"> to improve the efficiency and effectiveness of the regulatory framework. These relationships include both formal and informal information sharing arrangements with other regulators and law enforcement bodies</w:t>
      </w:r>
      <w:r>
        <w:rPr>
          <w:rFonts w:ascii="Arial" w:hAnsi="Arial" w:cs="Arial"/>
          <w:color w:val="231F20"/>
          <w:sz w:val="20"/>
          <w:szCs w:val="20"/>
        </w:rPr>
        <w:t>.</w:t>
      </w:r>
      <w:r w:rsidR="002F22B4">
        <w:rPr>
          <w:rFonts w:ascii="Arial" w:hAnsi="Arial" w:cs="Arial"/>
          <w:color w:val="231F20"/>
          <w:sz w:val="20"/>
          <w:szCs w:val="20"/>
        </w:rPr>
        <w:t xml:space="preserve"> The information that </w:t>
      </w:r>
      <w:proofErr w:type="gramStart"/>
      <w:r w:rsidR="002F22B4">
        <w:rPr>
          <w:rFonts w:ascii="Arial" w:hAnsi="Arial" w:cs="Arial"/>
          <w:color w:val="231F20"/>
          <w:sz w:val="20"/>
          <w:szCs w:val="20"/>
        </w:rPr>
        <w:t>is shared</w:t>
      </w:r>
      <w:proofErr w:type="gramEnd"/>
      <w:r w:rsidR="002F22B4">
        <w:rPr>
          <w:rFonts w:ascii="Arial" w:hAnsi="Arial" w:cs="Arial"/>
          <w:color w:val="231F20"/>
          <w:sz w:val="20"/>
          <w:szCs w:val="20"/>
        </w:rPr>
        <w:t xml:space="preserve"> includes, but </w:t>
      </w:r>
      <w:r w:rsidR="009C7256">
        <w:rPr>
          <w:rFonts w:ascii="Arial" w:hAnsi="Arial" w:cs="Arial"/>
          <w:color w:val="231F20"/>
          <w:sz w:val="20"/>
          <w:szCs w:val="20"/>
        </w:rPr>
        <w:t xml:space="preserve">is </w:t>
      </w:r>
      <w:r w:rsidR="002F22B4">
        <w:rPr>
          <w:rFonts w:ascii="Arial" w:hAnsi="Arial" w:cs="Arial"/>
          <w:color w:val="231F20"/>
          <w:sz w:val="20"/>
          <w:szCs w:val="20"/>
        </w:rPr>
        <w:t>not limited to:</w:t>
      </w:r>
    </w:p>
    <w:p w:rsidR="002F22B4" w:rsidRDefault="002F22B4" w:rsidP="00642E36">
      <w:pPr>
        <w:spacing w:after="0" w:line="240" w:lineRule="auto"/>
        <w:rPr>
          <w:rFonts w:ascii="Arial" w:hAnsi="Arial" w:cs="Arial"/>
          <w:color w:val="231F20"/>
          <w:sz w:val="20"/>
          <w:szCs w:val="20"/>
        </w:rPr>
      </w:pPr>
    </w:p>
    <w:p w:rsidR="002F22B4" w:rsidRDefault="002B04FB" w:rsidP="00642E36">
      <w:pPr>
        <w:pStyle w:val="ListParagraph"/>
        <w:numPr>
          <w:ilvl w:val="0"/>
          <w:numId w:val="33"/>
        </w:numPr>
        <w:spacing w:after="0" w:line="240" w:lineRule="auto"/>
        <w:rPr>
          <w:rFonts w:ascii="Arial" w:hAnsi="Arial" w:cs="Arial"/>
          <w:color w:val="231F20"/>
          <w:sz w:val="20"/>
          <w:szCs w:val="20"/>
        </w:rPr>
      </w:pPr>
      <w:r>
        <w:rPr>
          <w:rFonts w:ascii="Arial" w:hAnsi="Arial" w:cs="Arial"/>
          <w:color w:val="231F20"/>
          <w:sz w:val="20"/>
          <w:szCs w:val="20"/>
        </w:rPr>
        <w:t>I</w:t>
      </w:r>
      <w:r w:rsidR="002F22B4">
        <w:rPr>
          <w:rFonts w:ascii="Arial" w:hAnsi="Arial" w:cs="Arial"/>
          <w:color w:val="231F20"/>
          <w:sz w:val="20"/>
          <w:szCs w:val="20"/>
        </w:rPr>
        <w:t>ndustry specific data and intelligence to support compliance and enforcement action</w:t>
      </w:r>
    </w:p>
    <w:p w:rsidR="002F22B4" w:rsidRDefault="002B04FB" w:rsidP="00642E36">
      <w:pPr>
        <w:pStyle w:val="ListParagraph"/>
        <w:numPr>
          <w:ilvl w:val="0"/>
          <w:numId w:val="33"/>
        </w:numPr>
        <w:spacing w:after="0" w:line="240" w:lineRule="auto"/>
        <w:rPr>
          <w:rFonts w:ascii="Arial" w:hAnsi="Arial" w:cs="Arial"/>
          <w:color w:val="231F20"/>
          <w:sz w:val="20"/>
          <w:szCs w:val="20"/>
        </w:rPr>
      </w:pPr>
      <w:r>
        <w:rPr>
          <w:rFonts w:ascii="Arial" w:hAnsi="Arial" w:cs="Arial"/>
          <w:color w:val="231F20"/>
          <w:sz w:val="20"/>
          <w:szCs w:val="20"/>
        </w:rPr>
        <w:t>I</w:t>
      </w:r>
      <w:r w:rsidR="002F22B4">
        <w:rPr>
          <w:rFonts w:ascii="Arial" w:hAnsi="Arial" w:cs="Arial"/>
          <w:color w:val="231F20"/>
          <w:sz w:val="20"/>
          <w:szCs w:val="20"/>
        </w:rPr>
        <w:t xml:space="preserve">nformation to provide the FWO with a better understanding of the operating environment, in particular the unique challenges faced by </w:t>
      </w:r>
      <w:r w:rsidR="00D26096">
        <w:rPr>
          <w:rFonts w:ascii="Arial" w:hAnsi="Arial" w:cs="Arial"/>
          <w:color w:val="231F20"/>
          <w:sz w:val="20"/>
          <w:szCs w:val="20"/>
        </w:rPr>
        <w:t xml:space="preserve">certain industries </w:t>
      </w:r>
      <w:r w:rsidR="002F22B4">
        <w:rPr>
          <w:rFonts w:ascii="Arial" w:hAnsi="Arial" w:cs="Arial"/>
          <w:color w:val="231F20"/>
          <w:sz w:val="20"/>
          <w:szCs w:val="20"/>
        </w:rPr>
        <w:t>or groups</w:t>
      </w:r>
    </w:p>
    <w:p w:rsidR="002F22B4" w:rsidRPr="002F22B4" w:rsidRDefault="002B04FB" w:rsidP="00642E36">
      <w:pPr>
        <w:pStyle w:val="ListParagraph"/>
        <w:numPr>
          <w:ilvl w:val="0"/>
          <w:numId w:val="33"/>
        </w:numPr>
        <w:spacing w:after="0" w:line="240" w:lineRule="auto"/>
        <w:rPr>
          <w:rFonts w:ascii="Arial" w:hAnsi="Arial" w:cs="Arial"/>
          <w:color w:val="231F20"/>
          <w:sz w:val="20"/>
          <w:szCs w:val="20"/>
        </w:rPr>
      </w:pPr>
      <w:r>
        <w:rPr>
          <w:rFonts w:ascii="Arial" w:hAnsi="Arial" w:cs="Arial"/>
          <w:color w:val="231F20"/>
          <w:sz w:val="20"/>
          <w:szCs w:val="20"/>
        </w:rPr>
        <w:t>I</w:t>
      </w:r>
      <w:r w:rsidR="002F22B4">
        <w:rPr>
          <w:rFonts w:ascii="Arial" w:hAnsi="Arial" w:cs="Arial"/>
          <w:color w:val="231F20"/>
          <w:sz w:val="20"/>
          <w:szCs w:val="20"/>
        </w:rPr>
        <w:t>nformation about projects, events or initiatives that may support or complement</w:t>
      </w:r>
      <w:r w:rsidR="00751B76">
        <w:rPr>
          <w:rFonts w:ascii="Arial" w:hAnsi="Arial" w:cs="Arial"/>
          <w:color w:val="231F20"/>
          <w:sz w:val="20"/>
          <w:szCs w:val="20"/>
        </w:rPr>
        <w:t xml:space="preserve"> the work undertaken by the FWO.</w:t>
      </w:r>
      <w:r w:rsidR="002F22B4">
        <w:rPr>
          <w:rFonts w:ascii="Arial" w:hAnsi="Arial" w:cs="Arial"/>
          <w:color w:val="231F20"/>
          <w:sz w:val="20"/>
          <w:szCs w:val="20"/>
        </w:rPr>
        <w:t xml:space="preserve">   </w:t>
      </w:r>
    </w:p>
    <w:p w:rsidR="007C45BB" w:rsidRDefault="007C45BB" w:rsidP="00642E36">
      <w:pPr>
        <w:spacing w:after="0" w:line="240" w:lineRule="auto"/>
        <w:rPr>
          <w:rFonts w:ascii="Arial" w:hAnsi="Arial" w:cs="Arial"/>
          <w:color w:val="231F20"/>
          <w:sz w:val="20"/>
          <w:szCs w:val="20"/>
        </w:rPr>
      </w:pPr>
    </w:p>
    <w:p w:rsidR="00881686" w:rsidRPr="00881686" w:rsidRDefault="00881686" w:rsidP="00642E36">
      <w:pPr>
        <w:spacing w:after="0" w:line="240" w:lineRule="auto"/>
        <w:rPr>
          <w:rFonts w:ascii="Arial" w:hAnsi="Arial" w:cs="Arial"/>
          <w:color w:val="231F20"/>
          <w:sz w:val="20"/>
          <w:szCs w:val="20"/>
        </w:rPr>
      </w:pPr>
      <w:r w:rsidRPr="00881686">
        <w:rPr>
          <w:rFonts w:ascii="Arial" w:hAnsi="Arial" w:cs="Arial"/>
          <w:color w:val="231F20"/>
          <w:sz w:val="20"/>
          <w:szCs w:val="20"/>
        </w:rPr>
        <w:t>The FWO also meets regularly with a range of other government regulators to discuss ways to leverage off work</w:t>
      </w:r>
      <w:r w:rsidR="007C45BB">
        <w:rPr>
          <w:rFonts w:ascii="Arial" w:hAnsi="Arial" w:cs="Arial"/>
          <w:color w:val="231F20"/>
          <w:sz w:val="20"/>
          <w:szCs w:val="20"/>
        </w:rPr>
        <w:t xml:space="preserve"> that is already underway, in order to</w:t>
      </w:r>
      <w:r w:rsidRPr="00881686">
        <w:rPr>
          <w:rFonts w:ascii="Arial" w:hAnsi="Arial" w:cs="Arial"/>
          <w:color w:val="231F20"/>
          <w:sz w:val="20"/>
          <w:szCs w:val="20"/>
        </w:rPr>
        <w:t xml:space="preserve"> minimise the burden and cost for regulated entities dealing with multiple regulators in different jurisdictions.</w:t>
      </w:r>
    </w:p>
    <w:p w:rsidR="00881686" w:rsidRDefault="00881686" w:rsidP="00642E36">
      <w:pPr>
        <w:spacing w:after="0" w:line="240" w:lineRule="auto"/>
        <w:rPr>
          <w:rFonts w:ascii="Arial" w:hAnsi="Arial" w:cs="Arial"/>
          <w:color w:val="231F20"/>
          <w:sz w:val="20"/>
          <w:szCs w:val="20"/>
        </w:rPr>
      </w:pPr>
    </w:p>
    <w:p w:rsidR="009D2A87" w:rsidRDefault="009D2A87" w:rsidP="00642E36">
      <w:pPr>
        <w:spacing w:after="0" w:line="240" w:lineRule="auto"/>
        <w:rPr>
          <w:rFonts w:ascii="Arial" w:hAnsi="Arial" w:cs="Arial"/>
          <w:color w:val="231F20"/>
          <w:sz w:val="20"/>
          <w:szCs w:val="20"/>
        </w:rPr>
      </w:pPr>
      <w:r>
        <w:rPr>
          <w:rFonts w:ascii="Myriad Pro" w:hAnsi="Myriad Pro" w:cs="Arial"/>
          <w:color w:val="31849B" w:themeColor="accent5" w:themeShade="BF"/>
          <w:sz w:val="24"/>
          <w:szCs w:val="24"/>
        </w:rPr>
        <w:t>Memoranda of understandings</w:t>
      </w:r>
    </w:p>
    <w:p w:rsidR="009D2A87" w:rsidRPr="00D621B5" w:rsidRDefault="009D2A87" w:rsidP="00642E36">
      <w:pPr>
        <w:spacing w:after="0" w:line="240" w:lineRule="auto"/>
        <w:rPr>
          <w:rFonts w:ascii="Arial" w:hAnsi="Arial" w:cs="Arial"/>
          <w:color w:val="231F20"/>
          <w:sz w:val="20"/>
          <w:szCs w:val="20"/>
        </w:rPr>
      </w:pPr>
    </w:p>
    <w:p w:rsidR="00881686" w:rsidRPr="00D75649" w:rsidRDefault="00720938" w:rsidP="00D75649">
      <w:pPr>
        <w:pStyle w:val="Header"/>
        <w:rPr>
          <w:rFonts w:ascii="Arial" w:hAnsi="Arial" w:cs="Arial"/>
          <w:sz w:val="20"/>
          <w:szCs w:val="20"/>
        </w:rPr>
      </w:pPr>
      <w:r w:rsidRPr="00D621B5">
        <w:rPr>
          <w:rFonts w:ascii="Arial" w:hAnsi="Arial" w:cs="Arial"/>
          <w:color w:val="231F20"/>
          <w:sz w:val="20"/>
          <w:szCs w:val="20"/>
        </w:rPr>
        <w:t xml:space="preserve">The </w:t>
      </w:r>
      <w:r w:rsidR="00881686" w:rsidRPr="00D621B5">
        <w:rPr>
          <w:rFonts w:ascii="Arial" w:hAnsi="Arial" w:cs="Arial"/>
          <w:color w:val="231F20"/>
          <w:sz w:val="20"/>
          <w:szCs w:val="20"/>
        </w:rPr>
        <w:t xml:space="preserve">FWO has </w:t>
      </w:r>
      <w:r w:rsidRPr="00D621B5">
        <w:rPr>
          <w:rFonts w:ascii="Arial" w:hAnsi="Arial" w:cs="Arial"/>
          <w:color w:val="231F20"/>
          <w:sz w:val="20"/>
          <w:szCs w:val="20"/>
        </w:rPr>
        <w:t>memoranda of understandings (</w:t>
      </w:r>
      <w:r w:rsidR="00881686" w:rsidRPr="00D621B5">
        <w:rPr>
          <w:rFonts w:ascii="Arial" w:hAnsi="Arial" w:cs="Arial"/>
          <w:color w:val="231F20"/>
          <w:sz w:val="20"/>
          <w:szCs w:val="20"/>
        </w:rPr>
        <w:t>MoUs</w:t>
      </w:r>
      <w:r w:rsidRPr="00D621B5">
        <w:rPr>
          <w:rFonts w:ascii="Arial" w:hAnsi="Arial" w:cs="Arial"/>
          <w:color w:val="231F20"/>
          <w:sz w:val="20"/>
          <w:szCs w:val="20"/>
        </w:rPr>
        <w:t>) with the</w:t>
      </w:r>
      <w:r w:rsidR="00881686" w:rsidRPr="00D621B5">
        <w:rPr>
          <w:rFonts w:ascii="Arial" w:hAnsi="Arial" w:cs="Arial"/>
          <w:color w:val="231F20"/>
          <w:sz w:val="20"/>
          <w:szCs w:val="20"/>
        </w:rPr>
        <w:t xml:space="preserve"> organisations</w:t>
      </w:r>
      <w:r w:rsidRPr="00D621B5">
        <w:rPr>
          <w:rFonts w:ascii="Arial" w:hAnsi="Arial" w:cs="Arial"/>
          <w:color w:val="231F20"/>
          <w:sz w:val="20"/>
          <w:szCs w:val="20"/>
        </w:rPr>
        <w:t xml:space="preserve"> </w:t>
      </w:r>
      <w:r w:rsidR="00751B76">
        <w:rPr>
          <w:rFonts w:ascii="Arial" w:hAnsi="Arial" w:cs="Arial"/>
          <w:color w:val="231F20"/>
          <w:sz w:val="20"/>
          <w:szCs w:val="20"/>
        </w:rPr>
        <w:t>listed</w:t>
      </w:r>
      <w:r w:rsidRPr="00D621B5">
        <w:rPr>
          <w:rFonts w:ascii="Arial" w:hAnsi="Arial" w:cs="Arial"/>
          <w:color w:val="231F20"/>
          <w:sz w:val="20"/>
          <w:szCs w:val="20"/>
        </w:rPr>
        <w:t xml:space="preserve"> below. These agreements set out the terms of a relationship </w:t>
      </w:r>
      <w:r w:rsidRPr="00D75649">
        <w:rPr>
          <w:rFonts w:ascii="Arial" w:hAnsi="Arial" w:cs="Arial"/>
          <w:sz w:val="20"/>
          <w:szCs w:val="20"/>
        </w:rPr>
        <w:t>between the FWO and key stakeholders</w:t>
      </w:r>
      <w:r w:rsidR="00881686" w:rsidRPr="00D75649">
        <w:rPr>
          <w:rFonts w:ascii="Arial" w:hAnsi="Arial" w:cs="Arial"/>
          <w:sz w:val="20"/>
          <w:szCs w:val="20"/>
        </w:rPr>
        <w:t>:</w:t>
      </w:r>
    </w:p>
    <w:p w:rsidR="00881686" w:rsidRPr="00881686" w:rsidRDefault="00881686" w:rsidP="00642E36">
      <w:pPr>
        <w:spacing w:after="0" w:line="240" w:lineRule="auto"/>
        <w:rPr>
          <w:rFonts w:ascii="Arial" w:hAnsi="Arial" w:cs="Arial"/>
          <w:color w:val="231F20"/>
          <w:sz w:val="20"/>
          <w:szCs w:val="20"/>
        </w:rPr>
      </w:pPr>
    </w:p>
    <w:p w:rsidR="007C45BB" w:rsidRPr="00477D9E" w:rsidRDefault="007C45BB" w:rsidP="00642E36">
      <w:pPr>
        <w:pStyle w:val="ListParagraph"/>
        <w:spacing w:after="0" w:line="240" w:lineRule="auto"/>
        <w:ind w:left="0"/>
        <w:rPr>
          <w:rFonts w:ascii="Myriad Pro" w:hAnsi="Myriad Pro" w:cs="Arial"/>
          <w:i/>
          <w:color w:val="31849B" w:themeColor="accent5" w:themeShade="BF"/>
          <w:sz w:val="24"/>
          <w:szCs w:val="24"/>
        </w:rPr>
      </w:pPr>
      <w:r w:rsidRPr="00477D9E">
        <w:rPr>
          <w:rFonts w:ascii="Myriad Pro" w:hAnsi="Myriad Pro" w:cs="Arial"/>
          <w:i/>
          <w:color w:val="31849B" w:themeColor="accent5" w:themeShade="BF"/>
          <w:sz w:val="24"/>
          <w:szCs w:val="24"/>
        </w:rPr>
        <w:t>Government</w:t>
      </w:r>
    </w:p>
    <w:p w:rsidR="00680AAD" w:rsidRDefault="00680AAD" w:rsidP="00642E36">
      <w:pPr>
        <w:pStyle w:val="ListParagraph"/>
        <w:spacing w:after="0" w:line="240" w:lineRule="auto"/>
        <w:rPr>
          <w:rFonts w:ascii="Arial" w:hAnsi="Arial" w:cs="Arial"/>
          <w:b/>
          <w:color w:val="231F20"/>
          <w:sz w:val="20"/>
          <w:szCs w:val="20"/>
        </w:rPr>
      </w:pPr>
    </w:p>
    <w:p w:rsidR="00881686" w:rsidRPr="00881686" w:rsidRDefault="00881686" w:rsidP="00642E36">
      <w:pPr>
        <w:pStyle w:val="ListParagraph"/>
        <w:numPr>
          <w:ilvl w:val="0"/>
          <w:numId w:val="31"/>
        </w:numPr>
        <w:spacing w:after="0" w:line="240" w:lineRule="auto"/>
        <w:rPr>
          <w:rFonts w:ascii="Arial" w:hAnsi="Arial" w:cs="Arial"/>
          <w:color w:val="231F20"/>
          <w:sz w:val="20"/>
          <w:szCs w:val="20"/>
        </w:rPr>
      </w:pPr>
      <w:r w:rsidRPr="00881686">
        <w:rPr>
          <w:rFonts w:ascii="Arial" w:hAnsi="Arial" w:cs="Arial"/>
          <w:color w:val="231F20"/>
          <w:sz w:val="20"/>
          <w:szCs w:val="20"/>
        </w:rPr>
        <w:t xml:space="preserve">Australian Taxation Office </w:t>
      </w:r>
    </w:p>
    <w:p w:rsidR="00881686" w:rsidRPr="00881686" w:rsidRDefault="00881686" w:rsidP="00642E36">
      <w:pPr>
        <w:pStyle w:val="ListParagraph"/>
        <w:numPr>
          <w:ilvl w:val="0"/>
          <w:numId w:val="31"/>
        </w:numPr>
        <w:spacing w:after="0" w:line="240" w:lineRule="auto"/>
        <w:rPr>
          <w:rFonts w:ascii="Arial" w:hAnsi="Arial" w:cs="Arial"/>
          <w:b/>
          <w:color w:val="231F20"/>
          <w:sz w:val="20"/>
          <w:szCs w:val="20"/>
        </w:rPr>
      </w:pPr>
      <w:r w:rsidRPr="00881686">
        <w:rPr>
          <w:rFonts w:ascii="Arial" w:hAnsi="Arial" w:cs="Arial"/>
          <w:color w:val="231F20"/>
          <w:sz w:val="20"/>
          <w:szCs w:val="20"/>
        </w:rPr>
        <w:t>Australian Defence Force</w:t>
      </w:r>
    </w:p>
    <w:p w:rsidR="00881686" w:rsidRPr="00881686" w:rsidRDefault="00881686" w:rsidP="00642E36">
      <w:pPr>
        <w:pStyle w:val="ListParagraph"/>
        <w:numPr>
          <w:ilvl w:val="0"/>
          <w:numId w:val="31"/>
        </w:numPr>
        <w:spacing w:after="0" w:line="240" w:lineRule="auto"/>
        <w:rPr>
          <w:rFonts w:ascii="Arial" w:hAnsi="Arial" w:cs="Arial"/>
          <w:b/>
          <w:color w:val="231F20"/>
          <w:sz w:val="20"/>
          <w:szCs w:val="20"/>
        </w:rPr>
      </w:pPr>
      <w:r w:rsidRPr="00881686">
        <w:rPr>
          <w:rFonts w:ascii="Arial" w:hAnsi="Arial" w:cs="Arial"/>
          <w:color w:val="231F20"/>
          <w:sz w:val="20"/>
          <w:szCs w:val="20"/>
        </w:rPr>
        <w:t>Department of Immigration and Border Control</w:t>
      </w:r>
    </w:p>
    <w:p w:rsidR="00881686" w:rsidRPr="00881686" w:rsidRDefault="00881686" w:rsidP="00642E36">
      <w:pPr>
        <w:pStyle w:val="ListParagraph"/>
        <w:numPr>
          <w:ilvl w:val="0"/>
          <w:numId w:val="31"/>
        </w:numPr>
        <w:spacing w:after="0" w:line="240" w:lineRule="auto"/>
        <w:rPr>
          <w:rFonts w:ascii="Arial" w:hAnsi="Arial" w:cs="Arial"/>
          <w:color w:val="231F20"/>
          <w:sz w:val="20"/>
          <w:szCs w:val="20"/>
        </w:rPr>
      </w:pPr>
      <w:r w:rsidRPr="00881686">
        <w:rPr>
          <w:rFonts w:ascii="Arial" w:hAnsi="Arial" w:cs="Arial"/>
          <w:color w:val="231F20"/>
          <w:sz w:val="20"/>
          <w:szCs w:val="20"/>
        </w:rPr>
        <w:t>Fair Work Commission</w:t>
      </w:r>
    </w:p>
    <w:p w:rsidR="00881686" w:rsidRDefault="00881686" w:rsidP="00642E36">
      <w:pPr>
        <w:pStyle w:val="ListParagraph"/>
        <w:numPr>
          <w:ilvl w:val="0"/>
          <w:numId w:val="31"/>
        </w:numPr>
        <w:spacing w:after="0" w:line="240" w:lineRule="auto"/>
        <w:rPr>
          <w:rFonts w:ascii="Arial" w:hAnsi="Arial" w:cs="Arial"/>
          <w:color w:val="231F20"/>
          <w:sz w:val="20"/>
          <w:szCs w:val="20"/>
        </w:rPr>
      </w:pPr>
      <w:r w:rsidRPr="00881686">
        <w:rPr>
          <w:rFonts w:ascii="Arial" w:hAnsi="Arial" w:cs="Arial"/>
          <w:color w:val="231F20"/>
          <w:sz w:val="20"/>
          <w:szCs w:val="20"/>
        </w:rPr>
        <w:t>Victorian Registration &amp; Qualifications Authority</w:t>
      </w:r>
    </w:p>
    <w:p w:rsidR="00D26096" w:rsidRPr="00881686" w:rsidRDefault="00D26096" w:rsidP="00642E36">
      <w:pPr>
        <w:pStyle w:val="ListParagraph"/>
        <w:numPr>
          <w:ilvl w:val="0"/>
          <w:numId w:val="31"/>
        </w:numPr>
        <w:spacing w:after="0" w:line="240" w:lineRule="auto"/>
        <w:rPr>
          <w:rFonts w:ascii="Arial" w:hAnsi="Arial" w:cs="Arial"/>
          <w:color w:val="231F20"/>
          <w:sz w:val="20"/>
          <w:szCs w:val="20"/>
        </w:rPr>
      </w:pPr>
      <w:r>
        <w:rPr>
          <w:rFonts w:ascii="Arial" w:hAnsi="Arial" w:cs="Arial"/>
          <w:color w:val="231F20"/>
          <w:sz w:val="20"/>
          <w:szCs w:val="20"/>
        </w:rPr>
        <w:t>Australian Securities and Investments Commission</w:t>
      </w:r>
    </w:p>
    <w:p w:rsidR="00F80344" w:rsidRPr="00F80344" w:rsidRDefault="00F80344" w:rsidP="00642E36">
      <w:pPr>
        <w:pStyle w:val="ListParagraph"/>
        <w:spacing w:after="0" w:line="240" w:lineRule="auto"/>
        <w:rPr>
          <w:rFonts w:ascii="Arial" w:hAnsi="Arial" w:cs="Arial"/>
          <w:color w:val="231F20"/>
          <w:sz w:val="20"/>
          <w:szCs w:val="20"/>
        </w:rPr>
      </w:pPr>
    </w:p>
    <w:p w:rsidR="007C45BB" w:rsidRPr="00477D9E" w:rsidRDefault="007C45BB" w:rsidP="00642E36">
      <w:pPr>
        <w:pStyle w:val="ListParagraph"/>
        <w:spacing w:after="0" w:line="240" w:lineRule="auto"/>
        <w:ind w:left="0"/>
        <w:rPr>
          <w:rFonts w:ascii="Myriad Pro" w:hAnsi="Myriad Pro" w:cs="Arial"/>
          <w:i/>
          <w:color w:val="31849B" w:themeColor="accent5" w:themeShade="BF"/>
          <w:sz w:val="24"/>
          <w:szCs w:val="24"/>
        </w:rPr>
      </w:pPr>
      <w:r w:rsidRPr="00477D9E">
        <w:rPr>
          <w:rFonts w:ascii="Myriad Pro" w:hAnsi="Myriad Pro" w:cs="Arial"/>
          <w:i/>
          <w:color w:val="31849B" w:themeColor="accent5" w:themeShade="BF"/>
          <w:sz w:val="24"/>
          <w:szCs w:val="24"/>
        </w:rPr>
        <w:t>Non-government</w:t>
      </w:r>
    </w:p>
    <w:p w:rsidR="00881686" w:rsidRPr="00881686" w:rsidRDefault="00881686" w:rsidP="00642E36">
      <w:pPr>
        <w:pStyle w:val="ListParagraph"/>
        <w:spacing w:after="0" w:line="240" w:lineRule="auto"/>
        <w:rPr>
          <w:rFonts w:ascii="Arial" w:hAnsi="Arial" w:cs="Arial"/>
          <w:color w:val="231F20"/>
          <w:sz w:val="20"/>
          <w:szCs w:val="20"/>
        </w:rPr>
      </w:pPr>
    </w:p>
    <w:p w:rsidR="00881686" w:rsidRPr="00881686" w:rsidRDefault="00881686" w:rsidP="00642E36">
      <w:pPr>
        <w:pStyle w:val="ListParagraph"/>
        <w:numPr>
          <w:ilvl w:val="0"/>
          <w:numId w:val="31"/>
        </w:numPr>
        <w:spacing w:after="0" w:line="240" w:lineRule="auto"/>
        <w:rPr>
          <w:rFonts w:ascii="Arial" w:hAnsi="Arial" w:cs="Arial"/>
          <w:color w:val="231F20"/>
          <w:sz w:val="20"/>
          <w:szCs w:val="20"/>
        </w:rPr>
      </w:pPr>
      <w:r w:rsidRPr="00881686">
        <w:rPr>
          <w:rFonts w:ascii="Arial" w:hAnsi="Arial" w:cs="Arial"/>
          <w:color w:val="231F20"/>
          <w:sz w:val="20"/>
          <w:szCs w:val="20"/>
        </w:rPr>
        <w:t>Accommodation Association of Australia</w:t>
      </w:r>
    </w:p>
    <w:p w:rsidR="00881686" w:rsidRPr="00881686" w:rsidRDefault="00881686" w:rsidP="00642E36">
      <w:pPr>
        <w:pStyle w:val="ListParagraph"/>
        <w:numPr>
          <w:ilvl w:val="0"/>
          <w:numId w:val="31"/>
        </w:numPr>
        <w:spacing w:after="0" w:line="240" w:lineRule="auto"/>
        <w:rPr>
          <w:rFonts w:ascii="Arial" w:hAnsi="Arial" w:cs="Arial"/>
          <w:color w:val="231F20"/>
          <w:sz w:val="20"/>
          <w:szCs w:val="20"/>
        </w:rPr>
      </w:pPr>
      <w:r w:rsidRPr="00881686">
        <w:rPr>
          <w:rFonts w:ascii="Arial" w:hAnsi="Arial" w:cs="Arial"/>
          <w:color w:val="231F20"/>
          <w:sz w:val="20"/>
          <w:szCs w:val="20"/>
        </w:rPr>
        <w:t>Australian Hotels Association</w:t>
      </w:r>
    </w:p>
    <w:p w:rsidR="00881686" w:rsidRPr="00881686" w:rsidRDefault="00881686" w:rsidP="00642E36">
      <w:pPr>
        <w:pStyle w:val="ListParagraph"/>
        <w:numPr>
          <w:ilvl w:val="0"/>
          <w:numId w:val="31"/>
        </w:numPr>
        <w:spacing w:after="0" w:line="240" w:lineRule="auto"/>
        <w:rPr>
          <w:rFonts w:ascii="Arial" w:hAnsi="Arial" w:cs="Arial"/>
          <w:color w:val="231F20"/>
          <w:sz w:val="20"/>
          <w:szCs w:val="20"/>
        </w:rPr>
      </w:pPr>
      <w:r w:rsidRPr="00881686">
        <w:rPr>
          <w:rFonts w:ascii="Arial" w:hAnsi="Arial" w:cs="Arial"/>
          <w:color w:val="231F20"/>
          <w:sz w:val="20"/>
          <w:szCs w:val="20"/>
        </w:rPr>
        <w:t xml:space="preserve">Australian Security </w:t>
      </w:r>
      <w:r w:rsidR="00536FD4">
        <w:rPr>
          <w:rFonts w:ascii="Arial" w:hAnsi="Arial" w:cs="Arial"/>
          <w:color w:val="231F20"/>
          <w:sz w:val="20"/>
          <w:szCs w:val="20"/>
        </w:rPr>
        <w:t xml:space="preserve">Industry </w:t>
      </w:r>
      <w:r w:rsidRPr="00881686">
        <w:rPr>
          <w:rFonts w:ascii="Arial" w:hAnsi="Arial" w:cs="Arial"/>
          <w:color w:val="231F20"/>
          <w:sz w:val="20"/>
          <w:szCs w:val="20"/>
        </w:rPr>
        <w:t>Association Limited</w:t>
      </w:r>
    </w:p>
    <w:p w:rsidR="00881686" w:rsidRPr="00881686" w:rsidRDefault="00881686" w:rsidP="00642E36">
      <w:pPr>
        <w:pStyle w:val="ListParagraph"/>
        <w:numPr>
          <w:ilvl w:val="0"/>
          <w:numId w:val="31"/>
        </w:numPr>
        <w:spacing w:after="0" w:line="240" w:lineRule="auto"/>
        <w:rPr>
          <w:rFonts w:ascii="Arial" w:hAnsi="Arial" w:cs="Arial"/>
          <w:color w:val="231F20"/>
          <w:sz w:val="20"/>
          <w:szCs w:val="20"/>
        </w:rPr>
      </w:pPr>
      <w:r w:rsidRPr="00881686">
        <w:rPr>
          <w:rFonts w:ascii="Arial" w:hAnsi="Arial" w:cs="Arial"/>
          <w:color w:val="231F20"/>
          <w:sz w:val="20"/>
          <w:szCs w:val="20"/>
        </w:rPr>
        <w:t>National Union of Workers</w:t>
      </w:r>
    </w:p>
    <w:p w:rsidR="00881686" w:rsidRPr="00881686" w:rsidRDefault="00881686" w:rsidP="00642E36">
      <w:pPr>
        <w:pStyle w:val="ListParagraph"/>
        <w:numPr>
          <w:ilvl w:val="0"/>
          <w:numId w:val="31"/>
        </w:numPr>
        <w:spacing w:after="0" w:line="240" w:lineRule="auto"/>
        <w:rPr>
          <w:rFonts w:ascii="Arial" w:hAnsi="Arial" w:cs="Arial"/>
          <w:color w:val="231F20"/>
          <w:sz w:val="20"/>
          <w:szCs w:val="20"/>
        </w:rPr>
      </w:pPr>
      <w:r w:rsidRPr="00881686">
        <w:rPr>
          <w:rFonts w:ascii="Arial" w:hAnsi="Arial" w:cs="Arial"/>
          <w:color w:val="231F20"/>
          <w:sz w:val="20"/>
          <w:szCs w:val="20"/>
        </w:rPr>
        <w:t xml:space="preserve">Restaurant and Catering Association </w:t>
      </w:r>
    </w:p>
    <w:p w:rsidR="004322A4" w:rsidRPr="00881686" w:rsidRDefault="00881686" w:rsidP="00642E36">
      <w:pPr>
        <w:pStyle w:val="ListParagraph"/>
        <w:numPr>
          <w:ilvl w:val="0"/>
          <w:numId w:val="31"/>
        </w:numPr>
        <w:spacing w:after="0" w:line="240" w:lineRule="auto"/>
        <w:rPr>
          <w:rFonts w:ascii="Arial" w:hAnsi="Arial" w:cs="Arial"/>
          <w:color w:val="231F20"/>
          <w:sz w:val="20"/>
          <w:szCs w:val="20"/>
        </w:rPr>
      </w:pPr>
      <w:r w:rsidRPr="00881686">
        <w:rPr>
          <w:rFonts w:ascii="Arial" w:hAnsi="Arial" w:cs="Arial"/>
          <w:color w:val="231F20"/>
          <w:sz w:val="20"/>
          <w:szCs w:val="20"/>
        </w:rPr>
        <w:t>Shop Distributive &amp; Allied Employees Association</w:t>
      </w:r>
    </w:p>
    <w:p w:rsidR="004322A4" w:rsidRDefault="004322A4" w:rsidP="00642E36">
      <w:pPr>
        <w:spacing w:after="0" w:line="240" w:lineRule="auto"/>
        <w:rPr>
          <w:rFonts w:ascii="Arial" w:hAnsi="Arial" w:cs="Arial"/>
          <w:sz w:val="20"/>
          <w:szCs w:val="20"/>
        </w:rPr>
      </w:pPr>
    </w:p>
    <w:p w:rsidR="007C45BB" w:rsidRPr="00881686" w:rsidRDefault="007C45BB" w:rsidP="00642E36">
      <w:pPr>
        <w:spacing w:after="0" w:line="240" w:lineRule="auto"/>
        <w:rPr>
          <w:rFonts w:ascii="Arial" w:hAnsi="Arial" w:cs="Arial"/>
          <w:sz w:val="20"/>
          <w:szCs w:val="20"/>
        </w:rPr>
      </w:pPr>
    </w:p>
    <w:p w:rsidR="00F80344" w:rsidRPr="00F80344" w:rsidRDefault="00F80344"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F80344" w:rsidRDefault="00F80344" w:rsidP="00642E36">
      <w:pPr>
        <w:spacing w:after="0" w:line="240" w:lineRule="auto"/>
        <w:rPr>
          <w:rFonts w:ascii="Arial" w:hAnsi="Arial" w:cs="Arial"/>
          <w:sz w:val="20"/>
          <w:szCs w:val="20"/>
        </w:rPr>
      </w:pPr>
    </w:p>
    <w:p w:rsidR="004322A4" w:rsidRDefault="00F80344" w:rsidP="00642E36">
      <w:pPr>
        <w:spacing w:after="0" w:line="240" w:lineRule="auto"/>
        <w:rPr>
          <w:rFonts w:ascii="Arial" w:hAnsi="Arial" w:cs="Arial"/>
          <w:sz w:val="20"/>
          <w:szCs w:val="20"/>
        </w:rPr>
      </w:pPr>
      <w:r>
        <w:rPr>
          <w:rFonts w:ascii="Arial" w:hAnsi="Arial" w:cs="Arial"/>
          <w:sz w:val="20"/>
          <w:szCs w:val="20"/>
        </w:rPr>
        <w:t xml:space="preserve">The following case studies demonstrate how the FWO has achieved this measure (see </w:t>
      </w:r>
      <w:r w:rsidRPr="00F80344">
        <w:rPr>
          <w:rFonts w:ascii="Arial" w:hAnsi="Arial" w:cs="Arial"/>
          <w:b/>
          <w:sz w:val="20"/>
          <w:szCs w:val="20"/>
        </w:rPr>
        <w:t>Appendix</w:t>
      </w:r>
      <w:r>
        <w:rPr>
          <w:rFonts w:ascii="Arial" w:hAnsi="Arial" w:cs="Arial"/>
          <w:sz w:val="20"/>
          <w:szCs w:val="20"/>
        </w:rPr>
        <w:t>):</w:t>
      </w:r>
    </w:p>
    <w:p w:rsidR="00F80344" w:rsidRPr="00881686" w:rsidRDefault="00F80344" w:rsidP="00642E36">
      <w:pPr>
        <w:spacing w:after="0" w:line="240" w:lineRule="auto"/>
        <w:rPr>
          <w:rFonts w:ascii="Arial" w:hAnsi="Arial" w:cs="Arial"/>
          <w:sz w:val="20"/>
          <w:szCs w:val="20"/>
        </w:rPr>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Pr>
      <w:tblGrid>
        <w:gridCol w:w="1384"/>
        <w:gridCol w:w="1142"/>
        <w:gridCol w:w="1143"/>
        <w:gridCol w:w="1142"/>
        <w:gridCol w:w="1143"/>
        <w:gridCol w:w="1142"/>
        <w:gridCol w:w="1143"/>
        <w:gridCol w:w="1123"/>
      </w:tblGrid>
      <w:tr w:rsidR="00881686" w:rsidRPr="00881686" w:rsidTr="00951510">
        <w:trPr>
          <w:cantSplit/>
          <w:trHeight w:val="454"/>
          <w:tblHeader/>
        </w:trPr>
        <w:tc>
          <w:tcPr>
            <w:tcW w:w="1384" w:type="dxa"/>
            <w:shd w:val="clear" w:color="auto" w:fill="DAEEF3" w:themeFill="accent5" w:themeFillTint="33"/>
            <w:vAlign w:val="center"/>
          </w:tcPr>
          <w:p w:rsidR="00881686" w:rsidRPr="00881686" w:rsidRDefault="007C45BB" w:rsidP="00642E36">
            <w:pPr>
              <w:rPr>
                <w:rFonts w:ascii="Myriad Pro" w:hAnsi="Myriad Pro" w:cs="Arial"/>
                <w:color w:val="31849B" w:themeColor="accent5" w:themeShade="BF"/>
              </w:rPr>
            </w:pPr>
            <w:r>
              <w:rPr>
                <w:rFonts w:ascii="Myriad Pro" w:hAnsi="Myriad Pro" w:cs="Arial"/>
                <w:color w:val="31849B" w:themeColor="accent5" w:themeShade="BF"/>
              </w:rPr>
              <w:t>Case study</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1</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2</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3</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4</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5</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6</w:t>
            </w:r>
          </w:p>
        </w:tc>
        <w:tc>
          <w:tcPr>
            <w:tcW w:w="112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7</w:t>
            </w:r>
          </w:p>
        </w:tc>
      </w:tr>
      <w:tr w:rsidR="00881686" w:rsidRPr="00881686" w:rsidTr="00881686">
        <w:trPr>
          <w:cantSplit/>
          <w:trHeight w:val="454"/>
        </w:trPr>
        <w:tc>
          <w:tcPr>
            <w:tcW w:w="1384" w:type="dxa"/>
            <w:vAlign w:val="center"/>
          </w:tcPr>
          <w:p w:rsidR="00881686" w:rsidRPr="00881686" w:rsidRDefault="00881686" w:rsidP="00642E36">
            <w:pPr>
              <w:jc w:val="center"/>
              <w:rPr>
                <w:rFonts w:ascii="Myriad Pro" w:hAnsi="Myriad Pro" w:cs="Arial"/>
              </w:rPr>
            </w:pPr>
            <w:r w:rsidRPr="00881686">
              <w:rPr>
                <w:rFonts w:ascii="Myriad Pro" w:hAnsi="Myriad Pro" w:cs="Arial"/>
              </w:rPr>
              <w:t xml:space="preserve">Measure </w:t>
            </w:r>
            <w:r>
              <w:rPr>
                <w:rFonts w:ascii="Myriad Pro" w:hAnsi="Myriad Pro" w:cs="Arial"/>
              </w:rPr>
              <w:t>4</w:t>
            </w:r>
            <w:r w:rsidRPr="00881686">
              <w:rPr>
                <w:rFonts w:ascii="Myriad Pro" w:hAnsi="Myriad Pro" w:cs="Arial"/>
              </w:rPr>
              <w:t>.</w:t>
            </w:r>
            <w:r>
              <w:rPr>
                <w:rFonts w:ascii="Myriad Pro" w:hAnsi="Myriad Pro" w:cs="Arial"/>
              </w:rPr>
              <w:t>2</w:t>
            </w: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23"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r>
    </w:tbl>
    <w:p w:rsidR="004322A4" w:rsidRPr="00881686" w:rsidRDefault="004322A4" w:rsidP="00642E36">
      <w:pPr>
        <w:spacing w:after="0" w:line="240" w:lineRule="auto"/>
        <w:rPr>
          <w:rFonts w:ascii="Arial" w:hAnsi="Arial" w:cs="Arial"/>
          <w:sz w:val="20"/>
          <w:szCs w:val="20"/>
        </w:rPr>
      </w:pPr>
    </w:p>
    <w:p w:rsidR="004322A4" w:rsidRPr="00881686"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Default="004322A4" w:rsidP="00642E36">
      <w:pPr>
        <w:spacing w:after="0" w:line="240" w:lineRule="auto"/>
        <w:rPr>
          <w:rFonts w:ascii="Arial" w:hAnsi="Arial" w:cs="Arial"/>
          <w:sz w:val="20"/>
          <w:szCs w:val="20"/>
        </w:rPr>
      </w:pPr>
    </w:p>
    <w:p w:rsidR="004322A4" w:rsidRPr="004322A4" w:rsidRDefault="004322A4" w:rsidP="00642E36">
      <w:pPr>
        <w:pStyle w:val="Heading1"/>
        <w:spacing w:before="0" w:line="240" w:lineRule="auto"/>
        <w:rPr>
          <w:rFonts w:ascii="Myriad Pro" w:hAnsi="Myriad Pro"/>
          <w:b w:val="0"/>
          <w:color w:val="31849B" w:themeColor="accent5" w:themeShade="BF"/>
        </w:rPr>
      </w:pPr>
      <w:bookmarkStart w:id="16" w:name="_Toc460917308"/>
      <w:proofErr w:type="spellStart"/>
      <w:r w:rsidRPr="004322A4">
        <w:rPr>
          <w:rFonts w:ascii="Myriad Pro" w:hAnsi="Myriad Pro"/>
          <w:b w:val="0"/>
          <w:color w:val="31849B" w:themeColor="accent5" w:themeShade="BF"/>
        </w:rPr>
        <w:lastRenderedPageBreak/>
        <w:t>KPI</w:t>
      </w:r>
      <w:proofErr w:type="spellEnd"/>
      <w:r w:rsidRPr="004322A4">
        <w:rPr>
          <w:rFonts w:ascii="Myriad Pro" w:hAnsi="Myriad Pro"/>
          <w:b w:val="0"/>
          <w:color w:val="31849B" w:themeColor="accent5" w:themeShade="BF"/>
        </w:rPr>
        <w:t xml:space="preserve"> 5 – Regulators are open and transparent in their dealings with regulated entities</w:t>
      </w:r>
      <w:bookmarkEnd w:id="16"/>
    </w:p>
    <w:p w:rsidR="004322A4" w:rsidRPr="004322A4" w:rsidRDefault="004322A4" w:rsidP="00642E36">
      <w:pPr>
        <w:spacing w:after="0" w:line="240" w:lineRule="auto"/>
        <w:rPr>
          <w:rFonts w:ascii="Myriad Pro" w:hAnsi="Myriad Pro" w:cs="Arial"/>
          <w:i/>
          <w:color w:val="31849B" w:themeColor="accent5" w:themeShade="BF"/>
          <w:sz w:val="24"/>
          <w:szCs w:val="24"/>
        </w:rPr>
      </w:pPr>
    </w:p>
    <w:p w:rsidR="004322A4" w:rsidRPr="00886868" w:rsidRDefault="004322A4" w:rsidP="00642E36">
      <w:pPr>
        <w:pStyle w:val="Heading2"/>
        <w:spacing w:before="0" w:line="240" w:lineRule="auto"/>
        <w:rPr>
          <w:rFonts w:ascii="Myriad Pro" w:hAnsi="Myriad Pro"/>
          <w:b w:val="0"/>
          <w:i/>
          <w:color w:val="31849B" w:themeColor="accent5" w:themeShade="BF"/>
          <w:sz w:val="25"/>
          <w:szCs w:val="25"/>
        </w:rPr>
      </w:pPr>
      <w:bookmarkStart w:id="17" w:name="_Toc460917309"/>
      <w:r w:rsidRPr="00886868">
        <w:rPr>
          <w:rFonts w:ascii="Myriad Pro" w:hAnsi="Myriad Pro"/>
          <w:b w:val="0"/>
          <w:i/>
          <w:color w:val="31849B" w:themeColor="accent5" w:themeShade="BF"/>
          <w:sz w:val="25"/>
          <w:szCs w:val="25"/>
        </w:rPr>
        <w:t>Measure 5.1 – The FWO publishes key performance results in a timely manner to ensure accountability and transparency.</w:t>
      </w:r>
      <w:bookmarkEnd w:id="17"/>
    </w:p>
    <w:p w:rsidR="004322A4" w:rsidRDefault="004322A4" w:rsidP="00642E36">
      <w:pPr>
        <w:spacing w:after="0" w:line="240" w:lineRule="auto"/>
        <w:rPr>
          <w:rFonts w:ascii="Arial" w:hAnsi="Arial" w:cs="Arial"/>
          <w:color w:val="31849B" w:themeColor="accent5" w:themeShade="BF"/>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A</w:t>
      </w:r>
      <w:r w:rsidR="00D26096">
        <w:rPr>
          <w:rFonts w:ascii="Arial" w:hAnsi="Arial" w:cs="Arial"/>
          <w:sz w:val="20"/>
          <w:szCs w:val="20"/>
        </w:rPr>
        <w:t xml:space="preserve">ustralian </w:t>
      </w:r>
      <w:r w:rsidRPr="002F1A33">
        <w:rPr>
          <w:rFonts w:ascii="Arial" w:hAnsi="Arial" w:cs="Arial"/>
          <w:sz w:val="20"/>
          <w:szCs w:val="20"/>
        </w:rPr>
        <w:t>P</w:t>
      </w:r>
      <w:r w:rsidR="00D26096">
        <w:rPr>
          <w:rFonts w:ascii="Arial" w:hAnsi="Arial" w:cs="Arial"/>
          <w:sz w:val="20"/>
          <w:szCs w:val="20"/>
        </w:rPr>
        <w:t xml:space="preserve">ublic </w:t>
      </w:r>
      <w:r w:rsidRPr="002F1A33">
        <w:rPr>
          <w:rFonts w:ascii="Arial" w:hAnsi="Arial" w:cs="Arial"/>
          <w:sz w:val="20"/>
          <w:szCs w:val="20"/>
        </w:rPr>
        <w:t>S</w:t>
      </w:r>
      <w:r w:rsidR="00D26096">
        <w:rPr>
          <w:rFonts w:ascii="Arial" w:hAnsi="Arial" w:cs="Arial"/>
          <w:sz w:val="20"/>
          <w:szCs w:val="20"/>
        </w:rPr>
        <w:t>ervice (APS)</w:t>
      </w:r>
      <w:r w:rsidRPr="002F1A33">
        <w:rPr>
          <w:rFonts w:ascii="Arial" w:hAnsi="Arial" w:cs="Arial"/>
          <w:sz w:val="20"/>
          <w:szCs w:val="20"/>
        </w:rPr>
        <w:t xml:space="preserve"> agencies</w:t>
      </w:r>
      <w:r w:rsidR="00EF31DC">
        <w:rPr>
          <w:rFonts w:ascii="Arial" w:hAnsi="Arial" w:cs="Arial"/>
          <w:sz w:val="20"/>
          <w:szCs w:val="20"/>
        </w:rPr>
        <w:t xml:space="preserve"> are required to</w:t>
      </w:r>
      <w:r w:rsidRPr="002F1A33">
        <w:rPr>
          <w:rFonts w:ascii="Arial" w:hAnsi="Arial" w:cs="Arial"/>
          <w:sz w:val="20"/>
          <w:szCs w:val="20"/>
        </w:rPr>
        <w:t xml:space="preserve"> </w:t>
      </w:r>
      <w:r w:rsidRPr="002F1A33">
        <w:rPr>
          <w:rFonts w:ascii="Arial" w:hAnsi="Arial" w:cs="Arial"/>
          <w:color w:val="000000"/>
          <w:sz w:val="20"/>
          <w:szCs w:val="20"/>
        </w:rPr>
        <w:t>publish a range of public accountability information online, including A</w:t>
      </w:r>
      <w:r w:rsidRPr="002F1A33">
        <w:rPr>
          <w:rFonts w:ascii="Arial" w:hAnsi="Arial" w:cs="Arial"/>
          <w:sz w:val="20"/>
          <w:szCs w:val="20"/>
        </w:rPr>
        <w:t xml:space="preserve">nnual Reports and Portfolio Budget Statements. These reporting mechanisms ensure accountability and transparency in the way APS agencies perform their functions, and is central to building public trust and confidence in public sector decision-making processes. </w:t>
      </w:r>
    </w:p>
    <w:p w:rsidR="00970593" w:rsidRDefault="002F1A33" w:rsidP="00970593">
      <w:pPr>
        <w:pStyle w:val="Header"/>
      </w:pPr>
      <w:r w:rsidRPr="002F1A33">
        <w:rPr>
          <w:rFonts w:ascii="Arial" w:hAnsi="Arial" w:cs="Arial"/>
          <w:sz w:val="20"/>
          <w:szCs w:val="20"/>
        </w:rPr>
        <w:tab/>
      </w:r>
    </w:p>
    <w:p w:rsidR="002F1A33" w:rsidRPr="00E524C7" w:rsidRDefault="007C45BB" w:rsidP="00642E36">
      <w:pPr>
        <w:spacing w:after="0" w:line="240" w:lineRule="auto"/>
        <w:rPr>
          <w:rFonts w:ascii="Arial" w:hAnsi="Arial" w:cs="Arial"/>
          <w:sz w:val="20"/>
          <w:szCs w:val="20"/>
        </w:rPr>
      </w:pPr>
      <w:r>
        <w:rPr>
          <w:rFonts w:ascii="Arial" w:hAnsi="Arial" w:cs="Arial"/>
          <w:sz w:val="20"/>
          <w:szCs w:val="20"/>
        </w:rPr>
        <w:t xml:space="preserve">The </w:t>
      </w:r>
      <w:r w:rsidR="002F1A33" w:rsidRPr="002F1A33">
        <w:rPr>
          <w:rFonts w:ascii="Arial" w:hAnsi="Arial" w:cs="Arial"/>
          <w:sz w:val="20"/>
          <w:szCs w:val="20"/>
        </w:rPr>
        <w:t xml:space="preserve">FWO meets </w:t>
      </w:r>
      <w:r w:rsidR="00FE55C1">
        <w:rPr>
          <w:rFonts w:ascii="Arial" w:hAnsi="Arial" w:cs="Arial"/>
          <w:sz w:val="20"/>
          <w:szCs w:val="20"/>
        </w:rPr>
        <w:t>G</w:t>
      </w:r>
      <w:r w:rsidR="002F1A33" w:rsidRPr="002F1A33">
        <w:rPr>
          <w:rFonts w:ascii="Arial" w:hAnsi="Arial" w:cs="Arial"/>
          <w:sz w:val="20"/>
          <w:szCs w:val="20"/>
        </w:rPr>
        <w:t xml:space="preserve">overnment requirements for the publication of Annual </w:t>
      </w:r>
      <w:r>
        <w:rPr>
          <w:rFonts w:ascii="Arial" w:hAnsi="Arial" w:cs="Arial"/>
          <w:sz w:val="20"/>
          <w:szCs w:val="20"/>
        </w:rPr>
        <w:t>R</w:t>
      </w:r>
      <w:r w:rsidR="002F1A33" w:rsidRPr="002F1A33">
        <w:rPr>
          <w:rFonts w:ascii="Arial" w:hAnsi="Arial" w:cs="Arial"/>
          <w:sz w:val="20"/>
          <w:szCs w:val="20"/>
        </w:rPr>
        <w:t xml:space="preserve">eports and Portfolio Budget Statements on </w:t>
      </w:r>
      <w:r w:rsidR="00D621B5">
        <w:rPr>
          <w:rFonts w:ascii="Arial" w:hAnsi="Arial" w:cs="Arial"/>
          <w:sz w:val="20"/>
          <w:szCs w:val="20"/>
        </w:rPr>
        <w:t>www.</w:t>
      </w:r>
      <w:r w:rsidR="002F1A33" w:rsidRPr="002F1A33">
        <w:rPr>
          <w:rFonts w:ascii="Arial" w:hAnsi="Arial" w:cs="Arial"/>
          <w:sz w:val="20"/>
          <w:szCs w:val="20"/>
        </w:rPr>
        <w:t>fairwork.gov.au. In addition, the FWO publishes reports on key activities, including campaign reports, inquiry reports and litigation outcomes. These provide a descr</w:t>
      </w:r>
      <w:r w:rsidR="002F1A33" w:rsidRPr="00E524C7">
        <w:rPr>
          <w:rFonts w:ascii="Arial" w:hAnsi="Arial" w:cs="Arial"/>
          <w:sz w:val="20"/>
          <w:szCs w:val="20"/>
        </w:rPr>
        <w:t>iption of the activity and broadly highlight the outcomes, results and further actions undertaken.</w:t>
      </w:r>
      <w:r w:rsidR="00367256" w:rsidRPr="00E524C7">
        <w:rPr>
          <w:rFonts w:ascii="Arial" w:hAnsi="Arial" w:cs="Arial"/>
          <w:sz w:val="20"/>
          <w:szCs w:val="20"/>
        </w:rPr>
        <w:t xml:space="preserve"> Media releases </w:t>
      </w:r>
      <w:proofErr w:type="gramStart"/>
      <w:r w:rsidR="00367256" w:rsidRPr="00E524C7">
        <w:rPr>
          <w:rFonts w:ascii="Arial" w:hAnsi="Arial" w:cs="Arial"/>
          <w:sz w:val="20"/>
          <w:szCs w:val="20"/>
        </w:rPr>
        <w:t>are</w:t>
      </w:r>
      <w:r w:rsidR="00F84F73" w:rsidRPr="00E524C7">
        <w:rPr>
          <w:rFonts w:ascii="Arial" w:hAnsi="Arial" w:cs="Arial"/>
          <w:sz w:val="20"/>
          <w:szCs w:val="20"/>
        </w:rPr>
        <w:t xml:space="preserve"> also</w:t>
      </w:r>
      <w:r w:rsidR="00367256" w:rsidRPr="00E524C7">
        <w:rPr>
          <w:rFonts w:ascii="Arial" w:hAnsi="Arial" w:cs="Arial"/>
          <w:sz w:val="20"/>
          <w:szCs w:val="20"/>
        </w:rPr>
        <w:t xml:space="preserve"> routinely issued</w:t>
      </w:r>
      <w:proofErr w:type="gramEnd"/>
      <w:r w:rsidR="00367256" w:rsidRPr="00E524C7">
        <w:rPr>
          <w:rFonts w:ascii="Arial" w:hAnsi="Arial" w:cs="Arial"/>
          <w:sz w:val="20"/>
          <w:szCs w:val="20"/>
        </w:rPr>
        <w:t xml:space="preserve"> by the FWO to raise community awareness of the agency’s activities</w:t>
      </w:r>
      <w:r w:rsidR="009E1437" w:rsidRPr="00E524C7">
        <w:rPr>
          <w:rFonts w:ascii="Arial" w:hAnsi="Arial" w:cs="Arial"/>
          <w:sz w:val="20"/>
          <w:szCs w:val="20"/>
        </w:rPr>
        <w:t>,</w:t>
      </w:r>
      <w:r w:rsidR="00367256" w:rsidRPr="00E524C7">
        <w:rPr>
          <w:rFonts w:ascii="Arial" w:hAnsi="Arial" w:cs="Arial"/>
          <w:sz w:val="20"/>
          <w:szCs w:val="20"/>
        </w:rPr>
        <w:t xml:space="preserve"> such as </w:t>
      </w:r>
      <w:r w:rsidR="009E1437" w:rsidRPr="00E524C7">
        <w:rPr>
          <w:rFonts w:ascii="Arial" w:hAnsi="Arial" w:cs="Arial"/>
          <w:sz w:val="20"/>
          <w:szCs w:val="20"/>
        </w:rPr>
        <w:t>the outcome of</w:t>
      </w:r>
      <w:r w:rsidR="00367256" w:rsidRPr="00E524C7">
        <w:rPr>
          <w:rFonts w:ascii="Arial" w:hAnsi="Arial" w:cs="Arial"/>
          <w:sz w:val="20"/>
          <w:szCs w:val="20"/>
        </w:rPr>
        <w:t xml:space="preserve"> </w:t>
      </w:r>
      <w:r w:rsidR="009E1437" w:rsidRPr="00E524C7">
        <w:rPr>
          <w:rFonts w:ascii="Arial" w:hAnsi="Arial" w:cs="Arial"/>
          <w:sz w:val="20"/>
          <w:szCs w:val="20"/>
        </w:rPr>
        <w:t>litigation action</w:t>
      </w:r>
      <w:r w:rsidR="00367256" w:rsidRPr="00E524C7">
        <w:rPr>
          <w:rFonts w:ascii="Arial" w:hAnsi="Arial" w:cs="Arial"/>
          <w:sz w:val="20"/>
          <w:szCs w:val="20"/>
        </w:rPr>
        <w:t xml:space="preserve"> and enforceable undertakings executed.  </w:t>
      </w:r>
      <w:r w:rsidR="002F1A33" w:rsidRPr="00E524C7">
        <w:rPr>
          <w:rFonts w:ascii="Arial" w:hAnsi="Arial" w:cs="Arial"/>
          <w:sz w:val="20"/>
          <w:szCs w:val="20"/>
        </w:rPr>
        <w:t xml:space="preserve"> </w:t>
      </w:r>
    </w:p>
    <w:p w:rsidR="002F1A33" w:rsidRPr="00E524C7" w:rsidRDefault="002F1A33" w:rsidP="00642E36">
      <w:pPr>
        <w:spacing w:after="0" w:line="240" w:lineRule="auto"/>
        <w:rPr>
          <w:rFonts w:ascii="Arial" w:hAnsi="Arial" w:cs="Arial"/>
          <w:sz w:val="20"/>
          <w:szCs w:val="20"/>
        </w:rPr>
      </w:pPr>
    </w:p>
    <w:p w:rsidR="002F1A33" w:rsidRPr="00E524C7" w:rsidRDefault="002F1A33" w:rsidP="00642E36">
      <w:pPr>
        <w:spacing w:after="0" w:line="240" w:lineRule="auto"/>
        <w:rPr>
          <w:rFonts w:ascii="Arial" w:hAnsi="Arial" w:cs="Arial"/>
          <w:sz w:val="20"/>
          <w:szCs w:val="20"/>
        </w:rPr>
      </w:pPr>
      <w:r w:rsidRPr="00E524C7">
        <w:rPr>
          <w:rFonts w:ascii="Arial" w:hAnsi="Arial" w:cs="Arial"/>
          <w:sz w:val="20"/>
          <w:szCs w:val="20"/>
        </w:rPr>
        <w:t>In 2015-16, FWO published the following</w:t>
      </w:r>
      <w:r w:rsidR="00DF7C3F" w:rsidRPr="00E524C7">
        <w:rPr>
          <w:rFonts w:ascii="Arial" w:hAnsi="Arial" w:cs="Arial"/>
          <w:sz w:val="20"/>
          <w:szCs w:val="20"/>
        </w:rPr>
        <w:t xml:space="preserve"> activities on</w:t>
      </w:r>
      <w:r w:rsidRPr="00E524C7">
        <w:rPr>
          <w:rFonts w:ascii="Arial" w:hAnsi="Arial" w:cs="Arial"/>
          <w:sz w:val="20"/>
          <w:szCs w:val="20"/>
        </w:rPr>
        <w:t xml:space="preserve"> </w:t>
      </w:r>
      <w:r w:rsidR="00D621B5" w:rsidRPr="00E524C7">
        <w:rPr>
          <w:rFonts w:ascii="Arial" w:hAnsi="Arial" w:cs="Arial"/>
          <w:sz w:val="20"/>
          <w:szCs w:val="20"/>
        </w:rPr>
        <w:t>www.</w:t>
      </w:r>
      <w:r w:rsidRPr="00E524C7">
        <w:rPr>
          <w:rFonts w:ascii="Arial" w:hAnsi="Arial" w:cs="Arial"/>
          <w:sz w:val="20"/>
          <w:szCs w:val="20"/>
        </w:rPr>
        <w:t>fairwork.gov.au:</w:t>
      </w:r>
    </w:p>
    <w:p w:rsidR="002F1A33" w:rsidRDefault="002F1A33" w:rsidP="00642E36">
      <w:pPr>
        <w:spacing w:after="0" w:line="240" w:lineRule="auto"/>
        <w:rPr>
          <w:rFonts w:ascii="Arial" w:hAnsi="Arial" w:cs="Arial"/>
          <w:sz w:val="20"/>
          <w:szCs w:val="20"/>
        </w:rPr>
      </w:pPr>
    </w:p>
    <w:tbl>
      <w:tblPr>
        <w:tblStyle w:val="TableGrid"/>
        <w:tblW w:w="932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44"/>
      </w:tblGrid>
      <w:tr w:rsidR="00642E36" w:rsidRPr="00881686" w:rsidTr="00951510">
        <w:trPr>
          <w:trHeight w:val="454"/>
          <w:tblHeader/>
        </w:trPr>
        <w:tc>
          <w:tcPr>
            <w:tcW w:w="5778" w:type="dxa"/>
            <w:tcBorders>
              <w:bottom w:val="single" w:sz="2" w:space="0" w:color="4BACC6" w:themeColor="accent5"/>
            </w:tcBorders>
            <w:shd w:val="clear" w:color="auto" w:fill="DAEEF3" w:themeFill="accent5" w:themeFillTint="33"/>
            <w:vAlign w:val="center"/>
          </w:tcPr>
          <w:p w:rsidR="00642E36" w:rsidRPr="00881686" w:rsidRDefault="009D2A87" w:rsidP="00487D1D">
            <w:pPr>
              <w:rPr>
                <w:rFonts w:ascii="Myriad Pro" w:hAnsi="Myriad Pro" w:cs="Arial"/>
                <w:color w:val="31849B" w:themeColor="accent5" w:themeShade="BF"/>
              </w:rPr>
            </w:pPr>
            <w:r>
              <w:rPr>
                <w:rFonts w:ascii="Myriad Pro" w:hAnsi="Myriad Pro" w:cs="Arial"/>
                <w:color w:val="31849B" w:themeColor="accent5" w:themeShade="BF"/>
              </w:rPr>
              <w:t>Activities</w:t>
            </w:r>
          </w:p>
        </w:tc>
        <w:tc>
          <w:tcPr>
            <w:tcW w:w="3544" w:type="dxa"/>
            <w:tcBorders>
              <w:bottom w:val="single" w:sz="2" w:space="0" w:color="4BACC6" w:themeColor="accent5"/>
            </w:tcBorders>
            <w:shd w:val="clear" w:color="auto" w:fill="DAEEF3" w:themeFill="accent5" w:themeFillTint="33"/>
            <w:vAlign w:val="center"/>
          </w:tcPr>
          <w:p w:rsidR="00642E36" w:rsidRPr="00881686" w:rsidRDefault="009D2A87" w:rsidP="009D2A87">
            <w:pPr>
              <w:rPr>
                <w:rFonts w:ascii="Myriad Pro" w:hAnsi="Myriad Pro" w:cs="Arial"/>
                <w:color w:val="31849B" w:themeColor="accent5" w:themeShade="BF"/>
              </w:rPr>
            </w:pPr>
            <w:r>
              <w:rPr>
                <w:rFonts w:ascii="Myriad Pro" w:hAnsi="Myriad Pro" w:cs="Arial"/>
                <w:color w:val="31849B" w:themeColor="accent5" w:themeShade="BF"/>
              </w:rPr>
              <w:t>Achievements</w:t>
            </w:r>
          </w:p>
        </w:tc>
      </w:tr>
      <w:tr w:rsidR="00642E36" w:rsidRPr="007C45BB" w:rsidTr="00886868">
        <w:trPr>
          <w:trHeight w:val="1231"/>
        </w:trPr>
        <w:tc>
          <w:tcPr>
            <w:tcW w:w="5778" w:type="dxa"/>
            <w:tcBorders>
              <w:top w:val="single" w:sz="2" w:space="0" w:color="4BACC6" w:themeColor="accent5"/>
              <w:bottom w:val="nil"/>
            </w:tcBorders>
            <w:vAlign w:val="center"/>
          </w:tcPr>
          <w:p w:rsidR="00642E36" w:rsidRPr="00642E36" w:rsidRDefault="00642E36" w:rsidP="00EF31DC">
            <w:pPr>
              <w:contextualSpacing/>
              <w:rPr>
                <w:rFonts w:ascii="Arial" w:hAnsi="Arial" w:cs="Arial"/>
                <w:sz w:val="20"/>
                <w:szCs w:val="20"/>
              </w:rPr>
            </w:pPr>
            <w:r w:rsidRPr="002F1A33">
              <w:rPr>
                <w:rFonts w:ascii="Arial" w:hAnsi="Arial" w:cs="Arial"/>
                <w:sz w:val="20"/>
                <w:szCs w:val="20"/>
              </w:rPr>
              <w:t>Campaigns may be educative in nature or be conducted for compliance monitoring purposes. Campaign reports present the results of each campaign activity and where applicable include compliance and non-compliance rates and main contravention types.</w:t>
            </w:r>
          </w:p>
        </w:tc>
        <w:tc>
          <w:tcPr>
            <w:tcW w:w="3544" w:type="dxa"/>
            <w:tcBorders>
              <w:top w:val="single" w:sz="2" w:space="0" w:color="4BACC6" w:themeColor="accent5"/>
              <w:bottom w:val="nil"/>
            </w:tcBorders>
          </w:tcPr>
          <w:p w:rsidR="00642E36" w:rsidRPr="002F1A33" w:rsidRDefault="00642E36" w:rsidP="00886868">
            <w:pPr>
              <w:pStyle w:val="ListParagraph"/>
              <w:numPr>
                <w:ilvl w:val="0"/>
                <w:numId w:val="16"/>
              </w:numPr>
              <w:rPr>
                <w:rFonts w:ascii="Arial" w:hAnsi="Arial" w:cs="Arial"/>
                <w:sz w:val="20"/>
                <w:szCs w:val="20"/>
              </w:rPr>
            </w:pPr>
            <w:r w:rsidRPr="002F1A33">
              <w:rPr>
                <w:rFonts w:ascii="Arial" w:hAnsi="Arial" w:cs="Arial"/>
                <w:sz w:val="20"/>
                <w:szCs w:val="20"/>
              </w:rPr>
              <w:t>11 campaign reports</w:t>
            </w:r>
          </w:p>
          <w:p w:rsidR="00642E36" w:rsidRPr="007C45BB" w:rsidRDefault="00642E36" w:rsidP="00886868">
            <w:pPr>
              <w:pStyle w:val="ListParagraph"/>
              <w:ind w:left="360"/>
              <w:rPr>
                <w:rFonts w:ascii="Arial" w:hAnsi="Arial" w:cs="Arial"/>
                <w:sz w:val="19"/>
                <w:szCs w:val="19"/>
              </w:rPr>
            </w:pPr>
          </w:p>
        </w:tc>
      </w:tr>
      <w:tr w:rsidR="00642E36" w:rsidRPr="007C45BB" w:rsidTr="00886868">
        <w:trPr>
          <w:trHeight w:val="1565"/>
        </w:trPr>
        <w:tc>
          <w:tcPr>
            <w:tcW w:w="5778" w:type="dxa"/>
            <w:tcBorders>
              <w:bottom w:val="nil"/>
            </w:tcBorders>
            <w:shd w:val="clear" w:color="auto" w:fill="DAEEF3" w:themeFill="accent5" w:themeFillTint="33"/>
            <w:vAlign w:val="center"/>
          </w:tcPr>
          <w:p w:rsidR="00642E36" w:rsidRPr="00642E36" w:rsidRDefault="00642E36" w:rsidP="009C7256">
            <w:pPr>
              <w:contextualSpacing/>
              <w:rPr>
                <w:rFonts w:ascii="Arial" w:hAnsi="Arial" w:cs="Arial"/>
                <w:sz w:val="20"/>
                <w:szCs w:val="20"/>
              </w:rPr>
            </w:pPr>
            <w:r w:rsidRPr="002F1A33">
              <w:rPr>
                <w:rFonts w:ascii="Arial" w:hAnsi="Arial" w:cs="Arial"/>
                <w:sz w:val="20"/>
                <w:szCs w:val="20"/>
              </w:rPr>
              <w:t>Inquiries are</w:t>
            </w:r>
            <w:r>
              <w:rPr>
                <w:rFonts w:ascii="Arial" w:hAnsi="Arial" w:cs="Arial"/>
                <w:sz w:val="20"/>
                <w:szCs w:val="20"/>
              </w:rPr>
              <w:t xml:space="preserve"> comprehensive </w:t>
            </w:r>
            <w:r w:rsidRPr="002F1A33">
              <w:rPr>
                <w:rFonts w:ascii="Arial" w:hAnsi="Arial" w:cs="Arial"/>
                <w:sz w:val="20"/>
                <w:szCs w:val="20"/>
              </w:rPr>
              <w:t xml:space="preserve">compliance monitoring activities </w:t>
            </w:r>
            <w:r>
              <w:rPr>
                <w:rFonts w:ascii="Arial" w:hAnsi="Arial" w:cs="Arial"/>
                <w:sz w:val="20"/>
                <w:szCs w:val="20"/>
              </w:rPr>
              <w:t>examining</w:t>
            </w:r>
            <w:r w:rsidRPr="002F1A33">
              <w:rPr>
                <w:rFonts w:ascii="Arial" w:hAnsi="Arial" w:cs="Arial"/>
                <w:sz w:val="20"/>
                <w:szCs w:val="20"/>
              </w:rPr>
              <w:t xml:space="preserve"> businesses, industries, regions, supply chains, labour markets or a combination of these</w:t>
            </w:r>
            <w:r w:rsidR="009C7256">
              <w:rPr>
                <w:rFonts w:ascii="Arial" w:hAnsi="Arial" w:cs="Arial"/>
                <w:sz w:val="20"/>
                <w:szCs w:val="20"/>
              </w:rPr>
              <w:t xml:space="preserve"> areas</w:t>
            </w:r>
            <w:r>
              <w:rPr>
                <w:rFonts w:ascii="Arial" w:hAnsi="Arial" w:cs="Arial"/>
                <w:sz w:val="20"/>
                <w:szCs w:val="20"/>
              </w:rPr>
              <w:t>. The</w:t>
            </w:r>
            <w:r w:rsidR="009C7256">
              <w:rPr>
                <w:rFonts w:ascii="Arial" w:hAnsi="Arial" w:cs="Arial"/>
                <w:sz w:val="20"/>
                <w:szCs w:val="20"/>
              </w:rPr>
              <w:t>se</w:t>
            </w:r>
            <w:r>
              <w:rPr>
                <w:rFonts w:ascii="Arial" w:hAnsi="Arial" w:cs="Arial"/>
                <w:sz w:val="20"/>
                <w:szCs w:val="20"/>
              </w:rPr>
              <w:t xml:space="preserve"> activities enable the FWO </w:t>
            </w:r>
            <w:r w:rsidRPr="002F1A33">
              <w:rPr>
                <w:rFonts w:ascii="Arial" w:hAnsi="Arial" w:cs="Arial"/>
                <w:sz w:val="20"/>
                <w:szCs w:val="20"/>
              </w:rPr>
              <w:t>to better identify and understand issues in these areas and to recommend responses. Inquiry reports present our findings, recommendations and actions.</w:t>
            </w:r>
            <w:r>
              <w:rPr>
                <w:rFonts w:ascii="Arial" w:hAnsi="Arial" w:cs="Arial"/>
                <w:sz w:val="20"/>
                <w:szCs w:val="20"/>
              </w:rPr>
              <w:t xml:space="preserve"> </w:t>
            </w:r>
          </w:p>
        </w:tc>
        <w:tc>
          <w:tcPr>
            <w:tcW w:w="3544" w:type="dxa"/>
            <w:tcBorders>
              <w:bottom w:val="nil"/>
            </w:tcBorders>
            <w:shd w:val="clear" w:color="auto" w:fill="DAEEF3" w:themeFill="accent5" w:themeFillTint="33"/>
          </w:tcPr>
          <w:p w:rsidR="00642E36" w:rsidRDefault="00D621B5" w:rsidP="00886868">
            <w:pPr>
              <w:numPr>
                <w:ilvl w:val="0"/>
                <w:numId w:val="17"/>
              </w:numPr>
              <w:contextualSpacing/>
              <w:rPr>
                <w:rFonts w:ascii="Arial" w:hAnsi="Arial" w:cs="Arial"/>
                <w:sz w:val="20"/>
                <w:szCs w:val="20"/>
              </w:rPr>
            </w:pPr>
            <w:r>
              <w:rPr>
                <w:rFonts w:ascii="Arial" w:hAnsi="Arial" w:cs="Arial"/>
                <w:sz w:val="20"/>
                <w:szCs w:val="20"/>
              </w:rPr>
              <w:t>Three</w:t>
            </w:r>
            <w:r w:rsidRPr="002F1A33">
              <w:rPr>
                <w:rFonts w:ascii="Arial" w:hAnsi="Arial" w:cs="Arial"/>
                <w:sz w:val="20"/>
                <w:szCs w:val="20"/>
              </w:rPr>
              <w:t xml:space="preserve"> </w:t>
            </w:r>
            <w:r w:rsidR="00642E36" w:rsidRPr="002F1A33">
              <w:rPr>
                <w:rFonts w:ascii="Arial" w:hAnsi="Arial" w:cs="Arial"/>
                <w:sz w:val="20"/>
                <w:szCs w:val="20"/>
              </w:rPr>
              <w:t>inquiry reports</w:t>
            </w:r>
          </w:p>
          <w:p w:rsidR="00642E36" w:rsidRPr="00642E36" w:rsidRDefault="00642E36" w:rsidP="00886868">
            <w:pPr>
              <w:numPr>
                <w:ilvl w:val="0"/>
                <w:numId w:val="17"/>
              </w:numPr>
              <w:contextualSpacing/>
              <w:rPr>
                <w:rFonts w:ascii="Arial" w:hAnsi="Arial" w:cs="Arial"/>
                <w:sz w:val="20"/>
                <w:szCs w:val="20"/>
              </w:rPr>
            </w:pPr>
            <w:r w:rsidRPr="00642E36">
              <w:rPr>
                <w:rFonts w:ascii="Arial" w:hAnsi="Arial" w:cs="Arial"/>
                <w:sz w:val="20"/>
                <w:szCs w:val="20"/>
              </w:rPr>
              <w:t>An example of an inquiry report published in 2015-16 was ‘Identifying and addressing the drive</w:t>
            </w:r>
            <w:r w:rsidR="00D26096">
              <w:rPr>
                <w:rFonts w:ascii="Arial" w:hAnsi="Arial" w:cs="Arial"/>
                <w:sz w:val="20"/>
                <w:szCs w:val="20"/>
              </w:rPr>
              <w:t>r</w:t>
            </w:r>
            <w:r w:rsidRPr="00642E36">
              <w:rPr>
                <w:rFonts w:ascii="Arial" w:hAnsi="Arial" w:cs="Arial"/>
                <w:sz w:val="20"/>
                <w:szCs w:val="20"/>
              </w:rPr>
              <w:t>s of non-compliance in the 7-Eleven n</w:t>
            </w:r>
            <w:r w:rsidR="00751B76">
              <w:rPr>
                <w:rFonts w:ascii="Arial" w:hAnsi="Arial" w:cs="Arial"/>
                <w:sz w:val="20"/>
                <w:szCs w:val="20"/>
              </w:rPr>
              <w:t>etwork’</w:t>
            </w:r>
            <w:r w:rsidRPr="00642E36">
              <w:rPr>
                <w:rFonts w:ascii="Arial" w:hAnsi="Arial" w:cs="Arial"/>
                <w:sz w:val="20"/>
                <w:szCs w:val="20"/>
              </w:rPr>
              <w:t xml:space="preserve">  </w:t>
            </w:r>
          </w:p>
        </w:tc>
      </w:tr>
      <w:tr w:rsidR="00642E36" w:rsidRPr="007C45BB" w:rsidTr="00CF1CE0">
        <w:trPr>
          <w:trHeight w:val="695"/>
        </w:trPr>
        <w:tc>
          <w:tcPr>
            <w:tcW w:w="5778" w:type="dxa"/>
            <w:tcBorders>
              <w:top w:val="nil"/>
              <w:bottom w:val="nil"/>
            </w:tcBorders>
            <w:vAlign w:val="center"/>
          </w:tcPr>
          <w:p w:rsidR="00642E36" w:rsidRPr="00642E36" w:rsidRDefault="00642E36" w:rsidP="00642E36">
            <w:pPr>
              <w:contextualSpacing/>
              <w:rPr>
                <w:rFonts w:ascii="Arial" w:hAnsi="Arial" w:cs="Arial"/>
                <w:sz w:val="20"/>
                <w:szCs w:val="20"/>
              </w:rPr>
            </w:pPr>
            <w:r>
              <w:rPr>
                <w:rFonts w:ascii="Arial" w:hAnsi="Arial" w:cs="Arial"/>
                <w:sz w:val="20"/>
                <w:szCs w:val="20"/>
              </w:rPr>
              <w:t>L</w:t>
            </w:r>
            <w:r w:rsidRPr="002F1A33">
              <w:rPr>
                <w:rFonts w:ascii="Arial" w:hAnsi="Arial" w:cs="Arial"/>
                <w:sz w:val="20"/>
                <w:szCs w:val="20"/>
              </w:rPr>
              <w:t>itigation outcomes includ</w:t>
            </w:r>
            <w:r>
              <w:rPr>
                <w:rFonts w:ascii="Arial" w:hAnsi="Arial" w:cs="Arial"/>
                <w:sz w:val="20"/>
                <w:szCs w:val="20"/>
              </w:rPr>
              <w:t>e</w:t>
            </w:r>
            <w:r w:rsidRPr="002F1A33">
              <w:rPr>
                <w:rFonts w:ascii="Arial" w:hAnsi="Arial" w:cs="Arial"/>
                <w:sz w:val="20"/>
                <w:szCs w:val="20"/>
              </w:rPr>
              <w:t xml:space="preserve"> information on the nature of the proceedings, the decision and penalties ordered.</w:t>
            </w:r>
          </w:p>
        </w:tc>
        <w:tc>
          <w:tcPr>
            <w:tcW w:w="3544" w:type="dxa"/>
            <w:tcBorders>
              <w:top w:val="nil"/>
              <w:bottom w:val="nil"/>
            </w:tcBorders>
          </w:tcPr>
          <w:p w:rsidR="00642E36" w:rsidRPr="00642E36" w:rsidRDefault="00642E36" w:rsidP="00886868">
            <w:pPr>
              <w:numPr>
                <w:ilvl w:val="0"/>
                <w:numId w:val="18"/>
              </w:numPr>
              <w:contextualSpacing/>
              <w:rPr>
                <w:rFonts w:ascii="Arial" w:hAnsi="Arial" w:cs="Arial"/>
                <w:sz w:val="20"/>
                <w:szCs w:val="20"/>
              </w:rPr>
            </w:pPr>
            <w:r w:rsidRPr="002F1A33">
              <w:rPr>
                <w:rFonts w:ascii="Arial" w:hAnsi="Arial" w:cs="Arial"/>
                <w:sz w:val="20"/>
                <w:szCs w:val="20"/>
              </w:rPr>
              <w:t xml:space="preserve">28 litigation outcomes </w:t>
            </w:r>
          </w:p>
        </w:tc>
      </w:tr>
      <w:tr w:rsidR="00CF1CE0" w:rsidRPr="007C45BB" w:rsidTr="008017A4">
        <w:trPr>
          <w:trHeight w:val="695"/>
        </w:trPr>
        <w:tc>
          <w:tcPr>
            <w:tcW w:w="5778" w:type="dxa"/>
            <w:tcBorders>
              <w:top w:val="nil"/>
              <w:bottom w:val="nil"/>
            </w:tcBorders>
            <w:shd w:val="clear" w:color="auto" w:fill="DAEEF3" w:themeFill="accent5" w:themeFillTint="33"/>
            <w:vAlign w:val="center"/>
          </w:tcPr>
          <w:p w:rsidR="00CF1CE0" w:rsidRPr="0003007B" w:rsidRDefault="00966485" w:rsidP="00966485">
            <w:pPr>
              <w:contextualSpacing/>
              <w:rPr>
                <w:rFonts w:ascii="Arial" w:hAnsi="Arial" w:cs="Arial"/>
                <w:sz w:val="20"/>
                <w:szCs w:val="20"/>
              </w:rPr>
            </w:pPr>
            <w:r w:rsidRPr="0003007B">
              <w:rPr>
                <w:rFonts w:ascii="Arial" w:hAnsi="Arial" w:cs="Arial"/>
                <w:sz w:val="20"/>
                <w:szCs w:val="20"/>
              </w:rPr>
              <w:t>E</w:t>
            </w:r>
            <w:r w:rsidR="00BB07BB" w:rsidRPr="0003007B">
              <w:rPr>
                <w:rFonts w:ascii="Arial" w:hAnsi="Arial" w:cs="Arial"/>
                <w:sz w:val="20"/>
                <w:szCs w:val="20"/>
              </w:rPr>
              <w:t>nforceable undertaking</w:t>
            </w:r>
            <w:r w:rsidRPr="0003007B">
              <w:rPr>
                <w:rFonts w:ascii="Arial" w:hAnsi="Arial" w:cs="Arial"/>
                <w:sz w:val="20"/>
                <w:szCs w:val="20"/>
              </w:rPr>
              <w:t>s</w:t>
            </w:r>
            <w:r w:rsidR="00BB07BB" w:rsidRPr="0003007B">
              <w:rPr>
                <w:rFonts w:ascii="Arial" w:hAnsi="Arial" w:cs="Arial"/>
                <w:sz w:val="20"/>
                <w:szCs w:val="20"/>
              </w:rPr>
              <w:t xml:space="preserve"> </w:t>
            </w:r>
            <w:proofErr w:type="gramStart"/>
            <w:r w:rsidRPr="0003007B">
              <w:rPr>
                <w:rFonts w:ascii="Arial" w:hAnsi="Arial" w:cs="Arial"/>
                <w:sz w:val="20"/>
                <w:szCs w:val="20"/>
              </w:rPr>
              <w:t>are</w:t>
            </w:r>
            <w:r w:rsidR="00BB07BB" w:rsidRPr="0003007B">
              <w:rPr>
                <w:rFonts w:ascii="Arial" w:hAnsi="Arial" w:cs="Arial"/>
                <w:sz w:val="20"/>
                <w:szCs w:val="20"/>
              </w:rPr>
              <w:t xml:space="preserve"> written</w:t>
            </w:r>
            <w:proofErr w:type="gramEnd"/>
            <w:r w:rsidR="00BB07BB" w:rsidRPr="0003007B">
              <w:rPr>
                <w:rFonts w:ascii="Arial" w:hAnsi="Arial" w:cs="Arial"/>
                <w:sz w:val="20"/>
                <w:szCs w:val="20"/>
              </w:rPr>
              <w:t xml:space="preserve"> undertaking</w:t>
            </w:r>
            <w:r w:rsidRPr="0003007B">
              <w:rPr>
                <w:rFonts w:ascii="Arial" w:hAnsi="Arial" w:cs="Arial"/>
                <w:sz w:val="20"/>
                <w:szCs w:val="20"/>
              </w:rPr>
              <w:t>s</w:t>
            </w:r>
            <w:r w:rsidR="00BB07BB" w:rsidRPr="0003007B">
              <w:rPr>
                <w:rFonts w:ascii="Arial" w:hAnsi="Arial" w:cs="Arial"/>
                <w:sz w:val="20"/>
                <w:szCs w:val="20"/>
              </w:rPr>
              <w:t>, enforceable in a court, which is made by agreement with a party where the FWO reasonably believes that person has contravened the Fair Work Act.</w:t>
            </w:r>
          </w:p>
        </w:tc>
        <w:tc>
          <w:tcPr>
            <w:tcW w:w="3544" w:type="dxa"/>
            <w:tcBorders>
              <w:top w:val="nil"/>
              <w:bottom w:val="nil"/>
            </w:tcBorders>
            <w:shd w:val="clear" w:color="auto" w:fill="DAEEF3" w:themeFill="accent5" w:themeFillTint="33"/>
          </w:tcPr>
          <w:p w:rsidR="00CF1CE0" w:rsidRPr="0003007B" w:rsidRDefault="00CF1CE0" w:rsidP="00886868">
            <w:pPr>
              <w:numPr>
                <w:ilvl w:val="0"/>
                <w:numId w:val="18"/>
              </w:numPr>
              <w:contextualSpacing/>
              <w:rPr>
                <w:rFonts w:ascii="Arial" w:hAnsi="Arial" w:cs="Arial"/>
                <w:sz w:val="20"/>
                <w:szCs w:val="20"/>
              </w:rPr>
            </w:pPr>
            <w:r w:rsidRPr="0003007B">
              <w:rPr>
                <w:rFonts w:ascii="Arial" w:hAnsi="Arial" w:cs="Arial"/>
                <w:sz w:val="20"/>
                <w:szCs w:val="20"/>
              </w:rPr>
              <w:t>30 enforceable undertakings</w:t>
            </w:r>
          </w:p>
        </w:tc>
      </w:tr>
      <w:tr w:rsidR="008017A4" w:rsidRPr="007C45BB" w:rsidTr="00886868">
        <w:trPr>
          <w:trHeight w:val="695"/>
        </w:trPr>
        <w:tc>
          <w:tcPr>
            <w:tcW w:w="5778" w:type="dxa"/>
            <w:tcBorders>
              <w:top w:val="nil"/>
              <w:bottom w:val="single" w:sz="2" w:space="0" w:color="4BACC6" w:themeColor="accent5"/>
            </w:tcBorders>
            <w:vAlign w:val="center"/>
          </w:tcPr>
          <w:p w:rsidR="008017A4" w:rsidRPr="0003007B" w:rsidRDefault="00966485" w:rsidP="009E614A">
            <w:pPr>
              <w:contextualSpacing/>
              <w:rPr>
                <w:rFonts w:ascii="Arial" w:hAnsi="Arial" w:cs="Arial"/>
                <w:sz w:val="20"/>
                <w:szCs w:val="20"/>
              </w:rPr>
            </w:pPr>
            <w:r w:rsidRPr="0003007B">
              <w:rPr>
                <w:rFonts w:ascii="Arial" w:hAnsi="Arial" w:cs="Arial"/>
                <w:sz w:val="20"/>
                <w:szCs w:val="20"/>
              </w:rPr>
              <w:t xml:space="preserve">Compliance partnerships are agreements between a business and the </w:t>
            </w:r>
            <w:proofErr w:type="gramStart"/>
            <w:r w:rsidRPr="0003007B">
              <w:rPr>
                <w:rFonts w:ascii="Arial" w:hAnsi="Arial" w:cs="Arial"/>
                <w:sz w:val="20"/>
                <w:szCs w:val="20"/>
              </w:rPr>
              <w:t>FWO, that</w:t>
            </w:r>
            <w:proofErr w:type="gramEnd"/>
            <w:r w:rsidRPr="0003007B">
              <w:rPr>
                <w:rFonts w:ascii="Arial" w:hAnsi="Arial" w:cs="Arial"/>
                <w:sz w:val="20"/>
                <w:szCs w:val="20"/>
              </w:rPr>
              <w:t xml:space="preserve"> </w:t>
            </w:r>
            <w:r w:rsidR="009E614A" w:rsidRPr="0003007B">
              <w:rPr>
                <w:rFonts w:ascii="Arial" w:hAnsi="Arial" w:cs="Arial"/>
                <w:sz w:val="20"/>
                <w:szCs w:val="20"/>
              </w:rPr>
              <w:t xml:space="preserve">demonstrate their commitment to ensuring </w:t>
            </w:r>
            <w:r w:rsidR="00A1574B" w:rsidRPr="0003007B">
              <w:rPr>
                <w:rFonts w:ascii="Arial" w:hAnsi="Arial" w:cs="Arial"/>
                <w:sz w:val="20"/>
                <w:szCs w:val="20"/>
              </w:rPr>
              <w:t xml:space="preserve">sustainable </w:t>
            </w:r>
            <w:r w:rsidRPr="0003007B">
              <w:rPr>
                <w:rFonts w:ascii="Arial" w:hAnsi="Arial" w:cs="Arial"/>
                <w:sz w:val="20"/>
                <w:szCs w:val="20"/>
              </w:rPr>
              <w:t xml:space="preserve">compliance with Australian workplace laws. Compliance partnerships </w:t>
            </w:r>
            <w:proofErr w:type="gramStart"/>
            <w:r w:rsidRPr="0003007B">
              <w:rPr>
                <w:rFonts w:ascii="Arial" w:hAnsi="Arial" w:cs="Arial"/>
                <w:sz w:val="20"/>
                <w:szCs w:val="20"/>
              </w:rPr>
              <w:t>are tailored</w:t>
            </w:r>
            <w:proofErr w:type="gramEnd"/>
            <w:r w:rsidRPr="0003007B">
              <w:rPr>
                <w:rFonts w:ascii="Arial" w:hAnsi="Arial" w:cs="Arial"/>
                <w:sz w:val="20"/>
                <w:szCs w:val="20"/>
              </w:rPr>
              <w:t xml:space="preserve"> for individual businesses </w:t>
            </w:r>
            <w:r w:rsidR="009E614A" w:rsidRPr="0003007B">
              <w:rPr>
                <w:rFonts w:ascii="Arial" w:hAnsi="Arial" w:cs="Arial"/>
                <w:sz w:val="20"/>
                <w:szCs w:val="20"/>
              </w:rPr>
              <w:t>to ensure their systems and processes are working effectively.</w:t>
            </w:r>
          </w:p>
        </w:tc>
        <w:tc>
          <w:tcPr>
            <w:tcW w:w="3544" w:type="dxa"/>
            <w:tcBorders>
              <w:top w:val="nil"/>
              <w:bottom w:val="single" w:sz="2" w:space="0" w:color="4BACC6" w:themeColor="accent5"/>
            </w:tcBorders>
          </w:tcPr>
          <w:p w:rsidR="008017A4" w:rsidRPr="0003007B" w:rsidRDefault="00966485" w:rsidP="00886868">
            <w:pPr>
              <w:numPr>
                <w:ilvl w:val="0"/>
                <w:numId w:val="18"/>
              </w:numPr>
              <w:contextualSpacing/>
              <w:rPr>
                <w:rFonts w:ascii="Arial" w:hAnsi="Arial" w:cs="Arial"/>
                <w:sz w:val="20"/>
                <w:szCs w:val="20"/>
              </w:rPr>
            </w:pPr>
            <w:r w:rsidRPr="0003007B">
              <w:rPr>
                <w:rFonts w:ascii="Arial" w:hAnsi="Arial" w:cs="Arial"/>
                <w:sz w:val="20"/>
                <w:szCs w:val="20"/>
              </w:rPr>
              <w:t>1 compliance partnership</w:t>
            </w:r>
          </w:p>
        </w:tc>
      </w:tr>
    </w:tbl>
    <w:p w:rsidR="004322A4" w:rsidRDefault="004322A4" w:rsidP="00642E36">
      <w:pPr>
        <w:spacing w:after="0" w:line="240" w:lineRule="auto"/>
        <w:rPr>
          <w:rFonts w:ascii="Arial" w:hAnsi="Arial" w:cs="Arial"/>
          <w:sz w:val="20"/>
          <w:szCs w:val="20"/>
        </w:rPr>
      </w:pPr>
    </w:p>
    <w:p w:rsidR="00EF31DC" w:rsidRPr="00EF31DC" w:rsidRDefault="00EF31DC" w:rsidP="00642E36">
      <w:pPr>
        <w:spacing w:after="0" w:line="240" w:lineRule="auto"/>
        <w:rPr>
          <w:rFonts w:ascii="Arial" w:hAnsi="Arial" w:cs="Arial"/>
          <w:sz w:val="20"/>
          <w:szCs w:val="20"/>
        </w:rPr>
      </w:pPr>
    </w:p>
    <w:p w:rsidR="007C45BB" w:rsidRPr="00F80344" w:rsidRDefault="007C45BB"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4322A4" w:rsidRPr="007C45BB" w:rsidRDefault="004322A4" w:rsidP="00642E36">
      <w:pPr>
        <w:spacing w:after="0" w:line="240" w:lineRule="auto"/>
        <w:rPr>
          <w:rFonts w:ascii="Arial" w:hAnsi="Arial" w:cs="Arial"/>
          <w:sz w:val="20"/>
          <w:szCs w:val="20"/>
        </w:rPr>
      </w:pPr>
    </w:p>
    <w:p w:rsidR="004322A4" w:rsidRPr="007C45BB" w:rsidRDefault="007C45BB" w:rsidP="00642E36">
      <w:pPr>
        <w:spacing w:after="0" w:line="240" w:lineRule="auto"/>
        <w:rPr>
          <w:rFonts w:ascii="Arial" w:hAnsi="Arial" w:cs="Arial"/>
          <w:sz w:val="20"/>
          <w:szCs w:val="20"/>
        </w:rPr>
      </w:pPr>
      <w:r w:rsidRPr="007C45BB">
        <w:rPr>
          <w:rFonts w:ascii="Arial" w:hAnsi="Arial" w:cs="Arial"/>
          <w:sz w:val="20"/>
          <w:szCs w:val="20"/>
        </w:rPr>
        <w:t>Note that case stud</w:t>
      </w:r>
      <w:r>
        <w:rPr>
          <w:rFonts w:ascii="Arial" w:hAnsi="Arial" w:cs="Arial"/>
          <w:sz w:val="20"/>
          <w:szCs w:val="20"/>
        </w:rPr>
        <w:t xml:space="preserve">ies are not applicable to this measure.  </w:t>
      </w:r>
    </w:p>
    <w:p w:rsidR="004322A4" w:rsidRDefault="004322A4" w:rsidP="00642E36">
      <w:pPr>
        <w:spacing w:after="0" w:line="240" w:lineRule="auto"/>
        <w:rPr>
          <w:rFonts w:ascii="Arial" w:hAnsi="Arial" w:cs="Arial"/>
          <w:color w:val="31849B" w:themeColor="accent5" w:themeShade="BF"/>
          <w:sz w:val="20"/>
          <w:szCs w:val="20"/>
        </w:rPr>
      </w:pPr>
    </w:p>
    <w:p w:rsidR="00CF5264" w:rsidRDefault="00CF5264" w:rsidP="00642E36">
      <w:pPr>
        <w:spacing w:after="0" w:line="240" w:lineRule="auto"/>
        <w:rPr>
          <w:rFonts w:ascii="Arial" w:hAnsi="Arial" w:cs="Arial"/>
          <w:color w:val="31849B" w:themeColor="accent5" w:themeShade="BF"/>
          <w:sz w:val="20"/>
          <w:szCs w:val="20"/>
        </w:rPr>
      </w:pPr>
    </w:p>
    <w:p w:rsidR="00886868" w:rsidRDefault="00886868"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4322A4" w:rsidRPr="00886868" w:rsidRDefault="004322A4" w:rsidP="00642E36">
      <w:pPr>
        <w:pStyle w:val="Heading2"/>
        <w:spacing w:before="0" w:line="240" w:lineRule="auto"/>
        <w:rPr>
          <w:rFonts w:ascii="Myriad Pro" w:hAnsi="Myriad Pro"/>
          <w:b w:val="0"/>
          <w:i/>
          <w:color w:val="31849B" w:themeColor="accent5" w:themeShade="BF"/>
          <w:sz w:val="25"/>
          <w:szCs w:val="25"/>
        </w:rPr>
      </w:pPr>
      <w:bookmarkStart w:id="18" w:name="_Toc460917310"/>
      <w:r w:rsidRPr="00886868">
        <w:rPr>
          <w:rFonts w:ascii="Myriad Pro" w:hAnsi="Myriad Pro"/>
          <w:b w:val="0"/>
          <w:i/>
          <w:color w:val="31849B" w:themeColor="accent5" w:themeShade="BF"/>
          <w:sz w:val="25"/>
          <w:szCs w:val="25"/>
        </w:rPr>
        <w:lastRenderedPageBreak/>
        <w:t xml:space="preserve">Measure 5.2 – The FWO publishes key strategies and acts on feedback regarding the effectiveness of how </w:t>
      </w:r>
      <w:r w:rsidR="00D26096">
        <w:rPr>
          <w:rFonts w:ascii="Myriad Pro" w:hAnsi="Myriad Pro"/>
          <w:b w:val="0"/>
          <w:i/>
          <w:color w:val="31849B" w:themeColor="accent5" w:themeShade="BF"/>
          <w:sz w:val="25"/>
          <w:szCs w:val="25"/>
        </w:rPr>
        <w:t>it</w:t>
      </w:r>
      <w:r w:rsidRPr="00886868">
        <w:rPr>
          <w:rFonts w:ascii="Myriad Pro" w:hAnsi="Myriad Pro"/>
          <w:b w:val="0"/>
          <w:i/>
          <w:color w:val="31849B" w:themeColor="accent5" w:themeShade="BF"/>
          <w:sz w:val="25"/>
          <w:szCs w:val="25"/>
        </w:rPr>
        <w:t xml:space="preserve"> operate</w:t>
      </w:r>
      <w:r w:rsidR="00D26096">
        <w:rPr>
          <w:rFonts w:ascii="Myriad Pro" w:hAnsi="Myriad Pro"/>
          <w:b w:val="0"/>
          <w:i/>
          <w:color w:val="31849B" w:themeColor="accent5" w:themeShade="BF"/>
          <w:sz w:val="25"/>
          <w:szCs w:val="25"/>
        </w:rPr>
        <w:t>s</w:t>
      </w:r>
      <w:r w:rsidRPr="00886868">
        <w:rPr>
          <w:rFonts w:ascii="Myriad Pro" w:hAnsi="Myriad Pro"/>
          <w:b w:val="0"/>
          <w:i/>
          <w:color w:val="31849B" w:themeColor="accent5" w:themeShade="BF"/>
          <w:sz w:val="25"/>
          <w:szCs w:val="25"/>
        </w:rPr>
        <w:t>.</w:t>
      </w:r>
      <w:bookmarkEnd w:id="18"/>
    </w:p>
    <w:p w:rsidR="004322A4" w:rsidRDefault="004322A4"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The FWO exercises its powers as a workplace relations regulatory agency in a transparent and accountable manner. The agency’s approach to accountability extends to its corporate planning processes, standards for investigations, and public reporting of decisions and outcomes. </w:t>
      </w:r>
    </w:p>
    <w:p w:rsidR="002F1A33" w:rsidRPr="002F1A33" w:rsidRDefault="002F1A33" w:rsidP="00642E36">
      <w:pPr>
        <w:spacing w:after="0" w:line="240" w:lineRule="auto"/>
        <w:rPr>
          <w:rFonts w:ascii="Arial" w:hAnsi="Arial" w:cs="Arial"/>
          <w:color w:val="1F497D" w:themeColor="text2"/>
          <w:sz w:val="20"/>
          <w:szCs w:val="20"/>
        </w:rPr>
      </w:pPr>
    </w:p>
    <w:p w:rsidR="002F1A33" w:rsidRPr="002F1A33" w:rsidRDefault="002F1A33" w:rsidP="00642E36">
      <w:pPr>
        <w:spacing w:after="0" w:line="240" w:lineRule="auto"/>
        <w:contextualSpacing/>
        <w:rPr>
          <w:rFonts w:ascii="Arial" w:hAnsi="Arial" w:cs="Arial"/>
          <w:sz w:val="20"/>
          <w:szCs w:val="20"/>
        </w:rPr>
      </w:pPr>
      <w:r w:rsidRPr="002F1A33">
        <w:rPr>
          <w:rFonts w:ascii="Arial" w:hAnsi="Arial" w:cs="Arial"/>
          <w:sz w:val="20"/>
          <w:szCs w:val="20"/>
        </w:rPr>
        <w:t xml:space="preserve">The FWO publishes a range of policies on </w:t>
      </w:r>
      <w:r w:rsidR="00D621B5">
        <w:rPr>
          <w:rFonts w:ascii="Arial" w:hAnsi="Arial" w:cs="Arial"/>
          <w:sz w:val="20"/>
          <w:szCs w:val="20"/>
        </w:rPr>
        <w:t>www.</w:t>
      </w:r>
      <w:r w:rsidRPr="002F1A33">
        <w:rPr>
          <w:rFonts w:ascii="Arial" w:hAnsi="Arial" w:cs="Arial"/>
          <w:sz w:val="20"/>
          <w:szCs w:val="20"/>
        </w:rPr>
        <w:t>fairwork.gov.au, which provides information on how we do our work and who we work with. This includes information on agency priorities, and operational processes and procedures. This provides regulated entities with greater certainty about how the agency may respond to a</w:t>
      </w:r>
      <w:r w:rsidR="00D621B5">
        <w:rPr>
          <w:rFonts w:ascii="Arial" w:hAnsi="Arial" w:cs="Arial"/>
          <w:sz w:val="20"/>
          <w:szCs w:val="20"/>
        </w:rPr>
        <w:t xml:space="preserve"> particular</w:t>
      </w:r>
      <w:r w:rsidRPr="002F1A33">
        <w:rPr>
          <w:rFonts w:ascii="Arial" w:hAnsi="Arial" w:cs="Arial"/>
          <w:sz w:val="20"/>
          <w:szCs w:val="20"/>
        </w:rPr>
        <w:t xml:space="preserve"> issue.  </w:t>
      </w:r>
    </w:p>
    <w:p w:rsidR="002F1A33" w:rsidRPr="002F1A33" w:rsidRDefault="002F1A33" w:rsidP="00642E36">
      <w:pPr>
        <w:spacing w:after="0" w:line="240" w:lineRule="auto"/>
        <w:contextualSpacing/>
        <w:rPr>
          <w:rFonts w:ascii="Arial" w:hAnsi="Arial" w:cs="Arial"/>
          <w:sz w:val="20"/>
          <w:szCs w:val="20"/>
        </w:rPr>
      </w:pPr>
    </w:p>
    <w:p w:rsidR="002F1A33" w:rsidRPr="002F1A33" w:rsidRDefault="002F1A33" w:rsidP="00642E36">
      <w:pPr>
        <w:spacing w:after="0" w:line="240" w:lineRule="auto"/>
        <w:contextualSpacing/>
        <w:rPr>
          <w:rFonts w:ascii="Arial" w:hAnsi="Arial" w:cs="Arial"/>
          <w:sz w:val="20"/>
          <w:szCs w:val="20"/>
        </w:rPr>
      </w:pPr>
      <w:r w:rsidRPr="002F1A33">
        <w:rPr>
          <w:rFonts w:ascii="Arial" w:hAnsi="Arial" w:cs="Arial"/>
          <w:sz w:val="20"/>
          <w:szCs w:val="20"/>
        </w:rPr>
        <w:t xml:space="preserve">Key strategy and policy documents that </w:t>
      </w:r>
      <w:proofErr w:type="gramStart"/>
      <w:r w:rsidRPr="002F1A33">
        <w:rPr>
          <w:rFonts w:ascii="Arial" w:hAnsi="Arial" w:cs="Arial"/>
          <w:sz w:val="20"/>
          <w:szCs w:val="20"/>
        </w:rPr>
        <w:t>have been published</w:t>
      </w:r>
      <w:proofErr w:type="gramEnd"/>
      <w:r w:rsidRPr="002F1A33">
        <w:rPr>
          <w:rFonts w:ascii="Arial" w:hAnsi="Arial" w:cs="Arial"/>
          <w:sz w:val="20"/>
          <w:szCs w:val="20"/>
        </w:rPr>
        <w:t xml:space="preserve"> on fairwork.gov.au include:</w:t>
      </w:r>
    </w:p>
    <w:p w:rsidR="002F1A33" w:rsidRDefault="002F1A33" w:rsidP="00642E36">
      <w:pPr>
        <w:spacing w:after="0" w:line="240" w:lineRule="auto"/>
        <w:rPr>
          <w:rFonts w:ascii="Arial" w:hAnsi="Arial" w:cs="Arial"/>
          <w:color w:val="31849B" w:themeColor="accent5" w:themeShade="BF"/>
          <w:sz w:val="20"/>
          <w:szCs w:val="20"/>
        </w:rPr>
      </w:pPr>
    </w:p>
    <w:tbl>
      <w:tblPr>
        <w:tblStyle w:val="TableGrid"/>
        <w:tblW w:w="932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642E36" w:rsidRPr="00881686" w:rsidTr="00951510">
        <w:trPr>
          <w:trHeight w:val="454"/>
          <w:tblHeader/>
        </w:trPr>
        <w:tc>
          <w:tcPr>
            <w:tcW w:w="2093" w:type="dxa"/>
            <w:tcBorders>
              <w:bottom w:val="single" w:sz="2" w:space="0" w:color="4BACC6" w:themeColor="accent5"/>
            </w:tcBorders>
            <w:shd w:val="clear" w:color="auto" w:fill="DAEEF3" w:themeFill="accent5" w:themeFillTint="33"/>
            <w:vAlign w:val="center"/>
          </w:tcPr>
          <w:p w:rsidR="00642E36" w:rsidRPr="00881686" w:rsidRDefault="00642E36" w:rsidP="00642E36">
            <w:pPr>
              <w:rPr>
                <w:rFonts w:ascii="Myriad Pro" w:hAnsi="Myriad Pro" w:cs="Arial"/>
                <w:color w:val="31849B" w:themeColor="accent5" w:themeShade="BF"/>
              </w:rPr>
            </w:pPr>
            <w:r>
              <w:rPr>
                <w:rFonts w:ascii="Myriad Pro" w:hAnsi="Myriad Pro" w:cs="Arial"/>
                <w:color w:val="31849B" w:themeColor="accent5" w:themeShade="BF"/>
              </w:rPr>
              <w:t>Published strategies:</w:t>
            </w:r>
          </w:p>
        </w:tc>
        <w:tc>
          <w:tcPr>
            <w:tcW w:w="7229" w:type="dxa"/>
            <w:tcBorders>
              <w:bottom w:val="single" w:sz="2" w:space="0" w:color="4BACC6" w:themeColor="accent5"/>
            </w:tcBorders>
            <w:shd w:val="clear" w:color="auto" w:fill="DAEEF3" w:themeFill="accent5" w:themeFillTint="33"/>
            <w:vAlign w:val="center"/>
          </w:tcPr>
          <w:p w:rsidR="00642E36" w:rsidRPr="00881686" w:rsidRDefault="00642E36" w:rsidP="00487D1D">
            <w:pPr>
              <w:rPr>
                <w:rFonts w:ascii="Myriad Pro" w:hAnsi="Myriad Pro" w:cs="Arial"/>
                <w:color w:val="31849B" w:themeColor="accent5" w:themeShade="BF"/>
              </w:rPr>
            </w:pPr>
            <w:r>
              <w:rPr>
                <w:rFonts w:ascii="Myriad Pro" w:hAnsi="Myriad Pro" w:cs="Arial"/>
                <w:color w:val="31849B" w:themeColor="accent5" w:themeShade="BF"/>
              </w:rPr>
              <w:t>Description</w:t>
            </w:r>
          </w:p>
        </w:tc>
      </w:tr>
      <w:tr w:rsidR="00642E36" w:rsidRPr="007C45BB" w:rsidTr="00642E36">
        <w:trPr>
          <w:trHeight w:val="629"/>
        </w:trPr>
        <w:tc>
          <w:tcPr>
            <w:tcW w:w="2093" w:type="dxa"/>
            <w:tcBorders>
              <w:top w:val="single" w:sz="2" w:space="0" w:color="4BACC6" w:themeColor="accent5"/>
              <w:bottom w:val="nil"/>
            </w:tcBorders>
          </w:tcPr>
          <w:p w:rsidR="00642E36" w:rsidRPr="00642E36" w:rsidRDefault="00642E36" w:rsidP="00642E36">
            <w:pPr>
              <w:contextualSpacing/>
              <w:rPr>
                <w:rFonts w:ascii="Arial" w:hAnsi="Arial" w:cs="Arial"/>
                <w:color w:val="231F20"/>
                <w:sz w:val="20"/>
                <w:szCs w:val="20"/>
              </w:rPr>
            </w:pPr>
            <w:r w:rsidRPr="002F1A33">
              <w:rPr>
                <w:rFonts w:ascii="Arial" w:hAnsi="Arial" w:cs="Arial"/>
                <w:color w:val="231F20"/>
                <w:sz w:val="20"/>
                <w:szCs w:val="20"/>
              </w:rPr>
              <w:t>Corporate Plan</w:t>
            </w:r>
          </w:p>
        </w:tc>
        <w:tc>
          <w:tcPr>
            <w:tcW w:w="7229" w:type="dxa"/>
            <w:tcBorders>
              <w:top w:val="single" w:sz="2" w:space="0" w:color="4BACC6" w:themeColor="accent5"/>
              <w:bottom w:val="nil"/>
            </w:tcBorders>
          </w:tcPr>
          <w:p w:rsidR="00642E36" w:rsidRPr="00642E36" w:rsidRDefault="00642E36" w:rsidP="00642E36">
            <w:pPr>
              <w:contextualSpacing/>
              <w:rPr>
                <w:rFonts w:ascii="Arial" w:hAnsi="Arial" w:cs="Arial"/>
                <w:color w:val="231F20"/>
                <w:sz w:val="20"/>
                <w:szCs w:val="20"/>
              </w:rPr>
            </w:pPr>
            <w:r w:rsidRPr="007C45BB">
              <w:rPr>
                <w:rFonts w:ascii="Arial" w:hAnsi="Arial" w:cs="Arial"/>
                <w:color w:val="231F20"/>
                <w:sz w:val="20"/>
                <w:szCs w:val="20"/>
              </w:rPr>
              <w:t>Sets out the agency’s strategic direction. It outlines our purpose, vision, setting, priorities and activities and ta</w:t>
            </w:r>
            <w:r>
              <w:rPr>
                <w:rFonts w:ascii="Arial" w:hAnsi="Arial" w:cs="Arial"/>
                <w:color w:val="231F20"/>
                <w:sz w:val="20"/>
                <w:szCs w:val="20"/>
              </w:rPr>
              <w:t>rgets for measuring our success.</w:t>
            </w:r>
          </w:p>
        </w:tc>
      </w:tr>
      <w:tr w:rsidR="00642E36" w:rsidRPr="00642E36" w:rsidTr="00642E36">
        <w:trPr>
          <w:trHeight w:val="854"/>
        </w:trPr>
        <w:tc>
          <w:tcPr>
            <w:tcW w:w="2093" w:type="dxa"/>
            <w:tcBorders>
              <w:bottom w:val="nil"/>
            </w:tcBorders>
            <w:shd w:val="clear" w:color="auto" w:fill="DAEEF3" w:themeFill="accent5" w:themeFillTint="33"/>
          </w:tcPr>
          <w:p w:rsidR="00642E36" w:rsidRPr="002F1A33" w:rsidRDefault="00642E36" w:rsidP="00642E36">
            <w:pPr>
              <w:contextualSpacing/>
              <w:rPr>
                <w:rFonts w:ascii="Arial" w:hAnsi="Arial" w:cs="Arial"/>
                <w:color w:val="231F20"/>
                <w:sz w:val="20"/>
                <w:szCs w:val="20"/>
              </w:rPr>
            </w:pPr>
            <w:r w:rsidRPr="002F1A33">
              <w:rPr>
                <w:rFonts w:ascii="Arial" w:hAnsi="Arial" w:cs="Arial"/>
                <w:color w:val="231F20"/>
                <w:sz w:val="20"/>
                <w:szCs w:val="20"/>
              </w:rPr>
              <w:t>Strategic Intent</w:t>
            </w:r>
          </w:p>
          <w:p w:rsidR="00642E36" w:rsidRPr="00642E36" w:rsidRDefault="00642E36" w:rsidP="00642E36">
            <w:pPr>
              <w:contextualSpacing/>
              <w:rPr>
                <w:rFonts w:ascii="Arial" w:hAnsi="Arial" w:cs="Arial"/>
                <w:sz w:val="20"/>
                <w:szCs w:val="20"/>
              </w:rPr>
            </w:pPr>
          </w:p>
        </w:tc>
        <w:tc>
          <w:tcPr>
            <w:tcW w:w="7229" w:type="dxa"/>
            <w:tcBorders>
              <w:bottom w:val="nil"/>
            </w:tcBorders>
            <w:shd w:val="clear" w:color="auto" w:fill="DAEEF3" w:themeFill="accent5" w:themeFillTint="33"/>
          </w:tcPr>
          <w:p w:rsidR="00642E36" w:rsidRPr="00642E36" w:rsidRDefault="00642E36" w:rsidP="00D26096">
            <w:pPr>
              <w:rPr>
                <w:rFonts w:ascii="Arial" w:hAnsi="Arial" w:cs="Arial"/>
                <w:color w:val="231F20"/>
                <w:sz w:val="20"/>
                <w:szCs w:val="20"/>
              </w:rPr>
            </w:pPr>
            <w:r w:rsidRPr="00642E36">
              <w:rPr>
                <w:rFonts w:ascii="Arial" w:hAnsi="Arial" w:cs="Arial"/>
                <w:color w:val="231F20"/>
                <w:sz w:val="20"/>
                <w:szCs w:val="20"/>
              </w:rPr>
              <w:t>States our vision</w:t>
            </w:r>
            <w:r w:rsidR="004912F7">
              <w:rPr>
                <w:rFonts w:ascii="Arial" w:hAnsi="Arial" w:cs="Arial"/>
                <w:color w:val="231F20"/>
                <w:sz w:val="20"/>
                <w:szCs w:val="20"/>
              </w:rPr>
              <w:t xml:space="preserve">. That is, </w:t>
            </w:r>
            <w:r w:rsidRPr="00642E36">
              <w:rPr>
                <w:rFonts w:ascii="Arial" w:hAnsi="Arial" w:cs="Arial"/>
                <w:color w:val="231F20"/>
                <w:sz w:val="20"/>
                <w:szCs w:val="20"/>
              </w:rPr>
              <w:t>to be valued by the community for supporting compliant, productive and inclusive workplaces. Th</w:t>
            </w:r>
            <w:r w:rsidR="00D621B5">
              <w:rPr>
                <w:rFonts w:ascii="Arial" w:hAnsi="Arial" w:cs="Arial"/>
                <w:color w:val="231F20"/>
                <w:sz w:val="20"/>
                <w:szCs w:val="20"/>
              </w:rPr>
              <w:t>is</w:t>
            </w:r>
            <w:r w:rsidRPr="00642E36">
              <w:rPr>
                <w:rFonts w:ascii="Arial" w:hAnsi="Arial" w:cs="Arial"/>
                <w:color w:val="231F20"/>
                <w:sz w:val="20"/>
                <w:szCs w:val="20"/>
              </w:rPr>
              <w:t xml:space="preserve"> document highlights the agency’s focus, priorities and strategies for how we plan to achieve our vision.</w:t>
            </w:r>
          </w:p>
        </w:tc>
      </w:tr>
      <w:tr w:rsidR="00642E36" w:rsidRPr="00642E36" w:rsidTr="00642E36">
        <w:trPr>
          <w:trHeight w:val="992"/>
        </w:trPr>
        <w:tc>
          <w:tcPr>
            <w:tcW w:w="2093" w:type="dxa"/>
            <w:tcBorders>
              <w:bottom w:val="nil"/>
            </w:tcBorders>
            <w:shd w:val="clear" w:color="auto" w:fill="auto"/>
          </w:tcPr>
          <w:p w:rsidR="00642E36" w:rsidRPr="002F1A33" w:rsidRDefault="00642E36" w:rsidP="00642E36">
            <w:pPr>
              <w:contextualSpacing/>
              <w:rPr>
                <w:rFonts w:ascii="Arial" w:hAnsi="Arial" w:cs="Arial"/>
                <w:color w:val="231F20"/>
                <w:sz w:val="20"/>
                <w:szCs w:val="20"/>
              </w:rPr>
            </w:pPr>
            <w:r w:rsidRPr="002F1A33">
              <w:rPr>
                <w:rFonts w:ascii="Arial" w:hAnsi="Arial" w:cs="Arial"/>
                <w:color w:val="231F20"/>
                <w:sz w:val="20"/>
                <w:szCs w:val="20"/>
              </w:rPr>
              <w:t>Compliance and Enforcement Policy</w:t>
            </w:r>
          </w:p>
          <w:p w:rsidR="00642E36" w:rsidRPr="00642E36" w:rsidRDefault="00642E36" w:rsidP="00642E36">
            <w:pPr>
              <w:contextualSpacing/>
              <w:rPr>
                <w:rFonts w:ascii="Arial" w:hAnsi="Arial" w:cs="Arial"/>
                <w:sz w:val="20"/>
                <w:szCs w:val="20"/>
              </w:rPr>
            </w:pPr>
          </w:p>
        </w:tc>
        <w:tc>
          <w:tcPr>
            <w:tcW w:w="7229" w:type="dxa"/>
            <w:tcBorders>
              <w:bottom w:val="nil"/>
            </w:tcBorders>
            <w:shd w:val="clear" w:color="auto" w:fill="auto"/>
          </w:tcPr>
          <w:p w:rsidR="00642E36" w:rsidRPr="00642E36" w:rsidRDefault="00642E36" w:rsidP="00642E36">
            <w:pPr>
              <w:rPr>
                <w:rFonts w:ascii="Arial" w:hAnsi="Arial" w:cs="Arial"/>
                <w:color w:val="231F20"/>
                <w:sz w:val="20"/>
                <w:szCs w:val="20"/>
              </w:rPr>
            </w:pPr>
            <w:r w:rsidRPr="00642E36">
              <w:rPr>
                <w:rFonts w:ascii="Arial" w:hAnsi="Arial" w:cs="Arial"/>
                <w:color w:val="231F20"/>
                <w:sz w:val="20"/>
                <w:szCs w:val="20"/>
              </w:rPr>
              <w:t xml:space="preserve">Sets out principles adopted by the agency to achieve compliance with the law, and outlines the </w:t>
            </w:r>
            <w:proofErr w:type="spellStart"/>
            <w:r w:rsidRPr="00642E36">
              <w:rPr>
                <w:rFonts w:ascii="Arial" w:hAnsi="Arial" w:cs="Arial"/>
                <w:color w:val="231F20"/>
                <w:sz w:val="20"/>
                <w:szCs w:val="20"/>
              </w:rPr>
              <w:t>FWO’s</w:t>
            </w:r>
            <w:proofErr w:type="spellEnd"/>
            <w:r w:rsidRPr="00642E36">
              <w:rPr>
                <w:rFonts w:ascii="Arial" w:hAnsi="Arial" w:cs="Arial"/>
                <w:color w:val="231F20"/>
                <w:sz w:val="20"/>
                <w:szCs w:val="20"/>
              </w:rPr>
              <w:t xml:space="preserve"> enforcement powers and functions. The policy provides information on how the agency identifies and acts on opportunities to offer assistance in workplace disputes.</w:t>
            </w:r>
          </w:p>
        </w:tc>
      </w:tr>
      <w:tr w:rsidR="00642E36" w:rsidRPr="00642E36" w:rsidTr="00642E36">
        <w:trPr>
          <w:trHeight w:val="566"/>
        </w:trPr>
        <w:tc>
          <w:tcPr>
            <w:tcW w:w="2093" w:type="dxa"/>
            <w:tcBorders>
              <w:bottom w:val="nil"/>
            </w:tcBorders>
            <w:shd w:val="clear" w:color="auto" w:fill="DAEEF3" w:themeFill="accent5" w:themeFillTint="33"/>
          </w:tcPr>
          <w:p w:rsidR="00642E36" w:rsidRPr="002F1A33" w:rsidRDefault="00642E36" w:rsidP="00642E36">
            <w:pPr>
              <w:contextualSpacing/>
              <w:rPr>
                <w:rFonts w:ascii="Arial" w:hAnsi="Arial" w:cs="Arial"/>
                <w:color w:val="231F20"/>
                <w:sz w:val="20"/>
                <w:szCs w:val="20"/>
              </w:rPr>
            </w:pPr>
            <w:r w:rsidRPr="002F1A33">
              <w:rPr>
                <w:rFonts w:ascii="Arial" w:hAnsi="Arial" w:cs="Arial"/>
                <w:color w:val="231F20"/>
                <w:sz w:val="20"/>
                <w:szCs w:val="20"/>
              </w:rPr>
              <w:t>Litigation policy</w:t>
            </w:r>
          </w:p>
          <w:p w:rsidR="00642E36" w:rsidRPr="00642E36" w:rsidRDefault="00642E36" w:rsidP="00642E36">
            <w:pPr>
              <w:contextualSpacing/>
              <w:rPr>
                <w:rFonts w:ascii="Arial" w:hAnsi="Arial" w:cs="Arial"/>
                <w:sz w:val="20"/>
                <w:szCs w:val="20"/>
              </w:rPr>
            </w:pPr>
          </w:p>
        </w:tc>
        <w:tc>
          <w:tcPr>
            <w:tcW w:w="7229" w:type="dxa"/>
            <w:tcBorders>
              <w:bottom w:val="nil"/>
            </w:tcBorders>
            <w:shd w:val="clear" w:color="auto" w:fill="DAEEF3" w:themeFill="accent5" w:themeFillTint="33"/>
          </w:tcPr>
          <w:p w:rsidR="00642E36" w:rsidRPr="00642E36" w:rsidRDefault="00642E36" w:rsidP="00EF31DC">
            <w:pPr>
              <w:pStyle w:val="Header"/>
            </w:pPr>
            <w:r w:rsidRPr="00D621B5">
              <w:rPr>
                <w:rFonts w:ascii="Arial" w:hAnsi="Arial" w:cs="Arial"/>
                <w:color w:val="231F20"/>
                <w:sz w:val="20"/>
                <w:szCs w:val="20"/>
              </w:rPr>
              <w:t>Sets out guideline</w:t>
            </w:r>
            <w:r w:rsidRPr="00D75649">
              <w:rPr>
                <w:rFonts w:ascii="Arial" w:hAnsi="Arial" w:cs="Arial"/>
                <w:sz w:val="20"/>
                <w:szCs w:val="20"/>
              </w:rPr>
              <w:t>s for FWO in commencing litigation proceedings, in relation to a contravention or proposed contravention</w:t>
            </w:r>
            <w:r w:rsidR="00D621B5">
              <w:rPr>
                <w:rFonts w:ascii="Arial" w:hAnsi="Arial" w:cs="Arial"/>
                <w:sz w:val="20"/>
                <w:szCs w:val="20"/>
              </w:rPr>
              <w:t>.</w:t>
            </w:r>
          </w:p>
        </w:tc>
      </w:tr>
      <w:tr w:rsidR="00642E36" w:rsidRPr="00642E36" w:rsidTr="00642E36">
        <w:trPr>
          <w:trHeight w:val="561"/>
        </w:trPr>
        <w:tc>
          <w:tcPr>
            <w:tcW w:w="2093" w:type="dxa"/>
            <w:tcBorders>
              <w:bottom w:val="nil"/>
            </w:tcBorders>
            <w:shd w:val="clear" w:color="auto" w:fill="auto"/>
          </w:tcPr>
          <w:p w:rsidR="00642E36" w:rsidRPr="00642E36" w:rsidRDefault="00642E36" w:rsidP="00642E36">
            <w:pPr>
              <w:contextualSpacing/>
              <w:rPr>
                <w:rFonts w:ascii="Arial" w:hAnsi="Arial" w:cs="Arial"/>
                <w:color w:val="231F20"/>
                <w:sz w:val="20"/>
                <w:szCs w:val="20"/>
              </w:rPr>
            </w:pPr>
            <w:r w:rsidRPr="002F1A33">
              <w:rPr>
                <w:rFonts w:ascii="Arial" w:hAnsi="Arial" w:cs="Arial"/>
                <w:color w:val="231F20"/>
                <w:sz w:val="20"/>
                <w:szCs w:val="20"/>
              </w:rPr>
              <w:t>Information Access Policy</w:t>
            </w:r>
          </w:p>
        </w:tc>
        <w:tc>
          <w:tcPr>
            <w:tcW w:w="7229" w:type="dxa"/>
            <w:tcBorders>
              <w:bottom w:val="nil"/>
            </w:tcBorders>
            <w:shd w:val="clear" w:color="auto" w:fill="auto"/>
          </w:tcPr>
          <w:p w:rsidR="00642E36" w:rsidRPr="00642E36" w:rsidRDefault="00642E36" w:rsidP="00642E36">
            <w:pPr>
              <w:rPr>
                <w:rFonts w:ascii="Arial" w:hAnsi="Arial" w:cs="Arial"/>
                <w:color w:val="231F20"/>
                <w:sz w:val="20"/>
                <w:szCs w:val="20"/>
              </w:rPr>
            </w:pPr>
            <w:r w:rsidRPr="00642E36">
              <w:rPr>
                <w:rFonts w:ascii="Arial" w:hAnsi="Arial" w:cs="Arial"/>
                <w:color w:val="231F20"/>
                <w:sz w:val="20"/>
                <w:szCs w:val="20"/>
              </w:rPr>
              <w:t xml:space="preserve">Outlines how the FWO deals with requests for information in accordance with the </w:t>
            </w:r>
            <w:r w:rsidRPr="00642E36">
              <w:rPr>
                <w:rFonts w:ascii="Arial" w:hAnsi="Arial" w:cs="Arial"/>
                <w:i/>
                <w:color w:val="231F20"/>
                <w:sz w:val="20"/>
                <w:szCs w:val="20"/>
              </w:rPr>
              <w:t>Freedom of Information Act 1982.</w:t>
            </w:r>
          </w:p>
        </w:tc>
      </w:tr>
      <w:tr w:rsidR="00642E36" w:rsidRPr="00642E36" w:rsidTr="00642E36">
        <w:trPr>
          <w:trHeight w:val="340"/>
        </w:trPr>
        <w:tc>
          <w:tcPr>
            <w:tcW w:w="2093" w:type="dxa"/>
            <w:tcBorders>
              <w:bottom w:val="single" w:sz="2" w:space="0" w:color="4BACC6" w:themeColor="accent5"/>
            </w:tcBorders>
            <w:shd w:val="clear" w:color="auto" w:fill="DAEEF3" w:themeFill="accent5" w:themeFillTint="33"/>
          </w:tcPr>
          <w:p w:rsidR="00642E36" w:rsidRPr="00642E36" w:rsidRDefault="00642E36" w:rsidP="00642E36">
            <w:pPr>
              <w:contextualSpacing/>
              <w:rPr>
                <w:rFonts w:ascii="Arial" w:hAnsi="Arial" w:cs="Arial"/>
                <w:color w:val="231F20"/>
                <w:sz w:val="20"/>
                <w:szCs w:val="20"/>
              </w:rPr>
            </w:pPr>
            <w:r w:rsidRPr="002F1A33">
              <w:rPr>
                <w:rFonts w:ascii="Arial" w:hAnsi="Arial" w:cs="Arial"/>
                <w:color w:val="231F20"/>
                <w:sz w:val="20"/>
                <w:szCs w:val="20"/>
              </w:rPr>
              <w:t>Feedback and Complaints Management Policy</w:t>
            </w:r>
          </w:p>
        </w:tc>
        <w:tc>
          <w:tcPr>
            <w:tcW w:w="7229" w:type="dxa"/>
            <w:tcBorders>
              <w:bottom w:val="single" w:sz="2" w:space="0" w:color="4BACC6" w:themeColor="accent5"/>
            </w:tcBorders>
            <w:shd w:val="clear" w:color="auto" w:fill="DAEEF3" w:themeFill="accent5" w:themeFillTint="33"/>
          </w:tcPr>
          <w:p w:rsidR="00642E36" w:rsidRPr="00642E36" w:rsidRDefault="00642E36" w:rsidP="00642E36">
            <w:pPr>
              <w:rPr>
                <w:rFonts w:ascii="Arial" w:hAnsi="Arial" w:cs="Arial"/>
                <w:color w:val="231F20"/>
                <w:sz w:val="20"/>
                <w:szCs w:val="20"/>
              </w:rPr>
            </w:pPr>
            <w:r w:rsidRPr="00642E36">
              <w:rPr>
                <w:rFonts w:ascii="Arial" w:hAnsi="Arial" w:cs="Arial"/>
                <w:color w:val="231F20"/>
                <w:sz w:val="20"/>
                <w:szCs w:val="20"/>
              </w:rPr>
              <w:t xml:space="preserve">Outlines how FWO responds to feedback, service complaints and requests for review. The policy provides information on the way requests are prioritised and potential </w:t>
            </w:r>
            <w:r w:rsidR="009D2A87" w:rsidRPr="00642E36">
              <w:rPr>
                <w:rFonts w:ascii="Arial" w:hAnsi="Arial" w:cs="Arial"/>
                <w:color w:val="231F20"/>
                <w:sz w:val="20"/>
                <w:szCs w:val="20"/>
              </w:rPr>
              <w:t>actions.</w:t>
            </w:r>
            <w:r w:rsidR="009D2A87">
              <w:rPr>
                <w:rFonts w:ascii="Arial" w:hAnsi="Arial" w:cs="Arial"/>
                <w:color w:val="231F20"/>
                <w:sz w:val="20"/>
                <w:szCs w:val="20"/>
              </w:rPr>
              <w:t xml:space="preserve"> This</w:t>
            </w:r>
            <w:r w:rsidR="009C7256">
              <w:rPr>
                <w:rFonts w:ascii="Arial" w:hAnsi="Arial" w:cs="Arial"/>
                <w:color w:val="231F20"/>
                <w:sz w:val="20"/>
                <w:szCs w:val="20"/>
              </w:rPr>
              <w:t xml:space="preserve"> information </w:t>
            </w:r>
            <w:proofErr w:type="gramStart"/>
            <w:r w:rsidR="009C7256">
              <w:rPr>
                <w:rFonts w:ascii="Arial" w:hAnsi="Arial" w:cs="Arial"/>
                <w:color w:val="231F20"/>
                <w:sz w:val="20"/>
                <w:szCs w:val="20"/>
              </w:rPr>
              <w:t>is used</w:t>
            </w:r>
            <w:proofErr w:type="gramEnd"/>
            <w:r w:rsidR="009C7256">
              <w:rPr>
                <w:rFonts w:ascii="Arial" w:hAnsi="Arial" w:cs="Arial"/>
                <w:color w:val="231F20"/>
                <w:sz w:val="20"/>
                <w:szCs w:val="20"/>
              </w:rPr>
              <w:t xml:space="preserve"> to develop strategies to continuously improve and enhance our services and provide opportunities to innovate and improve the agency’s operational effectiveness. </w:t>
            </w:r>
          </w:p>
        </w:tc>
      </w:tr>
    </w:tbl>
    <w:p w:rsidR="00642E36" w:rsidRDefault="00642E36"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7C45BB" w:rsidRPr="00F80344" w:rsidRDefault="007C45BB"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7C45BB" w:rsidRPr="007C45BB" w:rsidRDefault="007C45BB" w:rsidP="00642E36">
      <w:pPr>
        <w:spacing w:after="0" w:line="240" w:lineRule="auto"/>
        <w:rPr>
          <w:rFonts w:ascii="Arial" w:hAnsi="Arial" w:cs="Arial"/>
          <w:sz w:val="20"/>
          <w:szCs w:val="20"/>
        </w:rPr>
      </w:pPr>
    </w:p>
    <w:p w:rsidR="004322A4" w:rsidRDefault="007C45BB" w:rsidP="00642E36">
      <w:pPr>
        <w:spacing w:after="0" w:line="240" w:lineRule="auto"/>
        <w:rPr>
          <w:rFonts w:ascii="Arial" w:hAnsi="Arial" w:cs="Arial"/>
          <w:color w:val="31849B" w:themeColor="accent5" w:themeShade="BF"/>
          <w:sz w:val="20"/>
          <w:szCs w:val="20"/>
        </w:rPr>
      </w:pPr>
      <w:r w:rsidRPr="007C45BB">
        <w:rPr>
          <w:rFonts w:ascii="Arial" w:hAnsi="Arial" w:cs="Arial"/>
          <w:sz w:val="20"/>
          <w:szCs w:val="20"/>
        </w:rPr>
        <w:t>Note that case stud</w:t>
      </w:r>
      <w:r>
        <w:rPr>
          <w:rFonts w:ascii="Arial" w:hAnsi="Arial" w:cs="Arial"/>
          <w:sz w:val="20"/>
          <w:szCs w:val="20"/>
        </w:rPr>
        <w:t>ies are not applicable to this measure.</w:t>
      </w:r>
    </w:p>
    <w:p w:rsidR="004322A4" w:rsidRDefault="004322A4"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642E36" w:rsidRDefault="00642E36"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pStyle w:val="Heading1"/>
        <w:spacing w:before="0" w:line="240" w:lineRule="auto"/>
        <w:rPr>
          <w:rFonts w:ascii="Myriad Pro" w:hAnsi="Myriad Pro"/>
          <w:b w:val="0"/>
          <w:color w:val="31849B" w:themeColor="accent5" w:themeShade="BF"/>
        </w:rPr>
      </w:pPr>
      <w:bookmarkStart w:id="19" w:name="_Toc460917311"/>
      <w:proofErr w:type="spellStart"/>
      <w:r w:rsidRPr="004322A4">
        <w:rPr>
          <w:rFonts w:ascii="Myriad Pro" w:hAnsi="Myriad Pro"/>
          <w:b w:val="0"/>
          <w:color w:val="31849B" w:themeColor="accent5" w:themeShade="BF"/>
        </w:rPr>
        <w:lastRenderedPageBreak/>
        <w:t>KPI</w:t>
      </w:r>
      <w:proofErr w:type="spellEnd"/>
      <w:r w:rsidRPr="004322A4">
        <w:rPr>
          <w:rFonts w:ascii="Myriad Pro" w:hAnsi="Myriad Pro"/>
          <w:b w:val="0"/>
          <w:color w:val="31849B" w:themeColor="accent5" w:themeShade="BF"/>
        </w:rPr>
        <w:t xml:space="preserve"> 6 – Regulators actively contribute to the continuous improvement of regulatory frameworks</w:t>
      </w:r>
      <w:bookmarkEnd w:id="19"/>
    </w:p>
    <w:p w:rsidR="004322A4" w:rsidRPr="004322A4" w:rsidRDefault="004322A4" w:rsidP="00642E36">
      <w:pPr>
        <w:pStyle w:val="ListParagraph"/>
        <w:spacing w:after="0" w:line="240" w:lineRule="auto"/>
        <w:ind w:left="0"/>
        <w:rPr>
          <w:rFonts w:ascii="Myriad Pro" w:hAnsi="Myriad Pro" w:cs="Arial"/>
          <w:color w:val="31849B" w:themeColor="accent5" w:themeShade="BF"/>
          <w:sz w:val="20"/>
          <w:szCs w:val="20"/>
        </w:rPr>
      </w:pPr>
    </w:p>
    <w:p w:rsidR="004322A4" w:rsidRPr="00886868" w:rsidRDefault="004322A4" w:rsidP="00642E36">
      <w:pPr>
        <w:pStyle w:val="Heading2"/>
        <w:spacing w:before="0" w:line="240" w:lineRule="auto"/>
        <w:rPr>
          <w:rFonts w:ascii="Myriad Pro" w:hAnsi="Myriad Pro"/>
          <w:b w:val="0"/>
          <w:i/>
          <w:color w:val="31849B" w:themeColor="accent5" w:themeShade="BF"/>
          <w:sz w:val="25"/>
          <w:szCs w:val="25"/>
        </w:rPr>
      </w:pPr>
      <w:bookmarkStart w:id="20" w:name="_Toc460917312"/>
      <w:r w:rsidRPr="00886868">
        <w:rPr>
          <w:rFonts w:ascii="Myriad Pro" w:hAnsi="Myriad Pro"/>
          <w:b w:val="0"/>
          <w:i/>
          <w:color w:val="31849B" w:themeColor="accent5" w:themeShade="BF"/>
          <w:sz w:val="25"/>
          <w:szCs w:val="25"/>
        </w:rPr>
        <w:t>Measures 6.1 – The FWO makes it easy for stakeholders and regulated entities to contribute to the efficient operation of the FWO.</w:t>
      </w:r>
      <w:bookmarkEnd w:id="20"/>
    </w:p>
    <w:p w:rsidR="004322A4" w:rsidRDefault="004322A4" w:rsidP="00642E36">
      <w:pPr>
        <w:spacing w:after="0" w:line="240" w:lineRule="auto"/>
        <w:rPr>
          <w:rFonts w:ascii="Arial" w:hAnsi="Arial" w:cs="Arial"/>
          <w:color w:val="31849B" w:themeColor="accent5" w:themeShade="BF"/>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The FWO establishes cooperative and collaborative relationships with stakeholders to improve the efficiency and effectiveness of the regulatory framework. Being in active dialogue with stakeholders is central to the way the FWO undertakes its role as a regulator</w:t>
      </w:r>
      <w:r w:rsidR="00D621B5">
        <w:rPr>
          <w:rFonts w:ascii="Arial" w:hAnsi="Arial" w:cs="Arial"/>
          <w:sz w:val="20"/>
          <w:szCs w:val="20"/>
        </w:rPr>
        <w:t>. This</w:t>
      </w:r>
      <w:r w:rsidRPr="002F1A33">
        <w:rPr>
          <w:rFonts w:ascii="Arial" w:hAnsi="Arial" w:cs="Arial"/>
          <w:sz w:val="20"/>
          <w:szCs w:val="20"/>
        </w:rPr>
        <w:t xml:space="preserve"> </w:t>
      </w:r>
      <w:proofErr w:type="gramStart"/>
      <w:r w:rsidRPr="002F1A33">
        <w:rPr>
          <w:rFonts w:ascii="Arial" w:hAnsi="Arial" w:cs="Arial"/>
          <w:sz w:val="20"/>
          <w:szCs w:val="20"/>
        </w:rPr>
        <w:t>is reflect</w:t>
      </w:r>
      <w:r w:rsidR="007C45BB">
        <w:rPr>
          <w:rFonts w:ascii="Arial" w:hAnsi="Arial" w:cs="Arial"/>
          <w:sz w:val="20"/>
          <w:szCs w:val="20"/>
        </w:rPr>
        <w:t>ed</w:t>
      </w:r>
      <w:proofErr w:type="gramEnd"/>
      <w:r w:rsidRPr="002F1A33">
        <w:rPr>
          <w:rFonts w:ascii="Arial" w:hAnsi="Arial" w:cs="Arial"/>
          <w:sz w:val="20"/>
          <w:szCs w:val="20"/>
        </w:rPr>
        <w:t xml:space="preserve"> as a key priority in the Corporate Plan.</w:t>
      </w:r>
    </w:p>
    <w:p w:rsidR="002F1A33" w:rsidRPr="002F1A33" w:rsidRDefault="002F1A33" w:rsidP="00642E36">
      <w:pPr>
        <w:spacing w:after="0" w:line="240" w:lineRule="auto"/>
        <w:rPr>
          <w:rFonts w:ascii="Arial" w:hAnsi="Arial" w:cs="Arial"/>
          <w:sz w:val="20"/>
          <w:szCs w:val="20"/>
        </w:rPr>
      </w:pPr>
    </w:p>
    <w:p w:rsidR="00CF5264" w:rsidRDefault="002F1A33" w:rsidP="00642E36">
      <w:pPr>
        <w:spacing w:after="0" w:line="240" w:lineRule="auto"/>
        <w:rPr>
          <w:rFonts w:ascii="Arial" w:hAnsi="Arial" w:cs="Arial"/>
          <w:sz w:val="20"/>
          <w:szCs w:val="20"/>
        </w:rPr>
      </w:pPr>
      <w:r w:rsidRPr="002F1A33">
        <w:rPr>
          <w:rFonts w:ascii="Arial" w:hAnsi="Arial" w:cs="Arial"/>
          <w:sz w:val="20"/>
          <w:szCs w:val="20"/>
        </w:rPr>
        <w:t>The FWO recognises that effective stakeholder engagement enables higher quality decision-making. Feedback and insight provided by stakeholders and regulated entities contribute</w:t>
      </w:r>
      <w:r w:rsidR="00D621B5">
        <w:rPr>
          <w:rFonts w:ascii="Arial" w:hAnsi="Arial" w:cs="Arial"/>
          <w:sz w:val="20"/>
          <w:szCs w:val="20"/>
        </w:rPr>
        <w:t>s</w:t>
      </w:r>
      <w:r w:rsidRPr="002F1A33">
        <w:rPr>
          <w:rFonts w:ascii="Arial" w:hAnsi="Arial" w:cs="Arial"/>
          <w:sz w:val="20"/>
          <w:szCs w:val="20"/>
        </w:rPr>
        <w:t xml:space="preserve"> towards the development of planned and inform</w:t>
      </w:r>
      <w:r w:rsidR="00CF5264">
        <w:rPr>
          <w:rFonts w:ascii="Arial" w:hAnsi="Arial" w:cs="Arial"/>
          <w:sz w:val="20"/>
          <w:szCs w:val="20"/>
        </w:rPr>
        <w:t>ed</w:t>
      </w:r>
      <w:r w:rsidRPr="002F1A33">
        <w:rPr>
          <w:rFonts w:ascii="Arial" w:hAnsi="Arial" w:cs="Arial"/>
          <w:sz w:val="20"/>
          <w:szCs w:val="20"/>
        </w:rPr>
        <w:t xml:space="preserve"> decisions, policies, programs and services. </w:t>
      </w:r>
    </w:p>
    <w:p w:rsidR="00CF5264" w:rsidRDefault="00CF5264" w:rsidP="00642E36">
      <w:pPr>
        <w:spacing w:after="0" w:line="240" w:lineRule="auto"/>
        <w:rPr>
          <w:rFonts w:ascii="Arial" w:hAnsi="Arial" w:cs="Arial"/>
          <w:sz w:val="20"/>
          <w:szCs w:val="20"/>
        </w:rPr>
      </w:pPr>
    </w:p>
    <w:p w:rsidR="00CF5264" w:rsidRDefault="002F1A33" w:rsidP="00642E36">
      <w:pPr>
        <w:spacing w:after="0" w:line="240" w:lineRule="auto"/>
        <w:rPr>
          <w:rFonts w:ascii="Arial" w:hAnsi="Arial" w:cs="Arial"/>
          <w:sz w:val="20"/>
          <w:szCs w:val="20"/>
        </w:rPr>
      </w:pPr>
      <w:r w:rsidRPr="002F1A33">
        <w:rPr>
          <w:rFonts w:ascii="Arial" w:hAnsi="Arial" w:cs="Arial"/>
          <w:sz w:val="20"/>
          <w:szCs w:val="20"/>
        </w:rPr>
        <w:t>For stakeholders and regulated entities, the benefits of engagement include</w:t>
      </w:r>
      <w:r w:rsidR="00CF5264">
        <w:rPr>
          <w:rFonts w:ascii="Arial" w:hAnsi="Arial" w:cs="Arial"/>
          <w:sz w:val="20"/>
          <w:szCs w:val="20"/>
        </w:rPr>
        <w:t>:</w:t>
      </w:r>
      <w:r w:rsidRPr="002F1A33">
        <w:rPr>
          <w:rFonts w:ascii="Arial" w:hAnsi="Arial" w:cs="Arial"/>
          <w:sz w:val="20"/>
          <w:szCs w:val="20"/>
        </w:rPr>
        <w:t xml:space="preserve"> </w:t>
      </w:r>
    </w:p>
    <w:p w:rsidR="00CF5264" w:rsidRDefault="00CF5264" w:rsidP="00642E36">
      <w:pPr>
        <w:spacing w:after="0" w:line="240" w:lineRule="auto"/>
        <w:rPr>
          <w:rFonts w:ascii="Arial" w:hAnsi="Arial" w:cs="Arial"/>
          <w:sz w:val="20"/>
          <w:szCs w:val="20"/>
        </w:rPr>
      </w:pPr>
    </w:p>
    <w:p w:rsidR="00CF5264" w:rsidRDefault="002B04FB" w:rsidP="00970593">
      <w:pPr>
        <w:numPr>
          <w:ilvl w:val="0"/>
          <w:numId w:val="26"/>
        </w:numPr>
        <w:spacing w:after="0" w:line="240" w:lineRule="auto"/>
        <w:contextualSpacing/>
        <w:rPr>
          <w:rFonts w:ascii="Arial" w:hAnsi="Arial" w:cs="Arial"/>
          <w:sz w:val="20"/>
          <w:szCs w:val="20"/>
        </w:rPr>
      </w:pPr>
      <w:r>
        <w:rPr>
          <w:rFonts w:ascii="Arial" w:hAnsi="Arial" w:cs="Arial"/>
          <w:sz w:val="20"/>
          <w:szCs w:val="20"/>
        </w:rPr>
        <w:t>T</w:t>
      </w:r>
      <w:r w:rsidR="00D621B5">
        <w:rPr>
          <w:rFonts w:ascii="Arial" w:hAnsi="Arial" w:cs="Arial"/>
          <w:sz w:val="20"/>
          <w:szCs w:val="20"/>
        </w:rPr>
        <w:t>he opportunity to contribute as e</w:t>
      </w:r>
      <w:r w:rsidR="002F1A33" w:rsidRPr="002F1A33">
        <w:rPr>
          <w:rFonts w:ascii="Arial" w:hAnsi="Arial" w:cs="Arial"/>
          <w:sz w:val="20"/>
          <w:szCs w:val="20"/>
        </w:rPr>
        <w:t>xperts in their industry or field to policy and program development</w:t>
      </w:r>
    </w:p>
    <w:p w:rsidR="00CF5264" w:rsidRDefault="002B04FB" w:rsidP="00CF5264">
      <w:pPr>
        <w:numPr>
          <w:ilvl w:val="0"/>
          <w:numId w:val="26"/>
        </w:numPr>
        <w:spacing w:after="0" w:line="240" w:lineRule="auto"/>
        <w:contextualSpacing/>
        <w:rPr>
          <w:rFonts w:ascii="Arial" w:hAnsi="Arial" w:cs="Arial"/>
          <w:sz w:val="20"/>
          <w:szCs w:val="20"/>
        </w:rPr>
      </w:pPr>
      <w:r>
        <w:rPr>
          <w:rFonts w:ascii="Arial" w:hAnsi="Arial" w:cs="Arial"/>
          <w:sz w:val="20"/>
          <w:szCs w:val="20"/>
        </w:rPr>
        <w:t>T</w:t>
      </w:r>
      <w:r w:rsidR="00CF5264">
        <w:rPr>
          <w:rFonts w:ascii="Arial" w:hAnsi="Arial" w:cs="Arial"/>
          <w:sz w:val="20"/>
          <w:szCs w:val="20"/>
        </w:rPr>
        <w:t xml:space="preserve">he opportunity to </w:t>
      </w:r>
      <w:r w:rsidR="002F1A33" w:rsidRPr="002F1A33">
        <w:rPr>
          <w:rFonts w:ascii="Arial" w:hAnsi="Arial" w:cs="Arial"/>
          <w:sz w:val="20"/>
          <w:szCs w:val="20"/>
        </w:rPr>
        <w:t>have their concerns heard</w:t>
      </w:r>
    </w:p>
    <w:p w:rsidR="002F1A33" w:rsidRPr="002F1A33" w:rsidRDefault="002B04FB" w:rsidP="00CF5264">
      <w:pPr>
        <w:numPr>
          <w:ilvl w:val="0"/>
          <w:numId w:val="26"/>
        </w:numPr>
        <w:spacing w:after="0" w:line="240" w:lineRule="auto"/>
        <w:contextualSpacing/>
        <w:rPr>
          <w:rFonts w:ascii="Arial" w:hAnsi="Arial" w:cs="Arial"/>
          <w:sz w:val="20"/>
          <w:szCs w:val="20"/>
        </w:rPr>
      </w:pPr>
      <w:r>
        <w:rPr>
          <w:rFonts w:ascii="Arial" w:hAnsi="Arial" w:cs="Arial"/>
          <w:sz w:val="20"/>
          <w:szCs w:val="20"/>
        </w:rPr>
        <w:t>T</w:t>
      </w:r>
      <w:r w:rsidR="00CF5264">
        <w:rPr>
          <w:rFonts w:ascii="Arial" w:hAnsi="Arial" w:cs="Arial"/>
          <w:sz w:val="20"/>
          <w:szCs w:val="20"/>
        </w:rPr>
        <w:t xml:space="preserve">he opportunity to </w:t>
      </w:r>
      <w:r w:rsidR="002F1A33" w:rsidRPr="002F1A33">
        <w:rPr>
          <w:rFonts w:ascii="Arial" w:hAnsi="Arial" w:cs="Arial"/>
          <w:sz w:val="20"/>
          <w:szCs w:val="20"/>
        </w:rPr>
        <w:t>participate</w:t>
      </w:r>
      <w:r w:rsidR="00751B76">
        <w:rPr>
          <w:rFonts w:ascii="Arial" w:hAnsi="Arial" w:cs="Arial"/>
          <w:sz w:val="20"/>
          <w:szCs w:val="20"/>
        </w:rPr>
        <w:t xml:space="preserve"> in the decision making process.</w:t>
      </w:r>
    </w:p>
    <w:p w:rsidR="002F1A33" w:rsidRPr="002F1A33" w:rsidRDefault="002F1A33" w:rsidP="00642E36">
      <w:pPr>
        <w:spacing w:after="0" w:line="240" w:lineRule="auto"/>
        <w:rPr>
          <w:rFonts w:ascii="Arial" w:hAnsi="Arial" w:cs="Arial"/>
          <w:color w:val="31849B" w:themeColor="accent5" w:themeShade="BF"/>
          <w:sz w:val="20"/>
          <w:szCs w:val="20"/>
        </w:rPr>
      </w:pPr>
    </w:p>
    <w:p w:rsidR="002F1A33" w:rsidRDefault="007C45BB" w:rsidP="00642E36">
      <w:pPr>
        <w:spacing w:after="0" w:line="240" w:lineRule="auto"/>
        <w:rPr>
          <w:rFonts w:ascii="Arial" w:hAnsi="Arial" w:cs="Arial"/>
          <w:sz w:val="20"/>
          <w:szCs w:val="20"/>
        </w:rPr>
      </w:pPr>
      <w:r>
        <w:rPr>
          <w:rFonts w:ascii="Arial" w:hAnsi="Arial" w:cs="Arial"/>
          <w:sz w:val="20"/>
          <w:szCs w:val="20"/>
        </w:rPr>
        <w:t xml:space="preserve">In </w:t>
      </w:r>
      <w:r w:rsidR="002F1A33" w:rsidRPr="002F1A33">
        <w:rPr>
          <w:rFonts w:ascii="Arial" w:hAnsi="Arial" w:cs="Arial"/>
          <w:sz w:val="20"/>
          <w:szCs w:val="20"/>
        </w:rPr>
        <w:t xml:space="preserve">2015-16, </w:t>
      </w:r>
      <w:r w:rsidR="00D26096">
        <w:rPr>
          <w:rFonts w:ascii="Arial" w:hAnsi="Arial" w:cs="Arial"/>
          <w:sz w:val="20"/>
          <w:szCs w:val="20"/>
        </w:rPr>
        <w:t xml:space="preserve">the </w:t>
      </w:r>
      <w:r w:rsidR="002F1A33" w:rsidRPr="002F1A33">
        <w:rPr>
          <w:rFonts w:ascii="Arial" w:hAnsi="Arial" w:cs="Arial"/>
          <w:sz w:val="20"/>
          <w:szCs w:val="20"/>
        </w:rPr>
        <w:t>FWO actively consulted</w:t>
      </w:r>
      <w:r w:rsidR="004912F7">
        <w:rPr>
          <w:rFonts w:ascii="Arial" w:hAnsi="Arial" w:cs="Arial"/>
          <w:sz w:val="20"/>
          <w:szCs w:val="20"/>
        </w:rPr>
        <w:t>,</w:t>
      </w:r>
      <w:r w:rsidR="002F1A33" w:rsidRPr="002F1A33">
        <w:rPr>
          <w:rFonts w:ascii="Arial" w:hAnsi="Arial" w:cs="Arial"/>
          <w:sz w:val="20"/>
          <w:szCs w:val="20"/>
        </w:rPr>
        <w:t xml:space="preserve"> sought and received feedback from key stakeholders and regulated entities through the following </w:t>
      </w:r>
      <w:r>
        <w:rPr>
          <w:rFonts w:ascii="Arial" w:hAnsi="Arial" w:cs="Arial"/>
          <w:sz w:val="20"/>
          <w:szCs w:val="20"/>
        </w:rPr>
        <w:t>activities</w:t>
      </w:r>
      <w:r w:rsidR="002F1A33" w:rsidRPr="002F1A33">
        <w:rPr>
          <w:rFonts w:ascii="Arial" w:hAnsi="Arial" w:cs="Arial"/>
          <w:sz w:val="20"/>
          <w:szCs w:val="20"/>
        </w:rPr>
        <w:t xml:space="preserve">: </w:t>
      </w:r>
    </w:p>
    <w:p w:rsidR="00720938" w:rsidRPr="002F1A33" w:rsidRDefault="00720938" w:rsidP="00642E36">
      <w:pPr>
        <w:spacing w:after="0" w:line="240" w:lineRule="auto"/>
        <w:rPr>
          <w:rFonts w:ascii="Arial" w:hAnsi="Arial" w:cs="Arial"/>
          <w:sz w:val="20"/>
          <w:szCs w:val="20"/>
        </w:rPr>
      </w:pPr>
    </w:p>
    <w:p w:rsidR="007C45BB" w:rsidRPr="002F1A33" w:rsidRDefault="007C45BB" w:rsidP="00642E36">
      <w:pPr>
        <w:numPr>
          <w:ilvl w:val="0"/>
          <w:numId w:val="26"/>
        </w:numPr>
        <w:spacing w:after="0" w:line="240" w:lineRule="auto"/>
        <w:contextualSpacing/>
        <w:rPr>
          <w:rFonts w:ascii="Arial" w:hAnsi="Arial" w:cs="Arial"/>
          <w:sz w:val="20"/>
          <w:szCs w:val="20"/>
        </w:rPr>
      </w:pPr>
      <w:r w:rsidRPr="002F1A33">
        <w:rPr>
          <w:rFonts w:ascii="Arial" w:hAnsi="Arial" w:cs="Arial"/>
          <w:sz w:val="20"/>
          <w:szCs w:val="20"/>
        </w:rPr>
        <w:t>Information and intelligence sharing arrangements set out in MoUs</w:t>
      </w:r>
    </w:p>
    <w:p w:rsidR="007C45BB" w:rsidRPr="002F1A33" w:rsidRDefault="007C45BB" w:rsidP="00642E36">
      <w:pPr>
        <w:numPr>
          <w:ilvl w:val="0"/>
          <w:numId w:val="26"/>
        </w:numPr>
        <w:spacing w:after="0" w:line="240" w:lineRule="auto"/>
        <w:contextualSpacing/>
        <w:rPr>
          <w:rFonts w:ascii="Arial" w:hAnsi="Arial" w:cs="Arial"/>
          <w:sz w:val="20"/>
          <w:szCs w:val="20"/>
        </w:rPr>
      </w:pPr>
      <w:r w:rsidRPr="002F1A33">
        <w:rPr>
          <w:rFonts w:ascii="Arial" w:hAnsi="Arial" w:cs="Arial"/>
          <w:sz w:val="20"/>
          <w:szCs w:val="20"/>
        </w:rPr>
        <w:t xml:space="preserve">Knowledge in the Public Square </w:t>
      </w:r>
      <w:r>
        <w:rPr>
          <w:rFonts w:ascii="Arial" w:hAnsi="Arial" w:cs="Arial"/>
          <w:sz w:val="20"/>
          <w:szCs w:val="20"/>
        </w:rPr>
        <w:t>event</w:t>
      </w:r>
    </w:p>
    <w:p w:rsidR="002F1A33" w:rsidRPr="002F1A33" w:rsidRDefault="002F1A33" w:rsidP="00642E36">
      <w:pPr>
        <w:numPr>
          <w:ilvl w:val="0"/>
          <w:numId w:val="26"/>
        </w:numPr>
        <w:spacing w:after="0" w:line="240" w:lineRule="auto"/>
        <w:contextualSpacing/>
        <w:rPr>
          <w:rFonts w:ascii="Arial" w:hAnsi="Arial" w:cs="Arial"/>
          <w:sz w:val="20"/>
          <w:szCs w:val="20"/>
        </w:rPr>
      </w:pPr>
      <w:r w:rsidRPr="002F1A33">
        <w:rPr>
          <w:rFonts w:ascii="Arial" w:hAnsi="Arial" w:cs="Arial"/>
          <w:sz w:val="20"/>
          <w:szCs w:val="20"/>
        </w:rPr>
        <w:t>Small Business Forum</w:t>
      </w:r>
    </w:p>
    <w:p w:rsidR="007C45BB" w:rsidRPr="00886868" w:rsidRDefault="007C45BB" w:rsidP="00642E36">
      <w:pPr>
        <w:spacing w:after="0" w:line="240" w:lineRule="auto"/>
        <w:rPr>
          <w:rFonts w:ascii="Arial" w:hAnsi="Arial" w:cs="Arial"/>
          <w:color w:val="31849B" w:themeColor="accent5" w:themeShade="BF"/>
          <w:sz w:val="20"/>
          <w:szCs w:val="20"/>
        </w:rPr>
      </w:pPr>
    </w:p>
    <w:p w:rsidR="007C45BB" w:rsidRPr="00886868" w:rsidRDefault="007C45BB" w:rsidP="00642E36">
      <w:pPr>
        <w:spacing w:after="0" w:line="240" w:lineRule="auto"/>
        <w:rPr>
          <w:rFonts w:ascii="Arial" w:hAnsi="Arial" w:cs="Arial"/>
          <w:color w:val="31849B" w:themeColor="accent5" w:themeShade="BF"/>
          <w:sz w:val="20"/>
          <w:szCs w:val="20"/>
        </w:rPr>
      </w:pPr>
    </w:p>
    <w:p w:rsidR="00F80344" w:rsidRPr="00F80344" w:rsidRDefault="00F80344"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F80344" w:rsidRDefault="00F80344" w:rsidP="00642E36">
      <w:pPr>
        <w:spacing w:after="0" w:line="240" w:lineRule="auto"/>
        <w:rPr>
          <w:rFonts w:ascii="Arial" w:hAnsi="Arial" w:cs="Arial"/>
          <w:sz w:val="20"/>
          <w:szCs w:val="20"/>
        </w:rPr>
      </w:pPr>
    </w:p>
    <w:p w:rsidR="004322A4" w:rsidRDefault="00F80344" w:rsidP="00642E36">
      <w:pPr>
        <w:spacing w:after="0" w:line="240" w:lineRule="auto"/>
        <w:rPr>
          <w:rFonts w:ascii="Arial" w:hAnsi="Arial" w:cs="Arial"/>
          <w:sz w:val="20"/>
          <w:szCs w:val="20"/>
        </w:rPr>
      </w:pPr>
      <w:r>
        <w:rPr>
          <w:rFonts w:ascii="Arial" w:hAnsi="Arial" w:cs="Arial"/>
          <w:sz w:val="20"/>
          <w:szCs w:val="20"/>
        </w:rPr>
        <w:t xml:space="preserve">The following case studies demonstrate how the FWO has achieved this measure (see </w:t>
      </w:r>
      <w:r w:rsidRPr="00F80344">
        <w:rPr>
          <w:rFonts w:ascii="Arial" w:hAnsi="Arial" w:cs="Arial"/>
          <w:b/>
          <w:sz w:val="20"/>
          <w:szCs w:val="20"/>
        </w:rPr>
        <w:t>Appendix</w:t>
      </w:r>
      <w:r>
        <w:rPr>
          <w:rFonts w:ascii="Arial" w:hAnsi="Arial" w:cs="Arial"/>
          <w:sz w:val="20"/>
          <w:szCs w:val="20"/>
        </w:rPr>
        <w:t>):</w:t>
      </w:r>
    </w:p>
    <w:p w:rsidR="00F80344" w:rsidRDefault="00F80344" w:rsidP="00642E36">
      <w:pPr>
        <w:spacing w:after="0" w:line="240" w:lineRule="auto"/>
        <w:rPr>
          <w:rFonts w:ascii="Arial" w:hAnsi="Arial" w:cs="Arial"/>
          <w:color w:val="31849B" w:themeColor="accent5" w:themeShade="BF"/>
          <w:sz w:val="20"/>
          <w:szCs w:val="20"/>
        </w:rPr>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Pr>
      <w:tblGrid>
        <w:gridCol w:w="1384"/>
        <w:gridCol w:w="1142"/>
        <w:gridCol w:w="1143"/>
        <w:gridCol w:w="1142"/>
        <w:gridCol w:w="1143"/>
        <w:gridCol w:w="1142"/>
        <w:gridCol w:w="1143"/>
        <w:gridCol w:w="1123"/>
      </w:tblGrid>
      <w:tr w:rsidR="00881686" w:rsidRPr="00881686" w:rsidTr="00951510">
        <w:trPr>
          <w:cantSplit/>
          <w:trHeight w:val="454"/>
          <w:tblHeader/>
        </w:trPr>
        <w:tc>
          <w:tcPr>
            <w:tcW w:w="1384" w:type="dxa"/>
            <w:shd w:val="clear" w:color="auto" w:fill="DAEEF3" w:themeFill="accent5" w:themeFillTint="33"/>
            <w:vAlign w:val="center"/>
          </w:tcPr>
          <w:p w:rsidR="00881686" w:rsidRPr="00881686" w:rsidRDefault="007C45BB" w:rsidP="00642E36">
            <w:pPr>
              <w:rPr>
                <w:rFonts w:ascii="Myriad Pro" w:hAnsi="Myriad Pro" w:cs="Arial"/>
                <w:color w:val="31849B" w:themeColor="accent5" w:themeShade="BF"/>
              </w:rPr>
            </w:pPr>
            <w:r>
              <w:rPr>
                <w:rFonts w:ascii="Myriad Pro" w:hAnsi="Myriad Pro" w:cs="Arial"/>
                <w:color w:val="31849B" w:themeColor="accent5" w:themeShade="BF"/>
              </w:rPr>
              <w:t>Case study</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1</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2</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3</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4</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5</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6</w:t>
            </w:r>
          </w:p>
        </w:tc>
        <w:tc>
          <w:tcPr>
            <w:tcW w:w="112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7</w:t>
            </w:r>
          </w:p>
        </w:tc>
      </w:tr>
      <w:tr w:rsidR="00881686" w:rsidRPr="00881686" w:rsidTr="00881686">
        <w:trPr>
          <w:cantSplit/>
          <w:trHeight w:val="454"/>
        </w:trPr>
        <w:tc>
          <w:tcPr>
            <w:tcW w:w="1384" w:type="dxa"/>
            <w:vAlign w:val="center"/>
          </w:tcPr>
          <w:p w:rsidR="00881686" w:rsidRPr="00881686" w:rsidRDefault="00881686" w:rsidP="00642E36">
            <w:pPr>
              <w:jc w:val="center"/>
              <w:rPr>
                <w:rFonts w:ascii="Myriad Pro" w:hAnsi="Myriad Pro" w:cs="Arial"/>
              </w:rPr>
            </w:pPr>
            <w:r w:rsidRPr="00881686">
              <w:rPr>
                <w:rFonts w:ascii="Myriad Pro" w:hAnsi="Myriad Pro" w:cs="Arial"/>
              </w:rPr>
              <w:t xml:space="preserve">Measure </w:t>
            </w:r>
            <w:r>
              <w:rPr>
                <w:rFonts w:ascii="Myriad Pro" w:hAnsi="Myriad Pro" w:cs="Arial"/>
              </w:rPr>
              <w:t>6</w:t>
            </w:r>
            <w:r w:rsidRPr="00881686">
              <w:rPr>
                <w:rFonts w:ascii="Myriad Pro" w:hAnsi="Myriad Pro" w:cs="Arial"/>
              </w:rPr>
              <w:t>.</w:t>
            </w:r>
            <w:r>
              <w:rPr>
                <w:rFonts w:ascii="Myriad Pro" w:hAnsi="Myriad Pro" w:cs="Arial"/>
              </w:rPr>
              <w:t>1</w:t>
            </w: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3" w:type="dxa"/>
            <w:vAlign w:val="center"/>
          </w:tcPr>
          <w:p w:rsidR="00881686" w:rsidRPr="00881686" w:rsidRDefault="00881686" w:rsidP="00642E36">
            <w:pPr>
              <w:jc w:val="center"/>
              <w:rPr>
                <w:rFonts w:ascii="Myriad Pro" w:hAnsi="Myriad Pro" w:cs="Arial"/>
              </w:rPr>
            </w:pPr>
          </w:p>
        </w:tc>
        <w:tc>
          <w:tcPr>
            <w:tcW w:w="1123" w:type="dxa"/>
            <w:vAlign w:val="center"/>
          </w:tcPr>
          <w:p w:rsidR="00881686" w:rsidRPr="00881686" w:rsidRDefault="00881686" w:rsidP="00642E36">
            <w:pPr>
              <w:jc w:val="center"/>
              <w:rPr>
                <w:rFonts w:ascii="Myriad Pro" w:hAnsi="Myriad Pro" w:cs="Arial"/>
              </w:rPr>
            </w:pPr>
          </w:p>
        </w:tc>
      </w:tr>
    </w:tbl>
    <w:p w:rsidR="004322A4" w:rsidRDefault="004322A4"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AE3F2C" w:rsidRDefault="00AE3F2C" w:rsidP="00642E36">
      <w:pPr>
        <w:spacing w:after="0" w:line="240" w:lineRule="auto"/>
        <w:rPr>
          <w:rFonts w:ascii="Arial" w:hAnsi="Arial" w:cs="Arial"/>
          <w:color w:val="31849B" w:themeColor="accent5" w:themeShade="BF"/>
          <w:sz w:val="20"/>
          <w:szCs w:val="20"/>
        </w:rPr>
      </w:pPr>
    </w:p>
    <w:p w:rsidR="004322A4" w:rsidRDefault="004322A4" w:rsidP="00642E36">
      <w:pPr>
        <w:spacing w:after="0" w:line="240" w:lineRule="auto"/>
        <w:rPr>
          <w:rFonts w:ascii="Arial" w:hAnsi="Arial" w:cs="Arial"/>
          <w:color w:val="31849B" w:themeColor="accent5" w:themeShade="BF"/>
          <w:sz w:val="20"/>
          <w:szCs w:val="20"/>
        </w:rPr>
      </w:pPr>
    </w:p>
    <w:p w:rsidR="004322A4" w:rsidRPr="00886868" w:rsidRDefault="004322A4" w:rsidP="00642E36">
      <w:pPr>
        <w:pStyle w:val="Heading2"/>
        <w:spacing w:before="0" w:line="240" w:lineRule="auto"/>
        <w:rPr>
          <w:rFonts w:ascii="Myriad Pro" w:hAnsi="Myriad Pro"/>
          <w:b w:val="0"/>
          <w:i/>
          <w:color w:val="31849B" w:themeColor="accent5" w:themeShade="BF"/>
          <w:sz w:val="25"/>
          <w:szCs w:val="25"/>
        </w:rPr>
      </w:pPr>
      <w:bookmarkStart w:id="21" w:name="_Toc460917313"/>
      <w:r w:rsidRPr="00886868">
        <w:rPr>
          <w:rFonts w:ascii="Myriad Pro" w:hAnsi="Myriad Pro"/>
          <w:b w:val="0"/>
          <w:i/>
          <w:color w:val="31849B" w:themeColor="accent5" w:themeShade="BF"/>
          <w:sz w:val="25"/>
          <w:szCs w:val="25"/>
        </w:rPr>
        <w:lastRenderedPageBreak/>
        <w:t>Measure 6.2 - The FWO shares information, intelligence and feedback with policy departments for the improvement of the regulatory framework.</w:t>
      </w:r>
      <w:bookmarkEnd w:id="21"/>
    </w:p>
    <w:p w:rsidR="004322A4" w:rsidRPr="004322A4" w:rsidRDefault="004322A4" w:rsidP="00642E36">
      <w:pPr>
        <w:spacing w:after="0" w:line="240" w:lineRule="auto"/>
        <w:rPr>
          <w:rFonts w:ascii="Arial" w:hAnsi="Arial" w:cs="Arial"/>
          <w:color w:val="31849B" w:themeColor="accent5" w:themeShade="BF"/>
          <w:sz w:val="20"/>
          <w:szCs w:val="20"/>
        </w:rPr>
      </w:pPr>
    </w:p>
    <w:p w:rsidR="002F1A33" w:rsidRDefault="002630B5" w:rsidP="00642E36">
      <w:pPr>
        <w:spacing w:after="0" w:line="240" w:lineRule="auto"/>
        <w:rPr>
          <w:rFonts w:ascii="Arial" w:hAnsi="Arial" w:cs="Arial"/>
          <w:sz w:val="20"/>
          <w:szCs w:val="20"/>
        </w:rPr>
      </w:pPr>
      <w:r>
        <w:rPr>
          <w:rFonts w:ascii="Arial" w:hAnsi="Arial" w:cs="Arial"/>
          <w:sz w:val="20"/>
          <w:szCs w:val="20"/>
        </w:rPr>
        <w:t>Where appropriate, t</w:t>
      </w:r>
      <w:r w:rsidR="002F1A33" w:rsidRPr="00494465">
        <w:rPr>
          <w:rFonts w:ascii="Arial" w:hAnsi="Arial" w:cs="Arial"/>
          <w:sz w:val="20"/>
          <w:szCs w:val="20"/>
        </w:rPr>
        <w:t xml:space="preserve">he FWO shares information with </w:t>
      </w:r>
      <w:r>
        <w:rPr>
          <w:rFonts w:ascii="Arial" w:hAnsi="Arial" w:cs="Arial"/>
          <w:sz w:val="20"/>
          <w:szCs w:val="20"/>
        </w:rPr>
        <w:t>g</w:t>
      </w:r>
      <w:r w:rsidR="002F1A33" w:rsidRPr="00494465">
        <w:rPr>
          <w:rFonts w:ascii="Arial" w:hAnsi="Arial" w:cs="Arial"/>
          <w:sz w:val="20"/>
          <w:szCs w:val="20"/>
        </w:rPr>
        <w:t xml:space="preserve">overnment </w:t>
      </w:r>
      <w:r>
        <w:rPr>
          <w:rFonts w:ascii="Arial" w:hAnsi="Arial" w:cs="Arial"/>
          <w:sz w:val="20"/>
          <w:szCs w:val="20"/>
        </w:rPr>
        <w:t>d</w:t>
      </w:r>
      <w:r w:rsidR="002F1A33" w:rsidRPr="00494465">
        <w:rPr>
          <w:rFonts w:ascii="Arial" w:hAnsi="Arial" w:cs="Arial"/>
          <w:sz w:val="20"/>
          <w:szCs w:val="20"/>
        </w:rPr>
        <w:t xml:space="preserve">epartments and agencies to inform improvements to the regulatory framework and the development of policies where workplace relations </w:t>
      </w:r>
      <w:r w:rsidR="007C45BB">
        <w:rPr>
          <w:rFonts w:ascii="Arial" w:hAnsi="Arial" w:cs="Arial"/>
          <w:sz w:val="20"/>
          <w:szCs w:val="20"/>
        </w:rPr>
        <w:t>is</w:t>
      </w:r>
      <w:r w:rsidR="002F1A33" w:rsidRPr="00494465">
        <w:rPr>
          <w:rFonts w:ascii="Arial" w:hAnsi="Arial" w:cs="Arial"/>
          <w:sz w:val="20"/>
          <w:szCs w:val="20"/>
        </w:rPr>
        <w:t xml:space="preserve"> a</w:t>
      </w:r>
      <w:r w:rsidR="007C45BB">
        <w:rPr>
          <w:rFonts w:ascii="Arial" w:hAnsi="Arial" w:cs="Arial"/>
          <w:sz w:val="20"/>
          <w:szCs w:val="20"/>
        </w:rPr>
        <w:t>n issue</w:t>
      </w:r>
      <w:r w:rsidR="002F1A33" w:rsidRPr="00494465">
        <w:rPr>
          <w:rFonts w:ascii="Arial" w:hAnsi="Arial" w:cs="Arial"/>
          <w:sz w:val="20"/>
          <w:szCs w:val="20"/>
        </w:rPr>
        <w:t>.</w:t>
      </w:r>
    </w:p>
    <w:p w:rsidR="002F1A33" w:rsidRDefault="002F1A33" w:rsidP="00642E36">
      <w:pPr>
        <w:spacing w:after="0" w:line="240" w:lineRule="auto"/>
        <w:rPr>
          <w:rFonts w:ascii="Arial" w:hAnsi="Arial" w:cs="Arial"/>
          <w:sz w:val="20"/>
          <w:szCs w:val="20"/>
        </w:rPr>
      </w:pPr>
    </w:p>
    <w:p w:rsidR="002F1A33" w:rsidRPr="00494465" w:rsidRDefault="002F1A33" w:rsidP="00642E36">
      <w:pPr>
        <w:spacing w:after="0" w:line="240" w:lineRule="auto"/>
        <w:rPr>
          <w:rFonts w:ascii="Arial" w:hAnsi="Arial" w:cs="Arial"/>
          <w:sz w:val="20"/>
          <w:szCs w:val="20"/>
        </w:rPr>
      </w:pPr>
      <w:r w:rsidRPr="00494465">
        <w:rPr>
          <w:rFonts w:ascii="Arial" w:hAnsi="Arial" w:cs="Arial"/>
          <w:sz w:val="20"/>
          <w:szCs w:val="20"/>
        </w:rPr>
        <w:t>The FWO is a member of</w:t>
      </w:r>
      <w:r>
        <w:rPr>
          <w:rFonts w:ascii="Arial" w:hAnsi="Arial" w:cs="Arial"/>
          <w:sz w:val="20"/>
          <w:szCs w:val="20"/>
        </w:rPr>
        <w:t xml:space="preserve"> a number of</w:t>
      </w:r>
      <w:r w:rsidRPr="00494465">
        <w:rPr>
          <w:rFonts w:ascii="Arial" w:hAnsi="Arial" w:cs="Arial"/>
          <w:sz w:val="20"/>
          <w:szCs w:val="20"/>
        </w:rPr>
        <w:t xml:space="preserve"> information-sharing forums </w:t>
      </w:r>
      <w:r w:rsidR="007C45BB">
        <w:rPr>
          <w:rFonts w:ascii="Arial" w:hAnsi="Arial" w:cs="Arial"/>
          <w:sz w:val="20"/>
          <w:szCs w:val="20"/>
        </w:rPr>
        <w:t xml:space="preserve">in which </w:t>
      </w:r>
      <w:r w:rsidRPr="00494465">
        <w:rPr>
          <w:rFonts w:ascii="Arial" w:hAnsi="Arial" w:cs="Arial"/>
          <w:sz w:val="20"/>
          <w:szCs w:val="20"/>
        </w:rPr>
        <w:t>approaches to complex re</w:t>
      </w:r>
      <w:r>
        <w:rPr>
          <w:rFonts w:ascii="Arial" w:hAnsi="Arial" w:cs="Arial"/>
          <w:sz w:val="20"/>
          <w:szCs w:val="20"/>
        </w:rPr>
        <w:t xml:space="preserve">gulation </w:t>
      </w:r>
      <w:r w:rsidRPr="00494465">
        <w:rPr>
          <w:rFonts w:ascii="Arial" w:hAnsi="Arial" w:cs="Arial"/>
          <w:sz w:val="20"/>
          <w:szCs w:val="20"/>
        </w:rPr>
        <w:t>and policy</w:t>
      </w:r>
      <w:r w:rsidR="007C45BB">
        <w:rPr>
          <w:rFonts w:ascii="Arial" w:hAnsi="Arial" w:cs="Arial"/>
          <w:sz w:val="20"/>
          <w:szCs w:val="20"/>
        </w:rPr>
        <w:t xml:space="preserve"> </w:t>
      </w:r>
      <w:proofErr w:type="gramStart"/>
      <w:r w:rsidR="007C45BB">
        <w:rPr>
          <w:rFonts w:ascii="Arial" w:hAnsi="Arial" w:cs="Arial"/>
          <w:sz w:val="20"/>
          <w:szCs w:val="20"/>
        </w:rPr>
        <w:t>are discussed</w:t>
      </w:r>
      <w:proofErr w:type="gramEnd"/>
      <w:r w:rsidRPr="00494465">
        <w:rPr>
          <w:rFonts w:ascii="Arial" w:hAnsi="Arial" w:cs="Arial"/>
          <w:sz w:val="20"/>
          <w:szCs w:val="20"/>
        </w:rPr>
        <w:t xml:space="preserve">. </w:t>
      </w:r>
      <w:r w:rsidR="007C45BB">
        <w:rPr>
          <w:rFonts w:ascii="Arial" w:hAnsi="Arial" w:cs="Arial"/>
          <w:sz w:val="20"/>
          <w:szCs w:val="20"/>
        </w:rPr>
        <w:t xml:space="preserve">In </w:t>
      </w:r>
      <w:r w:rsidR="004912F7">
        <w:rPr>
          <w:rFonts w:ascii="Arial" w:hAnsi="Arial" w:cs="Arial"/>
          <w:sz w:val="20"/>
          <w:szCs w:val="20"/>
        </w:rPr>
        <w:t>2015-16,</w:t>
      </w:r>
      <w:r>
        <w:rPr>
          <w:rFonts w:ascii="Arial" w:hAnsi="Arial" w:cs="Arial"/>
          <w:sz w:val="20"/>
          <w:szCs w:val="20"/>
        </w:rPr>
        <w:t xml:space="preserve"> </w:t>
      </w:r>
      <w:r w:rsidR="00D26096">
        <w:rPr>
          <w:rFonts w:ascii="Arial" w:hAnsi="Arial" w:cs="Arial"/>
          <w:sz w:val="20"/>
          <w:szCs w:val="20"/>
        </w:rPr>
        <w:t xml:space="preserve">the </w:t>
      </w:r>
      <w:r>
        <w:rPr>
          <w:rFonts w:ascii="Arial" w:hAnsi="Arial" w:cs="Arial"/>
          <w:sz w:val="20"/>
          <w:szCs w:val="20"/>
        </w:rPr>
        <w:t>FWO participate</w:t>
      </w:r>
      <w:r w:rsidR="007C45BB">
        <w:rPr>
          <w:rFonts w:ascii="Arial" w:hAnsi="Arial" w:cs="Arial"/>
          <w:sz w:val="20"/>
          <w:szCs w:val="20"/>
        </w:rPr>
        <w:t>d</w:t>
      </w:r>
      <w:r>
        <w:rPr>
          <w:rFonts w:ascii="Arial" w:hAnsi="Arial" w:cs="Arial"/>
          <w:sz w:val="20"/>
          <w:szCs w:val="20"/>
        </w:rPr>
        <w:t xml:space="preserve"> in the following forums: </w:t>
      </w:r>
    </w:p>
    <w:p w:rsidR="002F1A33" w:rsidRDefault="002F1A33" w:rsidP="00642E36">
      <w:pPr>
        <w:spacing w:after="0" w:line="240" w:lineRule="auto"/>
        <w:rPr>
          <w:rFonts w:ascii="Arial" w:hAnsi="Arial" w:cs="Arial"/>
          <w:sz w:val="20"/>
          <w:szCs w:val="20"/>
        </w:rPr>
      </w:pPr>
    </w:p>
    <w:p w:rsidR="002F1A33" w:rsidRPr="00E94162" w:rsidRDefault="002F1A33" w:rsidP="00642E36">
      <w:pPr>
        <w:pStyle w:val="ListParagraph"/>
        <w:numPr>
          <w:ilvl w:val="0"/>
          <w:numId w:val="27"/>
        </w:numPr>
        <w:spacing w:after="0" w:line="240" w:lineRule="auto"/>
        <w:rPr>
          <w:rFonts w:ascii="Arial" w:hAnsi="Arial" w:cs="Arial"/>
          <w:sz w:val="20"/>
          <w:szCs w:val="20"/>
        </w:rPr>
      </w:pPr>
      <w:r w:rsidRPr="00E94162">
        <w:rPr>
          <w:rFonts w:ascii="Arial" w:hAnsi="Arial" w:cs="Arial"/>
          <w:sz w:val="20"/>
          <w:szCs w:val="20"/>
        </w:rPr>
        <w:t xml:space="preserve">Small business fix-it squads </w:t>
      </w:r>
    </w:p>
    <w:p w:rsidR="007C45BB" w:rsidRDefault="007C45BB" w:rsidP="00642E36">
      <w:pPr>
        <w:pStyle w:val="ListParagraph"/>
        <w:spacing w:after="0" w:line="240" w:lineRule="auto"/>
        <w:rPr>
          <w:rFonts w:ascii="Arial" w:hAnsi="Arial" w:cs="Arial"/>
          <w:sz w:val="20"/>
          <w:szCs w:val="20"/>
        </w:rPr>
      </w:pPr>
    </w:p>
    <w:p w:rsidR="002F1A33" w:rsidRDefault="002630B5" w:rsidP="00642E36">
      <w:pPr>
        <w:pStyle w:val="ListParagraph"/>
        <w:spacing w:after="0" w:line="240" w:lineRule="auto"/>
        <w:rPr>
          <w:rFonts w:ascii="Arial" w:hAnsi="Arial" w:cs="Arial"/>
          <w:sz w:val="20"/>
          <w:szCs w:val="20"/>
        </w:rPr>
      </w:pPr>
      <w:r>
        <w:rPr>
          <w:rFonts w:ascii="Arial" w:hAnsi="Arial" w:cs="Arial"/>
          <w:sz w:val="20"/>
          <w:szCs w:val="20"/>
        </w:rPr>
        <w:t xml:space="preserve">The </w:t>
      </w:r>
      <w:proofErr w:type="spellStart"/>
      <w:r w:rsidR="002F1A33" w:rsidRPr="00E94162">
        <w:rPr>
          <w:rFonts w:ascii="Arial" w:hAnsi="Arial" w:cs="Arial"/>
          <w:sz w:val="20"/>
          <w:szCs w:val="20"/>
        </w:rPr>
        <w:t>ATO</w:t>
      </w:r>
      <w:proofErr w:type="spellEnd"/>
      <w:r w:rsidR="002F1A33" w:rsidRPr="00E94162">
        <w:rPr>
          <w:rFonts w:ascii="Arial" w:hAnsi="Arial" w:cs="Arial"/>
          <w:sz w:val="20"/>
          <w:szCs w:val="20"/>
        </w:rPr>
        <w:t xml:space="preserve"> initiated ‘Small business fix-it squads’</w:t>
      </w:r>
      <w:r w:rsidR="00720938">
        <w:rPr>
          <w:rFonts w:ascii="Arial" w:hAnsi="Arial" w:cs="Arial"/>
          <w:sz w:val="20"/>
          <w:szCs w:val="20"/>
        </w:rPr>
        <w:t xml:space="preserve"> </w:t>
      </w:r>
      <w:r>
        <w:rPr>
          <w:rFonts w:ascii="Arial" w:hAnsi="Arial" w:cs="Arial"/>
          <w:sz w:val="20"/>
          <w:szCs w:val="20"/>
        </w:rPr>
        <w:t xml:space="preserve">which </w:t>
      </w:r>
      <w:r w:rsidR="00720938">
        <w:rPr>
          <w:rFonts w:ascii="Arial" w:hAnsi="Arial" w:cs="Arial"/>
          <w:sz w:val="20"/>
          <w:szCs w:val="20"/>
        </w:rPr>
        <w:t>are</w:t>
      </w:r>
      <w:r w:rsidR="002F1A33" w:rsidRPr="00E94162">
        <w:rPr>
          <w:rFonts w:ascii="Arial" w:hAnsi="Arial" w:cs="Arial"/>
          <w:sz w:val="20"/>
          <w:szCs w:val="20"/>
        </w:rPr>
        <w:t xml:space="preserve"> aim</w:t>
      </w:r>
      <w:r w:rsidR="007C45BB">
        <w:rPr>
          <w:rFonts w:ascii="Arial" w:hAnsi="Arial" w:cs="Arial"/>
          <w:sz w:val="20"/>
          <w:szCs w:val="20"/>
        </w:rPr>
        <w:t xml:space="preserve">ed at </w:t>
      </w:r>
      <w:r w:rsidR="002F1A33" w:rsidRPr="00E94162">
        <w:rPr>
          <w:rFonts w:ascii="Arial" w:hAnsi="Arial" w:cs="Arial"/>
          <w:sz w:val="20"/>
          <w:szCs w:val="20"/>
        </w:rPr>
        <w:t>address</w:t>
      </w:r>
      <w:r w:rsidR="007C45BB">
        <w:rPr>
          <w:rFonts w:ascii="Arial" w:hAnsi="Arial" w:cs="Arial"/>
          <w:sz w:val="20"/>
          <w:szCs w:val="20"/>
        </w:rPr>
        <w:t>ing</w:t>
      </w:r>
      <w:r w:rsidR="002F1A33" w:rsidRPr="00E94162">
        <w:rPr>
          <w:rFonts w:ascii="Arial" w:hAnsi="Arial" w:cs="Arial"/>
          <w:sz w:val="20"/>
          <w:szCs w:val="20"/>
        </w:rPr>
        <w:t xml:space="preserve"> the difficulties that small business owners face in </w:t>
      </w:r>
      <w:r w:rsidR="002F1A33">
        <w:rPr>
          <w:rFonts w:ascii="Arial" w:hAnsi="Arial" w:cs="Arial"/>
          <w:sz w:val="20"/>
          <w:szCs w:val="20"/>
        </w:rPr>
        <w:t>complying with government regulation</w:t>
      </w:r>
      <w:r w:rsidR="002F1A33" w:rsidRPr="00E94162">
        <w:rPr>
          <w:rFonts w:ascii="Arial" w:hAnsi="Arial" w:cs="Arial"/>
          <w:sz w:val="20"/>
          <w:szCs w:val="20"/>
        </w:rPr>
        <w:t>. It is a coordinated effort between small business owners, tax professionals, government and small business intermediaries to work collaboratively to examine specific problems affecting small businesses, and develop recommendations to fix the problems.</w:t>
      </w:r>
    </w:p>
    <w:p w:rsidR="007C45BB" w:rsidRPr="00E94162" w:rsidRDefault="007C45BB" w:rsidP="00642E36">
      <w:pPr>
        <w:pStyle w:val="ListParagraph"/>
        <w:spacing w:after="0" w:line="240" w:lineRule="auto"/>
        <w:rPr>
          <w:rFonts w:ascii="Arial" w:hAnsi="Arial" w:cs="Arial"/>
          <w:sz w:val="20"/>
          <w:szCs w:val="20"/>
        </w:rPr>
      </w:pPr>
    </w:p>
    <w:p w:rsidR="002F1A33" w:rsidRDefault="002F1A33" w:rsidP="00642E36">
      <w:pPr>
        <w:pStyle w:val="ListParagraph"/>
        <w:numPr>
          <w:ilvl w:val="0"/>
          <w:numId w:val="27"/>
        </w:numPr>
        <w:spacing w:after="0" w:line="240" w:lineRule="auto"/>
        <w:rPr>
          <w:rFonts w:ascii="Arial" w:hAnsi="Arial" w:cs="Arial"/>
          <w:sz w:val="20"/>
          <w:szCs w:val="20"/>
        </w:rPr>
      </w:pPr>
      <w:r w:rsidRPr="00E94162">
        <w:rPr>
          <w:rFonts w:ascii="Arial" w:hAnsi="Arial" w:cs="Arial"/>
          <w:sz w:val="20"/>
          <w:szCs w:val="20"/>
        </w:rPr>
        <w:t xml:space="preserve">Phoenix </w:t>
      </w:r>
      <w:r w:rsidR="00D26096">
        <w:rPr>
          <w:rFonts w:ascii="Arial" w:hAnsi="Arial" w:cs="Arial"/>
          <w:sz w:val="20"/>
          <w:szCs w:val="20"/>
        </w:rPr>
        <w:t>Forum/</w:t>
      </w:r>
      <w:r w:rsidRPr="00E94162">
        <w:rPr>
          <w:rFonts w:ascii="Arial" w:hAnsi="Arial" w:cs="Arial"/>
          <w:sz w:val="20"/>
          <w:szCs w:val="20"/>
        </w:rPr>
        <w:t>Taskforce</w:t>
      </w:r>
    </w:p>
    <w:p w:rsidR="007C45BB" w:rsidRDefault="007C45BB" w:rsidP="00642E36">
      <w:pPr>
        <w:spacing w:after="0" w:line="240" w:lineRule="auto"/>
        <w:rPr>
          <w:rFonts w:ascii="Arial" w:hAnsi="Arial" w:cs="Arial"/>
          <w:sz w:val="20"/>
          <w:szCs w:val="20"/>
        </w:rPr>
      </w:pPr>
    </w:p>
    <w:p w:rsidR="002F1A33" w:rsidRPr="007C45BB" w:rsidRDefault="002F1A33" w:rsidP="00642E36">
      <w:pPr>
        <w:spacing w:after="0" w:line="240" w:lineRule="auto"/>
        <w:ind w:left="720"/>
        <w:rPr>
          <w:rFonts w:ascii="Arial" w:hAnsi="Arial" w:cs="Arial"/>
          <w:sz w:val="20"/>
          <w:szCs w:val="20"/>
        </w:rPr>
      </w:pPr>
      <w:r w:rsidRPr="007C45BB">
        <w:rPr>
          <w:rFonts w:ascii="Arial" w:hAnsi="Arial" w:cs="Arial"/>
          <w:sz w:val="20"/>
          <w:szCs w:val="20"/>
        </w:rPr>
        <w:t>The Inter-Agency Phoenix Forum</w:t>
      </w:r>
      <w:r w:rsidR="00D26096">
        <w:rPr>
          <w:rFonts w:ascii="Arial" w:hAnsi="Arial" w:cs="Arial"/>
          <w:sz w:val="20"/>
          <w:szCs w:val="20"/>
        </w:rPr>
        <w:t>/Taskforce</w:t>
      </w:r>
      <w:r w:rsidRPr="007C45BB">
        <w:rPr>
          <w:rFonts w:ascii="Arial" w:hAnsi="Arial" w:cs="Arial"/>
          <w:sz w:val="20"/>
          <w:szCs w:val="20"/>
        </w:rPr>
        <w:t xml:space="preserve"> is a key component of the Australian Government's commitment to addressing fraudulent phoenix activity. The forum </w:t>
      </w:r>
      <w:proofErr w:type="gramStart"/>
      <w:r w:rsidRPr="007C45BB">
        <w:rPr>
          <w:rFonts w:ascii="Arial" w:hAnsi="Arial" w:cs="Arial"/>
          <w:sz w:val="20"/>
          <w:szCs w:val="20"/>
        </w:rPr>
        <w:t>was established</w:t>
      </w:r>
      <w:proofErr w:type="gramEnd"/>
      <w:r w:rsidRPr="007C45BB">
        <w:rPr>
          <w:rFonts w:ascii="Arial" w:hAnsi="Arial" w:cs="Arial"/>
          <w:sz w:val="20"/>
          <w:szCs w:val="20"/>
        </w:rPr>
        <w:t xml:space="preserve"> to bring together government agencies to share intelligence, </w:t>
      </w:r>
      <w:r w:rsidR="007C45BB">
        <w:rPr>
          <w:rFonts w:ascii="Arial" w:hAnsi="Arial" w:cs="Arial"/>
          <w:sz w:val="20"/>
          <w:szCs w:val="20"/>
        </w:rPr>
        <w:t>as well as</w:t>
      </w:r>
      <w:r w:rsidRPr="007C45BB">
        <w:rPr>
          <w:rFonts w:ascii="Arial" w:hAnsi="Arial" w:cs="Arial"/>
          <w:sz w:val="20"/>
          <w:szCs w:val="20"/>
        </w:rPr>
        <w:t xml:space="preserve"> identify, design and implement cross-agency strategies to reduce and deter phoenix activity. </w:t>
      </w:r>
    </w:p>
    <w:p w:rsidR="002F1A33" w:rsidRPr="00494465"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r w:rsidRPr="00494465">
        <w:rPr>
          <w:rFonts w:ascii="Arial" w:hAnsi="Arial" w:cs="Arial"/>
          <w:sz w:val="20"/>
          <w:szCs w:val="20"/>
        </w:rPr>
        <w:t>The FWO also shares its exper</w:t>
      </w:r>
      <w:r>
        <w:rPr>
          <w:rFonts w:ascii="Arial" w:hAnsi="Arial" w:cs="Arial"/>
          <w:sz w:val="20"/>
          <w:szCs w:val="20"/>
        </w:rPr>
        <w:t xml:space="preserve">tise </w:t>
      </w:r>
      <w:r w:rsidR="00720938">
        <w:rPr>
          <w:rFonts w:ascii="Arial" w:hAnsi="Arial" w:cs="Arial"/>
          <w:sz w:val="20"/>
          <w:szCs w:val="20"/>
        </w:rPr>
        <w:t xml:space="preserve">to improve the regulatory framework </w:t>
      </w:r>
      <w:r>
        <w:rPr>
          <w:rFonts w:ascii="Arial" w:hAnsi="Arial" w:cs="Arial"/>
          <w:sz w:val="20"/>
          <w:szCs w:val="20"/>
        </w:rPr>
        <w:t>in other ways</w:t>
      </w:r>
      <w:r w:rsidR="007C45BB">
        <w:rPr>
          <w:rFonts w:ascii="Arial" w:hAnsi="Arial" w:cs="Arial"/>
          <w:sz w:val="20"/>
          <w:szCs w:val="20"/>
        </w:rPr>
        <w:t>.</w:t>
      </w:r>
      <w:r>
        <w:rPr>
          <w:rFonts w:ascii="Arial" w:hAnsi="Arial" w:cs="Arial"/>
          <w:sz w:val="20"/>
          <w:szCs w:val="20"/>
        </w:rPr>
        <w:t xml:space="preserve"> </w:t>
      </w:r>
      <w:r w:rsidR="007C45BB">
        <w:rPr>
          <w:rFonts w:ascii="Arial" w:hAnsi="Arial" w:cs="Arial"/>
          <w:sz w:val="20"/>
          <w:szCs w:val="20"/>
        </w:rPr>
        <w:t>I</w:t>
      </w:r>
      <w:r>
        <w:rPr>
          <w:rFonts w:ascii="Arial" w:hAnsi="Arial" w:cs="Arial"/>
          <w:sz w:val="20"/>
          <w:szCs w:val="20"/>
        </w:rPr>
        <w:t xml:space="preserve">n 2015-16: </w:t>
      </w:r>
    </w:p>
    <w:p w:rsidR="00970593" w:rsidRDefault="00970593" w:rsidP="00970593">
      <w:pPr>
        <w:pStyle w:val="Header"/>
      </w:pPr>
    </w:p>
    <w:p w:rsidR="002F1A33" w:rsidRPr="00A866AF" w:rsidRDefault="002F1A33" w:rsidP="00642E36">
      <w:pPr>
        <w:pStyle w:val="ListParagraph"/>
        <w:numPr>
          <w:ilvl w:val="0"/>
          <w:numId w:val="28"/>
        </w:numPr>
        <w:spacing w:after="0" w:line="240" w:lineRule="auto"/>
        <w:rPr>
          <w:rFonts w:ascii="Arial" w:hAnsi="Arial" w:cs="Arial"/>
          <w:sz w:val="20"/>
          <w:szCs w:val="20"/>
        </w:rPr>
      </w:pPr>
      <w:r>
        <w:rPr>
          <w:rFonts w:ascii="Arial" w:hAnsi="Arial" w:cs="Arial"/>
          <w:sz w:val="20"/>
          <w:szCs w:val="20"/>
        </w:rPr>
        <w:t xml:space="preserve">A number of </w:t>
      </w:r>
      <w:r w:rsidRPr="006D162B">
        <w:rPr>
          <w:rFonts w:ascii="Arial" w:hAnsi="Arial" w:cs="Arial"/>
          <w:sz w:val="20"/>
          <w:szCs w:val="20"/>
        </w:rPr>
        <w:t xml:space="preserve">FWO </w:t>
      </w:r>
      <w:r>
        <w:rPr>
          <w:rFonts w:ascii="Arial" w:hAnsi="Arial" w:cs="Arial"/>
          <w:sz w:val="20"/>
          <w:szCs w:val="20"/>
        </w:rPr>
        <w:t>staff</w:t>
      </w:r>
      <w:r w:rsidRPr="006D162B">
        <w:rPr>
          <w:rFonts w:ascii="Arial" w:hAnsi="Arial" w:cs="Arial"/>
          <w:sz w:val="20"/>
          <w:szCs w:val="20"/>
        </w:rPr>
        <w:t xml:space="preserve"> </w:t>
      </w:r>
      <w:proofErr w:type="gramStart"/>
      <w:r w:rsidRPr="006D162B">
        <w:rPr>
          <w:rFonts w:ascii="Arial" w:hAnsi="Arial" w:cs="Arial"/>
          <w:sz w:val="20"/>
          <w:szCs w:val="20"/>
        </w:rPr>
        <w:t>were</w:t>
      </w:r>
      <w:proofErr w:type="gramEnd"/>
      <w:r w:rsidRPr="006D162B">
        <w:rPr>
          <w:rFonts w:ascii="Arial" w:hAnsi="Arial" w:cs="Arial"/>
          <w:sz w:val="20"/>
          <w:szCs w:val="20"/>
        </w:rPr>
        <w:t xml:space="preserve"> seconded to the Department of Employment to assist with the </w:t>
      </w:r>
      <w:r w:rsidR="00FE55C1">
        <w:rPr>
          <w:rFonts w:ascii="Arial" w:hAnsi="Arial" w:cs="Arial"/>
          <w:sz w:val="20"/>
          <w:szCs w:val="20"/>
        </w:rPr>
        <w:t>G</w:t>
      </w:r>
      <w:r w:rsidRPr="006D162B">
        <w:rPr>
          <w:rFonts w:ascii="Arial" w:hAnsi="Arial" w:cs="Arial"/>
          <w:sz w:val="20"/>
          <w:szCs w:val="20"/>
        </w:rPr>
        <w:t xml:space="preserve">overnment’s responses to the </w:t>
      </w:r>
      <w:proofErr w:type="spellStart"/>
      <w:r w:rsidRPr="006D162B">
        <w:rPr>
          <w:rFonts w:ascii="Arial" w:hAnsi="Arial" w:cs="Arial"/>
          <w:sz w:val="20"/>
          <w:szCs w:val="20"/>
        </w:rPr>
        <w:t>Heydon</w:t>
      </w:r>
      <w:proofErr w:type="spellEnd"/>
      <w:r w:rsidRPr="006D162B">
        <w:rPr>
          <w:rFonts w:ascii="Arial" w:hAnsi="Arial" w:cs="Arial"/>
          <w:sz w:val="20"/>
          <w:szCs w:val="20"/>
        </w:rPr>
        <w:t xml:space="preserve"> Royal Commission</w:t>
      </w:r>
      <w:r w:rsidR="002B04FB">
        <w:rPr>
          <w:rFonts w:ascii="Arial" w:hAnsi="Arial" w:cs="Arial"/>
          <w:sz w:val="20"/>
          <w:szCs w:val="20"/>
        </w:rPr>
        <w:t>.</w:t>
      </w:r>
    </w:p>
    <w:p w:rsidR="002F1A33" w:rsidRPr="002F1A33" w:rsidRDefault="002F1A33" w:rsidP="00642E36">
      <w:pPr>
        <w:pStyle w:val="ListParagraph"/>
        <w:numPr>
          <w:ilvl w:val="0"/>
          <w:numId w:val="28"/>
        </w:numPr>
        <w:spacing w:after="0" w:line="240" w:lineRule="auto"/>
        <w:rPr>
          <w:rFonts w:ascii="Arial" w:hAnsi="Arial" w:cs="Arial"/>
          <w:sz w:val="20"/>
          <w:szCs w:val="20"/>
        </w:rPr>
      </w:pPr>
      <w:r w:rsidRPr="002F1A33">
        <w:rPr>
          <w:rFonts w:ascii="Arial" w:hAnsi="Arial" w:cs="Arial"/>
          <w:sz w:val="20"/>
          <w:szCs w:val="20"/>
        </w:rPr>
        <w:t>The FWO also gave evidence at the Senate Education and Employment References Committee inquiry into the impact of Australia's temporary work visa programs on the Australian labour market and on the temporary work visa holders</w:t>
      </w:r>
      <w:r w:rsidR="002B04FB">
        <w:rPr>
          <w:rFonts w:ascii="Arial" w:hAnsi="Arial" w:cs="Arial"/>
          <w:sz w:val="20"/>
          <w:szCs w:val="20"/>
        </w:rPr>
        <w:t>.</w:t>
      </w:r>
    </w:p>
    <w:p w:rsidR="002F1A33" w:rsidRPr="002F1A33" w:rsidRDefault="002F1A33" w:rsidP="00642E36">
      <w:pPr>
        <w:pStyle w:val="ListParagraph"/>
        <w:numPr>
          <w:ilvl w:val="0"/>
          <w:numId w:val="28"/>
        </w:numPr>
        <w:spacing w:after="0" w:line="240" w:lineRule="auto"/>
        <w:rPr>
          <w:rFonts w:ascii="Arial" w:hAnsi="Arial" w:cs="Arial"/>
          <w:sz w:val="20"/>
          <w:szCs w:val="20"/>
        </w:rPr>
      </w:pPr>
      <w:r w:rsidRPr="002F1A33">
        <w:rPr>
          <w:rFonts w:ascii="Arial" w:hAnsi="Arial" w:cs="Arial"/>
          <w:sz w:val="20"/>
          <w:szCs w:val="20"/>
        </w:rPr>
        <w:t>The FWO has MoUs with number of key stakeholders, including government agencies, employer organisations and unions. The</w:t>
      </w:r>
      <w:r w:rsidR="002630B5">
        <w:rPr>
          <w:rFonts w:ascii="Arial" w:hAnsi="Arial" w:cs="Arial"/>
          <w:sz w:val="20"/>
          <w:szCs w:val="20"/>
        </w:rPr>
        <w:t>se</w:t>
      </w:r>
      <w:r w:rsidRPr="002F1A33">
        <w:rPr>
          <w:rFonts w:ascii="Arial" w:hAnsi="Arial" w:cs="Arial"/>
          <w:sz w:val="20"/>
          <w:szCs w:val="20"/>
        </w:rPr>
        <w:t xml:space="preserve"> MoUs provide a framework for sharing information and intelligence. </w:t>
      </w:r>
    </w:p>
    <w:p w:rsidR="004322A4" w:rsidRDefault="004322A4" w:rsidP="00642E36">
      <w:pPr>
        <w:spacing w:after="0" w:line="240" w:lineRule="auto"/>
        <w:rPr>
          <w:rFonts w:ascii="Arial" w:hAnsi="Arial" w:cs="Arial"/>
          <w:color w:val="31849B" w:themeColor="accent5" w:themeShade="BF"/>
          <w:sz w:val="20"/>
          <w:szCs w:val="20"/>
        </w:rPr>
      </w:pPr>
    </w:p>
    <w:p w:rsidR="00F80344" w:rsidRPr="004322A4" w:rsidRDefault="00F80344" w:rsidP="00642E36">
      <w:pPr>
        <w:spacing w:after="0" w:line="240" w:lineRule="auto"/>
        <w:rPr>
          <w:rFonts w:ascii="Arial" w:hAnsi="Arial" w:cs="Arial"/>
          <w:color w:val="31849B" w:themeColor="accent5" w:themeShade="BF"/>
          <w:sz w:val="20"/>
          <w:szCs w:val="20"/>
        </w:rPr>
      </w:pPr>
    </w:p>
    <w:p w:rsidR="00F80344" w:rsidRPr="00F80344" w:rsidRDefault="00F80344" w:rsidP="00642E36">
      <w:pPr>
        <w:spacing w:after="0" w:line="240" w:lineRule="auto"/>
        <w:rPr>
          <w:rFonts w:ascii="Myriad Pro" w:hAnsi="Myriad Pro" w:cs="Arial"/>
          <w:color w:val="31849B" w:themeColor="accent5" w:themeShade="BF"/>
          <w:sz w:val="24"/>
          <w:szCs w:val="24"/>
        </w:rPr>
      </w:pPr>
      <w:r w:rsidRPr="00F80344">
        <w:rPr>
          <w:rFonts w:ascii="Myriad Pro" w:hAnsi="Myriad Pro" w:cs="Arial"/>
          <w:color w:val="31849B" w:themeColor="accent5" w:themeShade="BF"/>
          <w:sz w:val="24"/>
          <w:szCs w:val="24"/>
        </w:rPr>
        <w:t>Case study</w:t>
      </w:r>
    </w:p>
    <w:p w:rsidR="00F80344" w:rsidRDefault="00F80344" w:rsidP="00642E36">
      <w:pPr>
        <w:spacing w:after="0" w:line="240" w:lineRule="auto"/>
        <w:rPr>
          <w:rFonts w:ascii="Arial" w:hAnsi="Arial" w:cs="Arial"/>
          <w:sz w:val="20"/>
          <w:szCs w:val="20"/>
        </w:rPr>
      </w:pPr>
    </w:p>
    <w:p w:rsidR="004322A4" w:rsidRDefault="00F80344" w:rsidP="00642E36">
      <w:pPr>
        <w:spacing w:after="0" w:line="240" w:lineRule="auto"/>
        <w:rPr>
          <w:rFonts w:ascii="Arial" w:hAnsi="Arial" w:cs="Arial"/>
          <w:sz w:val="20"/>
          <w:szCs w:val="20"/>
        </w:rPr>
      </w:pPr>
      <w:r>
        <w:rPr>
          <w:rFonts w:ascii="Arial" w:hAnsi="Arial" w:cs="Arial"/>
          <w:sz w:val="20"/>
          <w:szCs w:val="20"/>
        </w:rPr>
        <w:t xml:space="preserve">The following case </w:t>
      </w:r>
      <w:proofErr w:type="gramStart"/>
      <w:r>
        <w:rPr>
          <w:rFonts w:ascii="Arial" w:hAnsi="Arial" w:cs="Arial"/>
          <w:sz w:val="20"/>
          <w:szCs w:val="20"/>
        </w:rPr>
        <w:t>stud</w:t>
      </w:r>
      <w:r w:rsidR="00D26096">
        <w:rPr>
          <w:rFonts w:ascii="Arial" w:hAnsi="Arial" w:cs="Arial"/>
          <w:sz w:val="20"/>
          <w:szCs w:val="20"/>
        </w:rPr>
        <w:t>ies</w:t>
      </w:r>
      <w:r>
        <w:rPr>
          <w:rFonts w:ascii="Arial" w:hAnsi="Arial" w:cs="Arial"/>
          <w:sz w:val="20"/>
          <w:szCs w:val="20"/>
        </w:rPr>
        <w:t xml:space="preserve"> demonstrates</w:t>
      </w:r>
      <w:proofErr w:type="gramEnd"/>
      <w:r>
        <w:rPr>
          <w:rFonts w:ascii="Arial" w:hAnsi="Arial" w:cs="Arial"/>
          <w:sz w:val="20"/>
          <w:szCs w:val="20"/>
        </w:rPr>
        <w:t xml:space="preserve"> how the FWO has achieved this measure (see </w:t>
      </w:r>
      <w:r w:rsidRPr="00F80344">
        <w:rPr>
          <w:rFonts w:ascii="Arial" w:hAnsi="Arial" w:cs="Arial"/>
          <w:b/>
          <w:sz w:val="20"/>
          <w:szCs w:val="20"/>
        </w:rPr>
        <w:t>Appendix</w:t>
      </w:r>
      <w:r>
        <w:rPr>
          <w:rFonts w:ascii="Arial" w:hAnsi="Arial" w:cs="Arial"/>
          <w:sz w:val="20"/>
          <w:szCs w:val="20"/>
        </w:rPr>
        <w:t>):</w:t>
      </w:r>
    </w:p>
    <w:p w:rsidR="00F80344" w:rsidRPr="004322A4" w:rsidRDefault="00F80344" w:rsidP="00642E36">
      <w:pPr>
        <w:spacing w:after="0" w:line="240" w:lineRule="auto"/>
        <w:rPr>
          <w:rFonts w:ascii="Arial" w:hAnsi="Arial" w:cs="Arial"/>
          <w:color w:val="31849B" w:themeColor="accent5" w:themeShade="BF"/>
          <w:sz w:val="20"/>
          <w:szCs w:val="20"/>
        </w:rPr>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Pr>
      <w:tblGrid>
        <w:gridCol w:w="1384"/>
        <w:gridCol w:w="1142"/>
        <w:gridCol w:w="1143"/>
        <w:gridCol w:w="1142"/>
        <w:gridCol w:w="1143"/>
        <w:gridCol w:w="1142"/>
        <w:gridCol w:w="1143"/>
        <w:gridCol w:w="1123"/>
      </w:tblGrid>
      <w:tr w:rsidR="00881686" w:rsidRPr="00881686" w:rsidTr="00951510">
        <w:trPr>
          <w:cantSplit/>
          <w:trHeight w:val="454"/>
          <w:tblHeader/>
        </w:trPr>
        <w:tc>
          <w:tcPr>
            <w:tcW w:w="1384" w:type="dxa"/>
            <w:shd w:val="clear" w:color="auto" w:fill="DAEEF3" w:themeFill="accent5" w:themeFillTint="33"/>
            <w:vAlign w:val="center"/>
          </w:tcPr>
          <w:p w:rsidR="00881686" w:rsidRPr="00881686" w:rsidRDefault="007C45BB" w:rsidP="00642E36">
            <w:pPr>
              <w:rPr>
                <w:rFonts w:ascii="Myriad Pro" w:hAnsi="Myriad Pro" w:cs="Arial"/>
                <w:color w:val="31849B" w:themeColor="accent5" w:themeShade="BF"/>
              </w:rPr>
            </w:pPr>
            <w:r>
              <w:rPr>
                <w:rFonts w:ascii="Myriad Pro" w:hAnsi="Myriad Pro" w:cs="Arial"/>
                <w:color w:val="31849B" w:themeColor="accent5" w:themeShade="BF"/>
              </w:rPr>
              <w:t>Case study</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1</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2</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3</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4</w:t>
            </w:r>
          </w:p>
        </w:tc>
        <w:tc>
          <w:tcPr>
            <w:tcW w:w="1142"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5</w:t>
            </w:r>
          </w:p>
        </w:tc>
        <w:tc>
          <w:tcPr>
            <w:tcW w:w="114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6</w:t>
            </w:r>
          </w:p>
        </w:tc>
        <w:tc>
          <w:tcPr>
            <w:tcW w:w="1123" w:type="dxa"/>
            <w:shd w:val="clear" w:color="auto" w:fill="DAEEF3" w:themeFill="accent5" w:themeFillTint="33"/>
            <w:vAlign w:val="center"/>
          </w:tcPr>
          <w:p w:rsidR="00881686" w:rsidRPr="00881686" w:rsidRDefault="00881686" w:rsidP="00642E36">
            <w:pPr>
              <w:jc w:val="center"/>
              <w:rPr>
                <w:rFonts w:ascii="Myriad Pro" w:hAnsi="Myriad Pro" w:cs="Arial"/>
                <w:color w:val="31849B" w:themeColor="accent5" w:themeShade="BF"/>
              </w:rPr>
            </w:pPr>
            <w:r w:rsidRPr="00881686">
              <w:rPr>
                <w:rFonts w:ascii="Myriad Pro" w:hAnsi="Myriad Pro" w:cs="Arial"/>
                <w:color w:val="31849B" w:themeColor="accent5" w:themeShade="BF"/>
              </w:rPr>
              <w:t>7</w:t>
            </w:r>
          </w:p>
        </w:tc>
      </w:tr>
      <w:tr w:rsidR="00881686" w:rsidRPr="00881686" w:rsidTr="00881686">
        <w:trPr>
          <w:cantSplit/>
          <w:trHeight w:val="454"/>
        </w:trPr>
        <w:tc>
          <w:tcPr>
            <w:tcW w:w="1384" w:type="dxa"/>
            <w:vAlign w:val="center"/>
          </w:tcPr>
          <w:p w:rsidR="00881686" w:rsidRPr="00881686" w:rsidRDefault="00881686" w:rsidP="00642E36">
            <w:pPr>
              <w:jc w:val="center"/>
              <w:rPr>
                <w:rFonts w:ascii="Myriad Pro" w:hAnsi="Myriad Pro" w:cs="Arial"/>
              </w:rPr>
            </w:pPr>
            <w:r w:rsidRPr="00881686">
              <w:rPr>
                <w:rFonts w:ascii="Myriad Pro" w:hAnsi="Myriad Pro" w:cs="Arial"/>
              </w:rPr>
              <w:t xml:space="preserve">Measure </w:t>
            </w:r>
            <w:r>
              <w:rPr>
                <w:rFonts w:ascii="Myriad Pro" w:hAnsi="Myriad Pro" w:cs="Arial"/>
              </w:rPr>
              <w:t>6</w:t>
            </w:r>
            <w:r w:rsidRPr="00881686">
              <w:rPr>
                <w:rFonts w:ascii="Myriad Pro" w:hAnsi="Myriad Pro" w:cs="Arial"/>
              </w:rPr>
              <w:t>.</w:t>
            </w:r>
            <w:r>
              <w:rPr>
                <w:rFonts w:ascii="Myriad Pro" w:hAnsi="Myriad Pro" w:cs="Arial"/>
              </w:rPr>
              <w:t>2</w:t>
            </w: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p>
        </w:tc>
        <w:tc>
          <w:tcPr>
            <w:tcW w:w="1143" w:type="dxa"/>
            <w:vAlign w:val="center"/>
          </w:tcPr>
          <w:p w:rsidR="00881686" w:rsidRPr="00881686" w:rsidRDefault="00881686" w:rsidP="00642E36">
            <w:pPr>
              <w:jc w:val="center"/>
              <w:rPr>
                <w:rFonts w:ascii="Myriad Pro" w:hAnsi="Myriad Pro" w:cs="Arial"/>
              </w:rPr>
            </w:pPr>
          </w:p>
        </w:tc>
        <w:tc>
          <w:tcPr>
            <w:tcW w:w="1142" w:type="dxa"/>
            <w:vAlign w:val="center"/>
          </w:tcPr>
          <w:p w:rsidR="00881686" w:rsidRPr="00881686" w:rsidRDefault="00881686" w:rsidP="00642E36">
            <w:pPr>
              <w:jc w:val="center"/>
              <w:rPr>
                <w:rFonts w:ascii="Myriad Pro" w:hAnsi="Myriad Pro" w:cs="Arial"/>
              </w:rPr>
            </w:pPr>
            <w:r w:rsidRPr="00881686">
              <w:rPr>
                <w:rFonts w:ascii="Myriad Pro" w:hAnsi="Myriad Pro" w:cs="Arial"/>
              </w:rPr>
              <w:sym w:font="Wingdings 2" w:char="F050"/>
            </w:r>
          </w:p>
        </w:tc>
        <w:tc>
          <w:tcPr>
            <w:tcW w:w="1143" w:type="dxa"/>
            <w:vAlign w:val="center"/>
          </w:tcPr>
          <w:p w:rsidR="00881686" w:rsidRPr="00881686" w:rsidRDefault="009C7256" w:rsidP="00642E36">
            <w:pPr>
              <w:jc w:val="center"/>
              <w:rPr>
                <w:rFonts w:ascii="Myriad Pro" w:hAnsi="Myriad Pro" w:cs="Arial"/>
              </w:rPr>
            </w:pPr>
            <w:r w:rsidRPr="00881686">
              <w:rPr>
                <w:rFonts w:ascii="Myriad Pro" w:hAnsi="Myriad Pro" w:cs="Arial"/>
              </w:rPr>
              <w:sym w:font="Wingdings 2" w:char="F050"/>
            </w:r>
          </w:p>
        </w:tc>
        <w:tc>
          <w:tcPr>
            <w:tcW w:w="1123" w:type="dxa"/>
            <w:vAlign w:val="center"/>
          </w:tcPr>
          <w:p w:rsidR="00881686" w:rsidRPr="00881686" w:rsidRDefault="00881686" w:rsidP="00642E36">
            <w:pPr>
              <w:jc w:val="center"/>
              <w:rPr>
                <w:rFonts w:ascii="Myriad Pro" w:hAnsi="Myriad Pro" w:cs="Arial"/>
              </w:rPr>
            </w:pPr>
          </w:p>
        </w:tc>
      </w:tr>
    </w:tbl>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4322A4" w:rsidRPr="004322A4" w:rsidRDefault="004322A4" w:rsidP="00642E36">
      <w:pPr>
        <w:spacing w:after="0" w:line="240" w:lineRule="auto"/>
        <w:rPr>
          <w:rFonts w:ascii="Arial" w:hAnsi="Arial" w:cs="Arial"/>
          <w:color w:val="31849B" w:themeColor="accent5" w:themeShade="BF"/>
          <w:sz w:val="20"/>
          <w:szCs w:val="20"/>
        </w:rPr>
      </w:pPr>
    </w:p>
    <w:p w:rsidR="0011279F" w:rsidRPr="009B39EB" w:rsidRDefault="0011279F" w:rsidP="0011279F">
      <w:pPr>
        <w:pStyle w:val="Heading1"/>
        <w:spacing w:before="0" w:line="240" w:lineRule="auto"/>
        <w:rPr>
          <w:rFonts w:ascii="Myriad Pro" w:hAnsi="Myriad Pro"/>
          <w:b w:val="0"/>
          <w:color w:val="31849B" w:themeColor="accent5" w:themeShade="BF"/>
        </w:rPr>
      </w:pPr>
      <w:bookmarkStart w:id="22" w:name="_Toc460917314"/>
      <w:r>
        <w:rPr>
          <w:rFonts w:ascii="Myriad Pro" w:hAnsi="Myriad Pro"/>
          <w:b w:val="0"/>
          <w:color w:val="31849B" w:themeColor="accent5" w:themeShade="BF"/>
        </w:rPr>
        <w:lastRenderedPageBreak/>
        <w:t>O</w:t>
      </w:r>
      <w:r w:rsidRPr="009B39EB">
        <w:rPr>
          <w:rFonts w:ascii="Myriad Pro" w:hAnsi="Myriad Pro"/>
          <w:b w:val="0"/>
          <w:color w:val="31849B" w:themeColor="accent5" w:themeShade="BF"/>
        </w:rPr>
        <w:t>verall assessment</w:t>
      </w:r>
      <w:bookmarkEnd w:id="22"/>
    </w:p>
    <w:p w:rsidR="0011279F" w:rsidRDefault="0011279F" w:rsidP="0011279F">
      <w:pPr>
        <w:spacing w:after="0" w:line="240" w:lineRule="auto"/>
        <w:rPr>
          <w:rFonts w:ascii="Arial" w:hAnsi="Arial" w:cs="Arial"/>
          <w:sz w:val="20"/>
          <w:szCs w:val="20"/>
        </w:rPr>
      </w:pPr>
    </w:p>
    <w:p w:rsidR="0011279F" w:rsidRPr="009B39EB" w:rsidRDefault="0011279F" w:rsidP="0011279F">
      <w:pPr>
        <w:spacing w:after="0" w:line="240" w:lineRule="auto"/>
        <w:rPr>
          <w:rFonts w:ascii="Arial" w:hAnsi="Arial" w:cs="Arial"/>
          <w:sz w:val="20"/>
          <w:szCs w:val="20"/>
        </w:rPr>
      </w:pPr>
      <w:r w:rsidRPr="009B39EB">
        <w:rPr>
          <w:rFonts w:ascii="Arial" w:hAnsi="Arial" w:cs="Arial"/>
          <w:sz w:val="20"/>
          <w:szCs w:val="20"/>
        </w:rPr>
        <w:t xml:space="preserve">The FWO has demonstrated its commitment to reducing regulatory burden associated with compliance by taking a coordinated approach to its education, compliance and enforcement activities. A review of the </w:t>
      </w:r>
      <w:proofErr w:type="spellStart"/>
      <w:r w:rsidRPr="009B39EB">
        <w:rPr>
          <w:rFonts w:ascii="Arial" w:hAnsi="Arial" w:cs="Arial"/>
          <w:sz w:val="20"/>
          <w:szCs w:val="20"/>
        </w:rPr>
        <w:t>FWO’s</w:t>
      </w:r>
      <w:proofErr w:type="spellEnd"/>
      <w:r w:rsidRPr="009B39EB">
        <w:rPr>
          <w:rFonts w:ascii="Arial" w:hAnsi="Arial" w:cs="Arial"/>
          <w:sz w:val="20"/>
          <w:szCs w:val="20"/>
        </w:rPr>
        <w:t xml:space="preserve"> performance over the assessment period has highlighted areas in which the agency has delivered on its strategic priorities. These include:</w:t>
      </w:r>
    </w:p>
    <w:p w:rsidR="0011279F" w:rsidRPr="009B39EB" w:rsidRDefault="0011279F" w:rsidP="0011279F">
      <w:pPr>
        <w:spacing w:after="0" w:line="240" w:lineRule="auto"/>
        <w:rPr>
          <w:rFonts w:ascii="Arial" w:hAnsi="Arial" w:cs="Arial"/>
          <w:sz w:val="20"/>
          <w:szCs w:val="20"/>
        </w:rPr>
      </w:pPr>
    </w:p>
    <w:p w:rsidR="0011279F" w:rsidRPr="009B39EB" w:rsidRDefault="0011279F" w:rsidP="0011279F">
      <w:pPr>
        <w:pStyle w:val="ListParagraph"/>
        <w:numPr>
          <w:ilvl w:val="0"/>
          <w:numId w:val="2"/>
        </w:numPr>
        <w:spacing w:after="0" w:line="240" w:lineRule="auto"/>
        <w:rPr>
          <w:rFonts w:ascii="Arial" w:hAnsi="Arial" w:cs="Arial"/>
          <w:sz w:val="20"/>
          <w:szCs w:val="20"/>
        </w:rPr>
      </w:pPr>
      <w:r w:rsidRPr="009B39EB">
        <w:rPr>
          <w:rFonts w:ascii="Arial" w:hAnsi="Arial" w:cs="Arial"/>
          <w:sz w:val="20"/>
          <w:szCs w:val="20"/>
        </w:rPr>
        <w:t xml:space="preserve">Ensuring that compliance and enforcement activities </w:t>
      </w:r>
      <w:proofErr w:type="gramStart"/>
      <w:r w:rsidRPr="009B39EB">
        <w:rPr>
          <w:rFonts w:ascii="Arial" w:hAnsi="Arial" w:cs="Arial"/>
          <w:sz w:val="20"/>
          <w:szCs w:val="20"/>
        </w:rPr>
        <w:t>are conducted</w:t>
      </w:r>
      <w:proofErr w:type="gramEnd"/>
      <w:r w:rsidRPr="009B39EB">
        <w:rPr>
          <w:rFonts w:ascii="Arial" w:hAnsi="Arial" w:cs="Arial"/>
          <w:sz w:val="20"/>
          <w:szCs w:val="20"/>
        </w:rPr>
        <w:t xml:space="preserve"> in a manner that is minimally disruptive to business operations, whilst meeting our regulatory obligations. This has been achieved by:</w:t>
      </w:r>
    </w:p>
    <w:p w:rsidR="0011279F" w:rsidRPr="009B39EB" w:rsidRDefault="0011279F" w:rsidP="0011279F">
      <w:pPr>
        <w:pStyle w:val="ListParagraph"/>
        <w:spacing w:after="0" w:line="240" w:lineRule="auto"/>
        <w:rPr>
          <w:rFonts w:ascii="Arial" w:hAnsi="Arial" w:cs="Arial"/>
          <w:sz w:val="20"/>
          <w:szCs w:val="20"/>
        </w:rPr>
      </w:pPr>
    </w:p>
    <w:p w:rsidR="002630B5" w:rsidRPr="002630B5" w:rsidRDefault="0011279F" w:rsidP="00D75649">
      <w:pPr>
        <w:pStyle w:val="ListParagraph"/>
        <w:numPr>
          <w:ilvl w:val="0"/>
          <w:numId w:val="3"/>
        </w:numPr>
        <w:spacing w:after="0" w:line="240" w:lineRule="auto"/>
        <w:rPr>
          <w:rFonts w:ascii="Arial" w:hAnsi="Arial" w:cs="Arial"/>
          <w:sz w:val="20"/>
          <w:szCs w:val="20"/>
        </w:rPr>
      </w:pPr>
      <w:r w:rsidRPr="002630B5">
        <w:rPr>
          <w:rFonts w:ascii="Arial" w:hAnsi="Arial" w:cs="Arial"/>
          <w:sz w:val="20"/>
          <w:szCs w:val="20"/>
        </w:rPr>
        <w:t>Investing in customer relationship management technology to minimise the need to request information from regulated entities</w:t>
      </w:r>
      <w:r w:rsidR="002630B5">
        <w:rPr>
          <w:rFonts w:ascii="Arial" w:hAnsi="Arial" w:cs="Arial"/>
          <w:sz w:val="20"/>
          <w:szCs w:val="20"/>
        </w:rPr>
        <w:t>.</w:t>
      </w:r>
    </w:p>
    <w:p w:rsidR="002630B5" w:rsidRPr="002630B5" w:rsidRDefault="002630B5" w:rsidP="00D75649">
      <w:pPr>
        <w:pStyle w:val="ListParagraph"/>
        <w:spacing w:after="0" w:line="240" w:lineRule="auto"/>
        <w:ind w:left="1080"/>
        <w:rPr>
          <w:rFonts w:ascii="Arial" w:hAnsi="Arial" w:cs="Arial"/>
          <w:sz w:val="20"/>
          <w:szCs w:val="20"/>
        </w:rPr>
      </w:pPr>
    </w:p>
    <w:p w:rsidR="0011279F" w:rsidRPr="00D75649" w:rsidRDefault="0011279F">
      <w:pPr>
        <w:pStyle w:val="ListParagraph"/>
        <w:numPr>
          <w:ilvl w:val="0"/>
          <w:numId w:val="3"/>
        </w:numPr>
        <w:spacing w:after="0" w:line="240" w:lineRule="auto"/>
        <w:rPr>
          <w:rFonts w:ascii="Arial" w:hAnsi="Arial" w:cs="Arial"/>
          <w:sz w:val="20"/>
          <w:szCs w:val="20"/>
        </w:rPr>
      </w:pPr>
      <w:r w:rsidRPr="00D75649">
        <w:rPr>
          <w:rFonts w:ascii="Arial" w:hAnsi="Arial" w:cs="Arial"/>
          <w:sz w:val="20"/>
          <w:szCs w:val="20"/>
        </w:rPr>
        <w:t xml:space="preserve">Embedding education into dispute resolution processes, in order to provide regulated entities with the information and tools required to resolve workplace disputes and implement better practices. </w:t>
      </w:r>
    </w:p>
    <w:p w:rsidR="0011279F" w:rsidRPr="009B39EB" w:rsidRDefault="0011279F" w:rsidP="0011279F">
      <w:pPr>
        <w:pStyle w:val="ListParagraph"/>
        <w:spacing w:after="0" w:line="240" w:lineRule="auto"/>
        <w:ind w:left="1080"/>
        <w:rPr>
          <w:rFonts w:ascii="Arial" w:hAnsi="Arial" w:cs="Arial"/>
          <w:sz w:val="20"/>
          <w:szCs w:val="20"/>
        </w:rPr>
      </w:pPr>
    </w:p>
    <w:p w:rsidR="0011279F" w:rsidRPr="009B39EB" w:rsidRDefault="0011279F" w:rsidP="0011279F">
      <w:pPr>
        <w:pStyle w:val="ListParagraph"/>
        <w:numPr>
          <w:ilvl w:val="0"/>
          <w:numId w:val="2"/>
        </w:numPr>
        <w:spacing w:after="0" w:line="240" w:lineRule="auto"/>
        <w:rPr>
          <w:rFonts w:ascii="Arial" w:hAnsi="Arial" w:cs="Arial"/>
          <w:sz w:val="20"/>
          <w:szCs w:val="20"/>
        </w:rPr>
      </w:pPr>
      <w:r w:rsidRPr="009B39EB">
        <w:rPr>
          <w:rFonts w:ascii="Arial" w:hAnsi="Arial" w:cs="Arial"/>
          <w:sz w:val="20"/>
          <w:szCs w:val="20"/>
        </w:rPr>
        <w:t>Ensuring that actions undertaken to address requests for assistance are proportionate to the risks identified</w:t>
      </w:r>
      <w:r w:rsidR="002630B5">
        <w:rPr>
          <w:rFonts w:ascii="Arial" w:hAnsi="Arial" w:cs="Arial"/>
          <w:sz w:val="20"/>
          <w:szCs w:val="20"/>
        </w:rPr>
        <w:t xml:space="preserve"> </w:t>
      </w:r>
      <w:r w:rsidR="00536FD4">
        <w:rPr>
          <w:rFonts w:ascii="Arial" w:hAnsi="Arial" w:cs="Arial"/>
          <w:sz w:val="20"/>
          <w:szCs w:val="20"/>
        </w:rPr>
        <w:t>t</w:t>
      </w:r>
      <w:r w:rsidR="002630B5">
        <w:rPr>
          <w:rFonts w:ascii="Arial" w:hAnsi="Arial" w:cs="Arial"/>
          <w:sz w:val="20"/>
          <w:szCs w:val="20"/>
        </w:rPr>
        <w:t xml:space="preserve">hrough </w:t>
      </w:r>
      <w:r w:rsidRPr="009B39EB">
        <w:rPr>
          <w:rFonts w:ascii="Arial" w:hAnsi="Arial" w:cs="Arial"/>
          <w:sz w:val="20"/>
          <w:szCs w:val="20"/>
        </w:rPr>
        <w:t>rigorously assessing the nature of each request and applying the most appropriate method of dispute resolution.  This has been achieved by:</w:t>
      </w:r>
    </w:p>
    <w:p w:rsidR="0011279F" w:rsidRPr="009B39EB" w:rsidRDefault="0011279F" w:rsidP="0011279F">
      <w:pPr>
        <w:pStyle w:val="ListParagraph"/>
        <w:spacing w:after="0" w:line="240" w:lineRule="auto"/>
        <w:rPr>
          <w:rFonts w:ascii="Arial" w:hAnsi="Arial" w:cs="Arial"/>
          <w:sz w:val="20"/>
          <w:szCs w:val="20"/>
        </w:rPr>
      </w:pPr>
    </w:p>
    <w:p w:rsidR="0011279F" w:rsidRPr="009B39EB" w:rsidRDefault="0011279F" w:rsidP="0011279F">
      <w:pPr>
        <w:pStyle w:val="ListParagraph"/>
        <w:numPr>
          <w:ilvl w:val="0"/>
          <w:numId w:val="3"/>
        </w:numPr>
        <w:spacing w:after="0" w:line="240" w:lineRule="auto"/>
        <w:rPr>
          <w:rFonts w:ascii="Arial" w:hAnsi="Arial" w:cs="Arial"/>
          <w:sz w:val="20"/>
          <w:szCs w:val="20"/>
        </w:rPr>
      </w:pPr>
      <w:r w:rsidRPr="009B39EB">
        <w:rPr>
          <w:rFonts w:ascii="Arial" w:hAnsi="Arial" w:cs="Arial"/>
          <w:sz w:val="20"/>
          <w:szCs w:val="20"/>
        </w:rPr>
        <w:t>Providing alternative methods of dispute resolution, such as early intervention and mediation services, aimed at preserving the employment relationship and minimising the costs that can often result from compliance and enforcement activities</w:t>
      </w:r>
      <w:r w:rsidR="002630B5">
        <w:rPr>
          <w:rFonts w:ascii="Arial" w:hAnsi="Arial" w:cs="Arial"/>
          <w:sz w:val="20"/>
          <w:szCs w:val="20"/>
        </w:rPr>
        <w:t>.</w:t>
      </w:r>
    </w:p>
    <w:p w:rsidR="0011279F" w:rsidRPr="009B39EB" w:rsidRDefault="0011279F" w:rsidP="0011279F">
      <w:pPr>
        <w:pStyle w:val="ListParagraph"/>
        <w:spacing w:after="0" w:line="240" w:lineRule="auto"/>
        <w:ind w:left="1080"/>
        <w:rPr>
          <w:rFonts w:ascii="Arial" w:hAnsi="Arial" w:cs="Arial"/>
          <w:sz w:val="20"/>
          <w:szCs w:val="20"/>
        </w:rPr>
      </w:pPr>
    </w:p>
    <w:p w:rsidR="0011279F" w:rsidRPr="009B39EB" w:rsidRDefault="0011279F" w:rsidP="0011279F">
      <w:pPr>
        <w:pStyle w:val="ListParagraph"/>
        <w:numPr>
          <w:ilvl w:val="0"/>
          <w:numId w:val="3"/>
        </w:numPr>
        <w:spacing w:after="0" w:line="240" w:lineRule="auto"/>
        <w:rPr>
          <w:rFonts w:ascii="Arial" w:hAnsi="Arial" w:cs="Arial"/>
          <w:sz w:val="20"/>
          <w:szCs w:val="20"/>
        </w:rPr>
      </w:pPr>
      <w:r w:rsidRPr="009B39EB">
        <w:rPr>
          <w:rFonts w:ascii="Arial" w:hAnsi="Arial" w:cs="Arial"/>
          <w:sz w:val="20"/>
          <w:szCs w:val="20"/>
        </w:rPr>
        <w:t xml:space="preserve">Reserving litigation for circumstances where the conduct is particularly serious, recognising that this enforcement measure causes significant costs to regulated entities involved.  </w:t>
      </w:r>
    </w:p>
    <w:p w:rsidR="0011279F" w:rsidRPr="009B39EB" w:rsidRDefault="0011279F" w:rsidP="0011279F">
      <w:pPr>
        <w:pStyle w:val="ListParagraph"/>
        <w:spacing w:after="0" w:line="240" w:lineRule="auto"/>
        <w:rPr>
          <w:rFonts w:ascii="Arial" w:hAnsi="Arial" w:cs="Arial"/>
          <w:sz w:val="20"/>
          <w:szCs w:val="20"/>
        </w:rPr>
      </w:pPr>
    </w:p>
    <w:p w:rsidR="0011279F" w:rsidRPr="009B39EB" w:rsidRDefault="0011279F" w:rsidP="0011279F">
      <w:pPr>
        <w:pStyle w:val="ListParagraph"/>
        <w:numPr>
          <w:ilvl w:val="0"/>
          <w:numId w:val="2"/>
        </w:numPr>
        <w:spacing w:after="0" w:line="240" w:lineRule="auto"/>
        <w:rPr>
          <w:rFonts w:ascii="Arial" w:hAnsi="Arial" w:cs="Arial"/>
          <w:sz w:val="20"/>
          <w:szCs w:val="20"/>
        </w:rPr>
      </w:pPr>
      <w:r w:rsidRPr="009B39EB">
        <w:rPr>
          <w:rFonts w:ascii="Arial" w:hAnsi="Arial" w:cs="Arial"/>
          <w:sz w:val="20"/>
          <w:szCs w:val="20"/>
        </w:rPr>
        <w:t>Strategically using campaign activities to assist regulated entities identify areas of non-compliance and rectify the issues before they escalate into formal workplace disputes</w:t>
      </w:r>
      <w:r w:rsidR="002630B5">
        <w:rPr>
          <w:rFonts w:ascii="Arial" w:hAnsi="Arial" w:cs="Arial"/>
          <w:sz w:val="20"/>
          <w:szCs w:val="20"/>
        </w:rPr>
        <w:t xml:space="preserve">. </w:t>
      </w:r>
      <w:r w:rsidR="00EF31DC">
        <w:rPr>
          <w:rFonts w:ascii="Arial" w:hAnsi="Arial" w:cs="Arial"/>
          <w:sz w:val="20"/>
          <w:szCs w:val="20"/>
        </w:rPr>
        <w:t xml:space="preserve">This </w:t>
      </w:r>
      <w:r w:rsidR="00EF31DC" w:rsidRPr="009B39EB">
        <w:rPr>
          <w:rFonts w:ascii="Arial" w:hAnsi="Arial" w:cs="Arial"/>
          <w:sz w:val="20"/>
          <w:szCs w:val="20"/>
        </w:rPr>
        <w:t>recognises</w:t>
      </w:r>
      <w:r w:rsidRPr="009B39EB">
        <w:rPr>
          <w:rFonts w:ascii="Arial" w:hAnsi="Arial" w:cs="Arial"/>
          <w:sz w:val="20"/>
          <w:szCs w:val="20"/>
        </w:rPr>
        <w:t xml:space="preserve"> that disputes can potentially lead to both financial and non-financial costs for regulated entities. This has been achieved by:</w:t>
      </w:r>
    </w:p>
    <w:p w:rsidR="0011279F" w:rsidRPr="009B39EB" w:rsidRDefault="0011279F" w:rsidP="0011279F">
      <w:pPr>
        <w:pStyle w:val="ListParagraph"/>
        <w:spacing w:after="0" w:line="240" w:lineRule="auto"/>
        <w:rPr>
          <w:rFonts w:ascii="Arial" w:hAnsi="Arial" w:cs="Arial"/>
          <w:sz w:val="20"/>
          <w:szCs w:val="20"/>
        </w:rPr>
      </w:pPr>
    </w:p>
    <w:p w:rsidR="0011279F" w:rsidRPr="009B39EB" w:rsidRDefault="0011279F" w:rsidP="0011279F">
      <w:pPr>
        <w:pStyle w:val="ListParagraph"/>
        <w:numPr>
          <w:ilvl w:val="0"/>
          <w:numId w:val="3"/>
        </w:numPr>
        <w:spacing w:after="0" w:line="240" w:lineRule="auto"/>
        <w:rPr>
          <w:rFonts w:ascii="Arial" w:hAnsi="Arial" w:cs="Arial"/>
          <w:sz w:val="20"/>
          <w:szCs w:val="20"/>
        </w:rPr>
      </w:pPr>
      <w:r w:rsidRPr="009B39EB">
        <w:rPr>
          <w:rFonts w:ascii="Arial" w:hAnsi="Arial" w:cs="Arial"/>
          <w:sz w:val="20"/>
          <w:szCs w:val="20"/>
        </w:rPr>
        <w:t xml:space="preserve">Undertaking research and consultation to ensure that the development and design of campaign activities will deliver the greatest benefit to the industries in which systemic compliance issues </w:t>
      </w:r>
      <w:proofErr w:type="gramStart"/>
      <w:r w:rsidRPr="009B39EB">
        <w:rPr>
          <w:rFonts w:ascii="Arial" w:hAnsi="Arial" w:cs="Arial"/>
          <w:sz w:val="20"/>
          <w:szCs w:val="20"/>
        </w:rPr>
        <w:t>have been identified</w:t>
      </w:r>
      <w:proofErr w:type="gramEnd"/>
      <w:r w:rsidR="002630B5">
        <w:rPr>
          <w:rFonts w:ascii="Arial" w:hAnsi="Arial" w:cs="Arial"/>
          <w:sz w:val="20"/>
          <w:szCs w:val="20"/>
        </w:rPr>
        <w:t>.</w:t>
      </w:r>
    </w:p>
    <w:p w:rsidR="0011279F" w:rsidRPr="009B39EB" w:rsidRDefault="0011279F" w:rsidP="0011279F">
      <w:pPr>
        <w:pStyle w:val="ListParagraph"/>
        <w:spacing w:after="0" w:line="240" w:lineRule="auto"/>
        <w:ind w:left="1080"/>
        <w:rPr>
          <w:rFonts w:ascii="Arial" w:hAnsi="Arial" w:cs="Arial"/>
          <w:sz w:val="20"/>
          <w:szCs w:val="20"/>
        </w:rPr>
      </w:pPr>
    </w:p>
    <w:p w:rsidR="0011279F" w:rsidRPr="009B39EB" w:rsidRDefault="0011279F" w:rsidP="0011279F">
      <w:pPr>
        <w:pStyle w:val="ListParagraph"/>
        <w:numPr>
          <w:ilvl w:val="0"/>
          <w:numId w:val="3"/>
        </w:numPr>
        <w:spacing w:after="0" w:line="240" w:lineRule="auto"/>
        <w:rPr>
          <w:rFonts w:ascii="Arial" w:hAnsi="Arial" w:cs="Arial"/>
          <w:sz w:val="20"/>
          <w:szCs w:val="20"/>
        </w:rPr>
      </w:pPr>
      <w:r w:rsidRPr="009B39EB">
        <w:rPr>
          <w:rFonts w:ascii="Arial" w:hAnsi="Arial" w:cs="Arial"/>
          <w:sz w:val="20"/>
          <w:szCs w:val="20"/>
        </w:rPr>
        <w:t xml:space="preserve">Developing tailored information and advice for the regulated entities </w:t>
      </w:r>
      <w:r w:rsidR="002630B5">
        <w:rPr>
          <w:rFonts w:ascii="Arial" w:hAnsi="Arial" w:cs="Arial"/>
          <w:sz w:val="20"/>
          <w:szCs w:val="20"/>
        </w:rPr>
        <w:t>within the</w:t>
      </w:r>
      <w:r w:rsidRPr="009B39EB">
        <w:rPr>
          <w:rFonts w:ascii="Arial" w:hAnsi="Arial" w:cs="Arial"/>
          <w:sz w:val="20"/>
          <w:szCs w:val="20"/>
        </w:rPr>
        <w:t xml:space="preserve"> targeted industry</w:t>
      </w:r>
      <w:r w:rsidR="002630B5">
        <w:rPr>
          <w:rFonts w:ascii="Arial" w:hAnsi="Arial" w:cs="Arial"/>
          <w:sz w:val="20"/>
          <w:szCs w:val="20"/>
        </w:rPr>
        <w:t>.</w:t>
      </w:r>
      <w:r w:rsidRPr="009B39EB">
        <w:rPr>
          <w:rFonts w:ascii="Arial" w:hAnsi="Arial" w:cs="Arial"/>
          <w:sz w:val="20"/>
          <w:szCs w:val="20"/>
        </w:rPr>
        <w:t xml:space="preserve"> </w:t>
      </w:r>
    </w:p>
    <w:p w:rsidR="0011279F" w:rsidRPr="009B39EB" w:rsidRDefault="0011279F" w:rsidP="0011279F">
      <w:pPr>
        <w:pStyle w:val="ListParagraph"/>
        <w:spacing w:after="0" w:line="240" w:lineRule="auto"/>
        <w:rPr>
          <w:rFonts w:ascii="Arial" w:hAnsi="Arial" w:cs="Arial"/>
          <w:sz w:val="20"/>
          <w:szCs w:val="20"/>
        </w:rPr>
      </w:pPr>
    </w:p>
    <w:p w:rsidR="0011279F" w:rsidRPr="009B39EB" w:rsidRDefault="0011279F" w:rsidP="0011279F">
      <w:pPr>
        <w:pStyle w:val="ListParagraph"/>
        <w:numPr>
          <w:ilvl w:val="0"/>
          <w:numId w:val="3"/>
        </w:numPr>
        <w:spacing w:after="0" w:line="240" w:lineRule="auto"/>
        <w:rPr>
          <w:rFonts w:ascii="Arial" w:hAnsi="Arial" w:cs="Arial"/>
          <w:sz w:val="20"/>
          <w:szCs w:val="20"/>
        </w:rPr>
      </w:pPr>
      <w:r w:rsidRPr="009B39EB">
        <w:rPr>
          <w:rFonts w:ascii="Arial" w:hAnsi="Arial" w:cs="Arial"/>
          <w:sz w:val="20"/>
          <w:szCs w:val="20"/>
        </w:rPr>
        <w:t xml:space="preserve">Undertaking follow-up audits to ensure that regulated entities have effectively resolved issues previously identified, and providing any additional support required to assist them comply with workplace laws.     </w:t>
      </w:r>
    </w:p>
    <w:p w:rsidR="0011279F" w:rsidRPr="009B39EB" w:rsidRDefault="0011279F" w:rsidP="0011279F">
      <w:pPr>
        <w:pStyle w:val="ListParagraph"/>
        <w:spacing w:after="0" w:line="240" w:lineRule="auto"/>
        <w:rPr>
          <w:rFonts w:ascii="Arial" w:hAnsi="Arial" w:cs="Arial"/>
          <w:sz w:val="20"/>
          <w:szCs w:val="20"/>
        </w:rPr>
      </w:pPr>
    </w:p>
    <w:p w:rsidR="0011279F" w:rsidRPr="009B39EB" w:rsidRDefault="0011279F" w:rsidP="0011279F">
      <w:pPr>
        <w:pStyle w:val="ListParagraph"/>
        <w:numPr>
          <w:ilvl w:val="0"/>
          <w:numId w:val="2"/>
        </w:numPr>
        <w:spacing w:after="0" w:line="240" w:lineRule="auto"/>
        <w:rPr>
          <w:rFonts w:ascii="Arial" w:hAnsi="Arial" w:cs="Arial"/>
          <w:sz w:val="20"/>
          <w:szCs w:val="20"/>
        </w:rPr>
      </w:pPr>
      <w:r w:rsidRPr="009B39EB">
        <w:rPr>
          <w:rFonts w:ascii="Arial" w:hAnsi="Arial" w:cs="Arial"/>
          <w:sz w:val="20"/>
          <w:szCs w:val="20"/>
        </w:rPr>
        <w:t>Using technology to streamline and improve processes in order to make it easier for regulated entities to access the information they require to comply with workplace laws. This has been achieved by:</w:t>
      </w:r>
    </w:p>
    <w:p w:rsidR="0011279F" w:rsidRPr="009B39EB" w:rsidRDefault="0011279F" w:rsidP="0011279F">
      <w:pPr>
        <w:pStyle w:val="ListParagraph"/>
        <w:spacing w:after="0" w:line="240" w:lineRule="auto"/>
        <w:rPr>
          <w:rFonts w:ascii="Arial" w:hAnsi="Arial" w:cs="Arial"/>
          <w:sz w:val="20"/>
          <w:szCs w:val="20"/>
        </w:rPr>
      </w:pPr>
    </w:p>
    <w:p w:rsidR="0011279F" w:rsidRPr="009B39EB" w:rsidRDefault="0011279F" w:rsidP="0011279F">
      <w:pPr>
        <w:pStyle w:val="ListParagraph"/>
        <w:numPr>
          <w:ilvl w:val="0"/>
          <w:numId w:val="3"/>
        </w:numPr>
        <w:spacing w:after="0" w:line="240" w:lineRule="auto"/>
        <w:rPr>
          <w:rFonts w:ascii="Arial" w:hAnsi="Arial" w:cs="Arial"/>
          <w:sz w:val="20"/>
          <w:szCs w:val="20"/>
        </w:rPr>
      </w:pPr>
      <w:r w:rsidRPr="009B39EB">
        <w:rPr>
          <w:rFonts w:ascii="Arial" w:hAnsi="Arial" w:cs="Arial"/>
          <w:sz w:val="20"/>
          <w:szCs w:val="20"/>
        </w:rPr>
        <w:t>Using customer behaviour analytics and behavioural insights in order to identify the unique needs of regulated entities and understand how they access information</w:t>
      </w:r>
      <w:r w:rsidR="002630B5">
        <w:rPr>
          <w:rFonts w:ascii="Arial" w:hAnsi="Arial" w:cs="Arial"/>
          <w:sz w:val="20"/>
          <w:szCs w:val="20"/>
        </w:rPr>
        <w:t>.</w:t>
      </w:r>
      <w:r w:rsidRPr="009B39EB">
        <w:rPr>
          <w:rFonts w:ascii="Arial" w:hAnsi="Arial" w:cs="Arial"/>
          <w:sz w:val="20"/>
          <w:szCs w:val="20"/>
        </w:rPr>
        <w:t xml:space="preserve">   </w:t>
      </w:r>
    </w:p>
    <w:p w:rsidR="0011279F" w:rsidRPr="009B39EB" w:rsidRDefault="0011279F" w:rsidP="0011279F">
      <w:pPr>
        <w:pStyle w:val="ListParagraph"/>
        <w:spacing w:after="0" w:line="240" w:lineRule="auto"/>
        <w:ind w:left="1080"/>
        <w:rPr>
          <w:rFonts w:ascii="Arial" w:hAnsi="Arial" w:cs="Arial"/>
          <w:sz w:val="20"/>
          <w:szCs w:val="20"/>
        </w:rPr>
      </w:pPr>
    </w:p>
    <w:p w:rsidR="0011279F" w:rsidRPr="009B39EB" w:rsidRDefault="0011279F" w:rsidP="0011279F">
      <w:pPr>
        <w:pStyle w:val="ListParagraph"/>
        <w:numPr>
          <w:ilvl w:val="0"/>
          <w:numId w:val="3"/>
        </w:numPr>
        <w:spacing w:after="0" w:line="240" w:lineRule="auto"/>
        <w:rPr>
          <w:rFonts w:ascii="Arial" w:hAnsi="Arial" w:cs="Arial"/>
          <w:sz w:val="20"/>
          <w:szCs w:val="20"/>
        </w:rPr>
      </w:pPr>
      <w:r w:rsidRPr="009B39EB">
        <w:rPr>
          <w:rFonts w:ascii="Arial" w:hAnsi="Arial" w:cs="Arial"/>
          <w:sz w:val="20"/>
          <w:szCs w:val="20"/>
        </w:rPr>
        <w:t>Developing and launching new digital service offerings that enable regulated entities to access reliable information at their convenience. For example, ‘My account’ was developed as a repository for businesses to store pay and conditions information.</w:t>
      </w:r>
    </w:p>
    <w:p w:rsidR="0011279F" w:rsidRDefault="0011279F" w:rsidP="0011279F">
      <w:pPr>
        <w:spacing w:after="0" w:line="240" w:lineRule="auto"/>
      </w:pPr>
    </w:p>
    <w:p w:rsidR="0011279F" w:rsidRDefault="0011279F" w:rsidP="0011279F">
      <w:pPr>
        <w:spacing w:after="0" w:line="240" w:lineRule="auto"/>
      </w:pPr>
    </w:p>
    <w:p w:rsidR="0011279F" w:rsidRPr="009B39EB" w:rsidRDefault="0011279F" w:rsidP="0011279F">
      <w:pPr>
        <w:spacing w:after="0" w:line="240" w:lineRule="auto"/>
      </w:pPr>
    </w:p>
    <w:p w:rsidR="0011279F" w:rsidRDefault="00D26096" w:rsidP="0011279F">
      <w:pPr>
        <w:pStyle w:val="Heading1"/>
        <w:spacing w:before="0" w:line="240" w:lineRule="auto"/>
        <w:rPr>
          <w:rFonts w:ascii="Myriad Pro" w:hAnsi="Myriad Pro"/>
          <w:b w:val="0"/>
          <w:color w:val="31849B" w:themeColor="accent5" w:themeShade="BF"/>
        </w:rPr>
      </w:pPr>
      <w:bookmarkStart w:id="23" w:name="_Toc460917315"/>
      <w:r>
        <w:rPr>
          <w:rFonts w:ascii="Myriad Pro" w:hAnsi="Myriad Pro"/>
          <w:b w:val="0"/>
          <w:color w:val="31849B" w:themeColor="accent5" w:themeShade="BF"/>
        </w:rPr>
        <w:lastRenderedPageBreak/>
        <w:t>Opportunities</w:t>
      </w:r>
      <w:r w:rsidR="005172AC">
        <w:rPr>
          <w:rFonts w:ascii="Myriad Pro" w:hAnsi="Myriad Pro"/>
          <w:b w:val="0"/>
          <w:color w:val="31849B" w:themeColor="accent5" w:themeShade="BF"/>
        </w:rPr>
        <w:t xml:space="preserve"> for Improvement</w:t>
      </w:r>
      <w:bookmarkEnd w:id="23"/>
    </w:p>
    <w:p w:rsidR="0011279F" w:rsidRDefault="0011279F" w:rsidP="0011279F">
      <w:pPr>
        <w:spacing w:after="0" w:line="240" w:lineRule="auto"/>
        <w:rPr>
          <w:rFonts w:ascii="Arial" w:hAnsi="Arial" w:cs="Arial"/>
          <w:sz w:val="20"/>
          <w:szCs w:val="20"/>
        </w:rPr>
      </w:pPr>
    </w:p>
    <w:p w:rsidR="0011279F" w:rsidRPr="009B39EB" w:rsidRDefault="0011279F" w:rsidP="0011279F">
      <w:pPr>
        <w:spacing w:after="0" w:line="240" w:lineRule="auto"/>
        <w:rPr>
          <w:rFonts w:ascii="Arial" w:hAnsi="Arial" w:cs="Arial"/>
          <w:sz w:val="20"/>
          <w:szCs w:val="20"/>
        </w:rPr>
      </w:pPr>
      <w:r w:rsidRPr="009B39EB">
        <w:rPr>
          <w:rFonts w:ascii="Arial" w:hAnsi="Arial" w:cs="Arial"/>
          <w:sz w:val="20"/>
          <w:szCs w:val="20"/>
        </w:rPr>
        <w:t xml:space="preserve">The FWO has identified a number of key </w:t>
      </w:r>
      <w:r w:rsidR="00D26096">
        <w:rPr>
          <w:rFonts w:ascii="Arial" w:hAnsi="Arial" w:cs="Arial"/>
          <w:sz w:val="20"/>
          <w:szCs w:val="20"/>
        </w:rPr>
        <w:t>opportunities</w:t>
      </w:r>
      <w:r w:rsidRPr="009B39EB">
        <w:rPr>
          <w:rFonts w:ascii="Arial" w:hAnsi="Arial" w:cs="Arial"/>
          <w:sz w:val="20"/>
          <w:szCs w:val="20"/>
        </w:rPr>
        <w:t xml:space="preserve"> for improvement. These include:</w:t>
      </w:r>
    </w:p>
    <w:p w:rsidR="0011279F" w:rsidRPr="009B39EB" w:rsidRDefault="0011279F" w:rsidP="0011279F">
      <w:pPr>
        <w:spacing w:after="0" w:line="240" w:lineRule="auto"/>
        <w:rPr>
          <w:rFonts w:ascii="Arial" w:hAnsi="Arial" w:cs="Arial"/>
          <w:sz w:val="20"/>
          <w:szCs w:val="20"/>
        </w:rPr>
      </w:pPr>
    </w:p>
    <w:p w:rsidR="0011279F" w:rsidRPr="009B39EB" w:rsidRDefault="0011279F" w:rsidP="0011279F">
      <w:pPr>
        <w:pStyle w:val="ListParagraph"/>
        <w:numPr>
          <w:ilvl w:val="0"/>
          <w:numId w:val="4"/>
        </w:numPr>
        <w:spacing w:after="0" w:line="240" w:lineRule="auto"/>
        <w:rPr>
          <w:rFonts w:ascii="Arial" w:hAnsi="Arial" w:cs="Arial"/>
          <w:sz w:val="20"/>
          <w:szCs w:val="20"/>
        </w:rPr>
      </w:pPr>
      <w:r w:rsidRPr="009B39EB">
        <w:rPr>
          <w:rFonts w:ascii="Arial" w:hAnsi="Arial" w:cs="Arial"/>
          <w:sz w:val="20"/>
          <w:szCs w:val="20"/>
        </w:rPr>
        <w:t>Developing robust mechanisms to evaluate the effectiveness of our performance in relation to reducing regulatory burden on regulated entities. This may involve:</w:t>
      </w:r>
    </w:p>
    <w:p w:rsidR="0011279F" w:rsidRPr="009B39EB" w:rsidRDefault="0011279F" w:rsidP="0011279F">
      <w:pPr>
        <w:pStyle w:val="ListParagraph"/>
        <w:spacing w:after="0" w:line="240" w:lineRule="auto"/>
        <w:rPr>
          <w:rFonts w:ascii="Arial" w:hAnsi="Arial" w:cs="Arial"/>
          <w:sz w:val="20"/>
          <w:szCs w:val="20"/>
        </w:rPr>
      </w:pPr>
    </w:p>
    <w:p w:rsidR="0011279F" w:rsidRPr="009B39EB" w:rsidRDefault="00751B76" w:rsidP="0011279F">
      <w:pPr>
        <w:pStyle w:val="ListParagraph"/>
        <w:numPr>
          <w:ilvl w:val="0"/>
          <w:numId w:val="5"/>
        </w:numPr>
        <w:spacing w:after="0" w:line="240" w:lineRule="auto"/>
        <w:ind w:left="1080"/>
        <w:rPr>
          <w:rFonts w:ascii="Arial" w:hAnsi="Arial" w:cs="Arial"/>
          <w:sz w:val="20"/>
          <w:szCs w:val="20"/>
        </w:rPr>
      </w:pPr>
      <w:r>
        <w:rPr>
          <w:rFonts w:ascii="Arial" w:hAnsi="Arial" w:cs="Arial"/>
          <w:sz w:val="20"/>
          <w:szCs w:val="20"/>
        </w:rPr>
        <w:t xml:space="preserve">Partnering with external </w:t>
      </w:r>
      <w:r w:rsidR="0011279F" w:rsidRPr="009B39EB">
        <w:rPr>
          <w:rFonts w:ascii="Arial" w:hAnsi="Arial" w:cs="Arial"/>
          <w:sz w:val="20"/>
          <w:szCs w:val="20"/>
        </w:rPr>
        <w:t>research providers to undertake research and evaluation to improve the agency’s understanding of its impact on regulated entities and the broader community</w:t>
      </w:r>
      <w:r w:rsidR="002630B5">
        <w:rPr>
          <w:rFonts w:ascii="Arial" w:hAnsi="Arial" w:cs="Arial"/>
          <w:sz w:val="20"/>
          <w:szCs w:val="20"/>
        </w:rPr>
        <w:t>.</w:t>
      </w:r>
      <w:r w:rsidR="0011279F" w:rsidRPr="009B39EB">
        <w:rPr>
          <w:rFonts w:ascii="Arial" w:hAnsi="Arial" w:cs="Arial"/>
          <w:sz w:val="20"/>
          <w:szCs w:val="20"/>
        </w:rPr>
        <w:t xml:space="preserve">  </w:t>
      </w:r>
    </w:p>
    <w:p w:rsidR="0011279F" w:rsidRPr="009B39EB" w:rsidRDefault="0011279F" w:rsidP="0011279F">
      <w:pPr>
        <w:pStyle w:val="ListParagraph"/>
        <w:spacing w:after="0" w:line="240" w:lineRule="auto"/>
        <w:ind w:left="1080"/>
        <w:rPr>
          <w:rFonts w:ascii="Arial" w:hAnsi="Arial" w:cs="Arial"/>
          <w:sz w:val="20"/>
          <w:szCs w:val="20"/>
        </w:rPr>
      </w:pPr>
    </w:p>
    <w:p w:rsidR="0011279F" w:rsidRPr="009B39EB" w:rsidRDefault="0011279F" w:rsidP="0011279F">
      <w:pPr>
        <w:pStyle w:val="ListParagraph"/>
        <w:numPr>
          <w:ilvl w:val="0"/>
          <w:numId w:val="5"/>
        </w:numPr>
        <w:spacing w:after="0" w:line="240" w:lineRule="auto"/>
        <w:ind w:left="1080"/>
        <w:rPr>
          <w:rFonts w:ascii="Arial" w:hAnsi="Arial" w:cs="Arial"/>
          <w:sz w:val="20"/>
          <w:szCs w:val="20"/>
        </w:rPr>
      </w:pPr>
      <w:r w:rsidRPr="009B39EB">
        <w:rPr>
          <w:rFonts w:ascii="Arial" w:hAnsi="Arial" w:cs="Arial"/>
          <w:sz w:val="20"/>
          <w:szCs w:val="20"/>
        </w:rPr>
        <w:t>Engaging with key stakeholders to conduct post-implementation review</w:t>
      </w:r>
      <w:r w:rsidR="00D26096">
        <w:rPr>
          <w:rFonts w:ascii="Arial" w:hAnsi="Arial" w:cs="Arial"/>
          <w:sz w:val="20"/>
          <w:szCs w:val="20"/>
        </w:rPr>
        <w:t>s</w:t>
      </w:r>
      <w:r w:rsidR="00751B76">
        <w:rPr>
          <w:rFonts w:ascii="Arial" w:hAnsi="Arial" w:cs="Arial"/>
          <w:sz w:val="20"/>
          <w:szCs w:val="20"/>
        </w:rPr>
        <w:t xml:space="preserve"> of a range of activities across the agency</w:t>
      </w:r>
      <w:r w:rsidR="002630B5">
        <w:rPr>
          <w:rFonts w:ascii="Arial" w:hAnsi="Arial" w:cs="Arial"/>
          <w:sz w:val="20"/>
          <w:szCs w:val="20"/>
        </w:rPr>
        <w:t>.</w:t>
      </w:r>
      <w:r w:rsidRPr="009B39EB">
        <w:rPr>
          <w:rFonts w:ascii="Arial" w:hAnsi="Arial" w:cs="Arial"/>
          <w:sz w:val="20"/>
          <w:szCs w:val="20"/>
        </w:rPr>
        <w:t xml:space="preserve"> </w:t>
      </w:r>
    </w:p>
    <w:p w:rsidR="0011279F" w:rsidRPr="009B39EB" w:rsidRDefault="0011279F" w:rsidP="0011279F">
      <w:pPr>
        <w:spacing w:after="0" w:line="240" w:lineRule="auto"/>
        <w:rPr>
          <w:rFonts w:ascii="Arial" w:hAnsi="Arial" w:cs="Arial"/>
          <w:sz w:val="20"/>
          <w:szCs w:val="20"/>
        </w:rPr>
      </w:pPr>
    </w:p>
    <w:p w:rsidR="0011279F" w:rsidRPr="009B39EB" w:rsidRDefault="0011279F" w:rsidP="0011279F">
      <w:pPr>
        <w:pStyle w:val="ListParagraph"/>
        <w:numPr>
          <w:ilvl w:val="0"/>
          <w:numId w:val="4"/>
        </w:numPr>
        <w:spacing w:after="0" w:line="240" w:lineRule="auto"/>
        <w:rPr>
          <w:rFonts w:ascii="Arial" w:hAnsi="Arial" w:cs="Arial"/>
          <w:sz w:val="20"/>
          <w:szCs w:val="20"/>
        </w:rPr>
      </w:pPr>
      <w:r w:rsidRPr="009B39EB">
        <w:rPr>
          <w:rFonts w:ascii="Arial" w:hAnsi="Arial" w:cs="Arial"/>
          <w:sz w:val="20"/>
          <w:szCs w:val="20"/>
        </w:rPr>
        <w:t>Identifying opportunities to publish information about our activities and strategies</w:t>
      </w:r>
      <w:r w:rsidR="002630B5">
        <w:rPr>
          <w:rFonts w:ascii="Arial" w:hAnsi="Arial" w:cs="Arial"/>
          <w:sz w:val="20"/>
          <w:szCs w:val="20"/>
        </w:rPr>
        <w:t>. This could</w:t>
      </w:r>
      <w:r w:rsidRPr="009B39EB">
        <w:rPr>
          <w:rFonts w:ascii="Arial" w:hAnsi="Arial" w:cs="Arial"/>
          <w:sz w:val="20"/>
          <w:szCs w:val="20"/>
        </w:rPr>
        <w:t xml:space="preserve"> provide regulated entities with greater certainty about how the agency performs its functions and how it </w:t>
      </w:r>
      <w:r w:rsidR="002630B5">
        <w:rPr>
          <w:rFonts w:ascii="Arial" w:hAnsi="Arial" w:cs="Arial"/>
          <w:sz w:val="20"/>
          <w:szCs w:val="20"/>
        </w:rPr>
        <w:t>may</w:t>
      </w:r>
      <w:r w:rsidR="002630B5" w:rsidRPr="009B39EB">
        <w:rPr>
          <w:rFonts w:ascii="Arial" w:hAnsi="Arial" w:cs="Arial"/>
          <w:sz w:val="20"/>
          <w:szCs w:val="20"/>
        </w:rPr>
        <w:t xml:space="preserve"> </w:t>
      </w:r>
      <w:r w:rsidRPr="009B39EB">
        <w:rPr>
          <w:rFonts w:ascii="Arial" w:hAnsi="Arial" w:cs="Arial"/>
          <w:sz w:val="20"/>
          <w:szCs w:val="20"/>
        </w:rPr>
        <w:t>respond to particular issues. This may include:</w:t>
      </w:r>
    </w:p>
    <w:p w:rsidR="0011279F" w:rsidRPr="009B39EB" w:rsidRDefault="0011279F" w:rsidP="0011279F">
      <w:pPr>
        <w:spacing w:after="0" w:line="240" w:lineRule="auto"/>
        <w:rPr>
          <w:rFonts w:ascii="Arial" w:hAnsi="Arial" w:cs="Arial"/>
          <w:sz w:val="20"/>
          <w:szCs w:val="20"/>
        </w:rPr>
      </w:pPr>
    </w:p>
    <w:p w:rsidR="0011279F" w:rsidRPr="00D75649" w:rsidRDefault="0011279F" w:rsidP="00D75649">
      <w:pPr>
        <w:pStyle w:val="Header"/>
        <w:numPr>
          <w:ilvl w:val="0"/>
          <w:numId w:val="37"/>
        </w:numPr>
        <w:rPr>
          <w:rFonts w:ascii="Arial" w:hAnsi="Arial" w:cs="Arial"/>
          <w:sz w:val="20"/>
          <w:szCs w:val="20"/>
        </w:rPr>
      </w:pPr>
      <w:r w:rsidRPr="002630B5">
        <w:rPr>
          <w:rFonts w:ascii="Arial" w:hAnsi="Arial" w:cs="Arial"/>
          <w:sz w:val="20"/>
          <w:szCs w:val="20"/>
        </w:rPr>
        <w:t>Publishing and maintaining information on the agency’s campaign work program, outlining key areas of focus (such as industry, regional location, occupation) to provide regulated entities and those impac</w:t>
      </w:r>
      <w:r w:rsidRPr="00D75649">
        <w:rPr>
          <w:rFonts w:ascii="Arial" w:hAnsi="Arial" w:cs="Arial"/>
          <w:sz w:val="20"/>
          <w:szCs w:val="20"/>
        </w:rPr>
        <w:t>ted by the activities an understanding of what to expect</w:t>
      </w:r>
      <w:r w:rsidR="002630B5">
        <w:rPr>
          <w:rFonts w:ascii="Arial" w:hAnsi="Arial" w:cs="Arial"/>
          <w:sz w:val="20"/>
          <w:szCs w:val="20"/>
        </w:rPr>
        <w:t>.</w:t>
      </w:r>
    </w:p>
    <w:p w:rsidR="0011279F" w:rsidRPr="009B39EB" w:rsidRDefault="0011279F" w:rsidP="0011279F">
      <w:pPr>
        <w:pStyle w:val="ListParagraph"/>
        <w:spacing w:after="0" w:line="240" w:lineRule="auto"/>
        <w:ind w:left="1080"/>
        <w:rPr>
          <w:rFonts w:ascii="Arial" w:hAnsi="Arial" w:cs="Arial"/>
          <w:sz w:val="20"/>
          <w:szCs w:val="20"/>
        </w:rPr>
      </w:pPr>
    </w:p>
    <w:p w:rsidR="0011279F" w:rsidRPr="009B39EB" w:rsidRDefault="0011279F" w:rsidP="0011279F">
      <w:pPr>
        <w:pStyle w:val="ListParagraph"/>
        <w:numPr>
          <w:ilvl w:val="0"/>
          <w:numId w:val="5"/>
        </w:numPr>
        <w:spacing w:after="0" w:line="240" w:lineRule="auto"/>
        <w:ind w:left="1080"/>
        <w:rPr>
          <w:rFonts w:ascii="Arial" w:hAnsi="Arial" w:cs="Arial"/>
          <w:sz w:val="20"/>
          <w:szCs w:val="20"/>
        </w:rPr>
      </w:pPr>
      <w:r w:rsidRPr="009B39EB">
        <w:rPr>
          <w:rFonts w:ascii="Arial" w:hAnsi="Arial" w:cs="Arial"/>
          <w:sz w:val="20"/>
          <w:szCs w:val="20"/>
        </w:rPr>
        <w:t xml:space="preserve">Publishing the outcomes of key stakeholder consultation and feedback, and the agency’s response or follow-up action. </w:t>
      </w:r>
    </w:p>
    <w:p w:rsidR="0011279F" w:rsidRPr="009B39EB" w:rsidRDefault="0011279F" w:rsidP="0011279F">
      <w:pPr>
        <w:pStyle w:val="ListParagraph"/>
        <w:spacing w:after="0" w:line="240" w:lineRule="auto"/>
        <w:rPr>
          <w:rFonts w:ascii="Arial" w:hAnsi="Arial" w:cs="Arial"/>
          <w:sz w:val="20"/>
          <w:szCs w:val="20"/>
        </w:rPr>
      </w:pPr>
    </w:p>
    <w:p w:rsidR="0011279F" w:rsidRPr="009B39EB" w:rsidRDefault="0011279F" w:rsidP="0011279F">
      <w:pPr>
        <w:pStyle w:val="ListParagraph"/>
        <w:numPr>
          <w:ilvl w:val="0"/>
          <w:numId w:val="4"/>
        </w:numPr>
        <w:spacing w:after="0" w:line="240" w:lineRule="auto"/>
        <w:rPr>
          <w:rFonts w:ascii="Arial" w:hAnsi="Arial" w:cs="Arial"/>
          <w:sz w:val="20"/>
          <w:szCs w:val="20"/>
        </w:rPr>
      </w:pPr>
      <w:r w:rsidRPr="009B39EB">
        <w:rPr>
          <w:rFonts w:ascii="Arial" w:hAnsi="Arial" w:cs="Arial"/>
          <w:sz w:val="20"/>
          <w:szCs w:val="20"/>
        </w:rPr>
        <w:t>Continuing to invest in technology to streamline processes and improve our service offerings to make it easier for regulated entities to comply with their obligations. This includes:</w:t>
      </w:r>
    </w:p>
    <w:p w:rsidR="0011279F" w:rsidRPr="009B39EB" w:rsidRDefault="0011279F" w:rsidP="0011279F">
      <w:pPr>
        <w:pStyle w:val="ListParagraph"/>
        <w:spacing w:after="0" w:line="240" w:lineRule="auto"/>
        <w:rPr>
          <w:rFonts w:ascii="Arial" w:hAnsi="Arial" w:cs="Arial"/>
          <w:sz w:val="20"/>
          <w:szCs w:val="20"/>
        </w:rPr>
      </w:pPr>
    </w:p>
    <w:p w:rsidR="0011279F" w:rsidRPr="009B39EB" w:rsidRDefault="0011279F" w:rsidP="0011279F">
      <w:pPr>
        <w:pStyle w:val="ListParagraph"/>
        <w:numPr>
          <w:ilvl w:val="0"/>
          <w:numId w:val="5"/>
        </w:numPr>
        <w:spacing w:after="0" w:line="240" w:lineRule="auto"/>
        <w:ind w:left="1080"/>
        <w:rPr>
          <w:rFonts w:ascii="Arial" w:hAnsi="Arial" w:cs="Arial"/>
          <w:sz w:val="20"/>
          <w:szCs w:val="20"/>
        </w:rPr>
      </w:pPr>
      <w:r w:rsidRPr="009B39EB">
        <w:rPr>
          <w:rFonts w:ascii="Arial" w:hAnsi="Arial" w:cs="Arial"/>
          <w:sz w:val="20"/>
          <w:szCs w:val="20"/>
        </w:rPr>
        <w:t>Exploring systems and processes to enable better management of repeat contacts, in order to reduce the frequency of information collected from regulated entities</w:t>
      </w:r>
      <w:r w:rsidR="00630F04">
        <w:rPr>
          <w:rFonts w:ascii="Arial" w:hAnsi="Arial" w:cs="Arial"/>
          <w:sz w:val="20"/>
          <w:szCs w:val="20"/>
        </w:rPr>
        <w:t>.</w:t>
      </w:r>
      <w:r w:rsidRPr="009B39EB">
        <w:rPr>
          <w:rFonts w:ascii="Arial" w:hAnsi="Arial" w:cs="Arial"/>
          <w:sz w:val="20"/>
          <w:szCs w:val="20"/>
        </w:rPr>
        <w:t xml:space="preserve"> </w:t>
      </w:r>
    </w:p>
    <w:p w:rsidR="0011279F" w:rsidRPr="009B39EB" w:rsidRDefault="0011279F" w:rsidP="0011279F">
      <w:pPr>
        <w:pStyle w:val="ListParagraph"/>
        <w:spacing w:after="0" w:line="240" w:lineRule="auto"/>
        <w:ind w:left="1080"/>
        <w:rPr>
          <w:rFonts w:ascii="Arial" w:hAnsi="Arial" w:cs="Arial"/>
          <w:sz w:val="20"/>
          <w:szCs w:val="20"/>
        </w:rPr>
      </w:pPr>
    </w:p>
    <w:p w:rsidR="0011279F" w:rsidRPr="009B39EB" w:rsidRDefault="0011279F" w:rsidP="0011279F">
      <w:pPr>
        <w:pStyle w:val="ListParagraph"/>
        <w:numPr>
          <w:ilvl w:val="0"/>
          <w:numId w:val="5"/>
        </w:numPr>
        <w:spacing w:after="0" w:line="240" w:lineRule="auto"/>
        <w:ind w:left="1080"/>
        <w:rPr>
          <w:rFonts w:ascii="Arial" w:hAnsi="Arial" w:cs="Arial"/>
          <w:sz w:val="20"/>
          <w:szCs w:val="20"/>
        </w:rPr>
      </w:pPr>
      <w:r w:rsidRPr="009B39EB">
        <w:rPr>
          <w:rFonts w:ascii="Arial" w:hAnsi="Arial" w:cs="Arial"/>
          <w:sz w:val="20"/>
          <w:szCs w:val="20"/>
        </w:rPr>
        <w:t>Using data analytics and business intelligence technology to understand emerging issues impacting regulated entities and how regulated entities access and use information, in order to improve services</w:t>
      </w:r>
      <w:r w:rsidR="00630F04">
        <w:rPr>
          <w:rFonts w:ascii="Arial" w:hAnsi="Arial" w:cs="Arial"/>
          <w:sz w:val="20"/>
          <w:szCs w:val="20"/>
        </w:rPr>
        <w:t>.</w:t>
      </w:r>
    </w:p>
    <w:p w:rsidR="0011279F" w:rsidRPr="009B39EB" w:rsidRDefault="0011279F" w:rsidP="0011279F">
      <w:pPr>
        <w:pStyle w:val="ListParagraph"/>
        <w:spacing w:after="0" w:line="240" w:lineRule="auto"/>
        <w:ind w:left="1080"/>
        <w:rPr>
          <w:rFonts w:ascii="Arial" w:hAnsi="Arial" w:cs="Arial"/>
          <w:sz w:val="20"/>
          <w:szCs w:val="20"/>
        </w:rPr>
      </w:pPr>
      <w:r w:rsidRPr="009B39EB">
        <w:rPr>
          <w:rFonts w:ascii="Arial" w:hAnsi="Arial" w:cs="Arial"/>
          <w:sz w:val="20"/>
          <w:szCs w:val="20"/>
        </w:rPr>
        <w:t xml:space="preserve"> </w:t>
      </w:r>
    </w:p>
    <w:p w:rsidR="0011279F" w:rsidRPr="009B39EB" w:rsidRDefault="0011279F" w:rsidP="0011279F">
      <w:pPr>
        <w:pStyle w:val="ListParagraph"/>
        <w:numPr>
          <w:ilvl w:val="0"/>
          <w:numId w:val="5"/>
        </w:numPr>
        <w:spacing w:after="0" w:line="240" w:lineRule="auto"/>
        <w:ind w:left="1080"/>
        <w:rPr>
          <w:rFonts w:ascii="Arial" w:hAnsi="Arial" w:cs="Arial"/>
          <w:sz w:val="20"/>
          <w:szCs w:val="20"/>
        </w:rPr>
      </w:pPr>
      <w:r w:rsidRPr="009B39EB">
        <w:rPr>
          <w:rFonts w:ascii="Arial" w:hAnsi="Arial" w:cs="Arial"/>
          <w:sz w:val="20"/>
          <w:szCs w:val="20"/>
        </w:rPr>
        <w:t xml:space="preserve">Improving the functionality of digital service offerings, such as ‘My account’, to enable regulated entities and other users to easily access, search and store information that </w:t>
      </w:r>
      <w:proofErr w:type="gramStart"/>
      <w:r w:rsidRPr="009B39EB">
        <w:rPr>
          <w:rFonts w:ascii="Arial" w:hAnsi="Arial" w:cs="Arial"/>
          <w:sz w:val="20"/>
          <w:szCs w:val="20"/>
        </w:rPr>
        <w:t>is tailored</w:t>
      </w:r>
      <w:proofErr w:type="gramEnd"/>
      <w:r w:rsidRPr="009B39EB">
        <w:rPr>
          <w:rFonts w:ascii="Arial" w:hAnsi="Arial" w:cs="Arial"/>
          <w:sz w:val="20"/>
          <w:szCs w:val="20"/>
        </w:rPr>
        <w:t xml:space="preserve"> to them.  </w:t>
      </w:r>
    </w:p>
    <w:p w:rsidR="0011279F" w:rsidRPr="009B39EB" w:rsidRDefault="0011279F" w:rsidP="0011279F">
      <w:pPr>
        <w:spacing w:after="0" w:line="240" w:lineRule="auto"/>
        <w:rPr>
          <w:rFonts w:ascii="Arial" w:hAnsi="Arial" w:cs="Arial"/>
          <w:sz w:val="20"/>
          <w:szCs w:val="20"/>
        </w:rPr>
      </w:pPr>
    </w:p>
    <w:p w:rsidR="0011279F" w:rsidRPr="009B39EB" w:rsidRDefault="0011279F" w:rsidP="0011279F">
      <w:pPr>
        <w:pStyle w:val="ListParagraph"/>
        <w:numPr>
          <w:ilvl w:val="0"/>
          <w:numId w:val="4"/>
        </w:numPr>
        <w:spacing w:after="0" w:line="240" w:lineRule="auto"/>
        <w:rPr>
          <w:rFonts w:ascii="Arial" w:hAnsi="Arial" w:cs="Arial"/>
          <w:sz w:val="20"/>
          <w:szCs w:val="20"/>
        </w:rPr>
      </w:pPr>
      <w:r w:rsidRPr="009B39EB">
        <w:rPr>
          <w:rFonts w:ascii="Arial" w:hAnsi="Arial" w:cs="Arial"/>
          <w:sz w:val="20"/>
          <w:szCs w:val="20"/>
        </w:rPr>
        <w:t>Continuing to measure our effectiveness as a regulator and identify ways to contribute to the improvement of the regulatory framework. This may involve:</w:t>
      </w:r>
    </w:p>
    <w:p w:rsidR="0011279F" w:rsidRPr="009B39EB" w:rsidRDefault="0011279F" w:rsidP="0011279F">
      <w:pPr>
        <w:spacing w:after="0" w:line="240" w:lineRule="auto"/>
        <w:rPr>
          <w:rFonts w:ascii="Arial" w:hAnsi="Arial" w:cs="Arial"/>
          <w:sz w:val="20"/>
          <w:szCs w:val="20"/>
        </w:rPr>
      </w:pPr>
    </w:p>
    <w:p w:rsidR="0011279F" w:rsidRPr="009B39EB" w:rsidRDefault="0011279F" w:rsidP="0011279F">
      <w:pPr>
        <w:pStyle w:val="ListParagraph"/>
        <w:numPr>
          <w:ilvl w:val="0"/>
          <w:numId w:val="6"/>
        </w:numPr>
        <w:spacing w:after="0" w:line="240" w:lineRule="auto"/>
        <w:ind w:left="1080"/>
        <w:rPr>
          <w:rFonts w:ascii="Arial" w:hAnsi="Arial" w:cs="Arial"/>
          <w:sz w:val="20"/>
          <w:szCs w:val="20"/>
        </w:rPr>
      </w:pPr>
      <w:r w:rsidRPr="009B39EB">
        <w:rPr>
          <w:rFonts w:ascii="Arial" w:hAnsi="Arial" w:cs="Arial"/>
          <w:sz w:val="20"/>
          <w:szCs w:val="20"/>
        </w:rPr>
        <w:t>Partnering with external research providers to undertake research and evaluation into the agency’s effectiveness as a regulator</w:t>
      </w:r>
      <w:r w:rsidR="00630F04">
        <w:rPr>
          <w:rFonts w:ascii="Arial" w:hAnsi="Arial" w:cs="Arial"/>
          <w:sz w:val="20"/>
          <w:szCs w:val="20"/>
        </w:rPr>
        <w:t>.</w:t>
      </w:r>
      <w:r w:rsidRPr="009B39EB">
        <w:rPr>
          <w:rFonts w:ascii="Arial" w:hAnsi="Arial" w:cs="Arial"/>
          <w:sz w:val="20"/>
          <w:szCs w:val="20"/>
        </w:rPr>
        <w:t xml:space="preserve">  </w:t>
      </w:r>
    </w:p>
    <w:p w:rsidR="0011279F" w:rsidRPr="009B39EB" w:rsidRDefault="0011279F" w:rsidP="0011279F">
      <w:pPr>
        <w:spacing w:after="0" w:line="240" w:lineRule="auto"/>
        <w:ind w:left="360"/>
        <w:rPr>
          <w:rFonts w:ascii="Arial" w:hAnsi="Arial" w:cs="Arial"/>
          <w:sz w:val="20"/>
          <w:szCs w:val="20"/>
        </w:rPr>
      </w:pPr>
    </w:p>
    <w:p w:rsidR="0011279F" w:rsidRPr="009B39EB" w:rsidRDefault="0011279F" w:rsidP="0011279F">
      <w:pPr>
        <w:pStyle w:val="ListParagraph"/>
        <w:numPr>
          <w:ilvl w:val="0"/>
          <w:numId w:val="6"/>
        </w:numPr>
        <w:spacing w:after="0" w:line="240" w:lineRule="auto"/>
        <w:ind w:left="1080"/>
        <w:rPr>
          <w:rFonts w:ascii="Arial" w:hAnsi="Arial" w:cs="Arial"/>
          <w:sz w:val="20"/>
          <w:szCs w:val="20"/>
        </w:rPr>
      </w:pPr>
      <w:r w:rsidRPr="009B39EB">
        <w:rPr>
          <w:rFonts w:ascii="Arial" w:hAnsi="Arial" w:cs="Arial"/>
          <w:sz w:val="20"/>
          <w:szCs w:val="20"/>
        </w:rPr>
        <w:t>Conducting environment scans and research to understand emerging issues and challenges in the regulatory environment, and how these issues may pose as impediments to compliance</w:t>
      </w:r>
      <w:r w:rsidR="00630F04">
        <w:rPr>
          <w:rFonts w:ascii="Arial" w:hAnsi="Arial" w:cs="Arial"/>
          <w:sz w:val="20"/>
          <w:szCs w:val="20"/>
        </w:rPr>
        <w:t>.</w:t>
      </w:r>
    </w:p>
    <w:p w:rsidR="0011279F" w:rsidRPr="009B39EB" w:rsidRDefault="0011279F" w:rsidP="0011279F">
      <w:pPr>
        <w:spacing w:after="0" w:line="240" w:lineRule="auto"/>
        <w:ind w:left="360"/>
        <w:rPr>
          <w:rFonts w:ascii="Arial" w:hAnsi="Arial" w:cs="Arial"/>
          <w:sz w:val="20"/>
          <w:szCs w:val="20"/>
        </w:rPr>
      </w:pPr>
    </w:p>
    <w:p w:rsidR="0011279F" w:rsidRPr="009B39EB" w:rsidRDefault="00751B76" w:rsidP="0011279F">
      <w:pPr>
        <w:pStyle w:val="ListParagraph"/>
        <w:numPr>
          <w:ilvl w:val="0"/>
          <w:numId w:val="6"/>
        </w:numPr>
        <w:spacing w:after="0" w:line="240" w:lineRule="auto"/>
        <w:ind w:left="1080"/>
        <w:rPr>
          <w:rFonts w:ascii="Arial" w:hAnsi="Arial" w:cs="Arial"/>
          <w:sz w:val="20"/>
          <w:szCs w:val="20"/>
        </w:rPr>
      </w:pPr>
      <w:r>
        <w:rPr>
          <w:rFonts w:ascii="Arial" w:hAnsi="Arial" w:cs="Arial"/>
          <w:sz w:val="20"/>
          <w:szCs w:val="20"/>
        </w:rPr>
        <w:t>Continuing to engage</w:t>
      </w:r>
      <w:r w:rsidR="0011279F" w:rsidRPr="009B39EB">
        <w:rPr>
          <w:rFonts w:ascii="Arial" w:hAnsi="Arial" w:cs="Arial"/>
          <w:sz w:val="20"/>
          <w:szCs w:val="20"/>
        </w:rPr>
        <w:t xml:space="preserve"> with key stakeholders, including intermediaries and industry bodies, to collect information </w:t>
      </w:r>
      <w:r w:rsidR="00462D92">
        <w:rPr>
          <w:rFonts w:ascii="Arial" w:hAnsi="Arial" w:cs="Arial"/>
          <w:sz w:val="20"/>
          <w:szCs w:val="20"/>
        </w:rPr>
        <w:t>to</w:t>
      </w:r>
      <w:r w:rsidR="0011279F" w:rsidRPr="009B39EB">
        <w:rPr>
          <w:rFonts w:ascii="Arial" w:hAnsi="Arial" w:cs="Arial"/>
          <w:sz w:val="20"/>
          <w:szCs w:val="20"/>
        </w:rPr>
        <w:t xml:space="preserve"> </w:t>
      </w:r>
      <w:r w:rsidR="00EF31DC" w:rsidRPr="009B39EB">
        <w:rPr>
          <w:rFonts w:ascii="Arial" w:hAnsi="Arial" w:cs="Arial"/>
          <w:sz w:val="20"/>
          <w:szCs w:val="20"/>
        </w:rPr>
        <w:t>complement</w:t>
      </w:r>
      <w:r w:rsidR="00630F04">
        <w:rPr>
          <w:rFonts w:ascii="Arial" w:hAnsi="Arial" w:cs="Arial"/>
          <w:sz w:val="20"/>
          <w:szCs w:val="20"/>
        </w:rPr>
        <w:t xml:space="preserve"> </w:t>
      </w:r>
      <w:r w:rsidR="0011279F" w:rsidRPr="009B39EB">
        <w:rPr>
          <w:rFonts w:ascii="Arial" w:hAnsi="Arial" w:cs="Arial"/>
          <w:sz w:val="20"/>
          <w:szCs w:val="20"/>
        </w:rPr>
        <w:t>research</w:t>
      </w:r>
      <w:r w:rsidR="00462D92">
        <w:rPr>
          <w:rFonts w:ascii="Arial" w:hAnsi="Arial" w:cs="Arial"/>
          <w:sz w:val="20"/>
          <w:szCs w:val="20"/>
        </w:rPr>
        <w:t xml:space="preserve"> that is undertaken</w:t>
      </w:r>
      <w:r w:rsidR="00630F04">
        <w:rPr>
          <w:rFonts w:ascii="Arial" w:hAnsi="Arial" w:cs="Arial"/>
          <w:sz w:val="20"/>
          <w:szCs w:val="20"/>
        </w:rPr>
        <w:t>.</w:t>
      </w:r>
      <w:r w:rsidR="0011279F" w:rsidRPr="009B39EB">
        <w:rPr>
          <w:rFonts w:ascii="Arial" w:hAnsi="Arial" w:cs="Arial"/>
          <w:sz w:val="20"/>
          <w:szCs w:val="20"/>
        </w:rPr>
        <w:t xml:space="preserve"> </w:t>
      </w:r>
    </w:p>
    <w:p w:rsidR="0011279F" w:rsidRPr="009B39EB" w:rsidRDefault="0011279F" w:rsidP="0011279F">
      <w:pPr>
        <w:spacing w:after="0" w:line="240" w:lineRule="auto"/>
        <w:ind w:left="360"/>
        <w:rPr>
          <w:rFonts w:ascii="Arial" w:hAnsi="Arial" w:cs="Arial"/>
          <w:sz w:val="20"/>
          <w:szCs w:val="20"/>
        </w:rPr>
      </w:pPr>
    </w:p>
    <w:p w:rsidR="0011279F" w:rsidRPr="009B39EB" w:rsidRDefault="00751B76" w:rsidP="0011279F">
      <w:pPr>
        <w:pStyle w:val="ListParagraph"/>
        <w:numPr>
          <w:ilvl w:val="0"/>
          <w:numId w:val="6"/>
        </w:numPr>
        <w:spacing w:after="0" w:line="240" w:lineRule="auto"/>
        <w:ind w:left="1080"/>
      </w:pPr>
      <w:r>
        <w:rPr>
          <w:rFonts w:ascii="Arial" w:hAnsi="Arial" w:cs="Arial"/>
          <w:sz w:val="20"/>
          <w:szCs w:val="20"/>
        </w:rPr>
        <w:t>Continuing to engage</w:t>
      </w:r>
      <w:r w:rsidR="0011279F" w:rsidRPr="00AB6AE2">
        <w:rPr>
          <w:rFonts w:ascii="Arial" w:hAnsi="Arial" w:cs="Arial"/>
          <w:sz w:val="20"/>
          <w:szCs w:val="20"/>
        </w:rPr>
        <w:t xml:space="preserve"> with other regulators to share information and experience on regulatory best practice.  </w:t>
      </w:r>
    </w:p>
    <w:p w:rsidR="00751B76" w:rsidRDefault="00751B76" w:rsidP="00642E36">
      <w:pPr>
        <w:pStyle w:val="Heading1"/>
        <w:spacing w:before="0" w:line="240" w:lineRule="auto"/>
        <w:rPr>
          <w:rFonts w:ascii="Myriad Pro" w:hAnsi="Myriad Pro"/>
          <w:b w:val="0"/>
          <w:color w:val="31849B" w:themeColor="accent5" w:themeShade="BF"/>
        </w:rPr>
      </w:pPr>
      <w:bookmarkStart w:id="24" w:name="_Toc460917316"/>
    </w:p>
    <w:p w:rsidR="004322A4" w:rsidRDefault="004322A4" w:rsidP="00642E36">
      <w:pPr>
        <w:pStyle w:val="Heading1"/>
        <w:spacing w:before="0" w:line="240" w:lineRule="auto"/>
        <w:rPr>
          <w:rFonts w:ascii="Myriad Pro" w:hAnsi="Myriad Pro"/>
          <w:b w:val="0"/>
          <w:color w:val="31849B" w:themeColor="accent5" w:themeShade="BF"/>
        </w:rPr>
      </w:pPr>
      <w:r w:rsidRPr="004322A4">
        <w:rPr>
          <w:rFonts w:ascii="Myriad Pro" w:hAnsi="Myriad Pro"/>
          <w:b w:val="0"/>
          <w:color w:val="31849B" w:themeColor="accent5" w:themeShade="BF"/>
        </w:rPr>
        <w:t>Appendix</w:t>
      </w:r>
      <w:bookmarkEnd w:id="24"/>
      <w:r w:rsidR="00F80344">
        <w:rPr>
          <w:rFonts w:ascii="Myriad Pro" w:hAnsi="Myriad Pro"/>
          <w:b w:val="0"/>
          <w:color w:val="31849B" w:themeColor="accent5" w:themeShade="BF"/>
        </w:rPr>
        <w:t xml:space="preserve"> </w:t>
      </w:r>
    </w:p>
    <w:p w:rsidR="004322A4" w:rsidRDefault="004322A4" w:rsidP="00642E36">
      <w:pPr>
        <w:pStyle w:val="Heading2"/>
        <w:spacing w:before="0" w:line="240" w:lineRule="auto"/>
        <w:rPr>
          <w:rFonts w:ascii="Myriad Pro" w:hAnsi="Myriad Pro"/>
          <w:b w:val="0"/>
          <w:color w:val="31849B" w:themeColor="accent5" w:themeShade="BF"/>
        </w:rPr>
      </w:pPr>
    </w:p>
    <w:p w:rsidR="004322A4" w:rsidRPr="002F1A33" w:rsidRDefault="007C45BB" w:rsidP="00642E36">
      <w:pPr>
        <w:pStyle w:val="Heading2"/>
        <w:spacing w:before="0" w:line="240" w:lineRule="auto"/>
        <w:rPr>
          <w:rFonts w:ascii="Myriad Pro" w:hAnsi="Myriad Pro"/>
          <w:b w:val="0"/>
          <w:color w:val="31849B" w:themeColor="accent5" w:themeShade="BF"/>
        </w:rPr>
      </w:pPr>
      <w:bookmarkStart w:id="25" w:name="_Toc460917317"/>
      <w:r>
        <w:rPr>
          <w:rFonts w:ascii="Myriad Pro" w:hAnsi="Myriad Pro"/>
          <w:b w:val="0"/>
          <w:color w:val="31849B" w:themeColor="accent5" w:themeShade="BF"/>
        </w:rPr>
        <w:t>Case study</w:t>
      </w:r>
      <w:r w:rsidR="004322A4" w:rsidRPr="002F1A33">
        <w:rPr>
          <w:rFonts w:ascii="Myriad Pro" w:hAnsi="Myriad Pro"/>
          <w:b w:val="0"/>
          <w:color w:val="31849B" w:themeColor="accent5" w:themeShade="BF"/>
        </w:rPr>
        <w:t xml:space="preserve"> 1</w:t>
      </w:r>
      <w:bookmarkEnd w:id="25"/>
    </w:p>
    <w:p w:rsidR="004322A4" w:rsidRPr="002F1A33" w:rsidRDefault="004322A4" w:rsidP="00642E36">
      <w:pPr>
        <w:spacing w:after="0" w:line="240" w:lineRule="auto"/>
        <w:rPr>
          <w:rFonts w:ascii="Myriad Pro" w:hAnsi="Myriad Pro" w:cs="Arial"/>
          <w:i/>
          <w:color w:val="31849B" w:themeColor="accent5" w:themeShade="BF"/>
          <w:sz w:val="24"/>
          <w:szCs w:val="24"/>
        </w:rPr>
      </w:pPr>
    </w:p>
    <w:p w:rsidR="002F1A33" w:rsidRPr="00F80344" w:rsidRDefault="007C45BB" w:rsidP="00642E36">
      <w:pPr>
        <w:spacing w:after="0" w:line="240" w:lineRule="auto"/>
        <w:rPr>
          <w:rFonts w:ascii="Arial" w:hAnsi="Arial" w:cs="Arial"/>
          <w:sz w:val="20"/>
          <w:szCs w:val="20"/>
        </w:rPr>
      </w:pPr>
      <w:r>
        <w:rPr>
          <w:rFonts w:ascii="Myriad Pro" w:hAnsi="Myriad Pro" w:cs="Arial"/>
          <w:i/>
          <w:color w:val="31849B" w:themeColor="accent5" w:themeShade="BF"/>
          <w:sz w:val="24"/>
          <w:szCs w:val="24"/>
        </w:rPr>
        <w:t xml:space="preserve">Early intervention to promote compliance </w:t>
      </w:r>
    </w:p>
    <w:p w:rsidR="007C45BB" w:rsidRDefault="007C45BB" w:rsidP="00642E36">
      <w:pPr>
        <w:spacing w:after="0" w:line="240" w:lineRule="auto"/>
        <w:rPr>
          <w:rFonts w:ascii="Arial" w:hAnsi="Arial" w:cs="Arial"/>
          <w:sz w:val="20"/>
          <w:szCs w:val="20"/>
        </w:rPr>
      </w:pPr>
    </w:p>
    <w:p w:rsidR="00F80344" w:rsidRDefault="00F80344" w:rsidP="00642E36">
      <w:pPr>
        <w:spacing w:after="0" w:line="240" w:lineRule="auto"/>
        <w:rPr>
          <w:rFonts w:ascii="Arial" w:hAnsi="Arial" w:cs="Arial"/>
          <w:sz w:val="20"/>
          <w:szCs w:val="20"/>
        </w:rPr>
      </w:pPr>
      <w:r w:rsidRPr="00F80344">
        <w:rPr>
          <w:rFonts w:ascii="Arial" w:hAnsi="Arial" w:cs="Arial"/>
          <w:sz w:val="20"/>
          <w:szCs w:val="20"/>
        </w:rPr>
        <w:t>The FWO recognises the regulatory burden that compliance and enforcement activities can place on regulated entities involved in a workplace dispute. Accordingly, the FWO takes a range of factors into</w:t>
      </w:r>
      <w:r w:rsidR="00630F04">
        <w:rPr>
          <w:rFonts w:ascii="Arial" w:hAnsi="Arial" w:cs="Arial"/>
          <w:sz w:val="20"/>
          <w:szCs w:val="20"/>
        </w:rPr>
        <w:t xml:space="preserve"> consideration when determining </w:t>
      </w:r>
      <w:r w:rsidRPr="00F80344">
        <w:rPr>
          <w:rFonts w:ascii="Arial" w:hAnsi="Arial" w:cs="Arial"/>
          <w:sz w:val="20"/>
          <w:szCs w:val="20"/>
        </w:rPr>
        <w:t xml:space="preserve">the most appropriate action to resolve disputes and promote future compliance. </w:t>
      </w:r>
    </w:p>
    <w:p w:rsidR="007C45BB" w:rsidRPr="007C45BB" w:rsidRDefault="007C45BB" w:rsidP="00642E36">
      <w:pPr>
        <w:spacing w:after="0" w:line="240" w:lineRule="auto"/>
        <w:rPr>
          <w:rFonts w:ascii="Arial" w:hAnsi="Arial" w:cs="Arial"/>
          <w:iCs/>
          <w:sz w:val="20"/>
          <w:szCs w:val="20"/>
        </w:rPr>
      </w:pPr>
    </w:p>
    <w:p w:rsidR="007C45BB" w:rsidRPr="007C45BB" w:rsidRDefault="007C45BB" w:rsidP="00642E36">
      <w:pPr>
        <w:spacing w:after="0" w:line="240" w:lineRule="auto"/>
        <w:rPr>
          <w:rFonts w:ascii="Arial" w:hAnsi="Arial" w:cs="Arial"/>
          <w:iCs/>
          <w:sz w:val="20"/>
          <w:szCs w:val="20"/>
        </w:rPr>
      </w:pPr>
      <w:r>
        <w:rPr>
          <w:rFonts w:ascii="Arial" w:hAnsi="Arial" w:cs="Arial"/>
          <w:iCs/>
          <w:sz w:val="20"/>
          <w:szCs w:val="20"/>
        </w:rPr>
        <w:t xml:space="preserve">Early intervention </w:t>
      </w:r>
      <w:r w:rsidRPr="007C45BB">
        <w:rPr>
          <w:rFonts w:ascii="Arial" w:hAnsi="Arial" w:cs="Arial"/>
          <w:iCs/>
          <w:sz w:val="20"/>
          <w:szCs w:val="20"/>
        </w:rPr>
        <w:t>aims to educate employees and employers about how to resolve workplace issues directly and amicably with each other before the issues potentially escalate into formal and protracted disputes. The aim is to maintain positive working relationships by keeping the matter in the hands of the parties supporting them to resolve the issue</w:t>
      </w:r>
      <w:r w:rsidR="00630F04">
        <w:rPr>
          <w:rFonts w:ascii="Arial" w:hAnsi="Arial" w:cs="Arial"/>
          <w:iCs/>
          <w:sz w:val="20"/>
          <w:szCs w:val="20"/>
        </w:rPr>
        <w:t>,</w:t>
      </w:r>
      <w:r w:rsidRPr="007C45BB">
        <w:rPr>
          <w:rFonts w:ascii="Arial" w:hAnsi="Arial" w:cs="Arial"/>
          <w:iCs/>
          <w:sz w:val="20"/>
          <w:szCs w:val="20"/>
        </w:rPr>
        <w:t xml:space="preserve"> businesses can continue to be compliant and productive.</w:t>
      </w:r>
    </w:p>
    <w:p w:rsidR="002F1A33" w:rsidRPr="007C45BB" w:rsidRDefault="002F1A33" w:rsidP="00642E36">
      <w:pPr>
        <w:spacing w:after="0" w:line="240" w:lineRule="auto"/>
        <w:rPr>
          <w:rFonts w:ascii="Arial" w:hAnsi="Arial" w:cs="Arial"/>
          <w:iCs/>
          <w:sz w:val="20"/>
          <w:szCs w:val="20"/>
        </w:rPr>
      </w:pPr>
    </w:p>
    <w:p w:rsidR="002F1A33" w:rsidRPr="002F1A33" w:rsidRDefault="00F80344" w:rsidP="00642E36">
      <w:pPr>
        <w:spacing w:after="0" w:line="240" w:lineRule="auto"/>
        <w:rPr>
          <w:rFonts w:ascii="Arial" w:hAnsi="Arial" w:cs="Arial"/>
          <w:iCs/>
          <w:sz w:val="20"/>
          <w:szCs w:val="20"/>
        </w:rPr>
      </w:pPr>
      <w:r>
        <w:rPr>
          <w:rFonts w:ascii="Arial" w:hAnsi="Arial" w:cs="Arial"/>
          <w:iCs/>
          <w:sz w:val="20"/>
          <w:szCs w:val="20"/>
        </w:rPr>
        <w:t>For example,</w:t>
      </w:r>
      <w:r w:rsidR="002F1A33">
        <w:rPr>
          <w:rFonts w:ascii="Arial" w:hAnsi="Arial" w:cs="Arial"/>
          <w:iCs/>
          <w:sz w:val="20"/>
          <w:szCs w:val="20"/>
        </w:rPr>
        <w:t xml:space="preserve"> </w:t>
      </w:r>
      <w:r>
        <w:rPr>
          <w:rFonts w:ascii="Arial" w:hAnsi="Arial" w:cs="Arial"/>
          <w:iCs/>
          <w:sz w:val="20"/>
          <w:szCs w:val="20"/>
        </w:rPr>
        <w:t>a</w:t>
      </w:r>
      <w:r w:rsidR="002F1A33" w:rsidRPr="002F1A33">
        <w:rPr>
          <w:rFonts w:ascii="Arial" w:hAnsi="Arial" w:cs="Arial"/>
          <w:iCs/>
          <w:sz w:val="20"/>
          <w:szCs w:val="20"/>
        </w:rPr>
        <w:t xml:space="preserve"> small business owner called the Fair Work Infoline about a current employee’s request to reduce her full time hours due to her pregnancy. The employee had provided a medical certificate to support her request. </w:t>
      </w:r>
    </w:p>
    <w:p w:rsidR="002F1A33" w:rsidRDefault="002F1A33" w:rsidP="00642E36">
      <w:pPr>
        <w:spacing w:after="0" w:line="240" w:lineRule="auto"/>
        <w:rPr>
          <w:rFonts w:ascii="Arial" w:hAnsi="Arial" w:cs="Arial"/>
          <w:iCs/>
          <w:sz w:val="20"/>
          <w:szCs w:val="20"/>
        </w:rPr>
      </w:pPr>
    </w:p>
    <w:p w:rsidR="002F1A33" w:rsidRPr="002F1A33" w:rsidRDefault="002F1A33" w:rsidP="00642E36">
      <w:pPr>
        <w:spacing w:after="0" w:line="240" w:lineRule="auto"/>
        <w:rPr>
          <w:rFonts w:ascii="Arial" w:hAnsi="Arial" w:cs="Arial"/>
          <w:iCs/>
          <w:sz w:val="20"/>
          <w:szCs w:val="20"/>
        </w:rPr>
      </w:pPr>
      <w:r w:rsidRPr="002F1A33">
        <w:rPr>
          <w:rFonts w:ascii="Arial" w:hAnsi="Arial" w:cs="Arial"/>
          <w:iCs/>
          <w:sz w:val="20"/>
          <w:szCs w:val="20"/>
        </w:rPr>
        <w:t xml:space="preserve">The employer advised that she felt worried that she would be unable to approve the request due to operational requirements of the business.  The employer </w:t>
      </w:r>
      <w:proofErr w:type="gramStart"/>
      <w:r w:rsidRPr="002F1A33">
        <w:rPr>
          <w:rFonts w:ascii="Arial" w:hAnsi="Arial" w:cs="Arial"/>
          <w:iCs/>
          <w:sz w:val="20"/>
          <w:szCs w:val="20"/>
        </w:rPr>
        <w:t>was referred</w:t>
      </w:r>
      <w:proofErr w:type="gramEnd"/>
      <w:r w:rsidRPr="002F1A33">
        <w:rPr>
          <w:rFonts w:ascii="Arial" w:hAnsi="Arial" w:cs="Arial"/>
          <w:iCs/>
          <w:sz w:val="20"/>
          <w:szCs w:val="20"/>
        </w:rPr>
        <w:t xml:space="preserve"> to an early intervention adviser to provide tailored advice and assistance.</w:t>
      </w:r>
    </w:p>
    <w:p w:rsidR="002F1A33" w:rsidRDefault="002F1A33" w:rsidP="00642E36">
      <w:pPr>
        <w:spacing w:after="0" w:line="240" w:lineRule="auto"/>
        <w:rPr>
          <w:rFonts w:ascii="Arial" w:hAnsi="Arial" w:cs="Arial"/>
          <w:iCs/>
          <w:sz w:val="20"/>
          <w:szCs w:val="20"/>
        </w:rPr>
      </w:pPr>
    </w:p>
    <w:p w:rsidR="002F1A33" w:rsidRPr="00630F04" w:rsidRDefault="002F1A33">
      <w:pPr>
        <w:pStyle w:val="Header"/>
        <w:rPr>
          <w:rFonts w:ascii="Arial" w:hAnsi="Arial" w:cs="Arial"/>
          <w:sz w:val="20"/>
          <w:szCs w:val="20"/>
        </w:rPr>
      </w:pPr>
      <w:r w:rsidRPr="00630F04">
        <w:rPr>
          <w:rFonts w:ascii="Arial" w:hAnsi="Arial" w:cs="Arial"/>
          <w:iCs/>
          <w:sz w:val="20"/>
          <w:szCs w:val="20"/>
        </w:rPr>
        <w:t>The adviser encouraged the employer to meet with the employee to ensure that both parties were aware of all the relevant issues and for the emp</w:t>
      </w:r>
      <w:r w:rsidRPr="00630F04">
        <w:rPr>
          <w:rFonts w:ascii="Arial" w:hAnsi="Arial" w:cs="Arial"/>
          <w:sz w:val="20"/>
          <w:szCs w:val="20"/>
        </w:rPr>
        <w:t>loyer to be prepared to consider a range of options with a view to meet</w:t>
      </w:r>
      <w:r w:rsidR="00D26096" w:rsidRPr="00630F04">
        <w:rPr>
          <w:rFonts w:ascii="Arial" w:hAnsi="Arial" w:cs="Arial"/>
          <w:sz w:val="20"/>
          <w:szCs w:val="20"/>
        </w:rPr>
        <w:t>ing</w:t>
      </w:r>
      <w:r w:rsidRPr="00630F04">
        <w:rPr>
          <w:rFonts w:ascii="Arial" w:hAnsi="Arial" w:cs="Arial"/>
          <w:sz w:val="20"/>
          <w:szCs w:val="20"/>
        </w:rPr>
        <w:t xml:space="preserve"> the needs of both the business and the employee. The adviser was </w:t>
      </w:r>
      <w:r w:rsidR="00630F04">
        <w:rPr>
          <w:rFonts w:ascii="Arial" w:hAnsi="Arial" w:cs="Arial"/>
          <w:sz w:val="20"/>
          <w:szCs w:val="20"/>
        </w:rPr>
        <w:t>able</w:t>
      </w:r>
      <w:r w:rsidR="00630F04" w:rsidRPr="00630F04">
        <w:rPr>
          <w:rFonts w:ascii="Arial" w:hAnsi="Arial" w:cs="Arial"/>
          <w:sz w:val="20"/>
          <w:szCs w:val="20"/>
        </w:rPr>
        <w:t xml:space="preserve"> </w:t>
      </w:r>
      <w:r w:rsidRPr="00630F04">
        <w:rPr>
          <w:rFonts w:ascii="Arial" w:hAnsi="Arial" w:cs="Arial"/>
          <w:sz w:val="20"/>
          <w:szCs w:val="20"/>
        </w:rPr>
        <w:t>to discuss the issue with both the employee and employer to ensure th</w:t>
      </w:r>
      <w:r w:rsidR="00630F04">
        <w:rPr>
          <w:rFonts w:ascii="Arial" w:hAnsi="Arial" w:cs="Arial"/>
          <w:sz w:val="20"/>
          <w:szCs w:val="20"/>
        </w:rPr>
        <w:t>ey</w:t>
      </w:r>
      <w:r w:rsidRPr="00630F04">
        <w:rPr>
          <w:rFonts w:ascii="Arial" w:hAnsi="Arial" w:cs="Arial"/>
          <w:sz w:val="20"/>
          <w:szCs w:val="20"/>
        </w:rPr>
        <w:t xml:space="preserve"> both had the opportunity to raise any issues and have access to information to support them.</w:t>
      </w:r>
    </w:p>
    <w:p w:rsidR="002F1A33" w:rsidRDefault="002F1A33" w:rsidP="00642E36">
      <w:pPr>
        <w:spacing w:after="0" w:line="240" w:lineRule="auto"/>
        <w:rPr>
          <w:rFonts w:ascii="Arial" w:hAnsi="Arial" w:cs="Arial"/>
          <w:iCs/>
          <w:sz w:val="20"/>
          <w:szCs w:val="20"/>
        </w:rPr>
      </w:pPr>
    </w:p>
    <w:p w:rsidR="002F1A33" w:rsidRPr="002F1A33" w:rsidRDefault="002F1A33" w:rsidP="00642E36">
      <w:pPr>
        <w:spacing w:after="0" w:line="240" w:lineRule="auto"/>
        <w:rPr>
          <w:rFonts w:ascii="Arial" w:hAnsi="Arial" w:cs="Arial"/>
          <w:iCs/>
          <w:sz w:val="20"/>
          <w:szCs w:val="20"/>
        </w:rPr>
      </w:pPr>
      <w:r w:rsidRPr="002F1A33">
        <w:rPr>
          <w:rFonts w:ascii="Arial" w:hAnsi="Arial" w:cs="Arial"/>
          <w:iCs/>
          <w:sz w:val="20"/>
          <w:szCs w:val="20"/>
        </w:rPr>
        <w:t xml:space="preserve">The employer </w:t>
      </w:r>
      <w:proofErr w:type="gramStart"/>
      <w:r w:rsidRPr="002F1A33">
        <w:rPr>
          <w:rFonts w:ascii="Arial" w:hAnsi="Arial" w:cs="Arial"/>
          <w:iCs/>
          <w:sz w:val="20"/>
          <w:szCs w:val="20"/>
        </w:rPr>
        <w:t>was also provided</w:t>
      </w:r>
      <w:proofErr w:type="gramEnd"/>
      <w:r w:rsidRPr="002F1A33">
        <w:rPr>
          <w:rFonts w:ascii="Arial" w:hAnsi="Arial" w:cs="Arial"/>
          <w:iCs/>
          <w:sz w:val="20"/>
          <w:szCs w:val="20"/>
        </w:rPr>
        <w:t xml:space="preserve"> with a link to </w:t>
      </w:r>
      <w:proofErr w:type="spellStart"/>
      <w:r w:rsidRPr="002F1A33">
        <w:rPr>
          <w:rFonts w:ascii="Arial" w:hAnsi="Arial" w:cs="Arial"/>
          <w:iCs/>
          <w:sz w:val="20"/>
          <w:szCs w:val="20"/>
        </w:rPr>
        <w:t>FWO’s</w:t>
      </w:r>
      <w:proofErr w:type="spellEnd"/>
      <w:r w:rsidRPr="002F1A33">
        <w:rPr>
          <w:rFonts w:ascii="Arial" w:hAnsi="Arial" w:cs="Arial"/>
          <w:iCs/>
          <w:sz w:val="20"/>
          <w:szCs w:val="20"/>
        </w:rPr>
        <w:t xml:space="preserve"> ‘Dealing with difficult conversations’ online educational module. Our online learning modules </w:t>
      </w:r>
      <w:proofErr w:type="gramStart"/>
      <w:r w:rsidRPr="002F1A33">
        <w:rPr>
          <w:rFonts w:ascii="Arial" w:hAnsi="Arial" w:cs="Arial"/>
          <w:iCs/>
          <w:sz w:val="20"/>
          <w:szCs w:val="20"/>
        </w:rPr>
        <w:t>have been specifically designed</w:t>
      </w:r>
      <w:proofErr w:type="gramEnd"/>
      <w:r w:rsidRPr="002F1A33">
        <w:rPr>
          <w:rFonts w:ascii="Arial" w:hAnsi="Arial" w:cs="Arial"/>
          <w:iCs/>
          <w:sz w:val="20"/>
          <w:szCs w:val="20"/>
        </w:rPr>
        <w:t xml:space="preserve"> to support the business community across a range of issues.   </w:t>
      </w:r>
    </w:p>
    <w:p w:rsidR="002F1A33" w:rsidRDefault="002F1A33" w:rsidP="00642E36">
      <w:pPr>
        <w:spacing w:after="0" w:line="240" w:lineRule="auto"/>
        <w:rPr>
          <w:rFonts w:ascii="Arial" w:hAnsi="Arial" w:cs="Arial"/>
          <w:iCs/>
          <w:sz w:val="20"/>
          <w:szCs w:val="20"/>
        </w:rPr>
      </w:pPr>
    </w:p>
    <w:p w:rsidR="002F1A33" w:rsidRPr="002F1A33" w:rsidRDefault="002F1A33" w:rsidP="00642E36">
      <w:pPr>
        <w:spacing w:after="0" w:line="240" w:lineRule="auto"/>
        <w:rPr>
          <w:rFonts w:ascii="Arial" w:hAnsi="Arial" w:cs="Arial"/>
          <w:iCs/>
          <w:sz w:val="20"/>
          <w:szCs w:val="20"/>
        </w:rPr>
      </w:pPr>
      <w:r w:rsidRPr="002F1A33">
        <w:rPr>
          <w:rFonts w:ascii="Arial" w:hAnsi="Arial" w:cs="Arial"/>
          <w:iCs/>
          <w:sz w:val="20"/>
          <w:szCs w:val="20"/>
        </w:rPr>
        <w:t xml:space="preserve">The outcome for both parties was one of mutual benefit, whereby an agreement was reached that supported the employee in the lead up to parental leave and also ensured that the operational needs of the business were managed. In addition, the employment relationship </w:t>
      </w:r>
      <w:proofErr w:type="gramStart"/>
      <w:r w:rsidRPr="002F1A33">
        <w:rPr>
          <w:rFonts w:ascii="Arial" w:hAnsi="Arial" w:cs="Arial"/>
          <w:iCs/>
          <w:sz w:val="20"/>
          <w:szCs w:val="20"/>
        </w:rPr>
        <w:t>was maintained</w:t>
      </w:r>
      <w:proofErr w:type="gramEnd"/>
      <w:r w:rsidRPr="002F1A33">
        <w:rPr>
          <w:rFonts w:ascii="Arial" w:hAnsi="Arial" w:cs="Arial"/>
          <w:iCs/>
          <w:sz w:val="20"/>
          <w:szCs w:val="20"/>
        </w:rPr>
        <w:t xml:space="preserve"> and through the use of a variety of online resources the employer </w:t>
      </w:r>
      <w:r w:rsidR="00630F04">
        <w:rPr>
          <w:rFonts w:ascii="Arial" w:hAnsi="Arial" w:cs="Arial"/>
          <w:iCs/>
          <w:sz w:val="20"/>
          <w:szCs w:val="20"/>
        </w:rPr>
        <w:t>felt</w:t>
      </w:r>
      <w:r w:rsidR="00630F04" w:rsidRPr="002F1A33">
        <w:rPr>
          <w:rFonts w:ascii="Arial" w:hAnsi="Arial" w:cs="Arial"/>
          <w:iCs/>
          <w:sz w:val="20"/>
          <w:szCs w:val="20"/>
        </w:rPr>
        <w:t xml:space="preserve"> </w:t>
      </w:r>
      <w:r w:rsidRPr="002F1A33">
        <w:rPr>
          <w:rFonts w:ascii="Arial" w:hAnsi="Arial" w:cs="Arial"/>
          <w:iCs/>
          <w:sz w:val="20"/>
          <w:szCs w:val="20"/>
        </w:rPr>
        <w:t xml:space="preserve">confident and informed </w:t>
      </w:r>
      <w:r w:rsidR="00630F04">
        <w:rPr>
          <w:rFonts w:ascii="Arial" w:hAnsi="Arial" w:cs="Arial"/>
          <w:iCs/>
          <w:sz w:val="20"/>
          <w:szCs w:val="20"/>
        </w:rPr>
        <w:t>about</w:t>
      </w:r>
      <w:r w:rsidRPr="002F1A33">
        <w:rPr>
          <w:rFonts w:ascii="Arial" w:hAnsi="Arial" w:cs="Arial"/>
          <w:iCs/>
          <w:sz w:val="20"/>
          <w:szCs w:val="20"/>
        </w:rPr>
        <w:t xml:space="preserve"> managing workplace </w:t>
      </w:r>
      <w:r w:rsidR="00630F04">
        <w:rPr>
          <w:rFonts w:ascii="Arial" w:hAnsi="Arial" w:cs="Arial"/>
          <w:iCs/>
          <w:sz w:val="20"/>
          <w:szCs w:val="20"/>
        </w:rPr>
        <w:t>issues</w:t>
      </w:r>
      <w:r w:rsidR="00630F04" w:rsidRPr="002F1A33">
        <w:rPr>
          <w:rFonts w:ascii="Arial" w:hAnsi="Arial" w:cs="Arial"/>
          <w:iCs/>
          <w:sz w:val="20"/>
          <w:szCs w:val="20"/>
        </w:rPr>
        <w:t xml:space="preserve"> </w:t>
      </w:r>
      <w:r w:rsidRPr="002F1A33">
        <w:rPr>
          <w:rFonts w:ascii="Arial" w:hAnsi="Arial" w:cs="Arial"/>
          <w:iCs/>
          <w:sz w:val="20"/>
          <w:szCs w:val="20"/>
        </w:rPr>
        <w:t xml:space="preserve">in her business.  </w:t>
      </w:r>
    </w:p>
    <w:p w:rsidR="009B39EB" w:rsidRPr="002F1A33" w:rsidRDefault="009B39EB" w:rsidP="00642E36">
      <w:pPr>
        <w:spacing w:after="0" w:line="240" w:lineRule="auto"/>
        <w:rPr>
          <w:rFonts w:ascii="Arial" w:hAnsi="Arial" w:cs="Arial"/>
          <w:sz w:val="20"/>
          <w:szCs w:val="20"/>
        </w:rPr>
      </w:pPr>
    </w:p>
    <w:p w:rsidR="002F1A33" w:rsidRPr="009B39EB" w:rsidRDefault="002F1A33" w:rsidP="00642E36">
      <w:pPr>
        <w:spacing w:after="0" w:line="240" w:lineRule="auto"/>
      </w:pPr>
    </w:p>
    <w:p w:rsidR="002F1A33" w:rsidRP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F80344" w:rsidRDefault="00F80344" w:rsidP="00642E36">
      <w:pPr>
        <w:spacing w:after="0" w:line="240" w:lineRule="auto"/>
        <w:rPr>
          <w:rFonts w:ascii="Arial" w:hAnsi="Arial" w:cs="Arial"/>
          <w:sz w:val="20"/>
          <w:szCs w:val="20"/>
        </w:rPr>
      </w:pPr>
    </w:p>
    <w:p w:rsidR="00C20D6B" w:rsidRPr="002F1A33" w:rsidRDefault="00C20D6B"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C20D6B" w:rsidRDefault="00C20D6B"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p>
    <w:p w:rsidR="002F1A33" w:rsidRDefault="002F1A33" w:rsidP="00642E36">
      <w:pPr>
        <w:spacing w:after="0" w:line="240" w:lineRule="auto"/>
      </w:pPr>
    </w:p>
    <w:p w:rsidR="007C45BB" w:rsidRDefault="007C45BB" w:rsidP="00642E36">
      <w:pPr>
        <w:spacing w:after="0" w:line="240" w:lineRule="auto"/>
      </w:pPr>
    </w:p>
    <w:p w:rsidR="007C45BB" w:rsidRDefault="007C45BB" w:rsidP="00642E36">
      <w:pPr>
        <w:spacing w:after="0" w:line="240" w:lineRule="auto"/>
      </w:pPr>
    </w:p>
    <w:p w:rsidR="007C45BB" w:rsidRDefault="007C45BB" w:rsidP="00642E36">
      <w:pPr>
        <w:spacing w:after="0" w:line="240" w:lineRule="auto"/>
      </w:pPr>
    </w:p>
    <w:p w:rsidR="007C45BB" w:rsidRDefault="007C45BB" w:rsidP="00642E36">
      <w:pPr>
        <w:spacing w:after="0" w:line="240" w:lineRule="auto"/>
      </w:pPr>
    </w:p>
    <w:p w:rsidR="007C45BB" w:rsidRPr="002F1A33" w:rsidRDefault="007C45BB" w:rsidP="00642E36">
      <w:pPr>
        <w:spacing w:after="0" w:line="240" w:lineRule="auto"/>
      </w:pPr>
    </w:p>
    <w:p w:rsidR="002F1A33" w:rsidRPr="00C20D6B" w:rsidRDefault="007C45BB" w:rsidP="00642E36">
      <w:pPr>
        <w:pStyle w:val="Heading2"/>
        <w:spacing w:before="0" w:line="240" w:lineRule="auto"/>
        <w:rPr>
          <w:rFonts w:ascii="Myriad Pro" w:hAnsi="Myriad Pro"/>
          <w:b w:val="0"/>
          <w:color w:val="31849B" w:themeColor="accent5" w:themeShade="BF"/>
        </w:rPr>
      </w:pPr>
      <w:bookmarkStart w:id="26" w:name="_Toc460917318"/>
      <w:r>
        <w:rPr>
          <w:rFonts w:ascii="Myriad Pro" w:hAnsi="Myriad Pro"/>
          <w:b w:val="0"/>
          <w:color w:val="31849B" w:themeColor="accent5" w:themeShade="BF"/>
        </w:rPr>
        <w:t>Case study</w:t>
      </w:r>
      <w:r w:rsidR="004322A4" w:rsidRPr="002F1A33">
        <w:rPr>
          <w:rFonts w:ascii="Myriad Pro" w:hAnsi="Myriad Pro"/>
          <w:b w:val="0"/>
          <w:color w:val="31849B" w:themeColor="accent5" w:themeShade="BF"/>
        </w:rPr>
        <w:t xml:space="preserve"> 2</w:t>
      </w:r>
      <w:bookmarkEnd w:id="26"/>
    </w:p>
    <w:p w:rsidR="00C20D6B" w:rsidRPr="00C20D6B" w:rsidRDefault="00C20D6B" w:rsidP="00C20D6B">
      <w:pPr>
        <w:spacing w:after="0" w:line="240" w:lineRule="auto"/>
        <w:rPr>
          <w:rFonts w:ascii="Myriad Pro" w:hAnsi="Myriad Pro"/>
          <w:i/>
          <w:color w:val="31849B" w:themeColor="accent5" w:themeShade="BF"/>
        </w:rPr>
      </w:pPr>
    </w:p>
    <w:p w:rsidR="004322A4" w:rsidRPr="000447F6" w:rsidRDefault="002F1A33" w:rsidP="00C20D6B">
      <w:pPr>
        <w:spacing w:after="0" w:line="240" w:lineRule="auto"/>
        <w:rPr>
          <w:rFonts w:ascii="Myriad Pro" w:hAnsi="Myriad Pro" w:cs="Arial"/>
          <w:i/>
          <w:color w:val="31849B" w:themeColor="accent5" w:themeShade="BF"/>
          <w:sz w:val="24"/>
          <w:szCs w:val="24"/>
        </w:rPr>
      </w:pPr>
      <w:r w:rsidRPr="000447F6">
        <w:rPr>
          <w:rFonts w:ascii="Myriad Pro" w:hAnsi="Myriad Pro" w:cs="Arial"/>
          <w:i/>
          <w:color w:val="31849B" w:themeColor="accent5" w:themeShade="BF"/>
          <w:sz w:val="24"/>
          <w:szCs w:val="24"/>
        </w:rPr>
        <w:t>Chinese Australian Engagement Strategy 2016</w:t>
      </w:r>
    </w:p>
    <w:p w:rsidR="002F1A33" w:rsidRDefault="002F1A33" w:rsidP="00C20D6B">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The FWO is committed to fostering positive relationships with the entities that it regulates by engaging in consultation prior to implementing key strategies.  The FWO works collaboratively with a range of regulated entit</w:t>
      </w:r>
      <w:r w:rsidR="00D26096">
        <w:rPr>
          <w:rFonts w:ascii="Arial" w:hAnsi="Arial" w:cs="Arial"/>
          <w:sz w:val="20"/>
          <w:szCs w:val="20"/>
        </w:rPr>
        <w:t>i</w:t>
      </w:r>
      <w:r w:rsidRPr="002F1A33">
        <w:rPr>
          <w:rFonts w:ascii="Arial" w:hAnsi="Arial" w:cs="Arial"/>
          <w:sz w:val="20"/>
          <w:szCs w:val="20"/>
        </w:rPr>
        <w:t xml:space="preserve">es, recognising that in some areas regulated entities may experience </w:t>
      </w:r>
      <w:r w:rsidR="00EF31DC">
        <w:rPr>
          <w:rFonts w:ascii="Arial" w:hAnsi="Arial" w:cs="Arial"/>
          <w:sz w:val="20"/>
          <w:szCs w:val="20"/>
        </w:rPr>
        <w:t>challenges</w:t>
      </w:r>
      <w:r w:rsidRPr="002F1A33">
        <w:rPr>
          <w:rFonts w:ascii="Arial" w:hAnsi="Arial" w:cs="Arial"/>
          <w:sz w:val="20"/>
          <w:szCs w:val="20"/>
        </w:rPr>
        <w:t xml:space="preserve"> for a range of reasons</w:t>
      </w:r>
      <w:r w:rsidR="00630F04">
        <w:rPr>
          <w:rFonts w:ascii="Arial" w:hAnsi="Arial" w:cs="Arial"/>
          <w:sz w:val="20"/>
          <w:szCs w:val="20"/>
        </w:rPr>
        <w:t>.</w:t>
      </w:r>
      <w:r w:rsidRPr="002F1A33">
        <w:rPr>
          <w:rFonts w:ascii="Arial" w:hAnsi="Arial" w:cs="Arial"/>
          <w:sz w:val="20"/>
          <w:szCs w:val="20"/>
        </w:rPr>
        <w:t xml:space="preserve"> </w:t>
      </w:r>
      <w:r w:rsidR="00630F04">
        <w:rPr>
          <w:rFonts w:ascii="Arial" w:hAnsi="Arial" w:cs="Arial"/>
          <w:sz w:val="20"/>
          <w:szCs w:val="20"/>
        </w:rPr>
        <w:t>B</w:t>
      </w:r>
      <w:r w:rsidRPr="002F1A33">
        <w:rPr>
          <w:rFonts w:ascii="Arial" w:hAnsi="Arial" w:cs="Arial"/>
          <w:sz w:val="20"/>
          <w:szCs w:val="20"/>
        </w:rPr>
        <w:t xml:space="preserve">y tailoring our approach to specific communities, the FWO is able to identify specific trends and issues affecting regulated entities in those </w:t>
      </w:r>
      <w:r w:rsidR="00630F04">
        <w:rPr>
          <w:rFonts w:ascii="Arial" w:hAnsi="Arial" w:cs="Arial"/>
          <w:sz w:val="20"/>
          <w:szCs w:val="20"/>
        </w:rPr>
        <w:t>areas</w:t>
      </w:r>
      <w:r w:rsidRPr="002F1A33">
        <w:rPr>
          <w:rFonts w:ascii="Arial" w:hAnsi="Arial" w:cs="Arial"/>
          <w:sz w:val="20"/>
          <w:szCs w:val="20"/>
        </w:rPr>
        <w:t>.</w:t>
      </w:r>
    </w:p>
    <w:p w:rsidR="002F1A33" w:rsidRDefault="002F1A33" w:rsidP="00642E36">
      <w:pPr>
        <w:spacing w:after="0" w:line="240" w:lineRule="auto"/>
        <w:rPr>
          <w:rFonts w:ascii="Arial" w:hAnsi="Arial" w:cs="Arial"/>
          <w:sz w:val="20"/>
          <w:szCs w:val="20"/>
        </w:rPr>
      </w:pPr>
    </w:p>
    <w:p w:rsidR="002F1A33" w:rsidRPr="002F1A33" w:rsidRDefault="00F80344" w:rsidP="00642E36">
      <w:pPr>
        <w:spacing w:after="0" w:line="240" w:lineRule="auto"/>
        <w:rPr>
          <w:rFonts w:ascii="Arial" w:hAnsi="Arial" w:cs="Arial"/>
          <w:sz w:val="20"/>
          <w:szCs w:val="20"/>
        </w:rPr>
      </w:pPr>
      <w:r>
        <w:rPr>
          <w:rFonts w:ascii="Arial" w:hAnsi="Arial" w:cs="Arial"/>
          <w:sz w:val="20"/>
          <w:szCs w:val="20"/>
        </w:rPr>
        <w:t>M</w:t>
      </w:r>
      <w:r w:rsidR="002F1A33" w:rsidRPr="002F1A33">
        <w:rPr>
          <w:rFonts w:ascii="Arial" w:hAnsi="Arial" w:cs="Arial"/>
          <w:sz w:val="20"/>
          <w:szCs w:val="20"/>
        </w:rPr>
        <w:t>ulticultural communit</w:t>
      </w:r>
      <w:r>
        <w:rPr>
          <w:rFonts w:ascii="Arial" w:hAnsi="Arial" w:cs="Arial"/>
          <w:sz w:val="20"/>
          <w:szCs w:val="20"/>
        </w:rPr>
        <w:t>ies</w:t>
      </w:r>
      <w:r w:rsidR="002F1A33" w:rsidRPr="002F1A33">
        <w:rPr>
          <w:rFonts w:ascii="Arial" w:hAnsi="Arial" w:cs="Arial"/>
          <w:sz w:val="20"/>
          <w:szCs w:val="20"/>
        </w:rPr>
        <w:t xml:space="preserve"> can experience a range of challenges, including language and cultural differences, limited experience in the Australian workplace and potential concerns about visa status</w:t>
      </w:r>
      <w:r w:rsidR="00630F04">
        <w:rPr>
          <w:rFonts w:ascii="Arial" w:hAnsi="Arial" w:cs="Arial"/>
          <w:sz w:val="20"/>
          <w:szCs w:val="20"/>
        </w:rPr>
        <w:t>. These</w:t>
      </w:r>
      <w:r w:rsidR="002F1A33" w:rsidRPr="002F1A33">
        <w:rPr>
          <w:rFonts w:ascii="Arial" w:hAnsi="Arial" w:cs="Arial"/>
          <w:sz w:val="20"/>
          <w:szCs w:val="20"/>
        </w:rPr>
        <w:t xml:space="preserve"> can </w:t>
      </w:r>
      <w:r w:rsidR="00630F04">
        <w:rPr>
          <w:rFonts w:ascii="Arial" w:hAnsi="Arial" w:cs="Arial"/>
          <w:sz w:val="20"/>
          <w:szCs w:val="20"/>
        </w:rPr>
        <w:t xml:space="preserve">all </w:t>
      </w:r>
      <w:r w:rsidR="002F1A33" w:rsidRPr="002F1A33">
        <w:rPr>
          <w:rFonts w:ascii="Arial" w:hAnsi="Arial" w:cs="Arial"/>
          <w:sz w:val="20"/>
          <w:szCs w:val="20"/>
        </w:rPr>
        <w:t xml:space="preserve">be barriers to understanding workplace rights and responsibilities and seeking help. </w:t>
      </w:r>
    </w:p>
    <w:p w:rsid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In recognising this increased level of vulnerability, working with multicultural communities is a priority. The FWO</w:t>
      </w:r>
      <w:r w:rsidR="00F80344">
        <w:rPr>
          <w:rFonts w:ascii="Arial" w:hAnsi="Arial" w:cs="Arial"/>
          <w:sz w:val="20"/>
          <w:szCs w:val="20"/>
        </w:rPr>
        <w:t xml:space="preserve"> </w:t>
      </w:r>
      <w:r w:rsidR="00630F04">
        <w:rPr>
          <w:rFonts w:ascii="Arial" w:hAnsi="Arial" w:cs="Arial"/>
          <w:sz w:val="20"/>
          <w:szCs w:val="20"/>
        </w:rPr>
        <w:t>developed a</w:t>
      </w:r>
      <w:r w:rsidR="00F80344">
        <w:rPr>
          <w:rFonts w:ascii="Arial" w:hAnsi="Arial" w:cs="Arial"/>
          <w:sz w:val="20"/>
          <w:szCs w:val="20"/>
        </w:rPr>
        <w:t xml:space="preserve"> </w:t>
      </w:r>
      <w:r w:rsidRPr="002F1A33">
        <w:rPr>
          <w:rFonts w:ascii="Arial" w:hAnsi="Arial" w:cs="Arial"/>
          <w:sz w:val="20"/>
          <w:szCs w:val="20"/>
        </w:rPr>
        <w:t>Chinese Australian Engagement Strategy (</w:t>
      </w:r>
      <w:r w:rsidR="009C7256">
        <w:rPr>
          <w:rFonts w:ascii="Arial" w:hAnsi="Arial" w:cs="Arial"/>
          <w:sz w:val="20"/>
          <w:szCs w:val="20"/>
        </w:rPr>
        <w:t xml:space="preserve">the </w:t>
      </w:r>
      <w:r w:rsidRPr="002F1A33">
        <w:rPr>
          <w:rFonts w:ascii="Arial" w:hAnsi="Arial" w:cs="Arial"/>
          <w:sz w:val="20"/>
          <w:szCs w:val="20"/>
        </w:rPr>
        <w:t xml:space="preserve">Strategy) </w:t>
      </w:r>
      <w:r w:rsidR="00F80344">
        <w:rPr>
          <w:rFonts w:ascii="Arial" w:hAnsi="Arial" w:cs="Arial"/>
          <w:sz w:val="20"/>
          <w:szCs w:val="20"/>
        </w:rPr>
        <w:t>to drive</w:t>
      </w:r>
      <w:r w:rsidRPr="002F1A33">
        <w:rPr>
          <w:rFonts w:ascii="Arial" w:hAnsi="Arial" w:cs="Arial"/>
          <w:sz w:val="20"/>
          <w:szCs w:val="20"/>
        </w:rPr>
        <w:t xml:space="preserve"> strong engagement with businesses, employees and stakeholders in the Chinese community. It </w:t>
      </w:r>
      <w:proofErr w:type="gramStart"/>
      <w:r w:rsidRPr="002F1A33">
        <w:rPr>
          <w:rFonts w:ascii="Arial" w:hAnsi="Arial" w:cs="Arial"/>
          <w:sz w:val="20"/>
          <w:szCs w:val="20"/>
        </w:rPr>
        <w:t xml:space="preserve">was </w:t>
      </w:r>
      <w:r w:rsidR="00630F04">
        <w:rPr>
          <w:rFonts w:ascii="Arial" w:hAnsi="Arial" w:cs="Arial"/>
          <w:sz w:val="20"/>
          <w:szCs w:val="20"/>
        </w:rPr>
        <w:t>created</w:t>
      </w:r>
      <w:proofErr w:type="gramEnd"/>
      <w:r w:rsidR="00630F04" w:rsidRPr="002F1A33">
        <w:rPr>
          <w:rFonts w:ascii="Arial" w:hAnsi="Arial" w:cs="Arial"/>
          <w:sz w:val="20"/>
          <w:szCs w:val="20"/>
        </w:rPr>
        <w:t xml:space="preserve"> </w:t>
      </w:r>
      <w:r w:rsidR="00630F04">
        <w:rPr>
          <w:rFonts w:ascii="Arial" w:hAnsi="Arial" w:cs="Arial"/>
          <w:sz w:val="20"/>
          <w:szCs w:val="20"/>
        </w:rPr>
        <w:t>in</w:t>
      </w:r>
      <w:r w:rsidRPr="002F1A33">
        <w:rPr>
          <w:rFonts w:ascii="Arial" w:hAnsi="Arial" w:cs="Arial"/>
          <w:sz w:val="20"/>
          <w:szCs w:val="20"/>
        </w:rPr>
        <w:t xml:space="preserve"> consultation with Chinese business stakeholders and community roundtables. </w:t>
      </w: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r w:rsidRPr="002F1A33">
        <w:rPr>
          <w:rFonts w:ascii="Arial" w:hAnsi="Arial" w:cs="Arial"/>
          <w:sz w:val="20"/>
          <w:szCs w:val="20"/>
        </w:rPr>
        <w:t>The Strategy seeks to introduce the FWO to the Chinese speaking community and improve their understanding of workplace laws.  In particular</w:t>
      </w:r>
      <w:r w:rsidR="004912F7">
        <w:rPr>
          <w:rFonts w:ascii="Arial" w:hAnsi="Arial" w:cs="Arial"/>
          <w:sz w:val="20"/>
          <w:szCs w:val="20"/>
        </w:rPr>
        <w:t xml:space="preserve">, the strategy </w:t>
      </w:r>
      <w:r w:rsidRPr="002F1A33">
        <w:rPr>
          <w:rFonts w:ascii="Arial" w:hAnsi="Arial" w:cs="Arial"/>
          <w:sz w:val="20"/>
          <w:szCs w:val="20"/>
        </w:rPr>
        <w:t>aims to:</w:t>
      </w:r>
    </w:p>
    <w:p w:rsidR="002F1A33" w:rsidRPr="002F1A33" w:rsidRDefault="002F1A33" w:rsidP="00642E36">
      <w:pPr>
        <w:spacing w:after="0" w:line="240" w:lineRule="auto"/>
        <w:rPr>
          <w:rFonts w:ascii="Arial" w:hAnsi="Arial" w:cs="Arial"/>
          <w:sz w:val="20"/>
          <w:szCs w:val="20"/>
        </w:rPr>
      </w:pPr>
    </w:p>
    <w:p w:rsidR="002F1A33" w:rsidRPr="002F1A33" w:rsidRDefault="002B04FB" w:rsidP="00720938">
      <w:pPr>
        <w:numPr>
          <w:ilvl w:val="0"/>
          <w:numId w:val="34"/>
        </w:numPr>
        <w:spacing w:after="0" w:line="240" w:lineRule="auto"/>
        <w:contextualSpacing/>
        <w:rPr>
          <w:rFonts w:ascii="Arial" w:hAnsi="Arial" w:cs="Arial"/>
          <w:sz w:val="20"/>
          <w:szCs w:val="20"/>
        </w:rPr>
      </w:pPr>
      <w:r>
        <w:rPr>
          <w:rFonts w:ascii="Arial" w:hAnsi="Arial" w:cs="Arial"/>
          <w:sz w:val="20"/>
          <w:szCs w:val="20"/>
        </w:rPr>
        <w:t>P</w:t>
      </w:r>
      <w:r w:rsidR="002F1A33" w:rsidRPr="002F1A33">
        <w:rPr>
          <w:rFonts w:ascii="Arial" w:hAnsi="Arial" w:cs="Arial"/>
          <w:sz w:val="20"/>
          <w:szCs w:val="20"/>
        </w:rPr>
        <w:t>rovide the Chinese speaking community with information and education abou</w:t>
      </w:r>
      <w:r>
        <w:rPr>
          <w:rFonts w:ascii="Arial" w:hAnsi="Arial" w:cs="Arial"/>
          <w:sz w:val="20"/>
          <w:szCs w:val="20"/>
        </w:rPr>
        <w:t>t workplace issues in Australia.</w:t>
      </w:r>
    </w:p>
    <w:p w:rsidR="002F1A33" w:rsidRPr="002F1A33" w:rsidRDefault="002B04FB" w:rsidP="00720938">
      <w:pPr>
        <w:numPr>
          <w:ilvl w:val="0"/>
          <w:numId w:val="34"/>
        </w:numPr>
        <w:spacing w:after="0" w:line="240" w:lineRule="auto"/>
        <w:contextualSpacing/>
        <w:rPr>
          <w:rFonts w:ascii="Arial" w:hAnsi="Arial" w:cs="Arial"/>
          <w:sz w:val="20"/>
          <w:szCs w:val="20"/>
        </w:rPr>
      </w:pPr>
      <w:r>
        <w:rPr>
          <w:rFonts w:ascii="Arial" w:hAnsi="Arial" w:cs="Arial"/>
          <w:sz w:val="20"/>
          <w:szCs w:val="20"/>
        </w:rPr>
        <w:t>C</w:t>
      </w:r>
      <w:r w:rsidR="002F1A33" w:rsidRPr="002F1A33">
        <w:rPr>
          <w:rFonts w:ascii="Arial" w:hAnsi="Arial" w:cs="Arial"/>
          <w:sz w:val="20"/>
          <w:szCs w:val="20"/>
        </w:rPr>
        <w:t>reate a culture of compliance with workplace laws in the Chinese community.</w:t>
      </w:r>
    </w:p>
    <w:p w:rsid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The </w:t>
      </w:r>
      <w:proofErr w:type="gramStart"/>
      <w:r w:rsidRPr="002F1A33">
        <w:rPr>
          <w:rFonts w:ascii="Arial" w:hAnsi="Arial" w:cs="Arial"/>
          <w:sz w:val="20"/>
          <w:szCs w:val="20"/>
        </w:rPr>
        <w:t>Strategy was launched on 29 January 2016 by the Fair Work Ombudsman</w:t>
      </w:r>
      <w:r w:rsidR="00D26096">
        <w:rPr>
          <w:rFonts w:ascii="Arial" w:hAnsi="Arial" w:cs="Arial"/>
          <w:sz w:val="20"/>
          <w:szCs w:val="20"/>
        </w:rPr>
        <w:t>,</w:t>
      </w:r>
      <w:r w:rsidRPr="002F1A33">
        <w:rPr>
          <w:rFonts w:ascii="Arial" w:hAnsi="Arial" w:cs="Arial"/>
          <w:sz w:val="20"/>
          <w:szCs w:val="20"/>
        </w:rPr>
        <w:t xml:space="preserve"> Natalie James, together with prominent Chinese Community Leader, Mr Benjamin Chow AO, Life Member of the Australian Chinese Community Association, NSW Chapter</w:t>
      </w:r>
      <w:proofErr w:type="gramEnd"/>
      <w:r w:rsidRPr="002F1A33">
        <w:rPr>
          <w:rFonts w:ascii="Arial" w:hAnsi="Arial" w:cs="Arial"/>
          <w:sz w:val="20"/>
          <w:szCs w:val="20"/>
        </w:rPr>
        <w:t xml:space="preserve">. Key members of the Chinese community and media attended this event and were encouraged </w:t>
      </w:r>
      <w:r w:rsidR="00630F04">
        <w:rPr>
          <w:rFonts w:ascii="Arial" w:hAnsi="Arial" w:cs="Arial"/>
          <w:sz w:val="20"/>
          <w:szCs w:val="20"/>
        </w:rPr>
        <w:t xml:space="preserve">to collaborate </w:t>
      </w:r>
      <w:r w:rsidRPr="002F1A33">
        <w:rPr>
          <w:rFonts w:ascii="Arial" w:hAnsi="Arial" w:cs="Arial"/>
          <w:sz w:val="20"/>
          <w:szCs w:val="20"/>
        </w:rPr>
        <w:t xml:space="preserve">with FWO to promote the Strategy. </w:t>
      </w:r>
    </w:p>
    <w:p w:rsidR="002F1A33" w:rsidRDefault="002F1A33" w:rsidP="00642E36">
      <w:pPr>
        <w:spacing w:after="0" w:line="240" w:lineRule="auto"/>
        <w:rPr>
          <w:rFonts w:ascii="Arial" w:hAnsi="Arial" w:cs="Arial"/>
          <w:sz w:val="20"/>
          <w:szCs w:val="20"/>
        </w:rPr>
      </w:pPr>
    </w:p>
    <w:p w:rsidR="002F1A33" w:rsidRPr="00D75649" w:rsidRDefault="002F1A33" w:rsidP="00D75649">
      <w:pPr>
        <w:pStyle w:val="Header"/>
        <w:rPr>
          <w:rFonts w:ascii="Arial" w:hAnsi="Arial" w:cs="Arial"/>
          <w:b/>
          <w:i/>
          <w:color w:val="4BACC6" w:themeColor="accent5"/>
        </w:rPr>
      </w:pPr>
      <w:r w:rsidRPr="00630F04">
        <w:rPr>
          <w:rFonts w:ascii="Arial" w:hAnsi="Arial" w:cs="Arial"/>
          <w:sz w:val="20"/>
          <w:szCs w:val="20"/>
        </w:rPr>
        <w:t>The Strategy involves ongoing engagement wit</w:t>
      </w:r>
      <w:r w:rsidRPr="00D75649">
        <w:rPr>
          <w:rFonts w:ascii="Arial" w:hAnsi="Arial" w:cs="Arial"/>
          <w:sz w:val="20"/>
          <w:szCs w:val="20"/>
        </w:rPr>
        <w:t xml:space="preserve">h influential community organisations, the development of tailored and specific educative resources and ongoing communication with the Chinese community, including in-language media. All Chinese language resources are </w:t>
      </w:r>
      <w:r w:rsidR="004912F7" w:rsidRPr="00D75649">
        <w:rPr>
          <w:rFonts w:ascii="Arial" w:hAnsi="Arial" w:cs="Arial"/>
          <w:sz w:val="20"/>
          <w:szCs w:val="20"/>
        </w:rPr>
        <w:t>available</w:t>
      </w:r>
      <w:r w:rsidRPr="00D75649">
        <w:rPr>
          <w:rFonts w:ascii="Arial" w:hAnsi="Arial" w:cs="Arial"/>
          <w:sz w:val="20"/>
          <w:szCs w:val="20"/>
        </w:rPr>
        <w:t xml:space="preserve"> on fairwork.gov.au.</w:t>
      </w: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F80344" w:rsidRPr="002F1A33" w:rsidRDefault="00F80344" w:rsidP="00642E36">
      <w:pPr>
        <w:spacing w:after="0" w:line="240" w:lineRule="auto"/>
        <w:rPr>
          <w:rFonts w:ascii="Arial" w:hAnsi="Arial" w:cs="Arial"/>
          <w:sz w:val="20"/>
          <w:szCs w:val="20"/>
        </w:rPr>
      </w:pPr>
    </w:p>
    <w:p w:rsidR="009B39EB" w:rsidRPr="002F1A33" w:rsidRDefault="009B39EB" w:rsidP="00642E36">
      <w:pPr>
        <w:spacing w:after="0" w:line="240" w:lineRule="auto"/>
        <w:rPr>
          <w:rFonts w:ascii="Arial" w:hAnsi="Arial" w:cs="Arial"/>
          <w:sz w:val="20"/>
          <w:szCs w:val="20"/>
        </w:rPr>
      </w:pPr>
    </w:p>
    <w:p w:rsidR="004322A4" w:rsidRPr="002F1A33" w:rsidRDefault="007C45BB" w:rsidP="00642E36">
      <w:pPr>
        <w:pStyle w:val="Heading2"/>
        <w:spacing w:before="0" w:line="240" w:lineRule="auto"/>
        <w:rPr>
          <w:rFonts w:ascii="Myriad Pro" w:hAnsi="Myriad Pro"/>
          <w:b w:val="0"/>
          <w:color w:val="31849B" w:themeColor="accent5" w:themeShade="BF"/>
        </w:rPr>
      </w:pPr>
      <w:bookmarkStart w:id="27" w:name="_Toc460917319"/>
      <w:r>
        <w:rPr>
          <w:rFonts w:ascii="Myriad Pro" w:hAnsi="Myriad Pro"/>
          <w:b w:val="0"/>
          <w:color w:val="31849B" w:themeColor="accent5" w:themeShade="BF"/>
        </w:rPr>
        <w:lastRenderedPageBreak/>
        <w:t>Case study</w:t>
      </w:r>
      <w:r w:rsidR="004322A4" w:rsidRPr="002F1A33">
        <w:rPr>
          <w:rFonts w:ascii="Myriad Pro" w:hAnsi="Myriad Pro"/>
          <w:b w:val="0"/>
          <w:color w:val="31849B" w:themeColor="accent5" w:themeShade="BF"/>
        </w:rPr>
        <w:t xml:space="preserve"> 3</w:t>
      </w:r>
      <w:bookmarkEnd w:id="27"/>
    </w:p>
    <w:p w:rsidR="002F1A33" w:rsidRDefault="002F1A33" w:rsidP="00642E36">
      <w:pPr>
        <w:spacing w:after="0" w:line="240" w:lineRule="auto"/>
        <w:rPr>
          <w:rFonts w:ascii="Myriad Pro" w:hAnsi="Myriad Pro" w:cs="Arial"/>
          <w:i/>
          <w:color w:val="31849B" w:themeColor="accent5" w:themeShade="BF"/>
          <w:sz w:val="24"/>
          <w:szCs w:val="24"/>
        </w:rPr>
      </w:pPr>
    </w:p>
    <w:p w:rsidR="002F1A33" w:rsidRPr="002F1A33" w:rsidRDefault="002F1A33" w:rsidP="00642E36">
      <w:pPr>
        <w:spacing w:after="0" w:line="240" w:lineRule="auto"/>
        <w:rPr>
          <w:rFonts w:ascii="Myriad Pro" w:hAnsi="Myriad Pro" w:cs="Arial"/>
          <w:i/>
          <w:color w:val="31849B" w:themeColor="accent5" w:themeShade="BF"/>
          <w:sz w:val="24"/>
          <w:szCs w:val="24"/>
        </w:rPr>
      </w:pPr>
      <w:r w:rsidRPr="002F1A33">
        <w:rPr>
          <w:rFonts w:ascii="Myriad Pro" w:hAnsi="Myriad Pro" w:cs="Arial"/>
          <w:i/>
          <w:color w:val="31849B" w:themeColor="accent5" w:themeShade="BF"/>
          <w:sz w:val="24"/>
          <w:szCs w:val="24"/>
        </w:rPr>
        <w:t>Compliance Partnerships</w:t>
      </w:r>
    </w:p>
    <w:p w:rsidR="002F1A33" w:rsidRDefault="002F1A33" w:rsidP="00642E36">
      <w:pPr>
        <w:spacing w:after="0" w:line="240" w:lineRule="auto"/>
        <w:rPr>
          <w:rFonts w:ascii="Myriad Pro" w:hAnsi="Myriad Pro" w:cs="Arial"/>
          <w:i/>
          <w:color w:val="31849B" w:themeColor="accent5" w:themeShade="BF"/>
          <w:sz w:val="24"/>
          <w:szCs w:val="24"/>
        </w:rPr>
      </w:pPr>
    </w:p>
    <w:p w:rsidR="002F1A33" w:rsidRDefault="002F1A33" w:rsidP="00642E36">
      <w:pPr>
        <w:spacing w:after="0" w:line="240" w:lineRule="auto"/>
        <w:rPr>
          <w:rFonts w:ascii="Arial" w:hAnsi="Arial" w:cs="Arial"/>
          <w:sz w:val="20"/>
          <w:szCs w:val="20"/>
        </w:rPr>
      </w:pPr>
      <w:r w:rsidRPr="002F1A33">
        <w:rPr>
          <w:rFonts w:ascii="Arial" w:hAnsi="Arial" w:cs="Arial"/>
          <w:sz w:val="20"/>
          <w:szCs w:val="20"/>
        </w:rPr>
        <w:t>Compliance partnerships are another way the FWO is making it easier for regulated entities to comply with their obligations by:</w:t>
      </w:r>
    </w:p>
    <w:p w:rsidR="002F1A33" w:rsidRPr="002F1A33" w:rsidRDefault="002F1A33" w:rsidP="00642E36">
      <w:pPr>
        <w:spacing w:after="0" w:line="240" w:lineRule="auto"/>
        <w:rPr>
          <w:rFonts w:ascii="Arial" w:hAnsi="Arial" w:cs="Arial"/>
          <w:sz w:val="20"/>
          <w:szCs w:val="20"/>
        </w:rPr>
      </w:pPr>
    </w:p>
    <w:p w:rsidR="002F1A33" w:rsidRPr="002F1A33" w:rsidRDefault="002B04FB" w:rsidP="00720938">
      <w:pPr>
        <w:numPr>
          <w:ilvl w:val="0"/>
          <w:numId w:val="35"/>
        </w:numPr>
        <w:spacing w:after="0" w:line="240" w:lineRule="auto"/>
        <w:contextualSpacing/>
        <w:rPr>
          <w:rFonts w:ascii="Arial" w:hAnsi="Arial" w:cs="Arial"/>
          <w:sz w:val="20"/>
          <w:szCs w:val="20"/>
        </w:rPr>
      </w:pPr>
      <w:r>
        <w:rPr>
          <w:rFonts w:ascii="Arial" w:hAnsi="Arial" w:cs="Arial"/>
          <w:sz w:val="20"/>
          <w:szCs w:val="20"/>
        </w:rPr>
        <w:t>P</w:t>
      </w:r>
      <w:r w:rsidR="002F1A33" w:rsidRPr="002F1A33">
        <w:rPr>
          <w:rFonts w:ascii="Arial" w:hAnsi="Arial" w:cs="Arial"/>
          <w:sz w:val="20"/>
          <w:szCs w:val="20"/>
        </w:rPr>
        <w:t>roviding a process for self-resolving compliance issues with our assistance</w:t>
      </w:r>
      <w:r>
        <w:rPr>
          <w:rFonts w:ascii="Arial" w:hAnsi="Arial" w:cs="Arial"/>
          <w:sz w:val="20"/>
          <w:szCs w:val="20"/>
        </w:rPr>
        <w:t>.</w:t>
      </w:r>
    </w:p>
    <w:p w:rsidR="002F1A33" w:rsidRPr="002F1A33" w:rsidRDefault="002B04FB" w:rsidP="00720938">
      <w:pPr>
        <w:numPr>
          <w:ilvl w:val="0"/>
          <w:numId w:val="35"/>
        </w:numPr>
        <w:spacing w:after="0" w:line="240" w:lineRule="auto"/>
        <w:contextualSpacing/>
        <w:rPr>
          <w:rFonts w:ascii="Arial" w:hAnsi="Arial" w:cs="Arial"/>
          <w:sz w:val="20"/>
          <w:szCs w:val="20"/>
        </w:rPr>
      </w:pPr>
      <w:r>
        <w:rPr>
          <w:rFonts w:ascii="Arial" w:hAnsi="Arial" w:cs="Arial"/>
          <w:sz w:val="20"/>
          <w:szCs w:val="20"/>
        </w:rPr>
        <w:t>U</w:t>
      </w:r>
      <w:r w:rsidR="002F1A33" w:rsidRPr="002F1A33">
        <w:rPr>
          <w:rFonts w:ascii="Arial" w:hAnsi="Arial" w:cs="Arial"/>
          <w:sz w:val="20"/>
          <w:szCs w:val="20"/>
        </w:rPr>
        <w:t>sing an informal resolution method that is simple and proportionate where errors are inadvertent or where the employer is willing to become compliant</w:t>
      </w:r>
      <w:r>
        <w:rPr>
          <w:rFonts w:ascii="Arial" w:hAnsi="Arial" w:cs="Arial"/>
          <w:sz w:val="20"/>
          <w:szCs w:val="20"/>
        </w:rPr>
        <w:t>.</w:t>
      </w:r>
    </w:p>
    <w:p w:rsidR="002F1A33" w:rsidRPr="002F1A33" w:rsidRDefault="002B04FB" w:rsidP="00720938">
      <w:pPr>
        <w:numPr>
          <w:ilvl w:val="0"/>
          <w:numId w:val="35"/>
        </w:numPr>
        <w:spacing w:after="0" w:line="240" w:lineRule="auto"/>
        <w:contextualSpacing/>
        <w:rPr>
          <w:rFonts w:ascii="Arial" w:hAnsi="Arial" w:cs="Arial"/>
          <w:sz w:val="20"/>
          <w:szCs w:val="20"/>
        </w:rPr>
      </w:pPr>
      <w:r>
        <w:rPr>
          <w:rFonts w:ascii="Arial" w:hAnsi="Arial" w:cs="Arial"/>
          <w:sz w:val="20"/>
          <w:szCs w:val="20"/>
        </w:rPr>
        <w:t>H</w:t>
      </w:r>
      <w:r w:rsidR="002F1A33" w:rsidRPr="002F1A33">
        <w:rPr>
          <w:rFonts w:ascii="Arial" w:hAnsi="Arial" w:cs="Arial"/>
          <w:sz w:val="20"/>
          <w:szCs w:val="20"/>
        </w:rPr>
        <w:t>elping to resolve potential disputes before they turn into a matter for formal investigation or litigation</w:t>
      </w:r>
      <w:r>
        <w:rPr>
          <w:rFonts w:ascii="Arial" w:hAnsi="Arial" w:cs="Arial"/>
          <w:sz w:val="20"/>
          <w:szCs w:val="20"/>
        </w:rPr>
        <w:t>.</w:t>
      </w:r>
    </w:p>
    <w:p w:rsidR="002F1A33" w:rsidRPr="002F1A33" w:rsidRDefault="002B04FB" w:rsidP="00720938">
      <w:pPr>
        <w:numPr>
          <w:ilvl w:val="0"/>
          <w:numId w:val="35"/>
        </w:numPr>
        <w:spacing w:after="0" w:line="240" w:lineRule="auto"/>
        <w:contextualSpacing/>
        <w:rPr>
          <w:rFonts w:ascii="Arial" w:hAnsi="Arial" w:cs="Arial"/>
          <w:sz w:val="20"/>
          <w:szCs w:val="20"/>
        </w:rPr>
      </w:pPr>
      <w:r>
        <w:rPr>
          <w:rFonts w:ascii="Arial" w:hAnsi="Arial" w:cs="Arial"/>
          <w:sz w:val="20"/>
          <w:szCs w:val="20"/>
        </w:rPr>
        <w:t>P</w:t>
      </w:r>
      <w:r w:rsidR="002F1A33" w:rsidRPr="002F1A33">
        <w:rPr>
          <w:rFonts w:ascii="Arial" w:hAnsi="Arial" w:cs="Arial"/>
          <w:sz w:val="20"/>
          <w:szCs w:val="20"/>
        </w:rPr>
        <w:t>roactively identifying and remedying systemic non-compliance before it becomes an intractable or public issue</w:t>
      </w:r>
      <w:r>
        <w:rPr>
          <w:rFonts w:ascii="Arial" w:hAnsi="Arial" w:cs="Arial"/>
          <w:sz w:val="20"/>
          <w:szCs w:val="20"/>
        </w:rPr>
        <w:t>.</w:t>
      </w:r>
    </w:p>
    <w:p w:rsidR="002F1A33" w:rsidRPr="002F1A33" w:rsidRDefault="002B04FB" w:rsidP="00720938">
      <w:pPr>
        <w:numPr>
          <w:ilvl w:val="0"/>
          <w:numId w:val="35"/>
        </w:numPr>
        <w:spacing w:after="0" w:line="240" w:lineRule="auto"/>
        <w:contextualSpacing/>
        <w:rPr>
          <w:rFonts w:ascii="Arial" w:hAnsi="Arial" w:cs="Arial"/>
          <w:sz w:val="20"/>
          <w:szCs w:val="20"/>
        </w:rPr>
      </w:pPr>
      <w:r>
        <w:rPr>
          <w:rFonts w:ascii="Arial" w:hAnsi="Arial" w:cs="Arial"/>
          <w:sz w:val="20"/>
          <w:szCs w:val="20"/>
        </w:rPr>
        <w:t>P</w:t>
      </w:r>
      <w:r w:rsidR="002F1A33" w:rsidRPr="002F1A33">
        <w:rPr>
          <w:rFonts w:ascii="Arial" w:hAnsi="Arial" w:cs="Arial"/>
          <w:sz w:val="20"/>
          <w:szCs w:val="20"/>
        </w:rPr>
        <w:t>roviding targeted education based on understanding where contraventions occur</w:t>
      </w:r>
      <w:r>
        <w:rPr>
          <w:rFonts w:ascii="Arial" w:hAnsi="Arial" w:cs="Arial"/>
          <w:sz w:val="20"/>
          <w:szCs w:val="20"/>
        </w:rPr>
        <w:t>.</w:t>
      </w:r>
    </w:p>
    <w:p w:rsidR="002F1A33" w:rsidRPr="002F1A33" w:rsidRDefault="002B04FB" w:rsidP="00720938">
      <w:pPr>
        <w:numPr>
          <w:ilvl w:val="0"/>
          <w:numId w:val="35"/>
        </w:numPr>
        <w:spacing w:after="0" w:line="240" w:lineRule="auto"/>
        <w:contextualSpacing/>
        <w:rPr>
          <w:rFonts w:ascii="Arial" w:hAnsi="Arial" w:cs="Arial"/>
          <w:sz w:val="20"/>
          <w:szCs w:val="20"/>
        </w:rPr>
      </w:pPr>
      <w:r>
        <w:rPr>
          <w:rFonts w:ascii="Arial" w:hAnsi="Arial" w:cs="Arial"/>
          <w:sz w:val="20"/>
          <w:szCs w:val="20"/>
        </w:rPr>
        <w:t>P</w:t>
      </w:r>
      <w:r w:rsidR="002F1A33" w:rsidRPr="002F1A33">
        <w:rPr>
          <w:rFonts w:ascii="Arial" w:hAnsi="Arial" w:cs="Arial"/>
          <w:sz w:val="20"/>
          <w:szCs w:val="20"/>
        </w:rPr>
        <w:t xml:space="preserve">roviding for regular stakeholder engagement with </w:t>
      </w:r>
      <w:r w:rsidR="004912F7">
        <w:rPr>
          <w:rFonts w:ascii="Arial" w:hAnsi="Arial" w:cs="Arial"/>
          <w:sz w:val="20"/>
          <w:szCs w:val="20"/>
        </w:rPr>
        <w:t xml:space="preserve">the </w:t>
      </w:r>
      <w:r w:rsidR="002F1A33" w:rsidRPr="002F1A33">
        <w:rPr>
          <w:rFonts w:ascii="Arial" w:hAnsi="Arial" w:cs="Arial"/>
          <w:sz w:val="20"/>
          <w:szCs w:val="20"/>
        </w:rPr>
        <w:t>FWO</w:t>
      </w:r>
      <w:r w:rsidR="00720938">
        <w:rPr>
          <w:rFonts w:ascii="Arial" w:hAnsi="Arial" w:cs="Arial"/>
          <w:sz w:val="20"/>
          <w:szCs w:val="20"/>
        </w:rPr>
        <w:t>.</w:t>
      </w:r>
      <w:r w:rsidR="002F1A33" w:rsidRPr="002F1A33">
        <w:rPr>
          <w:rFonts w:ascii="Arial" w:hAnsi="Arial" w:cs="Arial"/>
          <w:sz w:val="20"/>
          <w:szCs w:val="20"/>
        </w:rPr>
        <w:t xml:space="preserve">                                                                                                                                                                                                                                                                                                                                                                                                                                  </w:t>
      </w:r>
    </w:p>
    <w:p w:rsidR="002F1A33" w:rsidRP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In November 2013, the FWO commenced an Inquiry into Baiada</w:t>
      </w:r>
      <w:r w:rsidR="00630F04">
        <w:rPr>
          <w:rFonts w:ascii="Arial" w:hAnsi="Arial" w:cs="Arial"/>
          <w:sz w:val="20"/>
          <w:szCs w:val="20"/>
        </w:rPr>
        <w:t xml:space="preserve"> </w:t>
      </w:r>
      <w:r w:rsidR="00D43369">
        <w:rPr>
          <w:rFonts w:ascii="Arial" w:hAnsi="Arial" w:cs="Arial"/>
          <w:sz w:val="20"/>
          <w:szCs w:val="20"/>
        </w:rPr>
        <w:t>Poultr</w:t>
      </w:r>
      <w:r w:rsidR="00D43369" w:rsidRPr="002F1A33">
        <w:rPr>
          <w:rFonts w:ascii="Arial" w:hAnsi="Arial" w:cs="Arial"/>
          <w:sz w:val="20"/>
          <w:szCs w:val="20"/>
        </w:rPr>
        <w:t>y’s</w:t>
      </w:r>
      <w:r w:rsidRPr="002F1A33">
        <w:rPr>
          <w:rFonts w:ascii="Arial" w:hAnsi="Arial" w:cs="Arial"/>
          <w:sz w:val="20"/>
          <w:szCs w:val="20"/>
        </w:rPr>
        <w:t xml:space="preserve"> labour procurement processes at its three New South Wales sites. The Inquiry </w:t>
      </w:r>
      <w:proofErr w:type="gramStart"/>
      <w:r w:rsidRPr="002F1A33">
        <w:rPr>
          <w:rFonts w:ascii="Arial" w:hAnsi="Arial" w:cs="Arial"/>
          <w:sz w:val="20"/>
          <w:szCs w:val="20"/>
        </w:rPr>
        <w:t>was conducted</w:t>
      </w:r>
      <w:proofErr w:type="gramEnd"/>
      <w:r w:rsidRPr="002F1A33">
        <w:rPr>
          <w:rFonts w:ascii="Arial" w:hAnsi="Arial" w:cs="Arial"/>
          <w:sz w:val="20"/>
          <w:szCs w:val="20"/>
        </w:rPr>
        <w:t xml:space="preserve"> following allegations raised on the ABC's </w:t>
      </w:r>
      <w:proofErr w:type="spellStart"/>
      <w:r w:rsidRPr="002F1A33">
        <w:rPr>
          <w:rFonts w:ascii="Arial" w:hAnsi="Arial" w:cs="Arial"/>
          <w:sz w:val="20"/>
          <w:szCs w:val="20"/>
        </w:rPr>
        <w:t>Lateline</w:t>
      </w:r>
      <w:proofErr w:type="spellEnd"/>
      <w:r w:rsidRPr="002F1A33">
        <w:rPr>
          <w:rFonts w:ascii="Arial" w:hAnsi="Arial" w:cs="Arial"/>
          <w:sz w:val="20"/>
          <w:szCs w:val="20"/>
        </w:rPr>
        <w:t xml:space="preserve"> program in October 2013 concerning the employment practices within Baiada's labour supply-chain at its Beresfield site.</w:t>
      </w: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r w:rsidRPr="002F1A33">
        <w:rPr>
          <w:rFonts w:ascii="Arial" w:hAnsi="Arial" w:cs="Arial"/>
          <w:sz w:val="20"/>
          <w:szCs w:val="20"/>
        </w:rPr>
        <w:t>The Inquiry led Baiada to implementing changes to its contracting and subcontracting arrangements to ensure that workers at their processing sites receive the</w:t>
      </w:r>
      <w:r w:rsidR="00D26096">
        <w:rPr>
          <w:rFonts w:ascii="Arial" w:hAnsi="Arial" w:cs="Arial"/>
          <w:sz w:val="20"/>
          <w:szCs w:val="20"/>
        </w:rPr>
        <w:t>ir</w:t>
      </w:r>
      <w:r w:rsidRPr="002F1A33">
        <w:rPr>
          <w:rFonts w:ascii="Arial" w:hAnsi="Arial" w:cs="Arial"/>
          <w:sz w:val="20"/>
          <w:szCs w:val="20"/>
        </w:rPr>
        <w:t xml:space="preserve"> correct wages and entitlements under Commonwealth workplace laws.</w:t>
      </w:r>
    </w:p>
    <w:p w:rsidR="002F1A33" w:rsidRP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On 23 October 2015, Baiada signed a compliance partnership with the FWO, taking on greater responsibility for workers engaged at their processing sites. The nature and terms of the compliance partnership </w:t>
      </w:r>
      <w:proofErr w:type="gramStart"/>
      <w:r w:rsidRPr="002F1A33">
        <w:rPr>
          <w:rFonts w:ascii="Arial" w:hAnsi="Arial" w:cs="Arial"/>
          <w:sz w:val="20"/>
          <w:szCs w:val="20"/>
        </w:rPr>
        <w:t>were detailed</w:t>
      </w:r>
      <w:proofErr w:type="gramEnd"/>
      <w:r w:rsidRPr="002F1A33">
        <w:rPr>
          <w:rFonts w:ascii="Arial" w:hAnsi="Arial" w:cs="Arial"/>
          <w:sz w:val="20"/>
          <w:szCs w:val="20"/>
        </w:rPr>
        <w:t xml:space="preserve"> in the Proactive Compliance Deed (</w:t>
      </w:r>
      <w:proofErr w:type="spellStart"/>
      <w:r w:rsidRPr="002F1A33">
        <w:rPr>
          <w:rFonts w:ascii="Arial" w:hAnsi="Arial" w:cs="Arial"/>
          <w:sz w:val="20"/>
          <w:szCs w:val="20"/>
        </w:rPr>
        <w:t>PCD</w:t>
      </w:r>
      <w:proofErr w:type="spellEnd"/>
      <w:r w:rsidRPr="002F1A33">
        <w:rPr>
          <w:rFonts w:ascii="Arial" w:hAnsi="Arial" w:cs="Arial"/>
          <w:sz w:val="20"/>
          <w:szCs w:val="20"/>
        </w:rPr>
        <w:t xml:space="preserve">) executed by both parties. </w:t>
      </w:r>
    </w:p>
    <w:p w:rsid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The </w:t>
      </w:r>
      <w:proofErr w:type="spellStart"/>
      <w:r w:rsidRPr="002F1A33">
        <w:rPr>
          <w:rFonts w:ascii="Arial" w:hAnsi="Arial" w:cs="Arial"/>
          <w:sz w:val="20"/>
          <w:szCs w:val="20"/>
        </w:rPr>
        <w:t>PCD</w:t>
      </w:r>
      <w:proofErr w:type="spellEnd"/>
      <w:r w:rsidRPr="002F1A33">
        <w:rPr>
          <w:rFonts w:ascii="Arial" w:hAnsi="Arial" w:cs="Arial"/>
          <w:sz w:val="20"/>
          <w:szCs w:val="20"/>
        </w:rPr>
        <w:t xml:space="preserve"> details the terms of the </w:t>
      </w:r>
      <w:r w:rsidR="004912F7" w:rsidRPr="002F1A33">
        <w:rPr>
          <w:rFonts w:ascii="Arial" w:hAnsi="Arial" w:cs="Arial"/>
          <w:sz w:val="20"/>
          <w:szCs w:val="20"/>
        </w:rPr>
        <w:t>partnership, which</w:t>
      </w:r>
      <w:r w:rsidRPr="002F1A33">
        <w:rPr>
          <w:rFonts w:ascii="Arial" w:hAnsi="Arial" w:cs="Arial"/>
          <w:sz w:val="20"/>
          <w:szCs w:val="20"/>
        </w:rPr>
        <w:t xml:space="preserve"> ensures that the company and the contractors supplying workers on its sites fully comply with all workplace laws. </w:t>
      </w:r>
    </w:p>
    <w:p w:rsidR="00970593" w:rsidRDefault="00970593" w:rsidP="00970593">
      <w:pPr>
        <w:pStyle w:val="Heade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In addition to these measures, Baiada has committed to providing the FWO </w:t>
      </w:r>
      <w:r w:rsidR="000C60F2">
        <w:rPr>
          <w:rFonts w:ascii="Arial" w:hAnsi="Arial" w:cs="Arial"/>
          <w:sz w:val="20"/>
          <w:szCs w:val="20"/>
        </w:rPr>
        <w:t xml:space="preserve">with </w:t>
      </w:r>
      <w:r w:rsidRPr="002F1A33">
        <w:rPr>
          <w:rFonts w:ascii="Arial" w:hAnsi="Arial" w:cs="Arial"/>
          <w:sz w:val="20"/>
          <w:szCs w:val="20"/>
        </w:rPr>
        <w:t>copies of all written contracts entered into with each contractor, as well as written certification from each contractor stating that they have understood their statutory and contractual obligations, to comply with workplace laws.</w:t>
      </w:r>
    </w:p>
    <w:p w:rsidR="002F1A33" w:rsidRPr="002F1A33" w:rsidRDefault="004912F7" w:rsidP="00642E36">
      <w:pPr>
        <w:spacing w:after="0" w:line="240" w:lineRule="auto"/>
        <w:rPr>
          <w:rFonts w:ascii="Arial" w:hAnsi="Arial" w:cs="Arial"/>
          <w:sz w:val="20"/>
          <w:szCs w:val="20"/>
        </w:rPr>
      </w:pPr>
      <w:r>
        <w:rPr>
          <w:rFonts w:ascii="Arial" w:hAnsi="Arial" w:cs="Arial"/>
          <w:sz w:val="20"/>
          <w:szCs w:val="20"/>
        </w:rPr>
        <w:t xml:space="preserve">A copy of the </w:t>
      </w:r>
      <w:proofErr w:type="spellStart"/>
      <w:r>
        <w:rPr>
          <w:rFonts w:ascii="Arial" w:hAnsi="Arial" w:cs="Arial"/>
          <w:sz w:val="20"/>
          <w:szCs w:val="20"/>
        </w:rPr>
        <w:t>PCD</w:t>
      </w:r>
      <w:proofErr w:type="spellEnd"/>
      <w:r>
        <w:rPr>
          <w:rFonts w:ascii="Arial" w:hAnsi="Arial" w:cs="Arial"/>
          <w:sz w:val="20"/>
          <w:szCs w:val="20"/>
        </w:rPr>
        <w:t xml:space="preserve"> and other information about the compliance partnership are available</w:t>
      </w:r>
      <w:r w:rsidR="002F1A33" w:rsidRPr="002F1A33">
        <w:rPr>
          <w:rFonts w:ascii="Arial" w:hAnsi="Arial" w:cs="Arial"/>
          <w:sz w:val="20"/>
          <w:szCs w:val="20"/>
        </w:rPr>
        <w:t xml:space="preserve"> on </w:t>
      </w:r>
      <w:r w:rsidR="000C60F2">
        <w:rPr>
          <w:rFonts w:ascii="Arial" w:hAnsi="Arial" w:cs="Arial"/>
          <w:sz w:val="20"/>
          <w:szCs w:val="20"/>
        </w:rPr>
        <w:t>www.</w:t>
      </w:r>
      <w:r w:rsidR="002F1A33" w:rsidRPr="002F1A33">
        <w:rPr>
          <w:rFonts w:ascii="Arial" w:hAnsi="Arial" w:cs="Arial"/>
          <w:sz w:val="20"/>
          <w:szCs w:val="20"/>
        </w:rPr>
        <w:t xml:space="preserve">fairwork.gov.au.   </w:t>
      </w: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br w:type="page"/>
      </w:r>
    </w:p>
    <w:p w:rsidR="004322A4" w:rsidRPr="002F1A33" w:rsidRDefault="007C45BB" w:rsidP="00642E36">
      <w:pPr>
        <w:pStyle w:val="Heading2"/>
        <w:spacing w:before="0" w:line="240" w:lineRule="auto"/>
        <w:rPr>
          <w:rFonts w:ascii="Myriad Pro" w:hAnsi="Myriad Pro"/>
          <w:b w:val="0"/>
          <w:color w:val="31849B" w:themeColor="accent5" w:themeShade="BF"/>
        </w:rPr>
      </w:pPr>
      <w:bookmarkStart w:id="28" w:name="_Toc460917320"/>
      <w:r>
        <w:rPr>
          <w:rFonts w:ascii="Myriad Pro" w:hAnsi="Myriad Pro"/>
          <w:b w:val="0"/>
          <w:color w:val="31849B" w:themeColor="accent5" w:themeShade="BF"/>
        </w:rPr>
        <w:lastRenderedPageBreak/>
        <w:t>Case study</w:t>
      </w:r>
      <w:r w:rsidR="004322A4" w:rsidRPr="002F1A33">
        <w:rPr>
          <w:rFonts w:ascii="Myriad Pro" w:hAnsi="Myriad Pro"/>
          <w:b w:val="0"/>
          <w:color w:val="31849B" w:themeColor="accent5" w:themeShade="BF"/>
        </w:rPr>
        <w:t xml:space="preserve"> 4</w:t>
      </w:r>
      <w:bookmarkEnd w:id="28"/>
    </w:p>
    <w:p w:rsidR="002F1A33" w:rsidRDefault="002F1A33" w:rsidP="00642E36">
      <w:pPr>
        <w:spacing w:after="0" w:line="240" w:lineRule="auto"/>
        <w:rPr>
          <w:rFonts w:ascii="Myriad Pro" w:hAnsi="Myriad Pro" w:cs="Arial"/>
          <w:i/>
          <w:color w:val="31849B" w:themeColor="accent5" w:themeShade="BF"/>
          <w:sz w:val="24"/>
          <w:szCs w:val="24"/>
        </w:rPr>
      </w:pPr>
    </w:p>
    <w:p w:rsidR="002F1A33" w:rsidRPr="002F1A33" w:rsidRDefault="002F1A33" w:rsidP="00642E36">
      <w:pPr>
        <w:spacing w:after="0" w:line="240" w:lineRule="auto"/>
        <w:rPr>
          <w:rFonts w:ascii="Myriad Pro" w:hAnsi="Myriad Pro" w:cs="Arial"/>
          <w:i/>
          <w:color w:val="31849B" w:themeColor="accent5" w:themeShade="BF"/>
          <w:sz w:val="24"/>
          <w:szCs w:val="24"/>
        </w:rPr>
      </w:pPr>
      <w:r w:rsidRPr="002F1A33">
        <w:rPr>
          <w:rFonts w:ascii="Myriad Pro" w:hAnsi="Myriad Pro" w:cs="Arial"/>
          <w:i/>
          <w:color w:val="31849B" w:themeColor="accent5" w:themeShade="BF"/>
          <w:sz w:val="24"/>
          <w:szCs w:val="24"/>
        </w:rPr>
        <w:t>Health Care &amp; Social Assistance Campaign 2015-16</w:t>
      </w:r>
    </w:p>
    <w:p w:rsidR="004322A4" w:rsidRPr="002F1A33" w:rsidRDefault="004322A4" w:rsidP="00642E36">
      <w:pPr>
        <w:spacing w:after="0" w:line="240" w:lineRule="auto"/>
        <w:rPr>
          <w:rFonts w:ascii="Myriad Pro" w:hAnsi="Myriad Pro" w:cs="Arial"/>
          <w:i/>
          <w:color w:val="31849B" w:themeColor="accent5" w:themeShade="BF"/>
          <w:sz w:val="24"/>
          <w:szCs w:val="24"/>
        </w:rPr>
      </w:pPr>
    </w:p>
    <w:p w:rsidR="002F1A33" w:rsidRDefault="002F1A33" w:rsidP="00642E36">
      <w:pPr>
        <w:pStyle w:val="ListParagraph"/>
        <w:spacing w:after="0" w:line="240" w:lineRule="auto"/>
        <w:ind w:left="0"/>
        <w:rPr>
          <w:rFonts w:ascii="Arial" w:hAnsi="Arial" w:cs="Arial"/>
          <w:sz w:val="20"/>
          <w:szCs w:val="20"/>
        </w:rPr>
      </w:pPr>
      <w:r w:rsidRPr="002F1A33">
        <w:rPr>
          <w:rFonts w:ascii="Arial" w:hAnsi="Arial" w:cs="Arial"/>
          <w:sz w:val="20"/>
          <w:szCs w:val="20"/>
        </w:rPr>
        <w:t>Campaign work allows the FWO to understand its impact across sectors of the community, and changes to compliance behaviours.</w:t>
      </w:r>
      <w:r w:rsidR="00237E7E">
        <w:rPr>
          <w:rFonts w:ascii="Arial" w:hAnsi="Arial" w:cs="Arial"/>
          <w:sz w:val="20"/>
          <w:szCs w:val="20"/>
        </w:rPr>
        <w:t xml:space="preserve"> The</w:t>
      </w:r>
      <w:r w:rsidRPr="002F1A33">
        <w:rPr>
          <w:rFonts w:ascii="Arial" w:hAnsi="Arial" w:cs="Arial"/>
          <w:sz w:val="20"/>
          <w:szCs w:val="20"/>
        </w:rPr>
        <w:t xml:space="preserve"> FWO continues to evaluate its work and report on campaign activities.</w:t>
      </w:r>
    </w:p>
    <w:p w:rsidR="002F1A33" w:rsidRPr="002F1A33" w:rsidRDefault="002F1A33" w:rsidP="00642E36">
      <w:pPr>
        <w:pStyle w:val="ListParagraph"/>
        <w:spacing w:after="0" w:line="240" w:lineRule="auto"/>
        <w:ind w:left="0"/>
        <w:rPr>
          <w:rFonts w:ascii="Arial" w:hAnsi="Arial" w:cs="Arial"/>
          <w:sz w:val="20"/>
          <w:szCs w:val="20"/>
        </w:rPr>
      </w:pPr>
    </w:p>
    <w:p w:rsid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The National Health Care &amp; Social Assistance Campaign 2015-16 commenced in November 2015. The decision to initiate </w:t>
      </w:r>
      <w:r w:rsidR="004912F7">
        <w:rPr>
          <w:rFonts w:ascii="Arial" w:hAnsi="Arial" w:cs="Arial"/>
          <w:sz w:val="20"/>
          <w:szCs w:val="20"/>
        </w:rPr>
        <w:t xml:space="preserve">the campaign </w:t>
      </w:r>
      <w:proofErr w:type="gramStart"/>
      <w:r w:rsidRPr="002F1A33">
        <w:rPr>
          <w:rFonts w:ascii="Arial" w:hAnsi="Arial" w:cs="Arial"/>
          <w:sz w:val="20"/>
          <w:szCs w:val="20"/>
        </w:rPr>
        <w:t>was driven</w:t>
      </w:r>
      <w:proofErr w:type="gramEnd"/>
      <w:r w:rsidRPr="002F1A33">
        <w:rPr>
          <w:rFonts w:ascii="Arial" w:hAnsi="Arial" w:cs="Arial"/>
          <w:sz w:val="20"/>
          <w:szCs w:val="20"/>
        </w:rPr>
        <w:t xml:space="preserve"> by a number of factors, including:</w:t>
      </w:r>
    </w:p>
    <w:p w:rsidR="007C45BB" w:rsidRPr="002F1A33" w:rsidRDefault="007C45BB" w:rsidP="00642E36">
      <w:pPr>
        <w:spacing w:after="0" w:line="240" w:lineRule="auto"/>
        <w:rPr>
          <w:rFonts w:ascii="Arial" w:hAnsi="Arial" w:cs="Arial"/>
          <w:sz w:val="20"/>
          <w:szCs w:val="20"/>
        </w:rPr>
      </w:pPr>
    </w:p>
    <w:p w:rsidR="002F1A33" w:rsidRPr="002F1A33" w:rsidRDefault="002F1A33" w:rsidP="00720938">
      <w:pPr>
        <w:pStyle w:val="ListParagraph"/>
        <w:numPr>
          <w:ilvl w:val="0"/>
          <w:numId w:val="36"/>
        </w:numPr>
        <w:spacing w:after="0" w:line="240" w:lineRule="auto"/>
        <w:rPr>
          <w:rFonts w:ascii="Arial" w:hAnsi="Arial" w:cs="Arial"/>
          <w:sz w:val="20"/>
          <w:szCs w:val="20"/>
        </w:rPr>
      </w:pPr>
      <w:r w:rsidRPr="002F1A33">
        <w:rPr>
          <w:rFonts w:ascii="Arial" w:hAnsi="Arial" w:cs="Arial"/>
          <w:sz w:val="20"/>
          <w:szCs w:val="20"/>
        </w:rPr>
        <w:t>The health care and social assistance industry is the largest employing industry in Australia, accounting for 13 per cent of the total workforce, with forward projections indicating strong growth</w:t>
      </w:r>
      <w:r w:rsidR="00237E7E">
        <w:rPr>
          <w:rFonts w:ascii="Arial" w:hAnsi="Arial" w:cs="Arial"/>
          <w:sz w:val="20"/>
          <w:szCs w:val="20"/>
        </w:rPr>
        <w:t>.</w:t>
      </w:r>
      <w:r w:rsidRPr="002F1A33">
        <w:rPr>
          <w:rFonts w:ascii="Arial" w:hAnsi="Arial" w:cs="Arial"/>
          <w:sz w:val="20"/>
          <w:szCs w:val="20"/>
        </w:rPr>
        <w:t xml:space="preserve"> </w:t>
      </w:r>
    </w:p>
    <w:p w:rsidR="002F1A33" w:rsidRPr="002F1A33" w:rsidRDefault="002F1A33" w:rsidP="00720938">
      <w:pPr>
        <w:pStyle w:val="ListParagraph"/>
        <w:numPr>
          <w:ilvl w:val="0"/>
          <w:numId w:val="36"/>
        </w:numPr>
        <w:spacing w:after="0" w:line="240" w:lineRule="auto"/>
        <w:rPr>
          <w:rFonts w:ascii="Arial" w:hAnsi="Arial" w:cs="Arial"/>
          <w:sz w:val="20"/>
          <w:szCs w:val="20"/>
        </w:rPr>
      </w:pPr>
      <w:r w:rsidRPr="002F1A33">
        <w:rPr>
          <w:rFonts w:ascii="Arial" w:hAnsi="Arial" w:cs="Arial"/>
          <w:sz w:val="20"/>
          <w:szCs w:val="20"/>
        </w:rPr>
        <w:t xml:space="preserve">The industry has a high retention rate of businesses, with 75 per cent of businesses operating at the start of 2010 still operating at the end of 2014. The stability of the industry means that any compliance and educational campaign conducted by the FWO would likely yield long-term benefits. There was a clear opportunity to influence cultural changes </w:t>
      </w:r>
      <w:r w:rsidR="004912F7">
        <w:rPr>
          <w:rFonts w:ascii="Arial" w:hAnsi="Arial" w:cs="Arial"/>
          <w:sz w:val="20"/>
          <w:szCs w:val="20"/>
        </w:rPr>
        <w:t>within</w:t>
      </w:r>
      <w:r w:rsidRPr="002F1A33">
        <w:rPr>
          <w:rFonts w:ascii="Arial" w:hAnsi="Arial" w:cs="Arial"/>
          <w:sz w:val="20"/>
          <w:szCs w:val="20"/>
        </w:rPr>
        <w:t xml:space="preserve"> workplaces in the sector</w:t>
      </w:r>
      <w:r w:rsidR="00237E7E">
        <w:rPr>
          <w:rFonts w:ascii="Arial" w:hAnsi="Arial" w:cs="Arial"/>
          <w:sz w:val="20"/>
          <w:szCs w:val="20"/>
        </w:rPr>
        <w:t>.</w:t>
      </w:r>
      <w:r w:rsidRPr="002F1A33">
        <w:rPr>
          <w:rFonts w:ascii="Arial" w:hAnsi="Arial" w:cs="Arial"/>
          <w:sz w:val="20"/>
          <w:szCs w:val="20"/>
        </w:rPr>
        <w:t xml:space="preserve"> </w:t>
      </w:r>
    </w:p>
    <w:p w:rsidR="002F1A33" w:rsidRPr="002F1A33" w:rsidRDefault="002F1A33" w:rsidP="00720938">
      <w:pPr>
        <w:pStyle w:val="ListParagraph"/>
        <w:numPr>
          <w:ilvl w:val="0"/>
          <w:numId w:val="36"/>
        </w:numPr>
        <w:spacing w:after="0" w:line="240" w:lineRule="auto"/>
        <w:rPr>
          <w:rFonts w:ascii="Arial" w:hAnsi="Arial" w:cs="Arial"/>
          <w:sz w:val="20"/>
          <w:szCs w:val="20"/>
        </w:rPr>
      </w:pPr>
      <w:r w:rsidRPr="002F1A33">
        <w:rPr>
          <w:rFonts w:ascii="Arial" w:hAnsi="Arial" w:cs="Arial"/>
          <w:sz w:val="20"/>
          <w:szCs w:val="20"/>
        </w:rPr>
        <w:t>The industry has a large proportion of mature age</w:t>
      </w:r>
      <w:r w:rsidR="004912F7">
        <w:rPr>
          <w:rFonts w:ascii="Arial" w:hAnsi="Arial" w:cs="Arial"/>
          <w:sz w:val="20"/>
          <w:szCs w:val="20"/>
        </w:rPr>
        <w:t>d</w:t>
      </w:r>
      <w:r w:rsidRPr="002F1A33">
        <w:rPr>
          <w:rFonts w:ascii="Arial" w:hAnsi="Arial" w:cs="Arial"/>
          <w:sz w:val="20"/>
          <w:szCs w:val="20"/>
        </w:rPr>
        <w:t xml:space="preserve"> workers, with 45 per cent of employees aged 45 years or over, and more than one in every five employees aged 55 years and over</w:t>
      </w:r>
      <w:r w:rsidR="00237E7E">
        <w:rPr>
          <w:rFonts w:ascii="Arial" w:hAnsi="Arial" w:cs="Arial"/>
          <w:sz w:val="20"/>
          <w:szCs w:val="20"/>
        </w:rPr>
        <w:t>.</w:t>
      </w:r>
      <w:r w:rsidRPr="002F1A33">
        <w:rPr>
          <w:rFonts w:ascii="Arial" w:hAnsi="Arial" w:cs="Arial"/>
          <w:sz w:val="20"/>
          <w:szCs w:val="20"/>
        </w:rPr>
        <w:t xml:space="preserve"> </w:t>
      </w:r>
    </w:p>
    <w:p w:rsidR="002F1A33" w:rsidRPr="002F1A33" w:rsidRDefault="002F1A33" w:rsidP="00720938">
      <w:pPr>
        <w:pStyle w:val="ListParagraph"/>
        <w:numPr>
          <w:ilvl w:val="0"/>
          <w:numId w:val="36"/>
        </w:numPr>
        <w:spacing w:after="0" w:line="240" w:lineRule="auto"/>
        <w:rPr>
          <w:rFonts w:ascii="Arial" w:hAnsi="Arial" w:cs="Arial"/>
          <w:sz w:val="20"/>
          <w:szCs w:val="20"/>
        </w:rPr>
      </w:pPr>
      <w:r w:rsidRPr="002F1A33">
        <w:rPr>
          <w:rFonts w:ascii="Arial" w:hAnsi="Arial" w:cs="Arial"/>
          <w:sz w:val="20"/>
          <w:szCs w:val="20"/>
        </w:rPr>
        <w:t>The industry has a large culturally and linguistically diverse workforce, with almost one third (32 per cent) of employees born overseas; and of those almost one in five (19 per cent) were born in non-English speaking countries</w:t>
      </w:r>
      <w:r w:rsidR="00237E7E">
        <w:rPr>
          <w:rFonts w:ascii="Arial" w:hAnsi="Arial" w:cs="Arial"/>
          <w:sz w:val="20"/>
          <w:szCs w:val="20"/>
        </w:rPr>
        <w:t>.</w:t>
      </w:r>
    </w:p>
    <w:p w:rsidR="002F1A33" w:rsidRPr="002F1A33" w:rsidRDefault="002F1A33" w:rsidP="00720938">
      <w:pPr>
        <w:pStyle w:val="ListParagraph"/>
        <w:numPr>
          <w:ilvl w:val="0"/>
          <w:numId w:val="36"/>
        </w:numPr>
        <w:spacing w:after="0" w:line="240" w:lineRule="auto"/>
        <w:rPr>
          <w:rFonts w:ascii="Arial" w:hAnsi="Arial" w:cs="Arial"/>
          <w:sz w:val="20"/>
          <w:szCs w:val="20"/>
        </w:rPr>
      </w:pPr>
      <w:r w:rsidRPr="002F1A33">
        <w:rPr>
          <w:rFonts w:ascii="Arial" w:hAnsi="Arial" w:cs="Arial"/>
          <w:sz w:val="20"/>
          <w:szCs w:val="20"/>
        </w:rPr>
        <w:t xml:space="preserve">79 per cent of employees are female, with 45 per cent of employees </w:t>
      </w:r>
      <w:proofErr w:type="gramStart"/>
      <w:r w:rsidR="009C7256">
        <w:rPr>
          <w:rFonts w:ascii="Arial" w:hAnsi="Arial" w:cs="Arial"/>
          <w:sz w:val="20"/>
          <w:szCs w:val="20"/>
        </w:rPr>
        <w:t>being engaged</w:t>
      </w:r>
      <w:proofErr w:type="gramEnd"/>
      <w:r w:rsidRPr="002F1A33">
        <w:rPr>
          <w:rFonts w:ascii="Arial" w:hAnsi="Arial" w:cs="Arial"/>
          <w:sz w:val="20"/>
          <w:szCs w:val="20"/>
        </w:rPr>
        <w:t xml:space="preserve"> on a part-time basis; this figure is even higher in the Residential Care Services sector (58 per cent)</w:t>
      </w:r>
      <w:r w:rsidR="00720938">
        <w:rPr>
          <w:rFonts w:ascii="Arial" w:hAnsi="Arial" w:cs="Arial"/>
          <w:sz w:val="20"/>
          <w:szCs w:val="20"/>
        </w:rPr>
        <w:t>.</w:t>
      </w:r>
    </w:p>
    <w:p w:rsidR="002F1A33" w:rsidRPr="002F1A33" w:rsidRDefault="002F1A33" w:rsidP="00642E36">
      <w:pPr>
        <w:pStyle w:val="ListParagraph"/>
        <w:spacing w:after="0" w:line="240" w:lineRule="auto"/>
        <w:ind w:left="0"/>
        <w:rPr>
          <w:rFonts w:ascii="Arial" w:hAnsi="Arial" w:cs="Arial"/>
          <w:sz w:val="20"/>
          <w:szCs w:val="20"/>
        </w:rPr>
      </w:pPr>
    </w:p>
    <w:p w:rsidR="002F1A33" w:rsidRPr="002F1A33" w:rsidRDefault="002F1A33" w:rsidP="00642E36">
      <w:pPr>
        <w:pStyle w:val="ListParagraph"/>
        <w:spacing w:after="0" w:line="240" w:lineRule="auto"/>
        <w:ind w:left="0"/>
        <w:rPr>
          <w:rFonts w:ascii="Arial" w:hAnsi="Arial" w:cs="Arial"/>
          <w:sz w:val="20"/>
          <w:szCs w:val="20"/>
        </w:rPr>
      </w:pPr>
      <w:r w:rsidRPr="002F1A33">
        <w:rPr>
          <w:rFonts w:ascii="Arial" w:hAnsi="Arial" w:cs="Arial"/>
          <w:sz w:val="20"/>
          <w:szCs w:val="20"/>
        </w:rPr>
        <w:t xml:space="preserve">Strong industry growth, coupled with a high proportion of part-time and low-skilled employees provided a </w:t>
      </w:r>
      <w:r w:rsidR="00D26096">
        <w:rPr>
          <w:rFonts w:ascii="Arial" w:hAnsi="Arial" w:cs="Arial"/>
          <w:sz w:val="20"/>
          <w:szCs w:val="20"/>
        </w:rPr>
        <w:t>strong</w:t>
      </w:r>
      <w:r w:rsidRPr="002F1A33">
        <w:rPr>
          <w:rFonts w:ascii="Arial" w:hAnsi="Arial" w:cs="Arial"/>
          <w:sz w:val="20"/>
          <w:szCs w:val="20"/>
        </w:rPr>
        <w:t xml:space="preserve"> case for initiating a campaign in this industry. The campaign </w:t>
      </w:r>
      <w:r w:rsidR="00D26096">
        <w:rPr>
          <w:rFonts w:ascii="Arial" w:hAnsi="Arial" w:cs="Arial"/>
          <w:sz w:val="20"/>
          <w:szCs w:val="20"/>
        </w:rPr>
        <w:t xml:space="preserve">has </w:t>
      </w:r>
      <w:r w:rsidRPr="002F1A33">
        <w:rPr>
          <w:rFonts w:ascii="Arial" w:hAnsi="Arial" w:cs="Arial"/>
          <w:sz w:val="20"/>
          <w:szCs w:val="20"/>
        </w:rPr>
        <w:t>broad impact and reach, helping to encourage an ongoing culture of compliance in the largest employing industry in Australia.</w:t>
      </w:r>
    </w:p>
    <w:p w:rsidR="002F1A33" w:rsidRPr="002F1A33" w:rsidRDefault="002F1A33" w:rsidP="00642E36">
      <w:pPr>
        <w:pStyle w:val="ListParagraph"/>
        <w:spacing w:after="0" w:line="240" w:lineRule="auto"/>
        <w:ind w:left="0"/>
        <w:rPr>
          <w:rFonts w:ascii="Arial" w:hAnsi="Arial" w:cs="Arial"/>
          <w:sz w:val="20"/>
          <w:szCs w:val="20"/>
        </w:rPr>
      </w:pPr>
    </w:p>
    <w:p w:rsidR="002F1A33" w:rsidRPr="00D75649" w:rsidRDefault="002F1A33" w:rsidP="00D75649">
      <w:pPr>
        <w:pStyle w:val="Header"/>
        <w:rPr>
          <w:rFonts w:ascii="Arial" w:hAnsi="Arial" w:cs="Arial"/>
          <w:sz w:val="20"/>
          <w:szCs w:val="20"/>
        </w:rPr>
      </w:pPr>
      <w:r w:rsidRPr="00237E7E">
        <w:rPr>
          <w:rFonts w:ascii="Arial" w:hAnsi="Arial" w:cs="Arial"/>
          <w:sz w:val="20"/>
          <w:szCs w:val="20"/>
        </w:rPr>
        <w:t xml:space="preserve">The </w:t>
      </w:r>
      <w:r w:rsidR="00EF31DC">
        <w:rPr>
          <w:rFonts w:ascii="Arial" w:hAnsi="Arial" w:cs="Arial"/>
          <w:sz w:val="20"/>
          <w:szCs w:val="20"/>
        </w:rPr>
        <w:t>FWO</w:t>
      </w:r>
      <w:r w:rsidRPr="00237E7E">
        <w:rPr>
          <w:rFonts w:ascii="Arial" w:hAnsi="Arial" w:cs="Arial"/>
          <w:sz w:val="20"/>
          <w:szCs w:val="20"/>
        </w:rPr>
        <w:t xml:space="preserve"> engaged with key stakeholders in regards to the design and development of the campaign. This included the Australian Medical Association, Optometry Australia, Health &amp; Community Services Union, United Voice, Age</w:t>
      </w:r>
      <w:r w:rsidR="00536FD4">
        <w:rPr>
          <w:rFonts w:ascii="Arial" w:hAnsi="Arial" w:cs="Arial"/>
          <w:sz w:val="20"/>
          <w:szCs w:val="20"/>
        </w:rPr>
        <w:t>d</w:t>
      </w:r>
      <w:r w:rsidRPr="00237E7E">
        <w:rPr>
          <w:rFonts w:ascii="Arial" w:hAnsi="Arial" w:cs="Arial"/>
          <w:sz w:val="20"/>
          <w:szCs w:val="20"/>
        </w:rPr>
        <w:t xml:space="preserve"> &amp; Community Services Australia and Leading Age Services Australia. The communications strategy developed for the campaign focused on key issues identified in the sectors, based on advice provid</w:t>
      </w:r>
      <w:r w:rsidRPr="00D75649">
        <w:rPr>
          <w:rFonts w:ascii="Arial" w:hAnsi="Arial" w:cs="Arial"/>
          <w:sz w:val="20"/>
          <w:szCs w:val="20"/>
        </w:rPr>
        <w:t xml:space="preserve">ed by stakeholders during the pre-campaign engagement activities. </w:t>
      </w: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EF31DC" w:rsidRDefault="00EF31DC"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p>
    <w:p w:rsidR="009B39EB" w:rsidRPr="002F1A33" w:rsidRDefault="009B39EB" w:rsidP="00642E36">
      <w:pPr>
        <w:spacing w:after="0" w:line="240" w:lineRule="auto"/>
        <w:rPr>
          <w:rFonts w:ascii="Arial" w:hAnsi="Arial" w:cs="Arial"/>
          <w:sz w:val="20"/>
          <w:szCs w:val="20"/>
        </w:rPr>
      </w:pPr>
    </w:p>
    <w:p w:rsidR="004322A4" w:rsidRPr="002F1A33" w:rsidRDefault="007C45BB" w:rsidP="00642E36">
      <w:pPr>
        <w:pStyle w:val="Heading2"/>
        <w:spacing w:before="0" w:line="240" w:lineRule="auto"/>
        <w:rPr>
          <w:rFonts w:ascii="Myriad Pro" w:hAnsi="Myriad Pro"/>
          <w:b w:val="0"/>
          <w:color w:val="31849B" w:themeColor="accent5" w:themeShade="BF"/>
        </w:rPr>
      </w:pPr>
      <w:bookmarkStart w:id="29" w:name="_Toc460917321"/>
      <w:r>
        <w:rPr>
          <w:rFonts w:ascii="Myriad Pro" w:hAnsi="Myriad Pro"/>
          <w:b w:val="0"/>
          <w:color w:val="31849B" w:themeColor="accent5" w:themeShade="BF"/>
        </w:rPr>
        <w:lastRenderedPageBreak/>
        <w:t>Case study</w:t>
      </w:r>
      <w:r w:rsidR="004322A4" w:rsidRPr="002F1A33">
        <w:rPr>
          <w:rFonts w:ascii="Myriad Pro" w:hAnsi="Myriad Pro"/>
          <w:b w:val="0"/>
          <w:color w:val="31849B" w:themeColor="accent5" w:themeShade="BF"/>
        </w:rPr>
        <w:t xml:space="preserve"> 5</w:t>
      </w:r>
      <w:bookmarkEnd w:id="29"/>
    </w:p>
    <w:p w:rsidR="004322A4" w:rsidRDefault="004322A4" w:rsidP="00642E36">
      <w:pPr>
        <w:pStyle w:val="Heading2"/>
        <w:spacing w:before="0" w:line="240" w:lineRule="auto"/>
        <w:rPr>
          <w:rFonts w:ascii="Arial" w:hAnsi="Arial" w:cs="Arial"/>
          <w:b w:val="0"/>
          <w:color w:val="31849B" w:themeColor="accent5" w:themeShade="BF"/>
          <w:sz w:val="20"/>
          <w:szCs w:val="20"/>
        </w:rPr>
      </w:pPr>
    </w:p>
    <w:p w:rsidR="002F1A33" w:rsidRPr="002F1A33" w:rsidRDefault="002F1A33" w:rsidP="00642E36">
      <w:pPr>
        <w:spacing w:after="0" w:line="240" w:lineRule="auto"/>
        <w:rPr>
          <w:rFonts w:ascii="Myriad Pro" w:hAnsi="Myriad Pro" w:cs="Arial"/>
          <w:color w:val="31849B" w:themeColor="accent5" w:themeShade="BF"/>
          <w:sz w:val="24"/>
          <w:szCs w:val="24"/>
        </w:rPr>
      </w:pPr>
      <w:r w:rsidRPr="002F1A33">
        <w:rPr>
          <w:rFonts w:ascii="Myriad Pro" w:hAnsi="Myriad Pro" w:cs="Arial"/>
          <w:i/>
          <w:color w:val="31849B" w:themeColor="accent5" w:themeShade="BF"/>
          <w:sz w:val="24"/>
          <w:szCs w:val="24"/>
        </w:rPr>
        <w:t>Knowledge in the Public Square event</w:t>
      </w:r>
    </w:p>
    <w:p w:rsidR="007C45BB" w:rsidRDefault="007C45BB"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Engaging with industry bodies and regulated entities allows the FWO to understand its operating environment and the needs of specific customer segments – two key factors that allow the agency to coordinate efficient services for the community. The FWO is always looking to maximise the value of engagement by making it easier for regulated entities to work with us.  </w:t>
      </w:r>
    </w:p>
    <w:p w:rsidR="007C45BB" w:rsidRPr="002F1A33" w:rsidRDefault="007C45BB"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In 2015-16, the FWO launched Knowledge in the Public Square (KIPS). KIPS are a series of ‘community cabinet’ style public forums that bring the FWO face-to-face with industry participants to discuss workplace issues. KIPS forums provide the FWO with insight into employment and business conditions in different industries, while providing stakeholders the opportunity to provide feedback on the agency’s approach in an open and transparent way.</w:t>
      </w:r>
    </w:p>
    <w:p w:rsidR="007C45BB" w:rsidRDefault="007C45BB"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A KIPS forum on the rapidly growing nanny and au pair sector highlighted a demand for better information and advice to assist employers and employees. The forum brought together 30 industry participants, including placement agencies, industry advocates, </w:t>
      </w:r>
      <w:proofErr w:type="gramStart"/>
      <w:r w:rsidRPr="002F1A33">
        <w:rPr>
          <w:rFonts w:ascii="Arial" w:hAnsi="Arial" w:cs="Arial"/>
          <w:sz w:val="20"/>
          <w:szCs w:val="20"/>
        </w:rPr>
        <w:t>payroll</w:t>
      </w:r>
      <w:proofErr w:type="gramEnd"/>
      <w:r w:rsidRPr="002F1A33">
        <w:rPr>
          <w:rFonts w:ascii="Arial" w:hAnsi="Arial" w:cs="Arial"/>
          <w:sz w:val="20"/>
          <w:szCs w:val="20"/>
        </w:rPr>
        <w:t xml:space="preserve"> companies and training providers. Nannies, au pairs and </w:t>
      </w:r>
      <w:r w:rsidR="00237E7E">
        <w:rPr>
          <w:rFonts w:ascii="Arial" w:hAnsi="Arial" w:cs="Arial"/>
          <w:sz w:val="20"/>
          <w:szCs w:val="20"/>
        </w:rPr>
        <w:t xml:space="preserve">people who access </w:t>
      </w:r>
      <w:r w:rsidR="00EF31DC">
        <w:rPr>
          <w:rFonts w:ascii="Arial" w:hAnsi="Arial" w:cs="Arial"/>
          <w:sz w:val="20"/>
          <w:szCs w:val="20"/>
        </w:rPr>
        <w:t>childcare</w:t>
      </w:r>
      <w:r w:rsidR="00237E7E">
        <w:rPr>
          <w:rFonts w:ascii="Arial" w:hAnsi="Arial" w:cs="Arial"/>
          <w:sz w:val="20"/>
          <w:szCs w:val="20"/>
        </w:rPr>
        <w:t xml:space="preserve"> </w:t>
      </w:r>
      <w:r w:rsidRPr="002F1A33">
        <w:rPr>
          <w:rFonts w:ascii="Arial" w:hAnsi="Arial" w:cs="Arial"/>
          <w:sz w:val="20"/>
          <w:szCs w:val="20"/>
        </w:rPr>
        <w:t xml:space="preserve">also attended. </w:t>
      </w:r>
    </w:p>
    <w:p w:rsidR="007C45BB" w:rsidRDefault="007C45BB" w:rsidP="00642E36">
      <w:pPr>
        <w:spacing w:after="0" w:line="240" w:lineRule="auto"/>
        <w:rPr>
          <w:rFonts w:ascii="Arial" w:hAnsi="Arial" w:cs="Arial"/>
          <w:sz w:val="20"/>
          <w:szCs w:val="20"/>
        </w:rPr>
      </w:pPr>
    </w:p>
    <w:p w:rsidR="00970593" w:rsidRDefault="002F1A33" w:rsidP="00970593">
      <w:pPr>
        <w:pStyle w:val="Header"/>
      </w:pPr>
      <w:r w:rsidRPr="002F1A33">
        <w:rPr>
          <w:rFonts w:ascii="Arial" w:hAnsi="Arial" w:cs="Arial"/>
          <w:sz w:val="20"/>
          <w:szCs w:val="20"/>
        </w:rPr>
        <w:t xml:space="preserve">The insights gained have helped to coordinate services and strategies to promote workplace relations compliance in the sector. For example, better advice is now available for workers and families engaging au pairs and nannies. The FWO also has a more sophisticated understanding of dynamics in the </w:t>
      </w:r>
      <w:r w:rsidR="00EF31DC" w:rsidRPr="002F1A33">
        <w:rPr>
          <w:rFonts w:ascii="Arial" w:hAnsi="Arial" w:cs="Arial"/>
          <w:sz w:val="20"/>
          <w:szCs w:val="20"/>
        </w:rPr>
        <w:t>sector</w:t>
      </w:r>
      <w:r w:rsidR="00EF31DC">
        <w:rPr>
          <w:rFonts w:ascii="Arial" w:hAnsi="Arial" w:cs="Arial"/>
          <w:sz w:val="20"/>
          <w:szCs w:val="20"/>
        </w:rPr>
        <w:t>, which</w:t>
      </w:r>
      <w:r w:rsidR="00237E7E">
        <w:rPr>
          <w:rFonts w:ascii="Arial" w:hAnsi="Arial" w:cs="Arial"/>
          <w:sz w:val="20"/>
          <w:szCs w:val="20"/>
        </w:rPr>
        <w:t xml:space="preserve"> will help</w:t>
      </w:r>
      <w:r w:rsidRPr="002F1A33">
        <w:rPr>
          <w:rFonts w:ascii="Arial" w:hAnsi="Arial" w:cs="Arial"/>
          <w:sz w:val="20"/>
          <w:szCs w:val="20"/>
        </w:rPr>
        <w:t xml:space="preserve"> form the basis of a strategic inquiry into this sector if compliance issues emerge.</w:t>
      </w:r>
      <w:r w:rsidR="00970593" w:rsidRPr="00970593">
        <w:t xml:space="preserve"> </w:t>
      </w: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p>
    <w:p w:rsidR="002F1A33" w:rsidRDefault="007C45BB" w:rsidP="00642E36">
      <w:pPr>
        <w:pStyle w:val="Heading2"/>
        <w:spacing w:before="0" w:line="240" w:lineRule="auto"/>
        <w:rPr>
          <w:rFonts w:ascii="Myriad Pro" w:hAnsi="Myriad Pro"/>
          <w:b w:val="0"/>
          <w:color w:val="31849B" w:themeColor="accent5" w:themeShade="BF"/>
        </w:rPr>
      </w:pPr>
      <w:bookmarkStart w:id="30" w:name="_Toc460917322"/>
      <w:r>
        <w:rPr>
          <w:rFonts w:ascii="Myriad Pro" w:hAnsi="Myriad Pro"/>
          <w:b w:val="0"/>
          <w:color w:val="31849B" w:themeColor="accent5" w:themeShade="BF"/>
        </w:rPr>
        <w:t>Case study</w:t>
      </w:r>
      <w:r w:rsidR="002F1A33" w:rsidRPr="002F1A33">
        <w:rPr>
          <w:rFonts w:ascii="Myriad Pro" w:hAnsi="Myriad Pro"/>
          <w:b w:val="0"/>
          <w:color w:val="31849B" w:themeColor="accent5" w:themeShade="BF"/>
        </w:rPr>
        <w:t xml:space="preserve"> </w:t>
      </w:r>
      <w:r w:rsidR="002F1A33">
        <w:rPr>
          <w:rFonts w:ascii="Myriad Pro" w:hAnsi="Myriad Pro"/>
          <w:b w:val="0"/>
          <w:color w:val="31849B" w:themeColor="accent5" w:themeShade="BF"/>
        </w:rPr>
        <w:t>6</w:t>
      </w:r>
      <w:bookmarkEnd w:id="30"/>
    </w:p>
    <w:p w:rsidR="002F1A33" w:rsidRDefault="002F1A33" w:rsidP="00642E36">
      <w:pPr>
        <w:spacing w:after="0" w:line="240" w:lineRule="auto"/>
        <w:rPr>
          <w:rFonts w:ascii="Arial" w:hAnsi="Arial" w:cs="Arial"/>
          <w:b/>
          <w:i/>
          <w:color w:val="4BACC6" w:themeColor="accent5"/>
          <w:sz w:val="20"/>
          <w:szCs w:val="20"/>
        </w:rPr>
      </w:pPr>
    </w:p>
    <w:p w:rsidR="002F1A33" w:rsidRPr="002F1A33" w:rsidRDefault="002F1A33" w:rsidP="00642E36">
      <w:pPr>
        <w:spacing w:after="0" w:line="240" w:lineRule="auto"/>
        <w:rPr>
          <w:rFonts w:ascii="Myriad Pro" w:hAnsi="Myriad Pro" w:cs="Arial"/>
          <w:i/>
          <w:color w:val="31849B" w:themeColor="accent5" w:themeShade="BF"/>
          <w:sz w:val="24"/>
          <w:szCs w:val="24"/>
        </w:rPr>
      </w:pPr>
      <w:r w:rsidRPr="002F1A33">
        <w:rPr>
          <w:rFonts w:ascii="Myriad Pro" w:hAnsi="Myriad Pro" w:cs="Arial"/>
          <w:i/>
          <w:color w:val="31849B" w:themeColor="accent5" w:themeShade="BF"/>
          <w:sz w:val="24"/>
          <w:szCs w:val="24"/>
        </w:rPr>
        <w:t>Small business fix-it squads</w:t>
      </w:r>
    </w:p>
    <w:p w:rsidR="002F1A33" w:rsidRDefault="002F1A33"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The FWO continues to develop and strengthen relationships across government and industry, including working with representatives from federal and state government agencies and industry across a range of initiatives; both educational and compliance focused. </w:t>
      </w:r>
    </w:p>
    <w:p w:rsidR="002F1A33" w:rsidRP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In 2015-16, the FWO participated in the </w:t>
      </w:r>
      <w:proofErr w:type="spellStart"/>
      <w:r w:rsidRPr="002F1A33">
        <w:rPr>
          <w:rFonts w:ascii="Arial" w:hAnsi="Arial" w:cs="Arial"/>
          <w:sz w:val="20"/>
          <w:szCs w:val="20"/>
        </w:rPr>
        <w:t>ATO</w:t>
      </w:r>
      <w:proofErr w:type="spellEnd"/>
      <w:r w:rsidRPr="002F1A33">
        <w:rPr>
          <w:rFonts w:ascii="Arial" w:hAnsi="Arial" w:cs="Arial"/>
          <w:sz w:val="20"/>
          <w:szCs w:val="20"/>
        </w:rPr>
        <w:t xml:space="preserve"> initiated ‘Small business fix-it squads’. These projects aim to address the difficulties that small business owners face </w:t>
      </w:r>
      <w:r w:rsidR="00237E7E">
        <w:rPr>
          <w:rFonts w:ascii="Arial" w:hAnsi="Arial" w:cs="Arial"/>
          <w:sz w:val="20"/>
          <w:szCs w:val="20"/>
        </w:rPr>
        <w:t>with their business operations</w:t>
      </w:r>
      <w:r w:rsidRPr="002F1A33">
        <w:rPr>
          <w:rFonts w:ascii="Arial" w:hAnsi="Arial" w:cs="Arial"/>
          <w:sz w:val="20"/>
          <w:szCs w:val="20"/>
        </w:rPr>
        <w:t>. It is a coordinated effort between small business owners, tax professionals, government and small business intermediaries</w:t>
      </w:r>
      <w:r w:rsidR="00237E7E">
        <w:rPr>
          <w:rFonts w:ascii="Arial" w:hAnsi="Arial" w:cs="Arial"/>
          <w:sz w:val="20"/>
          <w:szCs w:val="20"/>
        </w:rPr>
        <w:t xml:space="preserve">, allowing them to </w:t>
      </w:r>
      <w:r w:rsidRPr="002F1A33">
        <w:rPr>
          <w:rFonts w:ascii="Arial" w:hAnsi="Arial" w:cs="Arial"/>
          <w:sz w:val="20"/>
          <w:szCs w:val="20"/>
        </w:rPr>
        <w:t>work collaboratively to examine specific problems affecting small businesses and develop recommendations to fix the problems.</w:t>
      </w:r>
    </w:p>
    <w:p w:rsid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The consultation highlighted that small business</w:t>
      </w:r>
      <w:r w:rsidR="00237E7E">
        <w:rPr>
          <w:rFonts w:ascii="Arial" w:hAnsi="Arial" w:cs="Arial"/>
          <w:sz w:val="20"/>
          <w:szCs w:val="20"/>
        </w:rPr>
        <w:t xml:space="preserve"> </w:t>
      </w:r>
      <w:r w:rsidR="00D43369">
        <w:rPr>
          <w:rFonts w:ascii="Arial" w:hAnsi="Arial" w:cs="Arial"/>
          <w:sz w:val="20"/>
          <w:szCs w:val="20"/>
        </w:rPr>
        <w:t>owners</w:t>
      </w:r>
      <w:r w:rsidRPr="002F1A33">
        <w:rPr>
          <w:rFonts w:ascii="Arial" w:hAnsi="Arial" w:cs="Arial"/>
          <w:sz w:val="20"/>
          <w:szCs w:val="20"/>
        </w:rPr>
        <w:t xml:space="preserve"> struggle with having to search and navigate through several different sources to find information that applies to them. This led to the development of a whole-of-government online ‘Checklist for taking on an employee’. This new resource </w:t>
      </w:r>
      <w:proofErr w:type="gramStart"/>
      <w:r w:rsidRPr="002F1A33">
        <w:rPr>
          <w:rFonts w:ascii="Arial" w:hAnsi="Arial" w:cs="Arial"/>
          <w:sz w:val="20"/>
          <w:szCs w:val="20"/>
        </w:rPr>
        <w:t>was carefully designed</w:t>
      </w:r>
      <w:proofErr w:type="gramEnd"/>
      <w:r w:rsidRPr="002F1A33">
        <w:rPr>
          <w:rFonts w:ascii="Arial" w:hAnsi="Arial" w:cs="Arial"/>
          <w:sz w:val="20"/>
          <w:szCs w:val="20"/>
        </w:rPr>
        <w:t xml:space="preserve"> to assist employers understand and meet a range of state and federal government requirements when </w:t>
      </w:r>
      <w:r w:rsidR="00237E7E">
        <w:rPr>
          <w:rFonts w:ascii="Arial" w:hAnsi="Arial" w:cs="Arial"/>
          <w:sz w:val="20"/>
          <w:szCs w:val="20"/>
        </w:rPr>
        <w:t>hiring new</w:t>
      </w:r>
      <w:r w:rsidRPr="002F1A33">
        <w:rPr>
          <w:rFonts w:ascii="Arial" w:hAnsi="Arial" w:cs="Arial"/>
          <w:sz w:val="20"/>
          <w:szCs w:val="20"/>
        </w:rPr>
        <w:t xml:space="preserve"> employees. </w:t>
      </w:r>
    </w:p>
    <w:p w:rsid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A further recommendation of the Fix-it squad was to promote the Pay and Conditions Tool developed by the FWO to help small business operators find up to date information about awards, classifications and rates of pay. The FWO identified significant savings </w:t>
      </w:r>
      <w:r w:rsidR="00EF31DC">
        <w:rPr>
          <w:rFonts w:ascii="Arial" w:hAnsi="Arial" w:cs="Arial"/>
          <w:sz w:val="20"/>
          <w:szCs w:val="20"/>
        </w:rPr>
        <w:t>for small business</w:t>
      </w:r>
      <w:r w:rsidRPr="002F1A33">
        <w:rPr>
          <w:rFonts w:ascii="Arial" w:hAnsi="Arial" w:cs="Arial"/>
          <w:sz w:val="20"/>
          <w:szCs w:val="20"/>
        </w:rPr>
        <w:t xml:space="preserve"> with the introduction of its online Pay and Conditions Tool in 2015. The agency is committed to increasing customer confidence in using our online </w:t>
      </w:r>
      <w:r w:rsidR="00237E7E">
        <w:rPr>
          <w:rFonts w:ascii="Arial" w:hAnsi="Arial" w:cs="Arial"/>
          <w:sz w:val="20"/>
          <w:szCs w:val="20"/>
        </w:rPr>
        <w:t>resources</w:t>
      </w:r>
      <w:r w:rsidR="00237E7E" w:rsidRPr="002F1A33">
        <w:rPr>
          <w:rFonts w:ascii="Arial" w:hAnsi="Arial" w:cs="Arial"/>
          <w:sz w:val="20"/>
          <w:szCs w:val="20"/>
        </w:rPr>
        <w:t xml:space="preserve"> </w:t>
      </w:r>
      <w:r w:rsidRPr="002F1A33">
        <w:rPr>
          <w:rFonts w:ascii="Arial" w:hAnsi="Arial" w:cs="Arial"/>
          <w:sz w:val="20"/>
          <w:szCs w:val="20"/>
        </w:rPr>
        <w:t xml:space="preserve">to manage workplace relations. </w:t>
      </w:r>
    </w:p>
    <w:p w:rsidR="002F1A33" w:rsidRDefault="002F1A33"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b/>
          <w:i/>
          <w:color w:val="4BACC6" w:themeColor="accent5"/>
          <w:sz w:val="20"/>
          <w:szCs w:val="20"/>
        </w:rPr>
      </w:pPr>
      <w:r w:rsidRPr="002F1A33">
        <w:rPr>
          <w:rFonts w:ascii="Arial" w:hAnsi="Arial" w:cs="Arial"/>
          <w:sz w:val="20"/>
          <w:szCs w:val="20"/>
        </w:rPr>
        <w:t>The FWO continues to monitor, analyse and re-design customer focused digital solutions to support Australian workplaces and work collaboratively across industry and government to increase our reach into the community.</w:t>
      </w:r>
    </w:p>
    <w:p w:rsidR="002F1A33" w:rsidRPr="002F1A33" w:rsidRDefault="002F1A33" w:rsidP="00642E36">
      <w:pPr>
        <w:spacing w:after="0" w:line="240" w:lineRule="auto"/>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br w:type="page"/>
      </w:r>
    </w:p>
    <w:p w:rsidR="004322A4" w:rsidRPr="002F1A33" w:rsidRDefault="007C45BB" w:rsidP="00642E36">
      <w:pPr>
        <w:pStyle w:val="Heading2"/>
        <w:spacing w:before="0" w:line="240" w:lineRule="auto"/>
        <w:rPr>
          <w:rFonts w:ascii="Myriad Pro" w:hAnsi="Myriad Pro"/>
          <w:b w:val="0"/>
          <w:color w:val="31849B" w:themeColor="accent5" w:themeShade="BF"/>
        </w:rPr>
      </w:pPr>
      <w:bookmarkStart w:id="31" w:name="_Toc460917323"/>
      <w:r>
        <w:rPr>
          <w:rFonts w:ascii="Myriad Pro" w:hAnsi="Myriad Pro"/>
          <w:b w:val="0"/>
          <w:color w:val="31849B" w:themeColor="accent5" w:themeShade="BF"/>
        </w:rPr>
        <w:lastRenderedPageBreak/>
        <w:t>Case study</w:t>
      </w:r>
      <w:r w:rsidR="004322A4" w:rsidRPr="002F1A33">
        <w:rPr>
          <w:rFonts w:ascii="Myriad Pro" w:hAnsi="Myriad Pro"/>
          <w:b w:val="0"/>
          <w:color w:val="31849B" w:themeColor="accent5" w:themeShade="BF"/>
        </w:rPr>
        <w:t xml:space="preserve"> </w:t>
      </w:r>
      <w:r w:rsidR="002F1A33" w:rsidRPr="002F1A33">
        <w:rPr>
          <w:rFonts w:ascii="Myriad Pro" w:hAnsi="Myriad Pro"/>
          <w:b w:val="0"/>
          <w:color w:val="31849B" w:themeColor="accent5" w:themeShade="BF"/>
        </w:rPr>
        <w:t>7</w:t>
      </w:r>
      <w:bookmarkEnd w:id="31"/>
    </w:p>
    <w:p w:rsidR="004322A4" w:rsidRPr="002F1A33" w:rsidRDefault="004322A4" w:rsidP="00642E36">
      <w:pPr>
        <w:spacing w:after="0" w:line="240" w:lineRule="auto"/>
        <w:rPr>
          <w:rFonts w:ascii="Myriad Pro" w:hAnsi="Myriad Pro" w:cs="Arial"/>
          <w:i/>
          <w:color w:val="31849B" w:themeColor="accent5" w:themeShade="BF"/>
          <w:sz w:val="24"/>
          <w:szCs w:val="24"/>
        </w:rPr>
      </w:pPr>
    </w:p>
    <w:p w:rsidR="002F1A33" w:rsidRPr="002F1A33" w:rsidRDefault="002F1A33" w:rsidP="00642E36">
      <w:pPr>
        <w:spacing w:after="0" w:line="240" w:lineRule="auto"/>
        <w:rPr>
          <w:rFonts w:ascii="Myriad Pro" w:hAnsi="Myriad Pro" w:cs="Arial"/>
          <w:i/>
          <w:color w:val="31849B" w:themeColor="accent5" w:themeShade="BF"/>
          <w:sz w:val="24"/>
          <w:szCs w:val="24"/>
        </w:rPr>
      </w:pPr>
      <w:r w:rsidRPr="002F1A33">
        <w:rPr>
          <w:rFonts w:ascii="Myriad Pro" w:hAnsi="Myriad Pro" w:cs="Arial"/>
          <w:i/>
          <w:color w:val="31849B" w:themeColor="accent5" w:themeShade="BF"/>
          <w:sz w:val="24"/>
          <w:szCs w:val="24"/>
        </w:rPr>
        <w:t xml:space="preserve">FWO &amp; ASIC Joint Audit Campaign   </w:t>
      </w:r>
    </w:p>
    <w:p w:rsidR="00F80344" w:rsidRDefault="00F80344" w:rsidP="00642E36">
      <w:pPr>
        <w:spacing w:after="0" w:line="240" w:lineRule="auto"/>
        <w:rPr>
          <w:rFonts w:ascii="Arial" w:hAnsi="Arial" w:cs="Arial"/>
          <w:sz w:val="20"/>
          <w:szCs w:val="20"/>
        </w:rPr>
      </w:pPr>
    </w:p>
    <w:p w:rsid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One of </w:t>
      </w:r>
      <w:proofErr w:type="spellStart"/>
      <w:r w:rsidRPr="002F1A33">
        <w:rPr>
          <w:rFonts w:ascii="Arial" w:hAnsi="Arial" w:cs="Arial"/>
          <w:sz w:val="20"/>
          <w:szCs w:val="20"/>
        </w:rPr>
        <w:t>FWO’s</w:t>
      </w:r>
      <w:proofErr w:type="spellEnd"/>
      <w:r w:rsidRPr="002F1A33">
        <w:rPr>
          <w:rFonts w:ascii="Arial" w:hAnsi="Arial" w:cs="Arial"/>
          <w:sz w:val="20"/>
          <w:szCs w:val="20"/>
        </w:rPr>
        <w:t xml:space="preserve"> key principles in its Small Business Strategy 2014-16 is to maximise the ease of compliance with workplace laws by ensuring our approach is fair and necessary, and our processes and procedures are appropriate, proportionate and free from unnecessary red tape. </w:t>
      </w:r>
      <w:r w:rsidR="004912F7">
        <w:rPr>
          <w:rFonts w:ascii="Arial" w:hAnsi="Arial" w:cs="Arial"/>
          <w:sz w:val="20"/>
          <w:szCs w:val="20"/>
        </w:rPr>
        <w:t xml:space="preserve">The </w:t>
      </w:r>
      <w:r w:rsidRPr="002F1A33">
        <w:rPr>
          <w:rFonts w:ascii="Arial" w:hAnsi="Arial" w:cs="Arial"/>
          <w:sz w:val="20"/>
          <w:szCs w:val="20"/>
        </w:rPr>
        <w:t>FWO does this by liaising and working directly with other areas of Government in administering regulation</w:t>
      </w:r>
      <w:r w:rsidR="004912F7">
        <w:rPr>
          <w:rFonts w:ascii="Arial" w:hAnsi="Arial" w:cs="Arial"/>
          <w:sz w:val="20"/>
          <w:szCs w:val="20"/>
        </w:rPr>
        <w:t>,</w:t>
      </w:r>
      <w:r w:rsidRPr="002F1A33">
        <w:rPr>
          <w:rFonts w:ascii="Arial" w:hAnsi="Arial" w:cs="Arial"/>
          <w:sz w:val="20"/>
          <w:szCs w:val="20"/>
        </w:rPr>
        <w:t xml:space="preserve"> and providing information and support. This makes it easier for small businesses to understand their obligations, reduces unnecessary red tape, and provides tailored resources and support for small businesses.</w:t>
      </w:r>
    </w:p>
    <w:p w:rsidR="00F80344" w:rsidRPr="002F1A33" w:rsidRDefault="00F80344"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One of the ways the FWO delivers on these goals is through the implementation of educational and compliance campaigns.</w:t>
      </w:r>
      <w:r w:rsidR="00237E7E">
        <w:rPr>
          <w:rFonts w:ascii="Arial" w:hAnsi="Arial" w:cs="Arial"/>
          <w:sz w:val="20"/>
          <w:szCs w:val="20"/>
        </w:rPr>
        <w:t xml:space="preserve"> </w:t>
      </w:r>
      <w:r w:rsidRPr="002F1A33">
        <w:rPr>
          <w:rFonts w:ascii="Arial" w:hAnsi="Arial" w:cs="Arial"/>
          <w:sz w:val="20"/>
          <w:szCs w:val="20"/>
        </w:rPr>
        <w:t xml:space="preserve">The FWO/ASIC QLD Campaign commenced late in May 2016, in partnership with the Australian Securities and Investments Commission (ASIC) – Small Business Compliance &amp; Deterrence team. </w:t>
      </w:r>
    </w:p>
    <w:p w:rsidR="00F80344" w:rsidRDefault="00F80344"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Whilst FWO assists employers and employees in understanding their rights and obligations under Commonwealth workplace laws, ASIC regulates Australian companies, financial markets, financial services organisations and professionals who deal and advise in investments, superannuation, insurance, deposit taking and credit.  </w:t>
      </w:r>
    </w:p>
    <w:p w:rsidR="00F80344" w:rsidRDefault="00F80344" w:rsidP="00642E36">
      <w:pPr>
        <w:spacing w:after="0" w:line="240" w:lineRule="auto"/>
        <w:rPr>
          <w:rFonts w:ascii="Arial" w:hAnsi="Arial" w:cs="Arial"/>
          <w:sz w:val="20"/>
          <w:szCs w:val="20"/>
        </w:rPr>
      </w:pPr>
    </w:p>
    <w:p w:rsidR="002F1A33" w:rsidRPr="00D75649" w:rsidRDefault="002F1A33" w:rsidP="00D75649">
      <w:pPr>
        <w:pStyle w:val="Header"/>
        <w:rPr>
          <w:rFonts w:ascii="Arial" w:hAnsi="Arial" w:cs="Arial"/>
          <w:sz w:val="20"/>
          <w:szCs w:val="20"/>
        </w:rPr>
      </w:pPr>
      <w:r w:rsidRPr="00237E7E">
        <w:rPr>
          <w:rFonts w:ascii="Arial" w:hAnsi="Arial" w:cs="Arial"/>
          <w:sz w:val="20"/>
          <w:szCs w:val="20"/>
        </w:rPr>
        <w:t>This campaign provided the opportunity to reduce regulatory burden on small business and provide them with the advice and support they need fr</w:t>
      </w:r>
      <w:r w:rsidRPr="00D75649">
        <w:rPr>
          <w:rFonts w:ascii="Arial" w:hAnsi="Arial" w:cs="Arial"/>
          <w:sz w:val="20"/>
          <w:szCs w:val="20"/>
        </w:rPr>
        <w:t xml:space="preserve">om the two agencies concurrently.  </w:t>
      </w:r>
    </w:p>
    <w:p w:rsidR="00F80344" w:rsidRDefault="00F80344"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In addition to auditing compliance with time and wage records under the </w:t>
      </w:r>
      <w:proofErr w:type="spellStart"/>
      <w:r w:rsidRPr="002F1A33">
        <w:rPr>
          <w:rFonts w:ascii="Arial" w:hAnsi="Arial" w:cs="Arial"/>
          <w:sz w:val="20"/>
          <w:szCs w:val="20"/>
        </w:rPr>
        <w:t>FWO’s</w:t>
      </w:r>
      <w:proofErr w:type="spellEnd"/>
      <w:r w:rsidRPr="002F1A33">
        <w:rPr>
          <w:rFonts w:ascii="Arial" w:hAnsi="Arial" w:cs="Arial"/>
          <w:sz w:val="20"/>
          <w:szCs w:val="20"/>
        </w:rPr>
        <w:t xml:space="preserve"> jurisdiction, the campaign included first time company directors (who are operating companies that employ staff).  This </w:t>
      </w:r>
      <w:r w:rsidR="00237E7E">
        <w:rPr>
          <w:rFonts w:ascii="Arial" w:hAnsi="Arial" w:cs="Arial"/>
          <w:sz w:val="20"/>
          <w:szCs w:val="20"/>
        </w:rPr>
        <w:t>meant</w:t>
      </w:r>
      <w:r w:rsidRPr="002F1A33">
        <w:rPr>
          <w:rFonts w:ascii="Arial" w:hAnsi="Arial" w:cs="Arial"/>
          <w:sz w:val="20"/>
          <w:szCs w:val="20"/>
        </w:rPr>
        <w:t xml:space="preserve"> ASIC could ensure the</w:t>
      </w:r>
      <w:r w:rsidR="00D26096">
        <w:rPr>
          <w:rFonts w:ascii="Arial" w:hAnsi="Arial" w:cs="Arial"/>
          <w:sz w:val="20"/>
          <w:szCs w:val="20"/>
        </w:rPr>
        <w:t xml:space="preserve"> directors</w:t>
      </w:r>
      <w:r w:rsidRPr="002F1A33">
        <w:rPr>
          <w:rFonts w:ascii="Arial" w:hAnsi="Arial" w:cs="Arial"/>
          <w:sz w:val="20"/>
          <w:szCs w:val="20"/>
        </w:rPr>
        <w:t xml:space="preserve"> are aware of both their employee’s employment entitlements under the Act and the Regulations, along with their registration and reporting responsibilities under ASIC </w:t>
      </w:r>
      <w:r w:rsidR="00EF31DC">
        <w:rPr>
          <w:rFonts w:ascii="Arial" w:hAnsi="Arial" w:cs="Arial"/>
          <w:sz w:val="20"/>
          <w:szCs w:val="20"/>
        </w:rPr>
        <w:t>l</w:t>
      </w:r>
      <w:r w:rsidRPr="002F1A33">
        <w:rPr>
          <w:rFonts w:ascii="Arial" w:hAnsi="Arial" w:cs="Arial"/>
          <w:sz w:val="20"/>
          <w:szCs w:val="20"/>
        </w:rPr>
        <w:t>egislation.</w:t>
      </w:r>
    </w:p>
    <w:p w:rsidR="00F80344" w:rsidRDefault="00F80344" w:rsidP="00642E36">
      <w:pPr>
        <w:spacing w:after="0" w:line="240" w:lineRule="auto"/>
        <w:rPr>
          <w:rFonts w:ascii="Arial" w:hAnsi="Arial" w:cs="Arial"/>
          <w:sz w:val="20"/>
          <w:szCs w:val="20"/>
        </w:rPr>
      </w:pPr>
    </w:p>
    <w:p w:rsidR="002F1A33" w:rsidRPr="002F1A33" w:rsidRDefault="002F1A33" w:rsidP="00642E36">
      <w:pPr>
        <w:spacing w:after="0" w:line="240" w:lineRule="auto"/>
        <w:rPr>
          <w:rFonts w:ascii="Arial" w:hAnsi="Arial" w:cs="Arial"/>
          <w:sz w:val="20"/>
          <w:szCs w:val="20"/>
        </w:rPr>
      </w:pPr>
      <w:r w:rsidRPr="002F1A33">
        <w:rPr>
          <w:rFonts w:ascii="Arial" w:hAnsi="Arial" w:cs="Arial"/>
          <w:sz w:val="20"/>
          <w:szCs w:val="20"/>
        </w:rPr>
        <w:t xml:space="preserve">In total 46 audits were conducted. </w:t>
      </w:r>
      <w:r w:rsidR="004912F7" w:rsidRPr="002F1A33">
        <w:rPr>
          <w:rFonts w:ascii="Arial" w:hAnsi="Arial" w:cs="Arial"/>
          <w:sz w:val="20"/>
          <w:szCs w:val="20"/>
        </w:rPr>
        <w:t>A FWO Fair Work Inspector and an ASIC Analyst conducted the audits at each business site</w:t>
      </w:r>
      <w:r w:rsidRPr="002F1A33">
        <w:rPr>
          <w:rFonts w:ascii="Arial" w:hAnsi="Arial" w:cs="Arial"/>
          <w:sz w:val="20"/>
          <w:szCs w:val="20"/>
        </w:rPr>
        <w:t xml:space="preserve">. The audits </w:t>
      </w:r>
      <w:proofErr w:type="gramStart"/>
      <w:r w:rsidRPr="002F1A33">
        <w:rPr>
          <w:rFonts w:ascii="Arial" w:hAnsi="Arial" w:cs="Arial"/>
          <w:sz w:val="20"/>
          <w:szCs w:val="20"/>
        </w:rPr>
        <w:t>were pre-arranged</w:t>
      </w:r>
      <w:proofErr w:type="gramEnd"/>
      <w:r w:rsidRPr="002F1A33">
        <w:rPr>
          <w:rFonts w:ascii="Arial" w:hAnsi="Arial" w:cs="Arial"/>
          <w:sz w:val="20"/>
          <w:szCs w:val="20"/>
        </w:rPr>
        <w:t xml:space="preserve"> with businesses to minim</w:t>
      </w:r>
      <w:r w:rsidR="004912F7">
        <w:rPr>
          <w:rFonts w:ascii="Arial" w:hAnsi="Arial" w:cs="Arial"/>
          <w:sz w:val="20"/>
          <w:szCs w:val="20"/>
        </w:rPr>
        <w:t>ise</w:t>
      </w:r>
      <w:r w:rsidRPr="002F1A33">
        <w:rPr>
          <w:rFonts w:ascii="Arial" w:hAnsi="Arial" w:cs="Arial"/>
          <w:sz w:val="20"/>
          <w:szCs w:val="20"/>
        </w:rPr>
        <w:t xml:space="preserve"> disruption, </w:t>
      </w:r>
      <w:r w:rsidR="004912F7">
        <w:rPr>
          <w:rFonts w:ascii="Arial" w:hAnsi="Arial" w:cs="Arial"/>
          <w:sz w:val="20"/>
          <w:szCs w:val="20"/>
        </w:rPr>
        <w:t>as well as</w:t>
      </w:r>
      <w:r w:rsidRPr="002F1A33">
        <w:rPr>
          <w:rFonts w:ascii="Arial" w:hAnsi="Arial" w:cs="Arial"/>
          <w:sz w:val="20"/>
          <w:szCs w:val="20"/>
        </w:rPr>
        <w:t xml:space="preserve"> ensure</w:t>
      </w:r>
      <w:r w:rsidR="004912F7">
        <w:rPr>
          <w:rFonts w:ascii="Arial" w:hAnsi="Arial" w:cs="Arial"/>
          <w:sz w:val="20"/>
          <w:szCs w:val="20"/>
        </w:rPr>
        <w:t xml:space="preserve"> that</w:t>
      </w:r>
      <w:r w:rsidRPr="002F1A33">
        <w:rPr>
          <w:rFonts w:ascii="Arial" w:hAnsi="Arial" w:cs="Arial"/>
          <w:sz w:val="20"/>
          <w:szCs w:val="20"/>
        </w:rPr>
        <w:t xml:space="preserve"> businesses had the correct records and office holders on site when the audit was</w:t>
      </w:r>
      <w:r w:rsidR="004912F7">
        <w:rPr>
          <w:rFonts w:ascii="Arial" w:hAnsi="Arial" w:cs="Arial"/>
          <w:sz w:val="20"/>
          <w:szCs w:val="20"/>
        </w:rPr>
        <w:t xml:space="preserve"> being</w:t>
      </w:r>
      <w:r w:rsidRPr="002F1A33">
        <w:rPr>
          <w:rFonts w:ascii="Arial" w:hAnsi="Arial" w:cs="Arial"/>
          <w:sz w:val="20"/>
          <w:szCs w:val="20"/>
        </w:rPr>
        <w:t xml:space="preserve"> conducted.  </w:t>
      </w:r>
    </w:p>
    <w:p w:rsidR="00F80344" w:rsidRDefault="00F80344" w:rsidP="00642E36">
      <w:pPr>
        <w:spacing w:after="0" w:line="240" w:lineRule="auto"/>
        <w:rPr>
          <w:rFonts w:ascii="Arial" w:hAnsi="Arial" w:cs="Arial"/>
          <w:sz w:val="20"/>
          <w:szCs w:val="20"/>
        </w:rPr>
      </w:pPr>
    </w:p>
    <w:p w:rsidR="002F1A33" w:rsidRPr="00720938" w:rsidRDefault="004912F7" w:rsidP="00642E36">
      <w:pPr>
        <w:spacing w:after="0" w:line="240" w:lineRule="auto"/>
        <w:rPr>
          <w:rFonts w:ascii="Arial" w:hAnsi="Arial" w:cs="Arial"/>
          <w:sz w:val="20"/>
          <w:szCs w:val="20"/>
        </w:rPr>
      </w:pPr>
      <w:r w:rsidRPr="002F1A33">
        <w:rPr>
          <w:rFonts w:ascii="Arial" w:hAnsi="Arial" w:cs="Arial"/>
          <w:sz w:val="20"/>
          <w:szCs w:val="20"/>
        </w:rPr>
        <w:t xml:space="preserve">A report </w:t>
      </w:r>
      <w:proofErr w:type="gramStart"/>
      <w:r w:rsidRPr="002F1A33">
        <w:rPr>
          <w:rFonts w:ascii="Arial" w:hAnsi="Arial" w:cs="Arial"/>
          <w:sz w:val="20"/>
          <w:szCs w:val="20"/>
        </w:rPr>
        <w:t>will be published</w:t>
      </w:r>
      <w:proofErr w:type="gramEnd"/>
      <w:r w:rsidRPr="002F1A33">
        <w:rPr>
          <w:rFonts w:ascii="Arial" w:hAnsi="Arial" w:cs="Arial"/>
          <w:sz w:val="20"/>
          <w:szCs w:val="20"/>
        </w:rPr>
        <w:t xml:space="preserve"> in the 2016-17 financial year. </w:t>
      </w:r>
      <w:r w:rsidR="002F1A33" w:rsidRPr="002F1A33">
        <w:rPr>
          <w:rFonts w:ascii="Arial" w:hAnsi="Arial" w:cs="Arial"/>
          <w:sz w:val="20"/>
          <w:szCs w:val="20"/>
        </w:rPr>
        <w:t xml:space="preserve">The campaign report will include an analysis of data obtained throughout the auditing phase of the campaign. </w:t>
      </w:r>
    </w:p>
    <w:p w:rsidR="00AB6AE2" w:rsidRPr="002F1A33" w:rsidRDefault="00AB6AE2" w:rsidP="00642E36">
      <w:pPr>
        <w:pStyle w:val="Heading1"/>
        <w:spacing w:before="0" w:line="240" w:lineRule="auto"/>
        <w:rPr>
          <w:rFonts w:ascii="Arial" w:hAnsi="Arial" w:cs="Arial"/>
          <w:b w:val="0"/>
          <w:color w:val="auto"/>
          <w:sz w:val="20"/>
          <w:szCs w:val="20"/>
        </w:rPr>
      </w:pPr>
    </w:p>
    <w:p w:rsidR="00AB6AE2" w:rsidRPr="002F1A33" w:rsidRDefault="00AB6AE2" w:rsidP="00642E36">
      <w:pPr>
        <w:pStyle w:val="Heading1"/>
        <w:spacing w:before="0" w:line="240" w:lineRule="auto"/>
        <w:rPr>
          <w:rFonts w:ascii="Arial" w:hAnsi="Arial" w:cs="Arial"/>
          <w:b w:val="0"/>
          <w:color w:val="auto"/>
          <w:sz w:val="20"/>
          <w:szCs w:val="20"/>
        </w:rPr>
      </w:pPr>
    </w:p>
    <w:p w:rsidR="00AB6AE2" w:rsidRPr="002F1A33" w:rsidRDefault="00AB6AE2" w:rsidP="00642E36">
      <w:pPr>
        <w:pStyle w:val="Heading1"/>
        <w:spacing w:before="0" w:line="240" w:lineRule="auto"/>
        <w:rPr>
          <w:rFonts w:ascii="Arial" w:hAnsi="Arial" w:cs="Arial"/>
          <w:b w:val="0"/>
          <w:color w:val="auto"/>
          <w:sz w:val="20"/>
          <w:szCs w:val="20"/>
        </w:rPr>
      </w:pPr>
    </w:p>
    <w:p w:rsidR="00AB6AE2" w:rsidRPr="002F1A33" w:rsidRDefault="00AB6AE2" w:rsidP="00642E36">
      <w:pPr>
        <w:pStyle w:val="Heading1"/>
        <w:spacing w:before="0" w:line="240" w:lineRule="auto"/>
        <w:rPr>
          <w:rFonts w:ascii="Arial" w:hAnsi="Arial" w:cs="Arial"/>
          <w:b w:val="0"/>
          <w:color w:val="auto"/>
          <w:sz w:val="20"/>
          <w:szCs w:val="20"/>
        </w:rPr>
      </w:pPr>
    </w:p>
    <w:p w:rsidR="00AB6AE2" w:rsidRDefault="00AB6AE2" w:rsidP="00642E36">
      <w:pPr>
        <w:pStyle w:val="Heading1"/>
        <w:spacing w:before="0" w:line="240" w:lineRule="auto"/>
        <w:rPr>
          <w:rFonts w:ascii="Arial" w:hAnsi="Arial" w:cs="Arial"/>
          <w:b w:val="0"/>
          <w:color w:val="31849B" w:themeColor="accent5" w:themeShade="BF"/>
          <w:sz w:val="20"/>
          <w:szCs w:val="20"/>
        </w:rPr>
      </w:pPr>
    </w:p>
    <w:p w:rsidR="00AB6AE2" w:rsidRDefault="00AB6AE2" w:rsidP="00642E36">
      <w:pPr>
        <w:spacing w:after="0" w:line="240" w:lineRule="auto"/>
      </w:pPr>
    </w:p>
    <w:p w:rsidR="00AB6AE2" w:rsidRDefault="00AB6AE2" w:rsidP="00642E36">
      <w:pPr>
        <w:spacing w:after="0" w:line="240" w:lineRule="auto"/>
      </w:pPr>
    </w:p>
    <w:p w:rsidR="00AB6AE2" w:rsidRDefault="00AB6AE2" w:rsidP="00642E36">
      <w:pPr>
        <w:spacing w:after="0" w:line="240" w:lineRule="auto"/>
      </w:pPr>
    </w:p>
    <w:p w:rsidR="00AB6AE2" w:rsidRDefault="00AB6AE2" w:rsidP="00642E36">
      <w:pPr>
        <w:spacing w:after="0" w:line="240" w:lineRule="auto"/>
      </w:pPr>
    </w:p>
    <w:p w:rsidR="00AB6AE2" w:rsidRDefault="00AB6AE2" w:rsidP="00642E36">
      <w:pPr>
        <w:spacing w:after="0" w:line="240" w:lineRule="auto"/>
      </w:pPr>
    </w:p>
    <w:p w:rsidR="007C45BB" w:rsidRDefault="007C45BB" w:rsidP="00642E36">
      <w:pPr>
        <w:spacing w:after="0" w:line="240" w:lineRule="auto"/>
      </w:pPr>
    </w:p>
    <w:p w:rsidR="007C45BB" w:rsidRDefault="007C45BB" w:rsidP="00642E36">
      <w:pPr>
        <w:spacing w:after="0" w:line="240" w:lineRule="auto"/>
      </w:pPr>
    </w:p>
    <w:p w:rsidR="007C45BB" w:rsidRDefault="007C45BB" w:rsidP="00642E36">
      <w:pPr>
        <w:spacing w:after="0" w:line="240" w:lineRule="auto"/>
      </w:pPr>
    </w:p>
    <w:p w:rsidR="007C45BB" w:rsidRDefault="007C45BB" w:rsidP="00642E36">
      <w:pPr>
        <w:spacing w:after="0" w:line="240" w:lineRule="auto"/>
      </w:pPr>
    </w:p>
    <w:p w:rsidR="007C45BB" w:rsidRDefault="007C45BB" w:rsidP="00642E36">
      <w:pPr>
        <w:spacing w:after="0" w:line="240" w:lineRule="auto"/>
      </w:pPr>
    </w:p>
    <w:p w:rsidR="007C45BB" w:rsidRDefault="007C45BB" w:rsidP="00642E36">
      <w:pPr>
        <w:spacing w:after="0" w:line="240" w:lineRule="auto"/>
      </w:pPr>
    </w:p>
    <w:p w:rsidR="00AB6AE2" w:rsidRDefault="00AB6AE2" w:rsidP="00642E36">
      <w:pPr>
        <w:spacing w:after="0" w:line="240" w:lineRule="auto"/>
      </w:pPr>
    </w:p>
    <w:p w:rsidR="00AB6AE2" w:rsidRDefault="00AB6AE2" w:rsidP="00642E36">
      <w:pPr>
        <w:spacing w:after="0" w:line="240" w:lineRule="auto"/>
      </w:pPr>
    </w:p>
    <w:p w:rsidR="00AB6AE2" w:rsidRPr="00AB6AE2" w:rsidRDefault="00AB6AE2" w:rsidP="00642E36">
      <w:pPr>
        <w:spacing w:after="0" w:line="240" w:lineRule="auto"/>
      </w:pPr>
    </w:p>
    <w:p w:rsidR="00FA3E9E" w:rsidRPr="00AB6AE2" w:rsidRDefault="00FA3E9E">
      <w:pPr>
        <w:spacing w:after="0" w:line="240" w:lineRule="auto"/>
      </w:pPr>
    </w:p>
    <w:sectPr w:rsidR="00FA3E9E" w:rsidRPr="00AB6AE2" w:rsidSect="007C45BB">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C8" w:rsidRDefault="00EC43C8" w:rsidP="004322A4">
      <w:pPr>
        <w:spacing w:after="0" w:line="240" w:lineRule="auto"/>
      </w:pPr>
      <w:r>
        <w:separator/>
      </w:r>
    </w:p>
  </w:endnote>
  <w:endnote w:type="continuationSeparator" w:id="0">
    <w:p w:rsidR="00EC43C8" w:rsidRDefault="00EC43C8" w:rsidP="0043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10" w:rsidRDefault="00951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D" w:rsidRPr="00881686" w:rsidRDefault="00487D1D" w:rsidP="007E788E">
    <w:pPr>
      <w:pStyle w:val="Footer"/>
      <w:jc w:val="right"/>
      <w:rPr>
        <w:rFonts w:ascii="Arial" w:hAnsi="Arial" w:cs="Arial"/>
        <w:sz w:val="18"/>
        <w:szCs w:val="18"/>
      </w:rPr>
    </w:pPr>
    <w:r>
      <w:rPr>
        <w:rFonts w:ascii="Arial" w:hAnsi="Arial" w:cs="Arial"/>
        <w:sz w:val="18"/>
        <w:szCs w:val="18"/>
      </w:rPr>
      <w:t>FWO Regulator Performance Framework Report 2015-16</w:t>
    </w:r>
    <w:r w:rsidR="007E788E">
      <w:rPr>
        <w:rFonts w:ascii="Arial" w:hAnsi="Arial" w:cs="Arial"/>
        <w:sz w:val="18"/>
        <w:szCs w:val="18"/>
      </w:rPr>
      <w:tab/>
    </w:r>
    <w:sdt>
      <w:sdtPr>
        <w:id w:val="-1027945361"/>
        <w:docPartObj>
          <w:docPartGallery w:val="Page Numbers (Bottom of Page)"/>
          <w:docPartUnique/>
        </w:docPartObj>
      </w:sdtPr>
      <w:sdtEndPr>
        <w:rPr>
          <w:rFonts w:ascii="Arial" w:hAnsi="Arial" w:cs="Arial"/>
          <w:noProof/>
          <w:sz w:val="18"/>
          <w:szCs w:val="18"/>
        </w:rPr>
      </w:sdtEndPr>
      <w:sdtContent>
        <w:r w:rsidR="007E788E" w:rsidRPr="00881686">
          <w:rPr>
            <w:rFonts w:ascii="Arial" w:hAnsi="Arial" w:cs="Arial"/>
            <w:sz w:val="18"/>
            <w:szCs w:val="18"/>
          </w:rPr>
          <w:fldChar w:fldCharType="begin"/>
        </w:r>
        <w:r w:rsidR="007E788E" w:rsidRPr="00881686">
          <w:rPr>
            <w:rFonts w:ascii="Arial" w:hAnsi="Arial" w:cs="Arial"/>
            <w:sz w:val="18"/>
            <w:szCs w:val="18"/>
          </w:rPr>
          <w:instrText xml:space="preserve"> PAGE   \* MERGEFORMAT </w:instrText>
        </w:r>
        <w:r w:rsidR="007E788E" w:rsidRPr="00881686">
          <w:rPr>
            <w:rFonts w:ascii="Arial" w:hAnsi="Arial" w:cs="Arial"/>
            <w:sz w:val="18"/>
            <w:szCs w:val="18"/>
          </w:rPr>
          <w:fldChar w:fldCharType="separate"/>
        </w:r>
        <w:r w:rsidR="00BF005B">
          <w:rPr>
            <w:rFonts w:ascii="Arial" w:hAnsi="Arial" w:cs="Arial"/>
            <w:noProof/>
            <w:sz w:val="18"/>
            <w:szCs w:val="18"/>
          </w:rPr>
          <w:t>12</w:t>
        </w:r>
        <w:r w:rsidR="007E788E" w:rsidRPr="00881686">
          <w:rPr>
            <w:rFonts w:ascii="Arial" w:hAnsi="Arial" w:cs="Arial"/>
            <w:noProof/>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10" w:rsidRDefault="00951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C8" w:rsidRDefault="00EC43C8" w:rsidP="004322A4">
      <w:pPr>
        <w:spacing w:after="0" w:line="240" w:lineRule="auto"/>
      </w:pPr>
      <w:r>
        <w:separator/>
      </w:r>
    </w:p>
  </w:footnote>
  <w:footnote w:type="continuationSeparator" w:id="0">
    <w:p w:rsidR="00EC43C8" w:rsidRDefault="00EC43C8" w:rsidP="00432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10" w:rsidRDefault="00951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DC" w:rsidRDefault="00EF3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10" w:rsidRDefault="00951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44"/>
    <w:multiLevelType w:val="hybridMultilevel"/>
    <w:tmpl w:val="98E4CD04"/>
    <w:lvl w:ilvl="0" w:tplc="AAA890EE">
      <w:start w:val="1"/>
      <w:numFmt w:val="bullet"/>
      <w:lvlText w:val=""/>
      <w:lvlJc w:val="left"/>
      <w:pPr>
        <w:ind w:left="720" w:hanging="360"/>
      </w:pPr>
      <w:rPr>
        <w:rFonts w:ascii="Wingdings" w:hAnsi="Wingdings" w:hint="default"/>
        <w:sz w:val="18"/>
      </w:rPr>
    </w:lvl>
    <w:lvl w:ilvl="1" w:tplc="AAA890EE">
      <w:start w:val="1"/>
      <w:numFmt w:val="bullet"/>
      <w:lvlText w:val=""/>
      <w:lvlJc w:val="left"/>
      <w:pPr>
        <w:ind w:left="1440" w:hanging="360"/>
      </w:pPr>
      <w:rPr>
        <w:rFonts w:ascii="Wingdings" w:hAnsi="Wingdings"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DB2AE7"/>
    <w:multiLevelType w:val="hybridMultilevel"/>
    <w:tmpl w:val="567E880A"/>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9D1738"/>
    <w:multiLevelType w:val="hybridMultilevel"/>
    <w:tmpl w:val="09FA2B16"/>
    <w:lvl w:ilvl="0" w:tplc="AAA890EE">
      <w:start w:val="1"/>
      <w:numFmt w:val="bullet"/>
      <w:lvlText w:val=""/>
      <w:lvlJc w:val="left"/>
      <w:pPr>
        <w:ind w:left="360" w:hanging="360"/>
      </w:pPr>
      <w:rPr>
        <w:rFonts w:ascii="Wingdings" w:hAnsi="Wingdings"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DB22908"/>
    <w:multiLevelType w:val="hybridMultilevel"/>
    <w:tmpl w:val="19A657AE"/>
    <w:lvl w:ilvl="0" w:tplc="36466E8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E324FC3"/>
    <w:multiLevelType w:val="hybridMultilevel"/>
    <w:tmpl w:val="441C6ABA"/>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CD470F"/>
    <w:multiLevelType w:val="hybridMultilevel"/>
    <w:tmpl w:val="C1C64A08"/>
    <w:lvl w:ilvl="0" w:tplc="AAA890EE">
      <w:start w:val="1"/>
      <w:numFmt w:val="bullet"/>
      <w:lvlText w:val=""/>
      <w:lvlJc w:val="left"/>
      <w:pPr>
        <w:ind w:left="720" w:hanging="360"/>
      </w:pPr>
      <w:rPr>
        <w:rFonts w:ascii="Wingdings" w:hAnsi="Wingdings"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4D7EF9"/>
    <w:multiLevelType w:val="hybridMultilevel"/>
    <w:tmpl w:val="BCE084D4"/>
    <w:lvl w:ilvl="0" w:tplc="AAA890EE">
      <w:start w:val="1"/>
      <w:numFmt w:val="bullet"/>
      <w:lvlText w:val=""/>
      <w:lvlJc w:val="left"/>
      <w:pPr>
        <w:ind w:left="360" w:hanging="360"/>
      </w:pPr>
      <w:rPr>
        <w:rFonts w:ascii="Wingdings" w:hAnsi="Wingdings" w:hint="default"/>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FEC4BE5"/>
    <w:multiLevelType w:val="hybridMultilevel"/>
    <w:tmpl w:val="C102F332"/>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9118AA"/>
    <w:multiLevelType w:val="hybridMultilevel"/>
    <w:tmpl w:val="7D105622"/>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5B5513"/>
    <w:multiLevelType w:val="hybridMultilevel"/>
    <w:tmpl w:val="04AC8D2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BC440D7"/>
    <w:multiLevelType w:val="hybridMultilevel"/>
    <w:tmpl w:val="7FF8D84C"/>
    <w:lvl w:ilvl="0" w:tplc="AAA890EE">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C7658EC"/>
    <w:multiLevelType w:val="hybridMultilevel"/>
    <w:tmpl w:val="587A90F2"/>
    <w:lvl w:ilvl="0" w:tplc="AAA890EE">
      <w:start w:val="1"/>
      <w:numFmt w:val="bullet"/>
      <w:lvlText w:val=""/>
      <w:lvlJc w:val="left"/>
      <w:pPr>
        <w:ind w:left="720" w:hanging="360"/>
      </w:pPr>
      <w:rPr>
        <w:rFonts w:ascii="Wingdings" w:hAnsi="Wingdings"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C7D6AA8"/>
    <w:multiLevelType w:val="hybridMultilevel"/>
    <w:tmpl w:val="E3F8374A"/>
    <w:lvl w:ilvl="0" w:tplc="0C090001">
      <w:start w:val="1"/>
      <w:numFmt w:val="bullet"/>
      <w:lvlText w:val=""/>
      <w:lvlJc w:val="left"/>
      <w:pPr>
        <w:ind w:left="720" w:hanging="360"/>
      </w:pPr>
      <w:rPr>
        <w:rFonts w:ascii="Symbol" w:hAnsi="Symbol" w:hint="default"/>
      </w:rPr>
    </w:lvl>
    <w:lvl w:ilvl="1" w:tplc="36466E8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C168BC"/>
    <w:multiLevelType w:val="hybridMultilevel"/>
    <w:tmpl w:val="85EE6732"/>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0D5DEC"/>
    <w:multiLevelType w:val="hybridMultilevel"/>
    <w:tmpl w:val="DE2CD90E"/>
    <w:lvl w:ilvl="0" w:tplc="AAA890EE">
      <w:start w:val="1"/>
      <w:numFmt w:val="bullet"/>
      <w:lvlText w:val=""/>
      <w:lvlJc w:val="left"/>
      <w:pPr>
        <w:ind w:left="720" w:hanging="360"/>
      </w:pPr>
      <w:rPr>
        <w:rFonts w:ascii="Wingdings" w:hAnsi="Wingdings"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8D1045"/>
    <w:multiLevelType w:val="hybridMultilevel"/>
    <w:tmpl w:val="9DB8442A"/>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D414B2"/>
    <w:multiLevelType w:val="hybridMultilevel"/>
    <w:tmpl w:val="BB1A57BE"/>
    <w:lvl w:ilvl="0" w:tplc="AAA890EE">
      <w:start w:val="1"/>
      <w:numFmt w:val="bullet"/>
      <w:lvlText w:val=""/>
      <w:lvlJc w:val="left"/>
      <w:pPr>
        <w:ind w:left="720" w:hanging="360"/>
      </w:pPr>
      <w:rPr>
        <w:rFonts w:ascii="Wingdings" w:hAnsi="Wingdings"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1132AF"/>
    <w:multiLevelType w:val="hybridMultilevel"/>
    <w:tmpl w:val="47A28DD4"/>
    <w:lvl w:ilvl="0" w:tplc="36466E8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8EF5976"/>
    <w:multiLevelType w:val="hybridMultilevel"/>
    <w:tmpl w:val="7980A038"/>
    <w:lvl w:ilvl="0" w:tplc="36466E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E31415"/>
    <w:multiLevelType w:val="hybridMultilevel"/>
    <w:tmpl w:val="D172B8F0"/>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F81D4F"/>
    <w:multiLevelType w:val="hybridMultilevel"/>
    <w:tmpl w:val="4C1C36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2F3376"/>
    <w:multiLevelType w:val="hybridMultilevel"/>
    <w:tmpl w:val="000AB790"/>
    <w:lvl w:ilvl="0" w:tplc="974CBDD4">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F440C2"/>
    <w:multiLevelType w:val="hybridMultilevel"/>
    <w:tmpl w:val="3AC27100"/>
    <w:lvl w:ilvl="0" w:tplc="23EEAC8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AB4086"/>
    <w:multiLevelType w:val="hybridMultilevel"/>
    <w:tmpl w:val="1EFC2DE2"/>
    <w:lvl w:ilvl="0" w:tplc="974CBDD4">
      <w:start w:val="4"/>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B566538"/>
    <w:multiLevelType w:val="hybridMultilevel"/>
    <w:tmpl w:val="D0A4CAF2"/>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7B38C5"/>
    <w:multiLevelType w:val="hybridMultilevel"/>
    <w:tmpl w:val="1BFE4658"/>
    <w:lvl w:ilvl="0" w:tplc="AAA890EE">
      <w:start w:val="1"/>
      <w:numFmt w:val="bullet"/>
      <w:lvlText w:val=""/>
      <w:lvlJc w:val="left"/>
      <w:pPr>
        <w:ind w:left="360" w:hanging="360"/>
      </w:pPr>
      <w:rPr>
        <w:rFonts w:ascii="Wingdings" w:hAnsi="Wingdings"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EB46121"/>
    <w:multiLevelType w:val="hybridMultilevel"/>
    <w:tmpl w:val="CF6AD36C"/>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1C0035"/>
    <w:multiLevelType w:val="hybridMultilevel"/>
    <w:tmpl w:val="2AB4B11C"/>
    <w:lvl w:ilvl="0" w:tplc="AAA890EE">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3877937"/>
    <w:multiLevelType w:val="hybridMultilevel"/>
    <w:tmpl w:val="1D6E4B36"/>
    <w:lvl w:ilvl="0" w:tplc="AAA890EE">
      <w:start w:val="1"/>
      <w:numFmt w:val="bullet"/>
      <w:lvlText w:val=""/>
      <w:lvlJc w:val="left"/>
      <w:pPr>
        <w:ind w:left="360" w:hanging="360"/>
      </w:pPr>
      <w:rPr>
        <w:rFonts w:ascii="Wingdings" w:hAnsi="Wingdings" w:hint="default"/>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5106953"/>
    <w:multiLevelType w:val="hybridMultilevel"/>
    <w:tmpl w:val="D0749E0E"/>
    <w:lvl w:ilvl="0" w:tplc="AAA890EE">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C676868"/>
    <w:multiLevelType w:val="hybridMultilevel"/>
    <w:tmpl w:val="73FE626E"/>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063E0E"/>
    <w:multiLevelType w:val="hybridMultilevel"/>
    <w:tmpl w:val="D3C4B4A2"/>
    <w:lvl w:ilvl="0" w:tplc="0C090001">
      <w:start w:val="1"/>
      <w:numFmt w:val="bullet"/>
      <w:lvlText w:val=""/>
      <w:lvlJc w:val="left"/>
      <w:pPr>
        <w:ind w:left="720" w:hanging="360"/>
      </w:pPr>
      <w:rPr>
        <w:rFonts w:ascii="Symbol" w:hAnsi="Symbol" w:hint="default"/>
      </w:rPr>
    </w:lvl>
    <w:lvl w:ilvl="1" w:tplc="36466E8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20082"/>
    <w:multiLevelType w:val="hybridMultilevel"/>
    <w:tmpl w:val="C5644844"/>
    <w:lvl w:ilvl="0" w:tplc="AAA890EE">
      <w:start w:val="1"/>
      <w:numFmt w:val="bullet"/>
      <w:lvlText w:val=""/>
      <w:lvlJc w:val="left"/>
      <w:pPr>
        <w:ind w:left="720" w:hanging="360"/>
      </w:pPr>
      <w:rPr>
        <w:rFonts w:ascii="Wingdings" w:hAnsi="Wingdings"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4C48DA"/>
    <w:multiLevelType w:val="hybridMultilevel"/>
    <w:tmpl w:val="4072B65A"/>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833FFF"/>
    <w:multiLevelType w:val="hybridMultilevel"/>
    <w:tmpl w:val="1E120398"/>
    <w:lvl w:ilvl="0" w:tplc="AAA890EE">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C2F6D42"/>
    <w:multiLevelType w:val="hybridMultilevel"/>
    <w:tmpl w:val="AF48CD74"/>
    <w:lvl w:ilvl="0" w:tplc="0C090001">
      <w:start w:val="1"/>
      <w:numFmt w:val="bullet"/>
      <w:lvlText w:val=""/>
      <w:lvlJc w:val="left"/>
      <w:pPr>
        <w:ind w:left="360" w:hanging="360"/>
      </w:pPr>
      <w:rPr>
        <w:rFonts w:ascii="Symbol" w:hAnsi="Symbol" w:hint="default"/>
      </w:rPr>
    </w:lvl>
    <w:lvl w:ilvl="1" w:tplc="AAA890EE">
      <w:start w:val="1"/>
      <w:numFmt w:val="bullet"/>
      <w:lvlText w:val=""/>
      <w:lvlJc w:val="left"/>
      <w:pPr>
        <w:ind w:left="1080" w:hanging="360"/>
      </w:pPr>
      <w:rPr>
        <w:rFonts w:ascii="Wingdings" w:hAnsi="Wingdings" w:hint="default"/>
        <w:sz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F3A31A2"/>
    <w:multiLevelType w:val="hybridMultilevel"/>
    <w:tmpl w:val="B52AABE4"/>
    <w:lvl w:ilvl="0" w:tplc="AAA890EE">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
  </w:num>
  <w:num w:numId="4">
    <w:abstractNumId w:val="24"/>
  </w:num>
  <w:num w:numId="5">
    <w:abstractNumId w:val="23"/>
  </w:num>
  <w:num w:numId="6">
    <w:abstractNumId w:val="21"/>
  </w:num>
  <w:num w:numId="7">
    <w:abstractNumId w:val="7"/>
  </w:num>
  <w:num w:numId="8">
    <w:abstractNumId w:val="22"/>
  </w:num>
  <w:num w:numId="9">
    <w:abstractNumId w:val="20"/>
  </w:num>
  <w:num w:numId="10">
    <w:abstractNumId w:val="31"/>
  </w:num>
  <w:num w:numId="11">
    <w:abstractNumId w:val="12"/>
  </w:num>
  <w:num w:numId="12">
    <w:abstractNumId w:val="18"/>
  </w:num>
  <w:num w:numId="13">
    <w:abstractNumId w:val="4"/>
  </w:num>
  <w:num w:numId="14">
    <w:abstractNumId w:val="1"/>
  </w:num>
  <w:num w:numId="15">
    <w:abstractNumId w:val="2"/>
  </w:num>
  <w:num w:numId="16">
    <w:abstractNumId w:val="25"/>
  </w:num>
  <w:num w:numId="17">
    <w:abstractNumId w:val="29"/>
  </w:num>
  <w:num w:numId="18">
    <w:abstractNumId w:val="6"/>
  </w:num>
  <w:num w:numId="19">
    <w:abstractNumId w:val="28"/>
  </w:num>
  <w:num w:numId="20">
    <w:abstractNumId w:val="10"/>
  </w:num>
  <w:num w:numId="21">
    <w:abstractNumId w:val="27"/>
  </w:num>
  <w:num w:numId="22">
    <w:abstractNumId w:val="34"/>
  </w:num>
  <w:num w:numId="23">
    <w:abstractNumId w:val="15"/>
  </w:num>
  <w:num w:numId="24">
    <w:abstractNumId w:val="14"/>
  </w:num>
  <w:num w:numId="25">
    <w:abstractNumId w:val="5"/>
  </w:num>
  <w:num w:numId="26">
    <w:abstractNumId w:val="32"/>
  </w:num>
  <w:num w:numId="27">
    <w:abstractNumId w:val="16"/>
  </w:num>
  <w:num w:numId="28">
    <w:abstractNumId w:val="8"/>
  </w:num>
  <w:num w:numId="29">
    <w:abstractNumId w:val="11"/>
  </w:num>
  <w:num w:numId="30">
    <w:abstractNumId w:val="35"/>
  </w:num>
  <w:num w:numId="31">
    <w:abstractNumId w:val="0"/>
  </w:num>
  <w:num w:numId="32">
    <w:abstractNumId w:val="33"/>
  </w:num>
  <w:num w:numId="33">
    <w:abstractNumId w:val="30"/>
  </w:num>
  <w:num w:numId="34">
    <w:abstractNumId w:val="36"/>
  </w:num>
  <w:num w:numId="35">
    <w:abstractNumId w:val="13"/>
  </w:num>
  <w:num w:numId="36">
    <w:abstractNumId w:val="26"/>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
    <w15:presenceInfo w15:providerId="None" w15:userId="Lau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A4"/>
    <w:rsid w:val="0003007B"/>
    <w:rsid w:val="000447F6"/>
    <w:rsid w:val="000B04F4"/>
    <w:rsid w:val="000C60F2"/>
    <w:rsid w:val="000D3230"/>
    <w:rsid w:val="000E1EF6"/>
    <w:rsid w:val="00107237"/>
    <w:rsid w:val="0011279F"/>
    <w:rsid w:val="00127250"/>
    <w:rsid w:val="00167869"/>
    <w:rsid w:val="001B36C2"/>
    <w:rsid w:val="00235C9D"/>
    <w:rsid w:val="00237E7E"/>
    <w:rsid w:val="00260E3C"/>
    <w:rsid w:val="002630B5"/>
    <w:rsid w:val="00283999"/>
    <w:rsid w:val="00295A26"/>
    <w:rsid w:val="002A56BB"/>
    <w:rsid w:val="002B04FB"/>
    <w:rsid w:val="002B1BBE"/>
    <w:rsid w:val="002E3357"/>
    <w:rsid w:val="002F1A33"/>
    <w:rsid w:val="002F22B4"/>
    <w:rsid w:val="00367256"/>
    <w:rsid w:val="00371F2A"/>
    <w:rsid w:val="00373DA2"/>
    <w:rsid w:val="003816FD"/>
    <w:rsid w:val="00392FE6"/>
    <w:rsid w:val="003953B8"/>
    <w:rsid w:val="003B57BA"/>
    <w:rsid w:val="003E4E2F"/>
    <w:rsid w:val="003E625D"/>
    <w:rsid w:val="00401596"/>
    <w:rsid w:val="004322A4"/>
    <w:rsid w:val="004379A2"/>
    <w:rsid w:val="00452C80"/>
    <w:rsid w:val="00462D92"/>
    <w:rsid w:val="00470C81"/>
    <w:rsid w:val="00487D1D"/>
    <w:rsid w:val="004912F7"/>
    <w:rsid w:val="005172AC"/>
    <w:rsid w:val="005209C1"/>
    <w:rsid w:val="00536FD4"/>
    <w:rsid w:val="005E3960"/>
    <w:rsid w:val="005E3E7A"/>
    <w:rsid w:val="005F1292"/>
    <w:rsid w:val="00620DEB"/>
    <w:rsid w:val="00630F04"/>
    <w:rsid w:val="00642E36"/>
    <w:rsid w:val="00661074"/>
    <w:rsid w:val="00680AAD"/>
    <w:rsid w:val="00720938"/>
    <w:rsid w:val="00727533"/>
    <w:rsid w:val="00737C1E"/>
    <w:rsid w:val="00751B76"/>
    <w:rsid w:val="00786154"/>
    <w:rsid w:val="007A49AE"/>
    <w:rsid w:val="007A4FCA"/>
    <w:rsid w:val="007C076B"/>
    <w:rsid w:val="007C45BB"/>
    <w:rsid w:val="007E788E"/>
    <w:rsid w:val="007F121E"/>
    <w:rsid w:val="008017A4"/>
    <w:rsid w:val="0080358E"/>
    <w:rsid w:val="00812D18"/>
    <w:rsid w:val="00866EDE"/>
    <w:rsid w:val="00881686"/>
    <w:rsid w:val="00886868"/>
    <w:rsid w:val="008D6290"/>
    <w:rsid w:val="008E5C15"/>
    <w:rsid w:val="008F05D3"/>
    <w:rsid w:val="00951510"/>
    <w:rsid w:val="00962688"/>
    <w:rsid w:val="00966485"/>
    <w:rsid w:val="00970593"/>
    <w:rsid w:val="009927D7"/>
    <w:rsid w:val="009B39EB"/>
    <w:rsid w:val="009C7256"/>
    <w:rsid w:val="009D2A87"/>
    <w:rsid w:val="009E1437"/>
    <w:rsid w:val="009E5E32"/>
    <w:rsid w:val="009E614A"/>
    <w:rsid w:val="009F1585"/>
    <w:rsid w:val="00A03916"/>
    <w:rsid w:val="00A1574B"/>
    <w:rsid w:val="00A52079"/>
    <w:rsid w:val="00A55B6F"/>
    <w:rsid w:val="00AB6AE2"/>
    <w:rsid w:val="00AE3F2C"/>
    <w:rsid w:val="00B255A4"/>
    <w:rsid w:val="00B454B1"/>
    <w:rsid w:val="00B753E4"/>
    <w:rsid w:val="00BB07BB"/>
    <w:rsid w:val="00BB2C9E"/>
    <w:rsid w:val="00BC7D17"/>
    <w:rsid w:val="00BD2A73"/>
    <w:rsid w:val="00BE2C34"/>
    <w:rsid w:val="00BF005B"/>
    <w:rsid w:val="00C20D6B"/>
    <w:rsid w:val="00C23A6D"/>
    <w:rsid w:val="00C34736"/>
    <w:rsid w:val="00C77931"/>
    <w:rsid w:val="00C87979"/>
    <w:rsid w:val="00CC6F95"/>
    <w:rsid w:val="00CD63AD"/>
    <w:rsid w:val="00CF1CE0"/>
    <w:rsid w:val="00CF2C96"/>
    <w:rsid w:val="00CF5264"/>
    <w:rsid w:val="00D175DD"/>
    <w:rsid w:val="00D26096"/>
    <w:rsid w:val="00D43369"/>
    <w:rsid w:val="00D621B5"/>
    <w:rsid w:val="00D64C03"/>
    <w:rsid w:val="00D71C3D"/>
    <w:rsid w:val="00D75649"/>
    <w:rsid w:val="00DA1FA7"/>
    <w:rsid w:val="00DB415F"/>
    <w:rsid w:val="00DF7C3F"/>
    <w:rsid w:val="00E524C7"/>
    <w:rsid w:val="00E702AA"/>
    <w:rsid w:val="00E80A32"/>
    <w:rsid w:val="00E9404C"/>
    <w:rsid w:val="00EC21B9"/>
    <w:rsid w:val="00EC43C8"/>
    <w:rsid w:val="00ED2BAC"/>
    <w:rsid w:val="00EF31DC"/>
    <w:rsid w:val="00F24A27"/>
    <w:rsid w:val="00F65208"/>
    <w:rsid w:val="00F6667A"/>
    <w:rsid w:val="00F80344"/>
    <w:rsid w:val="00F84F73"/>
    <w:rsid w:val="00FA3E9E"/>
    <w:rsid w:val="00FE5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A4"/>
  </w:style>
  <w:style w:type="paragraph" w:styleId="Heading1">
    <w:name w:val="heading 1"/>
    <w:basedOn w:val="Normal"/>
    <w:next w:val="Normal"/>
    <w:link w:val="Heading1Char"/>
    <w:uiPriority w:val="9"/>
    <w:qFormat/>
    <w:rsid w:val="00432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22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2A4"/>
    <w:pPr>
      <w:ind w:left="720"/>
      <w:contextualSpacing/>
    </w:pPr>
  </w:style>
  <w:style w:type="character" w:styleId="CommentReference">
    <w:name w:val="annotation reference"/>
    <w:basedOn w:val="DefaultParagraphFont"/>
    <w:uiPriority w:val="99"/>
    <w:semiHidden/>
    <w:unhideWhenUsed/>
    <w:rsid w:val="004322A4"/>
    <w:rPr>
      <w:sz w:val="16"/>
      <w:szCs w:val="16"/>
    </w:rPr>
  </w:style>
  <w:style w:type="paragraph" w:styleId="CommentText">
    <w:name w:val="annotation text"/>
    <w:basedOn w:val="Normal"/>
    <w:link w:val="CommentTextChar"/>
    <w:uiPriority w:val="99"/>
    <w:unhideWhenUsed/>
    <w:rsid w:val="004322A4"/>
    <w:pPr>
      <w:spacing w:line="240" w:lineRule="auto"/>
    </w:pPr>
    <w:rPr>
      <w:sz w:val="20"/>
      <w:szCs w:val="20"/>
    </w:rPr>
  </w:style>
  <w:style w:type="character" w:customStyle="1" w:styleId="CommentTextChar">
    <w:name w:val="Comment Text Char"/>
    <w:basedOn w:val="DefaultParagraphFont"/>
    <w:link w:val="CommentText"/>
    <w:uiPriority w:val="99"/>
    <w:rsid w:val="004322A4"/>
    <w:rPr>
      <w:sz w:val="20"/>
      <w:szCs w:val="20"/>
    </w:rPr>
  </w:style>
  <w:style w:type="paragraph" w:styleId="BalloonText">
    <w:name w:val="Balloon Text"/>
    <w:basedOn w:val="Normal"/>
    <w:link w:val="BalloonTextChar"/>
    <w:uiPriority w:val="99"/>
    <w:semiHidden/>
    <w:unhideWhenUsed/>
    <w:rsid w:val="0043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2A4"/>
    <w:rPr>
      <w:rFonts w:ascii="Tahoma" w:hAnsi="Tahoma" w:cs="Tahoma"/>
      <w:sz w:val="16"/>
      <w:szCs w:val="16"/>
    </w:rPr>
  </w:style>
  <w:style w:type="character" w:customStyle="1" w:styleId="Heading1Char">
    <w:name w:val="Heading 1 Char"/>
    <w:basedOn w:val="DefaultParagraphFont"/>
    <w:link w:val="Heading1"/>
    <w:uiPriority w:val="9"/>
    <w:rsid w:val="004322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322A4"/>
    <w:pPr>
      <w:outlineLvl w:val="9"/>
    </w:pPr>
    <w:rPr>
      <w:lang w:val="en-US" w:eastAsia="ja-JP"/>
    </w:rPr>
  </w:style>
  <w:style w:type="character" w:customStyle="1" w:styleId="Heading2Char">
    <w:name w:val="Heading 2 Char"/>
    <w:basedOn w:val="DefaultParagraphFont"/>
    <w:link w:val="Heading2"/>
    <w:uiPriority w:val="9"/>
    <w:rsid w:val="004322A4"/>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4322A4"/>
    <w:pPr>
      <w:spacing w:after="100"/>
    </w:pPr>
  </w:style>
  <w:style w:type="paragraph" w:styleId="TOC2">
    <w:name w:val="toc 2"/>
    <w:basedOn w:val="Normal"/>
    <w:next w:val="Normal"/>
    <w:autoRedefine/>
    <w:uiPriority w:val="39"/>
    <w:unhideWhenUsed/>
    <w:rsid w:val="004322A4"/>
    <w:pPr>
      <w:spacing w:after="100"/>
      <w:ind w:left="220"/>
    </w:pPr>
  </w:style>
  <w:style w:type="character" w:styleId="Hyperlink">
    <w:name w:val="Hyperlink"/>
    <w:basedOn w:val="DefaultParagraphFont"/>
    <w:uiPriority w:val="99"/>
    <w:unhideWhenUsed/>
    <w:rsid w:val="004322A4"/>
    <w:rPr>
      <w:color w:val="0000FF" w:themeColor="hyperlink"/>
      <w:u w:val="single"/>
    </w:rPr>
  </w:style>
  <w:style w:type="paragraph" w:styleId="Header">
    <w:name w:val="header"/>
    <w:basedOn w:val="Normal"/>
    <w:link w:val="HeaderChar"/>
    <w:uiPriority w:val="99"/>
    <w:unhideWhenUsed/>
    <w:rsid w:val="0043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2A4"/>
  </w:style>
  <w:style w:type="paragraph" w:styleId="Footer">
    <w:name w:val="footer"/>
    <w:basedOn w:val="Normal"/>
    <w:link w:val="FooterChar"/>
    <w:uiPriority w:val="99"/>
    <w:unhideWhenUsed/>
    <w:rsid w:val="0043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2A4"/>
  </w:style>
  <w:style w:type="table" w:styleId="TableGrid">
    <w:name w:val="Table Grid"/>
    <w:basedOn w:val="TableNormal"/>
    <w:uiPriority w:val="59"/>
    <w:rsid w:val="0088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45BB"/>
    <w:pPr>
      <w:spacing w:after="0" w:line="240" w:lineRule="auto"/>
    </w:pPr>
  </w:style>
  <w:style w:type="paragraph" w:styleId="CommentSubject">
    <w:name w:val="annotation subject"/>
    <w:basedOn w:val="CommentText"/>
    <w:next w:val="CommentText"/>
    <w:link w:val="CommentSubjectChar"/>
    <w:uiPriority w:val="99"/>
    <w:semiHidden/>
    <w:unhideWhenUsed/>
    <w:rsid w:val="009C7256"/>
    <w:rPr>
      <w:b/>
      <w:bCs/>
    </w:rPr>
  </w:style>
  <w:style w:type="character" w:customStyle="1" w:styleId="CommentSubjectChar">
    <w:name w:val="Comment Subject Char"/>
    <w:basedOn w:val="CommentTextChar"/>
    <w:link w:val="CommentSubject"/>
    <w:uiPriority w:val="99"/>
    <w:semiHidden/>
    <w:rsid w:val="009C72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A4"/>
  </w:style>
  <w:style w:type="paragraph" w:styleId="Heading1">
    <w:name w:val="heading 1"/>
    <w:basedOn w:val="Normal"/>
    <w:next w:val="Normal"/>
    <w:link w:val="Heading1Char"/>
    <w:uiPriority w:val="9"/>
    <w:qFormat/>
    <w:rsid w:val="00432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22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2A4"/>
    <w:pPr>
      <w:ind w:left="720"/>
      <w:contextualSpacing/>
    </w:pPr>
  </w:style>
  <w:style w:type="character" w:styleId="CommentReference">
    <w:name w:val="annotation reference"/>
    <w:basedOn w:val="DefaultParagraphFont"/>
    <w:uiPriority w:val="99"/>
    <w:semiHidden/>
    <w:unhideWhenUsed/>
    <w:rsid w:val="004322A4"/>
    <w:rPr>
      <w:sz w:val="16"/>
      <w:szCs w:val="16"/>
    </w:rPr>
  </w:style>
  <w:style w:type="paragraph" w:styleId="CommentText">
    <w:name w:val="annotation text"/>
    <w:basedOn w:val="Normal"/>
    <w:link w:val="CommentTextChar"/>
    <w:uiPriority w:val="99"/>
    <w:unhideWhenUsed/>
    <w:rsid w:val="004322A4"/>
    <w:pPr>
      <w:spacing w:line="240" w:lineRule="auto"/>
    </w:pPr>
    <w:rPr>
      <w:sz w:val="20"/>
      <w:szCs w:val="20"/>
    </w:rPr>
  </w:style>
  <w:style w:type="character" w:customStyle="1" w:styleId="CommentTextChar">
    <w:name w:val="Comment Text Char"/>
    <w:basedOn w:val="DefaultParagraphFont"/>
    <w:link w:val="CommentText"/>
    <w:uiPriority w:val="99"/>
    <w:rsid w:val="004322A4"/>
    <w:rPr>
      <w:sz w:val="20"/>
      <w:szCs w:val="20"/>
    </w:rPr>
  </w:style>
  <w:style w:type="paragraph" w:styleId="BalloonText">
    <w:name w:val="Balloon Text"/>
    <w:basedOn w:val="Normal"/>
    <w:link w:val="BalloonTextChar"/>
    <w:uiPriority w:val="99"/>
    <w:semiHidden/>
    <w:unhideWhenUsed/>
    <w:rsid w:val="0043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2A4"/>
    <w:rPr>
      <w:rFonts w:ascii="Tahoma" w:hAnsi="Tahoma" w:cs="Tahoma"/>
      <w:sz w:val="16"/>
      <w:szCs w:val="16"/>
    </w:rPr>
  </w:style>
  <w:style w:type="character" w:customStyle="1" w:styleId="Heading1Char">
    <w:name w:val="Heading 1 Char"/>
    <w:basedOn w:val="DefaultParagraphFont"/>
    <w:link w:val="Heading1"/>
    <w:uiPriority w:val="9"/>
    <w:rsid w:val="004322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322A4"/>
    <w:pPr>
      <w:outlineLvl w:val="9"/>
    </w:pPr>
    <w:rPr>
      <w:lang w:val="en-US" w:eastAsia="ja-JP"/>
    </w:rPr>
  </w:style>
  <w:style w:type="character" w:customStyle="1" w:styleId="Heading2Char">
    <w:name w:val="Heading 2 Char"/>
    <w:basedOn w:val="DefaultParagraphFont"/>
    <w:link w:val="Heading2"/>
    <w:uiPriority w:val="9"/>
    <w:rsid w:val="004322A4"/>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4322A4"/>
    <w:pPr>
      <w:spacing w:after="100"/>
    </w:pPr>
  </w:style>
  <w:style w:type="paragraph" w:styleId="TOC2">
    <w:name w:val="toc 2"/>
    <w:basedOn w:val="Normal"/>
    <w:next w:val="Normal"/>
    <w:autoRedefine/>
    <w:uiPriority w:val="39"/>
    <w:unhideWhenUsed/>
    <w:rsid w:val="004322A4"/>
    <w:pPr>
      <w:spacing w:after="100"/>
      <w:ind w:left="220"/>
    </w:pPr>
  </w:style>
  <w:style w:type="character" w:styleId="Hyperlink">
    <w:name w:val="Hyperlink"/>
    <w:basedOn w:val="DefaultParagraphFont"/>
    <w:uiPriority w:val="99"/>
    <w:unhideWhenUsed/>
    <w:rsid w:val="004322A4"/>
    <w:rPr>
      <w:color w:val="0000FF" w:themeColor="hyperlink"/>
      <w:u w:val="single"/>
    </w:rPr>
  </w:style>
  <w:style w:type="paragraph" w:styleId="Header">
    <w:name w:val="header"/>
    <w:basedOn w:val="Normal"/>
    <w:link w:val="HeaderChar"/>
    <w:uiPriority w:val="99"/>
    <w:unhideWhenUsed/>
    <w:rsid w:val="0043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2A4"/>
  </w:style>
  <w:style w:type="paragraph" w:styleId="Footer">
    <w:name w:val="footer"/>
    <w:basedOn w:val="Normal"/>
    <w:link w:val="FooterChar"/>
    <w:uiPriority w:val="99"/>
    <w:unhideWhenUsed/>
    <w:rsid w:val="0043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2A4"/>
  </w:style>
  <w:style w:type="table" w:styleId="TableGrid">
    <w:name w:val="Table Grid"/>
    <w:basedOn w:val="TableNormal"/>
    <w:uiPriority w:val="59"/>
    <w:rsid w:val="0088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45BB"/>
    <w:pPr>
      <w:spacing w:after="0" w:line="240" w:lineRule="auto"/>
    </w:pPr>
  </w:style>
  <w:style w:type="paragraph" w:styleId="CommentSubject">
    <w:name w:val="annotation subject"/>
    <w:basedOn w:val="CommentText"/>
    <w:next w:val="CommentText"/>
    <w:link w:val="CommentSubjectChar"/>
    <w:uiPriority w:val="99"/>
    <w:semiHidden/>
    <w:unhideWhenUsed/>
    <w:rsid w:val="009C7256"/>
    <w:rPr>
      <w:b/>
      <w:bCs/>
    </w:rPr>
  </w:style>
  <w:style w:type="character" w:customStyle="1" w:styleId="CommentSubjectChar">
    <w:name w:val="Comment Subject Char"/>
    <w:basedOn w:val="CommentTextChar"/>
    <w:link w:val="CommentSubject"/>
    <w:uiPriority w:val="99"/>
    <w:semiHidden/>
    <w:rsid w:val="009C72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43B7-6BF4-44FA-83EE-B2CB3901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413668A8.dotm</Template>
  <TotalTime>0</TotalTime>
  <Pages>25</Pages>
  <Words>9028</Words>
  <Characters>51463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FWO Regulator Performance Framework Report 2015-16</vt:lpstr>
    </vt:vector>
  </TitlesOfParts>
  <LinksUpToDate>false</LinksUpToDate>
  <CharactersWithSpaces>60371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 Regulator Performance Framework Report 2015-16</dc:title>
  <dc:subject>FWO Regulator Performance Framework Report 2015-16</dc:subject>
  <dc:creator/>
  <cp:lastModifiedBy/>
  <cp:revision>1</cp:revision>
  <dcterms:created xsi:type="dcterms:W3CDTF">2016-12-22T00:34:00Z</dcterms:created>
  <dcterms:modified xsi:type="dcterms:W3CDTF">2017-01-03T04:42:00Z</dcterms:modified>
</cp:coreProperties>
</file>