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74ADD" w14:textId="77777777" w:rsidR="0092566E" w:rsidRPr="0092566E" w:rsidRDefault="00590D2C" w:rsidP="0092566E">
      <w:pPr>
        <w:pStyle w:val="Coverheading"/>
      </w:pPr>
      <w:r>
        <w:t>FWO Regional c</w:t>
      </w:r>
      <w:r w:rsidR="00E329A6">
        <w:t>ampaigns</w:t>
      </w:r>
    </w:p>
    <w:p w14:paraId="3C4FD016" w14:textId="77777777" w:rsidR="006F0308" w:rsidRDefault="00E329A6" w:rsidP="006F0308">
      <w:pPr>
        <w:pStyle w:val="CoverReportSubTitle"/>
        <w:sectPr w:rsidR="006F0308" w:rsidSect="00CF3B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276" w:right="992" w:bottom="1440" w:left="1276" w:header="0" w:footer="0" w:gutter="0"/>
          <w:pgNumType w:start="1"/>
          <w:cols w:space="720"/>
          <w:titlePg/>
          <w:docGrid w:linePitch="326"/>
        </w:sectPr>
      </w:pPr>
      <w:r>
        <w:t xml:space="preserve">A </w:t>
      </w:r>
      <w:r w:rsidRPr="008A2A55">
        <w:t xml:space="preserve">report on </w:t>
      </w:r>
      <w:r w:rsidR="00A53F8C">
        <w:t xml:space="preserve">a series of </w:t>
      </w:r>
      <w:r w:rsidRPr="008A2A55">
        <w:t>proactive compli</w:t>
      </w:r>
      <w:r>
        <w:t>a</w:t>
      </w:r>
      <w:r w:rsidRPr="008A2A55">
        <w:t xml:space="preserve">nce </w:t>
      </w:r>
      <w:r>
        <w:t xml:space="preserve">and education </w:t>
      </w:r>
      <w:r w:rsidRPr="008A2A55">
        <w:t>activit</w:t>
      </w:r>
      <w:r>
        <w:t>i</w:t>
      </w:r>
      <w:r w:rsidRPr="008A2A55">
        <w:t xml:space="preserve">es </w:t>
      </w:r>
      <w:r>
        <w:t xml:space="preserve">in regional </w:t>
      </w:r>
      <w:r w:rsidR="00D73722">
        <w:t>Queensland</w:t>
      </w:r>
      <w:r>
        <w:t xml:space="preserve">, New South Wales and </w:t>
      </w:r>
      <w:r w:rsidR="00D73722">
        <w:t>Victoria</w:t>
      </w:r>
      <w:r>
        <w:t xml:space="preserve"> </w:t>
      </w:r>
    </w:p>
    <w:p w14:paraId="5CEEA0A0" w14:textId="77777777" w:rsidR="006F0308" w:rsidRDefault="006F0308" w:rsidP="00BF0029">
      <w:pPr>
        <w:sectPr w:rsidR="006F0308" w:rsidSect="00CF3B06">
          <w:type w:val="continuous"/>
          <w:pgSz w:w="11907" w:h="16840" w:code="9"/>
          <w:pgMar w:top="1276" w:right="992" w:bottom="1440" w:left="1276" w:header="0" w:footer="0" w:gutter="0"/>
          <w:pgNumType w:start="1"/>
          <w:cols w:space="720"/>
          <w:titlePg/>
          <w:docGrid w:linePitch="326"/>
        </w:sectPr>
      </w:pPr>
    </w:p>
    <w:p w14:paraId="499502A6" w14:textId="77777777" w:rsidR="004C24C6" w:rsidRDefault="004C24C6" w:rsidP="00BF0029"/>
    <w:p w14:paraId="7493830D" w14:textId="77777777" w:rsidR="004C24C6" w:rsidRDefault="004C24C6" w:rsidP="00BF0029"/>
    <w:p w14:paraId="5A178760" w14:textId="77777777" w:rsidR="004C24C6" w:rsidRDefault="004C24C6" w:rsidP="00BF0029"/>
    <w:p w14:paraId="53B15F3E" w14:textId="77777777" w:rsidR="004C24C6" w:rsidRDefault="004C24C6" w:rsidP="00BF0029"/>
    <w:p w14:paraId="569FA08B" w14:textId="77777777" w:rsidR="00BF0029" w:rsidRPr="00BF0029" w:rsidRDefault="00A53F8C" w:rsidP="00BF0029">
      <w:r>
        <w:t>May</w:t>
      </w:r>
      <w:r w:rsidR="00E329A6">
        <w:t xml:space="preserve"> 2019</w:t>
      </w:r>
    </w:p>
    <w:p w14:paraId="44DED83A" w14:textId="77777777" w:rsidR="001F20C3" w:rsidRPr="006A412C" w:rsidRDefault="009629F3" w:rsidP="006A412C">
      <w:r w:rsidRPr="0045600E">
        <w:t>©</w:t>
      </w:r>
      <w:r w:rsidR="00CC7FFE" w:rsidRPr="0045600E">
        <w:t xml:space="preserve"> </w:t>
      </w:r>
      <w:r w:rsidRPr="0045600E">
        <w:t>Commonwealth of Australia, 201</w:t>
      </w:r>
      <w:r w:rsidR="00E329A6">
        <w:t>9</w:t>
      </w:r>
      <w:r w:rsidR="001F20C3">
        <w:br w:type="page"/>
      </w:r>
    </w:p>
    <w:p w14:paraId="3419F9D8" w14:textId="77777777" w:rsidR="006C6211" w:rsidRDefault="006C6211" w:rsidP="00040421">
      <w:pPr>
        <w:pStyle w:val="Header"/>
        <w:jc w:val="left"/>
      </w:pPr>
      <w:bookmarkStart w:id="0" w:name="_Toc1458077"/>
      <w:r>
        <w:rPr>
          <w:noProof/>
          <w:lang w:eastAsia="en-AU" w:bidi="ne-NP"/>
        </w:rPr>
        <w:lastRenderedPageBreak/>
        <w:drawing>
          <wp:anchor distT="0" distB="0" distL="114300" distR="114300" simplePos="0" relativeHeight="251658240" behindDoc="1" locked="0" layoutInCell="1" allowOverlap="1" wp14:anchorId="2FED3ACF" wp14:editId="6FA2A39E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37450" cy="10718800"/>
            <wp:effectExtent l="0" t="0" r="6350" b="6350"/>
            <wp:wrapTight wrapText="bothSides">
              <wp:wrapPolygon edited="0">
                <wp:start x="0" y="0"/>
                <wp:lineTo x="0" y="21574"/>
                <wp:lineTo x="21564" y="21574"/>
                <wp:lineTo x="21564" y="0"/>
                <wp:lineTo x="0" y="0"/>
              </wp:wrapPolygon>
            </wp:wrapTight>
            <wp:docPr id="1" name="Picture 1" descr="Infographic outlining outcomes of the campaign. 1385 businesses audited with $581976 recovered for employees." title="FWO Regional Campaigns inf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onal-audit-graphic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2A5F7" w14:textId="77777777" w:rsidR="00BF0029" w:rsidRDefault="00BF0029" w:rsidP="00040421">
      <w:pPr>
        <w:pStyle w:val="Header"/>
        <w:jc w:val="left"/>
      </w:pPr>
      <w:r>
        <w:lastRenderedPageBreak/>
        <w:t xml:space="preserve">Table of </w:t>
      </w:r>
      <w:r w:rsidR="00E329A6">
        <w:t>c</w:t>
      </w:r>
      <w:r>
        <w:t>ontents</w:t>
      </w:r>
      <w:bookmarkEnd w:id="0"/>
    </w:p>
    <w:p w14:paraId="22C2DE93" w14:textId="7C87DFCC" w:rsidR="00FB7939" w:rsidRDefault="00BF0029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9327675" w:history="1">
        <w:r w:rsidR="00FB7939" w:rsidRPr="00B409B5">
          <w:rPr>
            <w:rStyle w:val="Hyperlink"/>
            <w:noProof/>
          </w:rPr>
          <w:t>Executive summary</w:t>
        </w:r>
        <w:r w:rsidR="00FB7939">
          <w:rPr>
            <w:noProof/>
            <w:webHidden/>
          </w:rPr>
          <w:tab/>
        </w:r>
        <w:r w:rsidR="00FB7939">
          <w:rPr>
            <w:noProof/>
            <w:webHidden/>
          </w:rPr>
          <w:fldChar w:fldCharType="begin"/>
        </w:r>
        <w:r w:rsidR="00FB7939">
          <w:rPr>
            <w:noProof/>
            <w:webHidden/>
          </w:rPr>
          <w:instrText xml:space="preserve"> PAGEREF _Toc9327675 \h </w:instrText>
        </w:r>
        <w:r w:rsidR="00FB7939">
          <w:rPr>
            <w:noProof/>
            <w:webHidden/>
          </w:rPr>
        </w:r>
        <w:r w:rsidR="00FB7939">
          <w:rPr>
            <w:noProof/>
            <w:webHidden/>
          </w:rPr>
          <w:fldChar w:fldCharType="separate"/>
        </w:r>
        <w:r w:rsidR="00FB7939">
          <w:rPr>
            <w:noProof/>
            <w:webHidden/>
          </w:rPr>
          <w:t>4</w:t>
        </w:r>
        <w:r w:rsidR="00FB7939">
          <w:rPr>
            <w:noProof/>
            <w:webHidden/>
          </w:rPr>
          <w:fldChar w:fldCharType="end"/>
        </w:r>
      </w:hyperlink>
    </w:p>
    <w:p w14:paraId="28E17F9A" w14:textId="6F17D3D1" w:rsidR="00FB7939" w:rsidRDefault="00F0739D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9327676" w:history="1">
        <w:r w:rsidR="00FB7939" w:rsidRPr="00B409B5">
          <w:rPr>
            <w:rStyle w:val="Hyperlink"/>
            <w:noProof/>
          </w:rPr>
          <w:t>Background</w:t>
        </w:r>
        <w:r w:rsidR="00FB7939">
          <w:rPr>
            <w:noProof/>
            <w:webHidden/>
          </w:rPr>
          <w:tab/>
        </w:r>
        <w:r w:rsidR="00FB7939">
          <w:rPr>
            <w:noProof/>
            <w:webHidden/>
          </w:rPr>
          <w:fldChar w:fldCharType="begin"/>
        </w:r>
        <w:r w:rsidR="00FB7939">
          <w:rPr>
            <w:noProof/>
            <w:webHidden/>
          </w:rPr>
          <w:instrText xml:space="preserve"> PAGEREF _Toc9327676 \h </w:instrText>
        </w:r>
        <w:r w:rsidR="00FB7939">
          <w:rPr>
            <w:noProof/>
            <w:webHidden/>
          </w:rPr>
        </w:r>
        <w:r w:rsidR="00FB7939">
          <w:rPr>
            <w:noProof/>
            <w:webHidden/>
          </w:rPr>
          <w:fldChar w:fldCharType="separate"/>
        </w:r>
        <w:r w:rsidR="00FB7939">
          <w:rPr>
            <w:noProof/>
            <w:webHidden/>
          </w:rPr>
          <w:t>5</w:t>
        </w:r>
        <w:r w:rsidR="00FB7939">
          <w:rPr>
            <w:noProof/>
            <w:webHidden/>
          </w:rPr>
          <w:fldChar w:fldCharType="end"/>
        </w:r>
      </w:hyperlink>
    </w:p>
    <w:p w14:paraId="6DE8F462" w14:textId="7B689E84" w:rsidR="00FB7939" w:rsidRDefault="00F0739D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9327677" w:history="1">
        <w:r w:rsidR="00FB7939" w:rsidRPr="00B409B5">
          <w:rPr>
            <w:rStyle w:val="Hyperlink"/>
            <w:noProof/>
          </w:rPr>
          <w:t>Objectives</w:t>
        </w:r>
        <w:r w:rsidR="00FB7939">
          <w:rPr>
            <w:noProof/>
            <w:webHidden/>
          </w:rPr>
          <w:tab/>
        </w:r>
        <w:r w:rsidR="00FB7939">
          <w:rPr>
            <w:noProof/>
            <w:webHidden/>
          </w:rPr>
          <w:fldChar w:fldCharType="begin"/>
        </w:r>
        <w:r w:rsidR="00FB7939">
          <w:rPr>
            <w:noProof/>
            <w:webHidden/>
          </w:rPr>
          <w:instrText xml:space="preserve"> PAGEREF _Toc9327677 \h </w:instrText>
        </w:r>
        <w:r w:rsidR="00FB7939">
          <w:rPr>
            <w:noProof/>
            <w:webHidden/>
          </w:rPr>
        </w:r>
        <w:r w:rsidR="00FB7939">
          <w:rPr>
            <w:noProof/>
            <w:webHidden/>
          </w:rPr>
          <w:fldChar w:fldCharType="separate"/>
        </w:r>
        <w:r w:rsidR="00FB7939">
          <w:rPr>
            <w:noProof/>
            <w:webHidden/>
          </w:rPr>
          <w:t>5</w:t>
        </w:r>
        <w:r w:rsidR="00FB7939">
          <w:rPr>
            <w:noProof/>
            <w:webHidden/>
          </w:rPr>
          <w:fldChar w:fldCharType="end"/>
        </w:r>
      </w:hyperlink>
    </w:p>
    <w:p w14:paraId="1CF451B5" w14:textId="3B87BFD0" w:rsidR="00FB7939" w:rsidRDefault="00F0739D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9327678" w:history="1">
        <w:r w:rsidR="00FB7939" w:rsidRPr="00B409B5">
          <w:rPr>
            <w:rStyle w:val="Hyperlink"/>
            <w:noProof/>
          </w:rPr>
          <w:t>Stakeholder and communication activities</w:t>
        </w:r>
        <w:r w:rsidR="00FB7939">
          <w:rPr>
            <w:noProof/>
            <w:webHidden/>
          </w:rPr>
          <w:tab/>
        </w:r>
        <w:r w:rsidR="00FB7939">
          <w:rPr>
            <w:noProof/>
            <w:webHidden/>
          </w:rPr>
          <w:fldChar w:fldCharType="begin"/>
        </w:r>
        <w:r w:rsidR="00FB7939">
          <w:rPr>
            <w:noProof/>
            <w:webHidden/>
          </w:rPr>
          <w:instrText xml:space="preserve"> PAGEREF _Toc9327678 \h </w:instrText>
        </w:r>
        <w:r w:rsidR="00FB7939">
          <w:rPr>
            <w:noProof/>
            <w:webHidden/>
          </w:rPr>
        </w:r>
        <w:r w:rsidR="00FB7939">
          <w:rPr>
            <w:noProof/>
            <w:webHidden/>
          </w:rPr>
          <w:fldChar w:fldCharType="separate"/>
        </w:r>
        <w:r w:rsidR="00FB7939">
          <w:rPr>
            <w:noProof/>
            <w:webHidden/>
          </w:rPr>
          <w:t>5</w:t>
        </w:r>
        <w:r w:rsidR="00FB7939">
          <w:rPr>
            <w:noProof/>
            <w:webHidden/>
          </w:rPr>
          <w:fldChar w:fldCharType="end"/>
        </w:r>
      </w:hyperlink>
    </w:p>
    <w:p w14:paraId="63EF5B34" w14:textId="758927C5" w:rsidR="00FB7939" w:rsidRDefault="00F0739D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9327679" w:history="1">
        <w:r w:rsidR="00FB7939" w:rsidRPr="00B409B5">
          <w:rPr>
            <w:rStyle w:val="Hyperlink"/>
            <w:noProof/>
          </w:rPr>
          <w:t>Methodology</w:t>
        </w:r>
        <w:r w:rsidR="00FB7939">
          <w:rPr>
            <w:noProof/>
            <w:webHidden/>
          </w:rPr>
          <w:tab/>
        </w:r>
        <w:r w:rsidR="00FB7939">
          <w:rPr>
            <w:noProof/>
            <w:webHidden/>
          </w:rPr>
          <w:fldChar w:fldCharType="begin"/>
        </w:r>
        <w:r w:rsidR="00FB7939">
          <w:rPr>
            <w:noProof/>
            <w:webHidden/>
          </w:rPr>
          <w:instrText xml:space="preserve"> PAGEREF _Toc9327679 \h </w:instrText>
        </w:r>
        <w:r w:rsidR="00FB7939">
          <w:rPr>
            <w:noProof/>
            <w:webHidden/>
          </w:rPr>
        </w:r>
        <w:r w:rsidR="00FB7939">
          <w:rPr>
            <w:noProof/>
            <w:webHidden/>
          </w:rPr>
          <w:fldChar w:fldCharType="separate"/>
        </w:r>
        <w:r w:rsidR="00FB7939">
          <w:rPr>
            <w:noProof/>
            <w:webHidden/>
          </w:rPr>
          <w:t>5</w:t>
        </w:r>
        <w:r w:rsidR="00FB7939">
          <w:rPr>
            <w:noProof/>
            <w:webHidden/>
          </w:rPr>
          <w:fldChar w:fldCharType="end"/>
        </w:r>
      </w:hyperlink>
    </w:p>
    <w:p w14:paraId="708ABA8C" w14:textId="4B4A8039" w:rsidR="00FB7939" w:rsidRDefault="00F0739D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9327680" w:history="1">
        <w:r w:rsidR="00FB7939" w:rsidRPr="00B409B5">
          <w:rPr>
            <w:rStyle w:val="Hyperlink"/>
            <w:noProof/>
          </w:rPr>
          <w:t>Results</w:t>
        </w:r>
        <w:r w:rsidR="00FB7939">
          <w:rPr>
            <w:noProof/>
            <w:webHidden/>
          </w:rPr>
          <w:tab/>
        </w:r>
        <w:r w:rsidR="00FB7939">
          <w:rPr>
            <w:noProof/>
            <w:webHidden/>
          </w:rPr>
          <w:tab/>
        </w:r>
        <w:r w:rsidR="00FB7939">
          <w:rPr>
            <w:noProof/>
            <w:webHidden/>
          </w:rPr>
          <w:fldChar w:fldCharType="begin"/>
        </w:r>
        <w:r w:rsidR="00FB7939">
          <w:rPr>
            <w:noProof/>
            <w:webHidden/>
          </w:rPr>
          <w:instrText xml:space="preserve"> PAGEREF _Toc9327680 \h </w:instrText>
        </w:r>
        <w:r w:rsidR="00FB7939">
          <w:rPr>
            <w:noProof/>
            <w:webHidden/>
          </w:rPr>
        </w:r>
        <w:r w:rsidR="00FB7939">
          <w:rPr>
            <w:noProof/>
            <w:webHidden/>
          </w:rPr>
          <w:fldChar w:fldCharType="separate"/>
        </w:r>
        <w:r w:rsidR="00FB7939">
          <w:rPr>
            <w:noProof/>
            <w:webHidden/>
          </w:rPr>
          <w:t>7</w:t>
        </w:r>
        <w:r w:rsidR="00FB7939">
          <w:rPr>
            <w:noProof/>
            <w:webHidden/>
          </w:rPr>
          <w:fldChar w:fldCharType="end"/>
        </w:r>
      </w:hyperlink>
    </w:p>
    <w:p w14:paraId="152372D7" w14:textId="7F7C23E2" w:rsidR="00FB7939" w:rsidRDefault="00F0739D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9327681" w:history="1">
        <w:r w:rsidR="00FB7939" w:rsidRPr="00B409B5">
          <w:rPr>
            <w:rStyle w:val="Hyperlink"/>
            <w:noProof/>
          </w:rPr>
          <w:t>Compliance and enforcement outcomes</w:t>
        </w:r>
        <w:r w:rsidR="00FB7939">
          <w:rPr>
            <w:noProof/>
            <w:webHidden/>
          </w:rPr>
          <w:tab/>
        </w:r>
        <w:r w:rsidR="00FB7939">
          <w:rPr>
            <w:noProof/>
            <w:webHidden/>
          </w:rPr>
          <w:fldChar w:fldCharType="begin"/>
        </w:r>
        <w:r w:rsidR="00FB7939">
          <w:rPr>
            <w:noProof/>
            <w:webHidden/>
          </w:rPr>
          <w:instrText xml:space="preserve"> PAGEREF _Toc9327681 \h </w:instrText>
        </w:r>
        <w:r w:rsidR="00FB7939">
          <w:rPr>
            <w:noProof/>
            <w:webHidden/>
          </w:rPr>
        </w:r>
        <w:r w:rsidR="00FB7939">
          <w:rPr>
            <w:noProof/>
            <w:webHidden/>
          </w:rPr>
          <w:fldChar w:fldCharType="separate"/>
        </w:r>
        <w:r w:rsidR="00FB7939">
          <w:rPr>
            <w:noProof/>
            <w:webHidden/>
          </w:rPr>
          <w:t>9</w:t>
        </w:r>
        <w:r w:rsidR="00FB7939">
          <w:rPr>
            <w:noProof/>
            <w:webHidden/>
          </w:rPr>
          <w:fldChar w:fldCharType="end"/>
        </w:r>
      </w:hyperlink>
    </w:p>
    <w:p w14:paraId="0BF95DD4" w14:textId="01E4BBE5" w:rsidR="00FB7939" w:rsidRDefault="00F0739D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9327682" w:history="1">
        <w:r w:rsidR="00FB7939" w:rsidRPr="00B409B5">
          <w:rPr>
            <w:rStyle w:val="Hyperlink"/>
            <w:noProof/>
          </w:rPr>
          <w:t>Conclusion</w:t>
        </w:r>
        <w:r w:rsidR="00FB7939">
          <w:rPr>
            <w:noProof/>
            <w:webHidden/>
          </w:rPr>
          <w:tab/>
        </w:r>
        <w:r w:rsidR="00FB7939">
          <w:rPr>
            <w:noProof/>
            <w:webHidden/>
          </w:rPr>
          <w:fldChar w:fldCharType="begin"/>
        </w:r>
        <w:r w:rsidR="00FB7939">
          <w:rPr>
            <w:noProof/>
            <w:webHidden/>
          </w:rPr>
          <w:instrText xml:space="preserve"> PAGEREF _Toc9327682 \h </w:instrText>
        </w:r>
        <w:r w:rsidR="00FB7939">
          <w:rPr>
            <w:noProof/>
            <w:webHidden/>
          </w:rPr>
        </w:r>
        <w:r w:rsidR="00FB7939">
          <w:rPr>
            <w:noProof/>
            <w:webHidden/>
          </w:rPr>
          <w:fldChar w:fldCharType="separate"/>
        </w:r>
        <w:r w:rsidR="00FB7939">
          <w:rPr>
            <w:noProof/>
            <w:webHidden/>
          </w:rPr>
          <w:t>11</w:t>
        </w:r>
        <w:r w:rsidR="00FB7939">
          <w:rPr>
            <w:noProof/>
            <w:webHidden/>
          </w:rPr>
          <w:fldChar w:fldCharType="end"/>
        </w:r>
      </w:hyperlink>
    </w:p>
    <w:p w14:paraId="78913892" w14:textId="2FBAB938" w:rsidR="00FB7939" w:rsidRDefault="00F0739D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9327683" w:history="1">
        <w:r w:rsidR="00FB7939" w:rsidRPr="00B409B5">
          <w:rPr>
            <w:rStyle w:val="Hyperlink"/>
            <w:noProof/>
          </w:rPr>
          <w:t>About the Fair Work Ombudsman</w:t>
        </w:r>
        <w:r w:rsidR="00FB7939">
          <w:rPr>
            <w:noProof/>
            <w:webHidden/>
          </w:rPr>
          <w:tab/>
        </w:r>
        <w:r w:rsidR="00FB7939">
          <w:rPr>
            <w:noProof/>
            <w:webHidden/>
          </w:rPr>
          <w:fldChar w:fldCharType="begin"/>
        </w:r>
        <w:r w:rsidR="00FB7939">
          <w:rPr>
            <w:noProof/>
            <w:webHidden/>
          </w:rPr>
          <w:instrText xml:space="preserve"> PAGEREF _Toc9327683 \h </w:instrText>
        </w:r>
        <w:r w:rsidR="00FB7939">
          <w:rPr>
            <w:noProof/>
            <w:webHidden/>
          </w:rPr>
        </w:r>
        <w:r w:rsidR="00FB7939">
          <w:rPr>
            <w:noProof/>
            <w:webHidden/>
          </w:rPr>
          <w:fldChar w:fldCharType="separate"/>
        </w:r>
        <w:r w:rsidR="00FB7939">
          <w:rPr>
            <w:noProof/>
            <w:webHidden/>
          </w:rPr>
          <w:t>12</w:t>
        </w:r>
        <w:r w:rsidR="00FB7939">
          <w:rPr>
            <w:noProof/>
            <w:webHidden/>
          </w:rPr>
          <w:fldChar w:fldCharType="end"/>
        </w:r>
      </w:hyperlink>
    </w:p>
    <w:p w14:paraId="42B7CAF2" w14:textId="16AA6A76" w:rsidR="00BF0029" w:rsidRPr="00181475" w:rsidRDefault="00BF0029" w:rsidP="00BF0029">
      <w:r>
        <w:fldChar w:fldCharType="end"/>
      </w:r>
    </w:p>
    <w:p w14:paraId="1FF18586" w14:textId="77777777" w:rsidR="00BF0029" w:rsidRDefault="00BF0029">
      <w:pPr>
        <w:spacing w:line="240" w:lineRule="auto"/>
        <w:rPr>
          <w:rFonts w:eastAsiaTheme="minorHAnsi" w:cs="Times New Roman"/>
          <w:szCs w:val="22"/>
          <w:lang w:eastAsia="en-AU"/>
        </w:rPr>
      </w:pPr>
      <w:r>
        <w:rPr>
          <w:lang w:eastAsia="en-AU"/>
        </w:rPr>
        <w:br w:type="page"/>
      </w:r>
    </w:p>
    <w:p w14:paraId="0F9C36D5" w14:textId="77777777" w:rsidR="00E329A6" w:rsidRDefault="00E329A6" w:rsidP="00E329A6">
      <w:pPr>
        <w:pStyle w:val="Heading1"/>
      </w:pPr>
      <w:bookmarkStart w:id="1" w:name="_Toc1047657"/>
      <w:bookmarkStart w:id="2" w:name="_Toc9327675"/>
      <w:r w:rsidRPr="00192673">
        <w:lastRenderedPageBreak/>
        <w:t xml:space="preserve">Executive </w:t>
      </w:r>
      <w:r>
        <w:t>s</w:t>
      </w:r>
      <w:r w:rsidRPr="00192673">
        <w:t>ummary</w:t>
      </w:r>
      <w:bookmarkEnd w:id="1"/>
      <w:bookmarkEnd w:id="2"/>
    </w:p>
    <w:p w14:paraId="76F031FD" w14:textId="77777777" w:rsidR="00E329A6" w:rsidRDefault="00E329A6" w:rsidP="0078192C">
      <w:pPr>
        <w:jc w:val="both"/>
      </w:pPr>
      <w:r>
        <w:t xml:space="preserve">This report </w:t>
      </w:r>
      <w:r w:rsidR="0078192C">
        <w:t>details</w:t>
      </w:r>
      <w:r>
        <w:t xml:space="preserve"> the background</w:t>
      </w:r>
      <w:r w:rsidR="008E59DE">
        <w:t xml:space="preserve">, methodology and </w:t>
      </w:r>
      <w:r>
        <w:t>outcomes of the FWO’s proactive compliance and education activities in the following regions:</w:t>
      </w:r>
    </w:p>
    <w:p w14:paraId="77BAA1FB" w14:textId="77777777" w:rsidR="00E329A6" w:rsidRDefault="00E329A6" w:rsidP="00CB1CDE">
      <w:pPr>
        <w:pStyle w:val="Bullet"/>
        <w:rPr>
          <w:rFonts w:ascii="Calibri" w:hAnsi="Calibri" w:cs="Calibri"/>
        </w:rPr>
      </w:pPr>
      <w:r>
        <w:t>Latrobe</w:t>
      </w:r>
      <w:r w:rsidR="006F0308">
        <w:t>-</w:t>
      </w:r>
      <w:r>
        <w:t>Gippsland (Vic)</w:t>
      </w:r>
    </w:p>
    <w:p w14:paraId="4DE509C0" w14:textId="77777777" w:rsidR="00E329A6" w:rsidRDefault="00E329A6" w:rsidP="00CB1CDE">
      <w:pPr>
        <w:pStyle w:val="Bullet"/>
      </w:pPr>
      <w:r>
        <w:t>Shepparton (Vic)</w:t>
      </w:r>
    </w:p>
    <w:p w14:paraId="66B3F66B" w14:textId="77777777" w:rsidR="00E329A6" w:rsidRDefault="00E329A6" w:rsidP="00CB1CDE">
      <w:pPr>
        <w:pStyle w:val="Bullet"/>
      </w:pPr>
      <w:r>
        <w:t>Southern Highlands and Shoalhaven (NSW)</w:t>
      </w:r>
    </w:p>
    <w:p w14:paraId="210167C0" w14:textId="77777777" w:rsidR="00E329A6" w:rsidRDefault="00E329A6" w:rsidP="00CB1CDE">
      <w:pPr>
        <w:pStyle w:val="Bullet"/>
      </w:pPr>
      <w:r>
        <w:t>Wide Bay (Qld)</w:t>
      </w:r>
    </w:p>
    <w:p w14:paraId="4DF5F469" w14:textId="77777777" w:rsidR="00E329A6" w:rsidRDefault="00E329A6" w:rsidP="00CB1CDE">
      <w:pPr>
        <w:pStyle w:val="Bullet"/>
      </w:pPr>
      <w:r>
        <w:t>Ipswich (Qld).</w:t>
      </w:r>
    </w:p>
    <w:p w14:paraId="6FAE3ACE" w14:textId="743906F2" w:rsidR="00590D2C" w:rsidRDefault="00E329A6" w:rsidP="0078192C">
      <w:pPr>
        <w:jc w:val="both"/>
      </w:pPr>
      <w:r>
        <w:t>The FWO con</w:t>
      </w:r>
      <w:r w:rsidR="00192A3D">
        <w:t>ducted audits in each of these locations</w:t>
      </w:r>
      <w:r>
        <w:t xml:space="preserve"> </w:t>
      </w:r>
      <w:proofErr w:type="gramStart"/>
      <w:r>
        <w:t>to</w:t>
      </w:r>
      <w:proofErr w:type="gramEnd"/>
      <w:r w:rsidR="00590D2C">
        <w:t>:</w:t>
      </w:r>
    </w:p>
    <w:p w14:paraId="0A12E8CD" w14:textId="77777777" w:rsidR="00590D2C" w:rsidRDefault="000F1E14" w:rsidP="00CB1CDE">
      <w:pPr>
        <w:pStyle w:val="Bullet"/>
      </w:pPr>
      <w:r>
        <w:t xml:space="preserve">check compliance </w:t>
      </w:r>
      <w:r w:rsidR="00E329A6">
        <w:t>with workplace relations laws</w:t>
      </w:r>
    </w:p>
    <w:p w14:paraId="1279AC9C" w14:textId="77777777" w:rsidR="00590D2C" w:rsidRDefault="000F1E14" w:rsidP="00CB1CDE">
      <w:pPr>
        <w:pStyle w:val="Bullet"/>
      </w:pPr>
      <w:r>
        <w:t>recover ou</w:t>
      </w:r>
      <w:r w:rsidR="00897C6D">
        <w:t>tstanding employee entitlements</w:t>
      </w:r>
    </w:p>
    <w:p w14:paraId="60DF8F9F" w14:textId="77777777" w:rsidR="00590D2C" w:rsidRDefault="00897C6D" w:rsidP="00CB1CDE">
      <w:pPr>
        <w:pStyle w:val="Bullet"/>
      </w:pPr>
      <w:proofErr w:type="gramStart"/>
      <w:r>
        <w:t>educate</w:t>
      </w:r>
      <w:proofErr w:type="gramEnd"/>
      <w:r>
        <w:t xml:space="preserve"> employers about their </w:t>
      </w:r>
      <w:r w:rsidR="00192A3D">
        <w:t xml:space="preserve">workplace relations </w:t>
      </w:r>
      <w:r>
        <w:t>obligations.</w:t>
      </w:r>
      <w:r w:rsidR="000F1E14">
        <w:t xml:space="preserve"> </w:t>
      </w:r>
    </w:p>
    <w:p w14:paraId="7B95B461" w14:textId="77777777" w:rsidR="00040421" w:rsidRDefault="00E329A6" w:rsidP="0078192C">
      <w:pPr>
        <w:jc w:val="both"/>
      </w:pPr>
      <w:r>
        <w:t>Fair Work Inspectors audited 1385 businesses and found</w:t>
      </w:r>
      <w:r w:rsidR="00040421">
        <w:t>:</w:t>
      </w:r>
    </w:p>
    <w:p w14:paraId="3935E37A" w14:textId="77777777" w:rsidR="000C2B08" w:rsidRDefault="000C2B08" w:rsidP="00CB1CDE">
      <w:pPr>
        <w:pStyle w:val="Bullet"/>
      </w:pPr>
      <w:r>
        <w:t xml:space="preserve">788 (57%) were compliant with all aspects of their workplace relations obligations </w:t>
      </w:r>
    </w:p>
    <w:p w14:paraId="63648B12" w14:textId="77777777" w:rsidR="00E329A6" w:rsidRDefault="00E329A6" w:rsidP="00CB1CDE">
      <w:pPr>
        <w:pStyle w:val="Bullet"/>
      </w:pPr>
      <w:r>
        <w:t>1089 (79%) were compliant with pay slip and record-keeping requirements</w:t>
      </w:r>
      <w:r w:rsidR="000C2B08">
        <w:t xml:space="preserve"> (non-monetary obligations)</w:t>
      </w:r>
    </w:p>
    <w:p w14:paraId="233823E2" w14:textId="77777777" w:rsidR="00672DEF" w:rsidRDefault="00E329A6" w:rsidP="00CB1CDE">
      <w:pPr>
        <w:pStyle w:val="Bullet"/>
      </w:pPr>
      <w:proofErr w:type="gramStart"/>
      <w:r>
        <w:t>995</w:t>
      </w:r>
      <w:proofErr w:type="gramEnd"/>
      <w:r>
        <w:t xml:space="preserve"> (72%) were paying their employees correctly</w:t>
      </w:r>
      <w:r w:rsidR="000C2B08">
        <w:t xml:space="preserve"> (monetary obligations)</w:t>
      </w:r>
      <w:r>
        <w:t>.</w:t>
      </w:r>
    </w:p>
    <w:p w14:paraId="3BC54F9F" w14:textId="77777777" w:rsidR="00C5484D" w:rsidRDefault="00192A3D" w:rsidP="0078192C">
      <w:pPr>
        <w:jc w:val="both"/>
      </w:pPr>
      <w:r>
        <w:t xml:space="preserve">Where </w:t>
      </w:r>
      <w:r w:rsidR="002545AB">
        <w:t xml:space="preserve">Fair Work Inspectors </w:t>
      </w:r>
      <w:r>
        <w:t xml:space="preserve">identified non-compliance, they examined the reasons why employers failed to </w:t>
      </w:r>
      <w:r w:rsidR="009365AC">
        <w:t>follow the law</w:t>
      </w:r>
      <w:r w:rsidR="008122F6">
        <w:t xml:space="preserve"> and determined that </w:t>
      </w:r>
      <w:r w:rsidR="00F5285A">
        <w:t xml:space="preserve">a lack of awareness </w:t>
      </w:r>
      <w:r w:rsidR="00161CB0">
        <w:t xml:space="preserve">of workplace laws </w:t>
      </w:r>
      <w:r w:rsidR="00F5285A">
        <w:t>was the key driver</w:t>
      </w:r>
      <w:r>
        <w:t xml:space="preserve">. </w:t>
      </w:r>
      <w:r w:rsidR="00595411">
        <w:t>Employers were educated about a range of free FWO tools and resources available online for keeping up to date with their obligations.</w:t>
      </w:r>
    </w:p>
    <w:p w14:paraId="1B8C5B49" w14:textId="77777777" w:rsidR="00E329A6" w:rsidRDefault="00094EE5" w:rsidP="0078192C">
      <w:pPr>
        <w:jc w:val="both"/>
      </w:pPr>
      <w:r>
        <w:t>T</w:t>
      </w:r>
      <w:r w:rsidR="00192A3D">
        <w:t>he</w:t>
      </w:r>
      <w:r w:rsidR="00161CB0">
        <w:t xml:space="preserve"> FWO</w:t>
      </w:r>
      <w:r w:rsidR="00192A3D">
        <w:t xml:space="preserve"> took </w:t>
      </w:r>
      <w:r w:rsidR="00462163">
        <w:t>compliance</w:t>
      </w:r>
      <w:r w:rsidR="00192A3D">
        <w:t xml:space="preserve"> an</w:t>
      </w:r>
      <w:r w:rsidR="009365AC">
        <w:t xml:space="preserve">d enforcement action to </w:t>
      </w:r>
      <w:r>
        <w:t>address and</w:t>
      </w:r>
      <w:r w:rsidR="00266688">
        <w:t xml:space="preserve"> d</w:t>
      </w:r>
      <w:r w:rsidR="00192A3D">
        <w:t xml:space="preserve">eter </w:t>
      </w:r>
      <w:r w:rsidR="009365AC">
        <w:t>non-compliant behaviours</w:t>
      </w:r>
      <w:r>
        <w:t>, issuing:</w:t>
      </w:r>
    </w:p>
    <w:p w14:paraId="7296AECC" w14:textId="77777777" w:rsidR="000339A4" w:rsidRDefault="000339A4" w:rsidP="00CB1CDE">
      <w:pPr>
        <w:pStyle w:val="Bullet"/>
      </w:pPr>
      <w:r>
        <w:t>39 Formal Cautions</w:t>
      </w:r>
    </w:p>
    <w:p w14:paraId="19BCB98E" w14:textId="77777777" w:rsidR="00E329A6" w:rsidRDefault="00E329A6" w:rsidP="00CB1CDE">
      <w:pPr>
        <w:pStyle w:val="Bullet"/>
      </w:pPr>
      <w:r>
        <w:t>27 Infringement Notices</w:t>
      </w:r>
    </w:p>
    <w:p w14:paraId="7827305C" w14:textId="77777777" w:rsidR="00E329A6" w:rsidRDefault="00E329A6" w:rsidP="00CB1CDE">
      <w:pPr>
        <w:pStyle w:val="Bullet"/>
      </w:pPr>
      <w:proofErr w:type="gramStart"/>
      <w:r>
        <w:t>eight</w:t>
      </w:r>
      <w:proofErr w:type="gramEnd"/>
      <w:r>
        <w:t xml:space="preserve"> Compliance Notices.</w:t>
      </w:r>
    </w:p>
    <w:p w14:paraId="127726F8" w14:textId="221D59A5" w:rsidR="00E329A6" w:rsidRDefault="00B92EB9" w:rsidP="00E329A6">
      <w:r>
        <w:t xml:space="preserve">Across all </w:t>
      </w:r>
      <w:r w:rsidR="00C5484D">
        <w:t>locations</w:t>
      </w:r>
      <w:r>
        <w:t xml:space="preserve">, a total of </w:t>
      </w:r>
      <w:r w:rsidR="00E329A6">
        <w:t>$581</w:t>
      </w:r>
      <w:r w:rsidR="00672DEF">
        <w:t xml:space="preserve"> </w:t>
      </w:r>
      <w:r w:rsidR="00E329A6">
        <w:t>976 was recovered for 951 employees from 305 businesses</w:t>
      </w:r>
      <w:r w:rsidR="00FB7939">
        <w:t xml:space="preserve"> involved in monetary breaches</w:t>
      </w:r>
      <w:r w:rsidR="00E329A6">
        <w:t>.</w:t>
      </w:r>
    </w:p>
    <w:p w14:paraId="001EC127" w14:textId="4AAA9250" w:rsidR="00E329A6" w:rsidRDefault="00E329A6" w:rsidP="006F0308">
      <w:pPr>
        <w:rPr>
          <w:rFonts w:ascii="Myriad Pro" w:hAnsi="Myriad Pro"/>
          <w:b/>
          <w:color w:val="263746"/>
          <w:sz w:val="44"/>
          <w:szCs w:val="26"/>
        </w:rPr>
      </w:pPr>
      <w:r>
        <w:br w:type="page"/>
      </w:r>
    </w:p>
    <w:p w14:paraId="36E4AC77" w14:textId="77777777" w:rsidR="00E329A6" w:rsidRDefault="00E329A6" w:rsidP="00E329A6">
      <w:pPr>
        <w:pStyle w:val="Heading1"/>
      </w:pPr>
      <w:bookmarkStart w:id="3" w:name="_Toc1047658"/>
      <w:bookmarkStart w:id="4" w:name="_Toc9327676"/>
      <w:r>
        <w:lastRenderedPageBreak/>
        <w:t>Background</w:t>
      </w:r>
      <w:bookmarkEnd w:id="3"/>
      <w:bookmarkEnd w:id="4"/>
    </w:p>
    <w:p w14:paraId="7DB92D04" w14:textId="3D969CA0" w:rsidR="00E329A6" w:rsidRPr="00B60B02" w:rsidRDefault="00E329A6" w:rsidP="00672DEF">
      <w:r w:rsidRPr="00B60B02">
        <w:t>The</w:t>
      </w:r>
      <w:r>
        <w:t xml:space="preserve"> FWO </w:t>
      </w:r>
      <w:r w:rsidR="00960FF5">
        <w:t xml:space="preserve">targeted the </w:t>
      </w:r>
      <w:r>
        <w:t>regions</w:t>
      </w:r>
      <w:r w:rsidR="00960FF5">
        <w:t xml:space="preserve"> </w:t>
      </w:r>
      <w:r w:rsidR="00684B6F">
        <w:t xml:space="preserve">covered in this activity </w:t>
      </w:r>
      <w:r w:rsidR="00590D2C">
        <w:t xml:space="preserve">based on </w:t>
      </w:r>
      <w:r>
        <w:t>evidence</w:t>
      </w:r>
      <w:r w:rsidR="00A14046">
        <w:t xml:space="preserve"> </w:t>
      </w:r>
      <w:r w:rsidRPr="00B60B02">
        <w:t>suggest</w:t>
      </w:r>
      <w:r w:rsidR="00590D2C">
        <w:t>ing</w:t>
      </w:r>
      <w:r w:rsidR="00A14046">
        <w:t xml:space="preserve"> </w:t>
      </w:r>
      <w:r w:rsidR="004A264E">
        <w:t xml:space="preserve">that businesses in these areas </w:t>
      </w:r>
      <w:r w:rsidRPr="00B60B02">
        <w:t xml:space="preserve">were at risk of non-compliance. </w:t>
      </w:r>
      <w:r w:rsidR="004A264E">
        <w:t>These risk factors included:</w:t>
      </w:r>
    </w:p>
    <w:p w14:paraId="4400EE3C" w14:textId="17C5E59A" w:rsidR="00E329A6" w:rsidRPr="00B60B02" w:rsidRDefault="00E329A6" w:rsidP="00CB1CDE">
      <w:pPr>
        <w:pStyle w:val="Bullet"/>
      </w:pPr>
      <w:r w:rsidRPr="00B60B02">
        <w:t xml:space="preserve">the proportion of vulnerable employees engaged by </w:t>
      </w:r>
      <w:r w:rsidR="00A42D1E">
        <w:t xml:space="preserve">regionally based </w:t>
      </w:r>
      <w:r w:rsidRPr="00B60B02">
        <w:t>businesses, for example young workers and/or migrant</w:t>
      </w:r>
      <w:r w:rsidR="00161CB0">
        <w:t xml:space="preserve"> workers</w:t>
      </w:r>
    </w:p>
    <w:p w14:paraId="72C05055" w14:textId="2D809ACF" w:rsidR="00E329A6" w:rsidRPr="00B60B02" w:rsidRDefault="00E329A6" w:rsidP="00CB1CDE">
      <w:pPr>
        <w:pStyle w:val="Bullet"/>
      </w:pPr>
      <w:r w:rsidRPr="00B60B02">
        <w:t xml:space="preserve">the number and type of Requests for Assistance </w:t>
      </w:r>
      <w:r w:rsidR="00A42D1E">
        <w:t xml:space="preserve">received by </w:t>
      </w:r>
      <w:r w:rsidRPr="00B60B02">
        <w:t>the FWO from local workers</w:t>
      </w:r>
    </w:p>
    <w:p w14:paraId="56D6B33B" w14:textId="2E53432B" w:rsidR="00E329A6" w:rsidRDefault="00E329A6" w:rsidP="00CB1CDE">
      <w:pPr>
        <w:pStyle w:val="Bullet"/>
      </w:pPr>
      <w:proofErr w:type="gramStart"/>
      <w:r w:rsidRPr="00B60B02">
        <w:t>regional</w:t>
      </w:r>
      <w:proofErr w:type="gramEnd"/>
      <w:r w:rsidRPr="00B60B02">
        <w:t xml:space="preserve"> unemployment rates.</w:t>
      </w:r>
    </w:p>
    <w:p w14:paraId="05A6BD12" w14:textId="11040F09" w:rsidR="002C6A00" w:rsidRDefault="00590D2C" w:rsidP="002C6A00">
      <w:pPr>
        <w:spacing w:after="120"/>
      </w:pPr>
      <w:bookmarkStart w:id="5" w:name="_Toc1047659"/>
      <w:r>
        <w:t>B</w:t>
      </w:r>
      <w:r w:rsidR="002C6A00" w:rsidRPr="00A14046">
        <w:t>usinesses from a cross-section of local industries</w:t>
      </w:r>
      <w:r>
        <w:t xml:space="preserve"> </w:t>
      </w:r>
      <w:proofErr w:type="gramStart"/>
      <w:r>
        <w:t>were selected</w:t>
      </w:r>
      <w:proofErr w:type="gramEnd"/>
      <w:r>
        <w:t xml:space="preserve">, with the </w:t>
      </w:r>
      <w:r w:rsidR="002C6A00">
        <w:t xml:space="preserve">Accommodation and Food Services (Hospitality) and Retail sectors a </w:t>
      </w:r>
      <w:r>
        <w:t xml:space="preserve">particular </w:t>
      </w:r>
      <w:r w:rsidR="002C6A00">
        <w:t xml:space="preserve">focus. The FWO has found that these industries </w:t>
      </w:r>
      <w:r w:rsidR="00085FC1">
        <w:t xml:space="preserve">present a high risk of non-compliance compared with most other </w:t>
      </w:r>
      <w:proofErr w:type="spellStart"/>
      <w:r w:rsidR="00085FC1">
        <w:t>industries</w:t>
      </w:r>
      <w:r w:rsidR="002C6A00">
        <w:t>and</w:t>
      </w:r>
      <w:proofErr w:type="spellEnd"/>
      <w:r w:rsidR="002C6A00">
        <w:t xml:space="preserve"> attract a greater number of young and/or migrant workers.</w:t>
      </w:r>
    </w:p>
    <w:p w14:paraId="68B01ED3" w14:textId="77777777" w:rsidR="00E329A6" w:rsidRPr="009746A8" w:rsidRDefault="00E329A6" w:rsidP="009973DB">
      <w:pPr>
        <w:pStyle w:val="Heading2"/>
      </w:pPr>
      <w:bookmarkStart w:id="6" w:name="_Toc9327677"/>
      <w:r w:rsidRPr="009746A8">
        <w:t>Objectives</w:t>
      </w:r>
      <w:bookmarkEnd w:id="5"/>
      <w:bookmarkEnd w:id="6"/>
    </w:p>
    <w:p w14:paraId="479B62D6" w14:textId="77777777" w:rsidR="00E329A6" w:rsidRPr="001F1A81" w:rsidRDefault="00E329A6" w:rsidP="00E329A6">
      <w:r>
        <w:t>The objectives of these activities were t</w:t>
      </w:r>
      <w:r w:rsidR="008159EE">
        <w:t>o</w:t>
      </w:r>
      <w:r>
        <w:t>:</w:t>
      </w:r>
    </w:p>
    <w:p w14:paraId="2F2B91F2" w14:textId="77777777" w:rsidR="00E329A6" w:rsidRDefault="00E329A6" w:rsidP="00CB1CDE">
      <w:pPr>
        <w:pStyle w:val="Bullet"/>
      </w:pPr>
      <w:r w:rsidRPr="00BA641B">
        <w:t xml:space="preserve">assess compliance </w:t>
      </w:r>
      <w:r>
        <w:t>with workplace relations laws</w:t>
      </w:r>
    </w:p>
    <w:p w14:paraId="358AC177" w14:textId="77777777" w:rsidR="00E329A6" w:rsidRPr="00BA641B" w:rsidRDefault="00E329A6" w:rsidP="00CB1CDE">
      <w:pPr>
        <w:pStyle w:val="Bullet"/>
      </w:pPr>
      <w:r w:rsidRPr="00BA641B">
        <w:t xml:space="preserve">educate employers about their workplace relations obligations and </w:t>
      </w:r>
      <w:r>
        <w:t xml:space="preserve">FWO </w:t>
      </w:r>
      <w:r w:rsidRPr="00BA641B">
        <w:t>tools and resources</w:t>
      </w:r>
    </w:p>
    <w:p w14:paraId="272CAFD3" w14:textId="77777777" w:rsidR="00E329A6" w:rsidRDefault="00E329A6" w:rsidP="00CB1CDE">
      <w:pPr>
        <w:pStyle w:val="Bullet"/>
      </w:pPr>
      <w:r>
        <w:t xml:space="preserve">use compliance and enforcement tools </w:t>
      </w:r>
      <w:r w:rsidR="00085FC1">
        <w:t xml:space="preserve">where required </w:t>
      </w:r>
      <w:r>
        <w:t>to address and deter non-compliance</w:t>
      </w:r>
    </w:p>
    <w:p w14:paraId="7861F0F7" w14:textId="46A5A2EE" w:rsidR="00E329A6" w:rsidRDefault="00E329A6" w:rsidP="00CB1CDE">
      <w:pPr>
        <w:pStyle w:val="Bullet"/>
      </w:pPr>
      <w:proofErr w:type="gramStart"/>
      <w:r>
        <w:t>recover</w:t>
      </w:r>
      <w:proofErr w:type="gramEnd"/>
      <w:r>
        <w:t xml:space="preserve"> </w:t>
      </w:r>
      <w:r w:rsidRPr="00BA641B">
        <w:t>outstanding entitlements</w:t>
      </w:r>
      <w:r>
        <w:t xml:space="preserve"> for workers</w:t>
      </w:r>
      <w:r w:rsidR="00085FC1">
        <w:t>.</w:t>
      </w:r>
    </w:p>
    <w:p w14:paraId="6066203A" w14:textId="77777777" w:rsidR="00E329A6" w:rsidRDefault="00E329A6" w:rsidP="009973DB">
      <w:pPr>
        <w:pStyle w:val="Heading2"/>
      </w:pPr>
      <w:bookmarkStart w:id="7" w:name="_Toc1047660"/>
      <w:bookmarkStart w:id="8" w:name="_Toc9327678"/>
      <w:r>
        <w:t>Stakeholder and communication activities</w:t>
      </w:r>
      <w:bookmarkEnd w:id="7"/>
      <w:bookmarkEnd w:id="8"/>
      <w:r>
        <w:t xml:space="preserve"> </w:t>
      </w:r>
    </w:p>
    <w:p w14:paraId="48EF2B82" w14:textId="77777777" w:rsidR="006E66AD" w:rsidRDefault="00E329A6" w:rsidP="00672DEF">
      <w:r>
        <w:t>The FWO wrote to local and industry stakeholders notify</w:t>
      </w:r>
      <w:r w:rsidR="00440FF9">
        <w:t>ing</w:t>
      </w:r>
      <w:r>
        <w:t xml:space="preserve"> them </w:t>
      </w:r>
      <w:proofErr w:type="gramStart"/>
      <w:r>
        <w:t>about the activities</w:t>
      </w:r>
      <w:r w:rsidR="00085FC1">
        <w:t xml:space="preserve"> and to seek their assistance and support</w:t>
      </w:r>
      <w:proofErr w:type="gramEnd"/>
      <w:r w:rsidR="00085FC1">
        <w:t xml:space="preserve"> to raise awareness in the community about the importance of compliance with workplace relations laws</w:t>
      </w:r>
      <w:r>
        <w:t xml:space="preserve">. </w:t>
      </w:r>
    </w:p>
    <w:p w14:paraId="1A64FD49" w14:textId="77777777" w:rsidR="00E329A6" w:rsidRPr="00151378" w:rsidRDefault="006E66AD" w:rsidP="00672DEF">
      <w:r>
        <w:t>M</w:t>
      </w:r>
      <w:r w:rsidR="00E329A6">
        <w:t xml:space="preserve">edia releases </w:t>
      </w:r>
      <w:proofErr w:type="gramStart"/>
      <w:r>
        <w:t>were issued</w:t>
      </w:r>
      <w:proofErr w:type="gramEnd"/>
      <w:r>
        <w:t xml:space="preserve"> </w:t>
      </w:r>
      <w:r w:rsidR="00E329A6">
        <w:t xml:space="preserve">at the commencement of </w:t>
      </w:r>
      <w:r w:rsidR="00D0710C">
        <w:t xml:space="preserve">each </w:t>
      </w:r>
      <w:r w:rsidR="00AD269B">
        <w:t>activity</w:t>
      </w:r>
      <w:r w:rsidR="00842AFE">
        <w:t>, generating</w:t>
      </w:r>
      <w:r w:rsidR="00E329A6">
        <w:t xml:space="preserve"> extensive </w:t>
      </w:r>
      <w:r>
        <w:t xml:space="preserve">local </w:t>
      </w:r>
      <w:r w:rsidR="00E329A6">
        <w:t xml:space="preserve">media interest. </w:t>
      </w:r>
      <w:r w:rsidR="00D73722">
        <w:t>Media coverage</w:t>
      </w:r>
      <w:r w:rsidR="00E329A6">
        <w:t xml:space="preserve"> included local radio interviews with </w:t>
      </w:r>
      <w:r w:rsidR="007E21C6">
        <w:t xml:space="preserve">FWO officers and </w:t>
      </w:r>
      <w:r w:rsidR="00E329A6">
        <w:t xml:space="preserve">WIN TV covered the </w:t>
      </w:r>
      <w:r w:rsidR="00E329A6" w:rsidRPr="005E3556">
        <w:t>Latrobe-Gippsland</w:t>
      </w:r>
      <w:r w:rsidR="00900E8C">
        <w:t xml:space="preserve"> campaign</w:t>
      </w:r>
      <w:r w:rsidR="00E329A6" w:rsidRPr="005E3556">
        <w:t>.</w:t>
      </w:r>
    </w:p>
    <w:p w14:paraId="2F5591F1" w14:textId="77777777" w:rsidR="00E329A6" w:rsidRDefault="00E329A6" w:rsidP="009973DB">
      <w:pPr>
        <w:pStyle w:val="Heading2"/>
      </w:pPr>
      <w:bookmarkStart w:id="9" w:name="_Toc1047661"/>
      <w:bookmarkStart w:id="10" w:name="_Toc9327679"/>
      <w:r>
        <w:t>Methodology</w:t>
      </w:r>
      <w:bookmarkEnd w:id="9"/>
      <w:bookmarkEnd w:id="10"/>
    </w:p>
    <w:p w14:paraId="00CC9BC7" w14:textId="77777777" w:rsidR="000A3877" w:rsidRPr="00C61167" w:rsidRDefault="000A3877" w:rsidP="00D0710C">
      <w:r>
        <w:t xml:space="preserve">Fair Work Inspectors audited 1385 </w:t>
      </w:r>
      <w:r w:rsidR="00C64C47">
        <w:t>businesses. This</w:t>
      </w:r>
      <w:r w:rsidR="00823DAE">
        <w:t xml:space="preserve"> included:</w:t>
      </w:r>
    </w:p>
    <w:p w14:paraId="4480D0DF" w14:textId="77777777" w:rsidR="000A3877" w:rsidRDefault="009B7C80" w:rsidP="00CB1CDE">
      <w:pPr>
        <w:pStyle w:val="Bullet"/>
        <w:rPr>
          <w:rFonts w:ascii="Calibri" w:hAnsi="Calibri" w:cs="Calibri"/>
        </w:rPr>
      </w:pPr>
      <w:r>
        <w:t xml:space="preserve">364 audits in the </w:t>
      </w:r>
      <w:r w:rsidR="000A3877">
        <w:t xml:space="preserve">Latrobe-Gippsland </w:t>
      </w:r>
      <w:r>
        <w:t xml:space="preserve">region </w:t>
      </w:r>
      <w:r w:rsidR="000A3877">
        <w:t>(Vic)</w:t>
      </w:r>
    </w:p>
    <w:p w14:paraId="1CD9E1F8" w14:textId="77777777" w:rsidR="000A3877" w:rsidRDefault="009B7C80" w:rsidP="00CB1CDE">
      <w:pPr>
        <w:pStyle w:val="Bullet"/>
      </w:pPr>
      <w:r>
        <w:t xml:space="preserve">262 in the </w:t>
      </w:r>
      <w:r w:rsidR="000A3877">
        <w:t>Shepparton</w:t>
      </w:r>
      <w:r>
        <w:t xml:space="preserve"> region </w:t>
      </w:r>
      <w:r w:rsidR="000A3877">
        <w:t>(Vic)</w:t>
      </w:r>
    </w:p>
    <w:p w14:paraId="6DBE95B2" w14:textId="77777777" w:rsidR="000A3877" w:rsidRDefault="009B7C80" w:rsidP="00CB1CDE">
      <w:pPr>
        <w:pStyle w:val="Bullet"/>
      </w:pPr>
      <w:r>
        <w:lastRenderedPageBreak/>
        <w:t xml:space="preserve">338 in the </w:t>
      </w:r>
      <w:r w:rsidR="000A3877">
        <w:t xml:space="preserve">Southern Highlands and Shoalhaven </w:t>
      </w:r>
      <w:r>
        <w:t>region</w:t>
      </w:r>
      <w:r w:rsidR="00080941">
        <w:t>s</w:t>
      </w:r>
      <w:r>
        <w:t xml:space="preserve"> </w:t>
      </w:r>
      <w:r w:rsidR="000A3877">
        <w:t>(NSW)</w:t>
      </w:r>
    </w:p>
    <w:p w14:paraId="4381CD1E" w14:textId="77777777" w:rsidR="000A3877" w:rsidRDefault="009B7C80" w:rsidP="00CB1CDE">
      <w:pPr>
        <w:pStyle w:val="Bullet"/>
      </w:pPr>
      <w:r>
        <w:t xml:space="preserve">209 in the </w:t>
      </w:r>
      <w:r w:rsidR="000A3877">
        <w:t xml:space="preserve">Wide Bay </w:t>
      </w:r>
      <w:r>
        <w:t>re</w:t>
      </w:r>
      <w:r w:rsidR="00823DAE">
        <w:t>g</w:t>
      </w:r>
      <w:r>
        <w:t xml:space="preserve">ion </w:t>
      </w:r>
      <w:r w:rsidR="000A3877">
        <w:t>(Qld)</w:t>
      </w:r>
    </w:p>
    <w:p w14:paraId="65A6D0B0" w14:textId="77777777" w:rsidR="000A3877" w:rsidRDefault="009B7C80" w:rsidP="00CB1CDE">
      <w:pPr>
        <w:pStyle w:val="Bullet"/>
      </w:pPr>
      <w:proofErr w:type="gramStart"/>
      <w:r>
        <w:t>212</w:t>
      </w:r>
      <w:proofErr w:type="gramEnd"/>
      <w:r>
        <w:t xml:space="preserve"> in the </w:t>
      </w:r>
      <w:r w:rsidR="000A3877">
        <w:t xml:space="preserve">Ipswich </w:t>
      </w:r>
      <w:r>
        <w:t>region</w:t>
      </w:r>
      <w:r w:rsidR="007242D0">
        <w:t xml:space="preserve"> </w:t>
      </w:r>
      <w:r w:rsidR="000A3877">
        <w:t>(Qld).</w:t>
      </w:r>
    </w:p>
    <w:p w14:paraId="4BA0D324" w14:textId="77777777" w:rsidR="00E329A6" w:rsidRDefault="00282A46" w:rsidP="00E329A6">
      <w:r>
        <w:t xml:space="preserve">Inspectors </w:t>
      </w:r>
      <w:r w:rsidR="00E329A6">
        <w:t>assessed</w:t>
      </w:r>
      <w:r w:rsidR="00E329A6" w:rsidRPr="0012279B">
        <w:t xml:space="preserve"> </w:t>
      </w:r>
      <w:r>
        <w:t xml:space="preserve">time and wages records </w:t>
      </w:r>
      <w:r w:rsidR="00E329A6" w:rsidRPr="0012279B">
        <w:t xml:space="preserve">against the </w:t>
      </w:r>
      <w:r w:rsidR="00E329A6" w:rsidRPr="0012279B">
        <w:rPr>
          <w:i/>
        </w:rPr>
        <w:t>Fair Work Act 2009</w:t>
      </w:r>
      <w:r w:rsidR="00E329A6" w:rsidRPr="0012279B">
        <w:t xml:space="preserve"> (the Act), the </w:t>
      </w:r>
      <w:r w:rsidR="00E329A6" w:rsidRPr="0012279B">
        <w:rPr>
          <w:i/>
        </w:rPr>
        <w:t>Fair Work Regulations 200</w:t>
      </w:r>
      <w:r w:rsidR="00E329A6">
        <w:rPr>
          <w:i/>
        </w:rPr>
        <w:t>9</w:t>
      </w:r>
      <w:r w:rsidR="00E329A6">
        <w:t xml:space="preserve"> </w:t>
      </w:r>
      <w:r w:rsidR="00E329A6" w:rsidRPr="0012279B">
        <w:t>(the Regulations) and the applicable award/agreement</w:t>
      </w:r>
      <w:r w:rsidR="00E329A6">
        <w:t>. Common awards applying to local businesses were:</w:t>
      </w:r>
    </w:p>
    <w:p w14:paraId="73D0F8CC" w14:textId="77777777" w:rsidR="00E329A6" w:rsidRPr="003319D2" w:rsidRDefault="00E329A6" w:rsidP="00CB1CDE">
      <w:pPr>
        <w:pStyle w:val="Bullet"/>
      </w:pPr>
      <w:r w:rsidRPr="003319D2">
        <w:t>General Retail Industry Award 2010</w:t>
      </w:r>
    </w:p>
    <w:p w14:paraId="32E59974" w14:textId="77777777" w:rsidR="00E329A6" w:rsidRPr="003319D2" w:rsidRDefault="00E329A6" w:rsidP="00CB1CDE">
      <w:pPr>
        <w:pStyle w:val="Bullet"/>
      </w:pPr>
      <w:r w:rsidRPr="003319D2">
        <w:t>Hospitality Industry (General) Award 2010</w:t>
      </w:r>
    </w:p>
    <w:p w14:paraId="2D3CCDFC" w14:textId="77777777" w:rsidR="00E329A6" w:rsidRPr="003319D2" w:rsidRDefault="00E329A6" w:rsidP="00CB1CDE">
      <w:pPr>
        <w:pStyle w:val="Bullet"/>
      </w:pPr>
      <w:r w:rsidRPr="003319D2">
        <w:t>Restaurant Industry Award 2010</w:t>
      </w:r>
    </w:p>
    <w:p w14:paraId="10B70408" w14:textId="77777777" w:rsidR="00397739" w:rsidRPr="003319D2" w:rsidRDefault="00397739" w:rsidP="00CB1CDE">
      <w:pPr>
        <w:pStyle w:val="Bullet"/>
      </w:pPr>
      <w:r w:rsidRPr="003319D2">
        <w:t>Fast Food Industry Award 2010</w:t>
      </w:r>
    </w:p>
    <w:p w14:paraId="58226552" w14:textId="77777777" w:rsidR="00E329A6" w:rsidRPr="003319D2" w:rsidRDefault="00E329A6" w:rsidP="00CB1CDE">
      <w:pPr>
        <w:pStyle w:val="Bullet"/>
      </w:pPr>
      <w:r w:rsidRPr="003319D2">
        <w:t>Manufacturing and Associated Industries Award 2010</w:t>
      </w:r>
    </w:p>
    <w:p w14:paraId="3A95E064" w14:textId="77777777" w:rsidR="00E329A6" w:rsidRPr="003319D2" w:rsidRDefault="00E329A6" w:rsidP="00CB1CDE">
      <w:pPr>
        <w:pStyle w:val="Bullet"/>
      </w:pPr>
      <w:r w:rsidRPr="003319D2">
        <w:t>Building and Construction General On-Site Award 2010.</w:t>
      </w:r>
    </w:p>
    <w:p w14:paraId="22CE41DC" w14:textId="77777777" w:rsidR="00E329A6" w:rsidRDefault="00E329A6" w:rsidP="00672DEF">
      <w:r>
        <w:t xml:space="preserve">Fair Work Inspectors required employers to rectify any breaches and to provide evidence of corrective action taken, for example proof of payment of outstanding employee entitlements. They </w:t>
      </w:r>
      <w:r w:rsidR="006E66AD">
        <w:t xml:space="preserve">gave employers tailored information and advice based on </w:t>
      </w:r>
      <w:r w:rsidR="00040421">
        <w:t>the</w:t>
      </w:r>
      <w:r w:rsidR="006E66AD">
        <w:t xml:space="preserve"> </w:t>
      </w:r>
      <w:r>
        <w:t xml:space="preserve">reasons for non-compliance. </w:t>
      </w:r>
      <w:r w:rsidR="00C5484D">
        <w:t xml:space="preserve">Small business employers </w:t>
      </w:r>
      <w:r w:rsidR="00040421">
        <w:t xml:space="preserve">were shown the </w:t>
      </w:r>
      <w:r>
        <w:t xml:space="preserve">FWO’s free online tools and resources </w:t>
      </w:r>
      <w:r w:rsidR="00C5484D">
        <w:t>designed specifically for them</w:t>
      </w:r>
      <w:r>
        <w:t>.</w:t>
      </w:r>
      <w:r>
        <w:rPr>
          <w:rStyle w:val="FootnoteReference"/>
          <w:rFonts w:eastAsiaTheme="majorEastAsia"/>
        </w:rPr>
        <w:footnoteReference w:id="2"/>
      </w:r>
      <w:r>
        <w:t xml:space="preserve"> </w:t>
      </w:r>
      <w:r>
        <w:br w:type="page"/>
      </w:r>
    </w:p>
    <w:p w14:paraId="5DC14D1E" w14:textId="77777777" w:rsidR="00E329A6" w:rsidRDefault="00E329A6" w:rsidP="00E329A6">
      <w:pPr>
        <w:pStyle w:val="Heading1"/>
      </w:pPr>
      <w:bookmarkStart w:id="11" w:name="_Toc1047662"/>
      <w:bookmarkStart w:id="12" w:name="_Toc9327680"/>
      <w:r>
        <w:lastRenderedPageBreak/>
        <w:t>Results</w:t>
      </w:r>
      <w:bookmarkEnd w:id="11"/>
      <w:bookmarkEnd w:id="12"/>
      <w:r>
        <w:t xml:space="preserve"> </w:t>
      </w:r>
    </w:p>
    <w:p w14:paraId="5BB85A94" w14:textId="77777777" w:rsidR="00E329A6" w:rsidRDefault="00E329A6" w:rsidP="00E329A6">
      <w:r>
        <w:t>Of the 1385 businesses audited, Fair Work Inspectors found:</w:t>
      </w:r>
    </w:p>
    <w:p w14:paraId="4A77C212" w14:textId="77777777" w:rsidR="00E329A6" w:rsidRDefault="00E329A6" w:rsidP="00CB1CDE">
      <w:pPr>
        <w:pStyle w:val="Bullet"/>
      </w:pPr>
      <w:r>
        <w:t>788 (57%) were compliant with all workplace relations laws</w:t>
      </w:r>
    </w:p>
    <w:p w14:paraId="6F5D125D" w14:textId="77777777" w:rsidR="00E329A6" w:rsidRDefault="00E329A6" w:rsidP="00CB1CDE">
      <w:pPr>
        <w:pStyle w:val="Bullet"/>
      </w:pPr>
      <w:proofErr w:type="gramStart"/>
      <w:r>
        <w:t>597</w:t>
      </w:r>
      <w:proofErr w:type="gramEnd"/>
      <w:r>
        <w:t xml:space="preserve"> (43%) were in breach of their obligations.</w:t>
      </w:r>
    </w:p>
    <w:p w14:paraId="60967437" w14:textId="77777777" w:rsidR="00040421" w:rsidRDefault="00040421" w:rsidP="00E329A6">
      <w:r>
        <w:t>Compliance rates were similar across the regions:</w:t>
      </w:r>
    </w:p>
    <w:p w14:paraId="06F55AB2" w14:textId="1149DEF7" w:rsidR="00040421" w:rsidRPr="00CB1CDE" w:rsidRDefault="00375992" w:rsidP="00CB1CDE">
      <w:pPr>
        <w:pStyle w:val="Bullet"/>
      </w:pPr>
      <w:r w:rsidRPr="00CB1CDE">
        <w:t>5</w:t>
      </w:r>
      <w:r w:rsidR="00CB1CDE" w:rsidRPr="00CB1CDE">
        <w:t>2</w:t>
      </w:r>
      <w:r w:rsidR="00040421" w:rsidRPr="00CB1CDE">
        <w:t>% in Shepparton</w:t>
      </w:r>
    </w:p>
    <w:p w14:paraId="0DA503AF" w14:textId="77777777" w:rsidR="00040421" w:rsidRDefault="00040421" w:rsidP="00CB1CDE">
      <w:pPr>
        <w:pStyle w:val="Bullet"/>
      </w:pPr>
      <w:r>
        <w:t>59% in Latrobe-Gippsland</w:t>
      </w:r>
    </w:p>
    <w:p w14:paraId="0E8AF9B7" w14:textId="77777777" w:rsidR="00040421" w:rsidRDefault="00040421" w:rsidP="00CB1CDE">
      <w:pPr>
        <w:pStyle w:val="Bullet"/>
      </w:pPr>
      <w:r>
        <w:t>55% in Southern Highlands &amp; Shoalhaven</w:t>
      </w:r>
    </w:p>
    <w:p w14:paraId="049A8A3F" w14:textId="77777777" w:rsidR="00040421" w:rsidRDefault="00040421" w:rsidP="00CB1CDE">
      <w:pPr>
        <w:pStyle w:val="Bullet"/>
      </w:pPr>
      <w:r>
        <w:t>57% in Ipswich</w:t>
      </w:r>
    </w:p>
    <w:p w14:paraId="37B63F2C" w14:textId="77777777" w:rsidR="008E4B1A" w:rsidRDefault="00040421" w:rsidP="00CB1CDE">
      <w:pPr>
        <w:pStyle w:val="Bullet"/>
      </w:pPr>
      <w:proofErr w:type="gramStart"/>
      <w:r>
        <w:t>63%</w:t>
      </w:r>
      <w:proofErr w:type="gramEnd"/>
      <w:r>
        <w:t xml:space="preserve"> in Wide Bay.</w:t>
      </w:r>
      <w:r w:rsidR="00F1004B">
        <w:rPr>
          <w:rStyle w:val="FootnoteReference"/>
        </w:rPr>
        <w:footnoteReference w:id="3"/>
      </w:r>
    </w:p>
    <w:p w14:paraId="65A23BDF" w14:textId="77777777" w:rsidR="00F40840" w:rsidRDefault="00F40840" w:rsidP="00F40840">
      <w:r>
        <w:t>The hospitality sector was the least compliant of all industries</w:t>
      </w:r>
      <w:r w:rsidR="00085FC1">
        <w:t xml:space="preserve"> audited by the FWO</w:t>
      </w:r>
      <w:r>
        <w:t xml:space="preserve"> (with a compliance rate of 45%). This is consistent with the FWO’s findings from across other campaign activities.</w:t>
      </w:r>
    </w:p>
    <w:p w14:paraId="1BDFBF64" w14:textId="77777777" w:rsidR="00E329A6" w:rsidRDefault="007E21C6" w:rsidP="00E329A6">
      <w:r>
        <w:t>Of</w:t>
      </w:r>
      <w:r w:rsidR="00513BA0">
        <w:t xml:space="preserve"> </w:t>
      </w:r>
      <w:r w:rsidR="00E329A6">
        <w:t xml:space="preserve">the </w:t>
      </w:r>
      <w:r w:rsidR="00DD03AD">
        <w:t xml:space="preserve">597 </w:t>
      </w:r>
      <w:r w:rsidR="00E329A6">
        <w:t>non-compliant businesses:</w:t>
      </w:r>
    </w:p>
    <w:p w14:paraId="71BE2FF3" w14:textId="77777777" w:rsidR="00E329A6" w:rsidRDefault="00E329A6" w:rsidP="00CB1CDE">
      <w:pPr>
        <w:pStyle w:val="Bullet"/>
      </w:pPr>
      <w:r>
        <w:t>301 (22% of all audited business) failed to pay their employees correctly, but complied with pay slip and record-keeping obligations (non-monetary obligations)</w:t>
      </w:r>
    </w:p>
    <w:p w14:paraId="28426834" w14:textId="77777777" w:rsidR="00E329A6" w:rsidRDefault="00E329A6" w:rsidP="00CB1CDE">
      <w:pPr>
        <w:pStyle w:val="Bullet"/>
      </w:pPr>
      <w:r>
        <w:t>207 (15%) were in breach of non-monetary obligations, but complied with monetary requirements</w:t>
      </w:r>
    </w:p>
    <w:p w14:paraId="16A44E29" w14:textId="77777777" w:rsidR="00E329A6" w:rsidRDefault="00E329A6" w:rsidP="00CB1CDE">
      <w:pPr>
        <w:pStyle w:val="Bullet"/>
      </w:pPr>
      <w:proofErr w:type="gramStart"/>
      <w:r>
        <w:t>89</w:t>
      </w:r>
      <w:proofErr w:type="gramEnd"/>
      <w:r>
        <w:t xml:space="preserve"> (6%) were in breach of both their monetary and non-monetary obligations.</w:t>
      </w:r>
    </w:p>
    <w:p w14:paraId="3857485F" w14:textId="77777777" w:rsidR="00E329A6" w:rsidRDefault="00E329A6" w:rsidP="00E329A6">
      <w:r>
        <w:t>The most common breaches Fair Work Inspectors identified were:</w:t>
      </w:r>
    </w:p>
    <w:p w14:paraId="07803750" w14:textId="77777777" w:rsidR="00E329A6" w:rsidRDefault="00E329A6" w:rsidP="00CB1CDE">
      <w:pPr>
        <w:pStyle w:val="Bullet"/>
      </w:pPr>
      <w:r>
        <w:t>underpayment of the minimum hourly rate (41% of all breaches)</w:t>
      </w:r>
    </w:p>
    <w:p w14:paraId="5CD6A086" w14:textId="77777777" w:rsidR="00E329A6" w:rsidRDefault="00E329A6" w:rsidP="00CB1CDE">
      <w:pPr>
        <w:pStyle w:val="Bullet"/>
      </w:pPr>
      <w:proofErr w:type="gramStart"/>
      <w:r>
        <w:t>failure</w:t>
      </w:r>
      <w:proofErr w:type="gramEnd"/>
      <w:r>
        <w:t xml:space="preserve"> to provide pay slips </w:t>
      </w:r>
      <w:r w:rsidR="00900E8C">
        <w:t xml:space="preserve">in </w:t>
      </w:r>
      <w:r>
        <w:t>the form prescribed by the Regulations (30%)</w:t>
      </w:r>
    </w:p>
    <w:p w14:paraId="30D911D1" w14:textId="77777777" w:rsidR="00E329A6" w:rsidRDefault="00E329A6" w:rsidP="00CB1CDE">
      <w:pPr>
        <w:pStyle w:val="Bullet"/>
      </w:pPr>
      <w:proofErr w:type="gramStart"/>
      <w:r>
        <w:t>penalty</w:t>
      </w:r>
      <w:proofErr w:type="gramEnd"/>
      <w:r>
        <w:t xml:space="preserve"> rates (10%)</w:t>
      </w:r>
    </w:p>
    <w:p w14:paraId="128D504D" w14:textId="77777777" w:rsidR="00E329A6" w:rsidRDefault="00E329A6" w:rsidP="00CB1CDE">
      <w:pPr>
        <w:pStyle w:val="Bullet"/>
      </w:pPr>
      <w:proofErr w:type="gramStart"/>
      <w:r>
        <w:t>overtime</w:t>
      </w:r>
      <w:proofErr w:type="gramEnd"/>
      <w:r>
        <w:t xml:space="preserve"> (7%)</w:t>
      </w:r>
    </w:p>
    <w:p w14:paraId="524E577D" w14:textId="77777777" w:rsidR="006F413C" w:rsidRDefault="00E329A6" w:rsidP="00CB1CDE">
      <w:pPr>
        <w:pStyle w:val="Bullet"/>
      </w:pPr>
      <w:proofErr w:type="gramStart"/>
      <w:r>
        <w:t>record-keeping</w:t>
      </w:r>
      <w:proofErr w:type="gramEnd"/>
      <w:r>
        <w:t xml:space="preserve"> (6%).</w:t>
      </w:r>
    </w:p>
    <w:p w14:paraId="227F351F" w14:textId="77777777" w:rsidR="00E329A6" w:rsidRPr="006F413C" w:rsidRDefault="00E329A6" w:rsidP="00DD03AD"/>
    <w:p w14:paraId="0525B085" w14:textId="77777777" w:rsidR="00F1004B" w:rsidRDefault="00DD03AD" w:rsidP="00F40840">
      <w:r>
        <w:br w:type="page"/>
      </w:r>
      <w:r>
        <w:lastRenderedPageBreak/>
        <w:t xml:space="preserve">The reasons for non-compliance </w:t>
      </w:r>
      <w:proofErr w:type="gramStart"/>
      <w:r>
        <w:t>were found</w:t>
      </w:r>
      <w:proofErr w:type="gramEnd"/>
      <w:r>
        <w:t xml:space="preserve"> to be</w:t>
      </w:r>
      <w:r w:rsidR="00F1004B">
        <w:t>:</w:t>
      </w:r>
    </w:p>
    <w:p w14:paraId="11F19205" w14:textId="77777777" w:rsidR="00F1004B" w:rsidRDefault="00513BA0" w:rsidP="00CB1CDE">
      <w:pPr>
        <w:pStyle w:val="Bullet"/>
      </w:pPr>
      <w:r>
        <w:t>lack of a</w:t>
      </w:r>
      <w:r w:rsidR="00F1004B">
        <w:t>ware</w:t>
      </w:r>
      <w:r>
        <w:t>ness</w:t>
      </w:r>
      <w:r w:rsidR="00F1004B">
        <w:t xml:space="preserve"> of workplace relations obligations</w:t>
      </w:r>
      <w:r>
        <w:t xml:space="preserve"> (48% of non-compliant businesses)</w:t>
      </w:r>
    </w:p>
    <w:p w14:paraId="7B7B8A07" w14:textId="77777777" w:rsidR="00F1004B" w:rsidRDefault="00513BA0" w:rsidP="00CB1CDE">
      <w:pPr>
        <w:pStyle w:val="Bullet"/>
      </w:pPr>
      <w:proofErr w:type="gramStart"/>
      <w:r>
        <w:t>misinterpretation</w:t>
      </w:r>
      <w:proofErr w:type="gramEnd"/>
      <w:r>
        <w:t xml:space="preserve"> of award requirements (20%)</w:t>
      </w:r>
    </w:p>
    <w:p w14:paraId="4D6B21EF" w14:textId="77777777" w:rsidR="00F1004B" w:rsidRPr="00E329A6" w:rsidRDefault="00513BA0" w:rsidP="00CB1CDE">
      <w:pPr>
        <w:pStyle w:val="Bullet"/>
      </w:pPr>
      <w:proofErr w:type="gramStart"/>
      <w:r w:rsidRPr="00E329A6">
        <w:t>business</w:t>
      </w:r>
      <w:proofErr w:type="gramEnd"/>
      <w:r w:rsidRPr="00E329A6">
        <w:t xml:space="preserve"> decision</w:t>
      </w:r>
      <w:r>
        <w:t>s</w:t>
      </w:r>
      <w:r w:rsidRPr="00E329A6">
        <w:t xml:space="preserve"> le</w:t>
      </w:r>
      <w:r>
        <w:t>a</w:t>
      </w:r>
      <w:r w:rsidRPr="00E329A6">
        <w:t>d</w:t>
      </w:r>
      <w:r>
        <w:t>ing</w:t>
      </w:r>
      <w:r w:rsidRPr="00E329A6">
        <w:t xml:space="preserve"> to non-compliance</w:t>
      </w:r>
      <w:r>
        <w:t xml:space="preserve"> e.g. </w:t>
      </w:r>
      <w:r w:rsidRPr="00E329A6">
        <w:t xml:space="preserve">paying flat hourly rates in lieu of weekend penalties </w:t>
      </w:r>
      <w:r>
        <w:t>(12%)</w:t>
      </w:r>
    </w:p>
    <w:p w14:paraId="22019D2D" w14:textId="23805668" w:rsidR="00F1004B" w:rsidRDefault="00513BA0" w:rsidP="00CB1CDE">
      <w:pPr>
        <w:pStyle w:val="Bullet"/>
      </w:pPr>
      <w:proofErr w:type="gramStart"/>
      <w:r>
        <w:t>missing</w:t>
      </w:r>
      <w:proofErr w:type="gramEnd"/>
      <w:r>
        <w:t xml:space="preserve"> the July annual wage increase (</w:t>
      </w:r>
      <w:r w:rsidR="00F1004B">
        <w:t>9%</w:t>
      </w:r>
      <w:r>
        <w:t xml:space="preserve">) </w:t>
      </w:r>
    </w:p>
    <w:p w14:paraId="32F78889" w14:textId="77777777" w:rsidR="00F1004B" w:rsidRDefault="00513BA0" w:rsidP="00CB1CDE">
      <w:pPr>
        <w:pStyle w:val="Bullet"/>
      </w:pPr>
      <w:proofErr w:type="gramStart"/>
      <w:r>
        <w:t>other</w:t>
      </w:r>
      <w:proofErr w:type="gramEnd"/>
      <w:r>
        <w:t xml:space="preserve"> reasons, such as payroll software issues (7%)</w:t>
      </w:r>
    </w:p>
    <w:p w14:paraId="5D3DCAA8" w14:textId="77777777" w:rsidR="00F1004B" w:rsidRDefault="00513BA0" w:rsidP="00CB1CDE">
      <w:pPr>
        <w:pStyle w:val="Bullet"/>
      </w:pPr>
      <w:proofErr w:type="gramStart"/>
      <w:r>
        <w:t>incorrect</w:t>
      </w:r>
      <w:proofErr w:type="gramEnd"/>
      <w:r>
        <w:t xml:space="preserve"> advice from a third party, such as an accountant or another employer (4</w:t>
      </w:r>
      <w:r w:rsidR="00F1004B">
        <w:t>%</w:t>
      </w:r>
      <w:r>
        <w:t>)</w:t>
      </w:r>
      <w:r w:rsidR="00F1004B">
        <w:t>.</w:t>
      </w:r>
    </w:p>
    <w:p w14:paraId="26947589" w14:textId="77777777" w:rsidR="006F413C" w:rsidRDefault="006F413C" w:rsidP="00DD03AD">
      <w:pPr>
        <w:pStyle w:val="CalloutBoxHeading"/>
      </w:pPr>
      <w:r>
        <w:t>Case study</w:t>
      </w:r>
      <w:r w:rsidR="00827416">
        <w:t>—</w:t>
      </w:r>
      <w:r>
        <w:t>missing the annual minimum wage increase</w:t>
      </w:r>
    </w:p>
    <w:p w14:paraId="286DCED4" w14:textId="77777777" w:rsidR="006F413C" w:rsidRDefault="006F413C" w:rsidP="00DD03AD">
      <w:pPr>
        <w:pStyle w:val="Calloutbox"/>
        <w:rPr>
          <w:rFonts w:cstheme="minorHAnsi"/>
        </w:rPr>
      </w:pPr>
      <w:r>
        <w:t xml:space="preserve">Fair Work Inspectors audited a furniture retail business in Ipswich. They identified that the employer had missed the annual minimum wage increase on 1 July. As a result, the employer underpaid four casual workers a total of </w:t>
      </w:r>
      <w:r w:rsidR="00513BA0">
        <w:rPr>
          <w:rFonts w:cstheme="minorHAnsi"/>
        </w:rPr>
        <w:t>$821.</w:t>
      </w:r>
    </w:p>
    <w:p w14:paraId="17A46E7D" w14:textId="127A86D1" w:rsidR="006F413C" w:rsidRDefault="006F413C" w:rsidP="00DD03AD">
      <w:pPr>
        <w:pStyle w:val="Calloutbox"/>
      </w:pPr>
      <w:r>
        <w:t xml:space="preserve">The employer </w:t>
      </w:r>
      <w:r w:rsidR="00085FC1">
        <w:t xml:space="preserve">reimbursed </w:t>
      </w:r>
      <w:r>
        <w:t>the affected workers, explaining they</w:t>
      </w:r>
      <w:r w:rsidR="00827416">
        <w:t xml:space="preserve"> had</w:t>
      </w:r>
      <w:r>
        <w:t xml:space="preserve"> relied on their accountant to keep them up to date with changes to workplace relations laws</w:t>
      </w:r>
      <w:r w:rsidR="00513BA0">
        <w:t xml:space="preserve"> including </w:t>
      </w:r>
      <w:r>
        <w:t xml:space="preserve">annual </w:t>
      </w:r>
      <w:r w:rsidR="00513BA0">
        <w:t xml:space="preserve">pay rate </w:t>
      </w:r>
      <w:r>
        <w:t>increases</w:t>
      </w:r>
      <w:r w:rsidRPr="00DD03AD">
        <w:t>.</w:t>
      </w:r>
      <w:r>
        <w:t xml:space="preserve"> </w:t>
      </w:r>
    </w:p>
    <w:p w14:paraId="1A2F723A" w14:textId="77777777" w:rsidR="006F413C" w:rsidRDefault="006F413C" w:rsidP="00DD03AD">
      <w:pPr>
        <w:pStyle w:val="Calloutbox"/>
      </w:pPr>
      <w:r>
        <w:t>To assist the employer take greater control of their workplace relations obligations</w:t>
      </w:r>
      <w:r w:rsidR="00085FC1">
        <w:t xml:space="preserve"> in future</w:t>
      </w:r>
      <w:r>
        <w:t xml:space="preserve">, Fair Work Inspectors helped them sign up to the FWO’s My Account service and </w:t>
      </w:r>
      <w:r w:rsidR="00513BA0">
        <w:t>employer newsletter.  This means</w:t>
      </w:r>
      <w:r>
        <w:t xml:space="preserve"> that in addition their accountant’s </w:t>
      </w:r>
      <w:proofErr w:type="gramStart"/>
      <w:r>
        <w:t>services,</w:t>
      </w:r>
      <w:proofErr w:type="gramEnd"/>
      <w:r>
        <w:t xml:space="preserve"> they now receive automatic updates on any changes to workplace relations laws—including annual minimum wages increases. </w:t>
      </w:r>
    </w:p>
    <w:p w14:paraId="293DD31E" w14:textId="77777777" w:rsidR="00C3030A" w:rsidRDefault="00C3030A" w:rsidP="00C3030A"/>
    <w:p w14:paraId="43D8FAA4" w14:textId="77777777" w:rsidR="002F1725" w:rsidRDefault="002F1725">
      <w:pPr>
        <w:spacing w:before="0" w:line="240" w:lineRule="auto"/>
        <w:rPr>
          <w:rFonts w:ascii="Helvetica" w:hAnsi="Helvetica"/>
          <w:color w:val="263746"/>
          <w:sz w:val="44"/>
          <w:szCs w:val="26"/>
        </w:rPr>
      </w:pPr>
      <w:bookmarkStart w:id="13" w:name="_Toc1047663"/>
      <w:r>
        <w:br w:type="page"/>
      </w:r>
    </w:p>
    <w:p w14:paraId="76145020" w14:textId="77777777" w:rsidR="00E329A6" w:rsidRPr="00E329A6" w:rsidRDefault="00E329A6" w:rsidP="00E329A6">
      <w:pPr>
        <w:pStyle w:val="Heading1"/>
      </w:pPr>
      <w:bookmarkStart w:id="14" w:name="_Toc9327681"/>
      <w:r w:rsidRPr="00E329A6">
        <w:lastRenderedPageBreak/>
        <w:t>Compliance and enforcement outcomes</w:t>
      </w:r>
      <w:bookmarkEnd w:id="13"/>
      <w:bookmarkEnd w:id="14"/>
    </w:p>
    <w:p w14:paraId="0452C0B5" w14:textId="77777777" w:rsidR="00E329A6" w:rsidRDefault="00E329A6" w:rsidP="00E329A6">
      <w:r>
        <w:t>Fair Work Inspectors used compliance and enforcement tools to ensure breaches were rectified and to deter non-compliant behaviours. The</w:t>
      </w:r>
      <w:r w:rsidR="00D73722">
        <w:t>y</w:t>
      </w:r>
      <w:r>
        <w:t xml:space="preserve"> issued:</w:t>
      </w:r>
    </w:p>
    <w:p w14:paraId="75B79493" w14:textId="77777777" w:rsidR="00E329A6" w:rsidRDefault="00E329A6" w:rsidP="00CB1CDE">
      <w:pPr>
        <w:pStyle w:val="Bullet"/>
      </w:pPr>
      <w:r>
        <w:t>39 Formal Cautions, putting employers on notice about the consequences of continued non-compliance</w:t>
      </w:r>
    </w:p>
    <w:p w14:paraId="1ECBCDC8" w14:textId="77777777" w:rsidR="00E329A6" w:rsidRDefault="00E329A6" w:rsidP="00CB1CDE">
      <w:pPr>
        <w:pStyle w:val="Bullet"/>
      </w:pPr>
      <w:r>
        <w:t>27 Infringement Notices for breaches of pay slip and/or record-keeping requirements</w:t>
      </w:r>
    </w:p>
    <w:p w14:paraId="0BA2273C" w14:textId="77777777" w:rsidR="00E329A6" w:rsidRDefault="00E329A6" w:rsidP="00CB1CDE">
      <w:pPr>
        <w:pStyle w:val="Bullet"/>
      </w:pPr>
      <w:proofErr w:type="gramStart"/>
      <w:r>
        <w:t>eight</w:t>
      </w:r>
      <w:proofErr w:type="gramEnd"/>
      <w:r>
        <w:t xml:space="preserve"> Compliance Notices, through which $49 749 wa</w:t>
      </w:r>
      <w:bookmarkStart w:id="15" w:name="_GoBack"/>
      <w:bookmarkEnd w:id="15"/>
      <w:r>
        <w:t>s recovered for 59 workers.</w:t>
      </w:r>
    </w:p>
    <w:p w14:paraId="66C7D766" w14:textId="77777777" w:rsidR="00DD03AD" w:rsidRDefault="00074F5B" w:rsidP="00DD03AD">
      <w:r>
        <w:t xml:space="preserve">In total, </w:t>
      </w:r>
      <w:r w:rsidR="00DD03AD">
        <w:t>$581 976 was recovered for 951 employees from 305 business.</w:t>
      </w:r>
    </w:p>
    <w:p w14:paraId="1B9F6383" w14:textId="77777777" w:rsidR="00E329A6" w:rsidRDefault="00E329A6" w:rsidP="009973DB">
      <w:pPr>
        <w:pStyle w:val="Heading3"/>
      </w:pPr>
      <w:r>
        <w:t>Formal Caution</w:t>
      </w:r>
    </w:p>
    <w:p w14:paraId="4CB94AF1" w14:textId="1F3A12AF" w:rsidR="00E329A6" w:rsidRDefault="00E329A6" w:rsidP="00E329A6">
      <w:pPr>
        <w:rPr>
          <w:szCs w:val="22"/>
        </w:rPr>
      </w:pPr>
      <w:r>
        <w:rPr>
          <w:szCs w:val="22"/>
        </w:rPr>
        <w:t xml:space="preserve">Fair Work Inspectors issue Formal Cautions to put businesses on notice (in writing) that </w:t>
      </w:r>
      <w:r w:rsidR="00085FC1">
        <w:rPr>
          <w:szCs w:val="22"/>
        </w:rPr>
        <w:t xml:space="preserve">further </w:t>
      </w:r>
      <w:r>
        <w:rPr>
          <w:szCs w:val="22"/>
        </w:rPr>
        <w:t>non-compliance could result in the FWO seeking financial penalties in court.</w:t>
      </w:r>
    </w:p>
    <w:p w14:paraId="7B7CDBC9" w14:textId="77777777" w:rsidR="00827416" w:rsidRDefault="00827416" w:rsidP="00074F5B">
      <w:pPr>
        <w:pStyle w:val="CalloutBoxHeading"/>
      </w:pPr>
      <w:r>
        <w:t xml:space="preserve">Case study—Formal Caution </w:t>
      </w:r>
    </w:p>
    <w:p w14:paraId="00089EDE" w14:textId="77777777" w:rsidR="006E66AD" w:rsidRDefault="00E329A6" w:rsidP="006F413C">
      <w:pPr>
        <w:pStyle w:val="Calloutbox"/>
      </w:pPr>
      <w:r w:rsidRPr="00E329A6">
        <w:t xml:space="preserve">Fair Work Inspectors audited a food retail business </w:t>
      </w:r>
      <w:r w:rsidR="006E66AD">
        <w:t xml:space="preserve">in </w:t>
      </w:r>
      <w:r w:rsidRPr="00E329A6">
        <w:t xml:space="preserve">Ipswich. </w:t>
      </w:r>
    </w:p>
    <w:p w14:paraId="65C34D0A" w14:textId="77777777" w:rsidR="00D73722" w:rsidRDefault="00E329A6" w:rsidP="00FC2575">
      <w:pPr>
        <w:pStyle w:val="Calloutbox"/>
      </w:pPr>
      <w:r w:rsidRPr="00E329A6">
        <w:t xml:space="preserve">The employer </w:t>
      </w:r>
      <w:proofErr w:type="gramStart"/>
      <w:r w:rsidRPr="00E329A6">
        <w:t>did</w:t>
      </w:r>
      <w:r w:rsidR="00900E8C">
        <w:t>n’t</w:t>
      </w:r>
      <w:proofErr w:type="gramEnd"/>
      <w:r w:rsidR="00900E8C">
        <w:t xml:space="preserve"> know the </w:t>
      </w:r>
      <w:r w:rsidR="00374C3F">
        <w:t xml:space="preserve">correct </w:t>
      </w:r>
      <w:r w:rsidR="00900E8C">
        <w:t xml:space="preserve">award </w:t>
      </w:r>
      <w:r w:rsidRPr="00E329A6">
        <w:t xml:space="preserve">and paid </w:t>
      </w:r>
      <w:r w:rsidR="00900E8C">
        <w:t>employees</w:t>
      </w:r>
      <w:r w:rsidRPr="00E329A6">
        <w:t xml:space="preserve"> a flat rate for all hours worked, including Saturdays.</w:t>
      </w:r>
    </w:p>
    <w:p w14:paraId="106F60CA" w14:textId="77777777" w:rsidR="00A266EE" w:rsidRDefault="00E329A6" w:rsidP="00FC2575">
      <w:pPr>
        <w:pStyle w:val="Calloutbox"/>
      </w:pPr>
      <w:r w:rsidRPr="00E329A6">
        <w:t xml:space="preserve">Inspectors advised that the </w:t>
      </w:r>
      <w:r w:rsidRPr="00D73722">
        <w:rPr>
          <w:i/>
        </w:rPr>
        <w:t>General Retail Industry Award 2010</w:t>
      </w:r>
      <w:r w:rsidR="00900E8C">
        <w:t xml:space="preserve"> </w:t>
      </w:r>
      <w:r w:rsidR="00D73722">
        <w:t>applied</w:t>
      </w:r>
      <w:r w:rsidR="006E66AD">
        <w:t xml:space="preserve"> and </w:t>
      </w:r>
      <w:r w:rsidR="00462163">
        <w:t>id</w:t>
      </w:r>
      <w:r w:rsidR="00462163" w:rsidRPr="00E329A6">
        <w:t>entified</w:t>
      </w:r>
      <w:r w:rsidRPr="00E329A6">
        <w:t xml:space="preserve"> </w:t>
      </w:r>
      <w:r w:rsidR="00974C37">
        <w:t xml:space="preserve">that </w:t>
      </w:r>
      <w:r w:rsidR="007E21C6">
        <w:t xml:space="preserve">as </w:t>
      </w:r>
      <w:r w:rsidR="00974C37">
        <w:t xml:space="preserve">the </w:t>
      </w:r>
      <w:r w:rsidR="00A266EE">
        <w:t xml:space="preserve">flat </w:t>
      </w:r>
      <w:r w:rsidR="00974C37">
        <w:t>ra</w:t>
      </w:r>
      <w:r w:rsidRPr="00E329A6">
        <w:t xml:space="preserve">te </w:t>
      </w:r>
      <w:r w:rsidR="00085FC1">
        <w:t xml:space="preserve">being paid by the employer </w:t>
      </w:r>
      <w:r w:rsidR="00D73722">
        <w:t xml:space="preserve">fell </w:t>
      </w:r>
      <w:r w:rsidRPr="00E329A6">
        <w:t xml:space="preserve">beneath the </w:t>
      </w:r>
      <w:r w:rsidR="006E66AD">
        <w:t>a</w:t>
      </w:r>
      <w:r w:rsidR="00D73722">
        <w:t xml:space="preserve">ward’s </w:t>
      </w:r>
      <w:r w:rsidRPr="00E329A6">
        <w:t xml:space="preserve">minimum ordinary hourly </w:t>
      </w:r>
      <w:r w:rsidR="00FD0ABB" w:rsidRPr="00E329A6">
        <w:t>rate</w:t>
      </w:r>
      <w:r w:rsidR="007E21C6">
        <w:t>, f</w:t>
      </w:r>
      <w:r w:rsidR="00FD0ABB" w:rsidRPr="00E329A6">
        <w:t>our</w:t>
      </w:r>
      <w:r w:rsidRPr="00E329A6">
        <w:t xml:space="preserve"> employees</w:t>
      </w:r>
      <w:r w:rsidR="00ED2C58">
        <w:t xml:space="preserve"> </w:t>
      </w:r>
      <w:r w:rsidR="00374C3F">
        <w:t>(</w:t>
      </w:r>
      <w:r w:rsidRPr="00E329A6">
        <w:t>all migrant workers</w:t>
      </w:r>
      <w:r w:rsidR="00374C3F">
        <w:t>)</w:t>
      </w:r>
      <w:r w:rsidR="00FC2575">
        <w:t xml:space="preserve"> </w:t>
      </w:r>
      <w:r w:rsidRPr="00E329A6">
        <w:t xml:space="preserve">were underpaid nearly $4000. </w:t>
      </w:r>
    </w:p>
    <w:p w14:paraId="1BE0D291" w14:textId="2D315E5D" w:rsidR="006E66AD" w:rsidRDefault="00E329A6" w:rsidP="00F13378">
      <w:pPr>
        <w:pStyle w:val="Calloutbox"/>
      </w:pPr>
      <w:r w:rsidRPr="00E329A6">
        <w:t xml:space="preserve">The employer adopted the correct rates of pay and </w:t>
      </w:r>
      <w:r w:rsidR="00085FC1">
        <w:t xml:space="preserve">reimbursed </w:t>
      </w:r>
      <w:r w:rsidRPr="00E329A6">
        <w:t xml:space="preserve">all affected staff. </w:t>
      </w:r>
    </w:p>
    <w:p w14:paraId="1AFACC76" w14:textId="77777777" w:rsidR="00E329A6" w:rsidRPr="00E329A6" w:rsidRDefault="00E329A6" w:rsidP="00B92EB9">
      <w:pPr>
        <w:pStyle w:val="Calloutbox"/>
      </w:pPr>
      <w:r w:rsidRPr="00E329A6">
        <w:t>Inspectors</w:t>
      </w:r>
      <w:r w:rsidR="00374C3F">
        <w:t xml:space="preserve"> issued</w:t>
      </w:r>
      <w:r w:rsidRPr="00E329A6">
        <w:t xml:space="preserve"> a Formal Caution, warning </w:t>
      </w:r>
      <w:r w:rsidR="006E66AD">
        <w:t xml:space="preserve">the employer </w:t>
      </w:r>
      <w:r w:rsidRPr="00E329A6">
        <w:t>about the potential consequences of further non-compliance.</w:t>
      </w:r>
    </w:p>
    <w:p w14:paraId="22827ECB" w14:textId="77777777" w:rsidR="00074F5B" w:rsidRDefault="00074F5B">
      <w:pPr>
        <w:spacing w:before="0" w:line="240" w:lineRule="auto"/>
        <w:rPr>
          <w:rFonts w:ascii="Helvetica" w:hAnsi="Helvetica"/>
          <w:color w:val="263746"/>
          <w:sz w:val="24"/>
        </w:rPr>
      </w:pPr>
      <w:r>
        <w:br w:type="page"/>
      </w:r>
    </w:p>
    <w:p w14:paraId="034706DE" w14:textId="77777777" w:rsidR="00E329A6" w:rsidRDefault="00E329A6" w:rsidP="009973DB">
      <w:pPr>
        <w:pStyle w:val="Heading3"/>
      </w:pPr>
      <w:r>
        <w:lastRenderedPageBreak/>
        <w:t>Infringement Notice</w:t>
      </w:r>
    </w:p>
    <w:p w14:paraId="56DF334F" w14:textId="77777777" w:rsidR="00E329A6" w:rsidRDefault="00E329A6" w:rsidP="00E329A6">
      <w:pPr>
        <w:rPr>
          <w:rFonts w:eastAsiaTheme="minorHAnsi" w:cs="Times New Roman"/>
          <w:szCs w:val="20"/>
        </w:rPr>
      </w:pPr>
      <w:r w:rsidRPr="004F7FC6">
        <w:rPr>
          <w:rFonts w:eastAsiaTheme="minorHAnsi" w:cs="Times New Roman"/>
          <w:szCs w:val="20"/>
        </w:rPr>
        <w:t xml:space="preserve">An Infringement Notice is a fine for non-compliance with </w:t>
      </w:r>
      <w:r>
        <w:rPr>
          <w:rFonts w:eastAsiaTheme="minorHAnsi" w:cs="Times New Roman"/>
          <w:szCs w:val="20"/>
        </w:rPr>
        <w:t xml:space="preserve">the </w:t>
      </w:r>
      <w:r w:rsidRPr="004F7FC6">
        <w:rPr>
          <w:rFonts w:eastAsiaTheme="minorHAnsi" w:cs="Times New Roman"/>
          <w:szCs w:val="20"/>
        </w:rPr>
        <w:t>record-keeping or pay slip requirements</w:t>
      </w:r>
      <w:r>
        <w:rPr>
          <w:rFonts w:eastAsiaTheme="minorHAnsi" w:cs="Times New Roman"/>
          <w:szCs w:val="20"/>
        </w:rPr>
        <w:t xml:space="preserve"> of the Act and Regulations.</w:t>
      </w:r>
    </w:p>
    <w:p w14:paraId="4BC0548A" w14:textId="77777777" w:rsidR="00827416" w:rsidRDefault="00827416" w:rsidP="00074F5B">
      <w:pPr>
        <w:pStyle w:val="CalloutBoxHeading"/>
      </w:pPr>
      <w:r>
        <w:t>Case study—Infringement Notice</w:t>
      </w:r>
    </w:p>
    <w:p w14:paraId="2C77FFC3" w14:textId="77777777" w:rsidR="000A3877" w:rsidRPr="00074F5B" w:rsidRDefault="00E329A6" w:rsidP="00074F5B">
      <w:pPr>
        <w:pStyle w:val="Calloutbox"/>
      </w:pPr>
      <w:r w:rsidRPr="00074F5B">
        <w:t xml:space="preserve">Fair Work Inspectors audited a construction business in the Shepparton region. </w:t>
      </w:r>
    </w:p>
    <w:p w14:paraId="129B9636" w14:textId="77777777" w:rsidR="00E329A6" w:rsidRPr="00074F5B" w:rsidRDefault="00E329A6" w:rsidP="00074F5B">
      <w:pPr>
        <w:pStyle w:val="Calloutbox"/>
      </w:pPr>
      <w:r w:rsidRPr="00074F5B">
        <w:t xml:space="preserve">The employer was issuing pay slips to staff that </w:t>
      </w:r>
      <w:r w:rsidR="00900E8C" w:rsidRPr="00074F5B">
        <w:t>left out</w:t>
      </w:r>
      <w:r w:rsidRPr="00074F5B">
        <w:t xml:space="preserve"> details required by the Act and Regulations</w:t>
      </w:r>
      <w:r w:rsidR="00074F5B" w:rsidRPr="00074F5B">
        <w:t>,</w:t>
      </w:r>
      <w:r w:rsidR="00374C3F" w:rsidRPr="00074F5B">
        <w:t xml:space="preserve"> such as the</w:t>
      </w:r>
      <w:r w:rsidRPr="00074F5B">
        <w:t xml:space="preserve"> business ABN, employee surnames, pay period, hourly rates and superannuation details.</w:t>
      </w:r>
    </w:p>
    <w:p w14:paraId="75DE5C32" w14:textId="77777777" w:rsidR="00E329A6" w:rsidRPr="00074F5B" w:rsidRDefault="00E329A6" w:rsidP="00074F5B">
      <w:pPr>
        <w:pStyle w:val="Calloutbox"/>
      </w:pPr>
      <w:r w:rsidRPr="00074F5B">
        <w:t xml:space="preserve">Fair Work Inspectors issued </w:t>
      </w:r>
      <w:r w:rsidR="00EE412B">
        <w:t xml:space="preserve">the employer with </w:t>
      </w:r>
      <w:r w:rsidRPr="00074F5B">
        <w:t>an Infringement Notice to deter further non-compliance</w:t>
      </w:r>
      <w:r w:rsidR="00EE412B">
        <w:t>.</w:t>
      </w:r>
    </w:p>
    <w:p w14:paraId="6E83EE69" w14:textId="77777777" w:rsidR="00E329A6" w:rsidRPr="00B5560A" w:rsidRDefault="00E329A6" w:rsidP="009973DB">
      <w:pPr>
        <w:pStyle w:val="Heading3"/>
      </w:pPr>
      <w:r w:rsidRPr="00B5560A">
        <w:t>Compliance Notice</w:t>
      </w:r>
    </w:p>
    <w:p w14:paraId="565E22E9" w14:textId="77777777" w:rsidR="00A53B2B" w:rsidRDefault="00E329A6" w:rsidP="00E329A6">
      <w:pPr>
        <w:rPr>
          <w:rFonts w:eastAsiaTheme="minorHAnsi" w:cs="Times New Roman"/>
          <w:szCs w:val="20"/>
        </w:rPr>
      </w:pPr>
      <w:r w:rsidRPr="00F73A1F">
        <w:rPr>
          <w:rFonts w:eastAsiaTheme="minorHAnsi" w:cs="Times New Roman"/>
          <w:szCs w:val="20"/>
        </w:rPr>
        <w:t xml:space="preserve">A Compliance Notice is a written notice legally requiring a business to rectify breaches of the Act. Failure to comply </w:t>
      </w:r>
      <w:r w:rsidR="00085FC1">
        <w:rPr>
          <w:rFonts w:eastAsiaTheme="minorHAnsi" w:cs="Times New Roman"/>
          <w:szCs w:val="20"/>
        </w:rPr>
        <w:t xml:space="preserve">with the notice </w:t>
      </w:r>
      <w:r>
        <w:rPr>
          <w:rFonts w:eastAsiaTheme="minorHAnsi" w:cs="Times New Roman"/>
          <w:szCs w:val="20"/>
        </w:rPr>
        <w:t xml:space="preserve">can </w:t>
      </w:r>
      <w:r w:rsidRPr="00F73A1F">
        <w:rPr>
          <w:rFonts w:eastAsiaTheme="minorHAnsi" w:cs="Times New Roman"/>
          <w:szCs w:val="20"/>
        </w:rPr>
        <w:t>result in the FWO commencing legal proceedings</w:t>
      </w:r>
      <w:r>
        <w:rPr>
          <w:rFonts w:eastAsiaTheme="minorHAnsi" w:cs="Times New Roman"/>
          <w:szCs w:val="20"/>
        </w:rPr>
        <w:t>.</w:t>
      </w:r>
    </w:p>
    <w:p w14:paraId="746E2CB8" w14:textId="77777777" w:rsidR="00827416" w:rsidRPr="00074F5B" w:rsidRDefault="00827416" w:rsidP="006F413C">
      <w:pPr>
        <w:pStyle w:val="Calloutbox"/>
        <w:rPr>
          <w:b/>
        </w:rPr>
      </w:pPr>
      <w:r w:rsidRPr="00074F5B">
        <w:rPr>
          <w:b/>
        </w:rPr>
        <w:t>Case study—Compliance Notice</w:t>
      </w:r>
    </w:p>
    <w:p w14:paraId="41B67426" w14:textId="77777777" w:rsidR="000A3877" w:rsidRDefault="00E329A6" w:rsidP="006F413C">
      <w:pPr>
        <w:pStyle w:val="Calloutbox"/>
      </w:pPr>
      <w:r>
        <w:t xml:space="preserve">Fair Work Inspectors audited a takeaway food business </w:t>
      </w:r>
      <w:r w:rsidR="000A3877">
        <w:t xml:space="preserve">in </w:t>
      </w:r>
      <w:r>
        <w:t>the Southern Highlands</w:t>
      </w:r>
      <w:r w:rsidR="000A3877">
        <w:t>-</w:t>
      </w:r>
      <w:r>
        <w:t xml:space="preserve">Shoalhaven </w:t>
      </w:r>
      <w:r w:rsidR="000A3877">
        <w:t>region</w:t>
      </w:r>
      <w:r>
        <w:t xml:space="preserve">. </w:t>
      </w:r>
    </w:p>
    <w:p w14:paraId="0F929F76" w14:textId="77777777" w:rsidR="00E329A6" w:rsidRDefault="00E329A6" w:rsidP="00FC2575">
      <w:pPr>
        <w:pStyle w:val="Calloutbox"/>
      </w:pPr>
      <w:r>
        <w:t xml:space="preserve">The employer was confused about award coverage and the applicable hourly rates of pay. As a result, they were paying seven casual employees less than the ordinary hourly rates of pay set out by the </w:t>
      </w:r>
      <w:r w:rsidRPr="003319D2">
        <w:t>Fast Food Industry Award 2010</w:t>
      </w:r>
      <w:r>
        <w:t>. Three</w:t>
      </w:r>
      <w:r w:rsidR="00374C3F">
        <w:t xml:space="preserve"> employees</w:t>
      </w:r>
      <w:r>
        <w:t xml:space="preserve"> were also underpaid weekend penalty rates.</w:t>
      </w:r>
    </w:p>
    <w:p w14:paraId="06FC3A8D" w14:textId="77777777" w:rsidR="000A3877" w:rsidRDefault="00E329A6" w:rsidP="00F13378">
      <w:pPr>
        <w:pStyle w:val="Calloutbox"/>
      </w:pPr>
      <w:r>
        <w:t xml:space="preserve">Underpayments ranged from just over </w:t>
      </w:r>
      <w:r w:rsidR="00374C3F">
        <w:t>one</w:t>
      </w:r>
      <w:r>
        <w:t xml:space="preserve"> dollar to nearly five dollars per hour, and amounted to nearly $12 000. Four of the affected workers were junior</w:t>
      </w:r>
      <w:r w:rsidR="000A3877">
        <w:t>s.</w:t>
      </w:r>
    </w:p>
    <w:p w14:paraId="155EEE0B" w14:textId="32A9634C" w:rsidR="00E329A6" w:rsidRDefault="00E329A6" w:rsidP="00B92EB9">
      <w:pPr>
        <w:pStyle w:val="Calloutbox"/>
      </w:pPr>
      <w:r>
        <w:t xml:space="preserve">Inspectors issued a Compliance Notice </w:t>
      </w:r>
      <w:r w:rsidR="00374C3F">
        <w:t xml:space="preserve">requiring </w:t>
      </w:r>
      <w:r>
        <w:t xml:space="preserve">the employer to take corrective action and </w:t>
      </w:r>
      <w:r w:rsidR="007D2DED">
        <w:t xml:space="preserve">reimburse </w:t>
      </w:r>
      <w:r>
        <w:t>all employees.</w:t>
      </w:r>
    </w:p>
    <w:p w14:paraId="75DEE606" w14:textId="77777777" w:rsidR="00E329A6" w:rsidRDefault="00E329A6" w:rsidP="00672DEF"/>
    <w:p w14:paraId="032B5FB5" w14:textId="77777777" w:rsidR="006F04B0" w:rsidRDefault="006F04B0" w:rsidP="00FA3B05">
      <w:pPr>
        <w:spacing w:before="0" w:line="240" w:lineRule="auto"/>
      </w:pPr>
    </w:p>
    <w:p w14:paraId="3203490B" w14:textId="77777777" w:rsidR="002F1725" w:rsidRDefault="002F1725">
      <w:pPr>
        <w:spacing w:before="0" w:line="240" w:lineRule="auto"/>
        <w:rPr>
          <w:rFonts w:ascii="Helvetica" w:hAnsi="Helvetica"/>
          <w:color w:val="263746"/>
          <w:sz w:val="44"/>
          <w:szCs w:val="26"/>
        </w:rPr>
      </w:pPr>
      <w:bookmarkStart w:id="16" w:name="_Toc1047669"/>
      <w:r>
        <w:br w:type="page"/>
      </w:r>
    </w:p>
    <w:p w14:paraId="4315FDDF" w14:textId="77777777" w:rsidR="00E329A6" w:rsidRPr="00F0072E" w:rsidRDefault="00E329A6" w:rsidP="00E329A6">
      <w:pPr>
        <w:pStyle w:val="Heading1"/>
      </w:pPr>
      <w:bookmarkStart w:id="17" w:name="_Toc9327682"/>
      <w:r>
        <w:lastRenderedPageBreak/>
        <w:t>Conclusion</w:t>
      </w:r>
      <w:bookmarkEnd w:id="16"/>
      <w:bookmarkEnd w:id="17"/>
    </w:p>
    <w:p w14:paraId="3DB91A72" w14:textId="77777777" w:rsidR="007029A9" w:rsidRDefault="000339A4" w:rsidP="007029A9">
      <w:r>
        <w:t>T</w:t>
      </w:r>
      <w:r w:rsidR="00B97F40">
        <w:t xml:space="preserve">he FWO found </w:t>
      </w:r>
      <w:r>
        <w:t xml:space="preserve">597 or </w:t>
      </w:r>
      <w:r w:rsidR="005B42AA">
        <w:t xml:space="preserve">43% of businesses </w:t>
      </w:r>
      <w:r>
        <w:t xml:space="preserve">visited in these regions </w:t>
      </w:r>
      <w:r w:rsidR="005B42AA">
        <w:t xml:space="preserve">failed to comply </w:t>
      </w:r>
      <w:r w:rsidR="00974C37">
        <w:t>with their workplace relations</w:t>
      </w:r>
      <w:r w:rsidR="00B97F40">
        <w:t xml:space="preserve"> obligations</w:t>
      </w:r>
      <w:r w:rsidR="00974C37">
        <w:t xml:space="preserve">. </w:t>
      </w:r>
      <w:r w:rsidR="007029A9">
        <w:t xml:space="preserve">The hospitality sector </w:t>
      </w:r>
      <w:r w:rsidR="00F40840">
        <w:t>was again shown to be an industry of concern with lowest rate of compliance overall (45%), validating our continued focus on this sector as a strategic priority</w:t>
      </w:r>
      <w:r w:rsidR="007029A9">
        <w:t>.</w:t>
      </w:r>
    </w:p>
    <w:p w14:paraId="0138575E" w14:textId="77777777" w:rsidR="00F13378" w:rsidRDefault="002F1725" w:rsidP="00F13378">
      <w:r w:rsidRPr="00EE412B">
        <w:t>A</w:t>
      </w:r>
      <w:r w:rsidR="00B97F40" w:rsidRPr="00EE412B">
        <w:t xml:space="preserve">round half (48%) </w:t>
      </w:r>
      <w:r w:rsidRPr="00EE412B">
        <w:t xml:space="preserve">of non-compliant employers </w:t>
      </w:r>
      <w:r w:rsidR="00B97F40" w:rsidRPr="00EE412B">
        <w:t>were unaware of applicable workplace relations laws.</w:t>
      </w:r>
      <w:r w:rsidR="007029A9" w:rsidRPr="00EE412B">
        <w:t xml:space="preserve"> </w:t>
      </w:r>
      <w:r w:rsidR="00B97F40" w:rsidRPr="00EE412B">
        <w:t>Th</w:t>
      </w:r>
      <w:r w:rsidR="007029A9" w:rsidRPr="00EE412B">
        <w:t xml:space="preserve">is </w:t>
      </w:r>
      <w:r w:rsidR="00B97F40" w:rsidRPr="00EE412B">
        <w:t>highligh</w:t>
      </w:r>
      <w:r w:rsidR="00F13378" w:rsidRPr="00EE412B">
        <w:t>t</w:t>
      </w:r>
      <w:r w:rsidR="007029A9" w:rsidRPr="00EE412B">
        <w:t>s</w:t>
      </w:r>
      <w:r w:rsidR="00B97F40" w:rsidRPr="00EE412B">
        <w:t xml:space="preserve"> the importa</w:t>
      </w:r>
      <w:r w:rsidR="00044B3E" w:rsidRPr="00EE412B">
        <w:t>nce of</w:t>
      </w:r>
      <w:r w:rsidR="00B97F40" w:rsidRPr="00EE412B">
        <w:t xml:space="preserve"> </w:t>
      </w:r>
      <w:r w:rsidR="00C3030A" w:rsidRPr="00EE412B">
        <w:t>continuing to audit and educate</w:t>
      </w:r>
      <w:r w:rsidR="000339A4" w:rsidRPr="00EE412B">
        <w:t xml:space="preserve"> </w:t>
      </w:r>
      <w:r w:rsidR="000F1E14" w:rsidRPr="00EE412B">
        <w:t>r</w:t>
      </w:r>
      <w:r w:rsidR="00B97F40" w:rsidRPr="00EE412B">
        <w:t>egional employers</w:t>
      </w:r>
      <w:r w:rsidR="0073179E" w:rsidRPr="00EE412B">
        <w:t>.</w:t>
      </w:r>
      <w:r w:rsidR="00044B3E" w:rsidRPr="00EE412B">
        <w:t xml:space="preserve"> </w:t>
      </w:r>
      <w:r w:rsidR="00C3030A" w:rsidRPr="00EE412B">
        <w:t xml:space="preserve">Audits provide an </w:t>
      </w:r>
      <w:r w:rsidR="00F13378" w:rsidRPr="00EE412B">
        <w:t>opportuni</w:t>
      </w:r>
      <w:r w:rsidR="00C3030A" w:rsidRPr="00EE412B">
        <w:t>ty</w:t>
      </w:r>
      <w:r w:rsidR="00F13378" w:rsidRPr="00EE412B">
        <w:t xml:space="preserve"> to promote </w:t>
      </w:r>
      <w:r w:rsidR="00C3030A" w:rsidRPr="00EE412B">
        <w:t xml:space="preserve">free FWO </w:t>
      </w:r>
      <w:r w:rsidR="00F13378" w:rsidRPr="00EE412B">
        <w:t>tools and resources</w:t>
      </w:r>
      <w:r w:rsidR="00F40840" w:rsidRPr="00EE412B">
        <w:t xml:space="preserve"> that support compliance</w:t>
      </w:r>
      <w:r w:rsidR="00C3030A" w:rsidRPr="00EE412B">
        <w:t>,</w:t>
      </w:r>
      <w:r w:rsidR="00F13378" w:rsidRPr="00EE412B">
        <w:t xml:space="preserve"> includ</w:t>
      </w:r>
      <w:r w:rsidR="00C3030A" w:rsidRPr="00EE412B">
        <w:t>ing</w:t>
      </w:r>
      <w:r w:rsidR="00F13378" w:rsidRPr="00EE412B">
        <w:t>:</w:t>
      </w:r>
    </w:p>
    <w:p w14:paraId="697C5D5B" w14:textId="77777777" w:rsidR="00F13378" w:rsidRDefault="00F13378" w:rsidP="00CB1CDE">
      <w:pPr>
        <w:pStyle w:val="Bullet"/>
      </w:pPr>
      <w:r>
        <w:t>PACT</w:t>
      </w:r>
      <w:r w:rsidR="000E62D4">
        <w:t xml:space="preserve">- </w:t>
      </w:r>
      <w:r>
        <w:t>calculates employee entitlements including award pay rates, leave e</w:t>
      </w:r>
      <w:r w:rsidR="00C3030A">
        <w:t>ntitlements and termination pay</w:t>
      </w:r>
      <w:r w:rsidR="00F811B1">
        <w:rPr>
          <w:rStyle w:val="FootnoteReference"/>
        </w:rPr>
        <w:footnoteReference w:id="4"/>
      </w:r>
    </w:p>
    <w:p w14:paraId="63164C57" w14:textId="77777777" w:rsidR="00F13378" w:rsidRDefault="000E62D4" w:rsidP="00CB1CDE">
      <w:pPr>
        <w:pStyle w:val="Bullet"/>
      </w:pPr>
      <w:proofErr w:type="spellStart"/>
      <w:r>
        <w:t>MyAccount</w:t>
      </w:r>
      <w:proofErr w:type="spellEnd"/>
      <w:r>
        <w:t xml:space="preserve"> - </w:t>
      </w:r>
      <w:r w:rsidR="00C3030A">
        <w:t xml:space="preserve">interactive </w:t>
      </w:r>
      <w:r w:rsidR="00F13378">
        <w:t xml:space="preserve">service where employers </w:t>
      </w:r>
      <w:r w:rsidR="007E29AA">
        <w:t xml:space="preserve">receive </w:t>
      </w:r>
      <w:r w:rsidR="00F13378">
        <w:t xml:space="preserve">tailored information </w:t>
      </w:r>
      <w:r w:rsidR="007E29AA">
        <w:t xml:space="preserve">and </w:t>
      </w:r>
      <w:r w:rsidR="007029A9">
        <w:t>updates</w:t>
      </w:r>
      <w:r w:rsidR="00F811B1">
        <w:rPr>
          <w:rStyle w:val="FootnoteReference"/>
        </w:rPr>
        <w:footnoteReference w:id="5"/>
      </w:r>
    </w:p>
    <w:p w14:paraId="697B9A91" w14:textId="77777777" w:rsidR="00F13378" w:rsidRDefault="00F13378" w:rsidP="00CB1CDE">
      <w:pPr>
        <w:pStyle w:val="Bullet"/>
      </w:pPr>
      <w:r>
        <w:t>Online learning centre</w:t>
      </w:r>
      <w:r w:rsidR="00F811B1">
        <w:t xml:space="preserve"> </w:t>
      </w:r>
      <w:r w:rsidR="000E62D4">
        <w:t xml:space="preserve">- </w:t>
      </w:r>
      <w:r>
        <w:t xml:space="preserve">award-winning videos </w:t>
      </w:r>
      <w:r w:rsidR="007029A9">
        <w:t xml:space="preserve">on </w:t>
      </w:r>
      <w:r>
        <w:t xml:space="preserve">key subjects </w:t>
      </w:r>
      <w:r w:rsidR="007029A9">
        <w:t xml:space="preserve">like </w:t>
      </w:r>
      <w:r>
        <w:t>hiring employees, managing performance and record-keeping and pay slip obligations</w:t>
      </w:r>
      <w:r w:rsidR="00F811B1">
        <w:rPr>
          <w:rStyle w:val="FootnoteReference"/>
        </w:rPr>
        <w:footnoteReference w:id="6"/>
      </w:r>
    </w:p>
    <w:p w14:paraId="45E59B45" w14:textId="77777777" w:rsidR="00F13378" w:rsidRDefault="000E62D4" w:rsidP="00CB1CDE">
      <w:pPr>
        <w:pStyle w:val="Bullet"/>
      </w:pPr>
      <w:r>
        <w:t xml:space="preserve">Small Business Showcase - </w:t>
      </w:r>
      <w:r w:rsidR="00F13378">
        <w:t>tools and resources specifically designed to assist small businesses with their wor</w:t>
      </w:r>
      <w:r w:rsidR="007029A9">
        <w:t>kplace relations obligations.</w:t>
      </w:r>
      <w:r w:rsidR="00F811B1">
        <w:rPr>
          <w:rStyle w:val="FootnoteReference"/>
        </w:rPr>
        <w:footnoteReference w:id="7"/>
      </w:r>
    </w:p>
    <w:p w14:paraId="148283CE" w14:textId="77777777" w:rsidR="007E21C6" w:rsidRDefault="00F13378" w:rsidP="00E329A6">
      <w:r>
        <w:t xml:space="preserve">The FWO </w:t>
      </w:r>
      <w:r w:rsidR="007029A9">
        <w:t xml:space="preserve">expects </w:t>
      </w:r>
      <w:r>
        <w:t xml:space="preserve">employers to </w:t>
      </w:r>
      <w:r w:rsidR="007029A9">
        <w:t xml:space="preserve">use the education and advice provided through audit activities </w:t>
      </w:r>
      <w:r>
        <w:t xml:space="preserve">to </w:t>
      </w:r>
      <w:r w:rsidR="007029A9">
        <w:t xml:space="preserve">be </w:t>
      </w:r>
      <w:r w:rsidRPr="00E329A6">
        <w:t>compliant with workplace relations obligations</w:t>
      </w:r>
      <w:r w:rsidR="007029A9">
        <w:t>.</w:t>
      </w:r>
      <w:r>
        <w:t xml:space="preserve"> </w:t>
      </w:r>
      <w:r w:rsidR="007029A9">
        <w:t>N</w:t>
      </w:r>
      <w:r>
        <w:t xml:space="preserve">on-compliant employers </w:t>
      </w:r>
      <w:proofErr w:type="gramStart"/>
      <w:r w:rsidR="007029A9">
        <w:t>will be revisited</w:t>
      </w:r>
      <w:proofErr w:type="gramEnd"/>
      <w:r w:rsidR="007029A9">
        <w:t xml:space="preserve"> </w:t>
      </w:r>
      <w:r w:rsidRPr="00E329A6">
        <w:t xml:space="preserve">as part of </w:t>
      </w:r>
      <w:r w:rsidR="007029A9">
        <w:t xml:space="preserve">the FWO’s </w:t>
      </w:r>
      <w:r w:rsidR="007E21C6">
        <w:t>ongoing n</w:t>
      </w:r>
      <w:r w:rsidRPr="00E329A6">
        <w:t xml:space="preserve">ational </w:t>
      </w:r>
      <w:r w:rsidR="007E21C6">
        <w:t>proactive compliance monitoring p</w:t>
      </w:r>
      <w:r w:rsidRPr="00E329A6">
        <w:t>rogram</w:t>
      </w:r>
      <w:r w:rsidR="007E21C6">
        <w:t>s</w:t>
      </w:r>
      <w:r w:rsidRPr="00E329A6">
        <w:t>.</w:t>
      </w:r>
      <w:r w:rsidR="007E21C6">
        <w:t xml:space="preserve"> </w:t>
      </w:r>
      <w:r w:rsidR="007029A9">
        <w:t xml:space="preserve">Appropriate compliance and enforcement action </w:t>
      </w:r>
      <w:proofErr w:type="gramStart"/>
      <w:r w:rsidR="007029A9">
        <w:t>will be used</w:t>
      </w:r>
      <w:proofErr w:type="gramEnd"/>
      <w:r w:rsidR="007029A9">
        <w:t xml:space="preserve"> against e</w:t>
      </w:r>
      <w:r w:rsidR="00CC5F2A">
        <w:t xml:space="preserve">mployers who </w:t>
      </w:r>
      <w:r w:rsidR="007E21C6">
        <w:t xml:space="preserve">continue to not comply </w:t>
      </w:r>
      <w:r>
        <w:t>with workplace laws</w:t>
      </w:r>
      <w:r w:rsidR="007029A9">
        <w:t>.</w:t>
      </w:r>
      <w:r>
        <w:t xml:space="preserve"> </w:t>
      </w:r>
    </w:p>
    <w:p w14:paraId="6E07323A" w14:textId="77777777" w:rsidR="00E329A6" w:rsidRDefault="007E21C6" w:rsidP="00E329A6">
      <w:r>
        <w:t>In all instances, w</w:t>
      </w:r>
      <w:r w:rsidR="00BA3BF5">
        <w:t>here serious and/or wilful non-compliance</w:t>
      </w:r>
      <w:r w:rsidR="007029A9">
        <w:t xml:space="preserve"> </w:t>
      </w:r>
      <w:proofErr w:type="gramStart"/>
      <w:r w:rsidR="007029A9">
        <w:t>is found</w:t>
      </w:r>
      <w:proofErr w:type="gramEnd"/>
      <w:r w:rsidR="00BA3BF5">
        <w:t xml:space="preserve">, </w:t>
      </w:r>
      <w:r w:rsidR="007029A9">
        <w:t xml:space="preserve">the FWO </w:t>
      </w:r>
      <w:r w:rsidR="00BA3BF5">
        <w:t>may commence legal proceeding</w:t>
      </w:r>
      <w:r w:rsidR="007029A9">
        <w:t>s</w:t>
      </w:r>
      <w:r w:rsidR="00BA3BF5">
        <w:t xml:space="preserve"> and ask the court to impose penalties</w:t>
      </w:r>
      <w:r w:rsidR="00135143">
        <w:t>.</w:t>
      </w:r>
      <w:r w:rsidR="001D54AE">
        <w:rPr>
          <w:rStyle w:val="FootnoteReference"/>
        </w:rPr>
        <w:footnoteReference w:id="8"/>
      </w:r>
      <w:r w:rsidR="00E329A6">
        <w:br w:type="page"/>
      </w:r>
    </w:p>
    <w:p w14:paraId="251EC459" w14:textId="77777777" w:rsidR="00E329A6" w:rsidRPr="00E52DAD" w:rsidRDefault="00E329A6" w:rsidP="00E329A6">
      <w:pPr>
        <w:pStyle w:val="Heading1"/>
      </w:pPr>
      <w:bookmarkStart w:id="18" w:name="_Toc531876787"/>
      <w:bookmarkStart w:id="19" w:name="_Toc534281800"/>
      <w:bookmarkStart w:id="20" w:name="_Toc1047670"/>
      <w:bookmarkStart w:id="21" w:name="_Toc9327683"/>
      <w:r>
        <w:lastRenderedPageBreak/>
        <w:t>A</w:t>
      </w:r>
      <w:r w:rsidRPr="00E52DAD">
        <w:t>bout the Fair Work Ombudsman</w:t>
      </w:r>
      <w:bookmarkEnd w:id="18"/>
      <w:bookmarkEnd w:id="19"/>
      <w:bookmarkEnd w:id="20"/>
      <w:bookmarkEnd w:id="21"/>
    </w:p>
    <w:p w14:paraId="285F45C0" w14:textId="45E4D2DD" w:rsidR="00E329A6" w:rsidRPr="004936C7" w:rsidRDefault="00E329A6" w:rsidP="00B5560A">
      <w:pPr>
        <w:rPr>
          <w:lang w:eastAsia="en-AU"/>
        </w:rPr>
      </w:pPr>
      <w:r w:rsidRPr="004936C7">
        <w:rPr>
          <w:lang w:eastAsia="en-AU"/>
        </w:rPr>
        <w:t xml:space="preserve">The Fair Work Ombudsman is an independent agency created by the </w:t>
      </w:r>
      <w:r w:rsidRPr="004936C7">
        <w:rPr>
          <w:i/>
          <w:lang w:eastAsia="en-AU"/>
        </w:rPr>
        <w:t>Fair Work Act 2009</w:t>
      </w:r>
      <w:r w:rsidRPr="004936C7">
        <w:rPr>
          <w:lang w:eastAsia="en-AU"/>
        </w:rPr>
        <w:t xml:space="preserve"> on 1 July 2009. </w:t>
      </w:r>
      <w:r>
        <w:rPr>
          <w:lang w:eastAsia="en-AU"/>
        </w:rPr>
        <w:t xml:space="preserve">The </w:t>
      </w:r>
      <w:r w:rsidR="00F40840">
        <w:rPr>
          <w:lang w:eastAsia="en-AU"/>
        </w:rPr>
        <w:t xml:space="preserve">FWO’s </w:t>
      </w:r>
      <w:r w:rsidRPr="004936C7">
        <w:rPr>
          <w:lang w:eastAsia="en-AU"/>
        </w:rPr>
        <w:t xml:space="preserve">role is to promote harmonious, productive and </w:t>
      </w:r>
      <w:proofErr w:type="gramStart"/>
      <w:r w:rsidR="007D2DED">
        <w:rPr>
          <w:lang w:eastAsia="en-AU"/>
        </w:rPr>
        <w:t xml:space="preserve">cooperative </w:t>
      </w:r>
      <w:r>
        <w:rPr>
          <w:lang w:eastAsia="en-AU"/>
        </w:rPr>
        <w:t xml:space="preserve"> Australian</w:t>
      </w:r>
      <w:proofErr w:type="gramEnd"/>
      <w:r>
        <w:rPr>
          <w:lang w:eastAsia="en-AU"/>
        </w:rPr>
        <w:t xml:space="preserve"> workplaces</w:t>
      </w:r>
      <w:r w:rsidR="00F40840">
        <w:rPr>
          <w:lang w:eastAsia="en-AU"/>
        </w:rPr>
        <w:t xml:space="preserve">, and to monitor and enforce </w:t>
      </w:r>
      <w:r>
        <w:rPr>
          <w:lang w:eastAsia="en-AU"/>
        </w:rPr>
        <w:t xml:space="preserve">compliance with </w:t>
      </w:r>
      <w:r w:rsidR="00F40840">
        <w:rPr>
          <w:lang w:eastAsia="en-AU"/>
        </w:rPr>
        <w:t xml:space="preserve">Australian </w:t>
      </w:r>
      <w:r>
        <w:rPr>
          <w:lang w:eastAsia="en-AU"/>
        </w:rPr>
        <w:t>workplace laws</w:t>
      </w:r>
      <w:r w:rsidRPr="004936C7">
        <w:rPr>
          <w:lang w:eastAsia="en-AU"/>
        </w:rPr>
        <w:t>.</w:t>
      </w:r>
    </w:p>
    <w:p w14:paraId="6A03B229" w14:textId="77777777" w:rsidR="00E329A6" w:rsidRDefault="00E329A6" w:rsidP="00B5560A">
      <w:pPr>
        <w:rPr>
          <w:rFonts w:eastAsia="Calibri"/>
          <w:szCs w:val="22"/>
        </w:rPr>
      </w:pPr>
      <w:r>
        <w:rPr>
          <w:rFonts w:eastAsia="Calibri"/>
          <w:szCs w:val="22"/>
        </w:rPr>
        <w:t>T</w:t>
      </w:r>
      <w:r w:rsidRPr="004936C7">
        <w:rPr>
          <w:rFonts w:eastAsia="Calibri"/>
          <w:szCs w:val="22"/>
        </w:rPr>
        <w:t xml:space="preserve">he </w:t>
      </w:r>
      <w:r w:rsidR="00F40840">
        <w:rPr>
          <w:rFonts w:eastAsia="Calibri"/>
          <w:szCs w:val="22"/>
        </w:rPr>
        <w:t xml:space="preserve">FWO </w:t>
      </w:r>
      <w:r>
        <w:rPr>
          <w:rFonts w:eastAsia="Calibri"/>
          <w:szCs w:val="22"/>
        </w:rPr>
        <w:t xml:space="preserve">regularly conducts </w:t>
      </w:r>
      <w:r w:rsidRPr="004936C7">
        <w:rPr>
          <w:rFonts w:eastAsia="Calibri"/>
          <w:szCs w:val="22"/>
        </w:rPr>
        <w:t>proactive campaigns</w:t>
      </w:r>
      <w:r>
        <w:rPr>
          <w:rFonts w:eastAsia="Calibri"/>
          <w:szCs w:val="22"/>
        </w:rPr>
        <w:t xml:space="preserve"> targeting at-risk employers as part of its </w:t>
      </w:r>
      <w:r w:rsidR="00F40840">
        <w:rPr>
          <w:rFonts w:eastAsia="Calibri"/>
          <w:szCs w:val="22"/>
        </w:rPr>
        <w:t xml:space="preserve">compliance </w:t>
      </w:r>
      <w:r>
        <w:rPr>
          <w:rFonts w:eastAsia="Calibri"/>
          <w:szCs w:val="22"/>
        </w:rPr>
        <w:t xml:space="preserve">monitoring function. </w:t>
      </w:r>
    </w:p>
    <w:p w14:paraId="2AD6BFD0" w14:textId="77777777" w:rsidR="00E329A6" w:rsidRPr="004936C7" w:rsidRDefault="00E329A6" w:rsidP="00B5560A">
      <w:pPr>
        <w:rPr>
          <w:lang w:eastAsia="en-AU"/>
        </w:rPr>
      </w:pPr>
      <w:r>
        <w:rPr>
          <w:lang w:eastAsia="en-AU"/>
        </w:rPr>
        <w:t>For</w:t>
      </w:r>
      <w:r w:rsidRPr="004936C7">
        <w:rPr>
          <w:lang w:eastAsia="en-AU"/>
        </w:rPr>
        <w:t xml:space="preserve"> media enquiries please contact the media team at </w:t>
      </w:r>
      <w:hyperlink r:id="rId16" w:history="1">
        <w:r w:rsidRPr="004936C7">
          <w:rPr>
            <w:color w:val="0000FF"/>
            <w:u w:val="single"/>
            <w:lang w:eastAsia="en-AU"/>
          </w:rPr>
          <w:t>media@fwo.gov.au</w:t>
        </w:r>
      </w:hyperlink>
    </w:p>
    <w:p w14:paraId="0B895E24" w14:textId="77777777" w:rsidR="00E43030" w:rsidRDefault="00E329A6" w:rsidP="00B5560A">
      <w:r w:rsidRPr="004936C7">
        <w:rPr>
          <w:lang w:eastAsia="en-AU"/>
        </w:rPr>
        <w:t xml:space="preserve">If you would like further information about the Fair Work Ombudsman’s campaigns please contact </w:t>
      </w:r>
      <w:r>
        <w:rPr>
          <w:lang w:eastAsia="en-AU"/>
        </w:rPr>
        <w:t xml:space="preserve">Steven </w:t>
      </w:r>
      <w:proofErr w:type="spellStart"/>
      <w:r>
        <w:rPr>
          <w:lang w:eastAsia="en-AU"/>
        </w:rPr>
        <w:t>Ronson</w:t>
      </w:r>
      <w:proofErr w:type="spellEnd"/>
      <w:r w:rsidRPr="004936C7">
        <w:rPr>
          <w:lang w:eastAsia="en-AU"/>
        </w:rPr>
        <w:t>, Executive Director</w:t>
      </w:r>
      <w:r w:rsidR="00E6155A">
        <w:t>-</w:t>
      </w:r>
      <w:r w:rsidRPr="004936C7">
        <w:rPr>
          <w:lang w:eastAsia="en-AU"/>
        </w:rPr>
        <w:t xml:space="preserve">Proactive Compliance </w:t>
      </w:r>
      <w:proofErr w:type="gramStart"/>
      <w:r w:rsidRPr="004936C7">
        <w:rPr>
          <w:lang w:eastAsia="en-AU"/>
        </w:rPr>
        <w:t>at</w:t>
      </w:r>
      <w:r>
        <w:rPr>
          <w:lang w:eastAsia="en-AU"/>
        </w:rPr>
        <w:t>:</w:t>
      </w:r>
      <w:proofErr w:type="gramEnd"/>
      <w:r w:rsidRPr="004936C7">
        <w:rPr>
          <w:lang w:eastAsia="en-AU"/>
        </w:rPr>
        <w:t xml:space="preserve"> </w:t>
      </w:r>
      <w:hyperlink r:id="rId17" w:history="1">
        <w:r w:rsidRPr="00B5560A">
          <w:rPr>
            <w:rStyle w:val="Hyperlink"/>
            <w:rFonts w:cs="Arial"/>
            <w:szCs w:val="22"/>
            <w:lang w:eastAsia="en-AU"/>
          </w:rPr>
          <w:t>steven.ronson@fwo.gov.au</w:t>
        </w:r>
      </w:hyperlink>
    </w:p>
    <w:sectPr w:rsidR="00E43030" w:rsidSect="00CA7E77">
      <w:type w:val="continuous"/>
      <w:pgSz w:w="11907" w:h="16840" w:code="9"/>
      <w:pgMar w:top="1276" w:right="992" w:bottom="851" w:left="1276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35551" w14:textId="77777777" w:rsidR="00F0739D" w:rsidRDefault="00F0739D" w:rsidP="00AB27F9">
      <w:r>
        <w:separator/>
      </w:r>
    </w:p>
  </w:endnote>
  <w:endnote w:type="continuationSeparator" w:id="0">
    <w:p w14:paraId="58CE1EBC" w14:textId="77777777" w:rsidR="00F0739D" w:rsidRDefault="00F0739D" w:rsidP="00AB27F9">
      <w:r>
        <w:continuationSeparator/>
      </w:r>
    </w:p>
  </w:endnote>
  <w:endnote w:type="continuationNotice" w:id="1">
    <w:p w14:paraId="57829044" w14:textId="77777777" w:rsidR="00F0739D" w:rsidRDefault="00F0739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ir Work">
    <w:altName w:val="Times New Roman"/>
    <w:panose1 w:val="00000000000000000000"/>
    <w:charset w:val="00"/>
    <w:family w:val="roman"/>
    <w:notTrueType/>
    <w:pitch w:val="variable"/>
    <w:sig w:usb0="00000083" w:usb1="5000204A" w:usb2="00000000" w:usb3="00000000" w:csb0="00000009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LiberationSans-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3B32" w14:textId="77777777" w:rsidR="00381309" w:rsidRDefault="00381309" w:rsidP="00AB27F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78FEC341" w14:textId="77777777" w:rsidR="00381309" w:rsidRDefault="00381309" w:rsidP="00AB27F9"/>
  <w:p w14:paraId="60958980" w14:textId="77777777" w:rsidR="00381309" w:rsidRDefault="00381309"/>
  <w:p w14:paraId="63C8DB20" w14:textId="77777777" w:rsidR="00381309" w:rsidRDefault="00381309"/>
  <w:p w14:paraId="2B8B3C7C" w14:textId="77777777" w:rsidR="00381309" w:rsidRDefault="003813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778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3DB9B" w14:textId="327BB93D" w:rsidR="00CA7E77" w:rsidRDefault="00CA7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DB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3DCBF9F" w14:textId="77777777" w:rsidR="00381309" w:rsidRDefault="00381309" w:rsidP="004B2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7AF1" w14:textId="77777777" w:rsidR="00381309" w:rsidRDefault="00F0739D">
    <w:pPr>
      <w:pStyle w:val="Footer"/>
    </w:pPr>
    <w:r>
      <w:fldChar w:fldCharType="begin"/>
    </w:r>
    <w:r>
      <w:instrText xml:space="preserve"> DOCPROPERTY "mvRef" \* MERGEFORMAT </w:instrText>
    </w:r>
    <w:r>
      <w:fldChar w:fldCharType="separate"/>
    </w:r>
    <w:r w:rsidR="00383FAE">
      <w:t>Campaign Reports</w:t>
    </w:r>
    <w:proofErr w:type="gramStart"/>
    <w:r w:rsidR="00383FAE">
      <w:t>:DB</w:t>
    </w:r>
    <w:proofErr w:type="gramEnd"/>
    <w:r w:rsidR="00383FAE">
      <w:t>-1186834/1.0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915C" w14:textId="77777777" w:rsidR="00F0739D" w:rsidRDefault="00F0739D" w:rsidP="00AB27F9">
      <w:r>
        <w:separator/>
      </w:r>
    </w:p>
  </w:footnote>
  <w:footnote w:type="continuationSeparator" w:id="0">
    <w:p w14:paraId="6540A677" w14:textId="77777777" w:rsidR="00F0739D" w:rsidRDefault="00F0739D" w:rsidP="00AB27F9">
      <w:r>
        <w:continuationSeparator/>
      </w:r>
    </w:p>
  </w:footnote>
  <w:footnote w:type="continuationNotice" w:id="1">
    <w:p w14:paraId="1A9E8943" w14:textId="77777777" w:rsidR="00F0739D" w:rsidRDefault="00F0739D">
      <w:pPr>
        <w:spacing w:before="0" w:line="240" w:lineRule="auto"/>
      </w:pPr>
    </w:p>
  </w:footnote>
  <w:footnote w:id="2">
    <w:p w14:paraId="411E12F6" w14:textId="77777777" w:rsidR="00381309" w:rsidRDefault="00381309" w:rsidP="00B5560A">
      <w:pPr>
        <w:pStyle w:val="Footnotes"/>
      </w:pPr>
      <w:r>
        <w:rPr>
          <w:rStyle w:val="FootnoteReference"/>
          <w:rFonts w:eastAsiaTheme="majorEastAsia"/>
        </w:rPr>
        <w:footnoteRef/>
      </w:r>
      <w:r>
        <w:t xml:space="preserve">  </w:t>
      </w:r>
      <w:r w:rsidRPr="00543850">
        <w:t>www.fairwork.gov.au/find-help-for/small-business</w:t>
      </w:r>
      <w:r>
        <w:t xml:space="preserve">  </w:t>
      </w:r>
    </w:p>
  </w:footnote>
  <w:footnote w:id="3">
    <w:p w14:paraId="39CA45A1" w14:textId="25B2BE18" w:rsidR="008B0699" w:rsidRDefault="00381309" w:rsidP="008B0699">
      <w:pPr>
        <w:pStyle w:val="Footnotes"/>
      </w:pPr>
      <w:r>
        <w:rPr>
          <w:rStyle w:val="FootnoteReference"/>
        </w:rPr>
        <w:footnoteRef/>
      </w:r>
      <w:r>
        <w:t xml:space="preserve"> </w:t>
      </w:r>
      <w:r w:rsidR="008B0699">
        <w:t xml:space="preserve">Caution </w:t>
      </w:r>
      <w:proofErr w:type="gramStart"/>
      <w:r w:rsidR="008B0699">
        <w:t>should be used</w:t>
      </w:r>
      <w:proofErr w:type="gramEnd"/>
      <w:r w:rsidR="008B0699">
        <w:t xml:space="preserve"> when comparing results between regions</w:t>
      </w:r>
      <w:r w:rsidR="00DD03AD">
        <w:t xml:space="preserve"> due to limitations arising from </w:t>
      </w:r>
      <w:r w:rsidR="00C5484D">
        <w:t xml:space="preserve">sample </w:t>
      </w:r>
      <w:r w:rsidR="00DD03AD">
        <w:t>profile</w:t>
      </w:r>
      <w:r w:rsidR="00C5484D">
        <w:t xml:space="preserve"> and </w:t>
      </w:r>
      <w:r w:rsidR="00DD03AD">
        <w:t>size.</w:t>
      </w:r>
      <w:r w:rsidR="008B0699">
        <w:t xml:space="preserve"> </w:t>
      </w:r>
    </w:p>
    <w:p w14:paraId="1FDDF84C" w14:textId="77777777" w:rsidR="00381309" w:rsidRDefault="00381309" w:rsidP="00F1004B">
      <w:pPr>
        <w:pStyle w:val="Footnotes"/>
      </w:pPr>
    </w:p>
  </w:footnote>
  <w:footnote w:id="4">
    <w:p w14:paraId="218B480A" w14:textId="77777777" w:rsidR="00F811B1" w:rsidRDefault="00F811B1" w:rsidP="00F811B1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6C0893">
        <w:rPr>
          <w:sz w:val="18"/>
          <w:szCs w:val="18"/>
          <w:lang w:eastAsia="en-AU"/>
        </w:rPr>
        <w:t>https://calculate.fairwork.gov.au/</w:t>
      </w:r>
    </w:p>
  </w:footnote>
  <w:footnote w:id="5">
    <w:p w14:paraId="77576598" w14:textId="77777777" w:rsidR="00F811B1" w:rsidRDefault="00F811B1" w:rsidP="00F811B1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6C0893">
        <w:rPr>
          <w:sz w:val="18"/>
          <w:szCs w:val="18"/>
          <w:lang w:eastAsia="en-AU"/>
        </w:rPr>
        <w:t>https://www.fairwork.gov.au/my-account/registerpage.aspx</w:t>
      </w:r>
    </w:p>
  </w:footnote>
  <w:footnote w:id="6">
    <w:p w14:paraId="6EE180BC" w14:textId="77777777" w:rsidR="00F811B1" w:rsidRDefault="00F811B1" w:rsidP="00F811B1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6C0893">
        <w:rPr>
          <w:sz w:val="18"/>
          <w:szCs w:val="18"/>
          <w:lang w:eastAsia="en-AU"/>
        </w:rPr>
        <w:t>https://www.fairwork.gov.au/how-we-will-help/online-training/online-learning-centre</w:t>
      </w:r>
    </w:p>
  </w:footnote>
  <w:footnote w:id="7">
    <w:p w14:paraId="5C14AAB3" w14:textId="77777777" w:rsidR="00F811B1" w:rsidRDefault="00F811B1" w:rsidP="00F811B1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6C0893">
        <w:rPr>
          <w:sz w:val="18"/>
          <w:szCs w:val="18"/>
          <w:lang w:eastAsia="en-AU"/>
        </w:rPr>
        <w:t>https://www.fairwork.gov.au/small-business-showcase</w:t>
      </w:r>
    </w:p>
  </w:footnote>
  <w:footnote w:id="8">
    <w:p w14:paraId="1FE57F5A" w14:textId="77777777" w:rsidR="001D54AE" w:rsidRDefault="001D54AE" w:rsidP="006C0893">
      <w:pPr>
        <w:spacing w:before="0" w:line="240" w:lineRule="auto"/>
      </w:pPr>
      <w:r>
        <w:rPr>
          <w:rStyle w:val="FootnoteReference"/>
        </w:rPr>
        <w:footnoteRef/>
      </w:r>
      <w:r w:rsidR="004258E1">
        <w:t xml:space="preserve"> </w:t>
      </w:r>
      <w:r w:rsidR="004258E1" w:rsidRPr="00C3030A">
        <w:rPr>
          <w:sz w:val="18"/>
          <w:szCs w:val="18"/>
          <w:lang w:eastAsia="en-AU"/>
        </w:rPr>
        <w:t>Courts may impose penalties up to $12 600 per breach for an individual</w:t>
      </w:r>
      <w:r w:rsidR="00A92A80">
        <w:rPr>
          <w:sz w:val="18"/>
          <w:szCs w:val="18"/>
          <w:lang w:eastAsia="en-AU"/>
        </w:rPr>
        <w:t xml:space="preserve">, </w:t>
      </w:r>
      <w:r w:rsidR="004258E1" w:rsidRPr="00C3030A">
        <w:rPr>
          <w:sz w:val="18"/>
          <w:szCs w:val="18"/>
          <w:lang w:eastAsia="en-AU"/>
        </w:rPr>
        <w:t xml:space="preserve">and $63 000 per </w:t>
      </w:r>
      <w:r w:rsidR="004258E1">
        <w:rPr>
          <w:sz w:val="18"/>
          <w:szCs w:val="18"/>
          <w:lang w:eastAsia="en-AU"/>
        </w:rPr>
        <w:t>breach</w:t>
      </w:r>
      <w:r w:rsidR="004258E1" w:rsidRPr="00C3030A">
        <w:rPr>
          <w:sz w:val="18"/>
          <w:szCs w:val="18"/>
          <w:lang w:eastAsia="en-AU"/>
        </w:rPr>
        <w:t xml:space="preserve"> for companies. Where non-compliance is proven to be deliberate or systemic, penalties can amount to $126 000 per breach for individuals and $630 000 per for companies</w:t>
      </w:r>
      <w:r w:rsidR="004258E1">
        <w:rPr>
          <w:sz w:val="18"/>
          <w:szCs w:val="18"/>
          <w:lang w:eastAsia="en-AU"/>
        </w:rPr>
        <w:t>.</w:t>
      </w:r>
      <w:r w:rsidR="004258E1">
        <w:rPr>
          <w:rFonts w:ascii="LiberationSans-Regular" w:hAnsi="LiberationSans-Regular"/>
          <w:color w:val="231F20"/>
          <w:sz w:val="21"/>
          <w:szCs w:val="21"/>
          <w:lang w:val="e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1E958" w14:textId="77777777" w:rsidR="00715DB8" w:rsidRDefault="00715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F1840" w14:textId="77777777" w:rsidR="00715DB8" w:rsidRDefault="00715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E22A" w14:textId="77777777" w:rsidR="00381309" w:rsidRPr="003952ED" w:rsidRDefault="00381309" w:rsidP="00AB27F9">
    <w:pPr>
      <w:rPr>
        <w:u w:val="single"/>
      </w:rPr>
    </w:pPr>
    <w:r>
      <w:rPr>
        <w:noProof/>
        <w:u w:val="single"/>
        <w:lang w:eastAsia="en-AU" w:bidi="ne-NP"/>
      </w:rPr>
      <w:drawing>
        <wp:anchor distT="0" distB="0" distL="114300" distR="114300" simplePos="0" relativeHeight="251658240" behindDoc="1" locked="0" layoutInCell="1" allowOverlap="1" wp14:anchorId="75A6F84D" wp14:editId="21908A80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22577" cy="10847173"/>
          <wp:effectExtent l="0" t="0" r="0" b="0"/>
          <wp:wrapNone/>
          <wp:docPr id="37" name="Picture 37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ac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577" cy="10847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  <w:rPr>
        <w:rFonts w:cs="Times New Roman"/>
      </w:rPr>
    </w:lvl>
  </w:abstractNum>
  <w:abstractNum w:abstractNumId="1" w15:restartNumberingAfterBreak="0">
    <w:nsid w:val="013C09CB"/>
    <w:multiLevelType w:val="hybridMultilevel"/>
    <w:tmpl w:val="E9307F4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521E0"/>
    <w:multiLevelType w:val="hybridMultilevel"/>
    <w:tmpl w:val="EB8E6AEE"/>
    <w:lvl w:ilvl="0" w:tplc="27AE83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F007F"/>
    <w:multiLevelType w:val="hybridMultilevel"/>
    <w:tmpl w:val="D89698A2"/>
    <w:lvl w:ilvl="0" w:tplc="7C228C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14DC"/>
    <w:multiLevelType w:val="hybridMultilevel"/>
    <w:tmpl w:val="D5583064"/>
    <w:lvl w:ilvl="0" w:tplc="2974B1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931D6"/>
    <w:multiLevelType w:val="hybridMultilevel"/>
    <w:tmpl w:val="E4868F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0D58BE"/>
    <w:multiLevelType w:val="hybridMultilevel"/>
    <w:tmpl w:val="505E795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12B41"/>
    <w:multiLevelType w:val="hybridMultilevel"/>
    <w:tmpl w:val="2A50C9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7084D5B"/>
    <w:multiLevelType w:val="hybridMultilevel"/>
    <w:tmpl w:val="64D85228"/>
    <w:lvl w:ilvl="0" w:tplc="FF26E900">
      <w:numFmt w:val="bullet"/>
      <w:lvlText w:val="•"/>
      <w:lvlJc w:val="left"/>
      <w:pPr>
        <w:ind w:left="1185" w:hanging="825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E80"/>
    <w:multiLevelType w:val="hybridMultilevel"/>
    <w:tmpl w:val="7FCC50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6D6450"/>
    <w:multiLevelType w:val="hybridMultilevel"/>
    <w:tmpl w:val="1464A9A4"/>
    <w:lvl w:ilvl="0" w:tplc="2974B15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67C9A"/>
    <w:multiLevelType w:val="hybridMultilevel"/>
    <w:tmpl w:val="3CC6E30A"/>
    <w:lvl w:ilvl="0" w:tplc="AB86CA3C">
      <w:start w:val="1"/>
      <w:numFmt w:val="bullet"/>
      <w:pStyle w:val="Dotpoint"/>
      <w:lvlText w:val=""/>
      <w:lvlJc w:val="left"/>
      <w:pPr>
        <w:tabs>
          <w:tab w:val="num" w:pos="1385"/>
        </w:tabs>
        <w:ind w:left="138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267349A5"/>
    <w:multiLevelType w:val="hybridMultilevel"/>
    <w:tmpl w:val="32CC0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B698C"/>
    <w:multiLevelType w:val="hybridMultilevel"/>
    <w:tmpl w:val="B6C8AD3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0D24F0"/>
    <w:multiLevelType w:val="hybridMultilevel"/>
    <w:tmpl w:val="84426604"/>
    <w:lvl w:ilvl="0" w:tplc="FF26E900">
      <w:numFmt w:val="bullet"/>
      <w:lvlText w:val="•"/>
      <w:lvlJc w:val="left"/>
      <w:pPr>
        <w:ind w:left="1185" w:hanging="82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3B8"/>
    <w:multiLevelType w:val="hybridMultilevel"/>
    <w:tmpl w:val="383A58E2"/>
    <w:lvl w:ilvl="0" w:tplc="5366BFA4">
      <w:start w:val="1"/>
      <w:numFmt w:val="bullet"/>
      <w:pStyle w:val="Callout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6B87943"/>
    <w:multiLevelType w:val="hybridMultilevel"/>
    <w:tmpl w:val="9266F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62B7B"/>
    <w:multiLevelType w:val="hybridMultilevel"/>
    <w:tmpl w:val="1F102006"/>
    <w:lvl w:ilvl="0" w:tplc="FF26E900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E0C471D6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332BB"/>
    <w:multiLevelType w:val="hybridMultilevel"/>
    <w:tmpl w:val="CB1C8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50743"/>
    <w:multiLevelType w:val="hybridMultilevel"/>
    <w:tmpl w:val="C74A0A94"/>
    <w:lvl w:ilvl="0" w:tplc="453674DA">
      <w:start w:val="1"/>
      <w:numFmt w:val="bullet"/>
      <w:pStyle w:val="Bullet"/>
      <w:lvlText w:val=""/>
      <w:lvlJc w:val="left"/>
      <w:pPr>
        <w:ind w:left="360" w:hanging="360"/>
      </w:pPr>
      <w:rPr>
        <w:rFonts w:ascii="Wingdings" w:hAnsi="Wingdings" w:hint="default"/>
        <w:color w:val="26374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E042A"/>
    <w:multiLevelType w:val="hybridMultilevel"/>
    <w:tmpl w:val="EF9A6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503A9"/>
    <w:multiLevelType w:val="hybridMultilevel"/>
    <w:tmpl w:val="36F0F9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214431"/>
    <w:multiLevelType w:val="hybridMultilevel"/>
    <w:tmpl w:val="8CA8B390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439DE"/>
    <w:multiLevelType w:val="hybridMultilevel"/>
    <w:tmpl w:val="7C7E937C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A04D3"/>
    <w:multiLevelType w:val="multilevel"/>
    <w:tmpl w:val="EA1004B8"/>
    <w:lvl w:ilvl="0">
      <w:start w:val="1"/>
      <w:numFmt w:val="decimal"/>
      <w:lvlText w:val="%1: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ADB400E"/>
    <w:multiLevelType w:val="hybridMultilevel"/>
    <w:tmpl w:val="060C7B70"/>
    <w:lvl w:ilvl="0" w:tplc="FF26E900">
      <w:numFmt w:val="bullet"/>
      <w:lvlText w:val="•"/>
      <w:lvlJc w:val="left"/>
      <w:pPr>
        <w:ind w:left="1185" w:hanging="82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23519"/>
    <w:multiLevelType w:val="hybridMultilevel"/>
    <w:tmpl w:val="0646091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BB4425"/>
    <w:multiLevelType w:val="hybridMultilevel"/>
    <w:tmpl w:val="0344C6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51AD0"/>
    <w:multiLevelType w:val="hybridMultilevel"/>
    <w:tmpl w:val="A2229E0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9403BD"/>
    <w:multiLevelType w:val="hybridMultilevel"/>
    <w:tmpl w:val="4FD29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73DC1"/>
    <w:multiLevelType w:val="hybridMultilevel"/>
    <w:tmpl w:val="D92E54EA"/>
    <w:lvl w:ilvl="0" w:tplc="EC145C1A">
      <w:start w:val="1"/>
      <w:numFmt w:val="bullet"/>
      <w:pStyle w:val="Dotpointtable"/>
      <w:lvlText w:val=""/>
      <w:lvlJc w:val="left"/>
      <w:pPr>
        <w:tabs>
          <w:tab w:val="num" w:pos="595"/>
        </w:tabs>
        <w:ind w:left="59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6B126074"/>
    <w:multiLevelType w:val="multilevel"/>
    <w:tmpl w:val="17601736"/>
    <w:styleLink w:val="Number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CE1144"/>
    <w:multiLevelType w:val="hybridMultilevel"/>
    <w:tmpl w:val="3722768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205FF"/>
    <w:multiLevelType w:val="hybridMultilevel"/>
    <w:tmpl w:val="6A1073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B4E46"/>
    <w:multiLevelType w:val="hybridMultilevel"/>
    <w:tmpl w:val="0EB492A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5A16A6"/>
    <w:multiLevelType w:val="multilevel"/>
    <w:tmpl w:val="B5FC094A"/>
    <w:styleLink w:val="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C7369"/>
    <w:multiLevelType w:val="hybridMultilevel"/>
    <w:tmpl w:val="9FBC6B40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81F4B"/>
    <w:multiLevelType w:val="hybridMultilevel"/>
    <w:tmpl w:val="B672E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756ED"/>
    <w:multiLevelType w:val="hybridMultilevel"/>
    <w:tmpl w:val="1ABE45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C04639"/>
    <w:multiLevelType w:val="hybridMultilevel"/>
    <w:tmpl w:val="2182DC1A"/>
    <w:lvl w:ilvl="0" w:tplc="5A864108">
      <w:start w:val="1"/>
      <w:numFmt w:val="bullet"/>
      <w:pStyle w:val="CalloutBullet0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3">
    <w:abstractNumId w:val="11"/>
  </w:num>
  <w:num w:numId="4">
    <w:abstractNumId w:val="30"/>
  </w:num>
  <w:num w:numId="5">
    <w:abstractNumId w:val="24"/>
  </w:num>
  <w:num w:numId="6">
    <w:abstractNumId w:val="31"/>
  </w:num>
  <w:num w:numId="7">
    <w:abstractNumId w:val="34"/>
  </w:num>
  <w:num w:numId="8">
    <w:abstractNumId w:val="21"/>
  </w:num>
  <w:num w:numId="9">
    <w:abstractNumId w:val="16"/>
  </w:num>
  <w:num w:numId="10">
    <w:abstractNumId w:val="9"/>
  </w:num>
  <w:num w:numId="11">
    <w:abstractNumId w:val="7"/>
  </w:num>
  <w:num w:numId="12">
    <w:abstractNumId w:val="37"/>
  </w:num>
  <w:num w:numId="13">
    <w:abstractNumId w:val="38"/>
  </w:num>
  <w:num w:numId="14">
    <w:abstractNumId w:val="8"/>
  </w:num>
  <w:num w:numId="15">
    <w:abstractNumId w:val="14"/>
  </w:num>
  <w:num w:numId="16">
    <w:abstractNumId w:val="25"/>
  </w:num>
  <w:num w:numId="17">
    <w:abstractNumId w:val="33"/>
  </w:num>
  <w:num w:numId="18">
    <w:abstractNumId w:val="2"/>
  </w:num>
  <w:num w:numId="19">
    <w:abstractNumId w:val="17"/>
  </w:num>
  <w:num w:numId="20">
    <w:abstractNumId w:val="3"/>
  </w:num>
  <w:num w:numId="21">
    <w:abstractNumId w:val="18"/>
  </w:num>
  <w:num w:numId="22">
    <w:abstractNumId w:val="27"/>
  </w:num>
  <w:num w:numId="23">
    <w:abstractNumId w:val="19"/>
  </w:num>
  <w:num w:numId="24">
    <w:abstractNumId w:val="12"/>
  </w:num>
  <w:num w:numId="25">
    <w:abstractNumId w:val="20"/>
  </w:num>
  <w:num w:numId="26">
    <w:abstractNumId w:val="26"/>
  </w:num>
  <w:num w:numId="27">
    <w:abstractNumId w:val="32"/>
  </w:num>
  <w:num w:numId="28">
    <w:abstractNumId w:val="5"/>
  </w:num>
  <w:num w:numId="29">
    <w:abstractNumId w:val="6"/>
  </w:num>
  <w:num w:numId="30">
    <w:abstractNumId w:val="28"/>
  </w:num>
  <w:num w:numId="31">
    <w:abstractNumId w:val="1"/>
  </w:num>
  <w:num w:numId="32">
    <w:abstractNumId w:val="13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5"/>
  </w:num>
  <w:num w:numId="44">
    <w:abstractNumId w:val="39"/>
  </w:num>
  <w:num w:numId="45">
    <w:abstractNumId w:val="36"/>
  </w:num>
  <w:num w:numId="46">
    <w:abstractNumId w:val="10"/>
  </w:num>
  <w:num w:numId="47">
    <w:abstractNumId w:val="22"/>
  </w:num>
  <w:num w:numId="48">
    <w:abstractNumId w:val="23"/>
  </w:num>
  <w:num w:numId="49">
    <w:abstractNumId w:val="4"/>
  </w:num>
  <w:num w:numId="5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63"/>
    <w:rsid w:val="0000366A"/>
    <w:rsid w:val="00003FF8"/>
    <w:rsid w:val="00006D48"/>
    <w:rsid w:val="00020ED9"/>
    <w:rsid w:val="0002263F"/>
    <w:rsid w:val="000339A4"/>
    <w:rsid w:val="00035502"/>
    <w:rsid w:val="00040421"/>
    <w:rsid w:val="00043D63"/>
    <w:rsid w:val="00044A07"/>
    <w:rsid w:val="00044B3E"/>
    <w:rsid w:val="00044BEC"/>
    <w:rsid w:val="00057AE4"/>
    <w:rsid w:val="00064562"/>
    <w:rsid w:val="000652ED"/>
    <w:rsid w:val="00067031"/>
    <w:rsid w:val="00070178"/>
    <w:rsid w:val="00074F5B"/>
    <w:rsid w:val="00080941"/>
    <w:rsid w:val="0008342B"/>
    <w:rsid w:val="00084D66"/>
    <w:rsid w:val="00085FC1"/>
    <w:rsid w:val="00090047"/>
    <w:rsid w:val="00094EE5"/>
    <w:rsid w:val="0009727F"/>
    <w:rsid w:val="000A3877"/>
    <w:rsid w:val="000A5FE4"/>
    <w:rsid w:val="000B04DA"/>
    <w:rsid w:val="000B2B8E"/>
    <w:rsid w:val="000C09CA"/>
    <w:rsid w:val="000C1DF4"/>
    <w:rsid w:val="000C2B08"/>
    <w:rsid w:val="000C359C"/>
    <w:rsid w:val="000C63F1"/>
    <w:rsid w:val="000C6A5F"/>
    <w:rsid w:val="000D29E1"/>
    <w:rsid w:val="000D724E"/>
    <w:rsid w:val="000E08E4"/>
    <w:rsid w:val="000E2601"/>
    <w:rsid w:val="000E362E"/>
    <w:rsid w:val="000E37AC"/>
    <w:rsid w:val="000E62D4"/>
    <w:rsid w:val="000F0FBA"/>
    <w:rsid w:val="000F1E14"/>
    <w:rsid w:val="000F2720"/>
    <w:rsid w:val="000F2C32"/>
    <w:rsid w:val="000F3F15"/>
    <w:rsid w:val="000F4B5B"/>
    <w:rsid w:val="001014A0"/>
    <w:rsid w:val="00105CEF"/>
    <w:rsid w:val="00106B77"/>
    <w:rsid w:val="00111949"/>
    <w:rsid w:val="00125A38"/>
    <w:rsid w:val="00127C72"/>
    <w:rsid w:val="00133B21"/>
    <w:rsid w:val="00135143"/>
    <w:rsid w:val="0013580F"/>
    <w:rsid w:val="00142043"/>
    <w:rsid w:val="0014267A"/>
    <w:rsid w:val="001506E4"/>
    <w:rsid w:val="001607FB"/>
    <w:rsid w:val="0016101D"/>
    <w:rsid w:val="00161CB0"/>
    <w:rsid w:val="0016465A"/>
    <w:rsid w:val="001676B6"/>
    <w:rsid w:val="00181475"/>
    <w:rsid w:val="001827B7"/>
    <w:rsid w:val="001850B4"/>
    <w:rsid w:val="00190392"/>
    <w:rsid w:val="0019080C"/>
    <w:rsid w:val="00192A3D"/>
    <w:rsid w:val="00194A0D"/>
    <w:rsid w:val="001A4525"/>
    <w:rsid w:val="001B2781"/>
    <w:rsid w:val="001B2A68"/>
    <w:rsid w:val="001D54AE"/>
    <w:rsid w:val="001D6D36"/>
    <w:rsid w:val="001D6FF3"/>
    <w:rsid w:val="001D75B0"/>
    <w:rsid w:val="001E47B4"/>
    <w:rsid w:val="001F20C3"/>
    <w:rsid w:val="001F3149"/>
    <w:rsid w:val="001F3169"/>
    <w:rsid w:val="001F6192"/>
    <w:rsid w:val="00202975"/>
    <w:rsid w:val="00202E5C"/>
    <w:rsid w:val="00205DBE"/>
    <w:rsid w:val="0021384B"/>
    <w:rsid w:val="00214011"/>
    <w:rsid w:val="0023014A"/>
    <w:rsid w:val="00241C75"/>
    <w:rsid w:val="00244EEE"/>
    <w:rsid w:val="002450DA"/>
    <w:rsid w:val="00252709"/>
    <w:rsid w:val="002533F0"/>
    <w:rsid w:val="002545AB"/>
    <w:rsid w:val="0025534A"/>
    <w:rsid w:val="00266688"/>
    <w:rsid w:val="00274039"/>
    <w:rsid w:val="00274AEF"/>
    <w:rsid w:val="002756F3"/>
    <w:rsid w:val="0028208F"/>
    <w:rsid w:val="00282A46"/>
    <w:rsid w:val="002841C5"/>
    <w:rsid w:val="00292AAB"/>
    <w:rsid w:val="002958C4"/>
    <w:rsid w:val="002A4276"/>
    <w:rsid w:val="002A7829"/>
    <w:rsid w:val="002B03C2"/>
    <w:rsid w:val="002B5FAD"/>
    <w:rsid w:val="002B621B"/>
    <w:rsid w:val="002C2A81"/>
    <w:rsid w:val="002C4986"/>
    <w:rsid w:val="002C6A00"/>
    <w:rsid w:val="002C769D"/>
    <w:rsid w:val="002D4156"/>
    <w:rsid w:val="002D7B33"/>
    <w:rsid w:val="002E23E2"/>
    <w:rsid w:val="002E6E0C"/>
    <w:rsid w:val="002F0DF6"/>
    <w:rsid w:val="002F1725"/>
    <w:rsid w:val="002F61D0"/>
    <w:rsid w:val="0030359D"/>
    <w:rsid w:val="00310DD5"/>
    <w:rsid w:val="00315AB8"/>
    <w:rsid w:val="0032006D"/>
    <w:rsid w:val="003215C7"/>
    <w:rsid w:val="00330F14"/>
    <w:rsid w:val="003319D2"/>
    <w:rsid w:val="00332317"/>
    <w:rsid w:val="0033295B"/>
    <w:rsid w:val="0033684C"/>
    <w:rsid w:val="00340E0D"/>
    <w:rsid w:val="003412BC"/>
    <w:rsid w:val="00341A80"/>
    <w:rsid w:val="0034403B"/>
    <w:rsid w:val="00345AD1"/>
    <w:rsid w:val="0034609C"/>
    <w:rsid w:val="00357D51"/>
    <w:rsid w:val="0036373A"/>
    <w:rsid w:val="00371258"/>
    <w:rsid w:val="003749B1"/>
    <w:rsid w:val="00374C3F"/>
    <w:rsid w:val="00374EF9"/>
    <w:rsid w:val="00375992"/>
    <w:rsid w:val="00381309"/>
    <w:rsid w:val="00383FAE"/>
    <w:rsid w:val="0038439E"/>
    <w:rsid w:val="003861B5"/>
    <w:rsid w:val="003952ED"/>
    <w:rsid w:val="0039589D"/>
    <w:rsid w:val="00397739"/>
    <w:rsid w:val="003A28E5"/>
    <w:rsid w:val="003A6F68"/>
    <w:rsid w:val="003B121D"/>
    <w:rsid w:val="003B1487"/>
    <w:rsid w:val="003B1C62"/>
    <w:rsid w:val="003B2808"/>
    <w:rsid w:val="003B35B1"/>
    <w:rsid w:val="003B62FE"/>
    <w:rsid w:val="003C0F15"/>
    <w:rsid w:val="003C493F"/>
    <w:rsid w:val="003C6D5B"/>
    <w:rsid w:val="003D18E2"/>
    <w:rsid w:val="003D2933"/>
    <w:rsid w:val="003E0FDA"/>
    <w:rsid w:val="003E2FB5"/>
    <w:rsid w:val="003E514D"/>
    <w:rsid w:val="00400743"/>
    <w:rsid w:val="0040294F"/>
    <w:rsid w:val="00403015"/>
    <w:rsid w:val="004033BF"/>
    <w:rsid w:val="004044C1"/>
    <w:rsid w:val="004046AC"/>
    <w:rsid w:val="0040543F"/>
    <w:rsid w:val="00405844"/>
    <w:rsid w:val="00410018"/>
    <w:rsid w:val="004171B5"/>
    <w:rsid w:val="0042447A"/>
    <w:rsid w:val="004258E1"/>
    <w:rsid w:val="00426ABF"/>
    <w:rsid w:val="00433812"/>
    <w:rsid w:val="00436CD6"/>
    <w:rsid w:val="00440FF9"/>
    <w:rsid w:val="00445620"/>
    <w:rsid w:val="00451CB0"/>
    <w:rsid w:val="0045285F"/>
    <w:rsid w:val="0045600E"/>
    <w:rsid w:val="00462163"/>
    <w:rsid w:val="00463F3A"/>
    <w:rsid w:val="004650C3"/>
    <w:rsid w:val="00467B47"/>
    <w:rsid w:val="00475F07"/>
    <w:rsid w:val="00483866"/>
    <w:rsid w:val="004947D1"/>
    <w:rsid w:val="00494BAC"/>
    <w:rsid w:val="0049591D"/>
    <w:rsid w:val="00495DA8"/>
    <w:rsid w:val="00497F76"/>
    <w:rsid w:val="004A264E"/>
    <w:rsid w:val="004A29A2"/>
    <w:rsid w:val="004B2104"/>
    <w:rsid w:val="004B22F3"/>
    <w:rsid w:val="004C0B58"/>
    <w:rsid w:val="004C24C6"/>
    <w:rsid w:val="004C33F0"/>
    <w:rsid w:val="004C6B22"/>
    <w:rsid w:val="004D111F"/>
    <w:rsid w:val="004D3053"/>
    <w:rsid w:val="004E2431"/>
    <w:rsid w:val="004E3470"/>
    <w:rsid w:val="004E36F6"/>
    <w:rsid w:val="004E7102"/>
    <w:rsid w:val="004E7C5C"/>
    <w:rsid w:val="004F15FA"/>
    <w:rsid w:val="004F1A31"/>
    <w:rsid w:val="004F3284"/>
    <w:rsid w:val="004F4518"/>
    <w:rsid w:val="00501D43"/>
    <w:rsid w:val="00502485"/>
    <w:rsid w:val="00503E04"/>
    <w:rsid w:val="00505D71"/>
    <w:rsid w:val="00506C55"/>
    <w:rsid w:val="005103EE"/>
    <w:rsid w:val="005117BB"/>
    <w:rsid w:val="00512B40"/>
    <w:rsid w:val="00513BA0"/>
    <w:rsid w:val="00517108"/>
    <w:rsid w:val="00523F90"/>
    <w:rsid w:val="00524C21"/>
    <w:rsid w:val="00533528"/>
    <w:rsid w:val="005425FD"/>
    <w:rsid w:val="0054474D"/>
    <w:rsid w:val="00546C2E"/>
    <w:rsid w:val="00546CDC"/>
    <w:rsid w:val="00551512"/>
    <w:rsid w:val="00587007"/>
    <w:rsid w:val="00587A9D"/>
    <w:rsid w:val="00590D2C"/>
    <w:rsid w:val="00592A13"/>
    <w:rsid w:val="00593E35"/>
    <w:rsid w:val="00595411"/>
    <w:rsid w:val="00596451"/>
    <w:rsid w:val="005B3334"/>
    <w:rsid w:val="005B3A17"/>
    <w:rsid w:val="005B42AA"/>
    <w:rsid w:val="005B513C"/>
    <w:rsid w:val="005C390A"/>
    <w:rsid w:val="005D107E"/>
    <w:rsid w:val="005E3ED5"/>
    <w:rsid w:val="00602CBE"/>
    <w:rsid w:val="006037A3"/>
    <w:rsid w:val="0060649A"/>
    <w:rsid w:val="00607993"/>
    <w:rsid w:val="00612257"/>
    <w:rsid w:val="00615AD7"/>
    <w:rsid w:val="00616148"/>
    <w:rsid w:val="00624A88"/>
    <w:rsid w:val="006255A1"/>
    <w:rsid w:val="0062705E"/>
    <w:rsid w:val="00631685"/>
    <w:rsid w:val="00635BD6"/>
    <w:rsid w:val="00637381"/>
    <w:rsid w:val="00637D93"/>
    <w:rsid w:val="006615E0"/>
    <w:rsid w:val="00663F9B"/>
    <w:rsid w:val="00666A7E"/>
    <w:rsid w:val="00666FD1"/>
    <w:rsid w:val="00672DEF"/>
    <w:rsid w:val="00681844"/>
    <w:rsid w:val="006824E7"/>
    <w:rsid w:val="006836FC"/>
    <w:rsid w:val="00684B6F"/>
    <w:rsid w:val="006878B3"/>
    <w:rsid w:val="0069564F"/>
    <w:rsid w:val="006A2FCE"/>
    <w:rsid w:val="006A3313"/>
    <w:rsid w:val="006A4099"/>
    <w:rsid w:val="006A412C"/>
    <w:rsid w:val="006B7D36"/>
    <w:rsid w:val="006C0893"/>
    <w:rsid w:val="006C2BEE"/>
    <w:rsid w:val="006C6211"/>
    <w:rsid w:val="006D108D"/>
    <w:rsid w:val="006E05B7"/>
    <w:rsid w:val="006E34AE"/>
    <w:rsid w:val="006E4D7E"/>
    <w:rsid w:val="006E66AD"/>
    <w:rsid w:val="006E7D24"/>
    <w:rsid w:val="006F0308"/>
    <w:rsid w:val="006F04B0"/>
    <w:rsid w:val="006F413C"/>
    <w:rsid w:val="007013DD"/>
    <w:rsid w:val="007029A9"/>
    <w:rsid w:val="00715DB8"/>
    <w:rsid w:val="00717C75"/>
    <w:rsid w:val="00722A6D"/>
    <w:rsid w:val="007242D0"/>
    <w:rsid w:val="0073179E"/>
    <w:rsid w:val="00736C10"/>
    <w:rsid w:val="00743B2F"/>
    <w:rsid w:val="007454EC"/>
    <w:rsid w:val="007470A8"/>
    <w:rsid w:val="00755472"/>
    <w:rsid w:val="00774166"/>
    <w:rsid w:val="00775DA4"/>
    <w:rsid w:val="0078192C"/>
    <w:rsid w:val="007827B5"/>
    <w:rsid w:val="00786F22"/>
    <w:rsid w:val="00791818"/>
    <w:rsid w:val="007A2082"/>
    <w:rsid w:val="007A2D49"/>
    <w:rsid w:val="007A6309"/>
    <w:rsid w:val="007B16EE"/>
    <w:rsid w:val="007D2DED"/>
    <w:rsid w:val="007D66FA"/>
    <w:rsid w:val="007E1B5B"/>
    <w:rsid w:val="007E21C6"/>
    <w:rsid w:val="007E29AA"/>
    <w:rsid w:val="007E3190"/>
    <w:rsid w:val="007E3CB7"/>
    <w:rsid w:val="007E43F2"/>
    <w:rsid w:val="007E4C63"/>
    <w:rsid w:val="007E6493"/>
    <w:rsid w:val="008048B9"/>
    <w:rsid w:val="008072B1"/>
    <w:rsid w:val="008122F6"/>
    <w:rsid w:val="00813552"/>
    <w:rsid w:val="008159EE"/>
    <w:rsid w:val="00815B12"/>
    <w:rsid w:val="00815BE4"/>
    <w:rsid w:val="008205AC"/>
    <w:rsid w:val="008217E4"/>
    <w:rsid w:val="00823071"/>
    <w:rsid w:val="00823DAE"/>
    <w:rsid w:val="00827416"/>
    <w:rsid w:val="008324C6"/>
    <w:rsid w:val="008340F6"/>
    <w:rsid w:val="00835B39"/>
    <w:rsid w:val="008367D0"/>
    <w:rsid w:val="0084037F"/>
    <w:rsid w:val="00840399"/>
    <w:rsid w:val="00841BEB"/>
    <w:rsid w:val="00842AFE"/>
    <w:rsid w:val="00855AE3"/>
    <w:rsid w:val="00856E98"/>
    <w:rsid w:val="00860091"/>
    <w:rsid w:val="00872779"/>
    <w:rsid w:val="008770CF"/>
    <w:rsid w:val="00877300"/>
    <w:rsid w:val="008850A2"/>
    <w:rsid w:val="0088737E"/>
    <w:rsid w:val="00892902"/>
    <w:rsid w:val="008967E4"/>
    <w:rsid w:val="008979FD"/>
    <w:rsid w:val="00897C6D"/>
    <w:rsid w:val="008A0515"/>
    <w:rsid w:val="008A6906"/>
    <w:rsid w:val="008B0699"/>
    <w:rsid w:val="008B4B17"/>
    <w:rsid w:val="008B64FB"/>
    <w:rsid w:val="008B7763"/>
    <w:rsid w:val="008B7934"/>
    <w:rsid w:val="008C494F"/>
    <w:rsid w:val="008C68B5"/>
    <w:rsid w:val="008D7319"/>
    <w:rsid w:val="008E2FD7"/>
    <w:rsid w:val="008E45C7"/>
    <w:rsid w:val="008E46F0"/>
    <w:rsid w:val="008E4B1A"/>
    <w:rsid w:val="008E59DE"/>
    <w:rsid w:val="008E5CCA"/>
    <w:rsid w:val="008F22E5"/>
    <w:rsid w:val="008F2CC1"/>
    <w:rsid w:val="008F5354"/>
    <w:rsid w:val="008F5E6D"/>
    <w:rsid w:val="008F7AFC"/>
    <w:rsid w:val="00900E8C"/>
    <w:rsid w:val="009042A7"/>
    <w:rsid w:val="00911CB2"/>
    <w:rsid w:val="00911D94"/>
    <w:rsid w:val="0091246E"/>
    <w:rsid w:val="009137A7"/>
    <w:rsid w:val="0092566E"/>
    <w:rsid w:val="00925B42"/>
    <w:rsid w:val="00932AA0"/>
    <w:rsid w:val="00933863"/>
    <w:rsid w:val="009344C6"/>
    <w:rsid w:val="0093542C"/>
    <w:rsid w:val="00936511"/>
    <w:rsid w:val="009365AC"/>
    <w:rsid w:val="009401AC"/>
    <w:rsid w:val="00945B18"/>
    <w:rsid w:val="00960B57"/>
    <w:rsid w:val="00960FF5"/>
    <w:rsid w:val="009629F3"/>
    <w:rsid w:val="00972C87"/>
    <w:rsid w:val="00973C4D"/>
    <w:rsid w:val="009742D2"/>
    <w:rsid w:val="00974C37"/>
    <w:rsid w:val="00975FA0"/>
    <w:rsid w:val="00985890"/>
    <w:rsid w:val="009943AB"/>
    <w:rsid w:val="009973DB"/>
    <w:rsid w:val="009B0B6A"/>
    <w:rsid w:val="009B7C80"/>
    <w:rsid w:val="009C10C3"/>
    <w:rsid w:val="009C14E2"/>
    <w:rsid w:val="009D1D34"/>
    <w:rsid w:val="009D2725"/>
    <w:rsid w:val="009D3BBF"/>
    <w:rsid w:val="009D6EEE"/>
    <w:rsid w:val="009D7631"/>
    <w:rsid w:val="009E226F"/>
    <w:rsid w:val="009E7A4A"/>
    <w:rsid w:val="009F0C25"/>
    <w:rsid w:val="009F18BA"/>
    <w:rsid w:val="00A05A24"/>
    <w:rsid w:val="00A07A1B"/>
    <w:rsid w:val="00A12742"/>
    <w:rsid w:val="00A14046"/>
    <w:rsid w:val="00A15574"/>
    <w:rsid w:val="00A266EE"/>
    <w:rsid w:val="00A31EED"/>
    <w:rsid w:val="00A32E18"/>
    <w:rsid w:val="00A40015"/>
    <w:rsid w:val="00A42D1E"/>
    <w:rsid w:val="00A4561E"/>
    <w:rsid w:val="00A46F23"/>
    <w:rsid w:val="00A50448"/>
    <w:rsid w:val="00A51615"/>
    <w:rsid w:val="00A53B2B"/>
    <w:rsid w:val="00A53F8C"/>
    <w:rsid w:val="00A7186B"/>
    <w:rsid w:val="00A71FA8"/>
    <w:rsid w:val="00A73C8E"/>
    <w:rsid w:val="00A82E86"/>
    <w:rsid w:val="00A9000B"/>
    <w:rsid w:val="00A92A80"/>
    <w:rsid w:val="00A946A9"/>
    <w:rsid w:val="00A95312"/>
    <w:rsid w:val="00AA0A3E"/>
    <w:rsid w:val="00AB098D"/>
    <w:rsid w:val="00AB27F9"/>
    <w:rsid w:val="00AB6041"/>
    <w:rsid w:val="00AC17ED"/>
    <w:rsid w:val="00AC229B"/>
    <w:rsid w:val="00AC7EC8"/>
    <w:rsid w:val="00AD0B0A"/>
    <w:rsid w:val="00AD269B"/>
    <w:rsid w:val="00AD3FD7"/>
    <w:rsid w:val="00AD5F7F"/>
    <w:rsid w:val="00AD7ACB"/>
    <w:rsid w:val="00AE0C8C"/>
    <w:rsid w:val="00AF0936"/>
    <w:rsid w:val="00B0049B"/>
    <w:rsid w:val="00B00BC8"/>
    <w:rsid w:val="00B0742B"/>
    <w:rsid w:val="00B07C24"/>
    <w:rsid w:val="00B11DDC"/>
    <w:rsid w:val="00B13C89"/>
    <w:rsid w:val="00B148E4"/>
    <w:rsid w:val="00B14AD9"/>
    <w:rsid w:val="00B206C4"/>
    <w:rsid w:val="00B26E4B"/>
    <w:rsid w:val="00B27089"/>
    <w:rsid w:val="00B33C57"/>
    <w:rsid w:val="00B37AA0"/>
    <w:rsid w:val="00B42289"/>
    <w:rsid w:val="00B5560A"/>
    <w:rsid w:val="00B67D04"/>
    <w:rsid w:val="00B81C1A"/>
    <w:rsid w:val="00B842F5"/>
    <w:rsid w:val="00B8655E"/>
    <w:rsid w:val="00B90991"/>
    <w:rsid w:val="00B92EB9"/>
    <w:rsid w:val="00B9339B"/>
    <w:rsid w:val="00B94A6B"/>
    <w:rsid w:val="00B97961"/>
    <w:rsid w:val="00B97F40"/>
    <w:rsid w:val="00BA1ACC"/>
    <w:rsid w:val="00BA3BF5"/>
    <w:rsid w:val="00BA4FF9"/>
    <w:rsid w:val="00BA602C"/>
    <w:rsid w:val="00BA7A77"/>
    <w:rsid w:val="00BB25C4"/>
    <w:rsid w:val="00BB26EF"/>
    <w:rsid w:val="00BB59AA"/>
    <w:rsid w:val="00BC0280"/>
    <w:rsid w:val="00BD0563"/>
    <w:rsid w:val="00BD79E5"/>
    <w:rsid w:val="00BE15EC"/>
    <w:rsid w:val="00BF0029"/>
    <w:rsid w:val="00C00C46"/>
    <w:rsid w:val="00C02BFF"/>
    <w:rsid w:val="00C11D0C"/>
    <w:rsid w:val="00C14135"/>
    <w:rsid w:val="00C2298B"/>
    <w:rsid w:val="00C24A7A"/>
    <w:rsid w:val="00C3030A"/>
    <w:rsid w:val="00C36E87"/>
    <w:rsid w:val="00C423F4"/>
    <w:rsid w:val="00C46495"/>
    <w:rsid w:val="00C46A9A"/>
    <w:rsid w:val="00C51199"/>
    <w:rsid w:val="00C538CC"/>
    <w:rsid w:val="00C5484D"/>
    <w:rsid w:val="00C56962"/>
    <w:rsid w:val="00C61167"/>
    <w:rsid w:val="00C62ACD"/>
    <w:rsid w:val="00C633BC"/>
    <w:rsid w:val="00C6446B"/>
    <w:rsid w:val="00C64C47"/>
    <w:rsid w:val="00C72D97"/>
    <w:rsid w:val="00C81AF7"/>
    <w:rsid w:val="00C9231F"/>
    <w:rsid w:val="00C9494D"/>
    <w:rsid w:val="00C94C75"/>
    <w:rsid w:val="00CA3EAA"/>
    <w:rsid w:val="00CA54E2"/>
    <w:rsid w:val="00CA7E77"/>
    <w:rsid w:val="00CB12DE"/>
    <w:rsid w:val="00CB1CDE"/>
    <w:rsid w:val="00CB319E"/>
    <w:rsid w:val="00CC3FFC"/>
    <w:rsid w:val="00CC5F2A"/>
    <w:rsid w:val="00CC7FFE"/>
    <w:rsid w:val="00CD404B"/>
    <w:rsid w:val="00CD6F15"/>
    <w:rsid w:val="00CE3D01"/>
    <w:rsid w:val="00CE60A1"/>
    <w:rsid w:val="00CE63BE"/>
    <w:rsid w:val="00CF1056"/>
    <w:rsid w:val="00CF3B06"/>
    <w:rsid w:val="00D048A5"/>
    <w:rsid w:val="00D05CB6"/>
    <w:rsid w:val="00D0710C"/>
    <w:rsid w:val="00D13A87"/>
    <w:rsid w:val="00D27F43"/>
    <w:rsid w:val="00D32399"/>
    <w:rsid w:val="00D3277B"/>
    <w:rsid w:val="00D363DC"/>
    <w:rsid w:val="00D372FB"/>
    <w:rsid w:val="00D61846"/>
    <w:rsid w:val="00D64422"/>
    <w:rsid w:val="00D6528F"/>
    <w:rsid w:val="00D72DFB"/>
    <w:rsid w:val="00D7342F"/>
    <w:rsid w:val="00D73722"/>
    <w:rsid w:val="00D7578E"/>
    <w:rsid w:val="00D8198B"/>
    <w:rsid w:val="00D964E9"/>
    <w:rsid w:val="00DA0189"/>
    <w:rsid w:val="00DA096D"/>
    <w:rsid w:val="00DA2740"/>
    <w:rsid w:val="00DA57D3"/>
    <w:rsid w:val="00DA7E1A"/>
    <w:rsid w:val="00DB2A3D"/>
    <w:rsid w:val="00DB5915"/>
    <w:rsid w:val="00DC0961"/>
    <w:rsid w:val="00DC1F8D"/>
    <w:rsid w:val="00DC5A09"/>
    <w:rsid w:val="00DC6E83"/>
    <w:rsid w:val="00DC7AC2"/>
    <w:rsid w:val="00DD03AD"/>
    <w:rsid w:val="00DE7C28"/>
    <w:rsid w:val="00DF4831"/>
    <w:rsid w:val="00DF6D17"/>
    <w:rsid w:val="00E10583"/>
    <w:rsid w:val="00E151A0"/>
    <w:rsid w:val="00E16BB0"/>
    <w:rsid w:val="00E22203"/>
    <w:rsid w:val="00E2368A"/>
    <w:rsid w:val="00E2399E"/>
    <w:rsid w:val="00E32352"/>
    <w:rsid w:val="00E329A6"/>
    <w:rsid w:val="00E336B8"/>
    <w:rsid w:val="00E402C2"/>
    <w:rsid w:val="00E403BA"/>
    <w:rsid w:val="00E43030"/>
    <w:rsid w:val="00E45F4B"/>
    <w:rsid w:val="00E46CCA"/>
    <w:rsid w:val="00E47350"/>
    <w:rsid w:val="00E601F8"/>
    <w:rsid w:val="00E6155A"/>
    <w:rsid w:val="00E64EE0"/>
    <w:rsid w:val="00E65E59"/>
    <w:rsid w:val="00E71869"/>
    <w:rsid w:val="00E7220A"/>
    <w:rsid w:val="00E73829"/>
    <w:rsid w:val="00E763E3"/>
    <w:rsid w:val="00E8273A"/>
    <w:rsid w:val="00E841ED"/>
    <w:rsid w:val="00E8678A"/>
    <w:rsid w:val="00E944DC"/>
    <w:rsid w:val="00E974A6"/>
    <w:rsid w:val="00EA5329"/>
    <w:rsid w:val="00EA5DFA"/>
    <w:rsid w:val="00EA6181"/>
    <w:rsid w:val="00EB1522"/>
    <w:rsid w:val="00EB2C3E"/>
    <w:rsid w:val="00EC55E6"/>
    <w:rsid w:val="00ED0D64"/>
    <w:rsid w:val="00ED295F"/>
    <w:rsid w:val="00ED2C58"/>
    <w:rsid w:val="00ED4AEB"/>
    <w:rsid w:val="00ED60EC"/>
    <w:rsid w:val="00EE2EF8"/>
    <w:rsid w:val="00EE3963"/>
    <w:rsid w:val="00EE3A19"/>
    <w:rsid w:val="00EE412B"/>
    <w:rsid w:val="00EE573C"/>
    <w:rsid w:val="00EF394B"/>
    <w:rsid w:val="00EF6D72"/>
    <w:rsid w:val="00F0739D"/>
    <w:rsid w:val="00F1004B"/>
    <w:rsid w:val="00F105AC"/>
    <w:rsid w:val="00F13378"/>
    <w:rsid w:val="00F23488"/>
    <w:rsid w:val="00F2588C"/>
    <w:rsid w:val="00F26590"/>
    <w:rsid w:val="00F31E30"/>
    <w:rsid w:val="00F33038"/>
    <w:rsid w:val="00F331D0"/>
    <w:rsid w:val="00F40840"/>
    <w:rsid w:val="00F51A80"/>
    <w:rsid w:val="00F5285A"/>
    <w:rsid w:val="00F55653"/>
    <w:rsid w:val="00F557CB"/>
    <w:rsid w:val="00F56433"/>
    <w:rsid w:val="00F573B5"/>
    <w:rsid w:val="00F66106"/>
    <w:rsid w:val="00F77208"/>
    <w:rsid w:val="00F77D9C"/>
    <w:rsid w:val="00F811B1"/>
    <w:rsid w:val="00F8218D"/>
    <w:rsid w:val="00F9000D"/>
    <w:rsid w:val="00F90B6A"/>
    <w:rsid w:val="00F94F7D"/>
    <w:rsid w:val="00FA1039"/>
    <w:rsid w:val="00FA137B"/>
    <w:rsid w:val="00FA37A8"/>
    <w:rsid w:val="00FA3B05"/>
    <w:rsid w:val="00FA64BA"/>
    <w:rsid w:val="00FB1516"/>
    <w:rsid w:val="00FB48B9"/>
    <w:rsid w:val="00FB7939"/>
    <w:rsid w:val="00FC11E0"/>
    <w:rsid w:val="00FC2575"/>
    <w:rsid w:val="00FC7AA2"/>
    <w:rsid w:val="00FD0ABB"/>
    <w:rsid w:val="00FD21CA"/>
    <w:rsid w:val="00FD297F"/>
    <w:rsid w:val="00FE2A0E"/>
    <w:rsid w:val="00FE5EDF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D4C28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3C493F"/>
    <w:pPr>
      <w:spacing w:before="120" w:line="360" w:lineRule="auto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E329A6"/>
    <w:pPr>
      <w:keepNext/>
      <w:keepLines/>
      <w:spacing w:before="180" w:after="60" w:line="360" w:lineRule="auto"/>
      <w:outlineLvl w:val="0"/>
    </w:pPr>
    <w:rPr>
      <w:rFonts w:ascii="Helvetica" w:hAnsi="Helvetica" w:cs="Arial"/>
      <w:color w:val="263746"/>
      <w:sz w:val="44"/>
      <w:szCs w:val="26"/>
      <w:lang w:eastAsia="en-US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73DB"/>
    <w:pPr>
      <w:numPr>
        <w:ilvl w:val="1"/>
      </w:numPr>
      <w:spacing w:before="360"/>
      <w:outlineLvl w:val="1"/>
    </w:pPr>
    <w:rPr>
      <w:sz w:val="40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A53B2B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5560A"/>
    <w:pPr>
      <w:numPr>
        <w:ilvl w:val="0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329A6"/>
    <w:rPr>
      <w:rFonts w:ascii="Helvetica" w:hAnsi="Helvetica" w:cs="Arial"/>
      <w:color w:val="263746"/>
      <w:sz w:val="4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973DB"/>
    <w:rPr>
      <w:rFonts w:ascii="Helvetica" w:hAnsi="Helvetica" w:cs="Arial"/>
      <w:color w:val="263746"/>
      <w:sz w:val="4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53B2B"/>
    <w:rPr>
      <w:rFonts w:ascii="Helvetica" w:hAnsi="Helvetica" w:cs="Arial"/>
      <w:color w:val="263746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5560A"/>
    <w:rPr>
      <w:rFonts w:ascii="Helvetica" w:hAnsi="Helvetica" w:cs="Arial"/>
      <w:color w:val="26374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5117BB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5117BB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5117BB"/>
    <w:pPr>
      <w:tabs>
        <w:tab w:val="left" w:pos="1701"/>
        <w:tab w:val="right" w:leader="dot" w:pos="8789"/>
      </w:tabs>
      <w:ind w:left="992"/>
    </w:p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5117BB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17BB"/>
    <w:rPr>
      <w:rFonts w:ascii="Arial" w:hAnsi="Arial" w:cs="Arial"/>
      <w:sz w:val="18"/>
      <w:szCs w:val="24"/>
      <w:lang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105CEF"/>
    <w:pPr>
      <w:tabs>
        <w:tab w:val="left" w:pos="1985"/>
        <w:tab w:val="right" w:leader="dot" w:pos="962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aliases w:val="List Paragraph1,List Paragraph11,Recommendation,Brief List Paragraph 1,DDM Gen Text"/>
    <w:basedOn w:val="Normal"/>
    <w:link w:val="ListParagraphChar"/>
    <w:uiPriority w:val="34"/>
    <w:qFormat/>
    <w:rsid w:val="00E329A6"/>
    <w:pPr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6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="Arial" w:hAnsi="Arial" w:cs="Arial"/>
      <w:b w:val="0"/>
      <w:color w:val="548DD4" w:themeColor="text2" w:themeTint="99"/>
      <w:sz w:val="28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0D29E1"/>
    <w:pPr>
      <w:ind w:left="720"/>
    </w:pPr>
    <w:rPr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="Arial" w:hAnsi="Arial" w:cs="Arial"/>
      <w:b w:val="0"/>
      <w:color w:val="548DD4" w:themeColor="text2" w:themeTint="99"/>
      <w:sz w:val="56"/>
      <w:szCs w:val="26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5117BB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0D29E1"/>
    <w:rPr>
      <w:rFonts w:ascii="Helvetica" w:hAnsi="Helvetica" w:cs="Arial"/>
      <w:b w:val="0"/>
      <w:color w:val="0194A6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5117BB"/>
    <w:rPr>
      <w:rFonts w:ascii="Arial" w:hAnsi="Arial" w:cs="Arial"/>
      <w:sz w:val="22"/>
      <w:szCs w:val="24"/>
      <w:lang w:eastAsia="en-US"/>
    </w:rPr>
  </w:style>
  <w:style w:type="paragraph" w:customStyle="1" w:styleId="CoverReportTitle">
    <w:name w:val="Cover Report Title"/>
    <w:autoRedefine/>
    <w:rsid w:val="0092566E"/>
    <w:pPr>
      <w:framePr w:w="4820" w:wrap="around" w:vAnchor="page" w:hAnchor="text" w:x="5388" w:y="795"/>
      <w:spacing w:before="4440" w:after="2400" w:line="480" w:lineRule="auto"/>
    </w:pPr>
    <w:rPr>
      <w:rFonts w:ascii="Arial" w:eastAsiaTheme="minorHAnsi" w:hAnsi="Arial"/>
      <w:color w:val="FFFFFF" w:themeColor="background1"/>
      <w:sz w:val="60"/>
      <w:szCs w:val="22"/>
      <w:lang w:eastAsia="en-US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546CDC"/>
    <w:pPr>
      <w:framePr w:w="0" w:wrap="auto" w:vAnchor="margin" w:xAlign="left" w:yAlign="inline"/>
      <w:spacing w:before="113" w:after="57" w:line="400" w:lineRule="exact"/>
    </w:pPr>
    <w:rPr>
      <w:rFonts w:ascii="Helvetica" w:hAnsi="Helvetica"/>
      <w:color w:val="auto"/>
      <w:sz w:val="36"/>
    </w:rPr>
  </w:style>
  <w:style w:type="paragraph" w:customStyle="1" w:styleId="Bullet">
    <w:name w:val="Bullet"/>
    <w:basedOn w:val="Normal"/>
    <w:autoRedefine/>
    <w:qFormat/>
    <w:rsid w:val="00CB1CDE"/>
    <w:pPr>
      <w:numPr>
        <w:numId w:val="23"/>
      </w:numPr>
      <w:spacing w:after="240" w:line="240" w:lineRule="auto"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6F413C"/>
    <w:pPr>
      <w:pBdr>
        <w:top w:val="single" w:sz="36" w:space="3" w:color="263746"/>
        <w:left w:val="single" w:sz="36" w:space="8" w:color="263746"/>
        <w:bottom w:val="single" w:sz="36" w:space="6" w:color="263746"/>
        <w:right w:val="single" w:sz="36" w:space="8" w:color="263746"/>
      </w:pBdr>
      <w:spacing w:before="0"/>
      <w:ind w:left="288" w:right="288"/>
      <w:contextualSpacing/>
    </w:pPr>
    <w:rPr>
      <w:rFonts w:eastAsiaTheme="minorHAnsi" w:cs="Times New Roman"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rsid w:val="00A46F23"/>
    <w:pPr>
      <w:pBdr>
        <w:top w:val="single" w:sz="48" w:space="1" w:color="BFBFBF" w:themeColor="background1" w:themeShade="BF"/>
      </w:pBdr>
      <w:shd w:val="clear" w:color="auto" w:fill="FFFFFF" w:themeFill="background1"/>
      <w:contextualSpacing/>
      <w:jc w:val="center"/>
      <w:textboxTightWrap w:val="allLines"/>
    </w:pPr>
    <w:rPr>
      <w:rFonts w:eastAsiaTheme="minorHAnsi" w:cs="Times New Roman"/>
      <w:color w:val="0194A6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CF3B06"/>
    <w:pPr>
      <w:keepNext/>
      <w:keepLines/>
      <w:widowControl w:val="0"/>
      <w:spacing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CF3B06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line="560" w:lineRule="exac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A46F23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 w:cs="Times New Roman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3B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B06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6F413C"/>
    <w:pPr>
      <w:contextualSpacing w:val="0"/>
    </w:pPr>
    <w:rPr>
      <w:b/>
      <w:sz w:val="24"/>
      <w:lang w:eastAsia="en-AU"/>
    </w:rPr>
  </w:style>
  <w:style w:type="character" w:customStyle="1" w:styleId="CalloutboxChar">
    <w:name w:val="Callout box Char"/>
    <w:basedOn w:val="DefaultParagraphFont"/>
    <w:link w:val="Calloutbox"/>
    <w:rsid w:val="006F413C"/>
    <w:rPr>
      <w:rFonts w:ascii="Arial" w:eastAsiaTheme="minorHAnsi" w:hAnsi="Arial"/>
      <w:sz w:val="22"/>
      <w:szCs w:val="22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6F413C"/>
    <w:rPr>
      <w:rFonts w:ascii="Arial" w:eastAsiaTheme="minorHAnsi" w:hAnsi="Arial"/>
      <w:b/>
      <w:sz w:val="24"/>
      <w:szCs w:val="22"/>
      <w:lang w:eastAsia="en-US"/>
    </w:rPr>
  </w:style>
  <w:style w:type="paragraph" w:customStyle="1" w:styleId="Calloutbox1">
    <w:name w:val="Callout box1"/>
    <w:basedOn w:val="Normal"/>
    <w:next w:val="Normal"/>
    <w:autoRedefine/>
    <w:qFormat/>
    <w:rsid w:val="005117BB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 w:cs="Times New Roman"/>
      <w:color w:val="FFFFFF" w:themeColor="background1"/>
      <w:szCs w:val="22"/>
    </w:rPr>
  </w:style>
  <w:style w:type="paragraph" w:customStyle="1" w:styleId="GlanceYellowHeading1">
    <w:name w:val="Glance Yellow Heading1"/>
    <w:basedOn w:val="Normal"/>
    <w:next w:val="GlanceHeading"/>
    <w:autoRedefine/>
    <w:rsid w:val="00CF3B06"/>
    <w:pPr>
      <w:pBdr>
        <w:top w:val="single" w:sz="48" w:space="1" w:color="BFBFBF" w:themeColor="background1" w:themeShade="BF"/>
      </w:pBdr>
      <w:shd w:val="clear" w:color="auto" w:fill="E5E5E5"/>
      <w:contextualSpacing/>
      <w:jc w:val="center"/>
      <w:textboxTightWrap w:val="allLines"/>
    </w:pPr>
    <w:rPr>
      <w:rFonts w:eastAsiaTheme="minorHAnsi" w:cs="Times New Roman"/>
      <w:color w:val="10C9DE"/>
      <w:spacing w:val="-10"/>
      <w:sz w:val="56"/>
      <w:szCs w:val="22"/>
    </w:rPr>
  </w:style>
  <w:style w:type="paragraph" w:customStyle="1" w:styleId="StyleCentered">
    <w:name w:val="Style Centered"/>
    <w:basedOn w:val="Normal"/>
    <w:rsid w:val="005117BB"/>
    <w:pPr>
      <w:jc w:val="center"/>
    </w:pPr>
    <w:rPr>
      <w:rFonts w:cs="Times New Roman"/>
      <w:szCs w:val="20"/>
    </w:rPr>
  </w:style>
  <w:style w:type="paragraph" w:customStyle="1" w:styleId="Coverheading">
    <w:name w:val="Cover heading"/>
    <w:basedOn w:val="Normal"/>
    <w:link w:val="CoverheadingChar"/>
    <w:qFormat/>
    <w:rsid w:val="009D1D34"/>
    <w:pPr>
      <w:spacing w:before="4440" w:after="2400" w:line="480" w:lineRule="auto"/>
    </w:pPr>
    <w:rPr>
      <w:rFonts w:ascii="Helvetica" w:eastAsiaTheme="minorHAnsi" w:hAnsi="Helvetica" w:cs="Times New Roman"/>
      <w:color w:val="263746"/>
      <w:sz w:val="60"/>
      <w:szCs w:val="22"/>
    </w:rPr>
  </w:style>
  <w:style w:type="character" w:customStyle="1" w:styleId="CoverheadingChar">
    <w:name w:val="Cover heading Char"/>
    <w:basedOn w:val="DefaultParagraphFont"/>
    <w:link w:val="Coverheading"/>
    <w:rsid w:val="009D1D34"/>
    <w:rPr>
      <w:rFonts w:ascii="Helvetica" w:eastAsiaTheme="minorHAnsi" w:hAnsi="Helvetica"/>
      <w:color w:val="263746"/>
      <w:sz w:val="60"/>
      <w:szCs w:val="22"/>
      <w:lang w:eastAsia="en-US"/>
    </w:rPr>
  </w:style>
  <w:style w:type="paragraph" w:customStyle="1" w:styleId="CalloutItalic">
    <w:name w:val="Callout Italic"/>
    <w:basedOn w:val="Calloutbox"/>
    <w:link w:val="CalloutItalicChar"/>
    <w:qFormat/>
    <w:rsid w:val="00D72DFB"/>
    <w:pPr>
      <w:contextualSpacing w:val="0"/>
    </w:pPr>
    <w:rPr>
      <w:i/>
    </w:rPr>
  </w:style>
  <w:style w:type="paragraph" w:customStyle="1" w:styleId="Calloutbullet">
    <w:name w:val="Callout bullet"/>
    <w:basedOn w:val="Calloutbox"/>
    <w:qFormat/>
    <w:rsid w:val="00D72DFB"/>
    <w:pPr>
      <w:numPr>
        <w:numId w:val="43"/>
      </w:numPr>
      <w:ind w:left="1080"/>
    </w:pPr>
  </w:style>
  <w:style w:type="character" w:customStyle="1" w:styleId="CalloutItalicChar">
    <w:name w:val="Callout Italic Char"/>
    <w:basedOn w:val="CalloutboxChar"/>
    <w:link w:val="CalloutItalic"/>
    <w:rsid w:val="00D72DFB"/>
    <w:rPr>
      <w:rFonts w:ascii="Arial" w:eastAsiaTheme="minorHAnsi" w:hAnsi="Arial"/>
      <w:i/>
      <w:sz w:val="22"/>
      <w:szCs w:val="22"/>
      <w:shd w:val="clear" w:color="auto" w:fill="DDDDDD"/>
      <w:lang w:eastAsia="en-US"/>
    </w:rPr>
  </w:style>
  <w:style w:type="paragraph" w:styleId="Revision">
    <w:name w:val="Revision"/>
    <w:hidden/>
    <w:uiPriority w:val="99"/>
    <w:semiHidden/>
    <w:rsid w:val="000F2C32"/>
    <w:rPr>
      <w:rFonts w:ascii="Arial" w:hAnsi="Arial" w:cs="Arial"/>
      <w:sz w:val="22"/>
      <w:szCs w:val="24"/>
      <w:lang w:eastAsia="en-US"/>
    </w:rPr>
  </w:style>
  <w:style w:type="paragraph" w:customStyle="1" w:styleId="CalloutBullet0">
    <w:name w:val="Callout Bullet"/>
    <w:basedOn w:val="CalloutItalic"/>
    <w:link w:val="CalloutBulletChar"/>
    <w:qFormat/>
    <w:rsid w:val="000B2B8E"/>
    <w:pPr>
      <w:numPr>
        <w:numId w:val="44"/>
      </w:numPr>
      <w:ind w:left="709" w:hanging="425"/>
    </w:pPr>
    <w:rPr>
      <w:i w:val="0"/>
    </w:rPr>
  </w:style>
  <w:style w:type="character" w:customStyle="1" w:styleId="CalloutBulletChar">
    <w:name w:val="Callout Bullet Char"/>
    <w:basedOn w:val="CalloutItalicChar"/>
    <w:link w:val="CalloutBullet0"/>
    <w:rsid w:val="000B2B8E"/>
    <w:rPr>
      <w:rFonts w:ascii="Arial" w:eastAsiaTheme="minorHAnsi" w:hAnsi="Arial"/>
      <w:i w:val="0"/>
      <w:sz w:val="22"/>
      <w:szCs w:val="22"/>
      <w:shd w:val="clear" w:color="auto" w:fill="DDDDDD"/>
      <w:lang w:eastAsia="en-US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"/>
    <w:basedOn w:val="DefaultParagraphFont"/>
    <w:link w:val="ListParagraph"/>
    <w:uiPriority w:val="34"/>
    <w:locked/>
    <w:rsid w:val="00E329A6"/>
    <w:rPr>
      <w:rFonts w:ascii="Arial" w:hAnsi="Arial" w:cs="Arial"/>
      <w:sz w:val="22"/>
      <w:szCs w:val="24"/>
      <w:lang w:eastAsia="en-US"/>
    </w:rPr>
  </w:style>
  <w:style w:type="paragraph" w:customStyle="1" w:styleId="Footnotes">
    <w:name w:val="Footnotes"/>
    <w:basedOn w:val="FootnoteText"/>
    <w:qFormat/>
    <w:rsid w:val="00E329A6"/>
    <w:pPr>
      <w:spacing w:line="240" w:lineRule="auto"/>
    </w:pPr>
    <w:rPr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steven.ronson@fwo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dia@fwo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EF0B-D334-4C4E-826F-A36CFDDA27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EDFF7C-6975-48AF-B8F1-8A656A0E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FEDD236.dotm</Template>
  <TotalTime>0</TotalTime>
  <Pages>12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Regional Campaigns Report</vt:lpstr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Regional Campaigns Report</dc:title>
  <dc:creator/>
  <cp:lastModifiedBy/>
  <cp:revision>1</cp:revision>
  <dcterms:created xsi:type="dcterms:W3CDTF">2019-05-23T05:45:00Z</dcterms:created>
  <dcterms:modified xsi:type="dcterms:W3CDTF">2019-05-23T05:48:00Z</dcterms:modified>
</cp:coreProperties>
</file>