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A5" w:rsidRPr="00031342" w:rsidRDefault="00692DA5" w:rsidP="00692DA5">
      <w:pPr>
        <w:pStyle w:val="Heading1"/>
        <w:spacing w:before="2880"/>
        <w:rPr>
          <w:rFonts w:ascii="Myriad Pro" w:hAnsi="Myriad Pro"/>
          <w:b w:val="0"/>
          <w:color w:val="FFFFFF" w:themeColor="background1"/>
          <w:sz w:val="72"/>
          <w:szCs w:val="72"/>
        </w:rPr>
      </w:pPr>
      <w:r w:rsidRPr="00031342">
        <w:rPr>
          <w:rFonts w:ascii="Myriad Pro" w:hAnsi="Myriad Pro"/>
          <w:b w:val="0"/>
          <w:color w:val="FFFFFF" w:themeColor="background1"/>
          <w:sz w:val="72"/>
          <w:szCs w:val="72"/>
        </w:rPr>
        <w:t xml:space="preserve">Regulator Performance Framework </w:t>
      </w:r>
      <w:proofErr w:type="spellStart"/>
      <w:r w:rsidRPr="00031342">
        <w:rPr>
          <w:rFonts w:ascii="Myriad Pro" w:hAnsi="Myriad Pro"/>
          <w:b w:val="0"/>
          <w:color w:val="FFFFFF" w:themeColor="background1"/>
          <w:sz w:val="72"/>
          <w:szCs w:val="72"/>
        </w:rPr>
        <w:t>KPIs</w:t>
      </w:r>
      <w:bookmarkStart w:id="0" w:name="_GoBack"/>
      <w:bookmarkEnd w:id="0"/>
      <w:proofErr w:type="spellEnd"/>
    </w:p>
    <w:p w:rsidR="00692DA5" w:rsidRDefault="00692DA5">
      <w:r>
        <w:br w:type="page"/>
      </w:r>
    </w:p>
    <w:tbl>
      <w:tblPr>
        <w:tblStyle w:val="TableGrid"/>
        <w:tblpPr w:leftFromText="180" w:rightFromText="180" w:vertAnchor="text" w:horzAnchor="margin" w:tblpY="-257"/>
        <w:tblW w:w="13620" w:type="dxa"/>
        <w:tblLook w:val="04A0" w:firstRow="1" w:lastRow="0" w:firstColumn="1" w:lastColumn="0" w:noHBand="0" w:noVBand="1"/>
      </w:tblPr>
      <w:tblGrid>
        <w:gridCol w:w="6094"/>
        <w:gridCol w:w="7526"/>
      </w:tblGrid>
      <w:tr w:rsidR="0049630C" w:rsidRPr="00605773" w:rsidTr="00010DFD">
        <w:trPr>
          <w:trHeight w:val="603"/>
          <w:tblHeader/>
        </w:trPr>
        <w:tc>
          <w:tcPr>
            <w:tcW w:w="13620" w:type="dxa"/>
            <w:gridSpan w:val="2"/>
            <w:shd w:val="clear" w:color="auto" w:fill="000000" w:themeFill="text1"/>
          </w:tcPr>
          <w:p w:rsidR="0049630C" w:rsidRPr="00DE7D93" w:rsidRDefault="0049630C" w:rsidP="00270452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DE7D93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KPI</w:t>
            </w:r>
            <w:proofErr w:type="spellEnd"/>
            <w:r w:rsidRPr="00DE7D9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1 – Regulators do not unnecessarily impede the efficient operation of regulated entities</w:t>
            </w:r>
          </w:p>
        </w:tc>
      </w:tr>
      <w:tr w:rsidR="00ED0A71" w:rsidRPr="00605773" w:rsidTr="00ED0A71">
        <w:trPr>
          <w:trHeight w:val="431"/>
        </w:trPr>
        <w:tc>
          <w:tcPr>
            <w:tcW w:w="6094" w:type="dxa"/>
            <w:shd w:val="clear" w:color="auto" w:fill="30C1D8"/>
            <w:vAlign w:val="center"/>
          </w:tcPr>
          <w:p w:rsidR="00ED0A71" w:rsidRPr="00DE7D93" w:rsidRDefault="00ED0A71" w:rsidP="0027045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E7D93">
              <w:rPr>
                <w:rFonts w:asciiTheme="minorHAnsi" w:hAnsiTheme="minorHAnsi" w:cstheme="minorHAnsi"/>
                <w:b/>
              </w:rPr>
              <w:t>Measure</w:t>
            </w:r>
          </w:p>
        </w:tc>
        <w:tc>
          <w:tcPr>
            <w:tcW w:w="7526" w:type="dxa"/>
            <w:shd w:val="clear" w:color="auto" w:fill="30C1D8"/>
            <w:vAlign w:val="center"/>
          </w:tcPr>
          <w:p w:rsidR="00ED0A71" w:rsidRPr="00DE7D93" w:rsidRDefault="00ED0A71" w:rsidP="00270452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E7D93">
              <w:rPr>
                <w:rFonts w:asciiTheme="minorHAnsi" w:hAnsiTheme="minorHAnsi" w:cstheme="minorHAnsi"/>
                <w:b/>
              </w:rPr>
              <w:t>Output/Activity-Based Evidence</w:t>
            </w:r>
          </w:p>
        </w:tc>
      </w:tr>
      <w:tr w:rsidR="000B7ADF" w:rsidRPr="00605773" w:rsidTr="00ED0A71">
        <w:trPr>
          <w:trHeight w:val="2383"/>
        </w:trPr>
        <w:tc>
          <w:tcPr>
            <w:tcW w:w="6094" w:type="dxa"/>
          </w:tcPr>
          <w:p w:rsidR="000B7ADF" w:rsidRPr="00605773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605773">
              <w:rPr>
                <w:rFonts w:asciiTheme="minorHAnsi" w:hAnsiTheme="minorHAnsi" w:cstheme="minorHAnsi"/>
              </w:rPr>
              <w:t>1.1 The FWO uses appropriate methods to manage requests for assistance to reduce the burden on regulated entities.</w:t>
            </w:r>
          </w:p>
        </w:tc>
        <w:tc>
          <w:tcPr>
            <w:tcW w:w="7526" w:type="dxa"/>
          </w:tcPr>
          <w:p w:rsidR="000B7ADF" w:rsidRPr="00605773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605773">
              <w:rPr>
                <w:rFonts w:asciiTheme="minorHAnsi" w:hAnsiTheme="minorHAnsi" w:cstheme="minorHAnsi"/>
              </w:rPr>
              <w:t>Provide a summary of the methods FWO uses to resolve matters including an outline of the proactive approaches FWO takes to avoid a workplace dispute turning into a formal complaint.</w:t>
            </w:r>
          </w:p>
          <w:p w:rsidR="000B7ADF" w:rsidRPr="00605773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7ADF" w:rsidRPr="0051776C" w:rsidTr="00ED0A71">
        <w:trPr>
          <w:trHeight w:val="2383"/>
        </w:trPr>
        <w:tc>
          <w:tcPr>
            <w:tcW w:w="6094" w:type="dxa"/>
          </w:tcPr>
          <w:p w:rsidR="000B7ADF" w:rsidRPr="00605773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605773">
              <w:rPr>
                <w:rFonts w:asciiTheme="minorHAnsi" w:hAnsiTheme="minorHAnsi" w:cstheme="minorHAnsi"/>
              </w:rPr>
              <w:t>1.2 The FWO engages with regulated entities and peak bodies to understand and inform the design and execution of our work.</w:t>
            </w:r>
            <w:r w:rsidRPr="00605773" w:rsidDel="008D40B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526" w:type="dxa"/>
          </w:tcPr>
          <w:p w:rsidR="000B7ADF" w:rsidRPr="00605773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605773">
              <w:rPr>
                <w:rFonts w:asciiTheme="minorHAnsi" w:hAnsiTheme="minorHAnsi" w:cstheme="minorHAnsi"/>
              </w:rPr>
              <w:t xml:space="preserve">Provide a summary of </w:t>
            </w:r>
            <w:proofErr w:type="spellStart"/>
            <w:r w:rsidRPr="00605773">
              <w:rPr>
                <w:rFonts w:asciiTheme="minorHAnsi" w:hAnsiTheme="minorHAnsi" w:cstheme="minorHAnsi"/>
              </w:rPr>
              <w:t>FWO’s</w:t>
            </w:r>
            <w:proofErr w:type="spellEnd"/>
            <w:r w:rsidRPr="00605773">
              <w:rPr>
                <w:rFonts w:asciiTheme="minorHAnsi" w:hAnsiTheme="minorHAnsi" w:cstheme="minorHAnsi"/>
              </w:rPr>
              <w:t xml:space="preserve"> interactions with key stakeholders, focusing on how FWO has refined processes and systems as a result of these engagements.</w:t>
            </w:r>
          </w:p>
          <w:p w:rsidR="000B7ADF" w:rsidRPr="00605773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605773">
              <w:rPr>
                <w:rFonts w:asciiTheme="minorHAnsi" w:hAnsiTheme="minorHAnsi" w:cstheme="minorHAnsi"/>
              </w:rPr>
              <w:t>Provide details of the mechanisms for regulated entities to provide feedback, including analysis of trends and how FWO has responded.</w:t>
            </w:r>
          </w:p>
        </w:tc>
      </w:tr>
    </w:tbl>
    <w:p w:rsidR="0049630C" w:rsidRDefault="0049630C" w:rsidP="0049630C">
      <w:pPr>
        <w:rPr>
          <w:rFonts w:asciiTheme="minorHAnsi" w:hAnsiTheme="minorHAnsi" w:cstheme="minorHAnsi"/>
          <w:b/>
        </w:rPr>
      </w:pPr>
    </w:p>
    <w:p w:rsidR="0049630C" w:rsidRDefault="0049630C" w:rsidP="004963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49630C" w:rsidRDefault="0049630C" w:rsidP="0049630C">
      <w:pPr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-257"/>
        <w:tblW w:w="13601" w:type="dxa"/>
        <w:tblLook w:val="04A0" w:firstRow="1" w:lastRow="0" w:firstColumn="1" w:lastColumn="0" w:noHBand="0" w:noVBand="1"/>
      </w:tblPr>
      <w:tblGrid>
        <w:gridCol w:w="6085"/>
        <w:gridCol w:w="7516"/>
      </w:tblGrid>
      <w:tr w:rsidR="0049630C" w:rsidRPr="00DE7D93" w:rsidTr="00010DFD">
        <w:trPr>
          <w:trHeight w:val="629"/>
          <w:tblHeader/>
        </w:trPr>
        <w:tc>
          <w:tcPr>
            <w:tcW w:w="13601" w:type="dxa"/>
            <w:gridSpan w:val="2"/>
            <w:shd w:val="clear" w:color="auto" w:fill="000000" w:themeFill="text1"/>
          </w:tcPr>
          <w:p w:rsidR="0049630C" w:rsidRPr="00DE7D93" w:rsidRDefault="0049630C" w:rsidP="00270452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DE7D93">
              <w:rPr>
                <w:rFonts w:asciiTheme="minorHAnsi" w:hAnsiTheme="minorHAnsi" w:cstheme="minorHAnsi"/>
                <w:b/>
                <w:color w:val="FFFFFF" w:themeColor="background1"/>
              </w:rPr>
              <w:t>KPI</w:t>
            </w:r>
            <w:proofErr w:type="spellEnd"/>
            <w:r w:rsidRPr="00DE7D9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2 – Communication with regulated entities is clear, targeted and effective</w:t>
            </w:r>
          </w:p>
        </w:tc>
      </w:tr>
      <w:tr w:rsidR="00ED0A71" w:rsidRPr="0051776C" w:rsidTr="00ED0A71">
        <w:trPr>
          <w:trHeight w:val="539"/>
        </w:trPr>
        <w:tc>
          <w:tcPr>
            <w:tcW w:w="6085" w:type="dxa"/>
            <w:shd w:val="clear" w:color="auto" w:fill="30C1D8"/>
            <w:vAlign w:val="center"/>
          </w:tcPr>
          <w:p w:rsidR="00ED0A71" w:rsidRPr="00DE7D93" w:rsidRDefault="00ED0A71" w:rsidP="00270452">
            <w:pPr>
              <w:spacing w:before="40" w:after="40"/>
              <w:rPr>
                <w:rFonts w:asciiTheme="minorHAnsi" w:hAnsiTheme="minorHAnsi" w:cstheme="minorHAnsi"/>
              </w:rPr>
            </w:pPr>
            <w:r w:rsidRPr="00DE7D93">
              <w:rPr>
                <w:rFonts w:asciiTheme="minorHAnsi" w:hAnsiTheme="minorHAnsi" w:cstheme="minorHAnsi"/>
                <w:b/>
              </w:rPr>
              <w:t>Measure</w:t>
            </w:r>
          </w:p>
        </w:tc>
        <w:tc>
          <w:tcPr>
            <w:tcW w:w="7516" w:type="dxa"/>
            <w:shd w:val="clear" w:color="auto" w:fill="30C1D8"/>
            <w:vAlign w:val="center"/>
          </w:tcPr>
          <w:p w:rsidR="00ED0A71" w:rsidRPr="00DE7D93" w:rsidRDefault="00ED0A71" w:rsidP="00270452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E7D93">
              <w:rPr>
                <w:rFonts w:asciiTheme="minorHAnsi" w:hAnsiTheme="minorHAnsi" w:cstheme="minorHAnsi"/>
                <w:b/>
              </w:rPr>
              <w:t>Output/Activity-Based Evidence</w:t>
            </w:r>
          </w:p>
        </w:tc>
      </w:tr>
      <w:tr w:rsidR="000B7ADF" w:rsidRPr="0051776C" w:rsidTr="00ED0A71">
        <w:trPr>
          <w:trHeight w:val="2788"/>
        </w:trPr>
        <w:tc>
          <w:tcPr>
            <w:tcW w:w="6085" w:type="dxa"/>
          </w:tcPr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2.1 </w:t>
            </w:r>
            <w:r w:rsidRPr="004D73B0">
              <w:rPr>
                <w:rFonts w:asciiTheme="minorHAnsi" w:hAnsiTheme="minorHAnsi" w:cstheme="minorHAnsi"/>
              </w:rPr>
              <w:t>The FWO provides information and advice that is timely, useful and reliable to make it easier for regulated entities to comply with their obligations.</w:t>
            </w:r>
          </w:p>
        </w:tc>
        <w:tc>
          <w:tcPr>
            <w:tcW w:w="7516" w:type="dxa"/>
          </w:tcPr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 xml:space="preserve">Provide a summary of the processes used to ensure consistent advice including information </w:t>
            </w:r>
            <w:r>
              <w:rPr>
                <w:rFonts w:asciiTheme="minorHAnsi" w:hAnsiTheme="minorHAnsi" w:cstheme="minorHAnsi"/>
              </w:rPr>
              <w:t>about</w:t>
            </w:r>
            <w:r w:rsidRPr="004D73B0">
              <w:rPr>
                <w:rFonts w:asciiTheme="minorHAnsi" w:hAnsiTheme="minorHAnsi" w:cstheme="minorHAnsi"/>
              </w:rPr>
              <w:t xml:space="preserve"> knowledge management processes and pay tools.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>Provide details of the mechanisms for regulated</w:t>
            </w:r>
            <w:r>
              <w:rPr>
                <w:rFonts w:asciiTheme="minorHAnsi" w:hAnsiTheme="minorHAnsi" w:cstheme="minorHAnsi"/>
              </w:rPr>
              <w:t xml:space="preserve"> entities to provide feedback. </w:t>
            </w:r>
            <w:r w:rsidRPr="004D73B0">
              <w:rPr>
                <w:rFonts w:asciiTheme="minorHAnsi" w:hAnsiTheme="minorHAnsi" w:cstheme="minorHAnsi"/>
              </w:rPr>
              <w:t>Including analysis of trends and how the FWO has responded.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7ADF" w:rsidRPr="0051776C" w:rsidTr="00ED0A71">
        <w:trPr>
          <w:trHeight w:val="2788"/>
        </w:trPr>
        <w:tc>
          <w:tcPr>
            <w:tcW w:w="6085" w:type="dxa"/>
          </w:tcPr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2.2 </w:t>
            </w:r>
            <w:r w:rsidRPr="004D73B0">
              <w:rPr>
                <w:rFonts w:asciiTheme="minorHAnsi" w:hAnsiTheme="minorHAnsi" w:cstheme="minorHAnsi"/>
              </w:rPr>
              <w:t xml:space="preserve">The FWO consults with </w:t>
            </w:r>
            <w:r>
              <w:rPr>
                <w:rFonts w:asciiTheme="minorHAnsi" w:hAnsiTheme="minorHAnsi" w:cstheme="minorHAnsi"/>
              </w:rPr>
              <w:t>regulated entities</w:t>
            </w:r>
            <w:r w:rsidRPr="004D73B0">
              <w:rPr>
                <w:rFonts w:asciiTheme="minorHAnsi" w:hAnsiTheme="minorHAnsi" w:cstheme="minorHAnsi"/>
              </w:rPr>
              <w:t xml:space="preserve"> prior to implementing</w:t>
            </w:r>
            <w:r>
              <w:rPr>
                <w:rFonts w:asciiTheme="minorHAnsi" w:hAnsiTheme="minorHAnsi" w:cstheme="minorHAnsi"/>
              </w:rPr>
              <w:t xml:space="preserve"> key</w:t>
            </w:r>
            <w:r w:rsidRPr="004D73B0">
              <w:rPr>
                <w:rFonts w:asciiTheme="minorHAnsi" w:hAnsiTheme="minorHAnsi" w:cstheme="minorHAnsi"/>
              </w:rPr>
              <w:t xml:space="preserve"> strategies.</w:t>
            </w:r>
          </w:p>
        </w:tc>
        <w:tc>
          <w:tcPr>
            <w:tcW w:w="7516" w:type="dxa"/>
          </w:tcPr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 xml:space="preserve">Provide a summary of the regular stakeholder engagement </w:t>
            </w:r>
            <w:r>
              <w:rPr>
                <w:rFonts w:asciiTheme="minorHAnsi" w:hAnsiTheme="minorHAnsi" w:cstheme="minorHAnsi"/>
              </w:rPr>
              <w:t xml:space="preserve">activities </w:t>
            </w:r>
            <w:r w:rsidRPr="004D73B0">
              <w:rPr>
                <w:rFonts w:asciiTheme="minorHAnsi" w:hAnsiTheme="minorHAnsi" w:cstheme="minorHAnsi"/>
              </w:rPr>
              <w:t>conducted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4D73B0">
              <w:rPr>
                <w:rFonts w:asciiTheme="minorHAnsi" w:hAnsiTheme="minorHAnsi" w:cstheme="minorHAnsi"/>
              </w:rPr>
              <w:t xml:space="preserve">The FWO will outline the role stakeholders had in the design, delivery and refinement of </w:t>
            </w:r>
            <w:r>
              <w:rPr>
                <w:rFonts w:asciiTheme="minorHAnsi" w:hAnsiTheme="minorHAnsi" w:cstheme="minorHAnsi"/>
              </w:rPr>
              <w:t>FWO</w:t>
            </w:r>
            <w:r w:rsidRPr="004D73B0">
              <w:rPr>
                <w:rFonts w:asciiTheme="minorHAnsi" w:hAnsiTheme="minorHAnsi" w:cstheme="minorHAnsi"/>
              </w:rPr>
              <w:t xml:space="preserve"> strategies.</w:t>
            </w:r>
          </w:p>
        </w:tc>
      </w:tr>
    </w:tbl>
    <w:p w:rsidR="0049630C" w:rsidRDefault="0049630C" w:rsidP="0049630C">
      <w:pPr>
        <w:rPr>
          <w:rFonts w:asciiTheme="minorHAnsi" w:hAnsiTheme="minorHAnsi" w:cstheme="minorHAnsi"/>
          <w:b/>
        </w:rPr>
      </w:pPr>
    </w:p>
    <w:p w:rsidR="0049630C" w:rsidRDefault="0049630C" w:rsidP="004963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tbl>
      <w:tblPr>
        <w:tblStyle w:val="TableGrid"/>
        <w:tblpPr w:leftFromText="180" w:rightFromText="180" w:vertAnchor="text" w:horzAnchor="margin" w:tblpY="-257"/>
        <w:tblW w:w="13489" w:type="dxa"/>
        <w:tblLook w:val="04A0" w:firstRow="1" w:lastRow="0" w:firstColumn="1" w:lastColumn="0" w:noHBand="0" w:noVBand="1"/>
      </w:tblPr>
      <w:tblGrid>
        <w:gridCol w:w="4728"/>
        <w:gridCol w:w="8761"/>
      </w:tblGrid>
      <w:tr w:rsidR="0049630C" w:rsidRPr="0051776C" w:rsidTr="00010DFD">
        <w:trPr>
          <w:trHeight w:val="543"/>
          <w:tblHeader/>
        </w:trPr>
        <w:tc>
          <w:tcPr>
            <w:tcW w:w="13489" w:type="dxa"/>
            <w:gridSpan w:val="2"/>
            <w:shd w:val="clear" w:color="auto" w:fill="000000" w:themeFill="text1"/>
          </w:tcPr>
          <w:p w:rsidR="0049630C" w:rsidRPr="00DE7D93" w:rsidRDefault="0049630C" w:rsidP="00270452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DE7D93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KPI</w:t>
            </w:r>
            <w:proofErr w:type="spellEnd"/>
            <w:r w:rsidRPr="00DE7D9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3 – Actions undertaken by regulators are proportionate to the regulatory risk being managed</w:t>
            </w:r>
          </w:p>
        </w:tc>
      </w:tr>
      <w:tr w:rsidR="00ED0A71" w:rsidRPr="0051776C" w:rsidTr="00ED0A71">
        <w:trPr>
          <w:trHeight w:val="591"/>
        </w:trPr>
        <w:tc>
          <w:tcPr>
            <w:tcW w:w="4728" w:type="dxa"/>
            <w:shd w:val="clear" w:color="auto" w:fill="30C1D8"/>
            <w:vAlign w:val="center"/>
          </w:tcPr>
          <w:p w:rsidR="00ED0A71" w:rsidRPr="0051776C" w:rsidRDefault="00ED0A71" w:rsidP="00270452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Measure</w:t>
            </w:r>
          </w:p>
        </w:tc>
        <w:tc>
          <w:tcPr>
            <w:tcW w:w="8761" w:type="dxa"/>
            <w:shd w:val="clear" w:color="auto" w:fill="30C1D8"/>
            <w:vAlign w:val="center"/>
          </w:tcPr>
          <w:p w:rsidR="00ED0A71" w:rsidRPr="0051776C" w:rsidRDefault="00ED0A71" w:rsidP="00270452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Output/Activity-Based E</w:t>
            </w:r>
            <w:r w:rsidRPr="0051776C">
              <w:rPr>
                <w:rFonts w:asciiTheme="minorHAnsi" w:hAnsiTheme="minorHAnsi" w:cstheme="minorHAnsi"/>
                <w:b/>
              </w:rPr>
              <w:t>vidence</w:t>
            </w:r>
          </w:p>
        </w:tc>
      </w:tr>
      <w:tr w:rsidR="000B7ADF" w:rsidRPr="0051776C" w:rsidTr="00ED0A71">
        <w:trPr>
          <w:trHeight w:val="2166"/>
        </w:trPr>
        <w:tc>
          <w:tcPr>
            <w:tcW w:w="4728" w:type="dxa"/>
          </w:tcPr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3.1 </w:t>
            </w:r>
            <w:r w:rsidRPr="004D73B0">
              <w:rPr>
                <w:rFonts w:asciiTheme="minorHAnsi" w:hAnsiTheme="minorHAnsi" w:cstheme="minorHAnsi"/>
              </w:rPr>
              <w:t>The FWO focus</w:t>
            </w:r>
            <w:r>
              <w:rPr>
                <w:rFonts w:asciiTheme="minorHAnsi" w:hAnsiTheme="minorHAnsi" w:cstheme="minorHAnsi"/>
              </w:rPr>
              <w:t>es</w:t>
            </w:r>
            <w:r w:rsidRPr="004D73B0">
              <w:rPr>
                <w:rFonts w:asciiTheme="minorHAnsi" w:hAnsiTheme="minorHAnsi" w:cstheme="minorHAnsi"/>
              </w:rPr>
              <w:t xml:space="preserve"> its compliance and enforcement efforts </w:t>
            </w:r>
            <w:r>
              <w:rPr>
                <w:rFonts w:asciiTheme="minorHAnsi" w:hAnsiTheme="minorHAnsi" w:cstheme="minorHAnsi"/>
              </w:rPr>
              <w:t>proportionate to the seriousness of the matter.</w:t>
            </w:r>
          </w:p>
        </w:tc>
        <w:tc>
          <w:tcPr>
            <w:tcW w:w="8761" w:type="dxa"/>
          </w:tcPr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a summary of the different methods FWO uses to resolve matters, including an explanation of the assessment methods FWO uses to ensure proportionality. 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>Provide case studies on the types of matters FWO litigates, highlighting more serious non-compliance matters.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7ADF" w:rsidRPr="0051776C" w:rsidTr="00ED0A71">
        <w:trPr>
          <w:trHeight w:val="1923"/>
        </w:trPr>
        <w:tc>
          <w:tcPr>
            <w:tcW w:w="4728" w:type="dxa"/>
          </w:tcPr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3.2 </w:t>
            </w:r>
            <w:r w:rsidRPr="004D73B0">
              <w:rPr>
                <w:rFonts w:asciiTheme="minorHAnsi" w:hAnsiTheme="minorHAnsi" w:cstheme="minorHAnsi"/>
              </w:rPr>
              <w:t>The FWO applies a risk based approach to its compliance and monitoring activities.</w:t>
            </w:r>
          </w:p>
        </w:tc>
        <w:tc>
          <w:tcPr>
            <w:tcW w:w="8761" w:type="dxa"/>
          </w:tcPr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 xml:space="preserve">Provide a summary of the </w:t>
            </w:r>
            <w:proofErr w:type="spellStart"/>
            <w:r w:rsidRPr="004D73B0">
              <w:rPr>
                <w:rFonts w:asciiTheme="minorHAnsi" w:hAnsiTheme="minorHAnsi" w:cstheme="minorHAnsi"/>
              </w:rPr>
              <w:t>FWO’s</w:t>
            </w:r>
            <w:proofErr w:type="spellEnd"/>
            <w:r w:rsidRPr="004D73B0">
              <w:rPr>
                <w:rFonts w:asciiTheme="minorHAnsi" w:hAnsiTheme="minorHAnsi" w:cstheme="minorHAnsi"/>
              </w:rPr>
              <w:t xml:space="preserve"> early intervention programs aimed at resolving disputes in the workplace before they become formal complaints, including relevant cases studies.  </w:t>
            </w:r>
          </w:p>
        </w:tc>
      </w:tr>
    </w:tbl>
    <w:p w:rsidR="0049630C" w:rsidRDefault="0049630C" w:rsidP="0049630C">
      <w:r>
        <w:br w:type="page"/>
      </w:r>
    </w:p>
    <w:tbl>
      <w:tblPr>
        <w:tblStyle w:val="TableGrid"/>
        <w:tblpPr w:leftFromText="180" w:rightFromText="180" w:vertAnchor="text" w:horzAnchor="margin" w:tblpY="-257"/>
        <w:tblW w:w="13719" w:type="dxa"/>
        <w:tblLook w:val="04A0" w:firstRow="1" w:lastRow="0" w:firstColumn="1" w:lastColumn="0" w:noHBand="0" w:noVBand="1"/>
      </w:tblPr>
      <w:tblGrid>
        <w:gridCol w:w="4230"/>
        <w:gridCol w:w="9489"/>
      </w:tblGrid>
      <w:tr w:rsidR="0049630C" w:rsidRPr="0051776C" w:rsidTr="00010DFD">
        <w:trPr>
          <w:trHeight w:val="668"/>
          <w:tblHeader/>
        </w:trPr>
        <w:tc>
          <w:tcPr>
            <w:tcW w:w="13719" w:type="dxa"/>
            <w:gridSpan w:val="2"/>
            <w:shd w:val="clear" w:color="auto" w:fill="000000" w:themeFill="text1"/>
          </w:tcPr>
          <w:p w:rsidR="0049630C" w:rsidRPr="00A02D84" w:rsidRDefault="0049630C" w:rsidP="0027045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A02D84">
              <w:rPr>
                <w:rFonts w:asciiTheme="minorHAnsi" w:hAnsiTheme="minorHAnsi" w:cstheme="minorHAnsi"/>
                <w:b/>
              </w:rPr>
              <w:lastRenderedPageBreak/>
              <w:t>KPI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4 - </w:t>
            </w:r>
            <w:r w:rsidRPr="00A02D84">
              <w:rPr>
                <w:rFonts w:asciiTheme="minorHAnsi" w:hAnsiTheme="minorHAnsi" w:cstheme="minorHAnsi"/>
                <w:b/>
              </w:rPr>
              <w:t xml:space="preserve"> Compliance and monitoring approaches are streamlined and coordinated</w:t>
            </w:r>
          </w:p>
        </w:tc>
      </w:tr>
      <w:tr w:rsidR="00ED0A71" w:rsidRPr="0051776C" w:rsidTr="000B7ADF">
        <w:trPr>
          <w:trHeight w:val="550"/>
        </w:trPr>
        <w:tc>
          <w:tcPr>
            <w:tcW w:w="4230" w:type="dxa"/>
            <w:shd w:val="clear" w:color="auto" w:fill="30C1D8"/>
            <w:vAlign w:val="center"/>
          </w:tcPr>
          <w:p w:rsidR="00ED0A71" w:rsidRPr="0051776C" w:rsidRDefault="00ED0A71" w:rsidP="00270452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Measure</w:t>
            </w:r>
          </w:p>
        </w:tc>
        <w:tc>
          <w:tcPr>
            <w:tcW w:w="9489" w:type="dxa"/>
            <w:shd w:val="clear" w:color="auto" w:fill="30C1D8"/>
            <w:vAlign w:val="center"/>
          </w:tcPr>
          <w:p w:rsidR="00ED0A71" w:rsidRPr="0051776C" w:rsidRDefault="00ED0A71" w:rsidP="00270452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Output/Activity-Based E</w:t>
            </w:r>
            <w:r w:rsidRPr="0051776C">
              <w:rPr>
                <w:rFonts w:asciiTheme="minorHAnsi" w:hAnsiTheme="minorHAnsi" w:cstheme="minorHAnsi"/>
                <w:b/>
              </w:rPr>
              <w:t>vidence</w:t>
            </w:r>
          </w:p>
        </w:tc>
      </w:tr>
      <w:tr w:rsidR="000B7ADF" w:rsidRPr="0051776C" w:rsidTr="000B7ADF">
        <w:trPr>
          <w:trHeight w:val="2654"/>
        </w:trPr>
        <w:tc>
          <w:tcPr>
            <w:tcW w:w="4230" w:type="dxa"/>
          </w:tcPr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4.1 The </w:t>
            </w:r>
            <w:r w:rsidRPr="004D73B0">
              <w:rPr>
                <w:rFonts w:asciiTheme="minorHAnsi" w:hAnsiTheme="minorHAnsi" w:cstheme="minorHAnsi"/>
              </w:rPr>
              <w:t>FWO takes a coordinated approach to delivering its services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89" w:type="dxa"/>
          </w:tcPr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>Provide a summary of how the FWO uses data analysis and research to make decisions that impact on regulated entities.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 xml:space="preserve">Provide a summary of the evidence base developed to inform </w:t>
            </w:r>
            <w:r>
              <w:rPr>
                <w:rFonts w:asciiTheme="minorHAnsi" w:hAnsiTheme="minorHAnsi" w:cstheme="minorHAnsi"/>
              </w:rPr>
              <w:t xml:space="preserve">Inquiries </w:t>
            </w:r>
            <w:r w:rsidRPr="004D73B0">
              <w:rPr>
                <w:rFonts w:asciiTheme="minorHAnsi" w:hAnsiTheme="minorHAnsi" w:cstheme="minorHAnsi"/>
              </w:rPr>
              <w:t xml:space="preserve">and targeted campaigns.   </w:t>
            </w:r>
          </w:p>
        </w:tc>
      </w:tr>
      <w:tr w:rsidR="000B7ADF" w:rsidRPr="0051776C" w:rsidTr="000B7ADF">
        <w:trPr>
          <w:trHeight w:val="2654"/>
        </w:trPr>
        <w:tc>
          <w:tcPr>
            <w:tcW w:w="4230" w:type="dxa"/>
          </w:tcPr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4.2 </w:t>
            </w:r>
            <w:r w:rsidRPr="004D73B0">
              <w:rPr>
                <w:rFonts w:asciiTheme="minorHAnsi" w:hAnsiTheme="minorHAnsi" w:cstheme="minorHAnsi"/>
              </w:rPr>
              <w:t>The FWO works collaboratively with other regulators</w:t>
            </w:r>
            <w:r>
              <w:rPr>
                <w:rFonts w:asciiTheme="minorHAnsi" w:hAnsiTheme="minorHAnsi" w:cstheme="minorHAnsi"/>
              </w:rPr>
              <w:t xml:space="preserve"> and industry bodies</w:t>
            </w:r>
            <w:r w:rsidRPr="004D73B0">
              <w:rPr>
                <w:rFonts w:asciiTheme="minorHAnsi" w:hAnsiTheme="minorHAnsi" w:cstheme="minorHAnsi"/>
              </w:rPr>
              <w:t xml:space="preserve"> to minimis</w:t>
            </w:r>
            <w:r>
              <w:rPr>
                <w:rFonts w:asciiTheme="minorHAnsi" w:hAnsiTheme="minorHAnsi" w:cstheme="minorHAnsi"/>
              </w:rPr>
              <w:t>e</w:t>
            </w:r>
            <w:r w:rsidRPr="004D73B0">
              <w:rPr>
                <w:rFonts w:asciiTheme="minorHAnsi" w:hAnsiTheme="minorHAnsi" w:cstheme="minorHAnsi"/>
              </w:rPr>
              <w:t xml:space="preserve"> the burden of interacting with government bodies.</w:t>
            </w:r>
          </w:p>
        </w:tc>
        <w:tc>
          <w:tcPr>
            <w:tcW w:w="9489" w:type="dxa"/>
          </w:tcPr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 xml:space="preserve">Provide a summary of the </w:t>
            </w:r>
            <w:proofErr w:type="spellStart"/>
            <w:r w:rsidRPr="004D73B0">
              <w:rPr>
                <w:rFonts w:asciiTheme="minorHAnsi" w:hAnsiTheme="minorHAnsi" w:cstheme="minorHAnsi"/>
              </w:rPr>
              <w:t>FWO’s</w:t>
            </w:r>
            <w:proofErr w:type="spellEnd"/>
            <w:r w:rsidRPr="004D73B0">
              <w:rPr>
                <w:rFonts w:asciiTheme="minorHAnsi" w:hAnsiTheme="minorHAnsi" w:cstheme="minorHAnsi"/>
              </w:rPr>
              <w:t xml:space="preserve"> interactions with other regulators and how they are used to achieve </w:t>
            </w:r>
            <w:r>
              <w:rPr>
                <w:rFonts w:asciiTheme="minorHAnsi" w:hAnsiTheme="minorHAnsi" w:cstheme="minorHAnsi"/>
              </w:rPr>
              <w:t>positive</w:t>
            </w:r>
            <w:r w:rsidRPr="004D73B0">
              <w:rPr>
                <w:rFonts w:asciiTheme="minorHAnsi" w:hAnsiTheme="minorHAnsi" w:cstheme="minorHAnsi"/>
              </w:rPr>
              <w:t xml:space="preserve"> outcomes for the community.  Detail the protocols established in </w:t>
            </w:r>
            <w:proofErr w:type="spellStart"/>
            <w:r w:rsidRPr="004D73B0">
              <w:rPr>
                <w:rFonts w:asciiTheme="minorHAnsi" w:hAnsiTheme="minorHAnsi" w:cstheme="minorHAnsi"/>
              </w:rPr>
              <w:t>MOUs</w:t>
            </w:r>
            <w:proofErr w:type="spellEnd"/>
            <w:r w:rsidRPr="004D73B0">
              <w:rPr>
                <w:rFonts w:asciiTheme="minorHAnsi" w:hAnsiTheme="minorHAnsi" w:cstheme="minorHAnsi"/>
              </w:rPr>
              <w:t xml:space="preserve"> with other government regulators or bodies.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 xml:space="preserve">Provide a summary of the </w:t>
            </w:r>
            <w:proofErr w:type="spellStart"/>
            <w:r w:rsidRPr="004D73B0">
              <w:rPr>
                <w:rFonts w:asciiTheme="minorHAnsi" w:hAnsiTheme="minorHAnsi" w:cstheme="minorHAnsi"/>
              </w:rPr>
              <w:t>FWO’s</w:t>
            </w:r>
            <w:proofErr w:type="spellEnd"/>
            <w:r w:rsidRPr="004D73B0">
              <w:rPr>
                <w:rFonts w:asciiTheme="minorHAnsi" w:hAnsiTheme="minorHAnsi" w:cstheme="minorHAnsi"/>
              </w:rPr>
              <w:t xml:space="preserve"> interactions with industry bodies and how </w:t>
            </w:r>
            <w:r>
              <w:rPr>
                <w:rFonts w:asciiTheme="minorHAnsi" w:hAnsiTheme="minorHAnsi" w:cstheme="minorHAnsi"/>
              </w:rPr>
              <w:t>the FWO</w:t>
            </w:r>
            <w:r w:rsidRPr="004D73B0">
              <w:rPr>
                <w:rFonts w:asciiTheme="minorHAnsi" w:hAnsiTheme="minorHAnsi" w:cstheme="minorHAnsi"/>
              </w:rPr>
              <w:t xml:space="preserve"> work</w:t>
            </w:r>
            <w:r>
              <w:rPr>
                <w:rFonts w:asciiTheme="minorHAnsi" w:hAnsiTheme="minorHAnsi" w:cstheme="minorHAnsi"/>
              </w:rPr>
              <w:t>s</w:t>
            </w:r>
            <w:r w:rsidRPr="004D73B0">
              <w:rPr>
                <w:rFonts w:asciiTheme="minorHAnsi" w:hAnsiTheme="minorHAnsi" w:cstheme="minorHAnsi"/>
              </w:rPr>
              <w:t xml:space="preserve"> with the</w:t>
            </w:r>
            <w:r>
              <w:rPr>
                <w:rFonts w:asciiTheme="minorHAnsi" w:hAnsiTheme="minorHAnsi" w:cstheme="minorHAnsi"/>
              </w:rPr>
              <w:t>m</w:t>
            </w:r>
            <w:r w:rsidRPr="004D73B0">
              <w:rPr>
                <w:rFonts w:asciiTheme="minorHAnsi" w:hAnsiTheme="minorHAnsi" w:cstheme="minorHAnsi"/>
              </w:rPr>
              <w:t xml:space="preserve"> to improve compliance outcomes within targeted industries.  Detail the protocols established in </w:t>
            </w:r>
            <w:proofErr w:type="spellStart"/>
            <w:r w:rsidRPr="004D73B0">
              <w:rPr>
                <w:rFonts w:asciiTheme="minorHAnsi" w:hAnsiTheme="minorHAnsi" w:cstheme="minorHAnsi"/>
              </w:rPr>
              <w:t>MOUs</w:t>
            </w:r>
            <w:proofErr w:type="spellEnd"/>
            <w:r w:rsidRPr="004D73B0">
              <w:rPr>
                <w:rFonts w:asciiTheme="minorHAnsi" w:hAnsiTheme="minorHAnsi" w:cstheme="minorHAnsi"/>
              </w:rPr>
              <w:t xml:space="preserve"> with industry bodies.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>Provide a summary of any joint investigations conducted by the FWO</w:t>
            </w:r>
            <w:r>
              <w:rPr>
                <w:rFonts w:asciiTheme="minorHAnsi" w:hAnsiTheme="minorHAnsi" w:cstheme="minorHAnsi"/>
              </w:rPr>
              <w:t xml:space="preserve"> (where appropriate)</w:t>
            </w:r>
            <w:r w:rsidRPr="004D73B0">
              <w:rPr>
                <w:rFonts w:asciiTheme="minorHAnsi" w:hAnsiTheme="minorHAnsi" w:cstheme="minorHAnsi"/>
              </w:rPr>
              <w:t>.</w:t>
            </w:r>
          </w:p>
        </w:tc>
      </w:tr>
    </w:tbl>
    <w:p w:rsidR="0049630C" w:rsidRDefault="0049630C" w:rsidP="0049630C">
      <w:pPr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-257"/>
        <w:tblW w:w="13869" w:type="dxa"/>
        <w:tblLook w:val="04A0" w:firstRow="1" w:lastRow="0" w:firstColumn="1" w:lastColumn="0" w:noHBand="0" w:noVBand="1"/>
      </w:tblPr>
      <w:tblGrid>
        <w:gridCol w:w="4277"/>
        <w:gridCol w:w="9592"/>
      </w:tblGrid>
      <w:tr w:rsidR="0049630C" w:rsidRPr="0051776C" w:rsidTr="00010DFD">
        <w:trPr>
          <w:trHeight w:val="614"/>
          <w:tblHeader/>
        </w:trPr>
        <w:tc>
          <w:tcPr>
            <w:tcW w:w="13869" w:type="dxa"/>
            <w:gridSpan w:val="2"/>
            <w:shd w:val="clear" w:color="auto" w:fill="000000" w:themeFill="text1"/>
          </w:tcPr>
          <w:p w:rsidR="0049630C" w:rsidRPr="00A02D84" w:rsidRDefault="0049630C" w:rsidP="0027045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KPI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5</w:t>
            </w:r>
            <w:r w:rsidRPr="00A02D84">
              <w:rPr>
                <w:rFonts w:asciiTheme="minorHAnsi" w:hAnsiTheme="minorHAnsi" w:cstheme="minorHAnsi"/>
                <w:b/>
              </w:rPr>
              <w:t xml:space="preserve"> –  Regulators are open and transparent in their dealings with regulated entities</w:t>
            </w:r>
          </w:p>
        </w:tc>
      </w:tr>
      <w:tr w:rsidR="00ED0A71" w:rsidRPr="0051776C" w:rsidTr="00ED0A71">
        <w:trPr>
          <w:trHeight w:val="506"/>
        </w:trPr>
        <w:tc>
          <w:tcPr>
            <w:tcW w:w="4277" w:type="dxa"/>
            <w:shd w:val="clear" w:color="auto" w:fill="30C1D8"/>
            <w:vAlign w:val="center"/>
          </w:tcPr>
          <w:p w:rsidR="00ED0A71" w:rsidRPr="0051776C" w:rsidRDefault="00ED0A71" w:rsidP="0027045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Measure</w:t>
            </w:r>
          </w:p>
        </w:tc>
        <w:tc>
          <w:tcPr>
            <w:tcW w:w="9592" w:type="dxa"/>
            <w:shd w:val="clear" w:color="auto" w:fill="30C1D8"/>
            <w:vAlign w:val="center"/>
          </w:tcPr>
          <w:p w:rsidR="00ED0A71" w:rsidRPr="0051776C" w:rsidRDefault="00ED0A71" w:rsidP="00270452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Output/Activity-Based E</w:t>
            </w:r>
            <w:r w:rsidRPr="0051776C">
              <w:rPr>
                <w:rFonts w:asciiTheme="minorHAnsi" w:hAnsiTheme="minorHAnsi" w:cstheme="minorHAnsi"/>
                <w:b/>
              </w:rPr>
              <w:t>vidence</w:t>
            </w:r>
          </w:p>
        </w:tc>
      </w:tr>
      <w:tr w:rsidR="000B7ADF" w:rsidRPr="0051776C" w:rsidTr="00ED0A71">
        <w:trPr>
          <w:trHeight w:val="1771"/>
        </w:trPr>
        <w:tc>
          <w:tcPr>
            <w:tcW w:w="4277" w:type="dxa"/>
          </w:tcPr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5.1 </w:t>
            </w:r>
            <w:r w:rsidRPr="004D73B0">
              <w:rPr>
                <w:rFonts w:asciiTheme="minorHAnsi" w:hAnsiTheme="minorHAnsi" w:cstheme="minorHAnsi"/>
              </w:rPr>
              <w:t>The FWO publishes key performance results in a timely manner to ensure accountability and transparency.</w:t>
            </w:r>
          </w:p>
        </w:tc>
        <w:tc>
          <w:tcPr>
            <w:tcW w:w="9592" w:type="dxa"/>
          </w:tcPr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>Provide a summary of the campaign and enquiry reports that have been published.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d</w:t>
            </w:r>
            <w:r w:rsidRPr="004D73B0">
              <w:rPr>
                <w:rFonts w:asciiTheme="minorHAnsi" w:hAnsiTheme="minorHAnsi" w:cstheme="minorHAnsi"/>
              </w:rPr>
              <w:t>etails of any performance metrics which have been published.</w:t>
            </w:r>
          </w:p>
        </w:tc>
      </w:tr>
      <w:tr w:rsidR="000B7ADF" w:rsidRPr="0051776C" w:rsidTr="00ED0A71">
        <w:trPr>
          <w:trHeight w:val="1771"/>
        </w:trPr>
        <w:tc>
          <w:tcPr>
            <w:tcW w:w="4277" w:type="dxa"/>
          </w:tcPr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5.2 </w:t>
            </w:r>
            <w:r w:rsidRPr="004D73B0">
              <w:rPr>
                <w:rFonts w:asciiTheme="minorHAnsi" w:hAnsiTheme="minorHAnsi" w:cstheme="minorHAnsi"/>
              </w:rPr>
              <w:t>The FWO publishes key strategies and acts on feedback regarding the effectiveness of how they operate.</w:t>
            </w:r>
          </w:p>
        </w:tc>
        <w:tc>
          <w:tcPr>
            <w:tcW w:w="9592" w:type="dxa"/>
          </w:tcPr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>Provide a summary of the regular stakeholder engagement conducted in line with various FWO strategies.  The FWO will outline the role stakeholders had in the design, delivery and refinement of these strategies.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>Provide details of the mechanisms for regulated entities to provide feedback.  Including analysis of trends and how the FWO has responded.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49630C" w:rsidRDefault="0049630C" w:rsidP="0049630C">
      <w:r>
        <w:br w:type="page"/>
      </w:r>
    </w:p>
    <w:tbl>
      <w:tblPr>
        <w:tblStyle w:val="TableGrid"/>
        <w:tblpPr w:leftFromText="180" w:rightFromText="180" w:vertAnchor="text" w:horzAnchor="margin" w:tblpY="-257"/>
        <w:tblW w:w="13858" w:type="dxa"/>
        <w:tblLook w:val="04A0" w:firstRow="1" w:lastRow="0" w:firstColumn="1" w:lastColumn="0" w:noHBand="0" w:noVBand="1"/>
      </w:tblPr>
      <w:tblGrid>
        <w:gridCol w:w="4361"/>
        <w:gridCol w:w="9497"/>
      </w:tblGrid>
      <w:tr w:rsidR="0049630C" w:rsidRPr="0051776C" w:rsidTr="00010DFD">
        <w:trPr>
          <w:tblHeader/>
        </w:trPr>
        <w:tc>
          <w:tcPr>
            <w:tcW w:w="13858" w:type="dxa"/>
            <w:gridSpan w:val="2"/>
            <w:shd w:val="clear" w:color="auto" w:fill="000000" w:themeFill="text1"/>
          </w:tcPr>
          <w:p w:rsidR="0049630C" w:rsidRPr="00A02D84" w:rsidRDefault="0049630C" w:rsidP="0027045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A02D84">
              <w:rPr>
                <w:rFonts w:asciiTheme="minorHAnsi" w:hAnsiTheme="minorHAnsi" w:cstheme="minorHAnsi"/>
                <w:b/>
              </w:rPr>
              <w:lastRenderedPageBreak/>
              <w:t>KPI</w:t>
            </w:r>
            <w:proofErr w:type="spellEnd"/>
            <w:r w:rsidRPr="00A02D8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6 -</w:t>
            </w:r>
            <w:r w:rsidRPr="00A02D84">
              <w:rPr>
                <w:rFonts w:asciiTheme="minorHAnsi" w:hAnsiTheme="minorHAnsi" w:cstheme="minorHAnsi"/>
                <w:b/>
              </w:rPr>
              <w:t xml:space="preserve"> Regulators actively contribute to the continuous improvement of regulatory frameworks</w:t>
            </w:r>
          </w:p>
        </w:tc>
      </w:tr>
      <w:tr w:rsidR="00ED0A71" w:rsidRPr="0051776C" w:rsidTr="00ED0A71">
        <w:trPr>
          <w:trHeight w:val="571"/>
        </w:trPr>
        <w:tc>
          <w:tcPr>
            <w:tcW w:w="4361" w:type="dxa"/>
            <w:shd w:val="clear" w:color="auto" w:fill="30C1D8"/>
            <w:vAlign w:val="center"/>
          </w:tcPr>
          <w:p w:rsidR="00ED0A71" w:rsidRPr="0051776C" w:rsidRDefault="00ED0A71" w:rsidP="0027045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Measure</w:t>
            </w:r>
          </w:p>
        </w:tc>
        <w:tc>
          <w:tcPr>
            <w:tcW w:w="9497" w:type="dxa"/>
            <w:shd w:val="clear" w:color="auto" w:fill="30C1D8"/>
            <w:vAlign w:val="center"/>
          </w:tcPr>
          <w:p w:rsidR="00ED0A71" w:rsidRPr="0051776C" w:rsidRDefault="00ED0A71" w:rsidP="00270452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Output/Activity-Based E</w:t>
            </w:r>
            <w:r w:rsidRPr="0051776C">
              <w:rPr>
                <w:rFonts w:asciiTheme="minorHAnsi" w:hAnsiTheme="minorHAnsi" w:cstheme="minorHAnsi"/>
                <w:b/>
              </w:rPr>
              <w:t>vidence</w:t>
            </w:r>
          </w:p>
        </w:tc>
      </w:tr>
      <w:tr w:rsidR="000B7ADF" w:rsidRPr="0051776C" w:rsidTr="00ED0A71">
        <w:trPr>
          <w:trHeight w:val="702"/>
        </w:trPr>
        <w:tc>
          <w:tcPr>
            <w:tcW w:w="4361" w:type="dxa"/>
          </w:tcPr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6.1 </w:t>
            </w:r>
            <w:r w:rsidRPr="004D73B0">
              <w:rPr>
                <w:rFonts w:asciiTheme="minorHAnsi" w:hAnsiTheme="minorHAnsi" w:cstheme="minorHAnsi"/>
              </w:rPr>
              <w:t>The FWO make</w:t>
            </w:r>
            <w:r>
              <w:rPr>
                <w:rFonts w:asciiTheme="minorHAnsi" w:hAnsiTheme="minorHAnsi" w:cstheme="minorHAnsi"/>
              </w:rPr>
              <w:t>s</w:t>
            </w:r>
            <w:r w:rsidRPr="004D73B0">
              <w:rPr>
                <w:rFonts w:asciiTheme="minorHAnsi" w:hAnsiTheme="minorHAnsi" w:cstheme="minorHAnsi"/>
              </w:rPr>
              <w:t xml:space="preserve"> it easy for stakeholders and regulated entities to contribute to the efficient operation of the FWO.</w:t>
            </w:r>
          </w:p>
        </w:tc>
        <w:tc>
          <w:tcPr>
            <w:tcW w:w="9497" w:type="dxa"/>
          </w:tcPr>
          <w:p w:rsidR="000B7ADF" w:rsidRPr="004D73B0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 xml:space="preserve">Provide a summary of the </w:t>
            </w:r>
            <w:proofErr w:type="spellStart"/>
            <w:r w:rsidRPr="004D73B0">
              <w:rPr>
                <w:rFonts w:asciiTheme="minorHAnsi" w:hAnsiTheme="minorHAnsi" w:cstheme="minorHAnsi"/>
              </w:rPr>
              <w:t>FWO’s</w:t>
            </w:r>
            <w:proofErr w:type="spellEnd"/>
            <w:r w:rsidRPr="004D73B0">
              <w:rPr>
                <w:rFonts w:asciiTheme="minorHAnsi" w:hAnsiTheme="minorHAnsi" w:cstheme="minorHAnsi"/>
              </w:rPr>
              <w:t xml:space="preserve"> interactions with industry bodies and how </w:t>
            </w:r>
            <w:r>
              <w:rPr>
                <w:rFonts w:asciiTheme="minorHAnsi" w:hAnsiTheme="minorHAnsi" w:cstheme="minorHAnsi"/>
              </w:rPr>
              <w:t>this collaboration</w:t>
            </w:r>
            <w:r w:rsidRPr="004D73B0">
              <w:rPr>
                <w:rFonts w:asciiTheme="minorHAnsi" w:hAnsiTheme="minorHAnsi" w:cstheme="minorHAnsi"/>
              </w:rPr>
              <w:t xml:space="preserve"> improve</w:t>
            </w:r>
            <w:r>
              <w:rPr>
                <w:rFonts w:asciiTheme="minorHAnsi" w:hAnsiTheme="minorHAnsi" w:cstheme="minorHAnsi"/>
              </w:rPr>
              <w:t>s</w:t>
            </w:r>
            <w:r w:rsidRPr="004D73B0">
              <w:rPr>
                <w:rFonts w:asciiTheme="minorHAnsi" w:hAnsiTheme="minorHAnsi" w:cstheme="minorHAnsi"/>
              </w:rPr>
              <w:t xml:space="preserve"> compliance outcomes within targeted industries.  Detail the protocols established in </w:t>
            </w:r>
            <w:proofErr w:type="spellStart"/>
            <w:r w:rsidRPr="004D73B0">
              <w:rPr>
                <w:rFonts w:asciiTheme="minorHAnsi" w:hAnsiTheme="minorHAnsi" w:cstheme="minorHAnsi"/>
              </w:rPr>
              <w:t>MOUs</w:t>
            </w:r>
            <w:proofErr w:type="spellEnd"/>
            <w:r w:rsidRPr="004D73B0">
              <w:rPr>
                <w:rFonts w:asciiTheme="minorHAnsi" w:hAnsiTheme="minorHAnsi" w:cstheme="minorHAnsi"/>
              </w:rPr>
              <w:t xml:space="preserve"> with industry bodies.</w:t>
            </w:r>
          </w:p>
          <w:p w:rsidR="000B7ADF" w:rsidRPr="004D73B0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 xml:space="preserve">Provide case </w:t>
            </w:r>
            <w:r>
              <w:rPr>
                <w:rFonts w:asciiTheme="minorHAnsi" w:hAnsiTheme="minorHAnsi" w:cstheme="minorHAnsi"/>
              </w:rPr>
              <w:t>studies</w:t>
            </w:r>
            <w:r w:rsidRPr="004D73B0">
              <w:rPr>
                <w:rFonts w:asciiTheme="minorHAnsi" w:hAnsiTheme="minorHAnsi" w:cstheme="minorHAnsi"/>
              </w:rPr>
              <w:t xml:space="preserve"> of any litigation matters, particularly in instances where FWO ha</w:t>
            </w:r>
            <w:r>
              <w:rPr>
                <w:rFonts w:asciiTheme="minorHAnsi" w:hAnsiTheme="minorHAnsi" w:cstheme="minorHAnsi"/>
              </w:rPr>
              <w:t>s</w:t>
            </w:r>
            <w:r w:rsidRPr="004D73B0">
              <w:rPr>
                <w:rFonts w:asciiTheme="minorHAnsi" w:hAnsiTheme="minorHAnsi" w:cstheme="minorHAnsi"/>
              </w:rPr>
              <w:t xml:space="preserve"> sought to clarify the operation of the law.</w:t>
            </w:r>
          </w:p>
          <w:p w:rsidR="000B7ADF" w:rsidRPr="00C23142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7ADF" w:rsidRPr="0051776C" w:rsidTr="00ED0A71">
        <w:trPr>
          <w:trHeight w:val="702"/>
        </w:trPr>
        <w:tc>
          <w:tcPr>
            <w:tcW w:w="4361" w:type="dxa"/>
          </w:tcPr>
          <w:p w:rsidR="000B7ADF" w:rsidRPr="002E64DE" w:rsidRDefault="000B7ADF" w:rsidP="000B7A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6.2 The </w:t>
            </w:r>
            <w:r w:rsidRPr="002E64DE">
              <w:rPr>
                <w:rFonts w:asciiTheme="minorHAnsi" w:hAnsiTheme="minorHAnsi" w:cstheme="minorHAnsi"/>
              </w:rPr>
              <w:t xml:space="preserve">FWO shares information, intelligence and feedback with policy departments for the improvement of the regulatory framework. </w:t>
            </w:r>
          </w:p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</w:tcPr>
          <w:p w:rsidR="000B7ADF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 xml:space="preserve">Provide a summary of the </w:t>
            </w:r>
            <w:proofErr w:type="spellStart"/>
            <w:r w:rsidRPr="004D73B0">
              <w:rPr>
                <w:rFonts w:asciiTheme="minorHAnsi" w:hAnsiTheme="minorHAnsi" w:cstheme="minorHAnsi"/>
              </w:rPr>
              <w:t>FWO’s</w:t>
            </w:r>
            <w:proofErr w:type="spellEnd"/>
            <w:r w:rsidRPr="004D73B0">
              <w:rPr>
                <w:rFonts w:asciiTheme="minorHAnsi" w:hAnsiTheme="minorHAnsi" w:cstheme="minorHAnsi"/>
              </w:rPr>
              <w:t xml:space="preserve"> interactions with other regulators and how they are used to achieve </w:t>
            </w:r>
            <w:r>
              <w:rPr>
                <w:rFonts w:asciiTheme="minorHAnsi" w:hAnsiTheme="minorHAnsi" w:cstheme="minorHAnsi"/>
              </w:rPr>
              <w:t>positive</w:t>
            </w:r>
            <w:r w:rsidRPr="004D73B0">
              <w:rPr>
                <w:rFonts w:asciiTheme="minorHAnsi" w:hAnsiTheme="minorHAnsi" w:cstheme="minorHAnsi"/>
              </w:rPr>
              <w:t xml:space="preserve"> outcomes for the community.  Detail the protocols established in </w:t>
            </w:r>
            <w:proofErr w:type="spellStart"/>
            <w:r w:rsidRPr="004D73B0">
              <w:rPr>
                <w:rFonts w:asciiTheme="minorHAnsi" w:hAnsiTheme="minorHAnsi" w:cstheme="minorHAnsi"/>
              </w:rPr>
              <w:t>MOUs</w:t>
            </w:r>
            <w:proofErr w:type="spellEnd"/>
            <w:r w:rsidRPr="004D73B0">
              <w:rPr>
                <w:rFonts w:asciiTheme="minorHAnsi" w:hAnsiTheme="minorHAnsi" w:cstheme="minorHAnsi"/>
              </w:rPr>
              <w:t xml:space="preserve"> with other government regulators or bodies.</w:t>
            </w:r>
          </w:p>
          <w:p w:rsidR="000B7ADF" w:rsidRPr="004D73B0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73B0">
              <w:rPr>
                <w:rFonts w:asciiTheme="minorHAnsi" w:hAnsiTheme="minorHAnsi" w:cstheme="minorHAnsi"/>
              </w:rPr>
              <w:t>Provide a summary of any input the FWO may have provided to policy development.</w:t>
            </w:r>
          </w:p>
          <w:p w:rsidR="000B7ADF" w:rsidRPr="004D73B0" w:rsidRDefault="000B7ADF" w:rsidP="000B7AD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49630C" w:rsidRDefault="0049630C" w:rsidP="0049630C">
      <w:pPr>
        <w:rPr>
          <w:rFonts w:asciiTheme="minorHAnsi" w:hAnsiTheme="minorHAnsi" w:cstheme="minorHAnsi"/>
          <w:b/>
        </w:rPr>
      </w:pPr>
    </w:p>
    <w:p w:rsidR="0049630C" w:rsidRPr="00A02D84" w:rsidRDefault="0049630C" w:rsidP="0049630C">
      <w:pPr>
        <w:spacing w:after="120"/>
        <w:rPr>
          <w:rFonts w:asciiTheme="minorHAnsi" w:hAnsiTheme="minorHAnsi" w:cstheme="minorHAnsi"/>
        </w:rPr>
      </w:pPr>
    </w:p>
    <w:p w:rsidR="00BD2289" w:rsidRDefault="00BD2289"/>
    <w:sectPr w:rsidR="00BD2289" w:rsidSect="00692DA5">
      <w:footerReference w:type="default" r:id="rId7"/>
      <w:headerReference w:type="first" r:id="rId8"/>
      <w:pgSz w:w="16838" w:h="11906" w:orient="landscape" w:code="9"/>
      <w:pgMar w:top="1418" w:right="1418" w:bottom="141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01" w:rsidRDefault="003E4B01" w:rsidP="00BF2D1C">
      <w:r>
        <w:separator/>
      </w:r>
    </w:p>
  </w:endnote>
  <w:endnote w:type="continuationSeparator" w:id="0">
    <w:p w:rsidR="003E4B01" w:rsidRDefault="003E4B01" w:rsidP="00BF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1C" w:rsidRPr="00BF2D1C" w:rsidRDefault="00BF2D1C">
    <w:pPr>
      <w:pStyle w:val="Footer"/>
      <w:rPr>
        <w:rFonts w:ascii="Arial" w:hAnsi="Arial" w:cs="Arial"/>
      </w:rPr>
    </w:pPr>
    <w:r w:rsidRPr="00BF2D1C">
      <w:rPr>
        <w:rFonts w:ascii="Arial" w:hAnsi="Arial" w:cs="Arial"/>
      </w:rPr>
      <w:t xml:space="preserve">FWO Regulator Performance Framework </w:t>
    </w:r>
    <w:proofErr w:type="spellStart"/>
    <w:r w:rsidRPr="00BF2D1C">
      <w:rPr>
        <w:rFonts w:ascii="Arial" w:hAnsi="Arial" w:cs="Arial"/>
      </w:rPr>
      <w:t>KPIs</w:t>
    </w:r>
    <w:proofErr w:type="spellEnd"/>
    <w:r w:rsidR="000B6B5E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01" w:rsidRDefault="003E4B01" w:rsidP="00BF2D1C">
      <w:r>
        <w:separator/>
      </w:r>
    </w:p>
  </w:footnote>
  <w:footnote w:type="continuationSeparator" w:id="0">
    <w:p w:rsidR="003E4B01" w:rsidRDefault="003E4B01" w:rsidP="00BF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A5" w:rsidRDefault="00692D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599885</wp:posOffset>
          </wp:positionV>
          <wp:extent cx="10686990" cy="5842659"/>
          <wp:effectExtent l="0" t="0" r="635" b="5715"/>
          <wp:wrapNone/>
          <wp:docPr id="1" name="Picture 1" title="Regulator Performance Framework K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WO Regulator performance framework KPIs front cover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990" cy="584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0C"/>
    <w:rsid w:val="00010DFD"/>
    <w:rsid w:val="0004743B"/>
    <w:rsid w:val="000A2037"/>
    <w:rsid w:val="000B6B5E"/>
    <w:rsid w:val="000B7ADF"/>
    <w:rsid w:val="000C572D"/>
    <w:rsid w:val="000F0255"/>
    <w:rsid w:val="00112293"/>
    <w:rsid w:val="0015412F"/>
    <w:rsid w:val="001D19BD"/>
    <w:rsid w:val="001F7B80"/>
    <w:rsid w:val="00271952"/>
    <w:rsid w:val="00272A93"/>
    <w:rsid w:val="00382004"/>
    <w:rsid w:val="003B74A8"/>
    <w:rsid w:val="003E32B9"/>
    <w:rsid w:val="003E4B01"/>
    <w:rsid w:val="003E682A"/>
    <w:rsid w:val="004320C0"/>
    <w:rsid w:val="0049630C"/>
    <w:rsid w:val="00504934"/>
    <w:rsid w:val="005464F0"/>
    <w:rsid w:val="005545F8"/>
    <w:rsid w:val="005B68D5"/>
    <w:rsid w:val="005D4291"/>
    <w:rsid w:val="00636B36"/>
    <w:rsid w:val="00637037"/>
    <w:rsid w:val="00646B7B"/>
    <w:rsid w:val="0068568F"/>
    <w:rsid w:val="00692DA5"/>
    <w:rsid w:val="007D0D4E"/>
    <w:rsid w:val="0081628A"/>
    <w:rsid w:val="008165EA"/>
    <w:rsid w:val="00816609"/>
    <w:rsid w:val="0082526A"/>
    <w:rsid w:val="0082599E"/>
    <w:rsid w:val="00844658"/>
    <w:rsid w:val="0087331A"/>
    <w:rsid w:val="008D0638"/>
    <w:rsid w:val="00910CDA"/>
    <w:rsid w:val="00925F6F"/>
    <w:rsid w:val="00944D35"/>
    <w:rsid w:val="00995793"/>
    <w:rsid w:val="009E6B96"/>
    <w:rsid w:val="00A41E2A"/>
    <w:rsid w:val="00A86CF5"/>
    <w:rsid w:val="00AC128D"/>
    <w:rsid w:val="00B320C0"/>
    <w:rsid w:val="00BB08D2"/>
    <w:rsid w:val="00BD2289"/>
    <w:rsid w:val="00BD23A5"/>
    <w:rsid w:val="00BF2D1C"/>
    <w:rsid w:val="00C2531D"/>
    <w:rsid w:val="00C72BD2"/>
    <w:rsid w:val="00C91891"/>
    <w:rsid w:val="00C96303"/>
    <w:rsid w:val="00CB632F"/>
    <w:rsid w:val="00CB7DCD"/>
    <w:rsid w:val="00D85952"/>
    <w:rsid w:val="00DE7D93"/>
    <w:rsid w:val="00DF7A32"/>
    <w:rsid w:val="00E05E5E"/>
    <w:rsid w:val="00E240CF"/>
    <w:rsid w:val="00E5192E"/>
    <w:rsid w:val="00E77429"/>
    <w:rsid w:val="00ED0A71"/>
    <w:rsid w:val="00EE34BD"/>
    <w:rsid w:val="00EE6838"/>
    <w:rsid w:val="00EE7B00"/>
    <w:rsid w:val="00F3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2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F2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2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92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69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2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F2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2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92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69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2D7CD7B1.dotm</Template>
  <TotalTime>9</TotalTime>
  <Pages>7</Pages>
  <Words>799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FWO Regulator Performance Framework KPIs</vt:lpstr>
    </vt:vector>
  </TitlesOfParts>
  <Company>Fair Work Ombudsman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FWO Regulator Performance Framework KPIs</dc:title>
  <dc:subject>FWO Regulator Performance Framework KPIs</dc:subject>
  <dc:creator>Fair Work Ombudsman</dc:creator>
  <cp:keywords>FWO Regulator Performance Framework KPIs</cp:keywords>
  <cp:lastModifiedBy>Caitlin Hurse</cp:lastModifiedBy>
  <cp:revision>5</cp:revision>
  <dcterms:created xsi:type="dcterms:W3CDTF">2015-06-26T02:21:00Z</dcterms:created>
  <dcterms:modified xsi:type="dcterms:W3CDTF">2015-06-29T03:42:00Z</dcterms:modified>
</cp:coreProperties>
</file>