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3938" w14:textId="77777777" w:rsidR="00F22392" w:rsidRPr="005E5971" w:rsidRDefault="00F22392" w:rsidP="00F22392">
      <w:pPr>
        <w:pStyle w:val="CoverReportSubTitle"/>
        <w:rPr>
          <w:rFonts w:asciiTheme="minorHAnsi" w:hAnsiTheme="minorHAnsi" w:cstheme="minorHAnsi"/>
        </w:rPr>
      </w:pPr>
    </w:p>
    <w:p w14:paraId="1B2E5374" w14:textId="77777777" w:rsidR="00F22392" w:rsidRPr="005E5971" w:rsidRDefault="00F22392" w:rsidP="00F22392">
      <w:pPr>
        <w:pStyle w:val="CoverReportSubTitle"/>
        <w:rPr>
          <w:rFonts w:asciiTheme="minorHAnsi" w:hAnsiTheme="minorHAnsi" w:cstheme="minorHAnsi"/>
        </w:rPr>
      </w:pPr>
    </w:p>
    <w:p w14:paraId="66712D11" w14:textId="77777777" w:rsidR="00F22392" w:rsidRPr="005E5971" w:rsidRDefault="00F22392" w:rsidP="00F22392">
      <w:pPr>
        <w:pStyle w:val="CoverReportSubTitle"/>
        <w:rPr>
          <w:rFonts w:asciiTheme="minorHAnsi" w:hAnsiTheme="minorHAnsi" w:cstheme="minorHAnsi"/>
        </w:rPr>
      </w:pPr>
    </w:p>
    <w:p w14:paraId="494089BA" w14:textId="77777777" w:rsidR="00F22392" w:rsidRPr="005E5971" w:rsidRDefault="00F22392" w:rsidP="00F22392">
      <w:pPr>
        <w:pStyle w:val="CoverReportSubTitle"/>
        <w:rPr>
          <w:rFonts w:asciiTheme="minorHAnsi" w:hAnsiTheme="minorHAnsi" w:cstheme="minorHAnsi"/>
        </w:rPr>
      </w:pPr>
    </w:p>
    <w:p w14:paraId="661CBD92" w14:textId="77777777" w:rsidR="00F22392" w:rsidRPr="005E5971" w:rsidRDefault="00F22392" w:rsidP="00F22392">
      <w:pPr>
        <w:pStyle w:val="CoverReportSubTitle"/>
        <w:rPr>
          <w:rFonts w:asciiTheme="minorHAnsi" w:hAnsiTheme="minorHAnsi" w:cstheme="minorHAnsi"/>
        </w:rPr>
      </w:pPr>
    </w:p>
    <w:p w14:paraId="3FB521CB" w14:textId="2E0CA665" w:rsidR="00F22392" w:rsidRPr="005E5971" w:rsidRDefault="00F22392" w:rsidP="00F22392">
      <w:pPr>
        <w:pStyle w:val="CoverReportSubTitle"/>
        <w:rPr>
          <w:rFonts w:asciiTheme="minorHAnsi" w:hAnsiTheme="minorHAnsi" w:cstheme="minorHAnsi"/>
        </w:rPr>
      </w:pPr>
    </w:p>
    <w:p w14:paraId="36584882" w14:textId="73E27891" w:rsidR="00F22392" w:rsidRPr="005E5971" w:rsidRDefault="00F22392" w:rsidP="00711D75">
      <w:pPr>
        <w:rPr>
          <w:rFonts w:asciiTheme="minorHAnsi" w:hAnsiTheme="minorHAnsi" w:cstheme="minorHAnsi"/>
        </w:rPr>
      </w:pPr>
    </w:p>
    <w:p w14:paraId="05BA17B9" w14:textId="21DAAEB2" w:rsidR="00F22392" w:rsidRPr="005E5971" w:rsidRDefault="00F22392" w:rsidP="00711D75">
      <w:pPr>
        <w:spacing w:line="240" w:lineRule="auto"/>
        <w:rPr>
          <w:rFonts w:asciiTheme="minorHAnsi" w:hAnsiTheme="minorHAnsi" w:cstheme="minorHAnsi"/>
        </w:rPr>
      </w:pPr>
      <w:r w:rsidRPr="005E5971">
        <w:rPr>
          <w:rFonts w:asciiTheme="minorHAnsi" w:hAnsiTheme="minorHAnsi" w:cstheme="minorHAnsi"/>
          <w:color w:val="FFFFFF" w:themeColor="background1"/>
          <w:sz w:val="56"/>
          <w:szCs w:val="56"/>
        </w:rPr>
        <w:t>Fourth Annual Report</w:t>
      </w:r>
    </w:p>
    <w:p w14:paraId="54ACFEEC" w14:textId="6BA46994" w:rsidR="000024E8" w:rsidRPr="005E5971" w:rsidRDefault="000024E8" w:rsidP="00711D75">
      <w:pPr>
        <w:spacing w:after="0" w:line="240" w:lineRule="auto"/>
        <w:jc w:val="left"/>
        <w:rPr>
          <w:rFonts w:asciiTheme="minorHAnsi" w:hAnsiTheme="minorHAnsi" w:cstheme="minorHAnsi"/>
        </w:rPr>
      </w:pPr>
      <w:r w:rsidRPr="005E5971">
        <w:rPr>
          <w:rFonts w:asciiTheme="minorHAnsi" w:hAnsiTheme="minorHAnsi" w:cstheme="minorHAnsi"/>
        </w:rPr>
        <w:br/>
      </w:r>
    </w:p>
    <w:p w14:paraId="0BBC98DA" w14:textId="73E88D84" w:rsidR="000024E8" w:rsidRPr="005E5971" w:rsidRDefault="000024E8" w:rsidP="000024E8">
      <w:pPr>
        <w:rPr>
          <w:rFonts w:asciiTheme="minorHAnsi" w:hAnsiTheme="minorHAnsi" w:cstheme="minorHAnsi"/>
        </w:rPr>
      </w:pPr>
    </w:p>
    <w:p w14:paraId="3B8A043A" w14:textId="38D107E7" w:rsidR="00F22392" w:rsidRPr="005E5971" w:rsidRDefault="00F22392" w:rsidP="000024E8">
      <w:pPr>
        <w:rPr>
          <w:rFonts w:asciiTheme="minorHAnsi" w:hAnsiTheme="minorHAnsi" w:cstheme="minorHAnsi"/>
        </w:rPr>
      </w:pPr>
    </w:p>
    <w:p w14:paraId="4628F2CC" w14:textId="2BF759B2" w:rsidR="00F22392" w:rsidRPr="005E5971" w:rsidRDefault="00F22392" w:rsidP="000024E8">
      <w:pPr>
        <w:rPr>
          <w:rFonts w:asciiTheme="minorHAnsi" w:hAnsiTheme="minorHAnsi" w:cstheme="minorHAnsi"/>
        </w:rPr>
      </w:pPr>
    </w:p>
    <w:p w14:paraId="4B38D67C" w14:textId="5E891E33" w:rsidR="00F22392" w:rsidRPr="005E5971" w:rsidRDefault="00F22392" w:rsidP="000024E8">
      <w:pPr>
        <w:rPr>
          <w:rFonts w:asciiTheme="minorHAnsi" w:hAnsiTheme="minorHAnsi" w:cstheme="minorHAnsi"/>
        </w:rPr>
      </w:pPr>
    </w:p>
    <w:p w14:paraId="4D586B7C" w14:textId="54204F89" w:rsidR="00F22392" w:rsidRPr="005E5971" w:rsidRDefault="00F22392" w:rsidP="000024E8">
      <w:pPr>
        <w:rPr>
          <w:rFonts w:asciiTheme="minorHAnsi" w:hAnsiTheme="minorHAnsi" w:cstheme="minorHAnsi"/>
        </w:rPr>
      </w:pPr>
    </w:p>
    <w:p w14:paraId="267297C4" w14:textId="77777777" w:rsidR="00F457E4" w:rsidRPr="005E5971" w:rsidRDefault="00F457E4" w:rsidP="00F457E4">
      <w:pPr>
        <w:spacing w:after="0" w:line="240" w:lineRule="auto"/>
        <w:jc w:val="left"/>
        <w:rPr>
          <w:rFonts w:asciiTheme="minorHAnsi" w:hAnsiTheme="minorHAnsi" w:cstheme="minorHAnsi"/>
          <w:sz w:val="36"/>
          <w:szCs w:val="36"/>
        </w:rPr>
      </w:pPr>
    </w:p>
    <w:p w14:paraId="2C7A87C5" w14:textId="77777777" w:rsidR="00F457E4" w:rsidRPr="005E5971" w:rsidRDefault="00F457E4" w:rsidP="00F457E4">
      <w:pPr>
        <w:spacing w:after="0" w:line="240" w:lineRule="auto"/>
        <w:jc w:val="left"/>
        <w:rPr>
          <w:rFonts w:asciiTheme="minorHAnsi" w:hAnsiTheme="minorHAnsi" w:cstheme="minorHAnsi"/>
          <w:sz w:val="36"/>
          <w:szCs w:val="36"/>
        </w:rPr>
      </w:pPr>
    </w:p>
    <w:p w14:paraId="76980C4A" w14:textId="3B4D4010" w:rsidR="00F22392" w:rsidRPr="005E5971" w:rsidRDefault="00523BE0" w:rsidP="0087654A">
      <w:pPr>
        <w:spacing w:after="0" w:line="240" w:lineRule="auto"/>
        <w:jc w:val="left"/>
        <w:rPr>
          <w:rFonts w:asciiTheme="minorHAnsi" w:hAnsiTheme="minorHAnsi" w:cstheme="minorHAnsi"/>
          <w:sz w:val="36"/>
          <w:szCs w:val="36"/>
        </w:rPr>
      </w:pPr>
      <w:r w:rsidRPr="005E5971">
        <w:rPr>
          <w:rFonts w:asciiTheme="minorHAnsi" w:hAnsiTheme="minorHAnsi" w:cstheme="minorHAnsi"/>
          <w:sz w:val="36"/>
          <w:szCs w:val="36"/>
        </w:rPr>
        <w:t>F</w:t>
      </w:r>
      <w:r w:rsidR="00F457E4" w:rsidRPr="005E5971">
        <w:rPr>
          <w:rFonts w:asciiTheme="minorHAnsi" w:hAnsiTheme="minorHAnsi" w:cstheme="minorHAnsi"/>
          <w:sz w:val="36"/>
          <w:szCs w:val="36"/>
        </w:rPr>
        <w:t xml:space="preserve">inal report </w:t>
      </w:r>
      <w:r w:rsidRPr="005E5971">
        <w:rPr>
          <w:rFonts w:asciiTheme="minorHAnsi" w:hAnsiTheme="minorHAnsi" w:cstheme="minorHAnsi"/>
          <w:sz w:val="36"/>
          <w:szCs w:val="36"/>
        </w:rPr>
        <w:t>-</w:t>
      </w:r>
      <w:r w:rsidR="002B6D74" w:rsidRPr="005E5971">
        <w:rPr>
          <w:rFonts w:asciiTheme="minorHAnsi" w:hAnsiTheme="minorHAnsi" w:cstheme="minorHAnsi"/>
          <w:sz w:val="36"/>
          <w:szCs w:val="36"/>
        </w:rPr>
        <w:t xml:space="preserve"> </w:t>
      </w:r>
      <w:r w:rsidR="00FC2B2A">
        <w:rPr>
          <w:rFonts w:asciiTheme="minorHAnsi" w:hAnsiTheme="minorHAnsi" w:cstheme="minorHAnsi"/>
          <w:sz w:val="36"/>
          <w:szCs w:val="36"/>
        </w:rPr>
        <w:t>E</w:t>
      </w:r>
      <w:r w:rsidR="00F457E4" w:rsidRPr="005E5971">
        <w:rPr>
          <w:rFonts w:asciiTheme="minorHAnsi" w:hAnsiTheme="minorHAnsi" w:cstheme="minorHAnsi"/>
          <w:sz w:val="36"/>
          <w:szCs w:val="36"/>
        </w:rPr>
        <w:t xml:space="preserve">nforceable </w:t>
      </w:r>
      <w:r w:rsidR="00FC2B2A">
        <w:rPr>
          <w:rFonts w:asciiTheme="minorHAnsi" w:hAnsiTheme="minorHAnsi" w:cstheme="minorHAnsi"/>
          <w:sz w:val="36"/>
          <w:szCs w:val="36"/>
        </w:rPr>
        <w:t>U</w:t>
      </w:r>
      <w:r w:rsidR="00F457E4" w:rsidRPr="005E5971">
        <w:rPr>
          <w:rFonts w:asciiTheme="minorHAnsi" w:hAnsiTheme="minorHAnsi" w:cstheme="minorHAnsi"/>
          <w:sz w:val="36"/>
          <w:szCs w:val="36"/>
        </w:rPr>
        <w:t>ndertaking between the Fair Work Ombudsman and Coles Supermarkets Australia Pty Ltd</w:t>
      </w:r>
    </w:p>
    <w:p w14:paraId="564FFD92" w14:textId="77777777" w:rsidR="00F22392" w:rsidRPr="005E5971" w:rsidRDefault="00F22392" w:rsidP="000024E8">
      <w:pPr>
        <w:rPr>
          <w:rFonts w:asciiTheme="minorHAnsi" w:hAnsiTheme="minorHAnsi" w:cstheme="minorHAnsi"/>
        </w:rPr>
      </w:pPr>
    </w:p>
    <w:p w14:paraId="5D409300" w14:textId="1EB93B4D" w:rsidR="000024E8" w:rsidRPr="005E5971" w:rsidRDefault="000024E8" w:rsidP="000024E8">
      <w:pPr>
        <w:rPr>
          <w:rFonts w:asciiTheme="minorHAnsi" w:hAnsiTheme="minorHAnsi" w:cstheme="minorHAnsi"/>
        </w:rPr>
      </w:pPr>
      <w:r w:rsidRPr="005E5971">
        <w:rPr>
          <w:rFonts w:asciiTheme="minorHAnsi" w:hAnsiTheme="minorHAnsi" w:cstheme="minorHAnsi"/>
        </w:rPr>
        <w:t xml:space="preserve">© Commonwealth of Australia, </w:t>
      </w:r>
      <w:r w:rsidR="00C12211">
        <w:rPr>
          <w:rFonts w:asciiTheme="minorHAnsi" w:hAnsiTheme="minorHAnsi" w:cstheme="minorHAnsi"/>
        </w:rPr>
        <w:t>2019</w:t>
      </w:r>
      <w:r w:rsidRPr="005E5971">
        <w:rPr>
          <w:rFonts w:asciiTheme="minorHAnsi" w:hAnsiTheme="minorHAnsi" w:cstheme="minorHAnsi"/>
        </w:rPr>
        <w:br w:type="page"/>
      </w:r>
    </w:p>
    <w:p w14:paraId="67A19147" w14:textId="0FE9B804" w:rsidR="000024E8" w:rsidRPr="005E5971" w:rsidRDefault="007F52E4" w:rsidP="00711D75">
      <w:pPr>
        <w:pStyle w:val="Header"/>
        <w:rPr>
          <w:rFonts w:asciiTheme="minorHAnsi" w:hAnsiTheme="minorHAnsi" w:cstheme="minorHAnsi"/>
        </w:rPr>
      </w:pPr>
      <w:r>
        <w:rPr>
          <w:rFonts w:asciiTheme="minorHAnsi" w:hAnsiTheme="minorHAnsi" w:cstheme="minorHAnsi"/>
          <w:noProof/>
          <w:lang w:eastAsia="en-AU"/>
        </w:rPr>
        <w:lastRenderedPageBreak/>
        <w:drawing>
          <wp:anchor distT="0" distB="0" distL="114300" distR="114300" simplePos="0" relativeHeight="251658240" behindDoc="0" locked="0" layoutInCell="1" allowOverlap="1" wp14:anchorId="4EFFE6AB" wp14:editId="22BEF37C">
            <wp:simplePos x="0" y="0"/>
            <wp:positionH relativeFrom="page">
              <wp:align>center</wp:align>
            </wp:positionH>
            <wp:positionV relativeFrom="paragraph">
              <wp:posOffset>-638204</wp:posOffset>
            </wp:positionV>
            <wp:extent cx="7533564" cy="10655941"/>
            <wp:effectExtent l="0" t="0" r="0" b="0"/>
            <wp:wrapNone/>
            <wp:docPr id="1" name="Picture 1" descr="Infographic showing EU results - 768 of 812 stores with in-house trolley collecting, 41 complaints investigated and resolved by Coles, 24 complaints received via Coles hotline, 17 underpayments identified, $67,072 back paid to workers." title="Infographic showing EU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es-eu-p2.png"/>
                    <pic:cNvPicPr/>
                  </pic:nvPicPr>
                  <pic:blipFill>
                    <a:blip r:embed="rId9">
                      <a:extLst>
                        <a:ext uri="{28A0092B-C50C-407E-A947-70E740481C1C}">
                          <a14:useLocalDpi xmlns:a14="http://schemas.microsoft.com/office/drawing/2010/main" val="0"/>
                        </a:ext>
                      </a:extLst>
                    </a:blip>
                    <a:stretch>
                      <a:fillRect/>
                    </a:stretch>
                  </pic:blipFill>
                  <pic:spPr>
                    <a:xfrm>
                      <a:off x="0" y="0"/>
                      <a:ext cx="7533564" cy="10655941"/>
                    </a:xfrm>
                    <a:prstGeom prst="rect">
                      <a:avLst/>
                    </a:prstGeom>
                  </pic:spPr>
                </pic:pic>
              </a:graphicData>
            </a:graphic>
            <wp14:sizeRelH relativeFrom="page">
              <wp14:pctWidth>0</wp14:pctWidth>
            </wp14:sizeRelH>
            <wp14:sizeRelV relativeFrom="page">
              <wp14:pctHeight>0</wp14:pctHeight>
            </wp14:sizeRelV>
          </wp:anchor>
        </w:drawing>
      </w:r>
      <w:r w:rsidR="000024E8" w:rsidRPr="005E5971">
        <w:rPr>
          <w:rFonts w:asciiTheme="minorHAnsi" w:hAnsiTheme="minorHAnsi" w:cstheme="minorHAnsi"/>
        </w:rPr>
        <w:br w:type="page"/>
      </w:r>
    </w:p>
    <w:p w14:paraId="3DD0AF85" w14:textId="77777777" w:rsidR="00F22392" w:rsidRPr="005E5971" w:rsidRDefault="00F22392" w:rsidP="00B477B4">
      <w:pPr>
        <w:pStyle w:val="Heading1"/>
      </w:pPr>
      <w:r w:rsidRPr="005E5971">
        <w:lastRenderedPageBreak/>
        <w:t>Annual Report</w:t>
      </w:r>
    </w:p>
    <w:p w14:paraId="09EA4E7F" w14:textId="25F0F8EC" w:rsidR="00F22392" w:rsidRPr="005E5971" w:rsidRDefault="00F22392" w:rsidP="002B6D74">
      <w:pPr>
        <w:jc w:val="left"/>
        <w:rPr>
          <w:rFonts w:asciiTheme="minorHAnsi" w:hAnsiTheme="minorHAnsi" w:cstheme="minorHAnsi"/>
        </w:rPr>
      </w:pPr>
      <w:r w:rsidRPr="005E5971">
        <w:rPr>
          <w:rFonts w:asciiTheme="minorHAnsi" w:hAnsiTheme="minorHAnsi" w:cstheme="minorHAnsi"/>
        </w:rPr>
        <w:t xml:space="preserve">This is the fourth and final annual report regarding the </w:t>
      </w:r>
      <w:r w:rsidR="00FC2B2A">
        <w:rPr>
          <w:rFonts w:asciiTheme="minorHAnsi" w:hAnsiTheme="minorHAnsi" w:cstheme="minorHAnsi"/>
        </w:rPr>
        <w:t>Enforceable U</w:t>
      </w:r>
      <w:r w:rsidR="001C3D9D" w:rsidRPr="005E5971">
        <w:rPr>
          <w:rFonts w:asciiTheme="minorHAnsi" w:hAnsiTheme="minorHAnsi" w:cstheme="minorHAnsi"/>
        </w:rPr>
        <w:t>ndertaking</w:t>
      </w:r>
      <w:r w:rsidRPr="005E5971">
        <w:rPr>
          <w:rFonts w:asciiTheme="minorHAnsi" w:hAnsiTheme="minorHAnsi" w:cstheme="minorHAnsi"/>
        </w:rPr>
        <w:t xml:space="preserve"> [EU]</w:t>
      </w:r>
      <w:r w:rsidR="001C3D9D" w:rsidRPr="005E5971">
        <w:rPr>
          <w:rStyle w:val="FootnoteReference"/>
          <w:rFonts w:asciiTheme="minorHAnsi" w:hAnsiTheme="minorHAnsi" w:cstheme="minorHAnsi"/>
        </w:rPr>
        <w:footnoteReference w:id="1"/>
      </w:r>
      <w:r w:rsidRPr="005E5971">
        <w:rPr>
          <w:rFonts w:asciiTheme="minorHAnsi" w:hAnsiTheme="minorHAnsi" w:cstheme="minorHAnsi"/>
        </w:rPr>
        <w:t xml:space="preserve"> between the Fair Work Ombudsman (FWO) and Coles Supermarkets Australia Pty Ltd (Coles) [ACN 004 189 708].</w:t>
      </w:r>
      <w:r w:rsidR="001C3D9D" w:rsidRPr="005E5971">
        <w:rPr>
          <w:rStyle w:val="FootnoteReference"/>
          <w:rFonts w:asciiTheme="minorHAnsi" w:hAnsiTheme="minorHAnsi" w:cstheme="minorHAnsi"/>
        </w:rPr>
        <w:footnoteReference w:id="2"/>
      </w:r>
    </w:p>
    <w:p w14:paraId="7CD2150E" w14:textId="77777777" w:rsidR="00F22392" w:rsidRPr="005E5971" w:rsidRDefault="00F22392" w:rsidP="00B477B4">
      <w:pPr>
        <w:pStyle w:val="Heading1"/>
      </w:pPr>
      <w:r w:rsidRPr="005E5971">
        <w:t>Background</w:t>
      </w:r>
    </w:p>
    <w:p w14:paraId="227EBFC3" w14:textId="7542E9A6" w:rsidR="00F22392" w:rsidRPr="005E5971" w:rsidRDefault="00F22392" w:rsidP="002B6D74">
      <w:pPr>
        <w:jc w:val="left"/>
        <w:rPr>
          <w:rFonts w:asciiTheme="minorHAnsi" w:hAnsiTheme="minorHAnsi" w:cstheme="minorHAnsi"/>
        </w:rPr>
      </w:pPr>
      <w:r w:rsidRPr="005E5971">
        <w:rPr>
          <w:rFonts w:asciiTheme="minorHAnsi" w:hAnsiTheme="minorHAnsi" w:cstheme="minorHAnsi"/>
        </w:rPr>
        <w:t>In 2012, the FWO commenced legal proceedings against two sub-contractors providing trolley collecting services at several Coles sites, alleging they had underpaid 10 trolley collectors over $</w:t>
      </w:r>
      <w:r w:rsidR="00E400E7" w:rsidRPr="005E5971">
        <w:rPr>
          <w:rFonts w:asciiTheme="minorHAnsi" w:hAnsiTheme="minorHAnsi" w:cstheme="minorHAnsi"/>
        </w:rPr>
        <w:t>20</w:t>
      </w:r>
      <w:r w:rsidRPr="005E5971">
        <w:rPr>
          <w:rFonts w:asciiTheme="minorHAnsi" w:hAnsiTheme="minorHAnsi" w:cstheme="minorHAnsi"/>
        </w:rPr>
        <w:t xml:space="preserve">0 000. However, the sub-contracting companies went into liquidation during the proceedings and the amounts owing to the employees remained unpaid.  </w:t>
      </w:r>
    </w:p>
    <w:p w14:paraId="738F511C" w14:textId="4511F16F" w:rsidR="00F22392" w:rsidRPr="005E5971" w:rsidRDefault="00F22392" w:rsidP="002B6D74">
      <w:pPr>
        <w:jc w:val="left"/>
        <w:rPr>
          <w:rFonts w:asciiTheme="minorHAnsi" w:hAnsiTheme="minorHAnsi" w:cstheme="minorHAnsi"/>
        </w:rPr>
      </w:pPr>
      <w:r w:rsidRPr="005E5971">
        <w:rPr>
          <w:rFonts w:asciiTheme="minorHAnsi" w:hAnsiTheme="minorHAnsi" w:cstheme="minorHAnsi"/>
        </w:rPr>
        <w:t xml:space="preserve">In 2014, in response to the proceedings, Coles entered into an EU with the FWO, publicly declaring its “ethical and moral responsibility” to join with the FWO in stamping out the exploitation of vulnerable trolley collectors. </w:t>
      </w:r>
    </w:p>
    <w:p w14:paraId="5C27A4FE" w14:textId="261BDA5F" w:rsidR="00F22392" w:rsidRPr="005E5971" w:rsidRDefault="00F22392" w:rsidP="002B6D74">
      <w:pPr>
        <w:jc w:val="left"/>
        <w:rPr>
          <w:rFonts w:asciiTheme="minorHAnsi" w:hAnsiTheme="minorHAnsi" w:cstheme="minorHAnsi"/>
        </w:rPr>
      </w:pPr>
      <w:r w:rsidRPr="005E5971">
        <w:rPr>
          <w:rFonts w:asciiTheme="minorHAnsi" w:hAnsiTheme="minorHAnsi" w:cstheme="minorHAnsi"/>
        </w:rPr>
        <w:t xml:space="preserve">One of Coles’ commitments was to rectify the outstanding amounts owed to the 10 trolley collectors, which it did on an </w:t>
      </w:r>
      <w:r w:rsidRPr="005E5971">
        <w:rPr>
          <w:rFonts w:asciiTheme="minorHAnsi" w:hAnsiTheme="minorHAnsi" w:cstheme="minorHAnsi"/>
          <w:i/>
        </w:rPr>
        <w:t>ex-gratia</w:t>
      </w:r>
      <w:r w:rsidRPr="005E5971">
        <w:rPr>
          <w:rFonts w:asciiTheme="minorHAnsi" w:hAnsiTheme="minorHAnsi" w:cstheme="minorHAnsi"/>
        </w:rPr>
        <w:t xml:space="preserve"> basis</w:t>
      </w:r>
      <w:r w:rsidR="0087654A" w:rsidRPr="005E5971">
        <w:rPr>
          <w:rFonts w:asciiTheme="minorHAnsi" w:hAnsiTheme="minorHAnsi" w:cstheme="minorHAnsi"/>
        </w:rPr>
        <w:t xml:space="preserve">. </w:t>
      </w:r>
      <w:r w:rsidRPr="005E5971">
        <w:rPr>
          <w:rFonts w:asciiTheme="minorHAnsi" w:hAnsiTheme="minorHAnsi" w:cstheme="minorHAnsi"/>
        </w:rPr>
        <w:t>Other key obligations in the EU included:</w:t>
      </w:r>
    </w:p>
    <w:p w14:paraId="77F18DFF" w14:textId="4570E085" w:rsidR="00F22392" w:rsidRPr="005E5971" w:rsidRDefault="00F22392" w:rsidP="002B6D74">
      <w:pPr>
        <w:pStyle w:val="ListParagraph"/>
        <w:numPr>
          <w:ilvl w:val="0"/>
          <w:numId w:val="22"/>
        </w:numPr>
        <w:jc w:val="left"/>
        <w:rPr>
          <w:rFonts w:asciiTheme="minorHAnsi" w:hAnsiTheme="minorHAnsi" w:cstheme="minorHAnsi"/>
        </w:rPr>
      </w:pPr>
      <w:r w:rsidRPr="005E5971">
        <w:rPr>
          <w:rFonts w:asciiTheme="minorHAnsi" w:hAnsiTheme="minorHAnsi" w:cstheme="minorHAnsi"/>
        </w:rPr>
        <w:t xml:space="preserve">communicating the existence of the EU to all employees and to Coles’ trolley collection service provider, United Trolley Collections (UTC) </w:t>
      </w:r>
    </w:p>
    <w:p w14:paraId="08E154CB" w14:textId="2F475D7C" w:rsidR="00F22392" w:rsidRPr="005E5971" w:rsidRDefault="00F22392" w:rsidP="002B6D74">
      <w:pPr>
        <w:pStyle w:val="ListParagraph"/>
        <w:numPr>
          <w:ilvl w:val="0"/>
          <w:numId w:val="22"/>
        </w:numPr>
        <w:jc w:val="left"/>
        <w:rPr>
          <w:rFonts w:asciiTheme="minorHAnsi" w:hAnsiTheme="minorHAnsi" w:cstheme="minorHAnsi"/>
        </w:rPr>
      </w:pPr>
      <w:r w:rsidRPr="005E5971">
        <w:rPr>
          <w:rFonts w:asciiTheme="minorHAnsi" w:hAnsiTheme="minorHAnsi" w:cstheme="minorHAnsi"/>
        </w:rPr>
        <w:t>maintaining and advertising a wage underpayment hotline</w:t>
      </w:r>
      <w:r w:rsidR="002B6D74" w:rsidRPr="005E5971">
        <w:rPr>
          <w:rFonts w:asciiTheme="minorHAnsi" w:hAnsiTheme="minorHAnsi" w:cstheme="minorHAnsi"/>
        </w:rPr>
        <w:t xml:space="preserve"> (the Hotline)</w:t>
      </w:r>
    </w:p>
    <w:p w14:paraId="477EAB9D" w14:textId="603B3C74" w:rsidR="00F22392" w:rsidRPr="005E5971" w:rsidRDefault="00F22392" w:rsidP="002B6D74">
      <w:pPr>
        <w:pStyle w:val="ListParagraph"/>
        <w:numPr>
          <w:ilvl w:val="0"/>
          <w:numId w:val="22"/>
        </w:numPr>
        <w:jc w:val="left"/>
        <w:rPr>
          <w:rFonts w:asciiTheme="minorHAnsi" w:hAnsiTheme="minorHAnsi" w:cstheme="minorHAnsi"/>
        </w:rPr>
      </w:pPr>
      <w:r w:rsidRPr="005E5971">
        <w:rPr>
          <w:rFonts w:asciiTheme="minorHAnsi" w:hAnsiTheme="minorHAnsi" w:cstheme="minorHAnsi"/>
        </w:rPr>
        <w:t xml:space="preserve">investigating trolley collecting wage complaints within 28 days of </w:t>
      </w:r>
      <w:r w:rsidR="002B6D74" w:rsidRPr="005E5971">
        <w:rPr>
          <w:rFonts w:asciiTheme="minorHAnsi" w:hAnsiTheme="minorHAnsi" w:cstheme="minorHAnsi"/>
        </w:rPr>
        <w:t xml:space="preserve">their </w:t>
      </w:r>
      <w:r w:rsidRPr="005E5971">
        <w:rPr>
          <w:rFonts w:asciiTheme="minorHAnsi" w:hAnsiTheme="minorHAnsi" w:cstheme="minorHAnsi"/>
        </w:rPr>
        <w:t>receipt</w:t>
      </w:r>
    </w:p>
    <w:p w14:paraId="618A84E5" w14:textId="77777777" w:rsidR="00F22392" w:rsidRPr="005E5971" w:rsidRDefault="00F22392" w:rsidP="002B6D74">
      <w:pPr>
        <w:pStyle w:val="ListParagraph"/>
        <w:numPr>
          <w:ilvl w:val="0"/>
          <w:numId w:val="22"/>
        </w:numPr>
        <w:jc w:val="left"/>
        <w:rPr>
          <w:rFonts w:asciiTheme="minorHAnsi" w:hAnsiTheme="minorHAnsi" w:cstheme="minorHAnsi"/>
        </w:rPr>
      </w:pPr>
      <w:r w:rsidRPr="005E5971">
        <w:rPr>
          <w:rFonts w:asciiTheme="minorHAnsi" w:hAnsiTheme="minorHAnsi" w:cstheme="minorHAnsi"/>
        </w:rPr>
        <w:t>extending its in-house trolley collection model so that collection is undertaken by direct employees at all stores</w:t>
      </w:r>
    </w:p>
    <w:p w14:paraId="1A191D62" w14:textId="77777777" w:rsidR="00F22392" w:rsidRPr="005E5971" w:rsidRDefault="00F22392" w:rsidP="002B6D74">
      <w:pPr>
        <w:pStyle w:val="ListParagraph"/>
        <w:numPr>
          <w:ilvl w:val="0"/>
          <w:numId w:val="22"/>
        </w:numPr>
        <w:jc w:val="left"/>
        <w:rPr>
          <w:rFonts w:asciiTheme="minorHAnsi" w:hAnsiTheme="minorHAnsi" w:cstheme="minorHAnsi"/>
        </w:rPr>
      </w:pPr>
      <w:r w:rsidRPr="005E5971">
        <w:rPr>
          <w:rFonts w:asciiTheme="minorHAnsi" w:hAnsiTheme="minorHAnsi" w:cstheme="minorHAnsi"/>
        </w:rPr>
        <w:t>establishing a $500 000 “Guarantee” reserve fund, to be distributed to trolley collectors employed by UTC or its subcontractors if their trolley collectors are found to be underpaid</w:t>
      </w:r>
    </w:p>
    <w:p w14:paraId="3461B890" w14:textId="4AF93B89" w:rsidR="00F22392" w:rsidRPr="005E5971" w:rsidRDefault="00F22392" w:rsidP="002B6D74">
      <w:pPr>
        <w:pStyle w:val="ListParagraph"/>
        <w:numPr>
          <w:ilvl w:val="0"/>
          <w:numId w:val="22"/>
        </w:numPr>
        <w:jc w:val="left"/>
        <w:rPr>
          <w:rFonts w:asciiTheme="minorHAnsi" w:hAnsiTheme="minorHAnsi" w:cstheme="minorHAnsi"/>
        </w:rPr>
      </w:pPr>
      <w:r w:rsidRPr="005E5971">
        <w:rPr>
          <w:rFonts w:asciiTheme="minorHAnsi" w:hAnsiTheme="minorHAnsi" w:cstheme="minorHAnsi"/>
        </w:rPr>
        <w:t>annual audits of at least 20% of UTC sub-contractors in each year of the EU, to be independently reviewed and certified by a Certified Practicing Accountant (CPA)</w:t>
      </w:r>
    </w:p>
    <w:p w14:paraId="23F2324C" w14:textId="7A2A0E6A" w:rsidR="00F22392" w:rsidRPr="005E5971" w:rsidRDefault="00F22392" w:rsidP="002B6D74">
      <w:pPr>
        <w:pStyle w:val="ListParagraph"/>
        <w:numPr>
          <w:ilvl w:val="0"/>
          <w:numId w:val="22"/>
        </w:numPr>
        <w:jc w:val="left"/>
        <w:rPr>
          <w:rFonts w:asciiTheme="minorHAnsi" w:hAnsiTheme="minorHAnsi" w:cstheme="minorHAnsi"/>
        </w:rPr>
      </w:pPr>
      <w:r w:rsidRPr="005E5971">
        <w:rPr>
          <w:rFonts w:asciiTheme="minorHAnsi" w:hAnsiTheme="minorHAnsi" w:cstheme="minorHAnsi"/>
        </w:rPr>
        <w:t>designing and implementing a workplace relations training program for staff managing and/or procuring trolley collection services</w:t>
      </w:r>
    </w:p>
    <w:p w14:paraId="622CD7E3" w14:textId="4B3EBEBD" w:rsidR="00BA1799" w:rsidRPr="005E5971" w:rsidRDefault="00BA1799" w:rsidP="002B6D74">
      <w:pPr>
        <w:pStyle w:val="ListParagraph"/>
        <w:numPr>
          <w:ilvl w:val="0"/>
          <w:numId w:val="22"/>
        </w:numPr>
        <w:jc w:val="left"/>
        <w:rPr>
          <w:rFonts w:asciiTheme="minorHAnsi" w:hAnsiTheme="minorHAnsi" w:cstheme="minorHAnsi"/>
        </w:rPr>
      </w:pPr>
      <w:proofErr w:type="gramStart"/>
      <w:r w:rsidRPr="005E5971">
        <w:rPr>
          <w:rFonts w:asciiTheme="minorHAnsi" w:hAnsiTheme="minorHAnsi" w:cstheme="minorHAnsi"/>
        </w:rPr>
        <w:t>reporting</w:t>
      </w:r>
      <w:proofErr w:type="gramEnd"/>
      <w:r w:rsidRPr="005E5971">
        <w:rPr>
          <w:rFonts w:asciiTheme="minorHAnsi" w:hAnsiTheme="minorHAnsi" w:cstheme="minorHAnsi"/>
        </w:rPr>
        <w:t xml:space="preserve"> annually to the FWO on its investigation into complaints received from trolley collectors.</w:t>
      </w:r>
    </w:p>
    <w:p w14:paraId="600DCF78" w14:textId="73A74B85" w:rsidR="00F22392" w:rsidRPr="005E5971" w:rsidRDefault="00270ACA" w:rsidP="00B477B4">
      <w:pPr>
        <w:pStyle w:val="Heading1"/>
      </w:pPr>
      <w:r w:rsidRPr="005E5971">
        <w:lastRenderedPageBreak/>
        <w:t xml:space="preserve">Review of </w:t>
      </w:r>
      <w:r w:rsidR="00F22392" w:rsidRPr="005E5971">
        <w:t>Coles</w:t>
      </w:r>
      <w:r w:rsidRPr="005E5971">
        <w:t>’</w:t>
      </w:r>
      <w:r w:rsidR="00F22392" w:rsidRPr="005E5971">
        <w:t xml:space="preserve"> </w:t>
      </w:r>
      <w:r w:rsidR="00805EAC" w:rsidRPr="005E5971">
        <w:t>Progress</w:t>
      </w:r>
    </w:p>
    <w:p w14:paraId="01B6EAA2" w14:textId="523462C4" w:rsidR="00B54D37" w:rsidRPr="005E5971" w:rsidRDefault="00B54D37" w:rsidP="00B477B4">
      <w:pPr>
        <w:pStyle w:val="Heading2"/>
      </w:pPr>
      <w:r w:rsidRPr="005E5971">
        <w:t>In</w:t>
      </w:r>
      <w:r w:rsidR="00093068" w:rsidRPr="005E5971">
        <w:t>-house</w:t>
      </w:r>
      <w:r w:rsidRPr="005E5971">
        <w:t xml:space="preserve"> trolley </w:t>
      </w:r>
      <w:r w:rsidR="00093068" w:rsidRPr="005E5971">
        <w:t>collection</w:t>
      </w:r>
    </w:p>
    <w:p w14:paraId="2543A920" w14:textId="6A76D8ED" w:rsidR="00F22392" w:rsidRPr="005E5971" w:rsidRDefault="00B24223" w:rsidP="00F22392">
      <w:pPr>
        <w:rPr>
          <w:rFonts w:asciiTheme="minorHAnsi" w:hAnsiTheme="minorHAnsi" w:cstheme="minorHAnsi"/>
        </w:rPr>
      </w:pPr>
      <w:r w:rsidRPr="005E5971">
        <w:rPr>
          <w:rFonts w:asciiTheme="minorHAnsi" w:hAnsiTheme="minorHAnsi" w:cstheme="minorHAnsi"/>
        </w:rPr>
        <w:t xml:space="preserve">During the period of the </w:t>
      </w:r>
      <w:r w:rsidR="00F22392" w:rsidRPr="005E5971">
        <w:rPr>
          <w:rFonts w:asciiTheme="minorHAnsi" w:hAnsiTheme="minorHAnsi" w:cstheme="minorHAnsi"/>
        </w:rPr>
        <w:t>EU</w:t>
      </w:r>
      <w:r w:rsidRPr="005E5971">
        <w:rPr>
          <w:rFonts w:asciiTheme="minorHAnsi" w:hAnsiTheme="minorHAnsi" w:cstheme="minorHAnsi"/>
        </w:rPr>
        <w:t>,</w:t>
      </w:r>
      <w:r w:rsidR="00F22392" w:rsidRPr="005E5971">
        <w:rPr>
          <w:rFonts w:asciiTheme="minorHAnsi" w:hAnsiTheme="minorHAnsi" w:cstheme="minorHAnsi"/>
        </w:rPr>
        <w:t xml:space="preserve"> Coles has committed to positively influencing the settings </w:t>
      </w:r>
      <w:r w:rsidR="00805EAC" w:rsidRPr="005E5971">
        <w:rPr>
          <w:rFonts w:asciiTheme="minorHAnsi" w:hAnsiTheme="minorHAnsi" w:cstheme="minorHAnsi"/>
        </w:rPr>
        <w:t xml:space="preserve">that </w:t>
      </w:r>
      <w:r w:rsidR="00F22392" w:rsidRPr="005E5971">
        <w:rPr>
          <w:rFonts w:asciiTheme="minorHAnsi" w:hAnsiTheme="minorHAnsi" w:cstheme="minorHAnsi"/>
        </w:rPr>
        <w:t xml:space="preserve">determine whether unlawful conduct occurs within its labour supply chain. </w:t>
      </w:r>
    </w:p>
    <w:p w14:paraId="2FBBF6FC" w14:textId="75FCEE37" w:rsidR="00F22392" w:rsidRPr="005E5971" w:rsidRDefault="00AC76C3" w:rsidP="00F22392">
      <w:pPr>
        <w:rPr>
          <w:rFonts w:asciiTheme="minorHAnsi" w:hAnsiTheme="minorHAnsi" w:cstheme="minorHAnsi"/>
          <w:szCs w:val="22"/>
        </w:rPr>
      </w:pPr>
      <w:r w:rsidRPr="005E5971">
        <w:rPr>
          <w:rFonts w:asciiTheme="minorHAnsi" w:hAnsiTheme="minorHAnsi" w:cstheme="minorHAnsi"/>
          <w:szCs w:val="22"/>
        </w:rPr>
        <w:t xml:space="preserve">As part its EU commitments, </w:t>
      </w:r>
      <w:r w:rsidR="00F22392" w:rsidRPr="005E5971">
        <w:rPr>
          <w:rFonts w:asciiTheme="minorHAnsi" w:hAnsiTheme="minorHAnsi" w:cstheme="minorHAnsi"/>
          <w:szCs w:val="22"/>
        </w:rPr>
        <w:t xml:space="preserve">Coles has continued to bring car park trolley collection in-house. </w:t>
      </w:r>
      <w:r w:rsidR="00093068" w:rsidRPr="005E5971">
        <w:rPr>
          <w:rFonts w:asciiTheme="minorHAnsi" w:hAnsiTheme="minorHAnsi" w:cstheme="minorHAnsi"/>
          <w:szCs w:val="22"/>
        </w:rPr>
        <w:t xml:space="preserve">This process was already underway at the </w:t>
      </w:r>
      <w:r w:rsidR="00F22392" w:rsidRPr="005E5971">
        <w:rPr>
          <w:rFonts w:asciiTheme="minorHAnsi" w:hAnsiTheme="minorHAnsi" w:cstheme="minorHAnsi"/>
          <w:szCs w:val="22"/>
        </w:rPr>
        <w:t>commencement of the EU</w:t>
      </w:r>
      <w:r w:rsidR="00093068" w:rsidRPr="005E5971">
        <w:rPr>
          <w:rFonts w:asciiTheme="minorHAnsi" w:hAnsiTheme="minorHAnsi" w:cstheme="minorHAnsi"/>
          <w:szCs w:val="22"/>
        </w:rPr>
        <w:t xml:space="preserve"> (2014), </w:t>
      </w:r>
      <w:r w:rsidR="00F22392" w:rsidRPr="005E5971">
        <w:rPr>
          <w:rFonts w:asciiTheme="minorHAnsi" w:hAnsiTheme="minorHAnsi" w:cstheme="minorHAnsi"/>
          <w:szCs w:val="22"/>
        </w:rPr>
        <w:t xml:space="preserve">starting at locations where converting to the in-house model was less of a logistical challenge. </w:t>
      </w:r>
    </w:p>
    <w:p w14:paraId="58FEEA87" w14:textId="2E183AE7" w:rsidR="00F22392" w:rsidRPr="005E5971" w:rsidRDefault="00F22392" w:rsidP="00F22392">
      <w:pPr>
        <w:rPr>
          <w:rFonts w:asciiTheme="minorHAnsi" w:hAnsiTheme="minorHAnsi" w:cstheme="minorHAnsi"/>
          <w:szCs w:val="22"/>
        </w:rPr>
      </w:pPr>
      <w:r w:rsidRPr="005E5971">
        <w:rPr>
          <w:rFonts w:asciiTheme="minorHAnsi" w:hAnsiTheme="minorHAnsi" w:cstheme="minorHAnsi"/>
          <w:szCs w:val="22"/>
        </w:rPr>
        <w:t xml:space="preserve">Coles </w:t>
      </w:r>
      <w:r w:rsidR="00093068" w:rsidRPr="005E5971">
        <w:rPr>
          <w:rFonts w:asciiTheme="minorHAnsi" w:hAnsiTheme="minorHAnsi" w:cstheme="minorHAnsi"/>
          <w:szCs w:val="22"/>
        </w:rPr>
        <w:t xml:space="preserve">continued to </w:t>
      </w:r>
      <w:r w:rsidRPr="005E5971">
        <w:rPr>
          <w:rFonts w:asciiTheme="minorHAnsi" w:hAnsiTheme="minorHAnsi" w:cstheme="minorHAnsi"/>
          <w:szCs w:val="22"/>
        </w:rPr>
        <w:t>report</w:t>
      </w:r>
      <w:r w:rsidR="00093068" w:rsidRPr="005E5971">
        <w:rPr>
          <w:rFonts w:asciiTheme="minorHAnsi" w:hAnsiTheme="minorHAnsi" w:cstheme="minorHAnsi"/>
          <w:szCs w:val="22"/>
        </w:rPr>
        <w:t xml:space="preserve"> </w:t>
      </w:r>
      <w:r w:rsidRPr="005E5971">
        <w:rPr>
          <w:rFonts w:asciiTheme="minorHAnsi" w:hAnsiTheme="minorHAnsi" w:cstheme="minorHAnsi"/>
          <w:szCs w:val="22"/>
        </w:rPr>
        <w:t xml:space="preserve">annually to FWO on the progress of car park trolley collection insourcing. Prior to the commencement of the EU, around 400 stores used </w:t>
      </w:r>
      <w:r w:rsidR="00093068" w:rsidRPr="005E5971">
        <w:rPr>
          <w:rFonts w:asciiTheme="minorHAnsi" w:hAnsiTheme="minorHAnsi" w:cstheme="minorHAnsi"/>
          <w:szCs w:val="22"/>
        </w:rPr>
        <w:t xml:space="preserve">the </w:t>
      </w:r>
      <w:r w:rsidRPr="005E5971">
        <w:rPr>
          <w:rFonts w:asciiTheme="minorHAnsi" w:hAnsiTheme="minorHAnsi" w:cstheme="minorHAnsi"/>
          <w:szCs w:val="22"/>
        </w:rPr>
        <w:t xml:space="preserve">in-house </w:t>
      </w:r>
      <w:r w:rsidR="00093068" w:rsidRPr="005E5971">
        <w:rPr>
          <w:rFonts w:asciiTheme="minorHAnsi" w:hAnsiTheme="minorHAnsi" w:cstheme="minorHAnsi"/>
          <w:szCs w:val="22"/>
        </w:rPr>
        <w:t xml:space="preserve">model. </w:t>
      </w:r>
      <w:r w:rsidR="00F8479D" w:rsidRPr="005E5971">
        <w:rPr>
          <w:rFonts w:asciiTheme="minorHAnsi" w:hAnsiTheme="minorHAnsi" w:cstheme="minorHAnsi"/>
          <w:szCs w:val="22"/>
        </w:rPr>
        <w:t xml:space="preserve">Over the </w:t>
      </w:r>
      <w:r w:rsidR="00CD3F6A" w:rsidRPr="005E5971">
        <w:rPr>
          <w:rFonts w:asciiTheme="minorHAnsi" w:hAnsiTheme="minorHAnsi" w:cstheme="minorHAnsi"/>
          <w:szCs w:val="22"/>
        </w:rPr>
        <w:t>duration</w:t>
      </w:r>
      <w:r w:rsidR="00F8479D" w:rsidRPr="005E5971">
        <w:rPr>
          <w:rFonts w:asciiTheme="minorHAnsi" w:hAnsiTheme="minorHAnsi" w:cstheme="minorHAnsi"/>
          <w:szCs w:val="22"/>
        </w:rPr>
        <w:t xml:space="preserve"> of the EU,</w:t>
      </w:r>
      <w:r w:rsidRPr="005E5971">
        <w:rPr>
          <w:rFonts w:asciiTheme="minorHAnsi" w:hAnsiTheme="minorHAnsi" w:cstheme="minorHAnsi"/>
          <w:szCs w:val="22"/>
        </w:rPr>
        <w:t xml:space="preserve"> as the table below demonstrates, </w:t>
      </w:r>
      <w:r w:rsidR="00093068" w:rsidRPr="005E5971">
        <w:rPr>
          <w:rFonts w:asciiTheme="minorHAnsi" w:hAnsiTheme="minorHAnsi" w:cstheme="minorHAnsi"/>
          <w:szCs w:val="22"/>
        </w:rPr>
        <w:t>the company</w:t>
      </w:r>
      <w:r w:rsidRPr="005E5971">
        <w:rPr>
          <w:rFonts w:asciiTheme="minorHAnsi" w:hAnsiTheme="minorHAnsi" w:cstheme="minorHAnsi"/>
          <w:szCs w:val="22"/>
        </w:rPr>
        <w:t xml:space="preserve"> has made consistent progress towards insourcing all car park trolley collection</w:t>
      </w:r>
      <w:r w:rsidR="00F8479D" w:rsidRPr="005E5971">
        <w:rPr>
          <w:rFonts w:asciiTheme="minorHAnsi" w:hAnsiTheme="minorHAnsi" w:cstheme="minorHAnsi"/>
          <w:szCs w:val="22"/>
        </w:rPr>
        <w:t xml:space="preserve"> operations</w:t>
      </w:r>
      <w:r w:rsidRPr="005E5971">
        <w:rPr>
          <w:rFonts w:asciiTheme="minorHAnsi" w:hAnsiTheme="minorHAnsi" w:cstheme="minorHAnsi"/>
          <w:szCs w:val="22"/>
        </w:rPr>
        <w:t>.</w:t>
      </w:r>
    </w:p>
    <w:p w14:paraId="467813BC" w14:textId="798EC5B1" w:rsidR="00F22392" w:rsidRPr="005E5971" w:rsidRDefault="00F22392" w:rsidP="00711D75">
      <w:pPr>
        <w:jc w:val="left"/>
        <w:rPr>
          <w:rFonts w:asciiTheme="minorHAnsi" w:hAnsiTheme="minorHAnsi" w:cstheme="minorHAnsi"/>
          <w:b/>
        </w:rPr>
      </w:pPr>
      <w:r w:rsidRPr="005E5971">
        <w:rPr>
          <w:rFonts w:asciiTheme="minorHAnsi" w:hAnsiTheme="minorHAnsi" w:cstheme="minorHAnsi"/>
          <w:b/>
          <w:szCs w:val="22"/>
        </w:rPr>
        <w:t xml:space="preserve">Table 1: Coles’ conversion of car park trolley collection to in-house </w:t>
      </w:r>
      <w:r w:rsidR="00961CD0" w:rsidRPr="005E5971">
        <w:rPr>
          <w:rFonts w:asciiTheme="minorHAnsi" w:hAnsiTheme="minorHAnsi" w:cstheme="minorHAnsi"/>
          <w:b/>
          <w:szCs w:val="22"/>
        </w:rPr>
        <w:t>operations</w:t>
      </w:r>
    </w:p>
    <w:tbl>
      <w:tblPr>
        <w:tblW w:w="9072" w:type="dxa"/>
        <w:tblInd w:w="108" w:type="dxa"/>
        <w:tblLook w:val="04A0" w:firstRow="1" w:lastRow="0" w:firstColumn="1" w:lastColumn="0" w:noHBand="0" w:noVBand="1"/>
      </w:tblPr>
      <w:tblGrid>
        <w:gridCol w:w="1429"/>
        <w:gridCol w:w="2540"/>
        <w:gridCol w:w="1985"/>
        <w:gridCol w:w="3118"/>
      </w:tblGrid>
      <w:tr w:rsidR="00F22392" w:rsidRPr="005E5971" w14:paraId="5A2C223C" w14:textId="77777777" w:rsidTr="001C65E8">
        <w:trPr>
          <w:trHeight w:val="576"/>
          <w:tblHeader/>
        </w:trPr>
        <w:tc>
          <w:tcPr>
            <w:tcW w:w="1429" w:type="dxa"/>
            <w:tcBorders>
              <w:top w:val="single" w:sz="4" w:space="0" w:color="auto"/>
              <w:left w:val="single" w:sz="4" w:space="0" w:color="auto"/>
              <w:bottom w:val="single" w:sz="4" w:space="0" w:color="auto"/>
              <w:right w:val="single" w:sz="4" w:space="0" w:color="auto"/>
            </w:tcBorders>
            <w:shd w:val="clear" w:color="000000" w:fill="BDE7EE"/>
            <w:vAlign w:val="center"/>
          </w:tcPr>
          <w:p w14:paraId="0799F335" w14:textId="77777777" w:rsidR="00F22392" w:rsidRPr="005E5971" w:rsidRDefault="00F22392" w:rsidP="00711D75">
            <w:pPr>
              <w:spacing w:after="0" w:line="240" w:lineRule="auto"/>
              <w:jc w:val="center"/>
              <w:rPr>
                <w:rFonts w:asciiTheme="minorHAnsi" w:hAnsiTheme="minorHAnsi" w:cstheme="minorHAnsi"/>
                <w:b/>
                <w:color w:val="000000"/>
                <w:szCs w:val="22"/>
                <w:lang w:eastAsia="en-AU"/>
              </w:rPr>
            </w:pPr>
            <w:r w:rsidRPr="005E5971">
              <w:rPr>
                <w:rFonts w:asciiTheme="minorHAnsi" w:hAnsiTheme="minorHAnsi" w:cstheme="minorHAnsi"/>
                <w:b/>
                <w:color w:val="000000"/>
                <w:lang w:eastAsia="en-AU"/>
              </w:rPr>
              <w:t>Annual report</w:t>
            </w:r>
          </w:p>
        </w:tc>
        <w:tc>
          <w:tcPr>
            <w:tcW w:w="2540" w:type="dxa"/>
            <w:tcBorders>
              <w:top w:val="single" w:sz="4" w:space="0" w:color="auto"/>
              <w:left w:val="nil"/>
              <w:bottom w:val="single" w:sz="4" w:space="0" w:color="auto"/>
              <w:right w:val="single" w:sz="4" w:space="0" w:color="auto"/>
            </w:tcBorders>
            <w:shd w:val="clear" w:color="000000" w:fill="BDE7EE"/>
            <w:noWrap/>
            <w:vAlign w:val="center"/>
            <w:hideMark/>
          </w:tcPr>
          <w:p w14:paraId="3813FEE9" w14:textId="77777777" w:rsidR="00F22392" w:rsidRPr="005E5971" w:rsidRDefault="00F22392" w:rsidP="00F22392">
            <w:pPr>
              <w:spacing w:after="0" w:line="240" w:lineRule="auto"/>
              <w:jc w:val="center"/>
              <w:rPr>
                <w:rFonts w:asciiTheme="minorHAnsi" w:hAnsiTheme="minorHAnsi" w:cstheme="minorHAnsi"/>
                <w:b/>
                <w:color w:val="000000"/>
                <w:szCs w:val="22"/>
                <w:lang w:eastAsia="en-AU"/>
              </w:rPr>
            </w:pPr>
            <w:r w:rsidRPr="005E5971">
              <w:rPr>
                <w:rFonts w:asciiTheme="minorHAnsi" w:hAnsiTheme="minorHAnsi" w:cstheme="minorHAnsi"/>
                <w:b/>
                <w:color w:val="000000"/>
                <w:lang w:eastAsia="en-AU"/>
              </w:rPr>
              <w:t>Stores with in-house collection</w:t>
            </w:r>
          </w:p>
        </w:tc>
        <w:tc>
          <w:tcPr>
            <w:tcW w:w="1985" w:type="dxa"/>
            <w:tcBorders>
              <w:top w:val="single" w:sz="4" w:space="0" w:color="auto"/>
              <w:left w:val="nil"/>
              <w:bottom w:val="single" w:sz="4" w:space="0" w:color="auto"/>
              <w:right w:val="single" w:sz="4" w:space="0" w:color="auto"/>
            </w:tcBorders>
            <w:shd w:val="clear" w:color="000000" w:fill="BDE7EE"/>
            <w:noWrap/>
            <w:vAlign w:val="center"/>
            <w:hideMark/>
          </w:tcPr>
          <w:p w14:paraId="7227157F" w14:textId="77777777" w:rsidR="00F22392" w:rsidRPr="005E5971" w:rsidRDefault="00F22392" w:rsidP="00F22392">
            <w:pPr>
              <w:spacing w:after="0" w:line="240" w:lineRule="auto"/>
              <w:jc w:val="center"/>
              <w:rPr>
                <w:rFonts w:asciiTheme="minorHAnsi" w:hAnsiTheme="minorHAnsi" w:cstheme="minorHAnsi"/>
                <w:b/>
                <w:color w:val="000000"/>
                <w:szCs w:val="22"/>
                <w:lang w:eastAsia="en-AU"/>
              </w:rPr>
            </w:pPr>
            <w:r w:rsidRPr="005E5971">
              <w:rPr>
                <w:rFonts w:asciiTheme="minorHAnsi" w:hAnsiTheme="minorHAnsi" w:cstheme="minorHAnsi"/>
                <w:b/>
                <w:color w:val="000000"/>
                <w:lang w:eastAsia="en-AU"/>
              </w:rPr>
              <w:t>Total stores</w:t>
            </w:r>
          </w:p>
        </w:tc>
        <w:tc>
          <w:tcPr>
            <w:tcW w:w="3118" w:type="dxa"/>
            <w:tcBorders>
              <w:top w:val="single" w:sz="4" w:space="0" w:color="auto"/>
              <w:left w:val="nil"/>
              <w:bottom w:val="single" w:sz="4" w:space="0" w:color="auto"/>
              <w:right w:val="single" w:sz="4" w:space="0" w:color="auto"/>
            </w:tcBorders>
            <w:shd w:val="clear" w:color="000000" w:fill="BDE7EE"/>
            <w:vAlign w:val="center"/>
            <w:hideMark/>
          </w:tcPr>
          <w:p w14:paraId="607095B5" w14:textId="77777777" w:rsidR="00F22392" w:rsidRPr="005E5971" w:rsidRDefault="00F22392" w:rsidP="00F22392">
            <w:pPr>
              <w:spacing w:after="0" w:line="240" w:lineRule="auto"/>
              <w:jc w:val="center"/>
              <w:rPr>
                <w:rFonts w:asciiTheme="minorHAnsi" w:hAnsiTheme="minorHAnsi" w:cstheme="minorHAnsi"/>
                <w:b/>
                <w:color w:val="000000"/>
                <w:szCs w:val="22"/>
                <w:lang w:eastAsia="en-AU"/>
              </w:rPr>
            </w:pPr>
            <w:r w:rsidRPr="005E5971">
              <w:rPr>
                <w:rFonts w:asciiTheme="minorHAnsi" w:hAnsiTheme="minorHAnsi" w:cstheme="minorHAnsi"/>
                <w:b/>
                <w:color w:val="000000"/>
                <w:lang w:eastAsia="en-AU"/>
              </w:rPr>
              <w:t>Percentage of stores with in-house collection</w:t>
            </w:r>
          </w:p>
        </w:tc>
      </w:tr>
      <w:tr w:rsidR="00F22392" w:rsidRPr="005E5971" w14:paraId="3FCC9BEC" w14:textId="77777777" w:rsidTr="00711D75">
        <w:trPr>
          <w:trHeight w:val="267"/>
        </w:trPr>
        <w:tc>
          <w:tcPr>
            <w:tcW w:w="1429" w:type="dxa"/>
            <w:tcBorders>
              <w:top w:val="nil"/>
              <w:left w:val="single" w:sz="4" w:space="0" w:color="auto"/>
              <w:bottom w:val="single" w:sz="4" w:space="0" w:color="auto"/>
              <w:right w:val="single" w:sz="4" w:space="0" w:color="auto"/>
            </w:tcBorders>
            <w:shd w:val="clear" w:color="auto" w:fill="auto"/>
            <w:vAlign w:val="center"/>
          </w:tcPr>
          <w:p w14:paraId="6A2A3DB2"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2015</w:t>
            </w:r>
          </w:p>
        </w:tc>
        <w:tc>
          <w:tcPr>
            <w:tcW w:w="2540" w:type="dxa"/>
            <w:tcBorders>
              <w:top w:val="nil"/>
              <w:left w:val="nil"/>
              <w:bottom w:val="single" w:sz="4" w:space="0" w:color="auto"/>
              <w:right w:val="single" w:sz="4" w:space="0" w:color="auto"/>
            </w:tcBorders>
            <w:shd w:val="clear" w:color="auto" w:fill="auto"/>
            <w:vAlign w:val="center"/>
          </w:tcPr>
          <w:p w14:paraId="718DD710"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558</w:t>
            </w:r>
          </w:p>
        </w:tc>
        <w:tc>
          <w:tcPr>
            <w:tcW w:w="1985" w:type="dxa"/>
            <w:tcBorders>
              <w:top w:val="nil"/>
              <w:left w:val="nil"/>
              <w:bottom w:val="single" w:sz="4" w:space="0" w:color="auto"/>
              <w:right w:val="single" w:sz="4" w:space="0" w:color="auto"/>
            </w:tcBorders>
            <w:shd w:val="clear" w:color="auto" w:fill="auto"/>
            <w:vAlign w:val="center"/>
          </w:tcPr>
          <w:p w14:paraId="69807540"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szCs w:val="22"/>
              </w:rPr>
              <w:t>776</w:t>
            </w:r>
          </w:p>
        </w:tc>
        <w:tc>
          <w:tcPr>
            <w:tcW w:w="3118" w:type="dxa"/>
            <w:tcBorders>
              <w:top w:val="nil"/>
              <w:left w:val="nil"/>
              <w:bottom w:val="single" w:sz="4" w:space="0" w:color="auto"/>
              <w:right w:val="single" w:sz="4" w:space="0" w:color="auto"/>
            </w:tcBorders>
            <w:shd w:val="clear" w:color="auto" w:fill="auto"/>
            <w:vAlign w:val="center"/>
          </w:tcPr>
          <w:p w14:paraId="001EFC95"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71.9%</w:t>
            </w:r>
          </w:p>
        </w:tc>
      </w:tr>
      <w:tr w:rsidR="00F22392" w:rsidRPr="005E5971" w14:paraId="361678EB" w14:textId="77777777" w:rsidTr="00711D75">
        <w:trPr>
          <w:trHeight w:val="273"/>
        </w:trPr>
        <w:tc>
          <w:tcPr>
            <w:tcW w:w="1429" w:type="dxa"/>
            <w:tcBorders>
              <w:top w:val="nil"/>
              <w:left w:val="single" w:sz="4" w:space="0" w:color="auto"/>
              <w:bottom w:val="single" w:sz="4" w:space="0" w:color="auto"/>
              <w:right w:val="single" w:sz="4" w:space="0" w:color="auto"/>
            </w:tcBorders>
            <w:shd w:val="clear" w:color="auto" w:fill="auto"/>
            <w:vAlign w:val="center"/>
          </w:tcPr>
          <w:p w14:paraId="278684A1"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2016</w:t>
            </w:r>
          </w:p>
        </w:tc>
        <w:tc>
          <w:tcPr>
            <w:tcW w:w="2540" w:type="dxa"/>
            <w:tcBorders>
              <w:top w:val="nil"/>
              <w:left w:val="nil"/>
              <w:bottom w:val="single" w:sz="4" w:space="0" w:color="auto"/>
              <w:right w:val="single" w:sz="4" w:space="0" w:color="auto"/>
            </w:tcBorders>
            <w:shd w:val="clear" w:color="auto" w:fill="auto"/>
            <w:vAlign w:val="center"/>
          </w:tcPr>
          <w:p w14:paraId="6E9AD8D2"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655</w:t>
            </w:r>
          </w:p>
        </w:tc>
        <w:tc>
          <w:tcPr>
            <w:tcW w:w="1985" w:type="dxa"/>
            <w:tcBorders>
              <w:top w:val="nil"/>
              <w:left w:val="nil"/>
              <w:bottom w:val="single" w:sz="4" w:space="0" w:color="auto"/>
              <w:right w:val="single" w:sz="4" w:space="0" w:color="auto"/>
            </w:tcBorders>
            <w:shd w:val="clear" w:color="auto" w:fill="auto"/>
            <w:vAlign w:val="center"/>
          </w:tcPr>
          <w:p w14:paraId="457CE34E"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szCs w:val="22"/>
              </w:rPr>
              <w:t>790</w:t>
            </w:r>
          </w:p>
        </w:tc>
        <w:tc>
          <w:tcPr>
            <w:tcW w:w="3118" w:type="dxa"/>
            <w:tcBorders>
              <w:top w:val="nil"/>
              <w:left w:val="nil"/>
              <w:bottom w:val="single" w:sz="4" w:space="0" w:color="auto"/>
              <w:right w:val="single" w:sz="4" w:space="0" w:color="auto"/>
            </w:tcBorders>
            <w:shd w:val="clear" w:color="auto" w:fill="auto"/>
            <w:vAlign w:val="center"/>
          </w:tcPr>
          <w:p w14:paraId="6328FA48"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82.9%</w:t>
            </w:r>
          </w:p>
        </w:tc>
      </w:tr>
      <w:tr w:rsidR="00F22392" w:rsidRPr="005E5971" w14:paraId="68B4A76E" w14:textId="77777777" w:rsidTr="00711D75">
        <w:trPr>
          <w:trHeight w:val="58"/>
        </w:trPr>
        <w:tc>
          <w:tcPr>
            <w:tcW w:w="1429" w:type="dxa"/>
            <w:tcBorders>
              <w:top w:val="nil"/>
              <w:left w:val="single" w:sz="4" w:space="0" w:color="auto"/>
              <w:bottom w:val="single" w:sz="4" w:space="0" w:color="auto"/>
              <w:right w:val="single" w:sz="4" w:space="0" w:color="auto"/>
            </w:tcBorders>
            <w:shd w:val="clear" w:color="auto" w:fill="auto"/>
            <w:vAlign w:val="center"/>
          </w:tcPr>
          <w:p w14:paraId="1729A445"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2017</w:t>
            </w:r>
          </w:p>
        </w:tc>
        <w:tc>
          <w:tcPr>
            <w:tcW w:w="2540" w:type="dxa"/>
            <w:tcBorders>
              <w:top w:val="nil"/>
              <w:left w:val="nil"/>
              <w:bottom w:val="single" w:sz="4" w:space="0" w:color="auto"/>
              <w:right w:val="single" w:sz="4" w:space="0" w:color="auto"/>
            </w:tcBorders>
            <w:shd w:val="clear" w:color="auto" w:fill="auto"/>
            <w:vAlign w:val="center"/>
          </w:tcPr>
          <w:p w14:paraId="338F96D3"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730</w:t>
            </w:r>
          </w:p>
        </w:tc>
        <w:tc>
          <w:tcPr>
            <w:tcW w:w="1985" w:type="dxa"/>
            <w:tcBorders>
              <w:top w:val="nil"/>
              <w:left w:val="nil"/>
              <w:bottom w:val="single" w:sz="4" w:space="0" w:color="auto"/>
              <w:right w:val="single" w:sz="4" w:space="0" w:color="auto"/>
            </w:tcBorders>
            <w:shd w:val="clear" w:color="auto" w:fill="auto"/>
            <w:vAlign w:val="center"/>
          </w:tcPr>
          <w:p w14:paraId="2699F97E"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szCs w:val="22"/>
              </w:rPr>
              <w:t>800</w:t>
            </w:r>
          </w:p>
        </w:tc>
        <w:tc>
          <w:tcPr>
            <w:tcW w:w="3118" w:type="dxa"/>
            <w:tcBorders>
              <w:top w:val="nil"/>
              <w:left w:val="nil"/>
              <w:bottom w:val="single" w:sz="4" w:space="0" w:color="auto"/>
              <w:right w:val="single" w:sz="4" w:space="0" w:color="auto"/>
            </w:tcBorders>
            <w:shd w:val="clear" w:color="auto" w:fill="auto"/>
            <w:vAlign w:val="center"/>
          </w:tcPr>
          <w:p w14:paraId="7C050C45"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91.2%</w:t>
            </w:r>
          </w:p>
        </w:tc>
      </w:tr>
      <w:tr w:rsidR="00F22392" w:rsidRPr="005E5971" w14:paraId="35B903FB" w14:textId="77777777" w:rsidTr="00711D75">
        <w:trPr>
          <w:trHeight w:val="125"/>
        </w:trPr>
        <w:tc>
          <w:tcPr>
            <w:tcW w:w="1429" w:type="dxa"/>
            <w:tcBorders>
              <w:top w:val="nil"/>
              <w:left w:val="single" w:sz="4" w:space="0" w:color="auto"/>
              <w:bottom w:val="single" w:sz="4" w:space="0" w:color="auto"/>
              <w:right w:val="single" w:sz="4" w:space="0" w:color="auto"/>
            </w:tcBorders>
            <w:shd w:val="clear" w:color="auto" w:fill="auto"/>
            <w:vAlign w:val="center"/>
          </w:tcPr>
          <w:p w14:paraId="7588043E"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2018</w:t>
            </w:r>
          </w:p>
        </w:tc>
        <w:tc>
          <w:tcPr>
            <w:tcW w:w="2540" w:type="dxa"/>
            <w:tcBorders>
              <w:top w:val="nil"/>
              <w:left w:val="nil"/>
              <w:bottom w:val="single" w:sz="4" w:space="0" w:color="auto"/>
              <w:right w:val="single" w:sz="4" w:space="0" w:color="auto"/>
            </w:tcBorders>
            <w:shd w:val="clear" w:color="auto" w:fill="auto"/>
            <w:vAlign w:val="center"/>
          </w:tcPr>
          <w:p w14:paraId="7E17C431"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768</w:t>
            </w:r>
          </w:p>
        </w:tc>
        <w:tc>
          <w:tcPr>
            <w:tcW w:w="1985" w:type="dxa"/>
            <w:tcBorders>
              <w:top w:val="nil"/>
              <w:left w:val="nil"/>
              <w:bottom w:val="single" w:sz="4" w:space="0" w:color="auto"/>
              <w:right w:val="single" w:sz="4" w:space="0" w:color="auto"/>
            </w:tcBorders>
            <w:shd w:val="clear" w:color="auto" w:fill="auto"/>
            <w:vAlign w:val="center"/>
          </w:tcPr>
          <w:p w14:paraId="70CE8DCC"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812</w:t>
            </w:r>
          </w:p>
        </w:tc>
        <w:tc>
          <w:tcPr>
            <w:tcW w:w="3118" w:type="dxa"/>
            <w:tcBorders>
              <w:top w:val="nil"/>
              <w:left w:val="nil"/>
              <w:bottom w:val="single" w:sz="4" w:space="0" w:color="auto"/>
              <w:right w:val="single" w:sz="4" w:space="0" w:color="auto"/>
            </w:tcBorders>
            <w:shd w:val="clear" w:color="auto" w:fill="auto"/>
            <w:vAlign w:val="center"/>
          </w:tcPr>
          <w:p w14:paraId="3F22D102" w14:textId="77777777" w:rsidR="00F22392" w:rsidRPr="005E5971" w:rsidRDefault="00F22392" w:rsidP="00F22392">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94.6%</w:t>
            </w:r>
          </w:p>
        </w:tc>
      </w:tr>
    </w:tbl>
    <w:p w14:paraId="0044A148" w14:textId="77777777" w:rsidR="00F22392" w:rsidRPr="005E5971" w:rsidRDefault="00F22392" w:rsidP="00F22392">
      <w:pPr>
        <w:rPr>
          <w:rFonts w:asciiTheme="minorHAnsi" w:hAnsiTheme="minorHAnsi" w:cstheme="minorHAnsi"/>
          <w:highlight w:val="yellow"/>
        </w:rPr>
      </w:pPr>
    </w:p>
    <w:p w14:paraId="63EC074B" w14:textId="3C56B612" w:rsidR="00F22392" w:rsidRPr="005E5971" w:rsidRDefault="00F8479D" w:rsidP="00F22392">
      <w:pPr>
        <w:rPr>
          <w:rFonts w:asciiTheme="minorHAnsi" w:hAnsiTheme="minorHAnsi" w:cstheme="minorHAnsi"/>
          <w:szCs w:val="22"/>
        </w:rPr>
      </w:pPr>
      <w:r w:rsidRPr="005E5971">
        <w:rPr>
          <w:rFonts w:asciiTheme="minorHAnsi" w:hAnsiTheme="minorHAnsi" w:cstheme="minorHAnsi"/>
          <w:szCs w:val="22"/>
        </w:rPr>
        <w:t>As at</w:t>
      </w:r>
      <w:r w:rsidR="00F22392" w:rsidRPr="005E5971">
        <w:rPr>
          <w:rFonts w:asciiTheme="minorHAnsi" w:hAnsiTheme="minorHAnsi" w:cstheme="minorHAnsi"/>
          <w:szCs w:val="22"/>
        </w:rPr>
        <w:t xml:space="preserve"> 2 November 2018, </w:t>
      </w:r>
      <w:r w:rsidRPr="005E5971">
        <w:rPr>
          <w:rFonts w:asciiTheme="minorHAnsi" w:hAnsiTheme="minorHAnsi" w:cstheme="minorHAnsi"/>
          <w:szCs w:val="22"/>
        </w:rPr>
        <w:t xml:space="preserve">around </w:t>
      </w:r>
      <w:r w:rsidR="008C436E" w:rsidRPr="005E5971">
        <w:rPr>
          <w:rFonts w:asciiTheme="minorHAnsi" w:hAnsiTheme="minorHAnsi" w:cstheme="minorHAnsi"/>
          <w:szCs w:val="22"/>
        </w:rPr>
        <w:t xml:space="preserve">only </w:t>
      </w:r>
      <w:r w:rsidRPr="005E5971">
        <w:rPr>
          <w:rFonts w:asciiTheme="minorHAnsi" w:hAnsiTheme="minorHAnsi" w:cstheme="minorHAnsi"/>
          <w:szCs w:val="22"/>
        </w:rPr>
        <w:t>5% of stores outsource</w:t>
      </w:r>
      <w:r w:rsidR="00442C8F" w:rsidRPr="005E5971">
        <w:rPr>
          <w:rFonts w:asciiTheme="minorHAnsi" w:hAnsiTheme="minorHAnsi" w:cstheme="minorHAnsi"/>
          <w:szCs w:val="22"/>
        </w:rPr>
        <w:t>d</w:t>
      </w:r>
      <w:r w:rsidRPr="005E5971">
        <w:rPr>
          <w:rFonts w:asciiTheme="minorHAnsi" w:hAnsiTheme="minorHAnsi" w:cstheme="minorHAnsi"/>
          <w:szCs w:val="22"/>
        </w:rPr>
        <w:t xml:space="preserve"> car park trolley collection</w:t>
      </w:r>
      <w:r w:rsidR="00442C8F" w:rsidRPr="005E5971">
        <w:rPr>
          <w:rFonts w:asciiTheme="minorHAnsi" w:hAnsiTheme="minorHAnsi" w:cstheme="minorHAnsi"/>
          <w:szCs w:val="22"/>
        </w:rPr>
        <w:t>. The</w:t>
      </w:r>
      <w:r w:rsidRPr="005E5971">
        <w:rPr>
          <w:rFonts w:asciiTheme="minorHAnsi" w:hAnsiTheme="minorHAnsi" w:cstheme="minorHAnsi"/>
          <w:szCs w:val="22"/>
        </w:rPr>
        <w:t xml:space="preserve"> </w:t>
      </w:r>
      <w:r w:rsidR="00442C8F" w:rsidRPr="005E5971">
        <w:rPr>
          <w:rFonts w:asciiTheme="minorHAnsi" w:hAnsiTheme="minorHAnsi" w:cstheme="minorHAnsi"/>
          <w:szCs w:val="22"/>
        </w:rPr>
        <w:t>majority of these locations use a mix of C</w:t>
      </w:r>
      <w:r w:rsidR="008C436E" w:rsidRPr="005E5971">
        <w:rPr>
          <w:rFonts w:asciiTheme="minorHAnsi" w:hAnsiTheme="minorHAnsi" w:cstheme="minorHAnsi"/>
          <w:szCs w:val="22"/>
        </w:rPr>
        <w:t>oles’ staff and UTC contractors</w:t>
      </w:r>
      <w:r w:rsidR="00EB26B9">
        <w:rPr>
          <w:rFonts w:asciiTheme="minorHAnsi" w:hAnsiTheme="minorHAnsi" w:cstheme="minorHAnsi"/>
          <w:szCs w:val="22"/>
        </w:rPr>
        <w:t>;</w:t>
      </w:r>
      <w:r w:rsidR="00442C8F" w:rsidRPr="005E5971">
        <w:rPr>
          <w:rFonts w:asciiTheme="minorHAnsi" w:hAnsiTheme="minorHAnsi" w:cstheme="minorHAnsi"/>
          <w:szCs w:val="22"/>
        </w:rPr>
        <w:t xml:space="preserve"> the </w:t>
      </w:r>
      <w:r w:rsidRPr="005E5971">
        <w:rPr>
          <w:rFonts w:asciiTheme="minorHAnsi" w:hAnsiTheme="minorHAnsi" w:cstheme="minorHAnsi"/>
          <w:szCs w:val="22"/>
        </w:rPr>
        <w:t xml:space="preserve">function remains fully outsourced </w:t>
      </w:r>
      <w:r w:rsidR="00442C8F" w:rsidRPr="005E5971">
        <w:rPr>
          <w:rFonts w:asciiTheme="minorHAnsi" w:hAnsiTheme="minorHAnsi" w:cstheme="minorHAnsi"/>
          <w:szCs w:val="22"/>
        </w:rPr>
        <w:t xml:space="preserve">in </w:t>
      </w:r>
      <w:r w:rsidRPr="005E5971">
        <w:rPr>
          <w:rFonts w:asciiTheme="minorHAnsi" w:hAnsiTheme="minorHAnsi" w:cstheme="minorHAnsi"/>
          <w:szCs w:val="22"/>
        </w:rPr>
        <w:t>only 1%</w:t>
      </w:r>
      <w:r w:rsidR="00442C8F" w:rsidRPr="005E5971">
        <w:rPr>
          <w:rFonts w:asciiTheme="minorHAnsi" w:hAnsiTheme="minorHAnsi" w:cstheme="minorHAnsi"/>
          <w:szCs w:val="22"/>
        </w:rPr>
        <w:t xml:space="preserve"> of stores. </w:t>
      </w:r>
      <w:r w:rsidR="00F22392" w:rsidRPr="005E5971">
        <w:rPr>
          <w:rFonts w:asciiTheme="minorHAnsi" w:hAnsiTheme="minorHAnsi" w:cstheme="minorHAnsi"/>
          <w:szCs w:val="22"/>
        </w:rPr>
        <w:t>Coles and UTC</w:t>
      </w:r>
      <w:r w:rsidR="00442C8F" w:rsidRPr="005E5971">
        <w:rPr>
          <w:rFonts w:asciiTheme="minorHAnsi" w:hAnsiTheme="minorHAnsi" w:cstheme="minorHAnsi"/>
          <w:szCs w:val="22"/>
        </w:rPr>
        <w:t xml:space="preserve"> </w:t>
      </w:r>
      <w:r w:rsidR="005D7F41" w:rsidRPr="005E5971">
        <w:rPr>
          <w:rFonts w:asciiTheme="minorHAnsi" w:hAnsiTheme="minorHAnsi" w:cstheme="minorHAnsi"/>
          <w:szCs w:val="22"/>
        </w:rPr>
        <w:t xml:space="preserve">monitor any </w:t>
      </w:r>
      <w:r w:rsidR="00442C8F" w:rsidRPr="005E5971">
        <w:rPr>
          <w:rFonts w:asciiTheme="minorHAnsi" w:hAnsiTheme="minorHAnsi" w:cstheme="minorHAnsi"/>
          <w:szCs w:val="22"/>
        </w:rPr>
        <w:t xml:space="preserve">remaining </w:t>
      </w:r>
      <w:r w:rsidR="005D7F41" w:rsidRPr="005E5971">
        <w:rPr>
          <w:rFonts w:asciiTheme="minorHAnsi" w:hAnsiTheme="minorHAnsi" w:cstheme="minorHAnsi"/>
          <w:szCs w:val="22"/>
        </w:rPr>
        <w:t>contract arrangement</w:t>
      </w:r>
      <w:r w:rsidR="00442C8F" w:rsidRPr="005E5971">
        <w:rPr>
          <w:rFonts w:asciiTheme="minorHAnsi" w:hAnsiTheme="minorHAnsi" w:cstheme="minorHAnsi"/>
          <w:szCs w:val="22"/>
        </w:rPr>
        <w:t>s closely</w:t>
      </w:r>
      <w:r w:rsidR="00F22392" w:rsidRPr="005E5971">
        <w:rPr>
          <w:rFonts w:asciiTheme="minorHAnsi" w:hAnsiTheme="minorHAnsi" w:cstheme="minorHAnsi"/>
          <w:szCs w:val="22"/>
        </w:rPr>
        <w:t>.</w:t>
      </w:r>
      <w:r w:rsidR="00442C8F" w:rsidRPr="005E5971">
        <w:rPr>
          <w:rStyle w:val="FootnoteReference"/>
          <w:rFonts w:asciiTheme="minorHAnsi" w:hAnsiTheme="minorHAnsi" w:cstheme="minorHAnsi"/>
          <w:szCs w:val="22"/>
        </w:rPr>
        <w:footnoteReference w:id="3"/>
      </w:r>
    </w:p>
    <w:p w14:paraId="6C8800E2" w14:textId="29D729B4" w:rsidR="00D31582" w:rsidRPr="005E5971" w:rsidRDefault="00D31582" w:rsidP="00711D75">
      <w:pPr>
        <w:rPr>
          <w:rFonts w:asciiTheme="minorHAnsi" w:hAnsiTheme="minorHAnsi" w:cstheme="minorHAnsi"/>
          <w:szCs w:val="22"/>
        </w:rPr>
      </w:pPr>
      <w:r w:rsidRPr="005E5971">
        <w:rPr>
          <w:rFonts w:asciiTheme="minorHAnsi" w:hAnsiTheme="minorHAnsi" w:cstheme="minorHAnsi"/>
          <w:szCs w:val="22"/>
        </w:rPr>
        <w:t xml:space="preserve">Coles </w:t>
      </w:r>
      <w:r w:rsidR="00093068" w:rsidRPr="005E5971">
        <w:rPr>
          <w:rFonts w:asciiTheme="minorHAnsi" w:hAnsiTheme="minorHAnsi" w:cstheme="minorHAnsi"/>
          <w:szCs w:val="22"/>
        </w:rPr>
        <w:t>advised the</w:t>
      </w:r>
      <w:r w:rsidRPr="005E5971">
        <w:rPr>
          <w:rFonts w:asciiTheme="minorHAnsi" w:hAnsiTheme="minorHAnsi" w:cstheme="minorHAnsi"/>
          <w:szCs w:val="22"/>
        </w:rPr>
        <w:t xml:space="preserve"> FWO </w:t>
      </w:r>
      <w:r w:rsidR="00093068" w:rsidRPr="005E5971">
        <w:rPr>
          <w:rFonts w:asciiTheme="minorHAnsi" w:hAnsiTheme="minorHAnsi" w:cstheme="minorHAnsi"/>
          <w:szCs w:val="22"/>
        </w:rPr>
        <w:t xml:space="preserve">on </w:t>
      </w:r>
      <w:r w:rsidRPr="005E5971">
        <w:rPr>
          <w:rFonts w:asciiTheme="minorHAnsi" w:hAnsiTheme="minorHAnsi" w:cstheme="minorHAnsi"/>
          <w:szCs w:val="22"/>
        </w:rPr>
        <w:t xml:space="preserve">the reasons for the delay in expanding </w:t>
      </w:r>
      <w:r w:rsidR="00BA1799" w:rsidRPr="005E5971">
        <w:rPr>
          <w:rFonts w:asciiTheme="minorHAnsi" w:hAnsiTheme="minorHAnsi" w:cstheme="minorHAnsi"/>
          <w:szCs w:val="22"/>
        </w:rPr>
        <w:t>its</w:t>
      </w:r>
      <w:r w:rsidRPr="005E5971">
        <w:rPr>
          <w:rFonts w:asciiTheme="minorHAnsi" w:hAnsiTheme="minorHAnsi" w:cstheme="minorHAnsi"/>
          <w:szCs w:val="22"/>
        </w:rPr>
        <w:t xml:space="preserve"> insou</w:t>
      </w:r>
      <w:r w:rsidR="00F22392" w:rsidRPr="005E5971">
        <w:rPr>
          <w:rFonts w:asciiTheme="minorHAnsi" w:hAnsiTheme="minorHAnsi" w:cstheme="minorHAnsi"/>
          <w:szCs w:val="22"/>
        </w:rPr>
        <w:t>rc</w:t>
      </w:r>
      <w:r w:rsidRPr="005E5971">
        <w:rPr>
          <w:rFonts w:asciiTheme="minorHAnsi" w:hAnsiTheme="minorHAnsi" w:cstheme="minorHAnsi"/>
          <w:szCs w:val="22"/>
        </w:rPr>
        <w:t xml:space="preserve">ed </w:t>
      </w:r>
      <w:r w:rsidR="00442C8F" w:rsidRPr="005E5971">
        <w:rPr>
          <w:rFonts w:asciiTheme="minorHAnsi" w:hAnsiTheme="minorHAnsi" w:cstheme="minorHAnsi"/>
          <w:szCs w:val="22"/>
        </w:rPr>
        <w:t xml:space="preserve">collection </w:t>
      </w:r>
      <w:r w:rsidRPr="005E5971">
        <w:rPr>
          <w:rFonts w:asciiTheme="minorHAnsi" w:hAnsiTheme="minorHAnsi" w:cstheme="minorHAnsi"/>
          <w:szCs w:val="22"/>
        </w:rPr>
        <w:t xml:space="preserve">model to all stores. These were:  </w:t>
      </w:r>
    </w:p>
    <w:p w14:paraId="2C30ABB2" w14:textId="22930545" w:rsidR="00D31582" w:rsidRPr="005E5971" w:rsidRDefault="00BA1799" w:rsidP="00711D75">
      <w:pPr>
        <w:pStyle w:val="ListParagraph"/>
        <w:numPr>
          <w:ilvl w:val="0"/>
          <w:numId w:val="24"/>
        </w:numPr>
        <w:rPr>
          <w:rFonts w:asciiTheme="minorHAnsi" w:hAnsiTheme="minorHAnsi" w:cstheme="minorHAnsi"/>
          <w:szCs w:val="22"/>
        </w:rPr>
      </w:pPr>
      <w:r w:rsidRPr="005E5971">
        <w:rPr>
          <w:rFonts w:asciiTheme="minorHAnsi" w:hAnsiTheme="minorHAnsi" w:cstheme="minorHAnsi"/>
          <w:szCs w:val="22"/>
        </w:rPr>
        <w:t xml:space="preserve">the </w:t>
      </w:r>
      <w:r w:rsidR="00D31582" w:rsidRPr="005E5971">
        <w:rPr>
          <w:rFonts w:asciiTheme="minorHAnsi" w:hAnsiTheme="minorHAnsi" w:cstheme="minorHAnsi"/>
          <w:szCs w:val="22"/>
        </w:rPr>
        <w:t xml:space="preserve">waiting period involved in taking delivery of </w:t>
      </w:r>
      <w:r w:rsidR="00F22392" w:rsidRPr="005E5971">
        <w:rPr>
          <w:rFonts w:asciiTheme="minorHAnsi" w:hAnsiTheme="minorHAnsi" w:cstheme="minorHAnsi"/>
          <w:szCs w:val="22"/>
        </w:rPr>
        <w:t xml:space="preserve">specially modified </w:t>
      </w:r>
      <w:r w:rsidR="00D31582" w:rsidRPr="005E5971">
        <w:rPr>
          <w:rFonts w:asciiTheme="minorHAnsi" w:hAnsiTheme="minorHAnsi" w:cstheme="minorHAnsi"/>
          <w:szCs w:val="22"/>
        </w:rPr>
        <w:t>trolley collecting</w:t>
      </w:r>
      <w:r w:rsidR="00093068" w:rsidRPr="005E5971">
        <w:rPr>
          <w:rFonts w:asciiTheme="minorHAnsi" w:hAnsiTheme="minorHAnsi" w:cstheme="minorHAnsi"/>
          <w:szCs w:val="22"/>
        </w:rPr>
        <w:t xml:space="preserve"> vehicles</w:t>
      </w:r>
      <w:r w:rsidR="00D31582" w:rsidRPr="005E5971">
        <w:rPr>
          <w:rFonts w:asciiTheme="minorHAnsi" w:hAnsiTheme="minorHAnsi" w:cstheme="minorHAnsi"/>
          <w:szCs w:val="22"/>
        </w:rPr>
        <w:t xml:space="preserve"> </w:t>
      </w:r>
    </w:p>
    <w:p w14:paraId="00A68A5B" w14:textId="34166982" w:rsidR="00F22392" w:rsidRPr="005E5971" w:rsidRDefault="00D31582" w:rsidP="00711D75">
      <w:pPr>
        <w:pStyle w:val="ListParagraph"/>
        <w:numPr>
          <w:ilvl w:val="0"/>
          <w:numId w:val="24"/>
        </w:numPr>
        <w:rPr>
          <w:rFonts w:asciiTheme="minorHAnsi" w:hAnsiTheme="minorHAnsi" w:cstheme="minorHAnsi"/>
          <w:szCs w:val="22"/>
        </w:rPr>
      </w:pPr>
      <w:r w:rsidRPr="005E5971">
        <w:rPr>
          <w:rFonts w:asciiTheme="minorHAnsi" w:hAnsiTheme="minorHAnsi" w:cstheme="minorHAnsi"/>
          <w:szCs w:val="22"/>
        </w:rPr>
        <w:t xml:space="preserve">the need to </w:t>
      </w:r>
      <w:r w:rsidR="00F22392" w:rsidRPr="005E5971">
        <w:rPr>
          <w:rFonts w:asciiTheme="minorHAnsi" w:hAnsiTheme="minorHAnsi" w:cstheme="minorHAnsi"/>
          <w:szCs w:val="22"/>
        </w:rPr>
        <w:t>navigat</w:t>
      </w:r>
      <w:r w:rsidRPr="005E5971">
        <w:rPr>
          <w:rFonts w:asciiTheme="minorHAnsi" w:hAnsiTheme="minorHAnsi" w:cstheme="minorHAnsi"/>
          <w:szCs w:val="22"/>
        </w:rPr>
        <w:t>e</w:t>
      </w:r>
      <w:r w:rsidR="00F22392" w:rsidRPr="005E5971">
        <w:rPr>
          <w:rFonts w:asciiTheme="minorHAnsi" w:hAnsiTheme="minorHAnsi" w:cstheme="minorHAnsi"/>
          <w:szCs w:val="22"/>
        </w:rPr>
        <w:t xml:space="preserve"> local arrangements at larger sites where a number of retailers provid</w:t>
      </w:r>
      <w:r w:rsidRPr="005E5971">
        <w:rPr>
          <w:rFonts w:asciiTheme="minorHAnsi" w:hAnsiTheme="minorHAnsi" w:cstheme="minorHAnsi"/>
          <w:szCs w:val="22"/>
        </w:rPr>
        <w:t xml:space="preserve">e </w:t>
      </w:r>
      <w:r w:rsidR="00F22392" w:rsidRPr="005E5971">
        <w:rPr>
          <w:rFonts w:asciiTheme="minorHAnsi" w:hAnsiTheme="minorHAnsi" w:cstheme="minorHAnsi"/>
          <w:szCs w:val="22"/>
        </w:rPr>
        <w:t xml:space="preserve">trolleys for </w:t>
      </w:r>
      <w:r w:rsidRPr="005E5971">
        <w:rPr>
          <w:rFonts w:asciiTheme="minorHAnsi" w:hAnsiTheme="minorHAnsi" w:cstheme="minorHAnsi"/>
          <w:szCs w:val="22"/>
        </w:rPr>
        <w:t xml:space="preserve">their </w:t>
      </w:r>
      <w:r w:rsidR="00F22392" w:rsidRPr="005E5971">
        <w:rPr>
          <w:rFonts w:asciiTheme="minorHAnsi" w:hAnsiTheme="minorHAnsi" w:cstheme="minorHAnsi"/>
          <w:szCs w:val="22"/>
        </w:rPr>
        <w:t>customers</w:t>
      </w:r>
    </w:p>
    <w:p w14:paraId="207005DC" w14:textId="32418791" w:rsidR="00270ACA" w:rsidRPr="005E5971" w:rsidRDefault="00D31582" w:rsidP="00711D75">
      <w:pPr>
        <w:pStyle w:val="ListParagraph"/>
        <w:numPr>
          <w:ilvl w:val="0"/>
          <w:numId w:val="24"/>
        </w:numPr>
        <w:rPr>
          <w:rFonts w:asciiTheme="minorHAnsi" w:hAnsiTheme="minorHAnsi" w:cstheme="minorHAnsi"/>
          <w:szCs w:val="22"/>
        </w:rPr>
      </w:pPr>
      <w:proofErr w:type="gramStart"/>
      <w:r w:rsidRPr="005E5971">
        <w:rPr>
          <w:rFonts w:asciiTheme="minorHAnsi" w:hAnsiTheme="minorHAnsi" w:cstheme="minorHAnsi"/>
          <w:szCs w:val="22"/>
        </w:rPr>
        <w:t>the</w:t>
      </w:r>
      <w:proofErr w:type="gramEnd"/>
      <w:r w:rsidRPr="005E5971">
        <w:rPr>
          <w:rFonts w:asciiTheme="minorHAnsi" w:hAnsiTheme="minorHAnsi" w:cstheme="minorHAnsi"/>
          <w:szCs w:val="22"/>
        </w:rPr>
        <w:t xml:space="preserve"> need to </w:t>
      </w:r>
      <w:r w:rsidR="00F22392" w:rsidRPr="005E5971">
        <w:rPr>
          <w:rFonts w:asciiTheme="minorHAnsi" w:hAnsiTheme="minorHAnsi" w:cstheme="minorHAnsi"/>
          <w:szCs w:val="22"/>
        </w:rPr>
        <w:t xml:space="preserve">factor in sites where street trolley collections are still </w:t>
      </w:r>
      <w:r w:rsidR="00093068" w:rsidRPr="005E5971">
        <w:rPr>
          <w:rFonts w:asciiTheme="minorHAnsi" w:hAnsiTheme="minorHAnsi" w:cstheme="minorHAnsi"/>
          <w:szCs w:val="22"/>
        </w:rPr>
        <w:t>outsourced to</w:t>
      </w:r>
      <w:r w:rsidR="00F22392" w:rsidRPr="005E5971">
        <w:rPr>
          <w:rFonts w:asciiTheme="minorHAnsi" w:hAnsiTheme="minorHAnsi" w:cstheme="minorHAnsi"/>
          <w:szCs w:val="22"/>
        </w:rPr>
        <w:t xml:space="preserve"> UTC. </w:t>
      </w:r>
    </w:p>
    <w:p w14:paraId="3F0D0415" w14:textId="50F2826B" w:rsidR="00805EAC" w:rsidRPr="005E5971" w:rsidRDefault="00805EAC" w:rsidP="00711D75">
      <w:pPr>
        <w:rPr>
          <w:rFonts w:asciiTheme="minorHAnsi" w:hAnsiTheme="minorHAnsi" w:cstheme="minorHAnsi"/>
          <w:szCs w:val="22"/>
        </w:rPr>
      </w:pPr>
      <w:r w:rsidRPr="005E5971">
        <w:rPr>
          <w:rFonts w:asciiTheme="minorHAnsi" w:hAnsiTheme="minorHAnsi" w:cstheme="minorHAnsi"/>
        </w:rPr>
        <w:t>Coles has advised the FWO that it expect</w:t>
      </w:r>
      <w:r w:rsidR="00961CD0" w:rsidRPr="005E5971">
        <w:rPr>
          <w:rFonts w:asciiTheme="minorHAnsi" w:hAnsiTheme="minorHAnsi" w:cstheme="minorHAnsi"/>
        </w:rPr>
        <w:t xml:space="preserve">s </w:t>
      </w:r>
      <w:r w:rsidRPr="005E5971">
        <w:rPr>
          <w:rFonts w:asciiTheme="minorHAnsi" w:hAnsiTheme="minorHAnsi" w:cstheme="minorHAnsi"/>
        </w:rPr>
        <w:t>to co</w:t>
      </w:r>
      <w:r w:rsidR="00DD4BE1" w:rsidRPr="005E5971">
        <w:rPr>
          <w:rFonts w:asciiTheme="minorHAnsi" w:hAnsiTheme="minorHAnsi" w:cstheme="minorHAnsi"/>
        </w:rPr>
        <w:t>n</w:t>
      </w:r>
      <w:r w:rsidRPr="005E5971">
        <w:rPr>
          <w:rFonts w:asciiTheme="minorHAnsi" w:hAnsiTheme="minorHAnsi" w:cstheme="minorHAnsi"/>
        </w:rPr>
        <w:t xml:space="preserve">vert </w:t>
      </w:r>
      <w:r w:rsidR="00093068" w:rsidRPr="005E5971">
        <w:rPr>
          <w:rFonts w:asciiTheme="minorHAnsi" w:hAnsiTheme="minorHAnsi" w:cstheme="minorHAnsi"/>
        </w:rPr>
        <w:t xml:space="preserve">all </w:t>
      </w:r>
      <w:r w:rsidRPr="005E5971">
        <w:rPr>
          <w:rFonts w:asciiTheme="minorHAnsi" w:hAnsiTheme="minorHAnsi" w:cstheme="minorHAnsi"/>
        </w:rPr>
        <w:t>car park trolley collections to its in-house model by October 2019.</w:t>
      </w:r>
    </w:p>
    <w:p w14:paraId="484BFAC1" w14:textId="706B45C3" w:rsidR="00F22392" w:rsidRPr="005E5971" w:rsidRDefault="00270ACA" w:rsidP="00B477B4">
      <w:pPr>
        <w:pStyle w:val="Heading2"/>
      </w:pPr>
      <w:r w:rsidRPr="005E5971">
        <w:lastRenderedPageBreak/>
        <w:t>Investigation of complaints</w:t>
      </w:r>
    </w:p>
    <w:p w14:paraId="0DF64BDE" w14:textId="386B4A61" w:rsidR="00F22392" w:rsidRPr="005E5971" w:rsidRDefault="00163192" w:rsidP="00F22392">
      <w:pPr>
        <w:rPr>
          <w:rFonts w:asciiTheme="minorHAnsi" w:hAnsiTheme="minorHAnsi" w:cstheme="minorHAnsi"/>
        </w:rPr>
      </w:pPr>
      <w:r w:rsidRPr="005E5971">
        <w:rPr>
          <w:rFonts w:asciiTheme="minorHAnsi" w:hAnsiTheme="minorHAnsi" w:cstheme="minorHAnsi"/>
        </w:rPr>
        <w:t>Coles’ most recent report to the FWO</w:t>
      </w:r>
      <w:r w:rsidR="004604A3" w:rsidRPr="005E5971">
        <w:rPr>
          <w:rStyle w:val="FootnoteReference"/>
          <w:rFonts w:asciiTheme="minorHAnsi" w:hAnsiTheme="minorHAnsi" w:cstheme="minorHAnsi"/>
        </w:rPr>
        <w:footnoteReference w:id="4"/>
      </w:r>
      <w:r w:rsidR="004604A3" w:rsidRPr="005E5971">
        <w:rPr>
          <w:rFonts w:asciiTheme="minorHAnsi" w:hAnsiTheme="minorHAnsi" w:cstheme="minorHAnsi"/>
        </w:rPr>
        <w:t xml:space="preserve"> </w:t>
      </w:r>
      <w:r w:rsidRPr="005E5971">
        <w:rPr>
          <w:rFonts w:asciiTheme="minorHAnsi" w:hAnsiTheme="minorHAnsi" w:cstheme="minorHAnsi"/>
        </w:rPr>
        <w:t>describe</w:t>
      </w:r>
      <w:r w:rsidR="004604A3" w:rsidRPr="005E5971">
        <w:rPr>
          <w:rFonts w:asciiTheme="minorHAnsi" w:hAnsiTheme="minorHAnsi" w:cstheme="minorHAnsi"/>
        </w:rPr>
        <w:t>s</w:t>
      </w:r>
      <w:r w:rsidRPr="005E5971">
        <w:rPr>
          <w:rFonts w:asciiTheme="minorHAnsi" w:hAnsiTheme="minorHAnsi" w:cstheme="minorHAnsi"/>
        </w:rPr>
        <w:t xml:space="preserve"> the steps </w:t>
      </w:r>
      <w:r w:rsidR="004604A3" w:rsidRPr="005E5971">
        <w:rPr>
          <w:rFonts w:asciiTheme="minorHAnsi" w:hAnsiTheme="minorHAnsi" w:cstheme="minorHAnsi"/>
        </w:rPr>
        <w:t>it</w:t>
      </w:r>
      <w:r w:rsidRPr="005E5971">
        <w:rPr>
          <w:rFonts w:asciiTheme="minorHAnsi" w:hAnsiTheme="minorHAnsi" w:cstheme="minorHAnsi"/>
        </w:rPr>
        <w:t xml:space="preserve"> has taken to comply with its obligations over the last 12 months. </w:t>
      </w:r>
      <w:r w:rsidR="004604A3" w:rsidRPr="005E5971">
        <w:rPr>
          <w:rFonts w:asciiTheme="minorHAnsi" w:hAnsiTheme="minorHAnsi" w:cstheme="minorHAnsi"/>
        </w:rPr>
        <w:t>It includes the following results:</w:t>
      </w:r>
    </w:p>
    <w:p w14:paraId="3CC93121" w14:textId="7A1A3A42" w:rsidR="00F22392" w:rsidRPr="005E5971" w:rsidRDefault="00F22392" w:rsidP="00711D75">
      <w:pPr>
        <w:pStyle w:val="ListParagraph"/>
        <w:numPr>
          <w:ilvl w:val="0"/>
          <w:numId w:val="10"/>
        </w:numPr>
        <w:ind w:left="360"/>
        <w:rPr>
          <w:rFonts w:asciiTheme="minorHAnsi" w:hAnsiTheme="minorHAnsi" w:cstheme="minorHAnsi"/>
        </w:rPr>
      </w:pPr>
      <w:r w:rsidRPr="005E5971">
        <w:rPr>
          <w:rFonts w:asciiTheme="minorHAnsi" w:hAnsiTheme="minorHAnsi" w:cstheme="minorHAnsi"/>
        </w:rPr>
        <w:t xml:space="preserve">five complaints regarding trolley collection wage underpayments </w:t>
      </w:r>
      <w:r w:rsidR="00163192" w:rsidRPr="005E5971">
        <w:rPr>
          <w:rFonts w:asciiTheme="minorHAnsi" w:hAnsiTheme="minorHAnsi" w:cstheme="minorHAnsi"/>
        </w:rPr>
        <w:t>(</w:t>
      </w:r>
      <w:r w:rsidRPr="005E5971">
        <w:rPr>
          <w:rFonts w:asciiTheme="minorHAnsi" w:hAnsiTheme="minorHAnsi" w:cstheme="minorHAnsi"/>
        </w:rPr>
        <w:t xml:space="preserve">three were received via the </w:t>
      </w:r>
      <w:r w:rsidR="00093068" w:rsidRPr="005E5971">
        <w:rPr>
          <w:rFonts w:asciiTheme="minorHAnsi" w:hAnsiTheme="minorHAnsi" w:cstheme="minorHAnsi"/>
        </w:rPr>
        <w:t>H</w:t>
      </w:r>
      <w:r w:rsidRPr="005E5971">
        <w:rPr>
          <w:rFonts w:asciiTheme="minorHAnsi" w:hAnsiTheme="minorHAnsi" w:cstheme="minorHAnsi"/>
        </w:rPr>
        <w:t>otline</w:t>
      </w:r>
      <w:r w:rsidR="00A43DC4" w:rsidRPr="005E5971">
        <w:rPr>
          <w:rStyle w:val="FootnoteReference"/>
          <w:rFonts w:asciiTheme="minorHAnsi" w:hAnsiTheme="minorHAnsi" w:cstheme="minorHAnsi"/>
        </w:rPr>
        <w:footnoteReference w:id="5"/>
      </w:r>
      <w:r w:rsidR="00A43DC4" w:rsidRPr="005E5971">
        <w:rPr>
          <w:rFonts w:asciiTheme="minorHAnsi" w:hAnsiTheme="minorHAnsi" w:cstheme="minorHAnsi"/>
        </w:rPr>
        <w:t>)</w:t>
      </w:r>
    </w:p>
    <w:p w14:paraId="0D6EA2A5" w14:textId="383D6198" w:rsidR="00F22392" w:rsidRPr="005E5971" w:rsidRDefault="003F648E" w:rsidP="00711D75">
      <w:pPr>
        <w:pStyle w:val="ListParagraph"/>
        <w:numPr>
          <w:ilvl w:val="0"/>
          <w:numId w:val="10"/>
        </w:numPr>
        <w:ind w:left="360"/>
        <w:rPr>
          <w:rFonts w:asciiTheme="minorHAnsi" w:hAnsiTheme="minorHAnsi" w:cstheme="minorHAnsi"/>
        </w:rPr>
      </w:pPr>
      <w:r w:rsidRPr="005E5971">
        <w:rPr>
          <w:rFonts w:asciiTheme="minorHAnsi" w:hAnsiTheme="minorHAnsi" w:cstheme="minorHAnsi"/>
        </w:rPr>
        <w:t xml:space="preserve">an </w:t>
      </w:r>
      <w:r w:rsidR="00F22392" w:rsidRPr="005E5971">
        <w:rPr>
          <w:rFonts w:asciiTheme="minorHAnsi" w:hAnsiTheme="minorHAnsi" w:cstheme="minorHAnsi"/>
        </w:rPr>
        <w:t xml:space="preserve">average time to investigate </w:t>
      </w:r>
      <w:r w:rsidR="004604A3" w:rsidRPr="005E5971">
        <w:rPr>
          <w:rFonts w:asciiTheme="minorHAnsi" w:hAnsiTheme="minorHAnsi" w:cstheme="minorHAnsi"/>
        </w:rPr>
        <w:t xml:space="preserve">these </w:t>
      </w:r>
      <w:r w:rsidR="00F22392" w:rsidRPr="005E5971">
        <w:rPr>
          <w:rFonts w:asciiTheme="minorHAnsi" w:hAnsiTheme="minorHAnsi" w:cstheme="minorHAnsi"/>
        </w:rPr>
        <w:t>complaints</w:t>
      </w:r>
      <w:r w:rsidR="004604A3" w:rsidRPr="005E5971">
        <w:rPr>
          <w:rFonts w:asciiTheme="minorHAnsi" w:hAnsiTheme="minorHAnsi" w:cstheme="minorHAnsi"/>
        </w:rPr>
        <w:t xml:space="preserve"> </w:t>
      </w:r>
      <w:r w:rsidRPr="005E5971">
        <w:rPr>
          <w:rFonts w:asciiTheme="minorHAnsi" w:hAnsiTheme="minorHAnsi" w:cstheme="minorHAnsi"/>
        </w:rPr>
        <w:t>of</w:t>
      </w:r>
      <w:r w:rsidR="00F22392" w:rsidRPr="005E5971">
        <w:rPr>
          <w:rFonts w:asciiTheme="minorHAnsi" w:hAnsiTheme="minorHAnsi" w:cstheme="minorHAnsi"/>
        </w:rPr>
        <w:t xml:space="preserve"> 20 days</w:t>
      </w:r>
    </w:p>
    <w:p w14:paraId="68625DBE" w14:textId="76C5B27D" w:rsidR="00F22392" w:rsidRPr="005E5971" w:rsidRDefault="008C436E" w:rsidP="00711D75">
      <w:pPr>
        <w:pStyle w:val="ListParagraph"/>
        <w:numPr>
          <w:ilvl w:val="0"/>
          <w:numId w:val="10"/>
        </w:numPr>
        <w:ind w:left="360"/>
        <w:rPr>
          <w:rFonts w:asciiTheme="minorHAnsi" w:hAnsiTheme="minorHAnsi" w:cstheme="minorHAnsi"/>
        </w:rPr>
      </w:pPr>
      <w:r w:rsidRPr="005E5971">
        <w:rPr>
          <w:rFonts w:asciiTheme="minorHAnsi" w:hAnsiTheme="minorHAnsi" w:cstheme="minorHAnsi"/>
        </w:rPr>
        <w:t>$6</w:t>
      </w:r>
      <w:r w:rsidR="00F22392" w:rsidRPr="005E5971">
        <w:rPr>
          <w:rFonts w:asciiTheme="minorHAnsi" w:hAnsiTheme="minorHAnsi" w:cstheme="minorHAnsi"/>
        </w:rPr>
        <w:t>791.31</w:t>
      </w:r>
      <w:r w:rsidR="003F648E" w:rsidRPr="005E5971">
        <w:rPr>
          <w:rFonts w:asciiTheme="minorHAnsi" w:hAnsiTheme="minorHAnsi" w:cstheme="minorHAnsi"/>
        </w:rPr>
        <w:t xml:space="preserve"> in back pay</w:t>
      </w:r>
      <w:r w:rsidR="00F22392" w:rsidRPr="005E5971">
        <w:rPr>
          <w:rFonts w:asciiTheme="minorHAnsi" w:hAnsiTheme="minorHAnsi" w:cstheme="minorHAnsi"/>
        </w:rPr>
        <w:t xml:space="preserve"> to </w:t>
      </w:r>
      <w:r w:rsidRPr="005E5971">
        <w:rPr>
          <w:rFonts w:asciiTheme="minorHAnsi" w:hAnsiTheme="minorHAnsi" w:cstheme="minorHAnsi"/>
          <w:color w:val="000000" w:themeColor="text1"/>
        </w:rPr>
        <w:t>seven</w:t>
      </w:r>
      <w:r w:rsidR="00F22392" w:rsidRPr="005E5971">
        <w:rPr>
          <w:rFonts w:asciiTheme="minorHAnsi" w:hAnsiTheme="minorHAnsi" w:cstheme="minorHAnsi"/>
          <w:color w:val="000000" w:themeColor="text1"/>
        </w:rPr>
        <w:t xml:space="preserve"> </w:t>
      </w:r>
      <w:r w:rsidR="00F22392" w:rsidRPr="005E5971">
        <w:rPr>
          <w:rFonts w:asciiTheme="minorHAnsi" w:hAnsiTheme="minorHAnsi" w:cstheme="minorHAnsi"/>
        </w:rPr>
        <w:t>employees</w:t>
      </w:r>
      <w:r w:rsidR="00A43DC4" w:rsidRPr="005E5971">
        <w:rPr>
          <w:rFonts w:asciiTheme="minorHAnsi" w:hAnsiTheme="minorHAnsi" w:cstheme="minorHAnsi"/>
        </w:rPr>
        <w:t>.</w:t>
      </w:r>
    </w:p>
    <w:p w14:paraId="7404A3A1" w14:textId="25EA0FB1" w:rsidR="0025035B" w:rsidRPr="005E5971" w:rsidRDefault="004604A3" w:rsidP="00711D75">
      <w:pPr>
        <w:ind w:left="3"/>
        <w:rPr>
          <w:rFonts w:asciiTheme="minorHAnsi" w:hAnsiTheme="minorHAnsi" w:cstheme="minorHAnsi"/>
        </w:rPr>
      </w:pPr>
      <w:r w:rsidRPr="005E5971">
        <w:rPr>
          <w:rFonts w:asciiTheme="minorHAnsi" w:hAnsiTheme="minorHAnsi" w:cstheme="minorHAnsi"/>
        </w:rPr>
        <w:t xml:space="preserve">The results </w:t>
      </w:r>
      <w:r w:rsidR="0025035B" w:rsidRPr="005E5971">
        <w:rPr>
          <w:rFonts w:asciiTheme="minorHAnsi" w:hAnsiTheme="minorHAnsi" w:cstheme="minorHAnsi"/>
        </w:rPr>
        <w:t xml:space="preserve">again confirm </w:t>
      </w:r>
      <w:r w:rsidRPr="005E5971">
        <w:rPr>
          <w:rFonts w:asciiTheme="minorHAnsi" w:hAnsiTheme="minorHAnsi" w:cstheme="minorHAnsi"/>
        </w:rPr>
        <w:t xml:space="preserve">the positive impact of </w:t>
      </w:r>
      <w:r w:rsidR="00163192" w:rsidRPr="005E5971">
        <w:rPr>
          <w:rFonts w:asciiTheme="minorHAnsi" w:hAnsiTheme="minorHAnsi" w:cstheme="minorHAnsi"/>
        </w:rPr>
        <w:t xml:space="preserve">Coles’ </w:t>
      </w:r>
      <w:r w:rsidRPr="005E5971">
        <w:rPr>
          <w:rFonts w:asciiTheme="minorHAnsi" w:hAnsiTheme="minorHAnsi" w:cstheme="minorHAnsi"/>
        </w:rPr>
        <w:t>commitment to compliance</w:t>
      </w:r>
      <w:r w:rsidR="0025035B" w:rsidRPr="005E5971">
        <w:rPr>
          <w:rFonts w:asciiTheme="minorHAnsi" w:hAnsiTheme="minorHAnsi" w:cstheme="minorHAnsi"/>
        </w:rPr>
        <w:t xml:space="preserve">. Table 2 (below) shows that </w:t>
      </w:r>
      <w:r w:rsidR="006C146F" w:rsidRPr="005E5971">
        <w:rPr>
          <w:rFonts w:asciiTheme="minorHAnsi" w:hAnsiTheme="minorHAnsi" w:cstheme="minorHAnsi"/>
        </w:rPr>
        <w:t xml:space="preserve">during </w:t>
      </w:r>
      <w:r w:rsidR="0025035B" w:rsidRPr="005E5971">
        <w:rPr>
          <w:rFonts w:asciiTheme="minorHAnsi" w:hAnsiTheme="minorHAnsi" w:cstheme="minorHAnsi"/>
        </w:rPr>
        <w:t xml:space="preserve">the </w:t>
      </w:r>
      <w:r w:rsidR="00CB1762" w:rsidRPr="005E5971">
        <w:rPr>
          <w:rFonts w:asciiTheme="minorHAnsi" w:hAnsiTheme="minorHAnsi" w:cstheme="minorHAnsi"/>
        </w:rPr>
        <w:t>period of the</w:t>
      </w:r>
      <w:r w:rsidR="0025035B" w:rsidRPr="005E5971">
        <w:rPr>
          <w:rFonts w:asciiTheme="minorHAnsi" w:hAnsiTheme="minorHAnsi" w:cstheme="minorHAnsi"/>
        </w:rPr>
        <w:t xml:space="preserve"> EU there has been an overall decline in both the number of complaints referred to Coles through the dedicated Hotline</w:t>
      </w:r>
      <w:r w:rsidR="00CB1762" w:rsidRPr="005E5971">
        <w:rPr>
          <w:rFonts w:asciiTheme="minorHAnsi" w:hAnsiTheme="minorHAnsi" w:cstheme="minorHAnsi"/>
        </w:rPr>
        <w:t>,</w:t>
      </w:r>
      <w:r w:rsidR="0025035B" w:rsidRPr="005E5971">
        <w:rPr>
          <w:rFonts w:asciiTheme="minorHAnsi" w:hAnsiTheme="minorHAnsi" w:cstheme="minorHAnsi"/>
        </w:rPr>
        <w:t xml:space="preserve"> and the quantum of underpayments identified. The average time taken to conclude underpayment investigations has remained low. </w:t>
      </w:r>
    </w:p>
    <w:p w14:paraId="415A8EEE" w14:textId="7074738D" w:rsidR="00AB658C" w:rsidRPr="005E5971" w:rsidRDefault="0025035B" w:rsidP="00711D75">
      <w:pPr>
        <w:ind w:left="3"/>
        <w:rPr>
          <w:rFonts w:asciiTheme="minorHAnsi" w:hAnsiTheme="minorHAnsi" w:cstheme="minorHAnsi"/>
        </w:rPr>
      </w:pPr>
      <w:r w:rsidRPr="005E5971">
        <w:rPr>
          <w:rFonts w:asciiTheme="minorHAnsi" w:hAnsiTheme="minorHAnsi" w:cstheme="minorHAnsi"/>
        </w:rPr>
        <w:t xml:space="preserve">At the same time, </w:t>
      </w:r>
      <w:r w:rsidR="00862922" w:rsidRPr="005E5971">
        <w:rPr>
          <w:rFonts w:asciiTheme="minorHAnsi" w:hAnsiTheme="minorHAnsi" w:cstheme="minorHAnsi"/>
        </w:rPr>
        <w:t xml:space="preserve">the </w:t>
      </w:r>
      <w:r w:rsidR="00F22392" w:rsidRPr="005E5971">
        <w:rPr>
          <w:rFonts w:asciiTheme="minorHAnsi" w:hAnsiTheme="minorHAnsi" w:cstheme="minorHAnsi"/>
        </w:rPr>
        <w:t>year-on-year results disclose the need for robust and effective self-monitoring arrangements</w:t>
      </w:r>
      <w:r w:rsidR="00862922" w:rsidRPr="005E5971">
        <w:rPr>
          <w:rFonts w:asciiTheme="minorHAnsi" w:hAnsiTheme="minorHAnsi" w:cstheme="minorHAnsi"/>
        </w:rPr>
        <w:t xml:space="preserve">. </w:t>
      </w:r>
      <w:r w:rsidR="00F22392" w:rsidRPr="005E5971">
        <w:rPr>
          <w:rFonts w:asciiTheme="minorHAnsi" w:hAnsiTheme="minorHAnsi" w:cstheme="minorHAnsi"/>
        </w:rPr>
        <w:t xml:space="preserve"> </w:t>
      </w:r>
    </w:p>
    <w:p w14:paraId="48B8EEBE" w14:textId="7FBA28C6" w:rsidR="00A43DC4" w:rsidRPr="005E5971" w:rsidRDefault="00AB658C" w:rsidP="006E614B">
      <w:pPr>
        <w:ind w:left="3"/>
        <w:rPr>
          <w:rFonts w:asciiTheme="minorHAnsi" w:hAnsiTheme="minorHAnsi" w:cstheme="minorHAnsi"/>
        </w:rPr>
      </w:pPr>
      <w:r w:rsidRPr="005E5971">
        <w:rPr>
          <w:rFonts w:asciiTheme="minorHAnsi" w:hAnsiTheme="minorHAnsi" w:cstheme="minorHAnsi"/>
          <w:b/>
        </w:rPr>
        <w:t xml:space="preserve">Table 2: </w:t>
      </w:r>
      <w:r w:rsidR="00805EAC" w:rsidRPr="005E5971">
        <w:rPr>
          <w:rFonts w:asciiTheme="minorHAnsi" w:hAnsiTheme="minorHAnsi" w:cstheme="minorHAnsi"/>
          <w:b/>
        </w:rPr>
        <w:t xml:space="preserve">Year-on-year results from Coles’ </w:t>
      </w:r>
      <w:r w:rsidR="00966D2C" w:rsidRPr="005E5971">
        <w:rPr>
          <w:rFonts w:asciiTheme="minorHAnsi" w:hAnsiTheme="minorHAnsi" w:cstheme="minorHAnsi"/>
          <w:b/>
        </w:rPr>
        <w:t>H</w:t>
      </w:r>
      <w:r w:rsidR="00805EAC" w:rsidRPr="005E5971">
        <w:rPr>
          <w:rFonts w:asciiTheme="minorHAnsi" w:hAnsiTheme="minorHAnsi" w:cstheme="minorHAnsi"/>
          <w:b/>
        </w:rPr>
        <w:t>otline investigations</w:t>
      </w:r>
    </w:p>
    <w:tbl>
      <w:tblPr>
        <w:tblpPr w:leftFromText="180" w:rightFromText="180" w:vertAnchor="text" w:horzAnchor="margin" w:tblpXSpec="center" w:tblpY="78"/>
        <w:tblW w:w="9498" w:type="dxa"/>
        <w:shd w:val="clear" w:color="auto" w:fill="BDE7EE"/>
        <w:tblLayout w:type="fixed"/>
        <w:tblLook w:val="04A0" w:firstRow="1" w:lastRow="0" w:firstColumn="1" w:lastColumn="0" w:noHBand="0" w:noVBand="1"/>
      </w:tblPr>
      <w:tblGrid>
        <w:gridCol w:w="715"/>
        <w:gridCol w:w="1974"/>
        <w:gridCol w:w="1701"/>
        <w:gridCol w:w="1977"/>
        <w:gridCol w:w="7"/>
        <w:gridCol w:w="1750"/>
        <w:gridCol w:w="1374"/>
      </w:tblGrid>
      <w:tr w:rsidR="00AB658C" w:rsidRPr="005E5971" w14:paraId="21090204" w14:textId="77777777" w:rsidTr="001C65E8">
        <w:trPr>
          <w:trHeight w:val="375"/>
          <w:tblHeader/>
        </w:trPr>
        <w:tc>
          <w:tcPr>
            <w:tcW w:w="715" w:type="dxa"/>
            <w:tcBorders>
              <w:top w:val="single" w:sz="4" w:space="0" w:color="auto"/>
              <w:left w:val="single" w:sz="4" w:space="0" w:color="auto"/>
              <w:bottom w:val="single" w:sz="4" w:space="0" w:color="auto"/>
              <w:right w:val="single" w:sz="4" w:space="0" w:color="auto"/>
            </w:tcBorders>
            <w:shd w:val="clear" w:color="auto" w:fill="BDE7EE"/>
            <w:vAlign w:val="center"/>
          </w:tcPr>
          <w:p w14:paraId="4A2A2610" w14:textId="77777777" w:rsidR="00AB658C" w:rsidRPr="005E5971" w:rsidRDefault="00AB658C" w:rsidP="00AB658C">
            <w:pPr>
              <w:spacing w:after="0" w:line="240" w:lineRule="auto"/>
              <w:jc w:val="center"/>
              <w:rPr>
                <w:rFonts w:asciiTheme="minorHAnsi" w:hAnsiTheme="minorHAnsi" w:cstheme="minorHAnsi"/>
                <w:b/>
                <w:bCs/>
                <w:spacing w:val="-1"/>
                <w:sz w:val="21"/>
                <w:szCs w:val="21"/>
                <w:lang w:val="en-US" w:eastAsia="en-AU"/>
              </w:rPr>
            </w:pPr>
            <w:r w:rsidRPr="005E5971">
              <w:rPr>
                <w:rFonts w:asciiTheme="minorHAnsi" w:hAnsiTheme="minorHAnsi" w:cstheme="minorHAnsi"/>
                <w:b/>
                <w:bCs/>
                <w:spacing w:val="-1"/>
                <w:sz w:val="21"/>
                <w:szCs w:val="21"/>
                <w:lang w:val="en-US" w:eastAsia="en-AU"/>
              </w:rPr>
              <w:t xml:space="preserve">Year </w:t>
            </w:r>
          </w:p>
        </w:tc>
        <w:tc>
          <w:tcPr>
            <w:tcW w:w="1974" w:type="dxa"/>
            <w:tcBorders>
              <w:top w:val="single" w:sz="4" w:space="0" w:color="auto"/>
              <w:left w:val="nil"/>
              <w:bottom w:val="single" w:sz="4" w:space="0" w:color="auto"/>
              <w:right w:val="single" w:sz="4" w:space="0" w:color="auto"/>
            </w:tcBorders>
            <w:shd w:val="clear" w:color="auto" w:fill="BDE7EE"/>
            <w:vAlign w:val="center"/>
          </w:tcPr>
          <w:p w14:paraId="4E031957" w14:textId="01622CD2" w:rsidR="00AB658C" w:rsidRPr="005E5971" w:rsidRDefault="00AB658C" w:rsidP="00AB658C">
            <w:pPr>
              <w:spacing w:after="0" w:line="240" w:lineRule="auto"/>
              <w:jc w:val="center"/>
              <w:rPr>
                <w:rFonts w:asciiTheme="minorHAnsi" w:hAnsiTheme="minorHAnsi" w:cstheme="minorHAnsi"/>
                <w:b/>
                <w:color w:val="000000"/>
                <w:sz w:val="21"/>
                <w:szCs w:val="21"/>
                <w:lang w:eastAsia="en-AU"/>
              </w:rPr>
            </w:pPr>
            <w:r w:rsidRPr="005E5971">
              <w:rPr>
                <w:rFonts w:asciiTheme="minorHAnsi" w:hAnsiTheme="minorHAnsi" w:cstheme="minorHAnsi"/>
                <w:b/>
                <w:bCs/>
                <w:spacing w:val="-1"/>
                <w:sz w:val="21"/>
                <w:szCs w:val="21"/>
                <w:lang w:val="en-US" w:eastAsia="en-AU"/>
              </w:rPr>
              <w:t>Number referred to Coles through the Hotline</w:t>
            </w:r>
            <w:r w:rsidR="00A43DC4" w:rsidRPr="005E5971">
              <w:rPr>
                <w:rFonts w:asciiTheme="minorHAnsi" w:hAnsiTheme="minorHAnsi" w:cstheme="minorHAnsi"/>
                <w:b/>
                <w:bCs/>
                <w:spacing w:val="-1"/>
                <w:sz w:val="21"/>
                <w:szCs w:val="21"/>
                <w:lang w:val="en-US" w:eastAsia="en-AU"/>
              </w:rPr>
              <w:t xml:space="preserve"> </w:t>
            </w:r>
            <w:r w:rsidR="007801C1" w:rsidRPr="005E5971">
              <w:rPr>
                <w:rStyle w:val="FootnoteReference"/>
                <w:rFonts w:asciiTheme="minorHAnsi" w:hAnsiTheme="minorHAnsi" w:cstheme="minorHAnsi"/>
                <w:b/>
                <w:bCs/>
                <w:spacing w:val="-1"/>
                <w:sz w:val="21"/>
                <w:szCs w:val="21"/>
                <w:lang w:val="en-US" w:eastAsia="en-AU"/>
              </w:rPr>
              <w:footnoteReference w:id="6"/>
            </w:r>
          </w:p>
        </w:tc>
        <w:tc>
          <w:tcPr>
            <w:tcW w:w="1701" w:type="dxa"/>
            <w:tcBorders>
              <w:top w:val="single" w:sz="4" w:space="0" w:color="auto"/>
              <w:left w:val="nil"/>
              <w:bottom w:val="single" w:sz="4" w:space="0" w:color="auto"/>
              <w:right w:val="single" w:sz="4" w:space="0" w:color="auto"/>
            </w:tcBorders>
            <w:shd w:val="clear" w:color="auto" w:fill="BDE7EE"/>
            <w:vAlign w:val="center"/>
          </w:tcPr>
          <w:p w14:paraId="67EFFD2A" w14:textId="77777777" w:rsidR="00AB658C" w:rsidRPr="005E5971" w:rsidRDefault="00AB658C" w:rsidP="00AB658C">
            <w:pPr>
              <w:spacing w:after="0" w:line="240" w:lineRule="auto"/>
              <w:jc w:val="center"/>
              <w:rPr>
                <w:rFonts w:asciiTheme="minorHAnsi" w:hAnsiTheme="minorHAnsi" w:cstheme="minorHAnsi"/>
                <w:b/>
                <w:color w:val="000000"/>
                <w:sz w:val="21"/>
                <w:szCs w:val="21"/>
                <w:lang w:eastAsia="en-AU"/>
              </w:rPr>
            </w:pPr>
            <w:r w:rsidRPr="005E5971">
              <w:rPr>
                <w:rFonts w:asciiTheme="minorHAnsi" w:hAnsiTheme="minorHAnsi" w:cstheme="minorHAnsi"/>
                <w:b/>
                <w:bCs/>
                <w:spacing w:val="-1"/>
                <w:sz w:val="21"/>
                <w:szCs w:val="21"/>
                <w:lang w:val="en-US" w:eastAsia="en-AU"/>
              </w:rPr>
              <w:t>Average time to conclude investigation</w:t>
            </w:r>
          </w:p>
        </w:tc>
        <w:tc>
          <w:tcPr>
            <w:tcW w:w="1984" w:type="dxa"/>
            <w:gridSpan w:val="2"/>
            <w:tcBorders>
              <w:top w:val="single" w:sz="4" w:space="0" w:color="auto"/>
              <w:left w:val="nil"/>
              <w:bottom w:val="single" w:sz="4" w:space="0" w:color="auto"/>
              <w:right w:val="single" w:sz="4" w:space="0" w:color="auto"/>
            </w:tcBorders>
            <w:shd w:val="clear" w:color="auto" w:fill="BDE7EE"/>
            <w:vAlign w:val="center"/>
          </w:tcPr>
          <w:p w14:paraId="7CD016EF" w14:textId="2FE393E4" w:rsidR="00AB658C" w:rsidRPr="005E5971" w:rsidRDefault="00BD6B2D" w:rsidP="00AB658C">
            <w:pPr>
              <w:spacing w:after="0" w:line="240" w:lineRule="auto"/>
              <w:jc w:val="center"/>
              <w:rPr>
                <w:rFonts w:asciiTheme="minorHAnsi" w:hAnsiTheme="minorHAnsi" w:cstheme="minorHAnsi"/>
                <w:b/>
                <w:color w:val="000000"/>
                <w:sz w:val="21"/>
                <w:szCs w:val="21"/>
                <w:lang w:eastAsia="en-AU"/>
              </w:rPr>
            </w:pPr>
            <w:r w:rsidRPr="005E5971">
              <w:rPr>
                <w:rFonts w:asciiTheme="minorHAnsi" w:hAnsiTheme="minorHAnsi" w:cstheme="minorHAnsi"/>
                <w:b/>
                <w:bCs/>
                <w:spacing w:val="1"/>
                <w:sz w:val="21"/>
                <w:szCs w:val="21"/>
                <w:lang w:val="en-US" w:eastAsia="en-AU"/>
              </w:rPr>
              <w:t>U</w:t>
            </w:r>
            <w:r w:rsidR="00AB658C" w:rsidRPr="005E5971">
              <w:rPr>
                <w:rFonts w:asciiTheme="minorHAnsi" w:hAnsiTheme="minorHAnsi" w:cstheme="minorHAnsi"/>
                <w:b/>
                <w:bCs/>
                <w:spacing w:val="1"/>
                <w:sz w:val="21"/>
                <w:szCs w:val="21"/>
                <w:lang w:val="en-US" w:eastAsia="en-AU"/>
              </w:rPr>
              <w:t>nderpayments determined</w:t>
            </w:r>
          </w:p>
        </w:tc>
        <w:tc>
          <w:tcPr>
            <w:tcW w:w="1750" w:type="dxa"/>
            <w:tcBorders>
              <w:top w:val="single" w:sz="4" w:space="0" w:color="auto"/>
              <w:left w:val="nil"/>
              <w:bottom w:val="single" w:sz="4" w:space="0" w:color="auto"/>
              <w:right w:val="single" w:sz="4" w:space="0" w:color="auto"/>
            </w:tcBorders>
            <w:shd w:val="clear" w:color="auto" w:fill="BDE7EE"/>
            <w:vAlign w:val="center"/>
          </w:tcPr>
          <w:p w14:paraId="560CD77E" w14:textId="77777777" w:rsidR="00AB658C" w:rsidRPr="005E5971" w:rsidRDefault="00AB658C" w:rsidP="00AB658C">
            <w:pPr>
              <w:spacing w:after="0" w:line="240" w:lineRule="auto"/>
              <w:jc w:val="center"/>
              <w:rPr>
                <w:rFonts w:asciiTheme="minorHAnsi" w:hAnsiTheme="minorHAnsi" w:cstheme="minorHAnsi"/>
                <w:b/>
                <w:color w:val="000000"/>
                <w:sz w:val="21"/>
                <w:szCs w:val="21"/>
                <w:lang w:eastAsia="en-AU"/>
              </w:rPr>
            </w:pPr>
            <w:r w:rsidRPr="005E5971">
              <w:rPr>
                <w:rFonts w:asciiTheme="minorHAnsi" w:hAnsiTheme="minorHAnsi" w:cstheme="minorHAnsi"/>
                <w:b/>
                <w:bCs/>
                <w:sz w:val="21"/>
                <w:szCs w:val="21"/>
                <w:lang w:val="en-US" w:eastAsia="en-AU"/>
              </w:rPr>
              <w:t xml:space="preserve">Total Underpayment amount </w:t>
            </w:r>
          </w:p>
        </w:tc>
        <w:tc>
          <w:tcPr>
            <w:tcW w:w="1374" w:type="dxa"/>
            <w:tcBorders>
              <w:top w:val="single" w:sz="4" w:space="0" w:color="auto"/>
              <w:left w:val="nil"/>
              <w:bottom w:val="single" w:sz="4" w:space="0" w:color="auto"/>
              <w:right w:val="single" w:sz="4" w:space="0" w:color="auto"/>
            </w:tcBorders>
            <w:shd w:val="clear" w:color="auto" w:fill="BDE7EE"/>
          </w:tcPr>
          <w:p w14:paraId="45B3E29A" w14:textId="77777777" w:rsidR="00AB658C" w:rsidRPr="005E5971" w:rsidRDefault="00AB658C" w:rsidP="00AB658C">
            <w:pPr>
              <w:spacing w:after="0" w:line="240" w:lineRule="auto"/>
              <w:jc w:val="center"/>
              <w:rPr>
                <w:rFonts w:asciiTheme="minorHAnsi" w:hAnsiTheme="minorHAnsi" w:cstheme="minorHAnsi"/>
                <w:b/>
                <w:bCs/>
                <w:sz w:val="21"/>
                <w:szCs w:val="21"/>
                <w:lang w:val="en-US" w:eastAsia="en-AU"/>
              </w:rPr>
            </w:pPr>
            <w:r w:rsidRPr="005E5971">
              <w:rPr>
                <w:rFonts w:asciiTheme="minorHAnsi" w:hAnsiTheme="minorHAnsi" w:cstheme="minorHAnsi"/>
                <w:b/>
                <w:bCs/>
                <w:sz w:val="21"/>
                <w:szCs w:val="21"/>
                <w:lang w:val="en-US" w:eastAsia="en-AU"/>
              </w:rPr>
              <w:t xml:space="preserve">Number of employees            back-paid </w:t>
            </w:r>
          </w:p>
        </w:tc>
      </w:tr>
      <w:tr w:rsidR="00AB658C" w:rsidRPr="005E5971" w14:paraId="42F8DDD4" w14:textId="77777777" w:rsidTr="00BD6B2D">
        <w:trPr>
          <w:trHeight w:val="375"/>
        </w:trPr>
        <w:tc>
          <w:tcPr>
            <w:tcW w:w="715" w:type="dxa"/>
            <w:tcBorders>
              <w:top w:val="nil"/>
              <w:left w:val="single" w:sz="4" w:space="0" w:color="auto"/>
              <w:bottom w:val="single" w:sz="4" w:space="0" w:color="auto"/>
              <w:right w:val="single" w:sz="4" w:space="0" w:color="auto"/>
            </w:tcBorders>
            <w:shd w:val="clear" w:color="auto" w:fill="auto"/>
            <w:vAlign w:val="center"/>
          </w:tcPr>
          <w:p w14:paraId="719F25A6"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bCs/>
                <w:spacing w:val="-1"/>
                <w:szCs w:val="22"/>
                <w:lang w:val="en-US" w:eastAsia="en-AU"/>
              </w:rPr>
              <w:t>2015</w:t>
            </w:r>
          </w:p>
        </w:tc>
        <w:tc>
          <w:tcPr>
            <w:tcW w:w="1974" w:type="dxa"/>
            <w:tcBorders>
              <w:top w:val="nil"/>
              <w:left w:val="nil"/>
              <w:bottom w:val="single" w:sz="4" w:space="0" w:color="auto"/>
              <w:right w:val="single" w:sz="4" w:space="0" w:color="auto"/>
            </w:tcBorders>
            <w:shd w:val="clear" w:color="auto" w:fill="auto"/>
            <w:vAlign w:val="center"/>
          </w:tcPr>
          <w:p w14:paraId="0174351D"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iCs/>
                <w:szCs w:val="22"/>
                <w:lang w:val="en-US" w:eastAsia="en-AU"/>
              </w:rPr>
              <w:t>12</w:t>
            </w:r>
          </w:p>
        </w:tc>
        <w:tc>
          <w:tcPr>
            <w:tcW w:w="1701" w:type="dxa"/>
            <w:tcBorders>
              <w:top w:val="nil"/>
              <w:left w:val="nil"/>
              <w:bottom w:val="single" w:sz="4" w:space="0" w:color="auto"/>
              <w:right w:val="single" w:sz="4" w:space="0" w:color="auto"/>
            </w:tcBorders>
            <w:shd w:val="clear" w:color="auto" w:fill="auto"/>
            <w:vAlign w:val="center"/>
          </w:tcPr>
          <w:p w14:paraId="62264AE9"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19</w:t>
            </w:r>
          </w:p>
        </w:tc>
        <w:tc>
          <w:tcPr>
            <w:tcW w:w="1977" w:type="dxa"/>
            <w:tcBorders>
              <w:top w:val="nil"/>
              <w:left w:val="nil"/>
              <w:bottom w:val="single" w:sz="4" w:space="0" w:color="auto"/>
              <w:right w:val="single" w:sz="4" w:space="0" w:color="auto"/>
            </w:tcBorders>
            <w:shd w:val="clear" w:color="auto" w:fill="auto"/>
            <w:vAlign w:val="center"/>
          </w:tcPr>
          <w:p w14:paraId="7214C162"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6</w:t>
            </w:r>
          </w:p>
        </w:tc>
        <w:tc>
          <w:tcPr>
            <w:tcW w:w="1757" w:type="dxa"/>
            <w:gridSpan w:val="2"/>
            <w:tcBorders>
              <w:top w:val="nil"/>
              <w:left w:val="nil"/>
              <w:bottom w:val="single" w:sz="4" w:space="0" w:color="auto"/>
              <w:right w:val="single" w:sz="4" w:space="0" w:color="auto"/>
            </w:tcBorders>
            <w:shd w:val="clear" w:color="auto" w:fill="auto"/>
            <w:vAlign w:val="center"/>
          </w:tcPr>
          <w:p w14:paraId="214BB1C2"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$40 440.60</w:t>
            </w:r>
          </w:p>
        </w:tc>
        <w:tc>
          <w:tcPr>
            <w:tcW w:w="1374" w:type="dxa"/>
            <w:tcBorders>
              <w:top w:val="nil"/>
              <w:left w:val="nil"/>
              <w:bottom w:val="single" w:sz="4" w:space="0" w:color="auto"/>
              <w:right w:val="single" w:sz="4" w:space="0" w:color="auto"/>
            </w:tcBorders>
            <w:vAlign w:val="center"/>
          </w:tcPr>
          <w:p w14:paraId="6FEF1B57"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6</w:t>
            </w:r>
          </w:p>
        </w:tc>
      </w:tr>
      <w:tr w:rsidR="00AB658C" w:rsidRPr="005E5971" w14:paraId="4D05998B" w14:textId="77777777" w:rsidTr="00BD6B2D">
        <w:trPr>
          <w:trHeight w:val="375"/>
        </w:trPr>
        <w:tc>
          <w:tcPr>
            <w:tcW w:w="715" w:type="dxa"/>
            <w:tcBorders>
              <w:top w:val="nil"/>
              <w:left w:val="single" w:sz="4" w:space="0" w:color="auto"/>
              <w:bottom w:val="single" w:sz="4" w:space="0" w:color="auto"/>
              <w:right w:val="single" w:sz="4" w:space="0" w:color="auto"/>
            </w:tcBorders>
            <w:shd w:val="clear" w:color="auto" w:fill="auto"/>
            <w:vAlign w:val="center"/>
          </w:tcPr>
          <w:p w14:paraId="6062E65B"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bCs/>
                <w:spacing w:val="-1"/>
                <w:szCs w:val="22"/>
                <w:lang w:val="en-US" w:eastAsia="en-AU"/>
              </w:rPr>
              <w:t>2016</w:t>
            </w:r>
          </w:p>
        </w:tc>
        <w:tc>
          <w:tcPr>
            <w:tcW w:w="1974" w:type="dxa"/>
            <w:tcBorders>
              <w:top w:val="nil"/>
              <w:left w:val="nil"/>
              <w:bottom w:val="single" w:sz="4" w:space="0" w:color="auto"/>
              <w:right w:val="single" w:sz="4" w:space="0" w:color="auto"/>
            </w:tcBorders>
            <w:shd w:val="clear" w:color="auto" w:fill="auto"/>
            <w:vAlign w:val="center"/>
          </w:tcPr>
          <w:p w14:paraId="4D2C10D1" w14:textId="328BDFB7" w:rsidR="00AB658C" w:rsidRPr="005E5971" w:rsidRDefault="0045097B"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6</w:t>
            </w:r>
          </w:p>
        </w:tc>
        <w:tc>
          <w:tcPr>
            <w:tcW w:w="1701" w:type="dxa"/>
            <w:tcBorders>
              <w:top w:val="nil"/>
              <w:left w:val="nil"/>
              <w:bottom w:val="single" w:sz="4" w:space="0" w:color="auto"/>
              <w:right w:val="single" w:sz="4" w:space="0" w:color="auto"/>
            </w:tcBorders>
            <w:shd w:val="clear" w:color="auto" w:fill="auto"/>
            <w:vAlign w:val="center"/>
          </w:tcPr>
          <w:p w14:paraId="2E8E0103"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27</w:t>
            </w:r>
          </w:p>
        </w:tc>
        <w:tc>
          <w:tcPr>
            <w:tcW w:w="1977" w:type="dxa"/>
            <w:tcBorders>
              <w:top w:val="nil"/>
              <w:left w:val="nil"/>
              <w:bottom w:val="single" w:sz="4" w:space="0" w:color="auto"/>
              <w:right w:val="single" w:sz="4" w:space="0" w:color="auto"/>
            </w:tcBorders>
            <w:shd w:val="clear" w:color="auto" w:fill="auto"/>
            <w:vAlign w:val="center"/>
          </w:tcPr>
          <w:p w14:paraId="18C996D3"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5</w:t>
            </w:r>
          </w:p>
        </w:tc>
        <w:tc>
          <w:tcPr>
            <w:tcW w:w="1757" w:type="dxa"/>
            <w:gridSpan w:val="2"/>
            <w:tcBorders>
              <w:top w:val="nil"/>
              <w:left w:val="nil"/>
              <w:bottom w:val="single" w:sz="4" w:space="0" w:color="auto"/>
              <w:right w:val="single" w:sz="4" w:space="0" w:color="auto"/>
            </w:tcBorders>
            <w:shd w:val="clear" w:color="auto" w:fill="auto"/>
            <w:vAlign w:val="center"/>
          </w:tcPr>
          <w:p w14:paraId="08ABE21D"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iCs/>
                <w:spacing w:val="1"/>
                <w:szCs w:val="22"/>
                <w:lang w:val="en-US" w:eastAsia="en-AU"/>
              </w:rPr>
              <w:t>$17 169.71</w:t>
            </w:r>
          </w:p>
        </w:tc>
        <w:tc>
          <w:tcPr>
            <w:tcW w:w="1374" w:type="dxa"/>
            <w:tcBorders>
              <w:top w:val="nil"/>
              <w:left w:val="nil"/>
              <w:bottom w:val="single" w:sz="4" w:space="0" w:color="auto"/>
              <w:right w:val="single" w:sz="4" w:space="0" w:color="auto"/>
            </w:tcBorders>
            <w:vAlign w:val="center"/>
          </w:tcPr>
          <w:p w14:paraId="450E349F"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5</w:t>
            </w:r>
          </w:p>
        </w:tc>
      </w:tr>
      <w:tr w:rsidR="00AB658C" w:rsidRPr="005E5971" w14:paraId="7574F620" w14:textId="77777777" w:rsidTr="00BD6B2D">
        <w:trPr>
          <w:trHeight w:val="375"/>
        </w:trPr>
        <w:tc>
          <w:tcPr>
            <w:tcW w:w="715" w:type="dxa"/>
            <w:tcBorders>
              <w:top w:val="nil"/>
              <w:left w:val="single" w:sz="4" w:space="0" w:color="auto"/>
              <w:bottom w:val="single" w:sz="4" w:space="0" w:color="auto"/>
              <w:right w:val="single" w:sz="4" w:space="0" w:color="auto"/>
            </w:tcBorders>
            <w:shd w:val="clear" w:color="auto" w:fill="auto"/>
            <w:vAlign w:val="center"/>
          </w:tcPr>
          <w:p w14:paraId="6AE044E8"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bCs/>
                <w:spacing w:val="1"/>
                <w:szCs w:val="22"/>
                <w:lang w:val="en-US" w:eastAsia="en-AU"/>
              </w:rPr>
              <w:t>2017</w:t>
            </w:r>
          </w:p>
        </w:tc>
        <w:tc>
          <w:tcPr>
            <w:tcW w:w="1974" w:type="dxa"/>
            <w:tcBorders>
              <w:top w:val="nil"/>
              <w:left w:val="nil"/>
              <w:bottom w:val="single" w:sz="4" w:space="0" w:color="auto"/>
              <w:right w:val="single" w:sz="4" w:space="0" w:color="auto"/>
            </w:tcBorders>
            <w:shd w:val="clear" w:color="auto" w:fill="auto"/>
            <w:vAlign w:val="center"/>
          </w:tcPr>
          <w:p w14:paraId="38C06933"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3</w:t>
            </w:r>
          </w:p>
        </w:tc>
        <w:tc>
          <w:tcPr>
            <w:tcW w:w="1701" w:type="dxa"/>
            <w:tcBorders>
              <w:top w:val="nil"/>
              <w:left w:val="nil"/>
              <w:bottom w:val="single" w:sz="4" w:space="0" w:color="auto"/>
              <w:right w:val="single" w:sz="4" w:space="0" w:color="auto"/>
            </w:tcBorders>
            <w:shd w:val="clear" w:color="auto" w:fill="auto"/>
            <w:vAlign w:val="center"/>
          </w:tcPr>
          <w:p w14:paraId="4890992D"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12</w:t>
            </w:r>
          </w:p>
        </w:tc>
        <w:tc>
          <w:tcPr>
            <w:tcW w:w="1977" w:type="dxa"/>
            <w:tcBorders>
              <w:top w:val="nil"/>
              <w:left w:val="nil"/>
              <w:bottom w:val="single" w:sz="4" w:space="0" w:color="auto"/>
              <w:right w:val="single" w:sz="4" w:space="0" w:color="auto"/>
            </w:tcBorders>
            <w:shd w:val="clear" w:color="auto" w:fill="auto"/>
            <w:vAlign w:val="center"/>
          </w:tcPr>
          <w:p w14:paraId="6E513068"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1</w:t>
            </w:r>
          </w:p>
        </w:tc>
        <w:tc>
          <w:tcPr>
            <w:tcW w:w="1757" w:type="dxa"/>
            <w:gridSpan w:val="2"/>
            <w:tcBorders>
              <w:top w:val="nil"/>
              <w:left w:val="nil"/>
              <w:bottom w:val="single" w:sz="4" w:space="0" w:color="auto"/>
              <w:right w:val="single" w:sz="4" w:space="0" w:color="auto"/>
            </w:tcBorders>
            <w:shd w:val="clear" w:color="auto" w:fill="auto"/>
            <w:vAlign w:val="center"/>
          </w:tcPr>
          <w:p w14:paraId="3BBAF68D" w14:textId="3B475274" w:rsidR="00AB658C" w:rsidRPr="005E5971" w:rsidRDefault="00AB658C" w:rsidP="0025142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iCs/>
                <w:spacing w:val="1"/>
                <w:szCs w:val="22"/>
                <w:lang w:val="en-US" w:eastAsia="en-AU"/>
              </w:rPr>
              <w:t>$2671.01</w:t>
            </w:r>
          </w:p>
        </w:tc>
        <w:tc>
          <w:tcPr>
            <w:tcW w:w="1374" w:type="dxa"/>
            <w:tcBorders>
              <w:top w:val="nil"/>
              <w:left w:val="nil"/>
              <w:bottom w:val="single" w:sz="4" w:space="0" w:color="auto"/>
              <w:right w:val="single" w:sz="4" w:space="0" w:color="auto"/>
            </w:tcBorders>
            <w:vAlign w:val="center"/>
          </w:tcPr>
          <w:p w14:paraId="0E9140F0"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1</w:t>
            </w:r>
          </w:p>
        </w:tc>
      </w:tr>
      <w:tr w:rsidR="00AB658C" w:rsidRPr="005E5971" w14:paraId="44B67F7E" w14:textId="77777777" w:rsidTr="002D6FEB">
        <w:trPr>
          <w:trHeight w:val="375"/>
        </w:trPr>
        <w:tc>
          <w:tcPr>
            <w:tcW w:w="715" w:type="dxa"/>
            <w:tcBorders>
              <w:top w:val="nil"/>
              <w:left w:val="single" w:sz="4" w:space="0" w:color="auto"/>
              <w:bottom w:val="single" w:sz="4" w:space="0" w:color="auto"/>
              <w:right w:val="single" w:sz="4" w:space="0" w:color="auto"/>
            </w:tcBorders>
            <w:shd w:val="clear" w:color="auto" w:fill="auto"/>
            <w:vAlign w:val="center"/>
          </w:tcPr>
          <w:p w14:paraId="231319A5"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bCs/>
                <w:szCs w:val="22"/>
                <w:lang w:val="en-US" w:eastAsia="en-AU"/>
              </w:rPr>
              <w:t>2018</w:t>
            </w:r>
          </w:p>
        </w:tc>
        <w:tc>
          <w:tcPr>
            <w:tcW w:w="1974" w:type="dxa"/>
            <w:tcBorders>
              <w:top w:val="nil"/>
              <w:left w:val="nil"/>
              <w:bottom w:val="single" w:sz="4" w:space="0" w:color="auto"/>
              <w:right w:val="single" w:sz="4" w:space="0" w:color="auto"/>
            </w:tcBorders>
            <w:shd w:val="clear" w:color="auto" w:fill="auto"/>
            <w:vAlign w:val="center"/>
          </w:tcPr>
          <w:p w14:paraId="2ECB97B3"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3</w:t>
            </w:r>
          </w:p>
        </w:tc>
        <w:tc>
          <w:tcPr>
            <w:tcW w:w="1701" w:type="dxa"/>
            <w:tcBorders>
              <w:top w:val="nil"/>
              <w:left w:val="nil"/>
              <w:bottom w:val="single" w:sz="4" w:space="0" w:color="auto"/>
              <w:right w:val="single" w:sz="4" w:space="0" w:color="auto"/>
            </w:tcBorders>
            <w:shd w:val="clear" w:color="auto" w:fill="auto"/>
            <w:vAlign w:val="center"/>
          </w:tcPr>
          <w:p w14:paraId="53876FD0"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20</w:t>
            </w:r>
          </w:p>
        </w:tc>
        <w:tc>
          <w:tcPr>
            <w:tcW w:w="1977" w:type="dxa"/>
            <w:tcBorders>
              <w:top w:val="nil"/>
              <w:left w:val="nil"/>
              <w:bottom w:val="single" w:sz="4" w:space="0" w:color="auto"/>
              <w:right w:val="single" w:sz="4" w:space="0" w:color="auto"/>
            </w:tcBorders>
            <w:shd w:val="clear" w:color="auto" w:fill="auto"/>
            <w:vAlign w:val="center"/>
          </w:tcPr>
          <w:p w14:paraId="0DD96AD6" w14:textId="77777777" w:rsidR="00AB658C" w:rsidRPr="005E5971" w:rsidRDefault="00AB658C" w:rsidP="00AB658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5</w:t>
            </w:r>
          </w:p>
        </w:tc>
        <w:tc>
          <w:tcPr>
            <w:tcW w:w="1757" w:type="dxa"/>
            <w:gridSpan w:val="2"/>
            <w:tcBorders>
              <w:top w:val="nil"/>
              <w:left w:val="nil"/>
              <w:bottom w:val="single" w:sz="4" w:space="0" w:color="auto"/>
              <w:right w:val="single" w:sz="4" w:space="0" w:color="auto"/>
            </w:tcBorders>
            <w:shd w:val="clear" w:color="auto" w:fill="auto"/>
            <w:vAlign w:val="center"/>
          </w:tcPr>
          <w:p w14:paraId="68E45946" w14:textId="3436F894" w:rsidR="00AB658C" w:rsidRPr="005E5971" w:rsidRDefault="00AB658C" w:rsidP="0025142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szCs w:val="22"/>
              </w:rPr>
              <w:t>$6791.31</w:t>
            </w:r>
          </w:p>
        </w:tc>
        <w:tc>
          <w:tcPr>
            <w:tcW w:w="1374" w:type="dxa"/>
            <w:tcBorders>
              <w:top w:val="nil"/>
              <w:left w:val="nil"/>
              <w:bottom w:val="single" w:sz="4" w:space="0" w:color="auto"/>
              <w:right w:val="single" w:sz="4" w:space="0" w:color="auto"/>
            </w:tcBorders>
            <w:vAlign w:val="center"/>
          </w:tcPr>
          <w:p w14:paraId="1B41C1DA" w14:textId="106428A7" w:rsidR="00AB658C" w:rsidRPr="005E5971" w:rsidRDefault="00AB658C" w:rsidP="00A43DC4">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7</w:t>
            </w:r>
          </w:p>
        </w:tc>
      </w:tr>
      <w:tr w:rsidR="002D6FEB" w:rsidRPr="005E5971" w14:paraId="56C48040" w14:textId="77777777" w:rsidTr="002D6FEB">
        <w:trPr>
          <w:trHeight w:val="37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A23F821" w14:textId="42D631AC" w:rsidR="002D6FEB" w:rsidRPr="005E5971" w:rsidRDefault="002D6FEB" w:rsidP="00AB658C">
            <w:pPr>
              <w:spacing w:after="0" w:line="240" w:lineRule="auto"/>
              <w:jc w:val="center"/>
              <w:rPr>
                <w:rFonts w:asciiTheme="minorHAnsi" w:hAnsiTheme="minorHAnsi" w:cstheme="minorHAnsi"/>
                <w:bCs/>
                <w:szCs w:val="22"/>
                <w:lang w:val="en-US" w:eastAsia="en-AU"/>
              </w:rPr>
            </w:pPr>
            <w:r w:rsidRPr="005E5971">
              <w:rPr>
                <w:rFonts w:asciiTheme="minorHAnsi" w:hAnsiTheme="minorHAnsi" w:cstheme="minorHAnsi"/>
                <w:bCs/>
                <w:szCs w:val="22"/>
                <w:lang w:val="en-US" w:eastAsia="en-AU"/>
              </w:rPr>
              <w:t xml:space="preserve">Total </w:t>
            </w:r>
          </w:p>
        </w:tc>
        <w:tc>
          <w:tcPr>
            <w:tcW w:w="1974" w:type="dxa"/>
            <w:tcBorders>
              <w:top w:val="single" w:sz="4" w:space="0" w:color="auto"/>
              <w:left w:val="nil"/>
              <w:bottom w:val="single" w:sz="4" w:space="0" w:color="auto"/>
              <w:right w:val="single" w:sz="4" w:space="0" w:color="auto"/>
            </w:tcBorders>
            <w:shd w:val="clear" w:color="auto" w:fill="auto"/>
            <w:vAlign w:val="center"/>
          </w:tcPr>
          <w:p w14:paraId="50F30BB0" w14:textId="3B124F8A" w:rsidR="002D6FEB" w:rsidRPr="005E5971" w:rsidRDefault="0045097B" w:rsidP="0045097B">
            <w:pPr>
              <w:spacing w:after="0" w:line="240" w:lineRule="auto"/>
              <w:jc w:val="center"/>
              <w:rPr>
                <w:rFonts w:asciiTheme="minorHAnsi" w:hAnsiTheme="minorHAnsi" w:cstheme="minorHAnsi"/>
                <w:i/>
                <w:color w:val="000000"/>
                <w:szCs w:val="22"/>
                <w:lang w:eastAsia="en-AU"/>
              </w:rPr>
            </w:pPr>
            <w:r w:rsidRPr="005E5971">
              <w:rPr>
                <w:rFonts w:asciiTheme="minorHAnsi" w:hAnsiTheme="minorHAnsi" w:cstheme="minorHAnsi"/>
                <w:i/>
                <w:color w:val="000000"/>
                <w:szCs w:val="22"/>
                <w:lang w:eastAsia="en-A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1448F7" w14:textId="107C3FF5" w:rsidR="002D6FEB" w:rsidRPr="005E5971" w:rsidRDefault="002D6FEB" w:rsidP="00AB658C">
            <w:pPr>
              <w:spacing w:after="0" w:line="240" w:lineRule="auto"/>
              <w:jc w:val="center"/>
              <w:rPr>
                <w:rFonts w:asciiTheme="minorHAnsi" w:hAnsiTheme="minorHAnsi" w:cstheme="minorHAnsi"/>
                <w:i/>
                <w:color w:val="000000"/>
                <w:szCs w:val="22"/>
                <w:lang w:eastAsia="en-AU"/>
              </w:rPr>
            </w:pPr>
            <w:r w:rsidRPr="005E5971">
              <w:rPr>
                <w:rFonts w:asciiTheme="minorHAnsi" w:hAnsiTheme="minorHAnsi" w:cstheme="minorHAnsi"/>
                <w:i/>
                <w:color w:val="000000"/>
                <w:szCs w:val="22"/>
                <w:lang w:eastAsia="en-AU"/>
              </w:rPr>
              <w:t>78</w:t>
            </w:r>
          </w:p>
        </w:tc>
        <w:tc>
          <w:tcPr>
            <w:tcW w:w="1977" w:type="dxa"/>
            <w:tcBorders>
              <w:top w:val="single" w:sz="4" w:space="0" w:color="auto"/>
              <w:left w:val="nil"/>
              <w:bottom w:val="single" w:sz="4" w:space="0" w:color="auto"/>
              <w:right w:val="single" w:sz="4" w:space="0" w:color="auto"/>
            </w:tcBorders>
            <w:shd w:val="clear" w:color="auto" w:fill="auto"/>
            <w:vAlign w:val="center"/>
          </w:tcPr>
          <w:p w14:paraId="003FE009" w14:textId="002CAA5C" w:rsidR="002D6FEB" w:rsidRPr="005E5971" w:rsidRDefault="002D6FEB" w:rsidP="00AB658C">
            <w:pPr>
              <w:spacing w:after="0" w:line="240" w:lineRule="auto"/>
              <w:jc w:val="center"/>
              <w:rPr>
                <w:rFonts w:asciiTheme="minorHAnsi" w:hAnsiTheme="minorHAnsi" w:cstheme="minorHAnsi"/>
                <w:i/>
                <w:color w:val="000000"/>
                <w:szCs w:val="22"/>
                <w:lang w:eastAsia="en-AU"/>
              </w:rPr>
            </w:pPr>
            <w:r w:rsidRPr="005E5971">
              <w:rPr>
                <w:rFonts w:asciiTheme="minorHAnsi" w:hAnsiTheme="minorHAnsi" w:cstheme="minorHAnsi"/>
                <w:i/>
                <w:color w:val="000000"/>
                <w:szCs w:val="22"/>
                <w:lang w:eastAsia="en-AU"/>
              </w:rPr>
              <w:t>17</w:t>
            </w:r>
          </w:p>
        </w:tc>
        <w:tc>
          <w:tcPr>
            <w:tcW w:w="1757" w:type="dxa"/>
            <w:gridSpan w:val="2"/>
            <w:tcBorders>
              <w:top w:val="single" w:sz="4" w:space="0" w:color="auto"/>
              <w:left w:val="nil"/>
              <w:bottom w:val="single" w:sz="4" w:space="0" w:color="auto"/>
              <w:right w:val="single" w:sz="4" w:space="0" w:color="auto"/>
            </w:tcBorders>
            <w:shd w:val="clear" w:color="auto" w:fill="auto"/>
            <w:vAlign w:val="center"/>
          </w:tcPr>
          <w:p w14:paraId="2D826481" w14:textId="20A320F2" w:rsidR="002D6FEB" w:rsidRPr="005E5971" w:rsidRDefault="002D6FEB" w:rsidP="00AB658C">
            <w:pPr>
              <w:spacing w:after="0" w:line="240" w:lineRule="auto"/>
              <w:jc w:val="center"/>
              <w:rPr>
                <w:rFonts w:asciiTheme="minorHAnsi" w:hAnsiTheme="minorHAnsi" w:cstheme="minorHAnsi"/>
                <w:i/>
                <w:szCs w:val="22"/>
              </w:rPr>
            </w:pPr>
            <w:r w:rsidRPr="005E5971">
              <w:rPr>
                <w:rFonts w:asciiTheme="minorHAnsi" w:hAnsiTheme="minorHAnsi" w:cstheme="minorHAnsi"/>
                <w:i/>
                <w:szCs w:val="22"/>
              </w:rPr>
              <w:t>$67</w:t>
            </w:r>
            <w:r w:rsidR="0025142C" w:rsidRPr="005E5971">
              <w:rPr>
                <w:rFonts w:asciiTheme="minorHAnsi" w:hAnsiTheme="minorHAnsi" w:cstheme="minorHAnsi"/>
                <w:i/>
                <w:szCs w:val="22"/>
              </w:rPr>
              <w:t xml:space="preserve"> </w:t>
            </w:r>
            <w:r w:rsidRPr="005E5971">
              <w:rPr>
                <w:rFonts w:asciiTheme="minorHAnsi" w:hAnsiTheme="minorHAnsi" w:cstheme="minorHAnsi"/>
                <w:i/>
                <w:szCs w:val="22"/>
              </w:rPr>
              <w:t>072.61</w:t>
            </w:r>
          </w:p>
        </w:tc>
        <w:tc>
          <w:tcPr>
            <w:tcW w:w="1374" w:type="dxa"/>
            <w:tcBorders>
              <w:top w:val="single" w:sz="4" w:space="0" w:color="auto"/>
              <w:left w:val="nil"/>
              <w:bottom w:val="single" w:sz="4" w:space="0" w:color="auto"/>
              <w:right w:val="single" w:sz="4" w:space="0" w:color="auto"/>
            </w:tcBorders>
            <w:vAlign w:val="center"/>
          </w:tcPr>
          <w:p w14:paraId="7E567B48" w14:textId="05C072A8" w:rsidR="002D6FEB" w:rsidRPr="005E5971" w:rsidRDefault="002D6FEB" w:rsidP="00AB658C">
            <w:pPr>
              <w:spacing w:after="0" w:line="240" w:lineRule="auto"/>
              <w:jc w:val="center"/>
              <w:rPr>
                <w:rFonts w:asciiTheme="minorHAnsi" w:hAnsiTheme="minorHAnsi" w:cstheme="minorHAnsi"/>
                <w:i/>
                <w:color w:val="000000"/>
                <w:szCs w:val="22"/>
                <w:lang w:eastAsia="en-AU"/>
              </w:rPr>
            </w:pPr>
            <w:r w:rsidRPr="005E5971">
              <w:rPr>
                <w:rFonts w:asciiTheme="minorHAnsi" w:hAnsiTheme="minorHAnsi" w:cstheme="minorHAnsi"/>
                <w:i/>
                <w:color w:val="000000"/>
                <w:szCs w:val="22"/>
                <w:lang w:eastAsia="en-AU"/>
              </w:rPr>
              <w:t>19</w:t>
            </w:r>
          </w:p>
        </w:tc>
      </w:tr>
    </w:tbl>
    <w:p w14:paraId="63E65C85" w14:textId="77777777" w:rsidR="00B54D37" w:rsidRPr="005E5971" w:rsidRDefault="00B54D37" w:rsidP="00711D75">
      <w:pPr>
        <w:pStyle w:val="ListParagraph"/>
        <w:ind w:left="567"/>
        <w:rPr>
          <w:rFonts w:asciiTheme="minorHAnsi" w:hAnsiTheme="minorHAnsi" w:cstheme="minorHAnsi"/>
        </w:rPr>
      </w:pPr>
    </w:p>
    <w:p w14:paraId="0B45180A" w14:textId="2BFD3CAA" w:rsidR="00B54D37" w:rsidRPr="005E5971" w:rsidRDefault="00B54D37" w:rsidP="00B477B4">
      <w:pPr>
        <w:pStyle w:val="Heading2"/>
      </w:pPr>
      <w:r w:rsidRPr="005E5971">
        <w:t>Workplace relations training</w:t>
      </w:r>
    </w:p>
    <w:p w14:paraId="04633CB1" w14:textId="0B7F957A" w:rsidR="00B54D37" w:rsidRPr="005E5971" w:rsidRDefault="00B54D37" w:rsidP="00711D75">
      <w:pPr>
        <w:rPr>
          <w:rFonts w:asciiTheme="minorHAnsi" w:hAnsiTheme="minorHAnsi" w:cstheme="minorHAnsi"/>
        </w:rPr>
      </w:pPr>
      <w:r w:rsidRPr="005E5971">
        <w:rPr>
          <w:rFonts w:asciiTheme="minorHAnsi" w:hAnsiTheme="minorHAnsi" w:cstheme="minorHAnsi"/>
        </w:rPr>
        <w:t xml:space="preserve">Coles has also reported to the FWO on the ongoing workplace relations training program it committed to designing and implementing </w:t>
      </w:r>
      <w:r w:rsidR="006C146F" w:rsidRPr="005E5971">
        <w:rPr>
          <w:rFonts w:asciiTheme="minorHAnsi" w:hAnsiTheme="minorHAnsi" w:cstheme="minorHAnsi"/>
        </w:rPr>
        <w:t>as per the</w:t>
      </w:r>
      <w:r w:rsidRPr="005E5971">
        <w:rPr>
          <w:rFonts w:asciiTheme="minorHAnsi" w:hAnsiTheme="minorHAnsi" w:cstheme="minorHAnsi"/>
        </w:rPr>
        <w:t xml:space="preserve"> EU. </w:t>
      </w:r>
      <w:r w:rsidR="00270ACA" w:rsidRPr="005E5971">
        <w:rPr>
          <w:rFonts w:asciiTheme="minorHAnsi" w:hAnsiTheme="minorHAnsi" w:cstheme="minorHAnsi"/>
        </w:rPr>
        <w:t xml:space="preserve">Coles advised FWO that </w:t>
      </w:r>
      <w:r w:rsidR="00F457E4" w:rsidRPr="005E5971">
        <w:rPr>
          <w:rFonts w:asciiTheme="minorHAnsi" w:hAnsiTheme="minorHAnsi" w:cstheme="minorHAnsi"/>
        </w:rPr>
        <w:t>it p</w:t>
      </w:r>
      <w:r w:rsidR="00270ACA" w:rsidRPr="005E5971">
        <w:rPr>
          <w:rFonts w:asciiTheme="minorHAnsi" w:hAnsiTheme="minorHAnsi" w:cstheme="minorHAnsi"/>
        </w:rPr>
        <w:t xml:space="preserve">rovided </w:t>
      </w:r>
      <w:r w:rsidR="00F457E4" w:rsidRPr="005E5971">
        <w:rPr>
          <w:rFonts w:asciiTheme="minorHAnsi" w:hAnsiTheme="minorHAnsi" w:cstheme="minorHAnsi"/>
        </w:rPr>
        <w:t xml:space="preserve">training </w:t>
      </w:r>
      <w:r w:rsidR="00270ACA" w:rsidRPr="005E5971">
        <w:rPr>
          <w:rFonts w:asciiTheme="minorHAnsi" w:hAnsiTheme="minorHAnsi" w:cstheme="minorHAnsi"/>
        </w:rPr>
        <w:t>to nine team member</w:t>
      </w:r>
      <w:r w:rsidR="00BD6B2D" w:rsidRPr="005E5971">
        <w:rPr>
          <w:rFonts w:asciiTheme="minorHAnsi" w:hAnsiTheme="minorHAnsi" w:cstheme="minorHAnsi"/>
        </w:rPr>
        <w:t>s</w:t>
      </w:r>
      <w:r w:rsidR="00270ACA" w:rsidRPr="005E5971">
        <w:rPr>
          <w:rFonts w:asciiTheme="minorHAnsi" w:hAnsiTheme="minorHAnsi" w:cstheme="minorHAnsi"/>
        </w:rPr>
        <w:t xml:space="preserve"> in 2018, </w:t>
      </w:r>
      <w:r w:rsidRPr="005E5971">
        <w:rPr>
          <w:rFonts w:asciiTheme="minorHAnsi" w:hAnsiTheme="minorHAnsi" w:cstheme="minorHAnsi"/>
        </w:rPr>
        <w:t xml:space="preserve">meaning </w:t>
      </w:r>
      <w:r w:rsidR="00F457E4" w:rsidRPr="005E5971">
        <w:rPr>
          <w:rFonts w:asciiTheme="minorHAnsi" w:hAnsiTheme="minorHAnsi" w:cstheme="minorHAnsi"/>
        </w:rPr>
        <w:t>that 125</w:t>
      </w:r>
      <w:r w:rsidRPr="005E5971">
        <w:rPr>
          <w:rFonts w:asciiTheme="minorHAnsi" w:hAnsiTheme="minorHAnsi" w:cstheme="minorHAnsi"/>
        </w:rPr>
        <w:t xml:space="preserve"> </w:t>
      </w:r>
      <w:proofErr w:type="gramStart"/>
      <w:r w:rsidR="00F457E4" w:rsidRPr="005E5971">
        <w:rPr>
          <w:rFonts w:asciiTheme="minorHAnsi" w:hAnsiTheme="minorHAnsi" w:cstheme="minorHAnsi"/>
        </w:rPr>
        <w:t>Coles</w:t>
      </w:r>
      <w:proofErr w:type="gramEnd"/>
      <w:r w:rsidR="00F457E4" w:rsidRPr="005E5971">
        <w:rPr>
          <w:rFonts w:asciiTheme="minorHAnsi" w:hAnsiTheme="minorHAnsi" w:cstheme="minorHAnsi"/>
        </w:rPr>
        <w:t xml:space="preserve"> </w:t>
      </w:r>
      <w:r w:rsidRPr="005E5971">
        <w:rPr>
          <w:rFonts w:asciiTheme="minorHAnsi" w:hAnsiTheme="minorHAnsi" w:cstheme="minorHAnsi"/>
        </w:rPr>
        <w:t>employees have received training since the commencement of the EU.</w:t>
      </w:r>
      <w:r w:rsidR="0025142C" w:rsidRPr="005E5971">
        <w:rPr>
          <w:rFonts w:asciiTheme="minorHAnsi" w:hAnsiTheme="minorHAnsi" w:cstheme="minorHAnsi"/>
        </w:rPr>
        <w:t xml:space="preserve"> </w:t>
      </w:r>
    </w:p>
    <w:p w14:paraId="6896076E" w14:textId="77777777" w:rsidR="00966D2C" w:rsidRPr="005E5971" w:rsidRDefault="00966D2C" w:rsidP="00711D75">
      <w:pPr>
        <w:rPr>
          <w:rFonts w:asciiTheme="minorHAnsi" w:hAnsiTheme="minorHAnsi" w:cstheme="minorHAnsi"/>
        </w:rPr>
      </w:pPr>
    </w:p>
    <w:p w14:paraId="3EA0EFBE" w14:textId="232FE7E8" w:rsidR="00F22392" w:rsidRPr="005E5971" w:rsidRDefault="00270ACA" w:rsidP="00B477B4">
      <w:pPr>
        <w:pStyle w:val="Heading2"/>
      </w:pPr>
      <w:r w:rsidRPr="005E5971">
        <w:lastRenderedPageBreak/>
        <w:t>Annual a</w:t>
      </w:r>
      <w:r w:rsidR="00F22392" w:rsidRPr="005E5971">
        <w:t>udit</w:t>
      </w:r>
      <w:r w:rsidRPr="005E5971">
        <w:t xml:space="preserve"> of UTC and subcontractors</w:t>
      </w:r>
    </w:p>
    <w:p w14:paraId="78178F5B" w14:textId="345AC748" w:rsidR="006C146F" w:rsidRPr="005E5971" w:rsidRDefault="002860B7" w:rsidP="006C146F">
      <w:pPr>
        <w:rPr>
          <w:rFonts w:asciiTheme="minorHAnsi" w:hAnsiTheme="minorHAnsi" w:cstheme="minorHAnsi"/>
        </w:rPr>
      </w:pPr>
      <w:r w:rsidRPr="005E5971">
        <w:rPr>
          <w:rFonts w:asciiTheme="minorHAnsi" w:hAnsiTheme="minorHAnsi" w:cstheme="minorHAnsi"/>
        </w:rPr>
        <w:t xml:space="preserve">To satisfy the auditing requirements of the </w:t>
      </w:r>
      <w:r w:rsidR="00F22392" w:rsidRPr="005E5971">
        <w:rPr>
          <w:rFonts w:asciiTheme="minorHAnsi" w:hAnsiTheme="minorHAnsi" w:cstheme="minorHAnsi"/>
        </w:rPr>
        <w:t xml:space="preserve">EU, </w:t>
      </w:r>
      <w:r w:rsidRPr="005E5971">
        <w:rPr>
          <w:rFonts w:asciiTheme="minorHAnsi" w:hAnsiTheme="minorHAnsi" w:cstheme="minorHAnsi"/>
        </w:rPr>
        <w:t xml:space="preserve">Coles engaged external firm </w:t>
      </w:r>
      <w:r w:rsidR="00582553" w:rsidRPr="005E5971">
        <w:rPr>
          <w:rFonts w:asciiTheme="minorHAnsi" w:hAnsiTheme="minorHAnsi" w:cstheme="minorHAnsi"/>
        </w:rPr>
        <w:t>Price Waterhouse Coopers</w:t>
      </w:r>
      <w:r w:rsidR="00034205" w:rsidRPr="005E5971">
        <w:rPr>
          <w:rFonts w:asciiTheme="minorHAnsi" w:hAnsiTheme="minorHAnsi" w:cstheme="minorHAnsi"/>
        </w:rPr>
        <w:t xml:space="preserve"> (PWC)</w:t>
      </w:r>
      <w:r w:rsidR="00582553" w:rsidRPr="005E5971">
        <w:rPr>
          <w:rFonts w:asciiTheme="minorHAnsi" w:hAnsiTheme="minorHAnsi" w:cstheme="minorHAnsi"/>
        </w:rPr>
        <w:t xml:space="preserve"> </w:t>
      </w:r>
      <w:r w:rsidR="00F22392" w:rsidRPr="005E5971">
        <w:rPr>
          <w:rFonts w:asciiTheme="minorHAnsi" w:hAnsiTheme="minorHAnsi" w:cstheme="minorHAnsi"/>
        </w:rPr>
        <w:t xml:space="preserve">to conduct </w:t>
      </w:r>
      <w:r w:rsidR="00582553" w:rsidRPr="005E5971">
        <w:rPr>
          <w:rFonts w:asciiTheme="minorHAnsi" w:hAnsiTheme="minorHAnsi" w:cstheme="minorHAnsi"/>
        </w:rPr>
        <w:t>the 2018</w:t>
      </w:r>
      <w:r w:rsidR="00F22392" w:rsidRPr="005E5971">
        <w:rPr>
          <w:rFonts w:asciiTheme="minorHAnsi" w:hAnsiTheme="minorHAnsi" w:cstheme="minorHAnsi"/>
        </w:rPr>
        <w:t xml:space="preserve"> annual independent audit of trolley </w:t>
      </w:r>
      <w:r w:rsidR="006C146F" w:rsidRPr="005E5971">
        <w:rPr>
          <w:rFonts w:asciiTheme="minorHAnsi" w:hAnsiTheme="minorHAnsi" w:cstheme="minorHAnsi"/>
        </w:rPr>
        <w:t>sub</w:t>
      </w:r>
      <w:r w:rsidR="00F22392" w:rsidRPr="005E5971">
        <w:rPr>
          <w:rFonts w:asciiTheme="minorHAnsi" w:hAnsiTheme="minorHAnsi" w:cstheme="minorHAnsi"/>
        </w:rPr>
        <w:t>contractors engaged by UTC</w:t>
      </w:r>
      <w:r w:rsidR="00034205" w:rsidRPr="005E5971">
        <w:rPr>
          <w:rFonts w:asciiTheme="minorHAnsi" w:hAnsiTheme="minorHAnsi" w:cstheme="minorHAnsi"/>
        </w:rPr>
        <w:t xml:space="preserve">. </w:t>
      </w:r>
      <w:r w:rsidR="00BE3E15" w:rsidRPr="005E5971">
        <w:rPr>
          <w:rFonts w:asciiTheme="minorHAnsi" w:hAnsiTheme="minorHAnsi" w:cstheme="minorHAnsi"/>
          <w:szCs w:val="22"/>
        </w:rPr>
        <w:t>The audit focused on subcontractors where compliance issues had previously been identified.</w:t>
      </w:r>
      <w:r w:rsidR="006C146F" w:rsidRPr="005E5971">
        <w:rPr>
          <w:rFonts w:asciiTheme="minorHAnsi" w:hAnsiTheme="minorHAnsi" w:cstheme="minorHAnsi"/>
        </w:rPr>
        <w:t xml:space="preserve"> As part of the audit:</w:t>
      </w:r>
    </w:p>
    <w:p w14:paraId="66BE7CE4" w14:textId="6005BDDF" w:rsidR="00F22392" w:rsidRPr="005E5971" w:rsidRDefault="00A43DC4" w:rsidP="00711D75">
      <w:pPr>
        <w:pStyle w:val="ListParagraph"/>
        <w:numPr>
          <w:ilvl w:val="0"/>
          <w:numId w:val="10"/>
        </w:numPr>
        <w:rPr>
          <w:rFonts w:asciiTheme="minorHAnsi" w:hAnsiTheme="minorHAnsi" w:cstheme="minorHAnsi"/>
        </w:rPr>
      </w:pPr>
      <w:proofErr w:type="gramStart"/>
      <w:r w:rsidRPr="005E5971">
        <w:rPr>
          <w:rFonts w:asciiTheme="minorHAnsi" w:hAnsiTheme="minorHAnsi" w:cstheme="minorHAnsi"/>
        </w:rPr>
        <w:t>seven</w:t>
      </w:r>
      <w:proofErr w:type="gramEnd"/>
      <w:r w:rsidRPr="005E5971">
        <w:rPr>
          <w:rFonts w:asciiTheme="minorHAnsi" w:hAnsiTheme="minorHAnsi" w:cstheme="minorHAnsi"/>
        </w:rPr>
        <w:t xml:space="preserve"> </w:t>
      </w:r>
      <w:r w:rsidR="00F22392" w:rsidRPr="005E5971">
        <w:rPr>
          <w:rFonts w:asciiTheme="minorHAnsi" w:hAnsiTheme="minorHAnsi" w:cstheme="minorHAnsi"/>
        </w:rPr>
        <w:t xml:space="preserve">(22%) </w:t>
      </w:r>
      <w:r w:rsidR="00EB4A64" w:rsidRPr="005E5971">
        <w:rPr>
          <w:rFonts w:asciiTheme="minorHAnsi" w:hAnsiTheme="minorHAnsi" w:cstheme="minorHAnsi"/>
        </w:rPr>
        <w:t xml:space="preserve">UTC </w:t>
      </w:r>
      <w:r w:rsidR="00F22392" w:rsidRPr="005E5971">
        <w:rPr>
          <w:rFonts w:asciiTheme="minorHAnsi" w:hAnsiTheme="minorHAnsi" w:cstheme="minorHAnsi"/>
        </w:rPr>
        <w:t>subcontractors were audited, including contractors in various states and territories</w:t>
      </w:r>
    </w:p>
    <w:p w14:paraId="34CA1803" w14:textId="200A4C7E" w:rsidR="00F22392" w:rsidRPr="005E5971" w:rsidRDefault="00EB4A64" w:rsidP="00711D75">
      <w:pPr>
        <w:pStyle w:val="ListParagraph"/>
        <w:numPr>
          <w:ilvl w:val="0"/>
          <w:numId w:val="10"/>
        </w:numPr>
        <w:rPr>
          <w:rFonts w:asciiTheme="minorHAnsi" w:hAnsiTheme="minorHAnsi" w:cstheme="minorHAnsi"/>
        </w:rPr>
      </w:pPr>
      <w:r w:rsidRPr="005E5971">
        <w:rPr>
          <w:rFonts w:asciiTheme="minorHAnsi" w:hAnsiTheme="minorHAnsi" w:cstheme="minorHAnsi"/>
        </w:rPr>
        <w:t>w</w:t>
      </w:r>
      <w:r w:rsidR="00F22392" w:rsidRPr="005E5971">
        <w:rPr>
          <w:rFonts w:asciiTheme="minorHAnsi" w:hAnsiTheme="minorHAnsi" w:cstheme="minorHAnsi"/>
        </w:rPr>
        <w:t xml:space="preserve">ages paid to employees were assessed against </w:t>
      </w:r>
      <w:r w:rsidRPr="005E5971">
        <w:rPr>
          <w:rFonts w:asciiTheme="minorHAnsi" w:hAnsiTheme="minorHAnsi" w:cstheme="minorHAnsi"/>
        </w:rPr>
        <w:t xml:space="preserve">the </w:t>
      </w:r>
      <w:r w:rsidR="00F22392" w:rsidRPr="005E5971">
        <w:rPr>
          <w:rFonts w:asciiTheme="minorHAnsi" w:hAnsiTheme="minorHAnsi" w:cstheme="minorHAnsi"/>
        </w:rPr>
        <w:t xml:space="preserve">minimum entitlements </w:t>
      </w:r>
      <w:r w:rsidRPr="005E5971">
        <w:rPr>
          <w:rFonts w:asciiTheme="minorHAnsi" w:hAnsiTheme="minorHAnsi" w:cstheme="minorHAnsi"/>
        </w:rPr>
        <w:t>set out by</w:t>
      </w:r>
      <w:r w:rsidR="00F22392" w:rsidRPr="005E5971">
        <w:rPr>
          <w:rFonts w:asciiTheme="minorHAnsi" w:hAnsiTheme="minorHAnsi" w:cstheme="minorHAnsi"/>
        </w:rPr>
        <w:t xml:space="preserve"> the </w:t>
      </w:r>
      <w:r w:rsidR="00F22392" w:rsidRPr="005E5971">
        <w:rPr>
          <w:rFonts w:asciiTheme="minorHAnsi" w:hAnsiTheme="minorHAnsi" w:cstheme="minorHAnsi"/>
          <w:i/>
        </w:rPr>
        <w:t>Cleaning Services Award 2010</w:t>
      </w:r>
    </w:p>
    <w:p w14:paraId="4807F51E" w14:textId="09B87C53" w:rsidR="00F22392" w:rsidRPr="005E5971" w:rsidRDefault="00F22392" w:rsidP="00711D75">
      <w:pPr>
        <w:pStyle w:val="ListParagraph"/>
        <w:numPr>
          <w:ilvl w:val="0"/>
          <w:numId w:val="10"/>
        </w:numPr>
        <w:rPr>
          <w:rFonts w:asciiTheme="minorHAnsi" w:hAnsiTheme="minorHAnsi" w:cstheme="minorHAnsi"/>
        </w:rPr>
      </w:pPr>
      <w:r w:rsidRPr="005E5971">
        <w:rPr>
          <w:rFonts w:asciiTheme="minorHAnsi" w:hAnsiTheme="minorHAnsi" w:cstheme="minorHAnsi"/>
        </w:rPr>
        <w:t>three pay cycles</w:t>
      </w:r>
      <w:r w:rsidR="00CB1762" w:rsidRPr="005E5971">
        <w:rPr>
          <w:rFonts w:asciiTheme="minorHAnsi" w:hAnsiTheme="minorHAnsi" w:cstheme="minorHAnsi"/>
        </w:rPr>
        <w:t xml:space="preserve"> (</w:t>
      </w:r>
      <w:r w:rsidR="00EB4A64" w:rsidRPr="005E5971">
        <w:rPr>
          <w:rFonts w:asciiTheme="minorHAnsi" w:hAnsiTheme="minorHAnsi" w:cstheme="minorHAnsi"/>
        </w:rPr>
        <w:t>or six weeks</w:t>
      </w:r>
      <w:r w:rsidR="00CB1762" w:rsidRPr="005E5971">
        <w:rPr>
          <w:rFonts w:asciiTheme="minorHAnsi" w:hAnsiTheme="minorHAnsi" w:cstheme="minorHAnsi"/>
        </w:rPr>
        <w:t>)</w:t>
      </w:r>
      <w:r w:rsidRPr="005E5971">
        <w:rPr>
          <w:rFonts w:asciiTheme="minorHAnsi" w:hAnsiTheme="minorHAnsi" w:cstheme="minorHAnsi"/>
        </w:rPr>
        <w:t xml:space="preserve"> </w:t>
      </w:r>
      <w:r w:rsidR="006C146F" w:rsidRPr="005E5971">
        <w:rPr>
          <w:rFonts w:asciiTheme="minorHAnsi" w:hAnsiTheme="minorHAnsi" w:cstheme="minorHAnsi"/>
        </w:rPr>
        <w:t>were sampled</w:t>
      </w:r>
      <w:r w:rsidR="00AD50BC" w:rsidRPr="005E5971">
        <w:rPr>
          <w:rFonts w:asciiTheme="minorHAnsi" w:hAnsiTheme="minorHAnsi" w:cstheme="minorHAnsi"/>
        </w:rPr>
        <w:t xml:space="preserve"> </w:t>
      </w:r>
      <w:r w:rsidRPr="005E5971">
        <w:rPr>
          <w:rFonts w:asciiTheme="minorHAnsi" w:hAnsiTheme="minorHAnsi" w:cstheme="minorHAnsi"/>
        </w:rPr>
        <w:t>(</w:t>
      </w:r>
      <w:r w:rsidR="00EB4A64" w:rsidRPr="005E5971">
        <w:rPr>
          <w:rFonts w:asciiTheme="minorHAnsi" w:hAnsiTheme="minorHAnsi" w:cstheme="minorHAnsi"/>
        </w:rPr>
        <w:t>greater than the one</w:t>
      </w:r>
      <w:r w:rsidRPr="005E5971">
        <w:rPr>
          <w:rFonts w:asciiTheme="minorHAnsi" w:hAnsiTheme="minorHAnsi" w:cstheme="minorHAnsi"/>
        </w:rPr>
        <w:t xml:space="preserve"> month specified in the EU)</w:t>
      </w:r>
      <w:r w:rsidR="00034205" w:rsidRPr="005E5971">
        <w:rPr>
          <w:rFonts w:asciiTheme="minorHAnsi" w:hAnsiTheme="minorHAnsi" w:cstheme="minorHAnsi"/>
        </w:rPr>
        <w:t xml:space="preserve"> </w:t>
      </w:r>
    </w:p>
    <w:p w14:paraId="74536B6B" w14:textId="48FC50A2" w:rsidR="00F22392" w:rsidRPr="005E5971" w:rsidRDefault="00F22392" w:rsidP="00711D75">
      <w:pPr>
        <w:pStyle w:val="ListParagraph"/>
        <w:numPr>
          <w:ilvl w:val="0"/>
          <w:numId w:val="10"/>
        </w:numPr>
        <w:rPr>
          <w:rFonts w:asciiTheme="minorHAnsi" w:hAnsiTheme="minorHAnsi" w:cstheme="minorHAnsi"/>
        </w:rPr>
      </w:pPr>
      <w:r w:rsidRPr="005E5971">
        <w:rPr>
          <w:rFonts w:asciiTheme="minorHAnsi" w:hAnsiTheme="minorHAnsi" w:cstheme="minorHAnsi"/>
        </w:rPr>
        <w:t>37 e</w:t>
      </w:r>
      <w:r w:rsidRPr="005E5971">
        <w:rPr>
          <w:rFonts w:asciiTheme="minorHAnsi" w:hAnsiTheme="minorHAnsi" w:cstheme="minorHAnsi"/>
          <w:szCs w:val="22"/>
        </w:rPr>
        <w:t>mployees were found to ha</w:t>
      </w:r>
      <w:r w:rsidR="00CB1762" w:rsidRPr="005E5971">
        <w:rPr>
          <w:rFonts w:asciiTheme="minorHAnsi" w:hAnsiTheme="minorHAnsi" w:cstheme="minorHAnsi"/>
          <w:szCs w:val="22"/>
        </w:rPr>
        <w:t>ve been underpaid a total of $7</w:t>
      </w:r>
      <w:r w:rsidRPr="005E5971">
        <w:rPr>
          <w:rFonts w:asciiTheme="minorHAnsi" w:hAnsiTheme="minorHAnsi" w:cstheme="minorHAnsi"/>
          <w:szCs w:val="22"/>
        </w:rPr>
        <w:t>099.60</w:t>
      </w:r>
    </w:p>
    <w:p w14:paraId="55BFC538" w14:textId="3AC7774C" w:rsidR="00F86862" w:rsidRPr="00F86862" w:rsidRDefault="00F86862" w:rsidP="006B6DCE">
      <w:pPr>
        <w:pStyle w:val="ListParagraph"/>
        <w:numPr>
          <w:ilvl w:val="0"/>
          <w:numId w:val="10"/>
        </w:numPr>
        <w:rPr>
          <w:rFonts w:asciiTheme="minorHAnsi" w:hAnsiTheme="minorHAnsi" w:cstheme="minorHAnsi"/>
        </w:rPr>
      </w:pPr>
      <w:proofErr w:type="gramStart"/>
      <w:r w:rsidRPr="00F86862">
        <w:rPr>
          <w:rFonts w:asciiTheme="minorHAnsi" w:hAnsiTheme="minorHAnsi" w:cstheme="minorHAnsi"/>
          <w:szCs w:val="22"/>
        </w:rPr>
        <w:t>it</w:t>
      </w:r>
      <w:proofErr w:type="gramEnd"/>
      <w:r w:rsidRPr="00F86862">
        <w:rPr>
          <w:rFonts w:asciiTheme="minorHAnsi" w:hAnsiTheme="minorHAnsi" w:cstheme="minorHAnsi"/>
          <w:szCs w:val="22"/>
        </w:rPr>
        <w:t xml:space="preserve"> was </w:t>
      </w:r>
      <w:r w:rsidR="00244F8F" w:rsidRPr="00F86862">
        <w:rPr>
          <w:rFonts w:asciiTheme="minorHAnsi" w:hAnsiTheme="minorHAnsi" w:cstheme="minorHAnsi"/>
          <w:szCs w:val="22"/>
        </w:rPr>
        <w:t>i</w:t>
      </w:r>
      <w:r w:rsidRPr="00F86862">
        <w:rPr>
          <w:rFonts w:asciiTheme="minorHAnsi" w:hAnsiTheme="minorHAnsi" w:cstheme="minorHAnsi"/>
          <w:szCs w:val="22"/>
        </w:rPr>
        <w:t>dentified that during</w:t>
      </w:r>
      <w:r w:rsidR="00244F8F" w:rsidRPr="00F86862">
        <w:rPr>
          <w:rFonts w:asciiTheme="minorHAnsi" w:hAnsiTheme="minorHAnsi" w:cstheme="minorHAnsi"/>
          <w:szCs w:val="22"/>
        </w:rPr>
        <w:t xml:space="preserve"> the corresponding period, 122 employees were paid above their minimum award entitlements, with </w:t>
      </w:r>
      <w:r>
        <w:rPr>
          <w:rFonts w:asciiTheme="minorHAnsi" w:hAnsiTheme="minorHAnsi" w:cstheme="minorHAnsi"/>
          <w:szCs w:val="22"/>
        </w:rPr>
        <w:t xml:space="preserve">these </w:t>
      </w:r>
      <w:r w:rsidR="00244F8F" w:rsidRPr="00F86862">
        <w:rPr>
          <w:rFonts w:asciiTheme="minorHAnsi" w:hAnsiTheme="minorHAnsi" w:cstheme="minorHAnsi"/>
          <w:szCs w:val="22"/>
        </w:rPr>
        <w:t>above</w:t>
      </w:r>
      <w:r>
        <w:rPr>
          <w:rFonts w:asciiTheme="minorHAnsi" w:hAnsiTheme="minorHAnsi" w:cstheme="minorHAnsi"/>
          <w:szCs w:val="22"/>
        </w:rPr>
        <w:t>-</w:t>
      </w:r>
      <w:r w:rsidR="00244F8F" w:rsidRPr="00F86862">
        <w:rPr>
          <w:rFonts w:asciiTheme="minorHAnsi" w:hAnsiTheme="minorHAnsi" w:cstheme="minorHAnsi"/>
          <w:szCs w:val="22"/>
        </w:rPr>
        <w:t xml:space="preserve">award </w:t>
      </w:r>
      <w:r>
        <w:rPr>
          <w:rFonts w:asciiTheme="minorHAnsi" w:hAnsiTheme="minorHAnsi" w:cstheme="minorHAnsi"/>
          <w:szCs w:val="22"/>
        </w:rPr>
        <w:t xml:space="preserve">minimum </w:t>
      </w:r>
      <w:r w:rsidR="00244F8F" w:rsidRPr="00F86862">
        <w:rPr>
          <w:rFonts w:asciiTheme="minorHAnsi" w:hAnsiTheme="minorHAnsi" w:cstheme="minorHAnsi"/>
          <w:szCs w:val="22"/>
        </w:rPr>
        <w:t xml:space="preserve">payments </w:t>
      </w:r>
      <w:r w:rsidRPr="00F86862">
        <w:rPr>
          <w:rFonts w:asciiTheme="minorHAnsi" w:hAnsiTheme="minorHAnsi" w:cstheme="minorHAnsi"/>
          <w:szCs w:val="22"/>
        </w:rPr>
        <w:t xml:space="preserve">totalling </w:t>
      </w:r>
      <w:r w:rsidR="00244F8F" w:rsidRPr="00F86862">
        <w:rPr>
          <w:rFonts w:asciiTheme="minorHAnsi" w:hAnsiTheme="minorHAnsi" w:cstheme="minorHAnsi"/>
          <w:szCs w:val="22"/>
        </w:rPr>
        <w:t>$69 592.93</w:t>
      </w:r>
      <w:r>
        <w:rPr>
          <w:rFonts w:asciiTheme="minorHAnsi" w:hAnsiTheme="minorHAnsi" w:cstheme="minorHAnsi"/>
          <w:szCs w:val="22"/>
        </w:rPr>
        <w:t>.</w:t>
      </w:r>
    </w:p>
    <w:p w14:paraId="0273299E" w14:textId="026E9840" w:rsidR="00F22392" w:rsidRPr="00F86862" w:rsidRDefault="006C146F" w:rsidP="00F86862">
      <w:pPr>
        <w:rPr>
          <w:rFonts w:asciiTheme="minorHAnsi" w:hAnsiTheme="minorHAnsi" w:cstheme="minorHAnsi"/>
        </w:rPr>
      </w:pPr>
      <w:r w:rsidRPr="00F86862">
        <w:rPr>
          <w:rFonts w:asciiTheme="minorHAnsi" w:hAnsiTheme="minorHAnsi" w:cstheme="minorHAnsi"/>
          <w:szCs w:val="22"/>
        </w:rPr>
        <w:t>A</w:t>
      </w:r>
      <w:r w:rsidR="00F22392" w:rsidRPr="00F86862">
        <w:rPr>
          <w:rFonts w:asciiTheme="minorHAnsi" w:hAnsiTheme="minorHAnsi" w:cstheme="minorHAnsi"/>
          <w:szCs w:val="22"/>
        </w:rPr>
        <w:t xml:space="preserve">ll underpayments </w:t>
      </w:r>
      <w:r w:rsidRPr="00F86862">
        <w:rPr>
          <w:rFonts w:asciiTheme="minorHAnsi" w:hAnsiTheme="minorHAnsi" w:cstheme="minorHAnsi"/>
          <w:szCs w:val="22"/>
        </w:rPr>
        <w:t>were</w:t>
      </w:r>
      <w:r w:rsidR="00F22392" w:rsidRPr="00F86862">
        <w:rPr>
          <w:rFonts w:asciiTheme="minorHAnsi" w:hAnsiTheme="minorHAnsi" w:cstheme="minorHAnsi"/>
          <w:szCs w:val="22"/>
        </w:rPr>
        <w:t xml:space="preserve"> rectified</w:t>
      </w:r>
      <w:r w:rsidRPr="00F86862">
        <w:rPr>
          <w:rFonts w:asciiTheme="minorHAnsi" w:hAnsiTheme="minorHAnsi" w:cstheme="minorHAnsi"/>
          <w:szCs w:val="22"/>
        </w:rPr>
        <w:t>,</w:t>
      </w:r>
      <w:r w:rsidR="00F22392" w:rsidRPr="00F86862">
        <w:rPr>
          <w:rFonts w:asciiTheme="minorHAnsi" w:hAnsiTheme="minorHAnsi" w:cstheme="minorHAnsi"/>
          <w:szCs w:val="22"/>
        </w:rPr>
        <w:t xml:space="preserve"> and no action was</w:t>
      </w:r>
      <w:r w:rsidR="00F86862">
        <w:rPr>
          <w:rFonts w:asciiTheme="minorHAnsi" w:hAnsiTheme="minorHAnsi" w:cstheme="minorHAnsi"/>
          <w:szCs w:val="22"/>
        </w:rPr>
        <w:t xml:space="preserve"> </w:t>
      </w:r>
      <w:r w:rsidR="00F22392" w:rsidRPr="00F86862">
        <w:rPr>
          <w:rFonts w:asciiTheme="minorHAnsi" w:hAnsiTheme="minorHAnsi" w:cstheme="minorHAnsi"/>
          <w:szCs w:val="22"/>
        </w:rPr>
        <w:t xml:space="preserve">taken to recover </w:t>
      </w:r>
      <w:r w:rsidR="00F86862">
        <w:rPr>
          <w:rFonts w:asciiTheme="minorHAnsi" w:hAnsiTheme="minorHAnsi" w:cstheme="minorHAnsi"/>
          <w:szCs w:val="22"/>
        </w:rPr>
        <w:t>above</w:t>
      </w:r>
      <w:r w:rsidR="0070098D">
        <w:rPr>
          <w:rFonts w:asciiTheme="minorHAnsi" w:hAnsiTheme="minorHAnsi" w:cstheme="minorHAnsi"/>
          <w:szCs w:val="22"/>
        </w:rPr>
        <w:t>-</w:t>
      </w:r>
      <w:r w:rsidR="00F86862">
        <w:rPr>
          <w:rFonts w:asciiTheme="minorHAnsi" w:hAnsiTheme="minorHAnsi" w:cstheme="minorHAnsi"/>
          <w:szCs w:val="22"/>
        </w:rPr>
        <w:t xml:space="preserve">award minimum </w:t>
      </w:r>
      <w:r w:rsidR="0070098D">
        <w:rPr>
          <w:rFonts w:asciiTheme="minorHAnsi" w:hAnsiTheme="minorHAnsi" w:cstheme="minorHAnsi"/>
          <w:szCs w:val="22"/>
        </w:rPr>
        <w:t>payments</w:t>
      </w:r>
      <w:r w:rsidR="00F86862">
        <w:rPr>
          <w:rFonts w:asciiTheme="minorHAnsi" w:hAnsiTheme="minorHAnsi" w:cstheme="minorHAnsi"/>
          <w:szCs w:val="22"/>
        </w:rPr>
        <w:t>.</w:t>
      </w:r>
    </w:p>
    <w:p w14:paraId="171053E3" w14:textId="3784BFED" w:rsidR="00F22392" w:rsidRPr="005E5971" w:rsidRDefault="002D0A59" w:rsidP="00F22392">
      <w:pPr>
        <w:rPr>
          <w:rFonts w:asciiTheme="minorHAnsi" w:hAnsiTheme="minorHAnsi" w:cstheme="minorHAnsi"/>
          <w:szCs w:val="22"/>
        </w:rPr>
      </w:pPr>
      <w:r w:rsidRPr="005E5971">
        <w:rPr>
          <w:rFonts w:asciiTheme="minorHAnsi" w:hAnsiTheme="minorHAnsi" w:cstheme="minorHAnsi"/>
          <w:szCs w:val="22"/>
        </w:rPr>
        <w:t xml:space="preserve">The audit did not reveal any systemic issues </w:t>
      </w:r>
      <w:r w:rsidR="006C146F" w:rsidRPr="005E5971">
        <w:rPr>
          <w:rFonts w:asciiTheme="minorHAnsi" w:hAnsiTheme="minorHAnsi" w:cstheme="minorHAnsi"/>
          <w:szCs w:val="22"/>
        </w:rPr>
        <w:t xml:space="preserve">leading </w:t>
      </w:r>
      <w:r w:rsidRPr="005E5971">
        <w:rPr>
          <w:rFonts w:asciiTheme="minorHAnsi" w:hAnsiTheme="minorHAnsi" w:cstheme="minorHAnsi"/>
          <w:szCs w:val="22"/>
        </w:rPr>
        <w:t>to the underpayments. H</w:t>
      </w:r>
      <w:r w:rsidR="00F22392" w:rsidRPr="005E5971">
        <w:rPr>
          <w:rFonts w:asciiTheme="minorHAnsi" w:hAnsiTheme="minorHAnsi" w:cstheme="minorHAnsi"/>
          <w:szCs w:val="22"/>
        </w:rPr>
        <w:t>owever</w:t>
      </w:r>
      <w:r w:rsidRPr="005E5971">
        <w:rPr>
          <w:rFonts w:asciiTheme="minorHAnsi" w:hAnsiTheme="minorHAnsi" w:cstheme="minorHAnsi"/>
          <w:szCs w:val="22"/>
        </w:rPr>
        <w:t xml:space="preserve">, </w:t>
      </w:r>
      <w:r w:rsidR="00F22392" w:rsidRPr="005E5971">
        <w:rPr>
          <w:rFonts w:asciiTheme="minorHAnsi" w:hAnsiTheme="minorHAnsi" w:cstheme="minorHAnsi"/>
          <w:szCs w:val="22"/>
        </w:rPr>
        <w:t xml:space="preserve">the FWO notes </w:t>
      </w:r>
      <w:r w:rsidR="006C146F" w:rsidRPr="005E5971">
        <w:rPr>
          <w:rFonts w:asciiTheme="minorHAnsi" w:hAnsiTheme="minorHAnsi" w:cstheme="minorHAnsi"/>
          <w:szCs w:val="22"/>
        </w:rPr>
        <w:t xml:space="preserve">that </w:t>
      </w:r>
      <w:r w:rsidR="00F22392" w:rsidRPr="005E5971">
        <w:rPr>
          <w:rFonts w:asciiTheme="minorHAnsi" w:hAnsiTheme="minorHAnsi" w:cstheme="minorHAnsi"/>
          <w:szCs w:val="22"/>
        </w:rPr>
        <w:t>Coles is still evaluat</w:t>
      </w:r>
      <w:r w:rsidR="006C146F" w:rsidRPr="005E5971">
        <w:rPr>
          <w:rFonts w:asciiTheme="minorHAnsi" w:hAnsiTheme="minorHAnsi" w:cstheme="minorHAnsi"/>
          <w:szCs w:val="22"/>
        </w:rPr>
        <w:t>ing</w:t>
      </w:r>
      <w:r w:rsidR="00F22392" w:rsidRPr="005E5971">
        <w:rPr>
          <w:rFonts w:asciiTheme="minorHAnsi" w:hAnsiTheme="minorHAnsi" w:cstheme="minorHAnsi"/>
          <w:szCs w:val="22"/>
        </w:rPr>
        <w:t xml:space="preserve"> </w:t>
      </w:r>
      <w:r w:rsidR="006C146F" w:rsidRPr="005E5971">
        <w:rPr>
          <w:rFonts w:asciiTheme="minorHAnsi" w:hAnsiTheme="minorHAnsi" w:cstheme="minorHAnsi"/>
          <w:szCs w:val="22"/>
        </w:rPr>
        <w:t xml:space="preserve">the audit results to determine if </w:t>
      </w:r>
      <w:r w:rsidR="00F22392" w:rsidRPr="005E5971">
        <w:rPr>
          <w:rFonts w:asciiTheme="minorHAnsi" w:hAnsiTheme="minorHAnsi" w:cstheme="minorHAnsi"/>
          <w:szCs w:val="22"/>
        </w:rPr>
        <w:t xml:space="preserve">any additional actions </w:t>
      </w:r>
      <w:r w:rsidR="006C146F" w:rsidRPr="005E5971">
        <w:rPr>
          <w:rFonts w:asciiTheme="minorHAnsi" w:hAnsiTheme="minorHAnsi" w:cstheme="minorHAnsi"/>
          <w:szCs w:val="22"/>
        </w:rPr>
        <w:t xml:space="preserve">are </w:t>
      </w:r>
      <w:r w:rsidR="00F22392" w:rsidRPr="005E5971">
        <w:rPr>
          <w:rFonts w:asciiTheme="minorHAnsi" w:hAnsiTheme="minorHAnsi" w:cstheme="minorHAnsi"/>
          <w:szCs w:val="22"/>
        </w:rPr>
        <w:t>required of</w:t>
      </w:r>
      <w:r w:rsidRPr="005E5971">
        <w:rPr>
          <w:rFonts w:asciiTheme="minorHAnsi" w:hAnsiTheme="minorHAnsi" w:cstheme="minorHAnsi"/>
          <w:szCs w:val="22"/>
        </w:rPr>
        <w:t xml:space="preserve"> UTC</w:t>
      </w:r>
      <w:r w:rsidR="00F22392" w:rsidRPr="005E5971">
        <w:rPr>
          <w:rFonts w:asciiTheme="minorHAnsi" w:hAnsiTheme="minorHAnsi" w:cstheme="minorHAnsi"/>
          <w:szCs w:val="22"/>
        </w:rPr>
        <w:t xml:space="preserve"> subcontractors. </w:t>
      </w:r>
    </w:p>
    <w:p w14:paraId="5337B2F6" w14:textId="1535B4B2" w:rsidR="008629EA" w:rsidRPr="005E5971" w:rsidRDefault="00914677" w:rsidP="00F22392">
      <w:pPr>
        <w:rPr>
          <w:rFonts w:asciiTheme="minorHAnsi" w:hAnsiTheme="minorHAnsi" w:cstheme="minorHAnsi"/>
          <w:szCs w:val="22"/>
        </w:rPr>
      </w:pPr>
      <w:r w:rsidRPr="005E5971">
        <w:rPr>
          <w:rFonts w:asciiTheme="minorHAnsi" w:hAnsiTheme="minorHAnsi" w:cstheme="minorHAnsi"/>
          <w:szCs w:val="22"/>
        </w:rPr>
        <w:t>A</w:t>
      </w:r>
      <w:r w:rsidR="00F22392" w:rsidRPr="005E5971">
        <w:rPr>
          <w:rFonts w:asciiTheme="minorHAnsi" w:hAnsiTheme="minorHAnsi" w:cstheme="minorHAnsi"/>
          <w:szCs w:val="22"/>
        </w:rPr>
        <w:t>udit results have improved significantly over the life of the EU</w:t>
      </w:r>
      <w:r w:rsidRPr="005E5971">
        <w:rPr>
          <w:rFonts w:asciiTheme="minorHAnsi" w:hAnsiTheme="minorHAnsi" w:cstheme="minorHAnsi"/>
          <w:szCs w:val="22"/>
        </w:rPr>
        <w:t xml:space="preserve">, as shown in Table 3, below. </w:t>
      </w:r>
      <w:r w:rsidR="008629EA" w:rsidRPr="005E5971">
        <w:rPr>
          <w:rFonts w:asciiTheme="minorHAnsi" w:hAnsiTheme="minorHAnsi" w:cstheme="minorHAnsi"/>
          <w:szCs w:val="22"/>
        </w:rPr>
        <w:t xml:space="preserve">Importantly, </w:t>
      </w:r>
      <w:r w:rsidR="00DE763D" w:rsidRPr="005E5971">
        <w:rPr>
          <w:rFonts w:asciiTheme="minorHAnsi" w:hAnsiTheme="minorHAnsi" w:cstheme="minorHAnsi"/>
          <w:szCs w:val="22"/>
        </w:rPr>
        <w:t xml:space="preserve">they reveal </w:t>
      </w:r>
      <w:r w:rsidR="008629EA" w:rsidRPr="005E5971">
        <w:rPr>
          <w:rFonts w:asciiTheme="minorHAnsi" w:hAnsiTheme="minorHAnsi" w:cstheme="minorHAnsi"/>
          <w:szCs w:val="22"/>
        </w:rPr>
        <w:t>a reduction in both the quantum of underpayments (from $112 000</w:t>
      </w:r>
      <w:r w:rsidR="008F1EFE" w:rsidRPr="005E5971">
        <w:rPr>
          <w:rFonts w:asciiTheme="minorHAnsi" w:hAnsiTheme="minorHAnsi" w:cstheme="minorHAnsi"/>
          <w:szCs w:val="22"/>
        </w:rPr>
        <w:t xml:space="preserve"> in 2015 down to $7</w:t>
      </w:r>
      <w:r w:rsidR="008629EA" w:rsidRPr="005E5971">
        <w:rPr>
          <w:rFonts w:asciiTheme="minorHAnsi" w:hAnsiTheme="minorHAnsi" w:cstheme="minorHAnsi"/>
          <w:szCs w:val="22"/>
        </w:rPr>
        <w:t>099.60 in 2018) and the average underpayment per employee (from $</w:t>
      </w:r>
      <w:r w:rsidR="00D400C6" w:rsidRPr="005E5971">
        <w:rPr>
          <w:rFonts w:asciiTheme="minorHAnsi" w:hAnsiTheme="minorHAnsi" w:cstheme="minorHAnsi"/>
          <w:szCs w:val="22"/>
        </w:rPr>
        <w:t xml:space="preserve">457 </w:t>
      </w:r>
      <w:r w:rsidR="008629EA" w:rsidRPr="005E5971">
        <w:rPr>
          <w:rFonts w:asciiTheme="minorHAnsi" w:hAnsiTheme="minorHAnsi" w:cstheme="minorHAnsi"/>
          <w:szCs w:val="22"/>
        </w:rPr>
        <w:t xml:space="preserve">in 2015 to $192 in 2018). </w:t>
      </w:r>
    </w:p>
    <w:p w14:paraId="6BA11089" w14:textId="67BFA970" w:rsidR="00966D2C" w:rsidRPr="005E5971" w:rsidRDefault="00966D2C" w:rsidP="00F22392">
      <w:pPr>
        <w:rPr>
          <w:rFonts w:asciiTheme="minorHAnsi" w:hAnsiTheme="minorHAnsi" w:cstheme="minorHAnsi"/>
          <w:szCs w:val="22"/>
        </w:rPr>
      </w:pPr>
      <w:r w:rsidRPr="005E5971">
        <w:rPr>
          <w:rFonts w:asciiTheme="minorHAnsi" w:hAnsiTheme="minorHAnsi" w:cstheme="minorHAnsi"/>
          <w:b/>
        </w:rPr>
        <w:t>Table 3: Year-on-year results from independent annual audits of UTC and subcontractors</w:t>
      </w:r>
    </w:p>
    <w:tbl>
      <w:tblPr>
        <w:tblpPr w:leftFromText="180" w:rightFromText="180" w:vertAnchor="text" w:horzAnchor="margin" w:tblpY="78"/>
        <w:tblW w:w="8825" w:type="dxa"/>
        <w:shd w:val="clear" w:color="auto" w:fill="BDE7EE"/>
        <w:tblLayout w:type="fixed"/>
        <w:tblLook w:val="04A0" w:firstRow="1" w:lastRow="0" w:firstColumn="1" w:lastColumn="0" w:noHBand="0" w:noVBand="1"/>
      </w:tblPr>
      <w:tblGrid>
        <w:gridCol w:w="2263"/>
        <w:gridCol w:w="2410"/>
        <w:gridCol w:w="2110"/>
        <w:gridCol w:w="2042"/>
      </w:tblGrid>
      <w:tr w:rsidR="00966D2C" w:rsidRPr="005E5971" w14:paraId="329FEC07" w14:textId="77777777" w:rsidTr="001C65E8">
        <w:trPr>
          <w:trHeight w:val="373"/>
          <w:tblHeader/>
        </w:trPr>
        <w:tc>
          <w:tcPr>
            <w:tcW w:w="2263" w:type="dxa"/>
            <w:tcBorders>
              <w:top w:val="single" w:sz="4" w:space="0" w:color="auto"/>
              <w:left w:val="single" w:sz="4" w:space="0" w:color="auto"/>
              <w:bottom w:val="single" w:sz="4" w:space="0" w:color="auto"/>
              <w:right w:val="single" w:sz="4" w:space="0" w:color="auto"/>
            </w:tcBorders>
            <w:shd w:val="clear" w:color="auto" w:fill="BDE7EE"/>
            <w:vAlign w:val="center"/>
          </w:tcPr>
          <w:p w14:paraId="2AAFA467" w14:textId="77777777" w:rsidR="00966D2C" w:rsidRPr="005E5971" w:rsidRDefault="00966D2C" w:rsidP="00E5755C">
            <w:pPr>
              <w:spacing w:after="0" w:line="240" w:lineRule="auto"/>
              <w:jc w:val="center"/>
              <w:rPr>
                <w:rFonts w:asciiTheme="minorHAnsi" w:hAnsiTheme="minorHAnsi" w:cstheme="minorHAnsi"/>
                <w:b/>
                <w:bCs/>
                <w:spacing w:val="-1"/>
                <w:szCs w:val="22"/>
                <w:lang w:val="en-US" w:eastAsia="en-AU"/>
              </w:rPr>
            </w:pPr>
            <w:r w:rsidRPr="005E5971">
              <w:rPr>
                <w:rFonts w:asciiTheme="minorHAnsi" w:hAnsiTheme="minorHAnsi" w:cstheme="minorHAnsi"/>
                <w:b/>
                <w:bCs/>
                <w:spacing w:val="-1"/>
                <w:szCs w:val="22"/>
                <w:lang w:val="en-US" w:eastAsia="en-AU"/>
              </w:rPr>
              <w:t xml:space="preserve">Year </w:t>
            </w:r>
          </w:p>
        </w:tc>
        <w:tc>
          <w:tcPr>
            <w:tcW w:w="2410" w:type="dxa"/>
            <w:tcBorders>
              <w:top w:val="single" w:sz="4" w:space="0" w:color="auto"/>
              <w:left w:val="nil"/>
              <w:bottom w:val="single" w:sz="4" w:space="0" w:color="auto"/>
              <w:right w:val="single" w:sz="4" w:space="0" w:color="auto"/>
            </w:tcBorders>
            <w:shd w:val="clear" w:color="auto" w:fill="BDE7EE"/>
            <w:vAlign w:val="center"/>
          </w:tcPr>
          <w:p w14:paraId="2F42C4FB" w14:textId="77777777" w:rsidR="00966D2C" w:rsidRPr="005E5971" w:rsidRDefault="00966D2C" w:rsidP="00E5755C">
            <w:pPr>
              <w:spacing w:after="0" w:line="240" w:lineRule="auto"/>
              <w:jc w:val="center"/>
              <w:rPr>
                <w:rFonts w:asciiTheme="minorHAnsi" w:hAnsiTheme="minorHAnsi" w:cstheme="minorHAnsi"/>
                <w:b/>
                <w:color w:val="000000"/>
                <w:szCs w:val="22"/>
                <w:lang w:eastAsia="en-AU"/>
              </w:rPr>
            </w:pPr>
            <w:r w:rsidRPr="005E5971">
              <w:rPr>
                <w:rFonts w:asciiTheme="minorHAnsi" w:hAnsiTheme="minorHAnsi" w:cstheme="minorHAnsi"/>
                <w:b/>
                <w:color w:val="000000"/>
                <w:szCs w:val="22"/>
                <w:lang w:eastAsia="en-AU"/>
              </w:rPr>
              <w:t xml:space="preserve">Subcontractors audited </w:t>
            </w:r>
          </w:p>
        </w:tc>
        <w:tc>
          <w:tcPr>
            <w:tcW w:w="2110" w:type="dxa"/>
            <w:tcBorders>
              <w:top w:val="single" w:sz="4" w:space="0" w:color="auto"/>
              <w:left w:val="nil"/>
              <w:bottom w:val="single" w:sz="4" w:space="0" w:color="auto"/>
              <w:right w:val="single" w:sz="4" w:space="0" w:color="auto"/>
            </w:tcBorders>
            <w:shd w:val="clear" w:color="auto" w:fill="BDE7EE"/>
            <w:vAlign w:val="center"/>
          </w:tcPr>
          <w:p w14:paraId="2F8BA88D" w14:textId="20486A33" w:rsidR="00966D2C" w:rsidRPr="005E5971" w:rsidRDefault="00966D2C" w:rsidP="00E5755C">
            <w:pPr>
              <w:spacing w:after="0" w:line="240" w:lineRule="auto"/>
              <w:jc w:val="center"/>
              <w:rPr>
                <w:rFonts w:asciiTheme="minorHAnsi" w:hAnsiTheme="minorHAnsi" w:cstheme="minorHAnsi"/>
                <w:b/>
                <w:color w:val="000000"/>
                <w:szCs w:val="22"/>
                <w:lang w:eastAsia="en-AU"/>
              </w:rPr>
            </w:pPr>
            <w:r w:rsidRPr="005E5971">
              <w:rPr>
                <w:rFonts w:asciiTheme="minorHAnsi" w:hAnsiTheme="minorHAnsi" w:cstheme="minorHAnsi"/>
                <w:b/>
                <w:color w:val="000000"/>
                <w:szCs w:val="22"/>
                <w:lang w:eastAsia="en-AU"/>
              </w:rPr>
              <w:t>Total underpayment</w:t>
            </w:r>
            <w:r w:rsidR="008629EA" w:rsidRPr="005E5971">
              <w:rPr>
                <w:rStyle w:val="FootnoteReference"/>
                <w:rFonts w:asciiTheme="minorHAnsi" w:hAnsiTheme="minorHAnsi" w:cstheme="minorHAnsi"/>
                <w:b/>
                <w:color w:val="000000"/>
                <w:szCs w:val="22"/>
                <w:lang w:eastAsia="en-AU"/>
              </w:rPr>
              <w:footnoteReference w:id="7"/>
            </w:r>
          </w:p>
        </w:tc>
        <w:tc>
          <w:tcPr>
            <w:tcW w:w="2042" w:type="dxa"/>
            <w:tcBorders>
              <w:top w:val="single" w:sz="4" w:space="0" w:color="auto"/>
              <w:left w:val="nil"/>
              <w:bottom w:val="single" w:sz="4" w:space="0" w:color="auto"/>
              <w:right w:val="single" w:sz="4" w:space="0" w:color="auto"/>
            </w:tcBorders>
            <w:shd w:val="clear" w:color="auto" w:fill="BDE7EE"/>
            <w:vAlign w:val="center"/>
          </w:tcPr>
          <w:p w14:paraId="1BCDFB1F" w14:textId="77777777" w:rsidR="00966D2C" w:rsidRPr="005E5971" w:rsidRDefault="00966D2C" w:rsidP="00E5755C">
            <w:pPr>
              <w:spacing w:after="0" w:line="240" w:lineRule="auto"/>
              <w:jc w:val="center"/>
              <w:rPr>
                <w:rFonts w:asciiTheme="minorHAnsi" w:hAnsiTheme="minorHAnsi" w:cstheme="minorHAnsi"/>
                <w:b/>
                <w:color w:val="000000"/>
                <w:szCs w:val="22"/>
                <w:lang w:eastAsia="en-AU"/>
              </w:rPr>
            </w:pPr>
            <w:r w:rsidRPr="005E5971">
              <w:rPr>
                <w:rFonts w:asciiTheme="minorHAnsi" w:hAnsiTheme="minorHAnsi" w:cstheme="minorHAnsi"/>
                <w:b/>
                <w:color w:val="000000"/>
                <w:szCs w:val="22"/>
                <w:lang w:eastAsia="en-AU"/>
              </w:rPr>
              <w:t>Employees</w:t>
            </w:r>
          </w:p>
          <w:p w14:paraId="48279C31" w14:textId="77777777" w:rsidR="00966D2C" w:rsidRPr="005E5971" w:rsidRDefault="00966D2C" w:rsidP="00E5755C">
            <w:pPr>
              <w:spacing w:after="0" w:line="240" w:lineRule="auto"/>
              <w:jc w:val="center"/>
              <w:rPr>
                <w:rFonts w:asciiTheme="minorHAnsi" w:hAnsiTheme="minorHAnsi" w:cstheme="minorHAnsi"/>
                <w:b/>
                <w:color w:val="000000"/>
                <w:szCs w:val="22"/>
                <w:lang w:eastAsia="en-AU"/>
              </w:rPr>
            </w:pPr>
            <w:r w:rsidRPr="005E5971">
              <w:rPr>
                <w:rFonts w:asciiTheme="minorHAnsi" w:hAnsiTheme="minorHAnsi" w:cstheme="minorHAnsi"/>
                <w:b/>
                <w:color w:val="000000"/>
                <w:szCs w:val="22"/>
                <w:lang w:eastAsia="en-AU"/>
              </w:rPr>
              <w:t xml:space="preserve">underpaid </w:t>
            </w:r>
          </w:p>
        </w:tc>
      </w:tr>
      <w:tr w:rsidR="00966D2C" w:rsidRPr="005E5971" w14:paraId="384AC3DF" w14:textId="77777777" w:rsidTr="00E5755C">
        <w:trPr>
          <w:trHeight w:val="373"/>
        </w:trPr>
        <w:tc>
          <w:tcPr>
            <w:tcW w:w="2263" w:type="dxa"/>
            <w:tcBorders>
              <w:top w:val="nil"/>
              <w:left w:val="single" w:sz="4" w:space="0" w:color="auto"/>
              <w:bottom w:val="single" w:sz="4" w:space="0" w:color="auto"/>
              <w:right w:val="single" w:sz="4" w:space="0" w:color="auto"/>
            </w:tcBorders>
            <w:shd w:val="clear" w:color="auto" w:fill="auto"/>
            <w:vAlign w:val="center"/>
          </w:tcPr>
          <w:p w14:paraId="3C2E956C"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bCs/>
                <w:spacing w:val="-1"/>
                <w:szCs w:val="22"/>
                <w:lang w:val="en-US" w:eastAsia="en-AU"/>
              </w:rPr>
              <w:t>2015</w:t>
            </w:r>
          </w:p>
        </w:tc>
        <w:tc>
          <w:tcPr>
            <w:tcW w:w="2410" w:type="dxa"/>
            <w:tcBorders>
              <w:top w:val="nil"/>
              <w:left w:val="nil"/>
              <w:bottom w:val="single" w:sz="4" w:space="0" w:color="auto"/>
              <w:right w:val="single" w:sz="4" w:space="0" w:color="auto"/>
            </w:tcBorders>
            <w:shd w:val="clear" w:color="auto" w:fill="auto"/>
            <w:vAlign w:val="center"/>
          </w:tcPr>
          <w:p w14:paraId="622711A5"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15</w:t>
            </w:r>
          </w:p>
        </w:tc>
        <w:tc>
          <w:tcPr>
            <w:tcW w:w="2110" w:type="dxa"/>
            <w:tcBorders>
              <w:top w:val="nil"/>
              <w:left w:val="nil"/>
              <w:bottom w:val="single" w:sz="4" w:space="0" w:color="auto"/>
              <w:right w:val="single" w:sz="4" w:space="0" w:color="auto"/>
            </w:tcBorders>
            <w:shd w:val="clear" w:color="auto" w:fill="auto"/>
            <w:vAlign w:val="center"/>
          </w:tcPr>
          <w:p w14:paraId="0FDCD6BD"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szCs w:val="22"/>
              </w:rPr>
              <w:t>$112 000</w:t>
            </w:r>
          </w:p>
        </w:tc>
        <w:tc>
          <w:tcPr>
            <w:tcW w:w="2042" w:type="dxa"/>
            <w:tcBorders>
              <w:top w:val="nil"/>
              <w:left w:val="nil"/>
              <w:bottom w:val="single" w:sz="4" w:space="0" w:color="auto"/>
              <w:right w:val="single" w:sz="4" w:space="0" w:color="auto"/>
            </w:tcBorders>
            <w:shd w:val="clear" w:color="auto" w:fill="auto"/>
            <w:vAlign w:val="center"/>
          </w:tcPr>
          <w:p w14:paraId="2626C470" w14:textId="5EE0CF64" w:rsidR="00966D2C" w:rsidRPr="005E5971" w:rsidRDefault="00D400C6"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245</w:t>
            </w:r>
          </w:p>
        </w:tc>
      </w:tr>
      <w:tr w:rsidR="00966D2C" w:rsidRPr="005E5971" w14:paraId="1B7AA049" w14:textId="77777777" w:rsidTr="00E5755C">
        <w:trPr>
          <w:trHeight w:val="373"/>
        </w:trPr>
        <w:tc>
          <w:tcPr>
            <w:tcW w:w="2263" w:type="dxa"/>
            <w:tcBorders>
              <w:top w:val="nil"/>
              <w:left w:val="single" w:sz="4" w:space="0" w:color="auto"/>
              <w:bottom w:val="single" w:sz="4" w:space="0" w:color="auto"/>
              <w:right w:val="single" w:sz="4" w:space="0" w:color="auto"/>
            </w:tcBorders>
            <w:shd w:val="clear" w:color="auto" w:fill="auto"/>
            <w:vAlign w:val="center"/>
          </w:tcPr>
          <w:p w14:paraId="27490AEB"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bCs/>
                <w:spacing w:val="-1"/>
                <w:szCs w:val="22"/>
                <w:lang w:val="en-US" w:eastAsia="en-AU"/>
              </w:rPr>
              <w:t>2016</w:t>
            </w:r>
          </w:p>
        </w:tc>
        <w:tc>
          <w:tcPr>
            <w:tcW w:w="2410" w:type="dxa"/>
            <w:tcBorders>
              <w:top w:val="nil"/>
              <w:left w:val="nil"/>
              <w:bottom w:val="single" w:sz="4" w:space="0" w:color="auto"/>
              <w:right w:val="single" w:sz="4" w:space="0" w:color="auto"/>
            </w:tcBorders>
            <w:shd w:val="clear" w:color="auto" w:fill="auto"/>
            <w:vAlign w:val="center"/>
          </w:tcPr>
          <w:p w14:paraId="3834A918"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16</w:t>
            </w:r>
          </w:p>
        </w:tc>
        <w:tc>
          <w:tcPr>
            <w:tcW w:w="2110" w:type="dxa"/>
            <w:tcBorders>
              <w:top w:val="nil"/>
              <w:left w:val="nil"/>
              <w:bottom w:val="single" w:sz="4" w:space="0" w:color="auto"/>
              <w:right w:val="single" w:sz="4" w:space="0" w:color="auto"/>
            </w:tcBorders>
            <w:shd w:val="clear" w:color="auto" w:fill="auto"/>
            <w:vAlign w:val="center"/>
          </w:tcPr>
          <w:p w14:paraId="5747E1BF"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szCs w:val="22"/>
              </w:rPr>
              <w:t>$18 385</w:t>
            </w:r>
          </w:p>
        </w:tc>
        <w:tc>
          <w:tcPr>
            <w:tcW w:w="2042" w:type="dxa"/>
            <w:tcBorders>
              <w:top w:val="nil"/>
              <w:left w:val="nil"/>
              <w:bottom w:val="single" w:sz="4" w:space="0" w:color="auto"/>
              <w:right w:val="single" w:sz="4" w:space="0" w:color="auto"/>
            </w:tcBorders>
            <w:shd w:val="clear" w:color="auto" w:fill="auto"/>
            <w:vAlign w:val="center"/>
          </w:tcPr>
          <w:p w14:paraId="7BAC4908"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121</w:t>
            </w:r>
          </w:p>
        </w:tc>
      </w:tr>
      <w:tr w:rsidR="00966D2C" w:rsidRPr="005E5971" w14:paraId="43D191EB" w14:textId="77777777" w:rsidTr="00E5755C">
        <w:trPr>
          <w:trHeight w:val="373"/>
        </w:trPr>
        <w:tc>
          <w:tcPr>
            <w:tcW w:w="2263" w:type="dxa"/>
            <w:tcBorders>
              <w:top w:val="nil"/>
              <w:left w:val="single" w:sz="4" w:space="0" w:color="auto"/>
              <w:bottom w:val="single" w:sz="4" w:space="0" w:color="auto"/>
              <w:right w:val="single" w:sz="4" w:space="0" w:color="auto"/>
            </w:tcBorders>
            <w:shd w:val="clear" w:color="auto" w:fill="auto"/>
            <w:vAlign w:val="center"/>
          </w:tcPr>
          <w:p w14:paraId="4A63C50B"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bCs/>
                <w:spacing w:val="1"/>
                <w:szCs w:val="22"/>
                <w:lang w:val="en-US" w:eastAsia="en-AU"/>
              </w:rPr>
              <w:t>2017</w:t>
            </w:r>
          </w:p>
        </w:tc>
        <w:tc>
          <w:tcPr>
            <w:tcW w:w="2410" w:type="dxa"/>
            <w:tcBorders>
              <w:top w:val="nil"/>
              <w:left w:val="nil"/>
              <w:bottom w:val="single" w:sz="4" w:space="0" w:color="auto"/>
              <w:right w:val="single" w:sz="4" w:space="0" w:color="auto"/>
            </w:tcBorders>
            <w:shd w:val="clear" w:color="auto" w:fill="auto"/>
            <w:vAlign w:val="center"/>
          </w:tcPr>
          <w:p w14:paraId="708B1D7F"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13</w:t>
            </w:r>
          </w:p>
        </w:tc>
        <w:tc>
          <w:tcPr>
            <w:tcW w:w="2110" w:type="dxa"/>
            <w:tcBorders>
              <w:top w:val="nil"/>
              <w:left w:val="nil"/>
              <w:bottom w:val="single" w:sz="4" w:space="0" w:color="auto"/>
              <w:right w:val="single" w:sz="4" w:space="0" w:color="auto"/>
            </w:tcBorders>
            <w:shd w:val="clear" w:color="auto" w:fill="auto"/>
            <w:vAlign w:val="center"/>
          </w:tcPr>
          <w:p w14:paraId="23F77D8F"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szCs w:val="22"/>
              </w:rPr>
              <w:t>$8834.69</w:t>
            </w:r>
          </w:p>
        </w:tc>
        <w:tc>
          <w:tcPr>
            <w:tcW w:w="2042" w:type="dxa"/>
            <w:tcBorders>
              <w:top w:val="nil"/>
              <w:left w:val="nil"/>
              <w:bottom w:val="single" w:sz="4" w:space="0" w:color="auto"/>
              <w:right w:val="single" w:sz="4" w:space="0" w:color="auto"/>
            </w:tcBorders>
            <w:shd w:val="clear" w:color="auto" w:fill="auto"/>
            <w:vAlign w:val="center"/>
          </w:tcPr>
          <w:p w14:paraId="6898AA7E"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53</w:t>
            </w:r>
          </w:p>
        </w:tc>
      </w:tr>
      <w:tr w:rsidR="00966D2C" w:rsidRPr="005E5971" w14:paraId="60835EFF" w14:textId="77777777" w:rsidTr="002D6FEB">
        <w:trPr>
          <w:trHeight w:val="373"/>
        </w:trPr>
        <w:tc>
          <w:tcPr>
            <w:tcW w:w="2263" w:type="dxa"/>
            <w:tcBorders>
              <w:top w:val="nil"/>
              <w:left w:val="single" w:sz="4" w:space="0" w:color="auto"/>
              <w:bottom w:val="single" w:sz="4" w:space="0" w:color="auto"/>
              <w:right w:val="single" w:sz="4" w:space="0" w:color="auto"/>
            </w:tcBorders>
            <w:shd w:val="clear" w:color="auto" w:fill="auto"/>
            <w:vAlign w:val="center"/>
          </w:tcPr>
          <w:p w14:paraId="59D7BEA9"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bCs/>
                <w:szCs w:val="22"/>
                <w:lang w:val="en-US" w:eastAsia="en-AU"/>
              </w:rPr>
              <w:t>2018</w:t>
            </w:r>
          </w:p>
        </w:tc>
        <w:tc>
          <w:tcPr>
            <w:tcW w:w="2410" w:type="dxa"/>
            <w:tcBorders>
              <w:top w:val="nil"/>
              <w:left w:val="nil"/>
              <w:bottom w:val="single" w:sz="4" w:space="0" w:color="auto"/>
              <w:right w:val="single" w:sz="4" w:space="0" w:color="auto"/>
            </w:tcBorders>
            <w:shd w:val="clear" w:color="auto" w:fill="auto"/>
            <w:vAlign w:val="center"/>
          </w:tcPr>
          <w:p w14:paraId="44BA2E83"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7</w:t>
            </w:r>
          </w:p>
        </w:tc>
        <w:tc>
          <w:tcPr>
            <w:tcW w:w="2110" w:type="dxa"/>
            <w:tcBorders>
              <w:top w:val="nil"/>
              <w:left w:val="nil"/>
              <w:bottom w:val="single" w:sz="4" w:space="0" w:color="auto"/>
              <w:right w:val="single" w:sz="4" w:space="0" w:color="auto"/>
            </w:tcBorders>
            <w:shd w:val="clear" w:color="auto" w:fill="auto"/>
            <w:vAlign w:val="center"/>
          </w:tcPr>
          <w:p w14:paraId="35973E9E" w14:textId="1907D14A" w:rsidR="00966D2C" w:rsidRPr="005E5971" w:rsidRDefault="008954E6" w:rsidP="0025142C">
            <w:pPr>
              <w:spacing w:after="0" w:line="240" w:lineRule="auto"/>
              <w:jc w:val="center"/>
              <w:rPr>
                <w:rFonts w:asciiTheme="minorHAnsi" w:hAnsiTheme="minorHAnsi" w:cstheme="minorHAnsi"/>
                <w:color w:val="000000"/>
                <w:szCs w:val="22"/>
                <w:lang w:eastAsia="en-AU"/>
              </w:rPr>
            </w:pPr>
            <w:r>
              <w:rPr>
                <w:rFonts w:asciiTheme="minorHAnsi" w:hAnsiTheme="minorHAnsi" w:cstheme="minorHAnsi"/>
                <w:szCs w:val="22"/>
              </w:rPr>
              <w:t>$7099.60</w:t>
            </w:r>
          </w:p>
        </w:tc>
        <w:tc>
          <w:tcPr>
            <w:tcW w:w="2042" w:type="dxa"/>
            <w:tcBorders>
              <w:top w:val="nil"/>
              <w:left w:val="nil"/>
              <w:bottom w:val="single" w:sz="4" w:space="0" w:color="auto"/>
              <w:right w:val="single" w:sz="4" w:space="0" w:color="auto"/>
            </w:tcBorders>
            <w:shd w:val="clear" w:color="auto" w:fill="auto"/>
            <w:vAlign w:val="center"/>
          </w:tcPr>
          <w:p w14:paraId="064A03E0" w14:textId="77777777" w:rsidR="00966D2C" w:rsidRPr="005E5971" w:rsidRDefault="00966D2C" w:rsidP="00E5755C">
            <w:pPr>
              <w:spacing w:after="0" w:line="240" w:lineRule="auto"/>
              <w:jc w:val="center"/>
              <w:rPr>
                <w:rFonts w:asciiTheme="minorHAnsi" w:hAnsiTheme="minorHAnsi" w:cstheme="minorHAnsi"/>
                <w:color w:val="000000"/>
                <w:szCs w:val="22"/>
                <w:lang w:eastAsia="en-AU"/>
              </w:rPr>
            </w:pPr>
            <w:r w:rsidRPr="005E5971">
              <w:rPr>
                <w:rFonts w:asciiTheme="minorHAnsi" w:hAnsiTheme="minorHAnsi" w:cstheme="minorHAnsi"/>
                <w:color w:val="000000"/>
                <w:szCs w:val="22"/>
                <w:lang w:eastAsia="en-AU"/>
              </w:rPr>
              <w:t>37</w:t>
            </w:r>
          </w:p>
        </w:tc>
      </w:tr>
      <w:tr w:rsidR="002D6FEB" w:rsidRPr="005E5971" w14:paraId="09D3F9CB" w14:textId="77777777" w:rsidTr="002D6FEB">
        <w:trPr>
          <w:trHeight w:val="373"/>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D2EBAFF" w14:textId="09D26ECA" w:rsidR="002D6FEB" w:rsidRPr="005E5971" w:rsidRDefault="002D6FEB" w:rsidP="00E5755C">
            <w:pPr>
              <w:spacing w:after="0" w:line="240" w:lineRule="auto"/>
              <w:jc w:val="center"/>
              <w:rPr>
                <w:rFonts w:asciiTheme="minorHAnsi" w:hAnsiTheme="minorHAnsi" w:cstheme="minorHAnsi"/>
                <w:bCs/>
                <w:szCs w:val="22"/>
                <w:lang w:val="en-US" w:eastAsia="en-AU"/>
              </w:rPr>
            </w:pPr>
            <w:r w:rsidRPr="005E5971">
              <w:rPr>
                <w:rFonts w:asciiTheme="minorHAnsi" w:hAnsiTheme="minorHAnsi" w:cstheme="minorHAnsi"/>
                <w:bCs/>
                <w:szCs w:val="22"/>
                <w:lang w:val="en-US" w:eastAsia="en-AU"/>
              </w:rPr>
              <w:t xml:space="preserve">Total </w:t>
            </w:r>
          </w:p>
        </w:tc>
        <w:tc>
          <w:tcPr>
            <w:tcW w:w="2410" w:type="dxa"/>
            <w:tcBorders>
              <w:top w:val="single" w:sz="4" w:space="0" w:color="auto"/>
              <w:left w:val="nil"/>
              <w:bottom w:val="single" w:sz="4" w:space="0" w:color="auto"/>
              <w:right w:val="single" w:sz="4" w:space="0" w:color="auto"/>
            </w:tcBorders>
            <w:shd w:val="clear" w:color="auto" w:fill="auto"/>
            <w:vAlign w:val="center"/>
          </w:tcPr>
          <w:p w14:paraId="74C885A0" w14:textId="7CD78D4D" w:rsidR="002D6FEB" w:rsidRPr="005E5971" w:rsidRDefault="002D6FEB" w:rsidP="00E5755C">
            <w:pPr>
              <w:spacing w:after="0" w:line="240" w:lineRule="auto"/>
              <w:jc w:val="center"/>
              <w:rPr>
                <w:rFonts w:asciiTheme="minorHAnsi" w:hAnsiTheme="minorHAnsi" w:cstheme="minorHAnsi"/>
                <w:i/>
                <w:color w:val="000000"/>
                <w:szCs w:val="22"/>
                <w:lang w:eastAsia="en-AU"/>
              </w:rPr>
            </w:pPr>
            <w:r w:rsidRPr="005E5971">
              <w:rPr>
                <w:rFonts w:asciiTheme="minorHAnsi" w:hAnsiTheme="minorHAnsi" w:cstheme="minorHAnsi"/>
                <w:i/>
                <w:color w:val="000000"/>
                <w:szCs w:val="22"/>
                <w:lang w:eastAsia="en-AU"/>
              </w:rPr>
              <w:t>51</w:t>
            </w:r>
          </w:p>
        </w:tc>
        <w:tc>
          <w:tcPr>
            <w:tcW w:w="2110" w:type="dxa"/>
            <w:tcBorders>
              <w:top w:val="single" w:sz="4" w:space="0" w:color="auto"/>
              <w:left w:val="nil"/>
              <w:bottom w:val="single" w:sz="4" w:space="0" w:color="auto"/>
              <w:right w:val="single" w:sz="4" w:space="0" w:color="auto"/>
            </w:tcBorders>
            <w:shd w:val="clear" w:color="auto" w:fill="auto"/>
            <w:vAlign w:val="center"/>
          </w:tcPr>
          <w:p w14:paraId="4BBB45C8" w14:textId="1D7C2C87" w:rsidR="002D6FEB" w:rsidRPr="005E5971" w:rsidRDefault="002D6FEB" w:rsidP="00E5755C">
            <w:pPr>
              <w:spacing w:after="0" w:line="240" w:lineRule="auto"/>
              <w:jc w:val="center"/>
              <w:rPr>
                <w:rFonts w:asciiTheme="minorHAnsi" w:hAnsiTheme="minorHAnsi" w:cstheme="minorHAnsi"/>
                <w:i/>
                <w:szCs w:val="22"/>
              </w:rPr>
            </w:pPr>
            <w:r w:rsidRPr="005E5971">
              <w:rPr>
                <w:rFonts w:asciiTheme="minorHAnsi" w:hAnsiTheme="minorHAnsi" w:cstheme="minorHAnsi"/>
                <w:i/>
                <w:szCs w:val="22"/>
              </w:rPr>
              <w:t>$146 319.29</w:t>
            </w:r>
          </w:p>
        </w:tc>
        <w:tc>
          <w:tcPr>
            <w:tcW w:w="2042" w:type="dxa"/>
            <w:tcBorders>
              <w:top w:val="single" w:sz="4" w:space="0" w:color="auto"/>
              <w:left w:val="nil"/>
              <w:bottom w:val="single" w:sz="4" w:space="0" w:color="auto"/>
              <w:right w:val="single" w:sz="4" w:space="0" w:color="auto"/>
            </w:tcBorders>
            <w:shd w:val="clear" w:color="auto" w:fill="auto"/>
            <w:vAlign w:val="center"/>
          </w:tcPr>
          <w:p w14:paraId="6A70F0D5" w14:textId="3F956D08" w:rsidR="002D6FEB" w:rsidRPr="005E5971" w:rsidRDefault="00D400C6" w:rsidP="00E5755C">
            <w:pPr>
              <w:spacing w:after="0" w:line="240" w:lineRule="auto"/>
              <w:jc w:val="center"/>
              <w:rPr>
                <w:rFonts w:asciiTheme="minorHAnsi" w:hAnsiTheme="minorHAnsi" w:cstheme="minorHAnsi"/>
                <w:i/>
                <w:color w:val="000000"/>
                <w:szCs w:val="22"/>
                <w:lang w:eastAsia="en-AU"/>
              </w:rPr>
            </w:pPr>
            <w:r w:rsidRPr="005E5971">
              <w:rPr>
                <w:rFonts w:asciiTheme="minorHAnsi" w:hAnsiTheme="minorHAnsi" w:cstheme="minorHAnsi"/>
                <w:i/>
                <w:color w:val="000000"/>
                <w:szCs w:val="22"/>
                <w:lang w:eastAsia="en-AU"/>
              </w:rPr>
              <w:t>456</w:t>
            </w:r>
          </w:p>
        </w:tc>
      </w:tr>
    </w:tbl>
    <w:p w14:paraId="43BAAC91" w14:textId="6B7B2232" w:rsidR="00966D2C" w:rsidRPr="005E5971" w:rsidRDefault="00966D2C" w:rsidP="00F22392">
      <w:pPr>
        <w:rPr>
          <w:rFonts w:asciiTheme="minorHAnsi" w:hAnsiTheme="minorHAnsi" w:cstheme="minorHAnsi"/>
          <w:szCs w:val="22"/>
        </w:rPr>
      </w:pPr>
    </w:p>
    <w:p w14:paraId="6DDBCB1A" w14:textId="77777777" w:rsidR="00966D2C" w:rsidRPr="005E5971" w:rsidRDefault="00966D2C" w:rsidP="00F22392">
      <w:pPr>
        <w:rPr>
          <w:rFonts w:asciiTheme="minorHAnsi" w:hAnsiTheme="minorHAnsi" w:cstheme="minorHAnsi"/>
          <w:szCs w:val="22"/>
        </w:rPr>
      </w:pPr>
    </w:p>
    <w:p w14:paraId="6CEBDCF7" w14:textId="7EFA0E83" w:rsidR="00862922" w:rsidRPr="005E5971" w:rsidRDefault="00862922" w:rsidP="00862922">
      <w:pPr>
        <w:ind w:left="210"/>
        <w:rPr>
          <w:rFonts w:asciiTheme="minorHAnsi" w:hAnsiTheme="minorHAnsi" w:cstheme="minorHAnsi"/>
        </w:rPr>
      </w:pPr>
    </w:p>
    <w:p w14:paraId="03E6A732" w14:textId="77777777" w:rsidR="00F22392" w:rsidRPr="005E5971" w:rsidRDefault="00F22392" w:rsidP="00F22392">
      <w:pPr>
        <w:spacing w:after="0" w:line="240" w:lineRule="auto"/>
        <w:jc w:val="left"/>
        <w:rPr>
          <w:rFonts w:asciiTheme="minorHAnsi" w:hAnsiTheme="minorHAnsi" w:cstheme="minorHAnsi"/>
          <w:b/>
          <w:color w:val="4BACC6" w:themeColor="accent5"/>
          <w:sz w:val="28"/>
          <w:szCs w:val="28"/>
        </w:rPr>
      </w:pPr>
      <w:r w:rsidRPr="005E5971">
        <w:rPr>
          <w:rFonts w:asciiTheme="minorHAnsi" w:hAnsiTheme="minorHAnsi" w:cstheme="minorHAnsi"/>
        </w:rPr>
        <w:br w:type="page"/>
      </w:r>
    </w:p>
    <w:p w14:paraId="42A8C902" w14:textId="77777777" w:rsidR="00F22392" w:rsidRPr="005E5971" w:rsidRDefault="00F22392" w:rsidP="00B477B4">
      <w:pPr>
        <w:pStyle w:val="Heading1"/>
      </w:pPr>
      <w:r w:rsidRPr="005E5971">
        <w:lastRenderedPageBreak/>
        <w:t>Conclusion</w:t>
      </w:r>
    </w:p>
    <w:p w14:paraId="3621AE88" w14:textId="115A9600" w:rsidR="003A354F" w:rsidRPr="005E5971" w:rsidRDefault="003A354F" w:rsidP="00F22392">
      <w:pPr>
        <w:rPr>
          <w:rFonts w:asciiTheme="minorHAnsi" w:hAnsiTheme="minorHAnsi" w:cstheme="minorHAnsi"/>
        </w:rPr>
      </w:pPr>
      <w:r w:rsidRPr="005E5971">
        <w:rPr>
          <w:rFonts w:asciiTheme="minorHAnsi" w:hAnsiTheme="minorHAnsi" w:cstheme="minorHAnsi"/>
        </w:rPr>
        <w:t xml:space="preserve">The EU between </w:t>
      </w:r>
      <w:r w:rsidR="00914677" w:rsidRPr="005E5971">
        <w:rPr>
          <w:rFonts w:asciiTheme="minorHAnsi" w:hAnsiTheme="minorHAnsi" w:cstheme="minorHAnsi"/>
        </w:rPr>
        <w:t xml:space="preserve">Coles Supermarkets Australia Pty Ltd </w:t>
      </w:r>
      <w:r w:rsidR="00042BFD">
        <w:rPr>
          <w:rFonts w:asciiTheme="minorHAnsi" w:hAnsiTheme="minorHAnsi" w:cstheme="minorHAnsi"/>
        </w:rPr>
        <w:t>(</w:t>
      </w:r>
      <w:r w:rsidR="00914677" w:rsidRPr="005E5971">
        <w:rPr>
          <w:rFonts w:asciiTheme="minorHAnsi" w:hAnsiTheme="minorHAnsi" w:cstheme="minorHAnsi"/>
        </w:rPr>
        <w:t>Coles</w:t>
      </w:r>
      <w:r w:rsidR="00042BFD">
        <w:rPr>
          <w:rFonts w:asciiTheme="minorHAnsi" w:hAnsiTheme="minorHAnsi" w:cstheme="minorHAnsi"/>
        </w:rPr>
        <w:t>)</w:t>
      </w:r>
      <w:r w:rsidR="00914677" w:rsidRPr="005E5971">
        <w:rPr>
          <w:rFonts w:asciiTheme="minorHAnsi" w:hAnsiTheme="minorHAnsi" w:cstheme="minorHAnsi"/>
        </w:rPr>
        <w:t xml:space="preserve"> </w:t>
      </w:r>
      <w:r w:rsidRPr="005E5971">
        <w:rPr>
          <w:rFonts w:asciiTheme="minorHAnsi" w:hAnsiTheme="minorHAnsi" w:cstheme="minorHAnsi"/>
        </w:rPr>
        <w:t xml:space="preserve">and the FWO </w:t>
      </w:r>
      <w:r w:rsidR="00F22392" w:rsidRPr="005E5971">
        <w:rPr>
          <w:rFonts w:asciiTheme="minorHAnsi" w:hAnsiTheme="minorHAnsi" w:cstheme="minorHAnsi"/>
        </w:rPr>
        <w:t>expire</w:t>
      </w:r>
      <w:r w:rsidRPr="005E5971">
        <w:rPr>
          <w:rFonts w:asciiTheme="minorHAnsi" w:hAnsiTheme="minorHAnsi" w:cstheme="minorHAnsi"/>
        </w:rPr>
        <w:t xml:space="preserve">d on 31 December 2018.  </w:t>
      </w:r>
    </w:p>
    <w:p w14:paraId="2C02C03A" w14:textId="43CC5A87" w:rsidR="003A354F" w:rsidRPr="005E5971" w:rsidRDefault="00E171F1" w:rsidP="003A354F">
      <w:pPr>
        <w:rPr>
          <w:rFonts w:asciiTheme="minorHAnsi" w:hAnsiTheme="minorHAnsi" w:cstheme="minorHAnsi"/>
        </w:rPr>
      </w:pPr>
      <w:r>
        <w:rPr>
          <w:rFonts w:asciiTheme="minorHAnsi" w:hAnsiTheme="minorHAnsi" w:cstheme="minorHAnsi"/>
        </w:rPr>
        <w:t>T</w:t>
      </w:r>
      <w:r w:rsidR="003A354F" w:rsidRPr="005E5971">
        <w:rPr>
          <w:rFonts w:asciiTheme="minorHAnsi" w:hAnsiTheme="minorHAnsi" w:cstheme="minorHAnsi"/>
        </w:rPr>
        <w:t xml:space="preserve">he FWO is satisfied with the </w:t>
      </w:r>
      <w:r w:rsidR="00F22392" w:rsidRPr="005E5971">
        <w:rPr>
          <w:rFonts w:asciiTheme="minorHAnsi" w:hAnsiTheme="minorHAnsi" w:cstheme="minorHAnsi"/>
        </w:rPr>
        <w:t xml:space="preserve">progress </w:t>
      </w:r>
      <w:r w:rsidR="003A354F" w:rsidRPr="005E5971">
        <w:rPr>
          <w:rFonts w:asciiTheme="minorHAnsi" w:hAnsiTheme="minorHAnsi" w:cstheme="minorHAnsi"/>
        </w:rPr>
        <w:t xml:space="preserve">Coles </w:t>
      </w:r>
      <w:r w:rsidR="006C146F" w:rsidRPr="005E5971">
        <w:rPr>
          <w:rFonts w:asciiTheme="minorHAnsi" w:hAnsiTheme="minorHAnsi" w:cstheme="minorHAnsi"/>
        </w:rPr>
        <w:t xml:space="preserve">has </w:t>
      </w:r>
      <w:r w:rsidR="003A354F" w:rsidRPr="005E5971">
        <w:rPr>
          <w:rFonts w:asciiTheme="minorHAnsi" w:hAnsiTheme="minorHAnsi" w:cstheme="minorHAnsi"/>
        </w:rPr>
        <w:t>made in</w:t>
      </w:r>
      <w:r w:rsidR="00F22392" w:rsidRPr="005E5971">
        <w:rPr>
          <w:rFonts w:asciiTheme="minorHAnsi" w:hAnsiTheme="minorHAnsi" w:cstheme="minorHAnsi"/>
        </w:rPr>
        <w:t xml:space="preserve"> </w:t>
      </w:r>
      <w:r w:rsidR="003A354F" w:rsidRPr="005E5971">
        <w:rPr>
          <w:rFonts w:asciiTheme="minorHAnsi" w:hAnsiTheme="minorHAnsi" w:cstheme="minorHAnsi"/>
        </w:rPr>
        <w:t>satisfying</w:t>
      </w:r>
      <w:r w:rsidR="00F22392" w:rsidRPr="005E5971">
        <w:rPr>
          <w:rFonts w:asciiTheme="minorHAnsi" w:hAnsiTheme="minorHAnsi" w:cstheme="minorHAnsi"/>
        </w:rPr>
        <w:t xml:space="preserve"> its </w:t>
      </w:r>
      <w:r w:rsidR="003A354F" w:rsidRPr="005E5971">
        <w:rPr>
          <w:rFonts w:asciiTheme="minorHAnsi" w:hAnsiTheme="minorHAnsi" w:cstheme="minorHAnsi"/>
        </w:rPr>
        <w:t>EU o</w:t>
      </w:r>
      <w:r w:rsidR="00F22392" w:rsidRPr="005E5971">
        <w:rPr>
          <w:rFonts w:asciiTheme="minorHAnsi" w:hAnsiTheme="minorHAnsi" w:cstheme="minorHAnsi"/>
        </w:rPr>
        <w:t>bligations</w:t>
      </w:r>
      <w:r w:rsidR="003A354F" w:rsidRPr="005E5971">
        <w:rPr>
          <w:rFonts w:asciiTheme="minorHAnsi" w:hAnsiTheme="minorHAnsi" w:cstheme="minorHAnsi"/>
        </w:rPr>
        <w:t xml:space="preserve">. In particular, the FWO notes the significant reduction in trolley collector underpayments by subcontractors identified through succussive independent audits. </w:t>
      </w:r>
    </w:p>
    <w:p w14:paraId="15CB2CE0" w14:textId="32825324" w:rsidR="001C3D9D" w:rsidRPr="005E5971" w:rsidRDefault="003A354F" w:rsidP="00711D75">
      <w:pPr>
        <w:rPr>
          <w:rFonts w:asciiTheme="minorHAnsi" w:hAnsiTheme="minorHAnsi" w:cstheme="minorHAnsi"/>
          <w:szCs w:val="22"/>
        </w:rPr>
      </w:pPr>
      <w:r w:rsidRPr="005E5971">
        <w:rPr>
          <w:rFonts w:asciiTheme="minorHAnsi" w:hAnsiTheme="minorHAnsi" w:cstheme="minorHAnsi"/>
        </w:rPr>
        <w:t xml:space="preserve">The result indicates </w:t>
      </w:r>
      <w:r w:rsidR="00B54D37" w:rsidRPr="005E5971">
        <w:rPr>
          <w:rFonts w:asciiTheme="minorHAnsi" w:hAnsiTheme="minorHAnsi" w:cstheme="minorHAnsi"/>
        </w:rPr>
        <w:t xml:space="preserve">that </w:t>
      </w:r>
      <w:r w:rsidRPr="005E5971">
        <w:rPr>
          <w:rFonts w:asciiTheme="minorHAnsi" w:hAnsiTheme="minorHAnsi" w:cstheme="minorHAnsi"/>
        </w:rPr>
        <w:t xml:space="preserve">Coles has been successful in improving its overall compliance with the FW Act, </w:t>
      </w:r>
      <w:r w:rsidR="00B54D37" w:rsidRPr="005E5971">
        <w:rPr>
          <w:rFonts w:asciiTheme="minorHAnsi" w:hAnsiTheme="minorHAnsi" w:cstheme="minorHAnsi"/>
        </w:rPr>
        <w:t>including the</w:t>
      </w:r>
      <w:r w:rsidRPr="005E5971">
        <w:rPr>
          <w:rFonts w:asciiTheme="minorHAnsi" w:hAnsiTheme="minorHAnsi" w:cstheme="minorHAnsi"/>
        </w:rPr>
        <w:t xml:space="preserve"> compliance of </w:t>
      </w:r>
      <w:r w:rsidR="00B54D37" w:rsidRPr="005E5971">
        <w:rPr>
          <w:rFonts w:asciiTheme="minorHAnsi" w:hAnsiTheme="minorHAnsi" w:cstheme="minorHAnsi"/>
        </w:rPr>
        <w:t>subc</w:t>
      </w:r>
      <w:r w:rsidRPr="005E5971">
        <w:rPr>
          <w:rFonts w:asciiTheme="minorHAnsi" w:hAnsiTheme="minorHAnsi" w:cstheme="minorHAnsi"/>
        </w:rPr>
        <w:t xml:space="preserve">ontractors engaged in its labour supply chain. </w:t>
      </w:r>
      <w:r w:rsidR="00B54D37" w:rsidRPr="005E5971">
        <w:rPr>
          <w:rFonts w:asciiTheme="minorHAnsi" w:hAnsiTheme="minorHAnsi" w:cstheme="minorHAnsi"/>
        </w:rPr>
        <w:t xml:space="preserve">It also </w:t>
      </w:r>
      <w:r w:rsidRPr="005E5971">
        <w:rPr>
          <w:rFonts w:asciiTheme="minorHAnsi" w:hAnsiTheme="minorHAnsi" w:cstheme="minorHAnsi"/>
          <w:szCs w:val="22"/>
        </w:rPr>
        <w:t>demonstrate</w:t>
      </w:r>
      <w:r w:rsidR="00B54D37" w:rsidRPr="005E5971">
        <w:rPr>
          <w:rFonts w:asciiTheme="minorHAnsi" w:hAnsiTheme="minorHAnsi" w:cstheme="minorHAnsi"/>
          <w:szCs w:val="22"/>
        </w:rPr>
        <w:t>s</w:t>
      </w:r>
      <w:r w:rsidRPr="005E5971">
        <w:rPr>
          <w:rFonts w:asciiTheme="minorHAnsi" w:hAnsiTheme="minorHAnsi" w:cstheme="minorHAnsi"/>
          <w:szCs w:val="22"/>
        </w:rPr>
        <w:t xml:space="preserve"> the positive impact </w:t>
      </w:r>
      <w:r w:rsidR="00F457E4" w:rsidRPr="005E5971">
        <w:rPr>
          <w:rFonts w:asciiTheme="minorHAnsi" w:hAnsiTheme="minorHAnsi" w:cstheme="minorHAnsi"/>
          <w:szCs w:val="22"/>
        </w:rPr>
        <w:t xml:space="preserve">on compliance </w:t>
      </w:r>
      <w:r w:rsidRPr="005E5971">
        <w:rPr>
          <w:rFonts w:asciiTheme="minorHAnsi" w:hAnsiTheme="minorHAnsi" w:cstheme="minorHAnsi"/>
          <w:szCs w:val="22"/>
        </w:rPr>
        <w:t xml:space="preserve">that lead businesses have when taking </w:t>
      </w:r>
      <w:r w:rsidR="00F457E4" w:rsidRPr="005E5971">
        <w:rPr>
          <w:rFonts w:asciiTheme="minorHAnsi" w:hAnsiTheme="minorHAnsi" w:cstheme="minorHAnsi"/>
          <w:szCs w:val="22"/>
        </w:rPr>
        <w:t xml:space="preserve">on </w:t>
      </w:r>
      <w:r w:rsidRPr="005E5971">
        <w:rPr>
          <w:rFonts w:asciiTheme="minorHAnsi" w:hAnsiTheme="minorHAnsi" w:cstheme="minorHAnsi"/>
          <w:szCs w:val="22"/>
        </w:rPr>
        <w:t xml:space="preserve">an active </w:t>
      </w:r>
      <w:r w:rsidR="00F457E4" w:rsidRPr="005E5971">
        <w:rPr>
          <w:rFonts w:asciiTheme="minorHAnsi" w:hAnsiTheme="minorHAnsi" w:cstheme="minorHAnsi"/>
          <w:szCs w:val="22"/>
        </w:rPr>
        <w:t xml:space="preserve">role in supply chain </w:t>
      </w:r>
      <w:r w:rsidRPr="005E5971">
        <w:rPr>
          <w:rFonts w:asciiTheme="minorHAnsi" w:hAnsiTheme="minorHAnsi" w:cstheme="minorHAnsi"/>
          <w:szCs w:val="22"/>
        </w:rPr>
        <w:t>governance</w:t>
      </w:r>
      <w:r w:rsidR="00F457E4" w:rsidRPr="005E5971">
        <w:rPr>
          <w:rFonts w:asciiTheme="minorHAnsi" w:hAnsiTheme="minorHAnsi" w:cstheme="minorHAnsi"/>
          <w:szCs w:val="22"/>
        </w:rPr>
        <w:t>.</w:t>
      </w:r>
    </w:p>
    <w:p w14:paraId="74B0E237" w14:textId="77777777" w:rsidR="00415BEA" w:rsidRDefault="00415BEA">
      <w:pPr>
        <w:spacing w:after="0" w:line="240" w:lineRule="auto"/>
        <w:jc w:val="left"/>
        <w:rPr>
          <w:rFonts w:asciiTheme="minorHAnsi" w:hAnsiTheme="minorHAnsi" w:cstheme="minorHAnsi"/>
          <w:color w:val="0194A6"/>
          <w:sz w:val="44"/>
        </w:rPr>
      </w:pPr>
      <w:r>
        <w:rPr>
          <w:rFonts w:asciiTheme="minorHAnsi" w:hAnsiTheme="minorHAnsi" w:cstheme="minorHAnsi"/>
        </w:rPr>
        <w:br w:type="page"/>
      </w:r>
    </w:p>
    <w:p w14:paraId="0FA3122D" w14:textId="71C38421" w:rsidR="00F22392" w:rsidRPr="005E5971" w:rsidRDefault="00F22392" w:rsidP="00805EAC">
      <w:pPr>
        <w:pStyle w:val="Heading1"/>
        <w:rPr>
          <w:rFonts w:asciiTheme="minorHAnsi" w:hAnsiTheme="minorHAnsi" w:cstheme="minorHAnsi"/>
        </w:rPr>
      </w:pPr>
      <w:r w:rsidRPr="005E5971">
        <w:rPr>
          <w:rFonts w:asciiTheme="minorHAnsi" w:hAnsiTheme="minorHAnsi" w:cstheme="minorHAnsi"/>
        </w:rPr>
        <w:lastRenderedPageBreak/>
        <w:t xml:space="preserve">About the Fair Work Ombudsman </w:t>
      </w:r>
    </w:p>
    <w:p w14:paraId="6661FC31" w14:textId="77777777" w:rsidR="005361F7" w:rsidRDefault="005361F7" w:rsidP="00F22392">
      <w:pPr>
        <w:rPr>
          <w:rFonts w:asciiTheme="minorHAnsi" w:hAnsiTheme="minorHAnsi" w:cstheme="minorHAnsi"/>
        </w:rPr>
      </w:pPr>
      <w:r w:rsidRPr="005361F7">
        <w:rPr>
          <w:rFonts w:asciiTheme="minorHAnsi" w:hAnsiTheme="minorHAnsi" w:cstheme="minorHAnsi"/>
        </w:rPr>
        <w:t>The Fair Work Ombudsman is an independent agency created by the Fair Work Act 2009 on 1 July 2009. The Fair Work Ombudsman’s role is to promote harmonious, productive and inclusive</w:t>
      </w:r>
      <w:r>
        <w:rPr>
          <w:rFonts w:asciiTheme="minorHAnsi" w:hAnsiTheme="minorHAnsi" w:cstheme="minorHAnsi"/>
        </w:rPr>
        <w:t xml:space="preserve"> </w:t>
      </w:r>
      <w:r w:rsidRPr="005361F7">
        <w:rPr>
          <w:rFonts w:asciiTheme="minorHAnsi" w:hAnsiTheme="minorHAnsi" w:cstheme="minorHAnsi"/>
        </w:rPr>
        <w:t>Australian workplaces as well as ensure compliance with Commonwealth workplace laws.</w:t>
      </w:r>
      <w:r>
        <w:rPr>
          <w:rFonts w:asciiTheme="minorHAnsi" w:hAnsiTheme="minorHAnsi" w:cstheme="minorHAnsi"/>
        </w:rPr>
        <w:t xml:space="preserve"> </w:t>
      </w:r>
    </w:p>
    <w:p w14:paraId="3F845BC3" w14:textId="0DEA08D8" w:rsidR="00F22392" w:rsidRPr="005E5971" w:rsidRDefault="00F22392" w:rsidP="00F22392">
      <w:pPr>
        <w:rPr>
          <w:rFonts w:asciiTheme="minorHAnsi" w:hAnsiTheme="minorHAnsi" w:cstheme="minorHAnsi"/>
        </w:rPr>
      </w:pPr>
      <w:r w:rsidRPr="005E5971">
        <w:rPr>
          <w:rFonts w:asciiTheme="minorHAnsi" w:hAnsiTheme="minorHAnsi" w:cstheme="minorHAnsi"/>
        </w:rPr>
        <w:t>The FWO employs a number of tools and strategies to achieve compliance with national workplace laws, including Enforceable Undertakings.</w:t>
      </w:r>
    </w:p>
    <w:p w14:paraId="53C12CC4" w14:textId="3247BC30" w:rsidR="00F22392" w:rsidRPr="005E5971" w:rsidRDefault="00F22392" w:rsidP="00F22392">
      <w:pPr>
        <w:rPr>
          <w:rFonts w:asciiTheme="minorHAnsi" w:hAnsiTheme="minorHAnsi" w:cstheme="minorHAnsi"/>
        </w:rPr>
      </w:pPr>
      <w:r w:rsidRPr="005E5971">
        <w:rPr>
          <w:rFonts w:asciiTheme="minorHAnsi" w:hAnsiTheme="minorHAnsi" w:cstheme="minorHAnsi"/>
        </w:rPr>
        <w:t>When we reasonably believe that someone has breached the FW Act, the breach is serious</w:t>
      </w:r>
      <w:r w:rsidR="00DE763D" w:rsidRPr="005E5971">
        <w:rPr>
          <w:rFonts w:asciiTheme="minorHAnsi" w:hAnsiTheme="minorHAnsi" w:cstheme="minorHAnsi"/>
        </w:rPr>
        <w:t xml:space="preserve"> and</w:t>
      </w:r>
      <w:r w:rsidRPr="005E5971">
        <w:rPr>
          <w:rFonts w:asciiTheme="minorHAnsi" w:hAnsiTheme="minorHAnsi" w:cstheme="minorHAnsi"/>
        </w:rPr>
        <w:t xml:space="preserve"> the person acknowledges this</w:t>
      </w:r>
      <w:r w:rsidR="00DE763D" w:rsidRPr="005E5971">
        <w:rPr>
          <w:rFonts w:asciiTheme="minorHAnsi" w:hAnsiTheme="minorHAnsi" w:cstheme="minorHAnsi"/>
        </w:rPr>
        <w:t xml:space="preserve">, </w:t>
      </w:r>
      <w:r w:rsidRPr="005E5971">
        <w:rPr>
          <w:rFonts w:asciiTheme="minorHAnsi" w:hAnsiTheme="minorHAnsi" w:cstheme="minorHAnsi"/>
        </w:rPr>
        <w:t xml:space="preserve">accepts responsibility and agrees to fix the harm, we can accept a written undertaking from the person. </w:t>
      </w:r>
    </w:p>
    <w:p w14:paraId="34DF4EBE" w14:textId="77777777" w:rsidR="00F22392" w:rsidRPr="005E5971" w:rsidRDefault="00F22392" w:rsidP="00F22392">
      <w:pPr>
        <w:rPr>
          <w:rFonts w:asciiTheme="minorHAnsi" w:hAnsiTheme="minorHAnsi" w:cstheme="minorHAnsi"/>
        </w:rPr>
      </w:pPr>
      <w:r w:rsidRPr="005E5971">
        <w:rPr>
          <w:rFonts w:asciiTheme="minorHAnsi" w:hAnsiTheme="minorHAnsi" w:cstheme="minorHAnsi"/>
        </w:rPr>
        <w:t>Enforceable Undertakings typically operate for a period of between two to five years and often include terms about fixing loss or damage caused (e.g. by paying compensation or back pay to employees). They are also ‘forward looking’ and deal with future compliance and what the person will do in the future to prevent more breaches, such as workplace law training sessions for senior managers. Enforceable Undertakings require people to report to FWO on their compliance at specific times as well as when a particular action is undertaken.</w:t>
      </w:r>
    </w:p>
    <w:p w14:paraId="75DCAC4E" w14:textId="77777777" w:rsidR="00F22392" w:rsidRPr="005E5971" w:rsidRDefault="00F22392" w:rsidP="00F22392">
      <w:pPr>
        <w:rPr>
          <w:rFonts w:asciiTheme="minorHAnsi" w:hAnsiTheme="minorHAnsi" w:cstheme="minorHAnsi"/>
          <w:color w:val="000000" w:themeColor="text1"/>
        </w:rPr>
      </w:pPr>
      <w:r w:rsidRPr="005E5971">
        <w:rPr>
          <w:rFonts w:asciiTheme="minorHAnsi" w:hAnsiTheme="minorHAnsi" w:cstheme="minorHAnsi"/>
          <w:color w:val="000000" w:themeColor="text1"/>
        </w:rPr>
        <w:t xml:space="preserve">The FWO may offer a person the option to enter into an Enforceable Undertaking as an alternative to legal proceedings to secure a superior compliance outcome. The FWO also considers offering Enforceable Undertakings to persons who have approached us with admissions that they have breached the law and are committed to ‘righting the wrongs’ of the past.  </w:t>
      </w:r>
    </w:p>
    <w:p w14:paraId="2DCB3202" w14:textId="40A9FEB7" w:rsidR="00F22392" w:rsidRPr="005E5971" w:rsidRDefault="00F22392" w:rsidP="00F22392">
      <w:pPr>
        <w:rPr>
          <w:rFonts w:asciiTheme="minorHAnsi" w:hAnsiTheme="minorHAnsi" w:cstheme="minorHAnsi"/>
        </w:rPr>
      </w:pPr>
      <w:r w:rsidRPr="005E5971">
        <w:rPr>
          <w:rFonts w:asciiTheme="minorHAnsi" w:hAnsiTheme="minorHAnsi" w:cstheme="minorHAnsi"/>
        </w:rPr>
        <w:t>To ensure transparency and accountability,</w:t>
      </w:r>
      <w:r w:rsidR="00DE763D" w:rsidRPr="005E5971">
        <w:rPr>
          <w:rFonts w:asciiTheme="minorHAnsi" w:hAnsiTheme="minorHAnsi" w:cstheme="minorHAnsi"/>
        </w:rPr>
        <w:t xml:space="preserve"> the FWO</w:t>
      </w:r>
      <w:r w:rsidRPr="005E5971">
        <w:rPr>
          <w:rFonts w:asciiTheme="minorHAnsi" w:hAnsiTheme="minorHAnsi" w:cstheme="minorHAnsi"/>
        </w:rPr>
        <w:t xml:space="preserve"> </w:t>
      </w:r>
      <w:r w:rsidR="00DE763D" w:rsidRPr="005E5971">
        <w:rPr>
          <w:rFonts w:asciiTheme="minorHAnsi" w:hAnsiTheme="minorHAnsi" w:cstheme="minorHAnsi"/>
        </w:rPr>
        <w:t xml:space="preserve">publishes </w:t>
      </w:r>
      <w:r w:rsidRPr="005E5971">
        <w:rPr>
          <w:rFonts w:asciiTheme="minorHAnsi" w:hAnsiTheme="minorHAnsi" w:cstheme="minorHAnsi"/>
        </w:rPr>
        <w:t>Enforceable Undertakings</w:t>
      </w:r>
      <w:r w:rsidR="00DE763D" w:rsidRPr="005E5971">
        <w:rPr>
          <w:rFonts w:asciiTheme="minorHAnsi" w:hAnsiTheme="minorHAnsi" w:cstheme="minorHAnsi"/>
        </w:rPr>
        <w:t xml:space="preserve"> on its</w:t>
      </w:r>
      <w:r w:rsidRPr="005E5971">
        <w:rPr>
          <w:rFonts w:asciiTheme="minorHAnsi" w:hAnsiTheme="minorHAnsi" w:cstheme="minorHAnsi"/>
        </w:rPr>
        <w:t xml:space="preserve"> website. </w:t>
      </w:r>
      <w:r w:rsidR="00DE763D" w:rsidRPr="005E5971">
        <w:rPr>
          <w:rFonts w:asciiTheme="minorHAnsi" w:hAnsiTheme="minorHAnsi" w:cstheme="minorHAnsi"/>
        </w:rPr>
        <w:t>I</w:t>
      </w:r>
      <w:r w:rsidRPr="005E5971">
        <w:rPr>
          <w:rFonts w:asciiTheme="minorHAnsi" w:hAnsiTheme="minorHAnsi" w:cstheme="minorHAnsi"/>
        </w:rPr>
        <w:t xml:space="preserve">f the terms of an Enforceable Undertaking are not complied with, the FWO can take legal action in a court to enforce them, as well as seek other orders the court considers appropriate. </w:t>
      </w:r>
    </w:p>
    <w:p w14:paraId="674A525D" w14:textId="4CBC567B" w:rsidR="00F22392" w:rsidRPr="005E5971" w:rsidRDefault="00F22392" w:rsidP="00F22392">
      <w:pPr>
        <w:rPr>
          <w:rFonts w:asciiTheme="minorHAnsi" w:hAnsiTheme="minorHAnsi" w:cstheme="minorHAnsi"/>
          <w:i/>
        </w:rPr>
      </w:pPr>
      <w:r w:rsidRPr="005E5971">
        <w:rPr>
          <w:rFonts w:asciiTheme="minorHAnsi" w:hAnsiTheme="minorHAnsi" w:cstheme="minorHAnsi"/>
        </w:rPr>
        <w:t>For further information and media enquiries</w:t>
      </w:r>
      <w:r w:rsidR="00F457E4" w:rsidRPr="005E5971">
        <w:rPr>
          <w:rFonts w:asciiTheme="minorHAnsi" w:hAnsiTheme="minorHAnsi" w:cstheme="minorHAnsi"/>
        </w:rPr>
        <w:t>,</w:t>
      </w:r>
      <w:r w:rsidRPr="005E5971">
        <w:rPr>
          <w:rFonts w:asciiTheme="minorHAnsi" w:hAnsiTheme="minorHAnsi" w:cstheme="minorHAnsi"/>
        </w:rPr>
        <w:t xml:space="preserve"> please contact FWO media (</w:t>
      </w:r>
      <w:hyperlink r:id="rId10" w:history="1">
        <w:r w:rsidRPr="005E5971">
          <w:rPr>
            <w:rStyle w:val="Hyperlink"/>
            <w:rFonts w:asciiTheme="minorHAnsi" w:hAnsiTheme="minorHAnsi" w:cstheme="minorHAnsi"/>
            <w:i w:val="0"/>
          </w:rPr>
          <w:t>media@fwo.gov.au</w:t>
        </w:r>
      </w:hyperlink>
      <w:r w:rsidRPr="005E5971">
        <w:rPr>
          <w:rFonts w:asciiTheme="minorHAnsi" w:hAnsiTheme="minorHAnsi" w:cstheme="minorHAnsi"/>
          <w:i/>
        </w:rPr>
        <w:t>)</w:t>
      </w:r>
    </w:p>
    <w:p w14:paraId="0EA8B736" w14:textId="4E10B34C" w:rsidR="00233A4F" w:rsidRPr="005E5971" w:rsidRDefault="00F22392" w:rsidP="00F22392">
      <w:pPr>
        <w:rPr>
          <w:rFonts w:asciiTheme="minorHAnsi" w:hAnsiTheme="minorHAnsi" w:cstheme="minorHAnsi"/>
          <w:i/>
        </w:rPr>
      </w:pPr>
      <w:r w:rsidRPr="005E5971">
        <w:rPr>
          <w:rFonts w:asciiTheme="minorHAnsi" w:hAnsiTheme="minorHAnsi" w:cstheme="minorHAnsi"/>
        </w:rPr>
        <w:t xml:space="preserve">If you would </w:t>
      </w:r>
      <w:r w:rsidR="00FC2B2A">
        <w:rPr>
          <w:rFonts w:asciiTheme="minorHAnsi" w:hAnsiTheme="minorHAnsi" w:cstheme="minorHAnsi"/>
        </w:rPr>
        <w:t>like further information about E</w:t>
      </w:r>
      <w:r w:rsidRPr="005E5971">
        <w:rPr>
          <w:rFonts w:asciiTheme="minorHAnsi" w:hAnsiTheme="minorHAnsi" w:cstheme="minorHAnsi"/>
        </w:rPr>
        <w:t xml:space="preserve">nforceable </w:t>
      </w:r>
      <w:r w:rsidR="00FC2B2A">
        <w:rPr>
          <w:rFonts w:asciiTheme="minorHAnsi" w:hAnsiTheme="minorHAnsi" w:cstheme="minorHAnsi"/>
        </w:rPr>
        <w:t>U</w:t>
      </w:r>
      <w:r w:rsidRPr="005E5971">
        <w:rPr>
          <w:rFonts w:asciiTheme="minorHAnsi" w:hAnsiTheme="minorHAnsi" w:cstheme="minorHAnsi"/>
        </w:rPr>
        <w:t>ndertakings please contact Steve</w:t>
      </w:r>
      <w:r w:rsidR="005361F7">
        <w:rPr>
          <w:rFonts w:asciiTheme="minorHAnsi" w:hAnsiTheme="minorHAnsi" w:cstheme="minorHAnsi"/>
        </w:rPr>
        <w:t>n</w:t>
      </w:r>
      <w:r w:rsidRPr="005E5971">
        <w:rPr>
          <w:rFonts w:asciiTheme="minorHAnsi" w:hAnsiTheme="minorHAnsi" w:cstheme="minorHAnsi"/>
        </w:rPr>
        <w:t xml:space="preserve"> </w:t>
      </w:r>
      <w:proofErr w:type="spellStart"/>
      <w:r w:rsidRPr="005E5971">
        <w:rPr>
          <w:rFonts w:asciiTheme="minorHAnsi" w:hAnsiTheme="minorHAnsi" w:cstheme="minorHAnsi"/>
        </w:rPr>
        <w:t>Ronson</w:t>
      </w:r>
      <w:proofErr w:type="spellEnd"/>
      <w:r w:rsidRPr="005E5971">
        <w:rPr>
          <w:rFonts w:asciiTheme="minorHAnsi" w:hAnsiTheme="minorHAnsi" w:cstheme="minorHAnsi"/>
        </w:rPr>
        <w:t xml:space="preserve">, Executive Director – Proactive Compliance </w:t>
      </w:r>
      <w:r w:rsidR="005361F7">
        <w:rPr>
          <w:rFonts w:asciiTheme="minorHAnsi" w:hAnsiTheme="minorHAnsi" w:cstheme="minorHAnsi"/>
        </w:rPr>
        <w:t xml:space="preserve">at: </w:t>
      </w:r>
      <w:hyperlink r:id="rId11" w:history="1">
        <w:r w:rsidRPr="005E5971">
          <w:rPr>
            <w:rStyle w:val="Hyperlink"/>
            <w:rFonts w:asciiTheme="minorHAnsi" w:hAnsiTheme="minorHAnsi" w:cstheme="minorHAnsi"/>
            <w:i w:val="0"/>
          </w:rPr>
          <w:t>steven.ronson@fwo.gov.au</w:t>
        </w:r>
      </w:hyperlink>
    </w:p>
    <w:p w14:paraId="7D4D05C6" w14:textId="237B823E" w:rsidR="00E50BD9" w:rsidRPr="005E5971" w:rsidRDefault="00E50BD9" w:rsidP="003F45A2">
      <w:pPr>
        <w:rPr>
          <w:rFonts w:asciiTheme="minorHAnsi" w:hAnsiTheme="minorHAnsi" w:cstheme="minorHAnsi"/>
        </w:rPr>
      </w:pPr>
      <w:bookmarkStart w:id="0" w:name="_Summary"/>
      <w:bookmarkStart w:id="1" w:name="_Background"/>
      <w:bookmarkStart w:id="2" w:name="_The_Enforceable_Undertaking"/>
      <w:bookmarkStart w:id="3" w:name="_Under_the_EU,"/>
      <w:bookmarkStart w:id="4" w:name="_Progress_against_EU"/>
      <w:bookmarkStart w:id="5" w:name="_In-House_Trolley_Operations"/>
      <w:bookmarkStart w:id="6" w:name="_Workplace_Relations_Training"/>
      <w:bookmarkStart w:id="7" w:name="_GoBack"/>
      <w:bookmarkEnd w:id="0"/>
      <w:bookmarkEnd w:id="1"/>
      <w:bookmarkEnd w:id="2"/>
      <w:bookmarkEnd w:id="3"/>
      <w:bookmarkEnd w:id="4"/>
      <w:bookmarkEnd w:id="5"/>
      <w:bookmarkEnd w:id="6"/>
      <w:bookmarkEnd w:id="7"/>
    </w:p>
    <w:sectPr w:rsidR="00E50BD9" w:rsidRPr="005E5971" w:rsidSect="000024E8">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4" w:right="992" w:bottom="993"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AD67A" w14:textId="77777777" w:rsidR="00805EAC" w:rsidRDefault="00805EAC" w:rsidP="00AB27F9">
      <w:r>
        <w:separator/>
      </w:r>
    </w:p>
  </w:endnote>
  <w:endnote w:type="continuationSeparator" w:id="0">
    <w:p w14:paraId="37F2E33B" w14:textId="77777777" w:rsidR="00805EAC" w:rsidRDefault="00805EAC"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800000AF" w:usb1="50002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2C59" w14:textId="77777777" w:rsidR="00805EAC" w:rsidRDefault="00805EAC" w:rsidP="00AB27F9">
    <w:r>
      <w:fldChar w:fldCharType="begin"/>
    </w:r>
    <w:r>
      <w:instrText xml:space="preserve">PAGE  </w:instrText>
    </w:r>
    <w:r>
      <w:fldChar w:fldCharType="separate"/>
    </w:r>
    <w:r>
      <w:rPr>
        <w:noProof/>
      </w:rPr>
      <w:t>2</w:t>
    </w:r>
    <w:r>
      <w:fldChar w:fldCharType="end"/>
    </w:r>
  </w:p>
  <w:p w14:paraId="40DF12FF" w14:textId="77777777" w:rsidR="00805EAC" w:rsidRDefault="00805EAC" w:rsidP="00AB27F9"/>
  <w:p w14:paraId="48E8911C" w14:textId="77777777" w:rsidR="00805EAC" w:rsidRDefault="00805EAC"/>
  <w:p w14:paraId="1D13BC29" w14:textId="77777777" w:rsidR="00805EAC" w:rsidRDefault="00805EAC"/>
  <w:p w14:paraId="19263455" w14:textId="77777777" w:rsidR="00805EAC" w:rsidRDefault="00805EA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C7F8" w14:textId="77777777" w:rsidR="009544F8" w:rsidRDefault="00954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C8FB" w14:textId="77777777" w:rsidR="009544F8" w:rsidRDefault="00954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F1051" w14:textId="77777777" w:rsidR="00805EAC" w:rsidRDefault="00805EAC" w:rsidP="00AB27F9">
      <w:r>
        <w:separator/>
      </w:r>
    </w:p>
  </w:footnote>
  <w:footnote w:type="continuationSeparator" w:id="0">
    <w:p w14:paraId="0D21AB07" w14:textId="77777777" w:rsidR="00805EAC" w:rsidRDefault="00805EAC" w:rsidP="00AB27F9">
      <w:r>
        <w:continuationSeparator/>
      </w:r>
    </w:p>
  </w:footnote>
  <w:footnote w:id="1">
    <w:p w14:paraId="0973B612" w14:textId="2A910936" w:rsidR="001C3D9D" w:rsidRPr="003E71D4" w:rsidRDefault="001C3D9D" w:rsidP="00711D75">
      <w:pPr>
        <w:pStyle w:val="FootnoteText"/>
        <w:spacing w:after="0" w:line="240" w:lineRule="auto"/>
        <w:jc w:val="left"/>
        <w:rPr>
          <w:rFonts w:asciiTheme="minorHAnsi" w:hAnsiTheme="minorHAnsi" w:cstheme="minorHAnsi"/>
        </w:rPr>
      </w:pPr>
      <w:r w:rsidRPr="003E71D4">
        <w:rPr>
          <w:rStyle w:val="FootnoteReference"/>
          <w:rFonts w:asciiTheme="minorHAnsi" w:hAnsiTheme="minorHAnsi" w:cstheme="minorHAnsi"/>
        </w:rPr>
        <w:footnoteRef/>
      </w:r>
      <w:r w:rsidR="003E71D4">
        <w:rPr>
          <w:rFonts w:asciiTheme="minorHAnsi" w:hAnsiTheme="minorHAnsi" w:cstheme="minorHAnsi"/>
          <w:sz w:val="16"/>
          <w:szCs w:val="16"/>
        </w:rPr>
        <w:t xml:space="preserve"> </w:t>
      </w:r>
      <w:r w:rsidRPr="003E71D4">
        <w:rPr>
          <w:rFonts w:asciiTheme="minorHAnsi" w:hAnsiTheme="minorHAnsi" w:cstheme="minorHAnsi"/>
          <w:sz w:val="16"/>
          <w:szCs w:val="16"/>
        </w:rPr>
        <w:t xml:space="preserve">Coles Supermarkets Australia Pty Ltd </w:t>
      </w:r>
      <w:r w:rsidR="00CD3F6A" w:rsidRPr="003E71D4">
        <w:rPr>
          <w:rFonts w:asciiTheme="minorHAnsi" w:hAnsiTheme="minorHAnsi" w:cstheme="minorHAnsi"/>
          <w:sz w:val="16"/>
          <w:szCs w:val="16"/>
        </w:rPr>
        <w:t xml:space="preserve">and Fair Work Ombudsman </w:t>
      </w:r>
      <w:r w:rsidRPr="003E71D4">
        <w:rPr>
          <w:rFonts w:asciiTheme="minorHAnsi" w:hAnsiTheme="minorHAnsi" w:cstheme="minorHAnsi"/>
          <w:sz w:val="16"/>
          <w:szCs w:val="16"/>
        </w:rPr>
        <w:t>enforceable undertaking</w:t>
      </w:r>
      <w:r w:rsidR="00CD3F6A" w:rsidRPr="003E71D4">
        <w:rPr>
          <w:rFonts w:asciiTheme="minorHAnsi" w:hAnsiTheme="minorHAnsi" w:cstheme="minorHAnsi"/>
          <w:sz w:val="16"/>
          <w:szCs w:val="16"/>
        </w:rPr>
        <w:t xml:space="preserve"> is available on the FWO website: </w:t>
      </w:r>
      <w:r w:rsidR="00EB26B9">
        <w:rPr>
          <w:rFonts w:asciiTheme="minorHAnsi" w:hAnsiTheme="minorHAnsi" w:cstheme="minorHAnsi"/>
          <w:sz w:val="16"/>
          <w:szCs w:val="16"/>
        </w:rPr>
        <w:t>&lt;</w:t>
      </w:r>
      <w:r w:rsidRPr="003E71D4">
        <w:rPr>
          <w:rFonts w:asciiTheme="minorHAnsi" w:hAnsiTheme="minorHAnsi" w:cstheme="minorHAnsi"/>
          <w:sz w:val="16"/>
          <w:szCs w:val="16"/>
        </w:rPr>
        <w:t>https://www.fairwork.gov.au/ArticleDocuments/837/enforceable-undertaking-coles-supermarkets-australia.pdf.aspx</w:t>
      </w:r>
      <w:r w:rsidR="00EB26B9">
        <w:rPr>
          <w:rFonts w:asciiTheme="minorHAnsi" w:hAnsiTheme="minorHAnsi" w:cstheme="minorHAnsi"/>
          <w:sz w:val="16"/>
          <w:szCs w:val="16"/>
        </w:rPr>
        <w:t>&gt;</w:t>
      </w:r>
    </w:p>
  </w:footnote>
  <w:footnote w:id="2">
    <w:p w14:paraId="2F4172D8" w14:textId="258789F1" w:rsidR="00233A4F" w:rsidRPr="003E71D4" w:rsidRDefault="001C3D9D" w:rsidP="001C3D9D">
      <w:pPr>
        <w:spacing w:after="0" w:line="240" w:lineRule="auto"/>
        <w:rPr>
          <w:rFonts w:asciiTheme="minorHAnsi" w:hAnsiTheme="minorHAnsi" w:cstheme="minorHAnsi"/>
          <w:sz w:val="16"/>
          <w:szCs w:val="16"/>
        </w:rPr>
      </w:pPr>
      <w:r w:rsidRPr="003E71D4">
        <w:rPr>
          <w:rFonts w:asciiTheme="minorHAnsi" w:hAnsiTheme="minorHAnsi" w:cstheme="minorHAnsi"/>
          <w:sz w:val="16"/>
          <w:szCs w:val="16"/>
        </w:rPr>
        <w:footnoteRef/>
      </w:r>
      <w:r w:rsidRPr="003E71D4">
        <w:rPr>
          <w:rFonts w:asciiTheme="minorHAnsi" w:hAnsiTheme="minorHAnsi" w:cstheme="minorHAnsi"/>
          <w:sz w:val="16"/>
          <w:szCs w:val="16"/>
        </w:rPr>
        <w:t xml:space="preserve"> </w:t>
      </w:r>
      <w:r w:rsidR="00CD3F6A" w:rsidRPr="003E71D4">
        <w:rPr>
          <w:rFonts w:asciiTheme="minorHAnsi" w:hAnsiTheme="minorHAnsi" w:cstheme="minorHAnsi"/>
          <w:sz w:val="16"/>
          <w:szCs w:val="16"/>
        </w:rPr>
        <w:t>P</w:t>
      </w:r>
      <w:r w:rsidR="00922F66" w:rsidRPr="003E71D4">
        <w:rPr>
          <w:rFonts w:asciiTheme="minorHAnsi" w:hAnsiTheme="minorHAnsi" w:cstheme="minorHAnsi"/>
          <w:sz w:val="16"/>
          <w:szCs w:val="16"/>
        </w:rPr>
        <w:t xml:space="preserve">revious </w:t>
      </w:r>
      <w:r w:rsidR="00233A4F" w:rsidRPr="003E71D4">
        <w:rPr>
          <w:rFonts w:asciiTheme="minorHAnsi" w:hAnsiTheme="minorHAnsi" w:cstheme="minorHAnsi"/>
          <w:sz w:val="16"/>
          <w:szCs w:val="16"/>
        </w:rPr>
        <w:t>reports on the progress of the Coles EU are</w:t>
      </w:r>
      <w:r w:rsidR="00CD3F6A" w:rsidRPr="003E71D4">
        <w:rPr>
          <w:rFonts w:asciiTheme="minorHAnsi" w:hAnsiTheme="minorHAnsi" w:cstheme="minorHAnsi"/>
          <w:sz w:val="16"/>
          <w:szCs w:val="16"/>
        </w:rPr>
        <w:t xml:space="preserve"> available</w:t>
      </w:r>
      <w:r w:rsidR="00233A4F" w:rsidRPr="003E71D4">
        <w:rPr>
          <w:rFonts w:asciiTheme="minorHAnsi" w:hAnsiTheme="minorHAnsi" w:cstheme="minorHAnsi"/>
          <w:sz w:val="16"/>
          <w:szCs w:val="16"/>
        </w:rPr>
        <w:t xml:space="preserve"> on the FWO website</w:t>
      </w:r>
      <w:r w:rsidR="00CD3F6A" w:rsidRPr="003E71D4">
        <w:rPr>
          <w:rFonts w:asciiTheme="minorHAnsi" w:hAnsiTheme="minorHAnsi" w:cstheme="minorHAnsi"/>
          <w:sz w:val="16"/>
          <w:szCs w:val="16"/>
        </w:rPr>
        <w:t>:</w:t>
      </w:r>
    </w:p>
    <w:p w14:paraId="3FCBFF16" w14:textId="2F79D6D1" w:rsidR="003D5F22" w:rsidRPr="003E71D4" w:rsidRDefault="003D5F22" w:rsidP="003D5F22">
      <w:pPr>
        <w:spacing w:after="0" w:line="240" w:lineRule="auto"/>
        <w:rPr>
          <w:rFonts w:asciiTheme="minorHAnsi" w:hAnsiTheme="minorHAnsi" w:cstheme="minorHAnsi"/>
          <w:sz w:val="16"/>
          <w:szCs w:val="16"/>
        </w:rPr>
      </w:pPr>
      <w:r w:rsidRPr="003E71D4">
        <w:rPr>
          <w:rFonts w:asciiTheme="minorHAnsi" w:hAnsiTheme="minorHAnsi" w:cstheme="minorHAnsi"/>
        </w:rPr>
        <w:t xml:space="preserve"> </w:t>
      </w:r>
      <w:r w:rsidRPr="001A1514">
        <w:rPr>
          <w:rFonts w:asciiTheme="minorHAnsi" w:hAnsiTheme="minorHAnsi" w:cstheme="minorHAnsi"/>
          <w:sz w:val="16"/>
          <w:szCs w:val="16"/>
        </w:rPr>
        <w:t>&lt;</w:t>
      </w:r>
      <w:r w:rsidRPr="003E71D4">
        <w:rPr>
          <w:rFonts w:asciiTheme="minorHAnsi" w:hAnsiTheme="minorHAnsi" w:cstheme="minorHAnsi"/>
          <w:sz w:val="16"/>
          <w:szCs w:val="16"/>
        </w:rPr>
        <w:t>https://www.fairwork.gov.au/ArticleDocuments/884/coles-report-eu.pdf.aspx&gt;(2015)</w:t>
      </w:r>
    </w:p>
    <w:p w14:paraId="1005D4AC" w14:textId="77777777" w:rsidR="003D5F22" w:rsidRPr="003E71D4" w:rsidRDefault="003D5F22" w:rsidP="003D5F22">
      <w:pPr>
        <w:spacing w:after="0" w:line="240" w:lineRule="auto"/>
        <w:rPr>
          <w:rFonts w:asciiTheme="minorHAnsi" w:hAnsiTheme="minorHAnsi" w:cstheme="minorHAnsi"/>
          <w:sz w:val="16"/>
          <w:szCs w:val="16"/>
        </w:rPr>
      </w:pPr>
      <w:r w:rsidRPr="003E71D4">
        <w:rPr>
          <w:rFonts w:asciiTheme="minorHAnsi" w:hAnsiTheme="minorHAnsi" w:cstheme="minorHAnsi"/>
          <w:sz w:val="16"/>
          <w:szCs w:val="16"/>
        </w:rPr>
        <w:t xml:space="preserve"> </w:t>
      </w:r>
      <w:r w:rsidRPr="001A1514">
        <w:rPr>
          <w:rFonts w:asciiTheme="minorHAnsi" w:hAnsiTheme="minorHAnsi" w:cstheme="minorHAnsi"/>
          <w:sz w:val="16"/>
          <w:szCs w:val="16"/>
        </w:rPr>
        <w:t>&lt;</w:t>
      </w:r>
      <w:r w:rsidRPr="003E71D4">
        <w:rPr>
          <w:rFonts w:asciiTheme="minorHAnsi" w:hAnsiTheme="minorHAnsi" w:cstheme="minorHAnsi"/>
          <w:sz w:val="16"/>
          <w:szCs w:val="16"/>
        </w:rPr>
        <w:t>https://www.fairwork.gov.au/reports/coles-eu-report/summary&gt;(2016)</w:t>
      </w:r>
    </w:p>
    <w:p w14:paraId="6C83ECE4" w14:textId="4ABC909E" w:rsidR="001C3D9D" w:rsidRPr="003E71D4" w:rsidRDefault="003D5F22" w:rsidP="003D5F22">
      <w:pPr>
        <w:spacing w:after="0" w:line="240" w:lineRule="auto"/>
        <w:rPr>
          <w:rFonts w:asciiTheme="minorHAnsi" w:hAnsiTheme="minorHAnsi" w:cstheme="minorHAnsi"/>
          <w:sz w:val="16"/>
          <w:szCs w:val="16"/>
        </w:rPr>
      </w:pPr>
      <w:r w:rsidRPr="003E71D4">
        <w:rPr>
          <w:rFonts w:asciiTheme="minorHAnsi" w:hAnsiTheme="minorHAnsi" w:cstheme="minorHAnsi"/>
          <w:sz w:val="16"/>
          <w:szCs w:val="16"/>
        </w:rPr>
        <w:t xml:space="preserve"> </w:t>
      </w:r>
      <w:r w:rsidRPr="001A1514">
        <w:rPr>
          <w:rFonts w:asciiTheme="minorHAnsi" w:hAnsiTheme="minorHAnsi" w:cstheme="minorHAnsi"/>
          <w:sz w:val="16"/>
          <w:szCs w:val="16"/>
        </w:rPr>
        <w:t>&lt;</w:t>
      </w:r>
      <w:r w:rsidRPr="00363C51">
        <w:rPr>
          <w:rFonts w:asciiTheme="minorHAnsi" w:hAnsiTheme="minorHAnsi" w:cstheme="minorHAnsi"/>
          <w:sz w:val="16"/>
          <w:szCs w:val="16"/>
        </w:rPr>
        <w:t>https://www.fairwork.gov.au/ArticleDocuments/837/2017-coles-annual-report.pdf.aspx</w:t>
      </w:r>
      <w:r w:rsidRPr="003E71D4">
        <w:rPr>
          <w:rFonts w:asciiTheme="minorHAnsi" w:hAnsiTheme="minorHAnsi" w:cstheme="minorHAnsi"/>
          <w:sz w:val="16"/>
          <w:szCs w:val="16"/>
        </w:rPr>
        <w:t xml:space="preserve"> &gt;(2017)</w:t>
      </w:r>
    </w:p>
  </w:footnote>
  <w:footnote w:id="3">
    <w:p w14:paraId="61C1F2F9" w14:textId="1D9EA33F" w:rsidR="00805EAC" w:rsidRPr="003E71D4" w:rsidRDefault="00805EAC" w:rsidP="00CD3F6A">
      <w:pPr>
        <w:tabs>
          <w:tab w:val="left" w:pos="948"/>
        </w:tabs>
        <w:spacing w:after="0" w:line="240" w:lineRule="auto"/>
        <w:jc w:val="left"/>
        <w:rPr>
          <w:rFonts w:asciiTheme="minorHAnsi" w:hAnsiTheme="minorHAnsi" w:cstheme="minorHAnsi"/>
          <w:sz w:val="16"/>
          <w:szCs w:val="16"/>
        </w:rPr>
      </w:pPr>
      <w:r w:rsidRPr="003E71D4">
        <w:rPr>
          <w:rStyle w:val="FootnoteReference"/>
          <w:rFonts w:asciiTheme="minorHAnsi" w:hAnsiTheme="minorHAnsi" w:cstheme="minorHAnsi"/>
        </w:rPr>
        <w:footnoteRef/>
      </w:r>
      <w:r w:rsidRPr="003E71D4">
        <w:rPr>
          <w:rFonts w:asciiTheme="minorHAnsi" w:hAnsiTheme="minorHAnsi" w:cstheme="minorHAnsi"/>
          <w:sz w:val="16"/>
          <w:szCs w:val="16"/>
        </w:rPr>
        <w:t xml:space="preserve"> </w:t>
      </w:r>
      <w:hyperlink r:id="rId1" w:history="1">
        <w:r w:rsidRPr="003E71D4">
          <w:rPr>
            <w:rFonts w:asciiTheme="minorHAnsi" w:hAnsiTheme="minorHAnsi" w:cstheme="minorHAnsi"/>
            <w:sz w:val="16"/>
            <w:szCs w:val="16"/>
          </w:rPr>
          <w:t>UTC entered into a three-year compliance partnership with the FWO</w:t>
        </w:r>
      </w:hyperlink>
      <w:r w:rsidRPr="003E71D4">
        <w:rPr>
          <w:rFonts w:asciiTheme="minorHAnsi" w:hAnsiTheme="minorHAnsi" w:cstheme="minorHAnsi"/>
          <w:sz w:val="16"/>
          <w:szCs w:val="16"/>
        </w:rPr>
        <w:t xml:space="preserve"> in May 2014 to promote and ensure compliance within its own network of s</w:t>
      </w:r>
      <w:r w:rsidR="00CD3F6A" w:rsidRPr="003E71D4">
        <w:rPr>
          <w:rFonts w:asciiTheme="minorHAnsi" w:hAnsiTheme="minorHAnsi" w:cstheme="minorHAnsi"/>
          <w:sz w:val="16"/>
          <w:szCs w:val="16"/>
        </w:rPr>
        <w:t xml:space="preserve">ub-contractors. The </w:t>
      </w:r>
      <w:r w:rsidRPr="003E71D4">
        <w:rPr>
          <w:rFonts w:asciiTheme="minorHAnsi" w:hAnsiTheme="minorHAnsi" w:cstheme="minorHAnsi"/>
          <w:sz w:val="16"/>
          <w:szCs w:val="16"/>
        </w:rPr>
        <w:t xml:space="preserve">proactive compliance deed </w:t>
      </w:r>
      <w:r w:rsidR="00CD3F6A" w:rsidRPr="003E71D4">
        <w:rPr>
          <w:rFonts w:asciiTheme="minorHAnsi" w:hAnsiTheme="minorHAnsi" w:cstheme="minorHAnsi"/>
          <w:sz w:val="16"/>
          <w:szCs w:val="16"/>
        </w:rPr>
        <w:t xml:space="preserve">is available on the FWO website: </w:t>
      </w:r>
      <w:r w:rsidR="00EB26B9">
        <w:rPr>
          <w:rFonts w:asciiTheme="minorHAnsi" w:hAnsiTheme="minorHAnsi" w:cstheme="minorHAnsi"/>
          <w:sz w:val="16"/>
          <w:szCs w:val="16"/>
        </w:rPr>
        <w:t>&lt;</w:t>
      </w:r>
      <w:r w:rsidRPr="003E71D4">
        <w:rPr>
          <w:rFonts w:asciiTheme="minorHAnsi" w:hAnsiTheme="minorHAnsi" w:cstheme="minorHAnsi"/>
          <w:sz w:val="16"/>
          <w:szCs w:val="16"/>
        </w:rPr>
        <w:t>https://www.fairwork.gov.au/ArticleDocuments/544/utc-pcd-final-report.docx.aspx</w:t>
      </w:r>
      <w:r w:rsidR="00F53FDF">
        <w:rPr>
          <w:rFonts w:asciiTheme="minorHAnsi" w:hAnsiTheme="minorHAnsi" w:cstheme="minorHAnsi"/>
          <w:sz w:val="16"/>
          <w:szCs w:val="16"/>
        </w:rPr>
        <w:t>&gt;</w:t>
      </w:r>
    </w:p>
  </w:footnote>
  <w:footnote w:id="4">
    <w:p w14:paraId="5D82A99F" w14:textId="7B410F28" w:rsidR="00805EAC" w:rsidRPr="008330E8" w:rsidRDefault="00805EAC" w:rsidP="008330E8">
      <w:pPr>
        <w:spacing w:after="0" w:line="240" w:lineRule="auto"/>
        <w:rPr>
          <w:rFonts w:asciiTheme="minorHAnsi" w:hAnsiTheme="minorHAnsi" w:cstheme="minorHAnsi"/>
          <w:sz w:val="16"/>
          <w:szCs w:val="16"/>
        </w:rPr>
      </w:pPr>
      <w:r w:rsidRPr="00BD7705">
        <w:rPr>
          <w:rStyle w:val="FootnoteReference"/>
          <w:rFonts w:asciiTheme="minorHAnsi" w:hAnsiTheme="minorHAnsi" w:cstheme="minorHAnsi"/>
        </w:rPr>
        <w:footnoteRef/>
      </w:r>
      <w:r w:rsidR="008330E8" w:rsidRPr="00BD7705">
        <w:rPr>
          <w:rStyle w:val="FootnoteReference"/>
          <w:rFonts w:asciiTheme="minorHAnsi" w:hAnsiTheme="minorHAnsi" w:cstheme="minorHAnsi"/>
        </w:rPr>
        <w:t xml:space="preserve"> </w:t>
      </w:r>
      <w:r w:rsidR="008330E8" w:rsidRPr="008330E8">
        <w:rPr>
          <w:rFonts w:asciiTheme="minorHAnsi" w:hAnsiTheme="minorHAnsi" w:cstheme="minorHAnsi"/>
          <w:sz w:val="16"/>
          <w:szCs w:val="16"/>
        </w:rPr>
        <w:t>&lt;https://www.fairwork.gov.au/ArticleDocuments/837/coles-supermarkets-pty-ltd-enforceable-undertaking-annual-report-2018.pdf.aspx&gt;</w:t>
      </w:r>
    </w:p>
  </w:footnote>
  <w:footnote w:id="5">
    <w:p w14:paraId="5B39FCB2" w14:textId="701CA4A2" w:rsidR="00A43DC4" w:rsidRPr="008330E8" w:rsidRDefault="00A43DC4" w:rsidP="008330E8">
      <w:pPr>
        <w:pStyle w:val="FootnoteText"/>
        <w:spacing w:after="0" w:line="240" w:lineRule="auto"/>
        <w:rPr>
          <w:rFonts w:asciiTheme="minorHAnsi" w:hAnsiTheme="minorHAnsi" w:cstheme="minorHAnsi"/>
          <w:sz w:val="16"/>
          <w:szCs w:val="16"/>
        </w:rPr>
      </w:pPr>
      <w:r w:rsidRPr="00BD7705">
        <w:rPr>
          <w:rStyle w:val="FootnoteReference"/>
          <w:rFonts w:asciiTheme="minorHAnsi" w:hAnsiTheme="minorHAnsi" w:cstheme="minorHAnsi"/>
        </w:rPr>
        <w:footnoteRef/>
      </w:r>
      <w:r w:rsidRPr="00BD7705">
        <w:rPr>
          <w:rStyle w:val="FootnoteReference"/>
          <w:rFonts w:cstheme="minorHAnsi"/>
        </w:rPr>
        <w:t xml:space="preserve"> </w:t>
      </w:r>
      <w:r w:rsidR="000A784D" w:rsidRPr="008330E8">
        <w:rPr>
          <w:rFonts w:asciiTheme="minorHAnsi" w:hAnsiTheme="minorHAnsi" w:cstheme="minorHAnsi"/>
          <w:sz w:val="16"/>
          <w:szCs w:val="16"/>
        </w:rPr>
        <w:t>T</w:t>
      </w:r>
      <w:r w:rsidRPr="008330E8">
        <w:rPr>
          <w:rFonts w:asciiTheme="minorHAnsi" w:hAnsiTheme="minorHAnsi" w:cstheme="minorHAnsi"/>
          <w:sz w:val="16"/>
          <w:szCs w:val="16"/>
        </w:rPr>
        <w:t>wo of the complaints were from Coles’ employees - the company was therefore not required to include these in its report to FWO</w:t>
      </w:r>
      <w:r w:rsidR="008330E8" w:rsidRPr="008330E8">
        <w:rPr>
          <w:rFonts w:asciiTheme="minorHAnsi" w:hAnsiTheme="minorHAnsi" w:cstheme="minorHAnsi"/>
          <w:sz w:val="16"/>
          <w:szCs w:val="16"/>
        </w:rPr>
        <w:t>.</w:t>
      </w:r>
    </w:p>
  </w:footnote>
  <w:footnote w:id="6">
    <w:p w14:paraId="2E5E1DA7" w14:textId="6C552172" w:rsidR="007801C1" w:rsidRPr="00B477B4" w:rsidRDefault="007801C1" w:rsidP="008330E8">
      <w:pPr>
        <w:pStyle w:val="FootnoteText"/>
        <w:spacing w:after="0" w:line="240" w:lineRule="auto"/>
        <w:rPr>
          <w:rFonts w:asciiTheme="minorHAnsi" w:hAnsiTheme="minorHAnsi" w:cstheme="minorHAnsi"/>
          <w:sz w:val="16"/>
          <w:szCs w:val="16"/>
          <w:highlight w:val="yellow"/>
        </w:rPr>
      </w:pPr>
      <w:r w:rsidRPr="00BD7705">
        <w:rPr>
          <w:rStyle w:val="FootnoteReference"/>
          <w:rFonts w:asciiTheme="minorHAnsi" w:hAnsiTheme="minorHAnsi" w:cstheme="minorHAnsi"/>
        </w:rPr>
        <w:footnoteRef/>
      </w:r>
      <w:r w:rsidRPr="00BD7705">
        <w:rPr>
          <w:rStyle w:val="FootnoteReference"/>
          <w:rFonts w:asciiTheme="minorHAnsi" w:hAnsiTheme="minorHAnsi" w:cstheme="minorHAnsi"/>
        </w:rPr>
        <w:t xml:space="preserve"> </w:t>
      </w:r>
      <w:r w:rsidRPr="008330E8">
        <w:rPr>
          <w:rFonts w:asciiTheme="minorHAnsi" w:hAnsiTheme="minorHAnsi" w:cstheme="minorHAnsi"/>
          <w:sz w:val="16"/>
          <w:szCs w:val="16"/>
        </w:rPr>
        <w:t>Only complaints received through the hotline are tabled here. As identified in the covering infographic, Coles investigated 41 complaints over the life of the EU. Total investigation numbers (including Hotline compliant investigations) for each year of the EU are as follows: 21 Complaints (201</w:t>
      </w:r>
      <w:r w:rsidR="00252378" w:rsidRPr="008330E8">
        <w:rPr>
          <w:rFonts w:asciiTheme="minorHAnsi" w:hAnsiTheme="minorHAnsi" w:cstheme="minorHAnsi"/>
          <w:sz w:val="16"/>
          <w:szCs w:val="16"/>
        </w:rPr>
        <w:t>5</w:t>
      </w:r>
      <w:r w:rsidRPr="008330E8">
        <w:rPr>
          <w:rFonts w:asciiTheme="minorHAnsi" w:hAnsiTheme="minorHAnsi" w:cstheme="minorHAnsi"/>
          <w:sz w:val="16"/>
          <w:szCs w:val="16"/>
        </w:rPr>
        <w:t>), 11 complaints (201</w:t>
      </w:r>
      <w:r w:rsidR="00252378" w:rsidRPr="008330E8">
        <w:rPr>
          <w:rFonts w:asciiTheme="minorHAnsi" w:hAnsiTheme="minorHAnsi" w:cstheme="minorHAnsi"/>
          <w:sz w:val="16"/>
          <w:szCs w:val="16"/>
        </w:rPr>
        <w:t>6</w:t>
      </w:r>
      <w:r w:rsidRPr="008330E8">
        <w:rPr>
          <w:rFonts w:asciiTheme="minorHAnsi" w:hAnsiTheme="minorHAnsi" w:cstheme="minorHAnsi"/>
          <w:sz w:val="16"/>
          <w:szCs w:val="16"/>
        </w:rPr>
        <w:t>), four complaints (2017) and five complaints (201</w:t>
      </w:r>
      <w:r w:rsidR="00252378" w:rsidRPr="008330E8">
        <w:rPr>
          <w:rFonts w:asciiTheme="minorHAnsi" w:hAnsiTheme="minorHAnsi" w:cstheme="minorHAnsi"/>
          <w:sz w:val="16"/>
          <w:szCs w:val="16"/>
        </w:rPr>
        <w:t>8</w:t>
      </w:r>
      <w:r w:rsidRPr="008330E8">
        <w:rPr>
          <w:rFonts w:asciiTheme="minorHAnsi" w:hAnsiTheme="minorHAnsi" w:cstheme="minorHAnsi"/>
          <w:sz w:val="16"/>
          <w:szCs w:val="16"/>
        </w:rPr>
        <w:t>)</w:t>
      </w:r>
      <w:r w:rsidR="003D5F22" w:rsidRPr="008330E8">
        <w:rPr>
          <w:rFonts w:asciiTheme="minorHAnsi" w:hAnsiTheme="minorHAnsi" w:cstheme="minorHAnsi"/>
          <w:sz w:val="16"/>
          <w:szCs w:val="16"/>
        </w:rPr>
        <w:t>.</w:t>
      </w:r>
    </w:p>
  </w:footnote>
  <w:footnote w:id="7">
    <w:p w14:paraId="151ED7E8" w14:textId="10D40D77" w:rsidR="008629EA" w:rsidRPr="00711D75" w:rsidRDefault="008629EA" w:rsidP="00711D75">
      <w:pPr>
        <w:pStyle w:val="FootnoteText"/>
        <w:spacing w:after="0" w:line="240" w:lineRule="auto"/>
        <w:rPr>
          <w:sz w:val="16"/>
          <w:szCs w:val="16"/>
        </w:rPr>
      </w:pPr>
      <w:r w:rsidRPr="00B477B4">
        <w:rPr>
          <w:rStyle w:val="FootnoteReference"/>
          <w:rFonts w:asciiTheme="minorHAnsi" w:hAnsiTheme="minorHAnsi" w:cstheme="minorHAnsi"/>
        </w:rPr>
        <w:footnoteRef/>
      </w:r>
      <w:r w:rsidRPr="00B477B4">
        <w:rPr>
          <w:rStyle w:val="FootnoteReference"/>
          <w:rFonts w:asciiTheme="minorHAnsi" w:hAnsiTheme="minorHAnsi" w:cstheme="minorHAnsi"/>
        </w:rPr>
        <w:t xml:space="preserve"> </w:t>
      </w:r>
      <w:r w:rsidR="006C146F" w:rsidRPr="00B477B4">
        <w:rPr>
          <w:rFonts w:asciiTheme="minorHAnsi" w:hAnsiTheme="minorHAnsi" w:cstheme="minorHAnsi"/>
        </w:rPr>
        <w:t>‘</w:t>
      </w:r>
      <w:r w:rsidR="006C146F" w:rsidRPr="00B477B4">
        <w:rPr>
          <w:rFonts w:asciiTheme="minorHAnsi" w:hAnsiTheme="minorHAnsi" w:cstheme="minorHAnsi"/>
          <w:sz w:val="16"/>
          <w:szCs w:val="16"/>
        </w:rPr>
        <w:t xml:space="preserve">Total underpayment’ </w:t>
      </w:r>
      <w:r w:rsidRPr="00B477B4">
        <w:rPr>
          <w:rFonts w:asciiTheme="minorHAnsi" w:hAnsiTheme="minorHAnsi" w:cstheme="minorHAnsi"/>
          <w:sz w:val="16"/>
          <w:szCs w:val="16"/>
        </w:rPr>
        <w:t xml:space="preserve">does not take into account that in each year, independent audits also revealed </w:t>
      </w:r>
      <w:r w:rsidR="00DA2FAA">
        <w:rPr>
          <w:rFonts w:asciiTheme="minorHAnsi" w:hAnsiTheme="minorHAnsi" w:cstheme="minorHAnsi"/>
          <w:sz w:val="16"/>
          <w:szCs w:val="16"/>
        </w:rPr>
        <w:t>payments above</w:t>
      </w:r>
      <w:r w:rsidR="0070098D">
        <w:rPr>
          <w:rFonts w:asciiTheme="minorHAnsi" w:hAnsiTheme="minorHAnsi" w:cstheme="minorHAnsi"/>
          <w:sz w:val="16"/>
          <w:szCs w:val="16"/>
        </w:rPr>
        <w:t xml:space="preserve"> award </w:t>
      </w:r>
      <w:r w:rsidR="00DA2FAA">
        <w:rPr>
          <w:rFonts w:asciiTheme="minorHAnsi" w:hAnsiTheme="minorHAnsi" w:cstheme="minorHAnsi"/>
          <w:sz w:val="16"/>
          <w:szCs w:val="16"/>
        </w:rPr>
        <w:t>minimum</w:t>
      </w:r>
      <w:r w:rsidR="00F86862">
        <w:rPr>
          <w:rFonts w:asciiTheme="minorHAnsi" w:hAnsiTheme="minorHAnsi" w:cstheme="minorHAnsi"/>
          <w:sz w:val="16"/>
          <w:szCs w:val="16"/>
        </w:rPr>
        <w:t xml:space="preserve"> entitlements</w:t>
      </w:r>
      <w:r w:rsidRPr="00B477B4">
        <w:rPr>
          <w:rFonts w:asciiTheme="minorHAnsi" w:hAnsiTheme="minorHAnsi" w:cstheme="minorHAnsi"/>
          <w:sz w:val="16"/>
          <w:szCs w:val="16"/>
        </w:rPr>
        <w:t xml:space="preserve">. Audits for 2016, 2017 and 2018 identified that the quantum of </w:t>
      </w:r>
      <w:r w:rsidR="00DA2FAA">
        <w:rPr>
          <w:rFonts w:asciiTheme="minorHAnsi" w:hAnsiTheme="minorHAnsi" w:cstheme="minorHAnsi"/>
          <w:sz w:val="16"/>
          <w:szCs w:val="16"/>
        </w:rPr>
        <w:t xml:space="preserve">above </w:t>
      </w:r>
      <w:r w:rsidR="000A0F67">
        <w:rPr>
          <w:rFonts w:asciiTheme="minorHAnsi" w:hAnsiTheme="minorHAnsi" w:cstheme="minorHAnsi"/>
          <w:sz w:val="16"/>
          <w:szCs w:val="16"/>
        </w:rPr>
        <w:t xml:space="preserve">award </w:t>
      </w:r>
      <w:r w:rsidR="00DA2FAA">
        <w:rPr>
          <w:rFonts w:asciiTheme="minorHAnsi" w:hAnsiTheme="minorHAnsi" w:cstheme="minorHAnsi"/>
          <w:sz w:val="16"/>
          <w:szCs w:val="16"/>
        </w:rPr>
        <w:t>minimum payment</w:t>
      </w:r>
      <w:r w:rsidR="000A0F67">
        <w:rPr>
          <w:rFonts w:asciiTheme="minorHAnsi" w:hAnsiTheme="minorHAnsi" w:cstheme="minorHAnsi"/>
          <w:sz w:val="16"/>
          <w:szCs w:val="16"/>
        </w:rPr>
        <w:t>s</w:t>
      </w:r>
      <w:r w:rsidRPr="00B477B4">
        <w:rPr>
          <w:rFonts w:asciiTheme="minorHAnsi" w:hAnsiTheme="minorHAnsi" w:cstheme="minorHAnsi"/>
          <w:sz w:val="16"/>
          <w:szCs w:val="16"/>
        </w:rPr>
        <w:t xml:space="preserve"> was greater than that of </w:t>
      </w:r>
      <w:r w:rsidR="000A0F67">
        <w:rPr>
          <w:rFonts w:asciiTheme="minorHAnsi" w:hAnsiTheme="minorHAnsi" w:cstheme="minorHAnsi"/>
          <w:sz w:val="16"/>
          <w:szCs w:val="16"/>
        </w:rPr>
        <w:t xml:space="preserve">the </w:t>
      </w:r>
      <w:r w:rsidRPr="00B477B4">
        <w:rPr>
          <w:rFonts w:asciiTheme="minorHAnsi" w:hAnsiTheme="minorHAnsi" w:cstheme="minorHAnsi"/>
          <w:sz w:val="16"/>
          <w:szCs w:val="16"/>
        </w:rPr>
        <w:t>underpayments</w:t>
      </w:r>
      <w:r w:rsidR="000A0F67">
        <w:rPr>
          <w:rFonts w:asciiTheme="minorHAnsi" w:hAnsiTheme="minorHAnsi" w:cstheme="minorHAnsi"/>
          <w:sz w:val="16"/>
          <w:szCs w:val="16"/>
        </w:rPr>
        <w:t xml:space="preserve"> identified</w:t>
      </w:r>
      <w:r w:rsidR="003D5F22">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0EE5" w14:textId="77777777" w:rsidR="009544F8" w:rsidRDefault="00954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E799" w14:textId="3F46C660" w:rsidR="00805EAC" w:rsidRDefault="00805EAC" w:rsidP="00046C1D">
    <w:pPr>
      <w:tabs>
        <w:tab w:val="left" w:pos="7335"/>
      </w:tabs>
      <w:spacing w:before="720" w:after="840"/>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EFE6" w14:textId="77777777" w:rsidR="00805EAC" w:rsidRPr="003952ED" w:rsidRDefault="00805EAC" w:rsidP="00AB27F9">
    <w:pPr>
      <w:rPr>
        <w:u w:val="single"/>
      </w:rPr>
    </w:pPr>
    <w:r w:rsidRPr="003952ED">
      <w:rPr>
        <w:noProof/>
        <w:u w:val="single"/>
        <w:lang w:eastAsia="en-AU"/>
      </w:rPr>
      <w:drawing>
        <wp:anchor distT="0" distB="0" distL="114300" distR="114300" simplePos="0" relativeHeight="251657216" behindDoc="1" locked="0" layoutInCell="1" allowOverlap="1" wp14:anchorId="50C0A96F" wp14:editId="0A30F027">
          <wp:simplePos x="0" y="0"/>
          <wp:positionH relativeFrom="column">
            <wp:posOffset>-833755</wp:posOffset>
          </wp:positionH>
          <wp:positionV relativeFrom="paragraph">
            <wp:posOffset>2042605</wp:posOffset>
          </wp:positionV>
          <wp:extent cx="7592060" cy="8418614"/>
          <wp:effectExtent l="0" t="0" r="8890" b="1905"/>
          <wp:wrapNone/>
          <wp:docPr id="5"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19A1784E"/>
    <w:multiLevelType w:val="hybridMultilevel"/>
    <w:tmpl w:val="1EDAD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D53E88"/>
    <w:multiLevelType w:val="hybridMultilevel"/>
    <w:tmpl w:val="E2266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4" w15:restartNumberingAfterBreak="0">
    <w:nsid w:val="27D13D6C"/>
    <w:multiLevelType w:val="hybridMultilevel"/>
    <w:tmpl w:val="14207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306F1"/>
    <w:multiLevelType w:val="hybridMultilevel"/>
    <w:tmpl w:val="EEF6E888"/>
    <w:lvl w:ilvl="0" w:tplc="3F063F6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54D85"/>
    <w:multiLevelType w:val="hybridMultilevel"/>
    <w:tmpl w:val="6CFED8AA"/>
    <w:lvl w:ilvl="0" w:tplc="2974B152">
      <w:start w:val="1"/>
      <w:numFmt w:val="bullet"/>
      <w:lvlText w:val=""/>
      <w:lvlJc w:val="left"/>
      <w:pPr>
        <w:ind w:left="360" w:hanging="360"/>
      </w:pPr>
      <w:rPr>
        <w:rFonts w:ascii="Wingdings" w:hAnsi="Wingdings" w:hint="default"/>
        <w:color w:val="0194A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9547DBF"/>
    <w:multiLevelType w:val="hybridMultilevel"/>
    <w:tmpl w:val="D7CEA690"/>
    <w:lvl w:ilvl="0" w:tplc="2974B1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50743"/>
    <w:multiLevelType w:val="hybridMultilevel"/>
    <w:tmpl w:val="8C76F9A4"/>
    <w:lvl w:ilvl="0" w:tplc="8DE61D54">
      <w:start w:val="1"/>
      <w:numFmt w:val="bullet"/>
      <w:pStyle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430B8A"/>
    <w:multiLevelType w:val="hybridMultilevel"/>
    <w:tmpl w:val="31420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43BF6"/>
    <w:multiLevelType w:val="hybridMultilevel"/>
    <w:tmpl w:val="F3104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3B2B05"/>
    <w:multiLevelType w:val="hybridMultilevel"/>
    <w:tmpl w:val="A6AA597A"/>
    <w:lvl w:ilvl="0" w:tplc="3F063F6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F12037"/>
    <w:multiLevelType w:val="hybridMultilevel"/>
    <w:tmpl w:val="47D2C87A"/>
    <w:lvl w:ilvl="0" w:tplc="8DE61D54">
      <w:start w:val="1"/>
      <w:numFmt w:val="bullet"/>
      <w:lvlText w:val=""/>
      <w:lvlJc w:val="left"/>
      <w:pPr>
        <w:ind w:left="513" w:hanging="360"/>
      </w:pPr>
      <w:rPr>
        <w:rFonts w:ascii="Wingdings" w:hAnsi="Wingdings" w:hint="default"/>
        <w:color w:val="0194A6"/>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3" w15:restartNumberingAfterBreak="0">
    <w:nsid w:val="63A86F10"/>
    <w:multiLevelType w:val="hybridMultilevel"/>
    <w:tmpl w:val="89E81C18"/>
    <w:lvl w:ilvl="0" w:tplc="C1BA7A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5" w15:restartNumberingAfterBreak="0">
    <w:nsid w:val="68A01297"/>
    <w:multiLevelType w:val="hybridMultilevel"/>
    <w:tmpl w:val="C90EB22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1AA4A92"/>
    <w:multiLevelType w:val="hybridMultilevel"/>
    <w:tmpl w:val="251616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0216F7"/>
    <w:multiLevelType w:val="hybridMultilevel"/>
    <w:tmpl w:val="58B6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DC21D0"/>
    <w:multiLevelType w:val="hybridMultilevel"/>
    <w:tmpl w:val="D47AF9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611106"/>
    <w:multiLevelType w:val="hybridMultilevel"/>
    <w:tmpl w:val="80C8D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3"/>
  </w:num>
  <w:num w:numId="4">
    <w:abstractNumId w:val="14"/>
  </w:num>
  <w:num w:numId="5">
    <w:abstractNumId w:val="16"/>
  </w:num>
  <w:num w:numId="6">
    <w:abstractNumId w:val="8"/>
  </w:num>
  <w:num w:numId="7">
    <w:abstractNumId w:val="10"/>
  </w:num>
  <w:num w:numId="8">
    <w:abstractNumId w:val="4"/>
  </w:num>
  <w:num w:numId="9">
    <w:abstractNumId w:val="9"/>
  </w:num>
  <w:num w:numId="10">
    <w:abstractNumId w:val="12"/>
  </w:num>
  <w:num w:numId="11">
    <w:abstractNumId w:val="20"/>
  </w:num>
  <w:num w:numId="12">
    <w:abstractNumId w:val="2"/>
  </w:num>
  <w:num w:numId="13">
    <w:abstractNumId w:val="2"/>
  </w:num>
  <w:num w:numId="14">
    <w:abstractNumId w:val="13"/>
  </w:num>
  <w:num w:numId="15">
    <w:abstractNumId w:val="21"/>
  </w:num>
  <w:num w:numId="16">
    <w:abstractNumId w:val="4"/>
  </w:num>
  <w:num w:numId="17">
    <w:abstractNumId w:val="10"/>
  </w:num>
  <w:num w:numId="18">
    <w:abstractNumId w:val="1"/>
  </w:num>
  <w:num w:numId="19">
    <w:abstractNumId w:val="19"/>
  </w:num>
  <w:num w:numId="20">
    <w:abstractNumId w:val="11"/>
  </w:num>
  <w:num w:numId="21">
    <w:abstractNumId w:val="15"/>
  </w:num>
  <w:num w:numId="22">
    <w:abstractNumId w:val="6"/>
  </w:num>
  <w:num w:numId="23">
    <w:abstractNumId w:val="5"/>
  </w:num>
  <w:num w:numId="24">
    <w:abstractNumId w:val="7"/>
  </w:num>
  <w:num w:numId="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0C"/>
    <w:rsid w:val="000024E8"/>
    <w:rsid w:val="0000366A"/>
    <w:rsid w:val="00003ECB"/>
    <w:rsid w:val="00003FF8"/>
    <w:rsid w:val="00006D48"/>
    <w:rsid w:val="00020ED9"/>
    <w:rsid w:val="00022C55"/>
    <w:rsid w:val="00023A26"/>
    <w:rsid w:val="00026F82"/>
    <w:rsid w:val="00034205"/>
    <w:rsid w:val="000347E2"/>
    <w:rsid w:val="00035B1A"/>
    <w:rsid w:val="00042BFD"/>
    <w:rsid w:val="00043D63"/>
    <w:rsid w:val="00044A07"/>
    <w:rsid w:val="00046C1D"/>
    <w:rsid w:val="000473EC"/>
    <w:rsid w:val="00052016"/>
    <w:rsid w:val="00057AE4"/>
    <w:rsid w:val="00064562"/>
    <w:rsid w:val="000652ED"/>
    <w:rsid w:val="00067031"/>
    <w:rsid w:val="00070178"/>
    <w:rsid w:val="0007754D"/>
    <w:rsid w:val="00082289"/>
    <w:rsid w:val="00090047"/>
    <w:rsid w:val="00093068"/>
    <w:rsid w:val="0009610A"/>
    <w:rsid w:val="00096A49"/>
    <w:rsid w:val="0009727F"/>
    <w:rsid w:val="000A0F67"/>
    <w:rsid w:val="000A5FE4"/>
    <w:rsid w:val="000A784D"/>
    <w:rsid w:val="000B04DA"/>
    <w:rsid w:val="000B2AF9"/>
    <w:rsid w:val="000B49E1"/>
    <w:rsid w:val="000C1DF4"/>
    <w:rsid w:val="000C359C"/>
    <w:rsid w:val="000C63F1"/>
    <w:rsid w:val="000C6A5F"/>
    <w:rsid w:val="000D29E1"/>
    <w:rsid w:val="000D4DBD"/>
    <w:rsid w:val="000E08E4"/>
    <w:rsid w:val="000E2601"/>
    <w:rsid w:val="000E2F17"/>
    <w:rsid w:val="000E362E"/>
    <w:rsid w:val="000E37AC"/>
    <w:rsid w:val="000F0FBA"/>
    <w:rsid w:val="000F2720"/>
    <w:rsid w:val="000F4B5B"/>
    <w:rsid w:val="001014A0"/>
    <w:rsid w:val="00105CEF"/>
    <w:rsid w:val="00105EBA"/>
    <w:rsid w:val="00106B77"/>
    <w:rsid w:val="00111949"/>
    <w:rsid w:val="00125A38"/>
    <w:rsid w:val="00127C72"/>
    <w:rsid w:val="0013004B"/>
    <w:rsid w:val="00133B21"/>
    <w:rsid w:val="0013580F"/>
    <w:rsid w:val="00137D64"/>
    <w:rsid w:val="00140D81"/>
    <w:rsid w:val="00142043"/>
    <w:rsid w:val="00142B05"/>
    <w:rsid w:val="001506E4"/>
    <w:rsid w:val="001565E0"/>
    <w:rsid w:val="00157403"/>
    <w:rsid w:val="001607FB"/>
    <w:rsid w:val="0016101D"/>
    <w:rsid w:val="0016128A"/>
    <w:rsid w:val="00163192"/>
    <w:rsid w:val="0016465A"/>
    <w:rsid w:val="001676B6"/>
    <w:rsid w:val="0017664D"/>
    <w:rsid w:val="001810B5"/>
    <w:rsid w:val="00181475"/>
    <w:rsid w:val="001850B4"/>
    <w:rsid w:val="00190392"/>
    <w:rsid w:val="0019080C"/>
    <w:rsid w:val="00190F65"/>
    <w:rsid w:val="00194A0D"/>
    <w:rsid w:val="001A336B"/>
    <w:rsid w:val="001A4525"/>
    <w:rsid w:val="001B079A"/>
    <w:rsid w:val="001B2781"/>
    <w:rsid w:val="001B2A68"/>
    <w:rsid w:val="001B5D0C"/>
    <w:rsid w:val="001C3D9D"/>
    <w:rsid w:val="001C65E8"/>
    <w:rsid w:val="001D6D36"/>
    <w:rsid w:val="001D75B0"/>
    <w:rsid w:val="001E47B4"/>
    <w:rsid w:val="001E6A3E"/>
    <w:rsid w:val="001F20C3"/>
    <w:rsid w:val="001F3149"/>
    <w:rsid w:val="001F3169"/>
    <w:rsid w:val="001F7C63"/>
    <w:rsid w:val="00202975"/>
    <w:rsid w:val="00202E5C"/>
    <w:rsid w:val="00205DBE"/>
    <w:rsid w:val="00211807"/>
    <w:rsid w:val="00214011"/>
    <w:rsid w:val="00214416"/>
    <w:rsid w:val="0021752F"/>
    <w:rsid w:val="0022511F"/>
    <w:rsid w:val="002300F7"/>
    <w:rsid w:val="00230497"/>
    <w:rsid w:val="00232EDC"/>
    <w:rsid w:val="00233A4F"/>
    <w:rsid w:val="00244EEE"/>
    <w:rsid w:val="00244F8F"/>
    <w:rsid w:val="002450DA"/>
    <w:rsid w:val="0025035B"/>
    <w:rsid w:val="0025142C"/>
    <w:rsid w:val="00252378"/>
    <w:rsid w:val="00252709"/>
    <w:rsid w:val="002533F0"/>
    <w:rsid w:val="0025534A"/>
    <w:rsid w:val="0025769F"/>
    <w:rsid w:val="002647BA"/>
    <w:rsid w:val="00264DE3"/>
    <w:rsid w:val="00270ACA"/>
    <w:rsid w:val="00271FAC"/>
    <w:rsid w:val="00274039"/>
    <w:rsid w:val="00274AEF"/>
    <w:rsid w:val="0028208F"/>
    <w:rsid w:val="002860B7"/>
    <w:rsid w:val="00292AAB"/>
    <w:rsid w:val="002958C4"/>
    <w:rsid w:val="00297CA7"/>
    <w:rsid w:val="002A194F"/>
    <w:rsid w:val="002A4276"/>
    <w:rsid w:val="002A7A0C"/>
    <w:rsid w:val="002B11A5"/>
    <w:rsid w:val="002B5FAD"/>
    <w:rsid w:val="002B621B"/>
    <w:rsid w:val="002B6D74"/>
    <w:rsid w:val="002C0FE8"/>
    <w:rsid w:val="002C4986"/>
    <w:rsid w:val="002C66F2"/>
    <w:rsid w:val="002C769D"/>
    <w:rsid w:val="002D0A59"/>
    <w:rsid w:val="002D3FF7"/>
    <w:rsid w:val="002D4156"/>
    <w:rsid w:val="002D456F"/>
    <w:rsid w:val="002D4BB7"/>
    <w:rsid w:val="002D60C5"/>
    <w:rsid w:val="002D6FEB"/>
    <w:rsid w:val="002D7B33"/>
    <w:rsid w:val="002E23E2"/>
    <w:rsid w:val="002E6E0C"/>
    <w:rsid w:val="002E740D"/>
    <w:rsid w:val="002F0DF6"/>
    <w:rsid w:val="002F1FB6"/>
    <w:rsid w:val="002F61D0"/>
    <w:rsid w:val="002F7166"/>
    <w:rsid w:val="0030335E"/>
    <w:rsid w:val="00315AB8"/>
    <w:rsid w:val="0032006D"/>
    <w:rsid w:val="003215C7"/>
    <w:rsid w:val="00330F14"/>
    <w:rsid w:val="00332317"/>
    <w:rsid w:val="0033537E"/>
    <w:rsid w:val="0033684C"/>
    <w:rsid w:val="00336862"/>
    <w:rsid w:val="00340E0D"/>
    <w:rsid w:val="003412BC"/>
    <w:rsid w:val="00341A80"/>
    <w:rsid w:val="00341D9A"/>
    <w:rsid w:val="0034403B"/>
    <w:rsid w:val="00345AD1"/>
    <w:rsid w:val="003478D8"/>
    <w:rsid w:val="0035108B"/>
    <w:rsid w:val="00357D51"/>
    <w:rsid w:val="0036130A"/>
    <w:rsid w:val="00371258"/>
    <w:rsid w:val="00371B86"/>
    <w:rsid w:val="003749B1"/>
    <w:rsid w:val="00374EF9"/>
    <w:rsid w:val="00374F8A"/>
    <w:rsid w:val="00377C8E"/>
    <w:rsid w:val="0038439E"/>
    <w:rsid w:val="003861B5"/>
    <w:rsid w:val="003952ED"/>
    <w:rsid w:val="003A354F"/>
    <w:rsid w:val="003B121D"/>
    <w:rsid w:val="003B2808"/>
    <w:rsid w:val="003B35B1"/>
    <w:rsid w:val="003B62FE"/>
    <w:rsid w:val="003C3A6D"/>
    <w:rsid w:val="003C4D56"/>
    <w:rsid w:val="003C6D5B"/>
    <w:rsid w:val="003D0A68"/>
    <w:rsid w:val="003D18E2"/>
    <w:rsid w:val="003D2933"/>
    <w:rsid w:val="003D5F22"/>
    <w:rsid w:val="003E0FDA"/>
    <w:rsid w:val="003E2FB5"/>
    <w:rsid w:val="003E71D4"/>
    <w:rsid w:val="003F13EF"/>
    <w:rsid w:val="003F45A2"/>
    <w:rsid w:val="003F547F"/>
    <w:rsid w:val="003F57AB"/>
    <w:rsid w:val="003F648E"/>
    <w:rsid w:val="00400743"/>
    <w:rsid w:val="0040294F"/>
    <w:rsid w:val="00403015"/>
    <w:rsid w:val="004033BF"/>
    <w:rsid w:val="004044C1"/>
    <w:rsid w:val="004046AC"/>
    <w:rsid w:val="0040543F"/>
    <w:rsid w:val="00405844"/>
    <w:rsid w:val="00410018"/>
    <w:rsid w:val="00415BEA"/>
    <w:rsid w:val="004171B5"/>
    <w:rsid w:val="00423F9F"/>
    <w:rsid w:val="00424FE3"/>
    <w:rsid w:val="00433812"/>
    <w:rsid w:val="00436CD6"/>
    <w:rsid w:val="00442C8F"/>
    <w:rsid w:val="0045097B"/>
    <w:rsid w:val="00451CB0"/>
    <w:rsid w:val="0045285F"/>
    <w:rsid w:val="0045600E"/>
    <w:rsid w:val="004604A3"/>
    <w:rsid w:val="0046171D"/>
    <w:rsid w:val="00463F3A"/>
    <w:rsid w:val="004650C3"/>
    <w:rsid w:val="00467B47"/>
    <w:rsid w:val="00475F07"/>
    <w:rsid w:val="004838B4"/>
    <w:rsid w:val="00484F13"/>
    <w:rsid w:val="004947D1"/>
    <w:rsid w:val="00494BAC"/>
    <w:rsid w:val="00495DA8"/>
    <w:rsid w:val="00497F76"/>
    <w:rsid w:val="004A29A2"/>
    <w:rsid w:val="004A6ECD"/>
    <w:rsid w:val="004B2104"/>
    <w:rsid w:val="004B22F3"/>
    <w:rsid w:val="004C0B58"/>
    <w:rsid w:val="004C33F0"/>
    <w:rsid w:val="004C6B22"/>
    <w:rsid w:val="004C76AA"/>
    <w:rsid w:val="004D111F"/>
    <w:rsid w:val="004D46BD"/>
    <w:rsid w:val="004E22DC"/>
    <w:rsid w:val="004E2431"/>
    <w:rsid w:val="004E3470"/>
    <w:rsid w:val="004E3598"/>
    <w:rsid w:val="004E36F6"/>
    <w:rsid w:val="004E7102"/>
    <w:rsid w:val="004E7C5C"/>
    <w:rsid w:val="004F15FA"/>
    <w:rsid w:val="004F3284"/>
    <w:rsid w:val="004F4518"/>
    <w:rsid w:val="00501D43"/>
    <w:rsid w:val="00502485"/>
    <w:rsid w:val="00503E04"/>
    <w:rsid w:val="005103EE"/>
    <w:rsid w:val="00512B40"/>
    <w:rsid w:val="0051466F"/>
    <w:rsid w:val="0051491A"/>
    <w:rsid w:val="0052368E"/>
    <w:rsid w:val="00523BE0"/>
    <w:rsid w:val="00523F90"/>
    <w:rsid w:val="0052466F"/>
    <w:rsid w:val="00524C21"/>
    <w:rsid w:val="00533528"/>
    <w:rsid w:val="005361F7"/>
    <w:rsid w:val="0054474D"/>
    <w:rsid w:val="00546C2E"/>
    <w:rsid w:val="00551512"/>
    <w:rsid w:val="00554E67"/>
    <w:rsid w:val="00557FB5"/>
    <w:rsid w:val="00580592"/>
    <w:rsid w:val="00582553"/>
    <w:rsid w:val="00587007"/>
    <w:rsid w:val="00587A9D"/>
    <w:rsid w:val="00592A13"/>
    <w:rsid w:val="00593E35"/>
    <w:rsid w:val="00596451"/>
    <w:rsid w:val="005B3334"/>
    <w:rsid w:val="005B3A17"/>
    <w:rsid w:val="005B513C"/>
    <w:rsid w:val="005C1A6C"/>
    <w:rsid w:val="005C390A"/>
    <w:rsid w:val="005C3DEB"/>
    <w:rsid w:val="005C568E"/>
    <w:rsid w:val="005C7F1E"/>
    <w:rsid w:val="005D107E"/>
    <w:rsid w:val="005D18AE"/>
    <w:rsid w:val="005D7F41"/>
    <w:rsid w:val="005E34E4"/>
    <w:rsid w:val="005E3ED5"/>
    <w:rsid w:val="005E5971"/>
    <w:rsid w:val="005F1BDA"/>
    <w:rsid w:val="00602CBE"/>
    <w:rsid w:val="0060649A"/>
    <w:rsid w:val="00607993"/>
    <w:rsid w:val="00611E91"/>
    <w:rsid w:val="00612257"/>
    <w:rsid w:val="00616148"/>
    <w:rsid w:val="00616211"/>
    <w:rsid w:val="00624A88"/>
    <w:rsid w:val="0062705E"/>
    <w:rsid w:val="00631685"/>
    <w:rsid w:val="00635BD6"/>
    <w:rsid w:val="00637381"/>
    <w:rsid w:val="00637D93"/>
    <w:rsid w:val="00644060"/>
    <w:rsid w:val="0064469D"/>
    <w:rsid w:val="006615E0"/>
    <w:rsid w:val="00663F9B"/>
    <w:rsid w:val="00666A7E"/>
    <w:rsid w:val="00666FD1"/>
    <w:rsid w:val="00680B43"/>
    <w:rsid w:val="00680FE7"/>
    <w:rsid w:val="00681844"/>
    <w:rsid w:val="006824E7"/>
    <w:rsid w:val="006836FC"/>
    <w:rsid w:val="006878B3"/>
    <w:rsid w:val="0069564F"/>
    <w:rsid w:val="006A3313"/>
    <w:rsid w:val="006A35DE"/>
    <w:rsid w:val="006A412C"/>
    <w:rsid w:val="006B334B"/>
    <w:rsid w:val="006B7D36"/>
    <w:rsid w:val="006C146F"/>
    <w:rsid w:val="006C21AB"/>
    <w:rsid w:val="006C2BEE"/>
    <w:rsid w:val="006D2432"/>
    <w:rsid w:val="006E0516"/>
    <w:rsid w:val="006E0FC3"/>
    <w:rsid w:val="006E34AE"/>
    <w:rsid w:val="006E4D7E"/>
    <w:rsid w:val="006E614B"/>
    <w:rsid w:val="006E64BA"/>
    <w:rsid w:val="006E7D24"/>
    <w:rsid w:val="006F6A31"/>
    <w:rsid w:val="006F7809"/>
    <w:rsid w:val="0070098D"/>
    <w:rsid w:val="007013DD"/>
    <w:rsid w:val="00707A50"/>
    <w:rsid w:val="00710BE9"/>
    <w:rsid w:val="00711D75"/>
    <w:rsid w:val="00717C75"/>
    <w:rsid w:val="0072129A"/>
    <w:rsid w:val="00722F7E"/>
    <w:rsid w:val="007270D3"/>
    <w:rsid w:val="00736C10"/>
    <w:rsid w:val="00743B2F"/>
    <w:rsid w:val="0075248A"/>
    <w:rsid w:val="00753B22"/>
    <w:rsid w:val="0076637D"/>
    <w:rsid w:val="00774166"/>
    <w:rsid w:val="007801C1"/>
    <w:rsid w:val="007860ED"/>
    <w:rsid w:val="00791818"/>
    <w:rsid w:val="00796A81"/>
    <w:rsid w:val="00797DAE"/>
    <w:rsid w:val="007A2082"/>
    <w:rsid w:val="007A2D49"/>
    <w:rsid w:val="007A6309"/>
    <w:rsid w:val="007B16EE"/>
    <w:rsid w:val="007B6A3A"/>
    <w:rsid w:val="007C1D55"/>
    <w:rsid w:val="007C40F8"/>
    <w:rsid w:val="007D66FA"/>
    <w:rsid w:val="007E0232"/>
    <w:rsid w:val="007E1B5B"/>
    <w:rsid w:val="007E3190"/>
    <w:rsid w:val="007E4C63"/>
    <w:rsid w:val="007E6493"/>
    <w:rsid w:val="007F52E4"/>
    <w:rsid w:val="00805070"/>
    <w:rsid w:val="00805EAC"/>
    <w:rsid w:val="00810936"/>
    <w:rsid w:val="00813552"/>
    <w:rsid w:val="00814C12"/>
    <w:rsid w:val="008205AC"/>
    <w:rsid w:val="008217E4"/>
    <w:rsid w:val="00821A06"/>
    <w:rsid w:val="0082588D"/>
    <w:rsid w:val="0083247C"/>
    <w:rsid w:val="008324C6"/>
    <w:rsid w:val="008330E8"/>
    <w:rsid w:val="008340F6"/>
    <w:rsid w:val="00840399"/>
    <w:rsid w:val="00846DAC"/>
    <w:rsid w:val="00850995"/>
    <w:rsid w:val="00852924"/>
    <w:rsid w:val="00852DC3"/>
    <w:rsid w:val="00856E98"/>
    <w:rsid w:val="00860091"/>
    <w:rsid w:val="008618C1"/>
    <w:rsid w:val="00862922"/>
    <w:rsid w:val="008629EA"/>
    <w:rsid w:val="008658A9"/>
    <w:rsid w:val="008714F9"/>
    <w:rsid w:val="00871BBB"/>
    <w:rsid w:val="00872779"/>
    <w:rsid w:val="00872B82"/>
    <w:rsid w:val="0087654A"/>
    <w:rsid w:val="008770CF"/>
    <w:rsid w:val="00877300"/>
    <w:rsid w:val="008850A2"/>
    <w:rsid w:val="0088737E"/>
    <w:rsid w:val="00892902"/>
    <w:rsid w:val="008934EF"/>
    <w:rsid w:val="008954E6"/>
    <w:rsid w:val="008965EC"/>
    <w:rsid w:val="008967E4"/>
    <w:rsid w:val="00896E09"/>
    <w:rsid w:val="008979FD"/>
    <w:rsid w:val="008A6906"/>
    <w:rsid w:val="008B12EC"/>
    <w:rsid w:val="008B4B17"/>
    <w:rsid w:val="008B64FB"/>
    <w:rsid w:val="008B7934"/>
    <w:rsid w:val="008C436E"/>
    <w:rsid w:val="008C494F"/>
    <w:rsid w:val="008C68B5"/>
    <w:rsid w:val="008D1E4E"/>
    <w:rsid w:val="008D7319"/>
    <w:rsid w:val="008E145B"/>
    <w:rsid w:val="008E46F0"/>
    <w:rsid w:val="008E5CCA"/>
    <w:rsid w:val="008F1EFE"/>
    <w:rsid w:val="008F22E5"/>
    <w:rsid w:val="008F2CC1"/>
    <w:rsid w:val="008F5354"/>
    <w:rsid w:val="008F5E6D"/>
    <w:rsid w:val="008F7917"/>
    <w:rsid w:val="008F7AFC"/>
    <w:rsid w:val="00911CB2"/>
    <w:rsid w:val="00911D94"/>
    <w:rsid w:val="0091246E"/>
    <w:rsid w:val="009137A7"/>
    <w:rsid w:val="00914677"/>
    <w:rsid w:val="00922F66"/>
    <w:rsid w:val="00925B42"/>
    <w:rsid w:val="009344C6"/>
    <w:rsid w:val="0093542C"/>
    <w:rsid w:val="00935C2C"/>
    <w:rsid w:val="00936511"/>
    <w:rsid w:val="009401AC"/>
    <w:rsid w:val="0094382F"/>
    <w:rsid w:val="009451BA"/>
    <w:rsid w:val="009544F8"/>
    <w:rsid w:val="00957875"/>
    <w:rsid w:val="00960B57"/>
    <w:rsid w:val="00961CD0"/>
    <w:rsid w:val="009629F3"/>
    <w:rsid w:val="00966D2C"/>
    <w:rsid w:val="00970574"/>
    <w:rsid w:val="00972C87"/>
    <w:rsid w:val="00973C4D"/>
    <w:rsid w:val="009742D2"/>
    <w:rsid w:val="00976BB0"/>
    <w:rsid w:val="00981FBB"/>
    <w:rsid w:val="0098223C"/>
    <w:rsid w:val="009943AB"/>
    <w:rsid w:val="009A1C7B"/>
    <w:rsid w:val="009B0B6A"/>
    <w:rsid w:val="009C10C3"/>
    <w:rsid w:val="009C114E"/>
    <w:rsid w:val="009C14E2"/>
    <w:rsid w:val="009D2725"/>
    <w:rsid w:val="009D541A"/>
    <w:rsid w:val="009D6534"/>
    <w:rsid w:val="009D7631"/>
    <w:rsid w:val="009D7A9E"/>
    <w:rsid w:val="009E226F"/>
    <w:rsid w:val="009F0C25"/>
    <w:rsid w:val="009F429F"/>
    <w:rsid w:val="00A05146"/>
    <w:rsid w:val="00A05A24"/>
    <w:rsid w:val="00A07A1B"/>
    <w:rsid w:val="00A12742"/>
    <w:rsid w:val="00A145D2"/>
    <w:rsid w:val="00A15574"/>
    <w:rsid w:val="00A3193B"/>
    <w:rsid w:val="00A31EED"/>
    <w:rsid w:val="00A32E18"/>
    <w:rsid w:val="00A40015"/>
    <w:rsid w:val="00A40CA6"/>
    <w:rsid w:val="00A426D1"/>
    <w:rsid w:val="00A4279D"/>
    <w:rsid w:val="00A43DC4"/>
    <w:rsid w:val="00A4510C"/>
    <w:rsid w:val="00A46F23"/>
    <w:rsid w:val="00A50448"/>
    <w:rsid w:val="00A71504"/>
    <w:rsid w:val="00A7186B"/>
    <w:rsid w:val="00A71FA8"/>
    <w:rsid w:val="00A73C8E"/>
    <w:rsid w:val="00A82E86"/>
    <w:rsid w:val="00A9000B"/>
    <w:rsid w:val="00A946A9"/>
    <w:rsid w:val="00A95312"/>
    <w:rsid w:val="00A97713"/>
    <w:rsid w:val="00AA0438"/>
    <w:rsid w:val="00AA0A3E"/>
    <w:rsid w:val="00AB098D"/>
    <w:rsid w:val="00AB24EE"/>
    <w:rsid w:val="00AB27F9"/>
    <w:rsid w:val="00AB658C"/>
    <w:rsid w:val="00AC17ED"/>
    <w:rsid w:val="00AC1EFA"/>
    <w:rsid w:val="00AC229B"/>
    <w:rsid w:val="00AC76C3"/>
    <w:rsid w:val="00AC7EC8"/>
    <w:rsid w:val="00AD0B0A"/>
    <w:rsid w:val="00AD3FD7"/>
    <w:rsid w:val="00AD50BC"/>
    <w:rsid w:val="00AD5F7F"/>
    <w:rsid w:val="00AD7ACB"/>
    <w:rsid w:val="00AE0C8C"/>
    <w:rsid w:val="00AF0936"/>
    <w:rsid w:val="00B0049B"/>
    <w:rsid w:val="00B00BC8"/>
    <w:rsid w:val="00B02D38"/>
    <w:rsid w:val="00B04D98"/>
    <w:rsid w:val="00B0742B"/>
    <w:rsid w:val="00B11DDC"/>
    <w:rsid w:val="00B13C89"/>
    <w:rsid w:val="00B148E4"/>
    <w:rsid w:val="00B149CA"/>
    <w:rsid w:val="00B14AD9"/>
    <w:rsid w:val="00B206C4"/>
    <w:rsid w:val="00B21BE9"/>
    <w:rsid w:val="00B24223"/>
    <w:rsid w:val="00B26E4B"/>
    <w:rsid w:val="00B26E64"/>
    <w:rsid w:val="00B33C57"/>
    <w:rsid w:val="00B424E8"/>
    <w:rsid w:val="00B477B4"/>
    <w:rsid w:val="00B54D37"/>
    <w:rsid w:val="00B67D04"/>
    <w:rsid w:val="00B842F5"/>
    <w:rsid w:val="00B8548C"/>
    <w:rsid w:val="00B8655E"/>
    <w:rsid w:val="00B90991"/>
    <w:rsid w:val="00B9339B"/>
    <w:rsid w:val="00B94A6B"/>
    <w:rsid w:val="00B97961"/>
    <w:rsid w:val="00BA1799"/>
    <w:rsid w:val="00BA1ACC"/>
    <w:rsid w:val="00BA4FF9"/>
    <w:rsid w:val="00BA602C"/>
    <w:rsid w:val="00BB25C4"/>
    <w:rsid w:val="00BB26EF"/>
    <w:rsid w:val="00BB59AA"/>
    <w:rsid w:val="00BC0280"/>
    <w:rsid w:val="00BC5F56"/>
    <w:rsid w:val="00BD0563"/>
    <w:rsid w:val="00BD6B2D"/>
    <w:rsid w:val="00BD7705"/>
    <w:rsid w:val="00BD79E5"/>
    <w:rsid w:val="00BE12A2"/>
    <w:rsid w:val="00BE15EC"/>
    <w:rsid w:val="00BE27CE"/>
    <w:rsid w:val="00BE2E5C"/>
    <w:rsid w:val="00BE3E15"/>
    <w:rsid w:val="00BF0029"/>
    <w:rsid w:val="00BF31E6"/>
    <w:rsid w:val="00BF591E"/>
    <w:rsid w:val="00C00C46"/>
    <w:rsid w:val="00C02BFF"/>
    <w:rsid w:val="00C11D0C"/>
    <w:rsid w:val="00C12211"/>
    <w:rsid w:val="00C14135"/>
    <w:rsid w:val="00C1538D"/>
    <w:rsid w:val="00C216CB"/>
    <w:rsid w:val="00C2298B"/>
    <w:rsid w:val="00C24A7A"/>
    <w:rsid w:val="00C27A4D"/>
    <w:rsid w:val="00C36E87"/>
    <w:rsid w:val="00C423F4"/>
    <w:rsid w:val="00C46495"/>
    <w:rsid w:val="00C46A9A"/>
    <w:rsid w:val="00C4743D"/>
    <w:rsid w:val="00C51199"/>
    <w:rsid w:val="00C538CC"/>
    <w:rsid w:val="00C56962"/>
    <w:rsid w:val="00C56DA7"/>
    <w:rsid w:val="00C60682"/>
    <w:rsid w:val="00C62ACD"/>
    <w:rsid w:val="00C6446B"/>
    <w:rsid w:val="00C72D97"/>
    <w:rsid w:val="00C81AF7"/>
    <w:rsid w:val="00C826E2"/>
    <w:rsid w:val="00C9231F"/>
    <w:rsid w:val="00C940B9"/>
    <w:rsid w:val="00CA79DC"/>
    <w:rsid w:val="00CB1762"/>
    <w:rsid w:val="00CB4B8B"/>
    <w:rsid w:val="00CC3FFC"/>
    <w:rsid w:val="00CC7FFE"/>
    <w:rsid w:val="00CD3F6A"/>
    <w:rsid w:val="00CD404B"/>
    <w:rsid w:val="00CD47B3"/>
    <w:rsid w:val="00CD4B0C"/>
    <w:rsid w:val="00CD6F15"/>
    <w:rsid w:val="00CE3D01"/>
    <w:rsid w:val="00CE60A1"/>
    <w:rsid w:val="00CE63BE"/>
    <w:rsid w:val="00CF12F7"/>
    <w:rsid w:val="00CF3193"/>
    <w:rsid w:val="00CF3B06"/>
    <w:rsid w:val="00D042CF"/>
    <w:rsid w:val="00D048A5"/>
    <w:rsid w:val="00D13A87"/>
    <w:rsid w:val="00D20DB2"/>
    <w:rsid w:val="00D27F43"/>
    <w:rsid w:val="00D31582"/>
    <w:rsid w:val="00D31B7C"/>
    <w:rsid w:val="00D32399"/>
    <w:rsid w:val="00D3277B"/>
    <w:rsid w:val="00D35584"/>
    <w:rsid w:val="00D363DC"/>
    <w:rsid w:val="00D400C6"/>
    <w:rsid w:val="00D44528"/>
    <w:rsid w:val="00D5758B"/>
    <w:rsid w:val="00D6528F"/>
    <w:rsid w:val="00D65EB6"/>
    <w:rsid w:val="00D71B08"/>
    <w:rsid w:val="00D72D1A"/>
    <w:rsid w:val="00D7342F"/>
    <w:rsid w:val="00D74BC2"/>
    <w:rsid w:val="00D7578E"/>
    <w:rsid w:val="00D77BA3"/>
    <w:rsid w:val="00D8198B"/>
    <w:rsid w:val="00D94BA4"/>
    <w:rsid w:val="00D964E9"/>
    <w:rsid w:val="00DA0189"/>
    <w:rsid w:val="00DA096D"/>
    <w:rsid w:val="00DA2FAA"/>
    <w:rsid w:val="00DA55CA"/>
    <w:rsid w:val="00DA57D3"/>
    <w:rsid w:val="00DA7E1A"/>
    <w:rsid w:val="00DB2A3D"/>
    <w:rsid w:val="00DB3D8D"/>
    <w:rsid w:val="00DB5915"/>
    <w:rsid w:val="00DB5BF1"/>
    <w:rsid w:val="00DC0961"/>
    <w:rsid w:val="00DC1F8D"/>
    <w:rsid w:val="00DC5A09"/>
    <w:rsid w:val="00DC6E83"/>
    <w:rsid w:val="00DC7AC2"/>
    <w:rsid w:val="00DD4BE1"/>
    <w:rsid w:val="00DE031C"/>
    <w:rsid w:val="00DE3AAA"/>
    <w:rsid w:val="00DE7433"/>
    <w:rsid w:val="00DE763D"/>
    <w:rsid w:val="00DE7C28"/>
    <w:rsid w:val="00DF4831"/>
    <w:rsid w:val="00DF6D17"/>
    <w:rsid w:val="00E011DD"/>
    <w:rsid w:val="00E01559"/>
    <w:rsid w:val="00E07409"/>
    <w:rsid w:val="00E10583"/>
    <w:rsid w:val="00E151A0"/>
    <w:rsid w:val="00E171F1"/>
    <w:rsid w:val="00E22203"/>
    <w:rsid w:val="00E2399E"/>
    <w:rsid w:val="00E32352"/>
    <w:rsid w:val="00E400E7"/>
    <w:rsid w:val="00E402C2"/>
    <w:rsid w:val="00E403BA"/>
    <w:rsid w:val="00E41F7B"/>
    <w:rsid w:val="00E4253C"/>
    <w:rsid w:val="00E42956"/>
    <w:rsid w:val="00E46CCA"/>
    <w:rsid w:val="00E47350"/>
    <w:rsid w:val="00E5033E"/>
    <w:rsid w:val="00E50BD9"/>
    <w:rsid w:val="00E56AEA"/>
    <w:rsid w:val="00E601F8"/>
    <w:rsid w:val="00E6251A"/>
    <w:rsid w:val="00E64EE0"/>
    <w:rsid w:val="00E65E59"/>
    <w:rsid w:val="00E73829"/>
    <w:rsid w:val="00E8678A"/>
    <w:rsid w:val="00E93A31"/>
    <w:rsid w:val="00E944DC"/>
    <w:rsid w:val="00E964C4"/>
    <w:rsid w:val="00E974A6"/>
    <w:rsid w:val="00E97931"/>
    <w:rsid w:val="00EA2883"/>
    <w:rsid w:val="00EA5329"/>
    <w:rsid w:val="00EA6181"/>
    <w:rsid w:val="00EB1522"/>
    <w:rsid w:val="00EB26B9"/>
    <w:rsid w:val="00EB2C3E"/>
    <w:rsid w:val="00EB4A64"/>
    <w:rsid w:val="00EC2015"/>
    <w:rsid w:val="00EC55E6"/>
    <w:rsid w:val="00ED0D64"/>
    <w:rsid w:val="00ED295F"/>
    <w:rsid w:val="00ED4AEB"/>
    <w:rsid w:val="00ED5F67"/>
    <w:rsid w:val="00ED60EC"/>
    <w:rsid w:val="00EE2EF8"/>
    <w:rsid w:val="00EE3963"/>
    <w:rsid w:val="00EE3A19"/>
    <w:rsid w:val="00EE573C"/>
    <w:rsid w:val="00EF08F8"/>
    <w:rsid w:val="00EF394B"/>
    <w:rsid w:val="00EF4E46"/>
    <w:rsid w:val="00EF6D72"/>
    <w:rsid w:val="00F01E42"/>
    <w:rsid w:val="00F03D79"/>
    <w:rsid w:val="00F105AC"/>
    <w:rsid w:val="00F161F3"/>
    <w:rsid w:val="00F20E69"/>
    <w:rsid w:val="00F22392"/>
    <w:rsid w:val="00F23488"/>
    <w:rsid w:val="00F2588C"/>
    <w:rsid w:val="00F26590"/>
    <w:rsid w:val="00F31E30"/>
    <w:rsid w:val="00F3256A"/>
    <w:rsid w:val="00F33853"/>
    <w:rsid w:val="00F35D7D"/>
    <w:rsid w:val="00F42E58"/>
    <w:rsid w:val="00F457E4"/>
    <w:rsid w:val="00F51A80"/>
    <w:rsid w:val="00F53FDF"/>
    <w:rsid w:val="00F54A14"/>
    <w:rsid w:val="00F55653"/>
    <w:rsid w:val="00F557CB"/>
    <w:rsid w:val="00F573B5"/>
    <w:rsid w:val="00F66106"/>
    <w:rsid w:val="00F73924"/>
    <w:rsid w:val="00F761F5"/>
    <w:rsid w:val="00F77208"/>
    <w:rsid w:val="00F77D9C"/>
    <w:rsid w:val="00F8218D"/>
    <w:rsid w:val="00F8479D"/>
    <w:rsid w:val="00F86862"/>
    <w:rsid w:val="00F90F88"/>
    <w:rsid w:val="00F94F7D"/>
    <w:rsid w:val="00FA03AD"/>
    <w:rsid w:val="00FA1039"/>
    <w:rsid w:val="00FA137B"/>
    <w:rsid w:val="00FA372D"/>
    <w:rsid w:val="00FA37A8"/>
    <w:rsid w:val="00FA64BA"/>
    <w:rsid w:val="00FB1516"/>
    <w:rsid w:val="00FB1554"/>
    <w:rsid w:val="00FB48B9"/>
    <w:rsid w:val="00FB6593"/>
    <w:rsid w:val="00FC11E0"/>
    <w:rsid w:val="00FC2B2A"/>
    <w:rsid w:val="00FC7393"/>
    <w:rsid w:val="00FD21CA"/>
    <w:rsid w:val="00FD6531"/>
    <w:rsid w:val="00FE2A0E"/>
    <w:rsid w:val="00FE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0CC92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3F547F"/>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805EAC"/>
    <w:pPr>
      <w:keepNext/>
      <w:keepLines/>
      <w:tabs>
        <w:tab w:val="left" w:pos="8565"/>
      </w:tabs>
      <w:spacing w:before="240" w:after="60"/>
      <w:outlineLvl w:val="0"/>
    </w:pPr>
    <w:rPr>
      <w:color w:val="0194A6"/>
      <w:sz w:val="44"/>
    </w:rPr>
  </w:style>
  <w:style w:type="paragraph" w:styleId="Heading2">
    <w:name w:val="heading 2"/>
    <w:basedOn w:val="Heading1"/>
    <w:next w:val="Normal"/>
    <w:link w:val="Heading2Char"/>
    <w:autoRedefine/>
    <w:uiPriority w:val="9"/>
    <w:qFormat/>
    <w:rsid w:val="00B477B4"/>
    <w:pPr>
      <w:numPr>
        <w:ilvl w:val="1"/>
      </w:numPr>
      <w:spacing w:before="180"/>
      <w:outlineLvl w:val="1"/>
    </w:pPr>
    <w:rPr>
      <w:color w:val="17365D" w:themeColor="text2" w:themeShade="BF"/>
      <w:sz w:val="32"/>
    </w:rPr>
  </w:style>
  <w:style w:type="paragraph" w:styleId="Heading3">
    <w:name w:val="heading 3"/>
    <w:basedOn w:val="Heading2"/>
    <w:next w:val="Normal"/>
    <w:link w:val="Heading3Char"/>
    <w:autoRedefine/>
    <w:uiPriority w:val="9"/>
    <w:qFormat/>
    <w:rsid w:val="00976BB0"/>
    <w:pPr>
      <w:numPr>
        <w:ilvl w:val="2"/>
      </w:numPr>
      <w:spacing w:before="120" w:after="0"/>
      <w:outlineLvl w:val="2"/>
    </w:pPr>
    <w:rPr>
      <w:color w:val="4BACC6" w:themeColor="accent5"/>
      <w:sz w:val="28"/>
      <w:szCs w:val="28"/>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5EAC"/>
    <w:rPr>
      <w:rFonts w:ascii="Helvetica" w:hAnsi="Helvetica" w:cs="Arial"/>
      <w:color w:val="0194A6"/>
      <w:sz w:val="44"/>
      <w:szCs w:val="24"/>
      <w:lang w:eastAsia="en-US"/>
    </w:rPr>
  </w:style>
  <w:style w:type="character" w:customStyle="1" w:styleId="Heading2Char">
    <w:name w:val="Heading 2 Char"/>
    <w:basedOn w:val="DefaultParagraphFont"/>
    <w:link w:val="Heading2"/>
    <w:uiPriority w:val="9"/>
    <w:locked/>
    <w:rsid w:val="00B477B4"/>
    <w:rPr>
      <w:rFonts w:ascii="Helvetica" w:hAnsi="Helvetica" w:cs="Arial"/>
      <w:color w:val="17365D" w:themeColor="text2" w:themeShade="BF"/>
      <w:sz w:val="32"/>
      <w:szCs w:val="24"/>
      <w:lang w:eastAsia="en-US"/>
    </w:rPr>
  </w:style>
  <w:style w:type="character" w:customStyle="1" w:styleId="Heading3Char">
    <w:name w:val="Heading 3 Char"/>
    <w:basedOn w:val="DefaultParagraphFont"/>
    <w:link w:val="Heading3"/>
    <w:uiPriority w:val="9"/>
    <w:locked/>
    <w:rsid w:val="00976BB0"/>
    <w:rPr>
      <w:rFonts w:ascii="Helvetica" w:hAnsi="Helvetica" w:cs="Arial"/>
      <w:color w:val="4BACC6" w:themeColor="accent5"/>
      <w:sz w:val="28"/>
      <w:szCs w:val="28"/>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4E22DC"/>
    <w:rPr>
      <w:rFonts w:ascii="Arial" w:hAnsi="Arial" w:cs="Times New Roman"/>
      <w:i/>
      <w:noProof/>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aliases w:val="Brief List Paragraph 1,List Paragraph1,List Paragraph11,Recommendation"/>
    <w:basedOn w:val="Normal"/>
    <w:link w:val="ListParagraphChar"/>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jc w:val="left"/>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297CA7"/>
    <w:pPr>
      <w:spacing w:before="4440" w:after="240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F22392"/>
    <w:pPr>
      <w:spacing w:before="113" w:after="57" w:line="400" w:lineRule="exact"/>
    </w:pPr>
    <w:rPr>
      <w:sz w:val="56"/>
      <w:szCs w:val="56"/>
    </w:rPr>
  </w:style>
  <w:style w:type="paragraph" w:customStyle="1" w:styleId="Bullet">
    <w:name w:val="Bullet"/>
    <w:basedOn w:val="Normal"/>
    <w:autoRedefine/>
    <w:qFormat/>
    <w:rsid w:val="00CF3B06"/>
    <w:pPr>
      <w:numPr>
        <w:numId w:val="6"/>
      </w:numPr>
      <w:spacing w:after="28" w:line="320" w:lineRule="exact"/>
      <w:jc w:val="lef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character" w:customStyle="1" w:styleId="ListParagraphChar">
    <w:name w:val="List Paragraph Char"/>
    <w:aliases w:val="Brief List Paragraph 1 Char,List Paragraph1 Char,List Paragraph11 Char,Recommendation Char"/>
    <w:basedOn w:val="DefaultParagraphFont"/>
    <w:link w:val="ListParagraph"/>
    <w:uiPriority w:val="34"/>
    <w:rsid w:val="00C4743D"/>
    <w:rPr>
      <w:rFonts w:ascii="Helvetica" w:hAnsi="Helvetica" w:cs="Arial"/>
      <w:sz w:val="22"/>
      <w:szCs w:val="24"/>
      <w:lang w:eastAsia="en-US"/>
    </w:rPr>
  </w:style>
  <w:style w:type="character" w:styleId="FollowedHyperlink">
    <w:name w:val="FollowedHyperlink"/>
    <w:basedOn w:val="DefaultParagraphFont"/>
    <w:rsid w:val="00F90F88"/>
    <w:rPr>
      <w:color w:val="800080" w:themeColor="followedHyperlink"/>
      <w:u w:val="single"/>
    </w:rPr>
  </w:style>
  <w:style w:type="paragraph" w:styleId="Revision">
    <w:name w:val="Revision"/>
    <w:hidden/>
    <w:uiPriority w:val="99"/>
    <w:semiHidden/>
    <w:rsid w:val="00F03D79"/>
    <w:rPr>
      <w:rFonts w:ascii="Helvetica" w:hAnsi="Helvetica"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6948">
      <w:bodyDiv w:val="1"/>
      <w:marLeft w:val="0"/>
      <w:marRight w:val="0"/>
      <w:marTop w:val="0"/>
      <w:marBottom w:val="0"/>
      <w:divBdr>
        <w:top w:val="none" w:sz="0" w:space="0" w:color="auto"/>
        <w:left w:val="none" w:sz="0" w:space="0" w:color="auto"/>
        <w:bottom w:val="none" w:sz="0" w:space="0" w:color="auto"/>
        <w:right w:val="none" w:sz="0" w:space="0" w:color="auto"/>
      </w:divBdr>
    </w:div>
    <w:div w:id="228464750">
      <w:bodyDiv w:val="1"/>
      <w:marLeft w:val="0"/>
      <w:marRight w:val="0"/>
      <w:marTop w:val="0"/>
      <w:marBottom w:val="0"/>
      <w:divBdr>
        <w:top w:val="none" w:sz="0" w:space="0" w:color="auto"/>
        <w:left w:val="none" w:sz="0" w:space="0" w:color="auto"/>
        <w:bottom w:val="none" w:sz="0" w:space="0" w:color="auto"/>
        <w:right w:val="none" w:sz="0" w:space="0" w:color="auto"/>
      </w:divBdr>
    </w:div>
    <w:div w:id="297609214">
      <w:bodyDiv w:val="1"/>
      <w:marLeft w:val="0"/>
      <w:marRight w:val="0"/>
      <w:marTop w:val="0"/>
      <w:marBottom w:val="0"/>
      <w:divBdr>
        <w:top w:val="none" w:sz="0" w:space="0" w:color="auto"/>
        <w:left w:val="none" w:sz="0" w:space="0" w:color="auto"/>
        <w:bottom w:val="none" w:sz="0" w:space="0" w:color="auto"/>
        <w:right w:val="none" w:sz="0" w:space="0" w:color="auto"/>
      </w:divBdr>
    </w:div>
    <w:div w:id="510333826">
      <w:bodyDiv w:val="1"/>
      <w:marLeft w:val="0"/>
      <w:marRight w:val="0"/>
      <w:marTop w:val="0"/>
      <w:marBottom w:val="0"/>
      <w:divBdr>
        <w:top w:val="none" w:sz="0" w:space="0" w:color="auto"/>
        <w:left w:val="none" w:sz="0" w:space="0" w:color="auto"/>
        <w:bottom w:val="none" w:sz="0" w:space="0" w:color="auto"/>
        <w:right w:val="none" w:sz="0" w:space="0" w:color="auto"/>
      </w:divBdr>
    </w:div>
    <w:div w:id="815336621">
      <w:bodyDiv w:val="1"/>
      <w:marLeft w:val="0"/>
      <w:marRight w:val="0"/>
      <w:marTop w:val="0"/>
      <w:marBottom w:val="0"/>
      <w:divBdr>
        <w:top w:val="none" w:sz="0" w:space="0" w:color="auto"/>
        <w:left w:val="none" w:sz="0" w:space="0" w:color="auto"/>
        <w:bottom w:val="none" w:sz="0" w:space="0" w:color="auto"/>
        <w:right w:val="none" w:sz="0" w:space="0" w:color="auto"/>
      </w:divBdr>
    </w:div>
    <w:div w:id="1320881937">
      <w:bodyDiv w:val="1"/>
      <w:marLeft w:val="0"/>
      <w:marRight w:val="0"/>
      <w:marTop w:val="0"/>
      <w:marBottom w:val="0"/>
      <w:divBdr>
        <w:top w:val="none" w:sz="0" w:space="0" w:color="auto"/>
        <w:left w:val="none" w:sz="0" w:space="0" w:color="auto"/>
        <w:bottom w:val="none" w:sz="0" w:space="0" w:color="auto"/>
        <w:right w:val="none" w:sz="0" w:space="0" w:color="auto"/>
      </w:divBdr>
    </w:div>
    <w:div w:id="1322662104">
      <w:bodyDiv w:val="1"/>
      <w:marLeft w:val="0"/>
      <w:marRight w:val="0"/>
      <w:marTop w:val="0"/>
      <w:marBottom w:val="0"/>
      <w:divBdr>
        <w:top w:val="none" w:sz="0" w:space="0" w:color="auto"/>
        <w:left w:val="none" w:sz="0" w:space="0" w:color="auto"/>
        <w:bottom w:val="none" w:sz="0" w:space="0" w:color="auto"/>
        <w:right w:val="none" w:sz="0" w:space="0" w:color="auto"/>
      </w:divBdr>
    </w:div>
    <w:div w:id="1438597786">
      <w:bodyDiv w:val="1"/>
      <w:marLeft w:val="0"/>
      <w:marRight w:val="0"/>
      <w:marTop w:val="0"/>
      <w:marBottom w:val="0"/>
      <w:divBdr>
        <w:top w:val="none" w:sz="0" w:space="0" w:color="auto"/>
        <w:left w:val="none" w:sz="0" w:space="0" w:color="auto"/>
        <w:bottom w:val="none" w:sz="0" w:space="0" w:color="auto"/>
        <w:right w:val="none" w:sz="0" w:space="0" w:color="auto"/>
      </w:divBdr>
    </w:div>
    <w:div w:id="15886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n.ronson@fwo.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SW0748/AppData/Local/Microsoft/Windows/Temporary%20Internet%20Files/Content.Outlook/RSB4E09Q/media@fwo.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irwork.gov.au/about-us/news-and-media-releases/2014-media-releases/august-2014/20140829-trolley-collecto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F2991CF8-CC49-4FC3-A0F0-EADF1DD4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CC4ACCE1.dotm</Template>
  <TotalTime>0</TotalTime>
  <Pages>8</Pages>
  <Words>1599</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Coles Enforceable Undertaking Final Report</vt:lpstr>
    </vt:vector>
  </TitlesOfParts>
  <Manager/>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Coles Enforceable Undertaking Final Report</dc:title>
  <dc:subject>Coles Enforceable Undertaking Final Report</dc:subject>
  <dc:creator/>
  <cp:keywords>Coles, supermarkets, trolley, EU, enforceable undertaking</cp:keywords>
  <dc:description/>
  <cp:lastModifiedBy/>
  <cp:revision>1</cp:revision>
  <dcterms:created xsi:type="dcterms:W3CDTF">2019-01-08T05:34:00Z</dcterms:created>
  <dcterms:modified xsi:type="dcterms:W3CDTF">2019-01-08T05:42:00Z</dcterms:modified>
</cp:coreProperties>
</file>