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EBA1" w14:textId="77777777" w:rsidR="00D22BA0" w:rsidRPr="007E6A2A" w:rsidRDefault="00D22BA0" w:rsidP="00590D6C">
      <w:pPr>
        <w:pStyle w:val="CoverReportSubTitle"/>
      </w:pPr>
    </w:p>
    <w:p w14:paraId="1FA327DB" w14:textId="77777777" w:rsidR="008D7A2A" w:rsidRDefault="008D7A2A" w:rsidP="004A3CBF">
      <w:pPr>
        <w:pStyle w:val="CoverReportTitle"/>
        <w:framePr w:w="0" w:wrap="auto" w:vAnchor="margin" w:xAlign="left" w:yAlign="inline"/>
        <w:rPr>
          <w:rFonts w:cs="Arial"/>
        </w:rPr>
      </w:pPr>
    </w:p>
    <w:p w14:paraId="3C566D2F" w14:textId="1239E511" w:rsidR="005A5409" w:rsidRPr="004E19C6" w:rsidRDefault="004A3CBF" w:rsidP="004A3CBF">
      <w:pPr>
        <w:pStyle w:val="CoverReportTitle"/>
        <w:framePr w:w="0" w:wrap="auto" w:vAnchor="margin" w:xAlign="left" w:yAlign="inline"/>
        <w:rPr>
          <w:rFonts w:cs="Arial"/>
        </w:rPr>
      </w:pPr>
      <w:bookmarkStart w:id="0" w:name="_GoBack"/>
      <w:r w:rsidRPr="004E19C6">
        <w:rPr>
          <w:rFonts w:cs="Arial"/>
        </w:rPr>
        <w:t>U</w:t>
      </w:r>
      <w:r w:rsidR="00721F74">
        <w:rPr>
          <w:rFonts w:cs="Arial"/>
        </w:rPr>
        <w:t xml:space="preserve">nited </w:t>
      </w:r>
      <w:r w:rsidRPr="004E19C6">
        <w:rPr>
          <w:rFonts w:cs="Arial"/>
        </w:rPr>
        <w:t>T</w:t>
      </w:r>
      <w:r w:rsidR="00721F74">
        <w:rPr>
          <w:rFonts w:cs="Arial"/>
        </w:rPr>
        <w:t xml:space="preserve">rolley </w:t>
      </w:r>
      <w:r w:rsidRPr="004E19C6">
        <w:rPr>
          <w:rFonts w:cs="Arial"/>
        </w:rPr>
        <w:t>C</w:t>
      </w:r>
      <w:r w:rsidR="00721F74">
        <w:rPr>
          <w:rFonts w:cs="Arial"/>
        </w:rPr>
        <w:t xml:space="preserve">ollections </w:t>
      </w:r>
      <w:r w:rsidR="008D7A2A">
        <w:rPr>
          <w:rFonts w:cs="Arial"/>
        </w:rPr>
        <w:t>(UTC) c</w:t>
      </w:r>
      <w:r w:rsidRPr="004E19C6">
        <w:rPr>
          <w:rFonts w:cs="Arial"/>
        </w:rPr>
        <w:t xml:space="preserve">ompliance </w:t>
      </w:r>
      <w:r w:rsidR="008D7A2A">
        <w:rPr>
          <w:rFonts w:cs="Arial"/>
        </w:rPr>
        <w:t>p</w:t>
      </w:r>
      <w:r w:rsidR="002527C7">
        <w:rPr>
          <w:rFonts w:cs="Arial"/>
        </w:rPr>
        <w:t>artnership</w:t>
      </w:r>
      <w:r w:rsidR="002527C7" w:rsidRPr="004E19C6">
        <w:rPr>
          <w:rFonts w:cs="Arial"/>
        </w:rPr>
        <w:t xml:space="preserve"> </w:t>
      </w:r>
    </w:p>
    <w:p w14:paraId="5AA77AEA" w14:textId="77777777" w:rsidR="00796FFC" w:rsidRPr="004E19C6" w:rsidRDefault="00796FFC" w:rsidP="005A5409"/>
    <w:p w14:paraId="662350DA" w14:textId="77777777" w:rsidR="00796FFC" w:rsidRPr="004E19C6" w:rsidRDefault="00796FFC" w:rsidP="005A5409"/>
    <w:p w14:paraId="73E19FF9" w14:textId="77777777" w:rsidR="00796FFC" w:rsidRPr="004E19C6" w:rsidRDefault="00796FFC" w:rsidP="005A5409"/>
    <w:p w14:paraId="39E0331E" w14:textId="77777777" w:rsidR="008D7A2A" w:rsidRDefault="008D7A2A" w:rsidP="008D7A2A">
      <w:pPr>
        <w:pStyle w:val="CoverReportSubTitle"/>
      </w:pPr>
      <w:r>
        <w:t>Final report</w:t>
      </w:r>
    </w:p>
    <w:bookmarkEnd w:id="0"/>
    <w:p w14:paraId="11775C8D" w14:textId="77777777" w:rsidR="009C5571" w:rsidRPr="004E19C6" w:rsidRDefault="009C5571" w:rsidP="005A5409"/>
    <w:p w14:paraId="2B2636CF" w14:textId="6B747923" w:rsidR="005A5409" w:rsidRPr="004E19C6" w:rsidRDefault="00721F74" w:rsidP="005A5409">
      <w:r>
        <w:t>November</w:t>
      </w:r>
      <w:r w:rsidR="00335B22" w:rsidRPr="004E19C6">
        <w:t xml:space="preserve"> </w:t>
      </w:r>
      <w:r w:rsidR="00982B23" w:rsidRPr="004E19C6">
        <w:t>2018</w:t>
      </w:r>
    </w:p>
    <w:p w14:paraId="741175C4" w14:textId="77777777" w:rsidR="001F20C3" w:rsidRPr="00C9311D" w:rsidRDefault="005A5409" w:rsidP="005A5409">
      <w:pPr>
        <w:rPr>
          <w:rFonts w:cstheme="minorHAnsi"/>
        </w:rPr>
      </w:pPr>
      <w:r w:rsidRPr="004E19C6">
        <w:t>©</w:t>
      </w:r>
      <w:r w:rsidR="00982B23" w:rsidRPr="004E19C6">
        <w:t xml:space="preserve"> Commonwealth of Australia, 2018</w:t>
      </w:r>
      <w:r w:rsidR="001F20C3" w:rsidRPr="00C9311D">
        <w:rPr>
          <w:rFonts w:cstheme="minorHAnsi"/>
        </w:rPr>
        <w:br w:type="page"/>
      </w:r>
    </w:p>
    <w:p w14:paraId="6BC3E415" w14:textId="2CA7FB3E" w:rsidR="005D7114" w:rsidRPr="00E93623" w:rsidRDefault="00676948">
      <w:pPr>
        <w:pStyle w:val="Heading1"/>
      </w:pPr>
      <w:bookmarkStart w:id="1" w:name="_Toc524505461"/>
      <w:bookmarkStart w:id="2" w:name="_Toc524624144"/>
      <w:bookmarkStart w:id="3" w:name="_Toc526864956"/>
      <w:bookmarkStart w:id="4" w:name="_Toc526865202"/>
      <w:bookmarkStart w:id="5" w:name="_Toc526865283"/>
      <w:bookmarkStart w:id="6" w:name="_Toc526865371"/>
      <w:bookmarkStart w:id="7" w:name="_Toc527720477"/>
      <w:bookmarkStart w:id="8" w:name="_Toc527720478"/>
      <w:bookmarkEnd w:id="1"/>
      <w:bookmarkEnd w:id="2"/>
      <w:bookmarkEnd w:id="3"/>
      <w:bookmarkEnd w:id="4"/>
      <w:bookmarkEnd w:id="5"/>
      <w:bookmarkEnd w:id="6"/>
      <w:bookmarkEnd w:id="7"/>
      <w:r>
        <w:lastRenderedPageBreak/>
        <w:t>Summary</w:t>
      </w:r>
      <w:bookmarkEnd w:id="8"/>
    </w:p>
    <w:p w14:paraId="06D94C25" w14:textId="5DBBD1B8" w:rsidR="00AC7347" w:rsidRDefault="00E93623" w:rsidP="00382AE3">
      <w:pPr>
        <w:rPr>
          <w:szCs w:val="22"/>
        </w:rPr>
      </w:pPr>
      <w:r w:rsidRPr="0022190E">
        <w:rPr>
          <w:szCs w:val="22"/>
        </w:rPr>
        <w:t>U</w:t>
      </w:r>
      <w:r>
        <w:rPr>
          <w:szCs w:val="22"/>
        </w:rPr>
        <w:t>nited Trolley Collections Pty Ltd (UTC)</w:t>
      </w:r>
      <w:r w:rsidR="00721F74">
        <w:rPr>
          <w:szCs w:val="22"/>
        </w:rPr>
        <w:t xml:space="preserve"> [</w:t>
      </w:r>
      <w:r w:rsidR="00721F74" w:rsidRPr="0048357C">
        <w:rPr>
          <w:szCs w:val="22"/>
        </w:rPr>
        <w:t xml:space="preserve">ACN </w:t>
      </w:r>
      <w:r w:rsidR="0048357C">
        <w:rPr>
          <w:szCs w:val="22"/>
        </w:rPr>
        <w:t>115 452 946</w:t>
      </w:r>
      <w:r w:rsidR="00721F74">
        <w:rPr>
          <w:szCs w:val="22"/>
        </w:rPr>
        <w:t>]</w:t>
      </w:r>
      <w:r>
        <w:rPr>
          <w:szCs w:val="22"/>
        </w:rPr>
        <w:t xml:space="preserve"> is </w:t>
      </w:r>
      <w:r w:rsidRPr="0022190E">
        <w:rPr>
          <w:szCs w:val="22"/>
        </w:rPr>
        <w:t>the largest trolley collection comp</w:t>
      </w:r>
      <w:r>
        <w:rPr>
          <w:szCs w:val="22"/>
        </w:rPr>
        <w:t>any in Australia.</w:t>
      </w:r>
      <w:r w:rsidRPr="0022190E">
        <w:rPr>
          <w:szCs w:val="22"/>
        </w:rPr>
        <w:t xml:space="preserve"> </w:t>
      </w:r>
    </w:p>
    <w:p w14:paraId="5511F3E9" w14:textId="2AE3F922" w:rsidR="00E93623" w:rsidRDefault="00E93623" w:rsidP="00382AE3">
      <w:pPr>
        <w:rPr>
          <w:szCs w:val="22"/>
        </w:rPr>
      </w:pPr>
      <w:r>
        <w:rPr>
          <w:szCs w:val="22"/>
        </w:rPr>
        <w:t>Established</w:t>
      </w:r>
      <w:r w:rsidRPr="0022190E">
        <w:rPr>
          <w:szCs w:val="22"/>
        </w:rPr>
        <w:t xml:space="preserve"> in 2005</w:t>
      </w:r>
      <w:r>
        <w:rPr>
          <w:szCs w:val="22"/>
        </w:rPr>
        <w:t xml:space="preserve">, </w:t>
      </w:r>
      <w:r w:rsidR="00B94C2B" w:rsidRPr="0022190E">
        <w:rPr>
          <w:szCs w:val="22"/>
        </w:rPr>
        <w:t xml:space="preserve">UTC </w:t>
      </w:r>
      <w:r w:rsidR="00721F74">
        <w:rPr>
          <w:szCs w:val="22"/>
        </w:rPr>
        <w:t>has arrangements with</w:t>
      </w:r>
      <w:r w:rsidR="00721F74" w:rsidRPr="0022190E">
        <w:rPr>
          <w:szCs w:val="22"/>
        </w:rPr>
        <w:t xml:space="preserve"> </w:t>
      </w:r>
      <w:r w:rsidR="00B94C2B" w:rsidRPr="0022190E">
        <w:rPr>
          <w:szCs w:val="22"/>
        </w:rPr>
        <w:t xml:space="preserve">more than 60 independent contractors </w:t>
      </w:r>
      <w:r w:rsidR="00641735">
        <w:rPr>
          <w:szCs w:val="22"/>
        </w:rPr>
        <w:t>to provide</w:t>
      </w:r>
      <w:r w:rsidR="00721F74">
        <w:rPr>
          <w:szCs w:val="22"/>
        </w:rPr>
        <w:t xml:space="preserve"> trolley collection </w:t>
      </w:r>
      <w:r>
        <w:rPr>
          <w:szCs w:val="22"/>
        </w:rPr>
        <w:t xml:space="preserve">services </w:t>
      </w:r>
      <w:r w:rsidR="00641735">
        <w:rPr>
          <w:szCs w:val="22"/>
        </w:rPr>
        <w:t>to</w:t>
      </w:r>
      <w:r w:rsidR="00721F74">
        <w:rPr>
          <w:szCs w:val="22"/>
        </w:rPr>
        <w:t xml:space="preserve"> large supermarket and retail </w:t>
      </w:r>
      <w:r w:rsidR="00641735">
        <w:rPr>
          <w:szCs w:val="22"/>
        </w:rPr>
        <w:t>businesse</w:t>
      </w:r>
      <w:r w:rsidR="00721F74">
        <w:rPr>
          <w:szCs w:val="22"/>
        </w:rPr>
        <w:t xml:space="preserve">s such as </w:t>
      </w:r>
      <w:r w:rsidRPr="0022190E">
        <w:rPr>
          <w:szCs w:val="22"/>
        </w:rPr>
        <w:t>Coles, W</w:t>
      </w:r>
      <w:r>
        <w:rPr>
          <w:szCs w:val="22"/>
        </w:rPr>
        <w:t>oolworths, Kmart, Target and Big W.</w:t>
      </w:r>
    </w:p>
    <w:p w14:paraId="61038284" w14:textId="5B96376B" w:rsidR="00E93623" w:rsidRPr="00E93623" w:rsidRDefault="00721F74" w:rsidP="00382AE3">
      <w:r>
        <w:t xml:space="preserve">In May 2014, </w:t>
      </w:r>
      <w:r w:rsidR="00E93623">
        <w:t xml:space="preserve">UTC </w:t>
      </w:r>
      <w:r w:rsidR="00E93623" w:rsidRPr="00E93623">
        <w:t xml:space="preserve">entered into a compliance partnership with the Fair Work Ombudsman </w:t>
      </w:r>
      <w:r w:rsidR="00335B22">
        <w:t>(</w:t>
      </w:r>
      <w:r w:rsidR="00E93623" w:rsidRPr="00E93623">
        <w:t>FWO</w:t>
      </w:r>
      <w:r w:rsidR="00335B22">
        <w:t>)</w:t>
      </w:r>
      <w:r w:rsidR="00E93623" w:rsidRPr="00E93623">
        <w:t xml:space="preserve"> </w:t>
      </w:r>
      <w:r w:rsidR="00D751DA">
        <w:t xml:space="preserve">in order </w:t>
      </w:r>
      <w:r w:rsidR="00E93623" w:rsidRPr="00E93623">
        <w:t>to</w:t>
      </w:r>
      <w:r>
        <w:t xml:space="preserve"> </w:t>
      </w:r>
      <w:r w:rsidR="00641735">
        <w:t xml:space="preserve">promote and </w:t>
      </w:r>
      <w:r>
        <w:t>ensure</w:t>
      </w:r>
      <w:r w:rsidRPr="00E93623">
        <w:t xml:space="preserve"> </w:t>
      </w:r>
      <w:r w:rsidR="00E93623" w:rsidRPr="00E93623">
        <w:t xml:space="preserve">compliance </w:t>
      </w:r>
      <w:r w:rsidR="00AC7347">
        <w:t>within</w:t>
      </w:r>
      <w:r>
        <w:t xml:space="preserve"> </w:t>
      </w:r>
      <w:r w:rsidR="00E93623" w:rsidRPr="00E93623">
        <w:t xml:space="preserve">its network of </w:t>
      </w:r>
      <w:r>
        <w:t>sub-contractor</w:t>
      </w:r>
      <w:r w:rsidRPr="00E93623">
        <w:t>s</w:t>
      </w:r>
      <w:r>
        <w:t xml:space="preserve"> responsible for employing trolley collectors. </w:t>
      </w:r>
    </w:p>
    <w:p w14:paraId="101C7B9C" w14:textId="50CA0AF6" w:rsidR="00E93623" w:rsidRPr="00E93623" w:rsidRDefault="002527C7" w:rsidP="00382AE3">
      <w:r>
        <w:rPr>
          <w:szCs w:val="22"/>
        </w:rPr>
        <w:t>Underpinned by</w:t>
      </w:r>
      <w:r w:rsidR="00AC7347">
        <w:rPr>
          <w:szCs w:val="22"/>
        </w:rPr>
        <w:t xml:space="preserve"> a proactive compliance deed [PCD]</w:t>
      </w:r>
      <w:r w:rsidR="00AC7347">
        <w:rPr>
          <w:rStyle w:val="FootnoteReference"/>
        </w:rPr>
        <w:footnoteReference w:id="2"/>
      </w:r>
      <w:r w:rsidR="00AC7347">
        <w:rPr>
          <w:szCs w:val="22"/>
        </w:rPr>
        <w:t>, t</w:t>
      </w:r>
      <w:r w:rsidR="00AE2D15">
        <w:t xml:space="preserve">he </w:t>
      </w:r>
      <w:r>
        <w:t xml:space="preserve">compliance </w:t>
      </w:r>
      <w:r w:rsidR="00721F74">
        <w:t xml:space="preserve">partnership involved </w:t>
      </w:r>
      <w:r w:rsidR="00E93623" w:rsidRPr="00E93623">
        <w:t>a number of commitments from both parties, including:</w:t>
      </w:r>
    </w:p>
    <w:p w14:paraId="2FBEC40C" w14:textId="77777777" w:rsidR="00E93623" w:rsidRPr="00E93623" w:rsidRDefault="00E93623" w:rsidP="00382AE3">
      <w:pPr>
        <w:pStyle w:val="ListParagraph"/>
        <w:numPr>
          <w:ilvl w:val="0"/>
          <w:numId w:val="17"/>
        </w:numPr>
        <w:contextualSpacing w:val="0"/>
      </w:pPr>
      <w:r w:rsidRPr="00E93623">
        <w:t xml:space="preserve">UTC’s provision of workplace relations information, training and support </w:t>
      </w:r>
      <w:r w:rsidR="00C80F8D">
        <w:t>for</w:t>
      </w:r>
      <w:r w:rsidRPr="00E93623">
        <w:t xml:space="preserve"> its </w:t>
      </w:r>
      <w:r w:rsidR="00FA4C3C">
        <w:t xml:space="preserve">sub-contractors </w:t>
      </w:r>
    </w:p>
    <w:p w14:paraId="4473D8ED" w14:textId="5B08C313" w:rsidR="00E93623" w:rsidRPr="00DC30F1" w:rsidRDefault="002527C7" w:rsidP="00382AE3">
      <w:pPr>
        <w:pStyle w:val="ListParagraph"/>
        <w:numPr>
          <w:ilvl w:val="0"/>
          <w:numId w:val="17"/>
        </w:numPr>
        <w:contextualSpacing w:val="0"/>
      </w:pPr>
      <w:r>
        <w:t>UTC’s responsibility for resolving</w:t>
      </w:r>
      <w:r w:rsidR="00E93623" w:rsidRPr="00E93623">
        <w:t xml:space="preserve"> requests</w:t>
      </w:r>
      <w:r w:rsidR="00FA4C3C">
        <w:t xml:space="preserve"> for assistance from</w:t>
      </w:r>
      <w:r w:rsidR="00E93623" w:rsidRPr="00E93623">
        <w:t xml:space="preserve"> employees</w:t>
      </w:r>
      <w:r w:rsidR="00FA4C3C">
        <w:t xml:space="preserve"> of sub-</w:t>
      </w:r>
      <w:r w:rsidR="00FA4C3C" w:rsidRPr="00DC30F1">
        <w:t>contractors</w:t>
      </w:r>
      <w:r w:rsidR="00C80F8D" w:rsidRPr="00DC30F1">
        <w:t xml:space="preserve"> </w:t>
      </w:r>
    </w:p>
    <w:p w14:paraId="048D7C61" w14:textId="1F3D6D18" w:rsidR="00AC7347" w:rsidRPr="00DC30F1" w:rsidRDefault="00AC7347" w:rsidP="00382AE3">
      <w:pPr>
        <w:pStyle w:val="ListParagraph"/>
        <w:numPr>
          <w:ilvl w:val="0"/>
          <w:numId w:val="17"/>
        </w:numPr>
        <w:contextualSpacing w:val="0"/>
      </w:pPr>
      <w:r w:rsidRPr="00DC30F1">
        <w:t>implementing a payroll system for use by UTC subcontractors</w:t>
      </w:r>
    </w:p>
    <w:p w14:paraId="2B55CA66" w14:textId="6088300E" w:rsidR="00E93623" w:rsidRPr="00DC30F1" w:rsidRDefault="00AC7347" w:rsidP="00382AE3">
      <w:pPr>
        <w:pStyle w:val="ListParagraph"/>
        <w:numPr>
          <w:ilvl w:val="0"/>
          <w:numId w:val="17"/>
        </w:numPr>
        <w:contextualSpacing w:val="0"/>
      </w:pPr>
      <w:proofErr w:type="gramStart"/>
      <w:r w:rsidRPr="00DC30F1">
        <w:t>a</w:t>
      </w:r>
      <w:proofErr w:type="gramEnd"/>
      <w:r w:rsidRPr="00DC30F1">
        <w:t xml:space="preserve"> requirement for</w:t>
      </w:r>
      <w:r w:rsidR="00E93623" w:rsidRPr="00DC30F1">
        <w:t xml:space="preserve"> UTC to audit its </w:t>
      </w:r>
      <w:r w:rsidR="00721F74" w:rsidRPr="00DC30F1">
        <w:t xml:space="preserve">service </w:t>
      </w:r>
      <w:r w:rsidR="00E93623" w:rsidRPr="00DC30F1">
        <w:t xml:space="preserve">network and </w:t>
      </w:r>
      <w:r w:rsidR="00721F74" w:rsidRPr="00DC30F1">
        <w:t xml:space="preserve">remedy </w:t>
      </w:r>
      <w:r w:rsidR="00E93623" w:rsidRPr="00DC30F1">
        <w:t>any non-compliance.</w:t>
      </w:r>
    </w:p>
    <w:p w14:paraId="7B9147B3" w14:textId="77777777" w:rsidR="00C73105" w:rsidRDefault="00AC7347" w:rsidP="00382AE3">
      <w:pPr>
        <w:rPr>
          <w:color w:val="000000" w:themeColor="text1"/>
          <w:szCs w:val="22"/>
        </w:rPr>
      </w:pPr>
      <w:r w:rsidRPr="00DC30F1">
        <w:rPr>
          <w:color w:val="000000" w:themeColor="text1"/>
          <w:szCs w:val="22"/>
        </w:rPr>
        <w:t xml:space="preserve">During the term of the partnership, </w:t>
      </w:r>
      <w:r w:rsidR="007336A8" w:rsidRPr="00DC30F1">
        <w:rPr>
          <w:color w:val="000000" w:themeColor="text1"/>
          <w:szCs w:val="22"/>
        </w:rPr>
        <w:t>UTC</w:t>
      </w:r>
      <w:r w:rsidR="00C73105">
        <w:rPr>
          <w:color w:val="000000" w:themeColor="text1"/>
          <w:szCs w:val="22"/>
        </w:rPr>
        <w:t>:</w:t>
      </w:r>
    </w:p>
    <w:p w14:paraId="1BB79474" w14:textId="25555A46" w:rsidR="00C73105" w:rsidRDefault="00C73105" w:rsidP="00C73105">
      <w:pPr>
        <w:pStyle w:val="Bullet"/>
      </w:pPr>
      <w:r>
        <w:t xml:space="preserve">resolved five requests for assistance that were referred by the FWO plus a further 80 requests made </w:t>
      </w:r>
      <w:r w:rsidR="00B10935">
        <w:t>via</w:t>
      </w:r>
      <w:r>
        <w:t xml:space="preserve"> the hotline it setup as a requirement of the PCD</w:t>
      </w:r>
    </w:p>
    <w:p w14:paraId="58949060" w14:textId="019A829B" w:rsidR="004E1ACC" w:rsidRPr="00DA0CB9" w:rsidRDefault="004E1ACC" w:rsidP="004E1ACC">
      <w:pPr>
        <w:pStyle w:val="Bullet"/>
      </w:pPr>
      <w:r>
        <w:t>undertook a program of self-audits that exceed</w:t>
      </w:r>
      <w:r w:rsidR="00B10935">
        <w:t>ed</w:t>
      </w:r>
      <w:r>
        <w:t xml:space="preserve"> the terms of the PCD, with </w:t>
      </w:r>
      <w:r w:rsidRPr="00DA2C0F">
        <w:t>a total of nine independent audits, covering 102 weeks and 2397 employees</w:t>
      </w:r>
    </w:p>
    <w:p w14:paraId="07EFC7F6" w14:textId="0846F675" w:rsidR="003A13DE" w:rsidRDefault="004E1ACC" w:rsidP="00C73105">
      <w:pPr>
        <w:pStyle w:val="Bullet"/>
      </w:pPr>
      <w:r>
        <w:t xml:space="preserve">implemented </w:t>
      </w:r>
      <w:r w:rsidR="003A13DE">
        <w:t xml:space="preserve">staff training, communications activities and </w:t>
      </w:r>
      <w:r>
        <w:t>a number of changes to systems and processes, including the introduction of mobile apps for employees and UTC management for better access and recording of payroll information</w:t>
      </w:r>
    </w:p>
    <w:p w14:paraId="0C86BE55" w14:textId="77777777" w:rsidR="00B10935" w:rsidRDefault="003A13DE" w:rsidP="00B10935">
      <w:pPr>
        <w:pStyle w:val="Bullet"/>
      </w:pPr>
      <w:r>
        <w:t>terminated its relationship with a subcontractor the FWO took to court who was found to have provided false records to UTC to hide alleged underpayments of $30 000 to 2 employees over a six-month period</w:t>
      </w:r>
    </w:p>
    <w:p w14:paraId="67B60F0A" w14:textId="28474856" w:rsidR="003A13DE" w:rsidRDefault="00B10935" w:rsidP="003A13DE">
      <w:pPr>
        <w:pStyle w:val="Bullet"/>
      </w:pPr>
      <w:proofErr w:type="gramStart"/>
      <w:r>
        <w:t>recovered</w:t>
      </w:r>
      <w:proofErr w:type="gramEnd"/>
      <w:r>
        <w:t xml:space="preserve"> a</w:t>
      </w:r>
      <w:r w:rsidRPr="00DC30F1">
        <w:t xml:space="preserve"> total of </w:t>
      </w:r>
      <w:r>
        <w:t>$</w:t>
      </w:r>
      <w:r w:rsidRPr="00DC30F1">
        <w:t>8</w:t>
      </w:r>
      <w:r>
        <w:t>9</w:t>
      </w:r>
      <w:r w:rsidRPr="00DC30F1">
        <w:t xml:space="preserve"> 476.96 for employees</w:t>
      </w:r>
      <w:r>
        <w:t xml:space="preserve"> a</w:t>
      </w:r>
      <w:r w:rsidR="00A8459A">
        <w:t xml:space="preserve">s a result </w:t>
      </w:r>
      <w:r>
        <w:t>self-audits, complaints and referra</w:t>
      </w:r>
      <w:r w:rsidR="00A8459A">
        <w:t>ls</w:t>
      </w:r>
      <w:r w:rsidR="003A13DE">
        <w:t>.</w:t>
      </w:r>
    </w:p>
    <w:p w14:paraId="43B9F8CF" w14:textId="14F99DA6" w:rsidR="00C20EBB" w:rsidRPr="00DC30F1" w:rsidRDefault="00FB2370" w:rsidP="00382AE3">
      <w:pPr>
        <w:rPr>
          <w:color w:val="000000" w:themeColor="text1"/>
          <w:szCs w:val="22"/>
        </w:rPr>
      </w:pPr>
      <w:r w:rsidRPr="00DC30F1">
        <w:rPr>
          <w:color w:val="000000" w:themeColor="text1"/>
          <w:szCs w:val="22"/>
        </w:rPr>
        <w:t xml:space="preserve">This report outlines the background to </w:t>
      </w:r>
      <w:r w:rsidR="00D11086" w:rsidRPr="00DC30F1">
        <w:rPr>
          <w:color w:val="000000" w:themeColor="text1"/>
          <w:szCs w:val="22"/>
        </w:rPr>
        <w:t>the FWO’s</w:t>
      </w:r>
      <w:r w:rsidRPr="00DC30F1">
        <w:rPr>
          <w:color w:val="000000" w:themeColor="text1"/>
          <w:szCs w:val="22"/>
        </w:rPr>
        <w:t xml:space="preserve"> compliance partnership with UTC, the workplace relations framework that applies to the company’s </w:t>
      </w:r>
      <w:r w:rsidR="00C80F8D" w:rsidRPr="00DC30F1">
        <w:rPr>
          <w:color w:val="000000" w:themeColor="text1"/>
          <w:szCs w:val="22"/>
        </w:rPr>
        <w:t>sub-</w:t>
      </w:r>
      <w:r w:rsidR="00FA4C3C" w:rsidRPr="00DC30F1">
        <w:rPr>
          <w:color w:val="000000" w:themeColor="text1"/>
          <w:szCs w:val="22"/>
        </w:rPr>
        <w:t>contractor network</w:t>
      </w:r>
      <w:r w:rsidR="00AC7347" w:rsidRPr="00DC30F1">
        <w:rPr>
          <w:color w:val="000000" w:themeColor="text1"/>
          <w:szCs w:val="22"/>
        </w:rPr>
        <w:t xml:space="preserve"> and the </w:t>
      </w:r>
      <w:r w:rsidRPr="00DC30F1">
        <w:rPr>
          <w:color w:val="000000" w:themeColor="text1"/>
          <w:szCs w:val="22"/>
        </w:rPr>
        <w:t xml:space="preserve">steps taken to </w:t>
      </w:r>
      <w:r w:rsidR="00AC7347" w:rsidRPr="00DC30F1">
        <w:rPr>
          <w:color w:val="000000" w:themeColor="text1"/>
          <w:szCs w:val="22"/>
        </w:rPr>
        <w:t>enhance compliance</w:t>
      </w:r>
      <w:r w:rsidRPr="00DC30F1">
        <w:rPr>
          <w:color w:val="000000" w:themeColor="text1"/>
          <w:szCs w:val="22"/>
        </w:rPr>
        <w:t>.</w:t>
      </w:r>
      <w:r w:rsidR="002F4FF2" w:rsidRPr="00DC30F1">
        <w:rPr>
          <w:color w:val="000000" w:themeColor="text1"/>
          <w:szCs w:val="22"/>
        </w:rPr>
        <w:t xml:space="preserve"> </w:t>
      </w:r>
    </w:p>
    <w:p w14:paraId="0443419D" w14:textId="3B6EC0B9" w:rsidR="00DC30F1" w:rsidRPr="00DC30F1" w:rsidRDefault="008508FF" w:rsidP="00DC30F1">
      <w:pPr>
        <w:rPr>
          <w:color w:val="000000" w:themeColor="text1"/>
        </w:rPr>
      </w:pPr>
      <w:r>
        <w:rPr>
          <w:color w:val="000000" w:themeColor="text1"/>
        </w:rPr>
        <w:lastRenderedPageBreak/>
        <w:t>T</w:t>
      </w:r>
      <w:r w:rsidRPr="00DC30F1">
        <w:rPr>
          <w:color w:val="000000" w:themeColor="text1"/>
        </w:rPr>
        <w:t xml:space="preserve">he FWO and UTC </w:t>
      </w:r>
      <w:r>
        <w:rPr>
          <w:color w:val="000000" w:themeColor="text1"/>
        </w:rPr>
        <w:t>are</w:t>
      </w:r>
      <w:r w:rsidRPr="00DC30F1">
        <w:rPr>
          <w:color w:val="000000" w:themeColor="text1"/>
        </w:rPr>
        <w:t xml:space="preserve"> discussing the possibility of a second</w:t>
      </w:r>
      <w:r>
        <w:rPr>
          <w:color w:val="000000" w:themeColor="text1"/>
        </w:rPr>
        <w:t xml:space="preserve"> compliance partnership following </w:t>
      </w:r>
      <w:r w:rsidR="00DC30F1" w:rsidRPr="00DC30F1">
        <w:rPr>
          <w:color w:val="000000" w:themeColor="text1"/>
        </w:rPr>
        <w:t xml:space="preserve">the formal </w:t>
      </w:r>
      <w:r w:rsidR="005242F7">
        <w:rPr>
          <w:color w:val="000000" w:themeColor="text1"/>
        </w:rPr>
        <w:t>expiration</w:t>
      </w:r>
      <w:r w:rsidR="005242F7" w:rsidRPr="00DC30F1">
        <w:rPr>
          <w:color w:val="000000" w:themeColor="text1"/>
        </w:rPr>
        <w:t xml:space="preserve"> </w:t>
      </w:r>
      <w:r w:rsidR="00DC30F1" w:rsidRPr="00DC30F1">
        <w:rPr>
          <w:color w:val="000000" w:themeColor="text1"/>
        </w:rPr>
        <w:t>of the PCD</w:t>
      </w:r>
      <w:r>
        <w:rPr>
          <w:color w:val="000000" w:themeColor="text1"/>
        </w:rPr>
        <w:t xml:space="preserve">. </w:t>
      </w:r>
      <w:r w:rsidR="00DC30F1" w:rsidRPr="00DC30F1">
        <w:rPr>
          <w:color w:val="000000" w:themeColor="text1"/>
        </w:rPr>
        <w:t xml:space="preserve">The terms of any new compliance partnership </w:t>
      </w:r>
      <w:r>
        <w:rPr>
          <w:color w:val="000000" w:themeColor="text1"/>
        </w:rPr>
        <w:t>would</w:t>
      </w:r>
      <w:r w:rsidRPr="00DC30F1">
        <w:rPr>
          <w:color w:val="000000" w:themeColor="text1"/>
        </w:rPr>
        <w:t xml:space="preserve"> </w:t>
      </w:r>
      <w:r w:rsidR="00DC30F1" w:rsidRPr="00DC30F1">
        <w:rPr>
          <w:color w:val="000000" w:themeColor="text1"/>
        </w:rPr>
        <w:t>reflect the current market environment, operating models and UTC’s contractual arrangements with retailers.</w:t>
      </w:r>
    </w:p>
    <w:p w14:paraId="6DD0BCF7" w14:textId="5E01A902" w:rsidR="00AC7347" w:rsidRDefault="00AC7347" w:rsidP="00382AE3">
      <w:pPr>
        <w:rPr>
          <w:color w:val="41273B"/>
          <w:sz w:val="44"/>
        </w:rPr>
      </w:pPr>
      <w:r>
        <w:br w:type="page"/>
      </w:r>
    </w:p>
    <w:p w14:paraId="508B0499" w14:textId="28BD06ED" w:rsidR="006173B2" w:rsidRPr="0022190E" w:rsidRDefault="00F233FB">
      <w:pPr>
        <w:pStyle w:val="Heading1"/>
      </w:pPr>
      <w:bookmarkStart w:id="9" w:name="_Toc527720479"/>
      <w:r w:rsidRPr="0022190E">
        <w:lastRenderedPageBreak/>
        <w:t>Background</w:t>
      </w:r>
      <w:bookmarkEnd w:id="9"/>
    </w:p>
    <w:p w14:paraId="7F942C33" w14:textId="77777777" w:rsidR="00DA2C0F" w:rsidRDefault="00382AE3" w:rsidP="00FC1B76">
      <w:pPr>
        <w:rPr>
          <w:szCs w:val="22"/>
        </w:rPr>
      </w:pPr>
      <w:r w:rsidRPr="00382AE3">
        <w:rPr>
          <w:szCs w:val="22"/>
        </w:rPr>
        <w:t>Underpayment of trolley collectors at sites operated by different supermarkets across Australia has been a serious issue for the FWO, and its predecessors, for many years</w:t>
      </w:r>
      <w:r>
        <w:rPr>
          <w:szCs w:val="22"/>
        </w:rPr>
        <w:t>.</w:t>
      </w:r>
      <w:r w:rsidR="00EC7C85" w:rsidRPr="00EC7C85">
        <w:rPr>
          <w:szCs w:val="22"/>
        </w:rPr>
        <w:t xml:space="preserve"> </w:t>
      </w:r>
    </w:p>
    <w:p w14:paraId="612ACFD4" w14:textId="5664FD70" w:rsidR="00DA2C0F" w:rsidRPr="0022190E" w:rsidRDefault="00DA2C0F" w:rsidP="00DA2C0F">
      <w:pPr>
        <w:rPr>
          <w:szCs w:val="22"/>
        </w:rPr>
      </w:pPr>
      <w:r>
        <w:rPr>
          <w:szCs w:val="22"/>
        </w:rPr>
        <w:t>A large number of trolley collectors are migrant workers</w:t>
      </w:r>
      <w:r>
        <w:rPr>
          <w:rStyle w:val="FootnoteReference"/>
          <w:szCs w:val="22"/>
        </w:rPr>
        <w:footnoteReference w:id="3"/>
      </w:r>
      <w:r>
        <w:rPr>
          <w:szCs w:val="22"/>
        </w:rPr>
        <w:t xml:space="preserve">, a cohort of workers </w:t>
      </w:r>
      <w:r w:rsidRPr="0022190E">
        <w:rPr>
          <w:szCs w:val="22"/>
        </w:rPr>
        <w:t xml:space="preserve">vulnerable to underpayment </w:t>
      </w:r>
      <w:r>
        <w:rPr>
          <w:szCs w:val="22"/>
        </w:rPr>
        <w:t xml:space="preserve">due to language difficulties and cultural constraints. The FWO’s experience is that such workers are often </w:t>
      </w:r>
      <w:r w:rsidRPr="0022190E">
        <w:rPr>
          <w:szCs w:val="22"/>
        </w:rPr>
        <w:t xml:space="preserve">less likely to seek </w:t>
      </w:r>
      <w:r>
        <w:rPr>
          <w:szCs w:val="22"/>
        </w:rPr>
        <w:t>FWO</w:t>
      </w:r>
      <w:r w:rsidRPr="0022190E">
        <w:rPr>
          <w:szCs w:val="22"/>
        </w:rPr>
        <w:t xml:space="preserve"> advice and assistance</w:t>
      </w:r>
      <w:r>
        <w:rPr>
          <w:szCs w:val="22"/>
        </w:rPr>
        <w:t xml:space="preserve"> due to a general reluctance to engage with the regulator and ‘go on the record’. </w:t>
      </w:r>
    </w:p>
    <w:p w14:paraId="7C4E985D" w14:textId="6AFE4A1A" w:rsidR="00382AE3" w:rsidRDefault="00EC7C85" w:rsidP="00FC1B76">
      <w:pPr>
        <w:rPr>
          <w:szCs w:val="22"/>
        </w:rPr>
      </w:pPr>
      <w:r w:rsidRPr="00382AE3">
        <w:rPr>
          <w:szCs w:val="22"/>
        </w:rPr>
        <w:t xml:space="preserve">Between 2006 and 2012, </w:t>
      </w:r>
      <w:r>
        <w:rPr>
          <w:szCs w:val="22"/>
        </w:rPr>
        <w:t>the FWO commenced legal proceedings against a number of</w:t>
      </w:r>
      <w:r w:rsidRPr="00382AE3">
        <w:rPr>
          <w:szCs w:val="22"/>
        </w:rPr>
        <w:t xml:space="preserve"> individual trolley collecting businesses</w:t>
      </w:r>
      <w:r>
        <w:rPr>
          <w:szCs w:val="22"/>
        </w:rPr>
        <w:t xml:space="preserve">, </w:t>
      </w:r>
      <w:r w:rsidRPr="00382AE3">
        <w:rPr>
          <w:szCs w:val="22"/>
        </w:rPr>
        <w:t>securing just over $800</w:t>
      </w:r>
      <w:r>
        <w:rPr>
          <w:szCs w:val="22"/>
        </w:rPr>
        <w:t xml:space="preserve"> </w:t>
      </w:r>
      <w:r w:rsidRPr="00382AE3">
        <w:rPr>
          <w:szCs w:val="22"/>
        </w:rPr>
        <w:t>000 in employee entitlements and a further $800</w:t>
      </w:r>
      <w:r>
        <w:rPr>
          <w:szCs w:val="22"/>
        </w:rPr>
        <w:t xml:space="preserve"> </w:t>
      </w:r>
      <w:r w:rsidRPr="00382AE3">
        <w:rPr>
          <w:szCs w:val="22"/>
        </w:rPr>
        <w:t>000 in penalties</w:t>
      </w:r>
      <w:r>
        <w:rPr>
          <w:szCs w:val="22"/>
        </w:rPr>
        <w:t>.</w:t>
      </w:r>
    </w:p>
    <w:p w14:paraId="53336727" w14:textId="6096DE77" w:rsidR="00EC7C85" w:rsidRDefault="00DA2C0F" w:rsidP="00EC7C85">
      <w:pPr>
        <w:rPr>
          <w:szCs w:val="22"/>
        </w:rPr>
      </w:pPr>
      <w:r>
        <w:rPr>
          <w:szCs w:val="22"/>
        </w:rPr>
        <w:t xml:space="preserve">Since 2014, </w:t>
      </w:r>
      <w:r w:rsidR="00A01211">
        <w:rPr>
          <w:szCs w:val="22"/>
        </w:rPr>
        <w:t>t</w:t>
      </w:r>
      <w:r w:rsidR="00C671B9">
        <w:rPr>
          <w:szCs w:val="22"/>
        </w:rPr>
        <w:t xml:space="preserve">he </w:t>
      </w:r>
      <w:r w:rsidR="00333B61" w:rsidRPr="00DA2C0F">
        <w:rPr>
          <w:szCs w:val="22"/>
        </w:rPr>
        <w:t xml:space="preserve">FWO has </w:t>
      </w:r>
      <w:r w:rsidR="002527C7">
        <w:rPr>
          <w:szCs w:val="22"/>
        </w:rPr>
        <w:t>actively promoted</w:t>
      </w:r>
      <w:r w:rsidR="00333B61" w:rsidRPr="00DA2C0F">
        <w:rPr>
          <w:szCs w:val="22"/>
        </w:rPr>
        <w:t xml:space="preserve"> compliance </w:t>
      </w:r>
      <w:r w:rsidR="00A01211">
        <w:rPr>
          <w:szCs w:val="22"/>
        </w:rPr>
        <w:t xml:space="preserve">in </w:t>
      </w:r>
      <w:r w:rsidR="00A01211" w:rsidRPr="00795850">
        <w:rPr>
          <w:szCs w:val="22"/>
        </w:rPr>
        <w:t>supply chain</w:t>
      </w:r>
      <w:r w:rsidR="00A01211">
        <w:rPr>
          <w:szCs w:val="22"/>
        </w:rPr>
        <w:t>s</w:t>
      </w:r>
      <w:r w:rsidR="00A01211" w:rsidRPr="00795850">
        <w:rPr>
          <w:szCs w:val="22"/>
        </w:rPr>
        <w:t xml:space="preserve"> </w:t>
      </w:r>
      <w:r w:rsidR="00333B61" w:rsidRPr="00DA2C0F">
        <w:rPr>
          <w:szCs w:val="22"/>
        </w:rPr>
        <w:t>by working with major retailers to effect real and sustained behavioural change throughout their subcontracting networks.</w:t>
      </w:r>
      <w:r w:rsidR="00333B61">
        <w:rPr>
          <w:szCs w:val="22"/>
        </w:rPr>
        <w:t xml:space="preserve"> </w:t>
      </w:r>
      <w:r>
        <w:rPr>
          <w:szCs w:val="22"/>
        </w:rPr>
        <w:t>For instance, t</w:t>
      </w:r>
      <w:r w:rsidR="00A01211">
        <w:rPr>
          <w:szCs w:val="22"/>
        </w:rPr>
        <w:t xml:space="preserve">he FWO </w:t>
      </w:r>
      <w:r>
        <w:rPr>
          <w:szCs w:val="22"/>
        </w:rPr>
        <w:t xml:space="preserve">has </w:t>
      </w:r>
      <w:r w:rsidR="00333B61">
        <w:rPr>
          <w:szCs w:val="22"/>
        </w:rPr>
        <w:t>enter</w:t>
      </w:r>
      <w:r w:rsidR="00EC7C85">
        <w:rPr>
          <w:szCs w:val="22"/>
        </w:rPr>
        <w:t>ed</w:t>
      </w:r>
      <w:r w:rsidR="00333B61">
        <w:rPr>
          <w:szCs w:val="22"/>
        </w:rPr>
        <w:t xml:space="preserve"> into an Enforceable Undertaking </w:t>
      </w:r>
      <w:r w:rsidR="00C671B9">
        <w:rPr>
          <w:szCs w:val="22"/>
        </w:rPr>
        <w:t xml:space="preserve">with </w:t>
      </w:r>
      <w:r w:rsidR="00333B61">
        <w:rPr>
          <w:szCs w:val="22"/>
        </w:rPr>
        <w:t>Coles</w:t>
      </w:r>
      <w:r w:rsidR="00333B61">
        <w:rPr>
          <w:rStyle w:val="FootnoteReference"/>
          <w:szCs w:val="22"/>
        </w:rPr>
        <w:footnoteReference w:id="4"/>
      </w:r>
      <w:r w:rsidR="00333B61">
        <w:rPr>
          <w:szCs w:val="22"/>
        </w:rPr>
        <w:t xml:space="preserve"> and a compliance partnership with Woolworths</w:t>
      </w:r>
      <w:r w:rsidR="00333B61">
        <w:rPr>
          <w:rStyle w:val="FootnoteReference"/>
          <w:szCs w:val="22"/>
        </w:rPr>
        <w:footnoteReference w:id="5"/>
      </w:r>
      <w:r w:rsidR="00333B61">
        <w:rPr>
          <w:szCs w:val="22"/>
        </w:rPr>
        <w:t xml:space="preserve"> to improve compliance in their trolley collecting networks.</w:t>
      </w:r>
      <w:r w:rsidR="008508FF">
        <w:rPr>
          <w:szCs w:val="22"/>
        </w:rPr>
        <w:t xml:space="preserve"> </w:t>
      </w:r>
      <w:r>
        <w:rPr>
          <w:szCs w:val="22"/>
        </w:rPr>
        <w:t xml:space="preserve">These arrangements address the issue of </w:t>
      </w:r>
      <w:r w:rsidR="00497EC2" w:rsidRPr="0022190E">
        <w:rPr>
          <w:szCs w:val="22"/>
        </w:rPr>
        <w:t xml:space="preserve">governance by </w:t>
      </w:r>
      <w:r w:rsidR="00497EC2">
        <w:rPr>
          <w:szCs w:val="22"/>
        </w:rPr>
        <w:t>major retailers with regard to their procurement arrangements</w:t>
      </w:r>
      <w:r w:rsidR="00497EC2" w:rsidRPr="0022190E">
        <w:rPr>
          <w:szCs w:val="22"/>
        </w:rPr>
        <w:t xml:space="preserve">. </w:t>
      </w:r>
      <w:r w:rsidR="00497EC2">
        <w:rPr>
          <w:szCs w:val="22"/>
        </w:rPr>
        <w:t xml:space="preserve">In particular, the </w:t>
      </w:r>
      <w:r>
        <w:rPr>
          <w:szCs w:val="22"/>
        </w:rPr>
        <w:t xml:space="preserve">arrangements provide for </w:t>
      </w:r>
      <w:r w:rsidR="00497EC2">
        <w:rPr>
          <w:szCs w:val="22"/>
        </w:rPr>
        <w:t xml:space="preserve">transparency and accountability relating to the </w:t>
      </w:r>
      <w:r w:rsidR="00382AE3">
        <w:rPr>
          <w:szCs w:val="22"/>
        </w:rPr>
        <w:t xml:space="preserve">various roles performed by </w:t>
      </w:r>
      <w:r w:rsidR="00382AE3" w:rsidRPr="0022190E">
        <w:rPr>
          <w:szCs w:val="22"/>
        </w:rPr>
        <w:t>multiple contractors and sub</w:t>
      </w:r>
      <w:r w:rsidR="00382AE3">
        <w:rPr>
          <w:szCs w:val="22"/>
        </w:rPr>
        <w:t>-</w:t>
      </w:r>
      <w:r w:rsidR="00382AE3" w:rsidRPr="0022190E">
        <w:rPr>
          <w:szCs w:val="22"/>
        </w:rPr>
        <w:t>contractors</w:t>
      </w:r>
      <w:r w:rsidR="00382AE3">
        <w:rPr>
          <w:szCs w:val="22"/>
        </w:rPr>
        <w:t xml:space="preserve"> within a particular labour supply chain </w:t>
      </w:r>
      <w:r w:rsidR="002527C7">
        <w:rPr>
          <w:szCs w:val="22"/>
        </w:rPr>
        <w:t xml:space="preserve">and help foster </w:t>
      </w:r>
      <w:r w:rsidR="002527C7" w:rsidRPr="0022190E">
        <w:rPr>
          <w:szCs w:val="22"/>
        </w:rPr>
        <w:t>a culture of compliance</w:t>
      </w:r>
      <w:r w:rsidR="002527C7">
        <w:rPr>
          <w:szCs w:val="22"/>
        </w:rPr>
        <w:t xml:space="preserve"> </w:t>
      </w:r>
      <w:r w:rsidR="00497EC2">
        <w:rPr>
          <w:szCs w:val="22"/>
        </w:rPr>
        <w:t xml:space="preserve">was </w:t>
      </w:r>
      <w:r w:rsidR="00382AE3">
        <w:rPr>
          <w:szCs w:val="22"/>
        </w:rPr>
        <w:t>contribut</w:t>
      </w:r>
      <w:r w:rsidR="00497EC2">
        <w:rPr>
          <w:szCs w:val="22"/>
        </w:rPr>
        <w:t>ing</w:t>
      </w:r>
      <w:r w:rsidR="00382AE3">
        <w:rPr>
          <w:szCs w:val="22"/>
        </w:rPr>
        <w:t xml:space="preserve"> to significant compliance issues. </w:t>
      </w:r>
    </w:p>
    <w:p w14:paraId="51255809" w14:textId="020ADBC2" w:rsidR="00F233FB" w:rsidRPr="0022190E" w:rsidRDefault="00F233FB" w:rsidP="00FC1B76">
      <w:pPr>
        <w:rPr>
          <w:szCs w:val="22"/>
        </w:rPr>
      </w:pPr>
      <w:r w:rsidRPr="0022190E">
        <w:rPr>
          <w:szCs w:val="22"/>
        </w:rPr>
        <w:t xml:space="preserve">Prior to </w:t>
      </w:r>
      <w:r w:rsidR="00FA4C3C" w:rsidRPr="0022190E">
        <w:rPr>
          <w:szCs w:val="22"/>
        </w:rPr>
        <w:t>2012,</w:t>
      </w:r>
      <w:r w:rsidRPr="0022190E">
        <w:rPr>
          <w:szCs w:val="22"/>
        </w:rPr>
        <w:t xml:space="preserve"> UTC had been one </w:t>
      </w:r>
      <w:r w:rsidR="00FA4C3C">
        <w:rPr>
          <w:szCs w:val="22"/>
        </w:rPr>
        <w:t>sub-</w:t>
      </w:r>
      <w:r w:rsidRPr="0022190E">
        <w:rPr>
          <w:szCs w:val="22"/>
        </w:rPr>
        <w:t>contractor among many who provided trolley collection services to Coles</w:t>
      </w:r>
      <w:r w:rsidR="00497EC2">
        <w:rPr>
          <w:szCs w:val="22"/>
        </w:rPr>
        <w:t xml:space="preserve"> [</w:t>
      </w:r>
      <w:r w:rsidR="00497EC2" w:rsidRPr="0048357C">
        <w:rPr>
          <w:szCs w:val="22"/>
        </w:rPr>
        <w:t xml:space="preserve">ACN </w:t>
      </w:r>
      <w:r w:rsidR="0048357C">
        <w:rPr>
          <w:szCs w:val="22"/>
        </w:rPr>
        <w:t>139 368 451</w:t>
      </w:r>
      <w:r w:rsidR="00497EC2">
        <w:rPr>
          <w:szCs w:val="22"/>
        </w:rPr>
        <w:t>]</w:t>
      </w:r>
      <w:r w:rsidRPr="0022190E">
        <w:rPr>
          <w:szCs w:val="22"/>
        </w:rPr>
        <w:t xml:space="preserve">. In </w:t>
      </w:r>
      <w:r w:rsidR="008661FD" w:rsidRPr="0022190E">
        <w:rPr>
          <w:szCs w:val="22"/>
        </w:rPr>
        <w:t>2012,</w:t>
      </w:r>
      <w:r w:rsidRPr="0022190E">
        <w:rPr>
          <w:szCs w:val="22"/>
        </w:rPr>
        <w:t xml:space="preserve"> Coles decided to change their trolley collection operations from using multiple </w:t>
      </w:r>
      <w:r w:rsidR="00FA4C3C">
        <w:rPr>
          <w:szCs w:val="22"/>
        </w:rPr>
        <w:t>sub-</w:t>
      </w:r>
      <w:r w:rsidRPr="0022190E">
        <w:rPr>
          <w:szCs w:val="22"/>
        </w:rPr>
        <w:t xml:space="preserve">contractors to a single contractor. As a result, Coles entered into a contract with UTC as their sole </w:t>
      </w:r>
      <w:r w:rsidR="00497EC2">
        <w:rPr>
          <w:szCs w:val="22"/>
        </w:rPr>
        <w:t xml:space="preserve">national </w:t>
      </w:r>
      <w:r w:rsidRPr="0022190E">
        <w:rPr>
          <w:szCs w:val="22"/>
        </w:rPr>
        <w:t>provider of trolley collection services</w:t>
      </w:r>
      <w:r w:rsidR="00497EC2">
        <w:rPr>
          <w:szCs w:val="22"/>
        </w:rPr>
        <w:t xml:space="preserve">. </w:t>
      </w:r>
    </w:p>
    <w:p w14:paraId="20AF3680" w14:textId="43D126AC" w:rsidR="00B94C2B" w:rsidRPr="0022190E" w:rsidRDefault="00EB4632" w:rsidP="00FC1B76">
      <w:pPr>
        <w:rPr>
          <w:szCs w:val="22"/>
        </w:rPr>
      </w:pPr>
      <w:r>
        <w:rPr>
          <w:szCs w:val="22"/>
        </w:rPr>
        <w:t>Following</w:t>
      </w:r>
      <w:r w:rsidRPr="0022190E">
        <w:rPr>
          <w:szCs w:val="22"/>
        </w:rPr>
        <w:t xml:space="preserve"> </w:t>
      </w:r>
      <w:r w:rsidR="00B94C2B" w:rsidRPr="0022190E">
        <w:rPr>
          <w:szCs w:val="22"/>
        </w:rPr>
        <w:t xml:space="preserve">the appointment of UTC as Coles’ national trolley collection contractor, the FWO </w:t>
      </w:r>
      <w:r>
        <w:rPr>
          <w:szCs w:val="22"/>
        </w:rPr>
        <w:t xml:space="preserve">proposed </w:t>
      </w:r>
      <w:r w:rsidR="00C71F0C">
        <w:rPr>
          <w:szCs w:val="22"/>
        </w:rPr>
        <w:t xml:space="preserve">that </w:t>
      </w:r>
      <w:r>
        <w:rPr>
          <w:szCs w:val="22"/>
        </w:rPr>
        <w:t xml:space="preserve">UTC enter </w:t>
      </w:r>
      <w:r w:rsidR="00497EC2">
        <w:rPr>
          <w:szCs w:val="22"/>
        </w:rPr>
        <w:t xml:space="preserve">into </w:t>
      </w:r>
      <w:r>
        <w:rPr>
          <w:szCs w:val="22"/>
        </w:rPr>
        <w:t>a partnership arrangement with the FWO to</w:t>
      </w:r>
      <w:r w:rsidRPr="0022190E">
        <w:rPr>
          <w:szCs w:val="22"/>
        </w:rPr>
        <w:t xml:space="preserve"> </w:t>
      </w:r>
      <w:r w:rsidR="00B94C2B" w:rsidRPr="0022190E">
        <w:rPr>
          <w:szCs w:val="22"/>
        </w:rPr>
        <w:t xml:space="preserve">improve compliance in Coles’ trolley collection network. UTC </w:t>
      </w:r>
      <w:r w:rsidR="00497EC2">
        <w:rPr>
          <w:szCs w:val="22"/>
        </w:rPr>
        <w:t>responded positively to the invitation and expressed its commitment to w</w:t>
      </w:r>
      <w:r>
        <w:rPr>
          <w:szCs w:val="22"/>
        </w:rPr>
        <w:t>orking</w:t>
      </w:r>
      <w:r w:rsidR="00B94C2B" w:rsidRPr="0022190E">
        <w:rPr>
          <w:szCs w:val="22"/>
        </w:rPr>
        <w:t xml:space="preserve"> with the FWO </w:t>
      </w:r>
      <w:r>
        <w:rPr>
          <w:szCs w:val="22"/>
        </w:rPr>
        <w:t>to</w:t>
      </w:r>
      <w:r w:rsidRPr="0022190E">
        <w:rPr>
          <w:szCs w:val="22"/>
        </w:rPr>
        <w:t xml:space="preserve"> </w:t>
      </w:r>
      <w:r w:rsidR="00B94C2B" w:rsidRPr="0022190E">
        <w:rPr>
          <w:szCs w:val="22"/>
        </w:rPr>
        <w:t xml:space="preserve">establish a benchmark for compliance in the trolley collection industry. </w:t>
      </w:r>
    </w:p>
    <w:p w14:paraId="4423017E" w14:textId="77777777" w:rsidR="003A13DE" w:rsidRDefault="00B94C2B" w:rsidP="00C73105">
      <w:pPr>
        <w:rPr>
          <w:szCs w:val="22"/>
        </w:rPr>
      </w:pPr>
      <w:r w:rsidRPr="0022190E">
        <w:rPr>
          <w:szCs w:val="22"/>
        </w:rPr>
        <w:t xml:space="preserve">On 13 May </w:t>
      </w:r>
      <w:r w:rsidR="008661FD" w:rsidRPr="0022190E">
        <w:rPr>
          <w:szCs w:val="22"/>
        </w:rPr>
        <w:t>2014,</w:t>
      </w:r>
      <w:r w:rsidRPr="0022190E">
        <w:rPr>
          <w:szCs w:val="22"/>
        </w:rPr>
        <w:t xml:space="preserve"> UTC entered into a </w:t>
      </w:r>
      <w:r w:rsidR="002240F9">
        <w:rPr>
          <w:szCs w:val="22"/>
        </w:rPr>
        <w:t>P</w:t>
      </w:r>
      <w:r w:rsidRPr="0022190E">
        <w:rPr>
          <w:szCs w:val="22"/>
        </w:rPr>
        <w:t xml:space="preserve">roactive </w:t>
      </w:r>
      <w:r w:rsidR="002240F9">
        <w:rPr>
          <w:szCs w:val="22"/>
        </w:rPr>
        <w:t>C</w:t>
      </w:r>
      <w:r w:rsidRPr="0022190E">
        <w:rPr>
          <w:szCs w:val="22"/>
        </w:rPr>
        <w:t xml:space="preserve">ompliance </w:t>
      </w:r>
      <w:r w:rsidR="002240F9">
        <w:rPr>
          <w:szCs w:val="22"/>
        </w:rPr>
        <w:t>D</w:t>
      </w:r>
      <w:r w:rsidRPr="0022190E">
        <w:rPr>
          <w:szCs w:val="22"/>
        </w:rPr>
        <w:t>eed (PCD</w:t>
      </w:r>
      <w:r w:rsidR="00F114BF">
        <w:rPr>
          <w:szCs w:val="22"/>
        </w:rPr>
        <w:t>) with the FWO for a period of three</w:t>
      </w:r>
      <w:r w:rsidRPr="0022190E">
        <w:rPr>
          <w:szCs w:val="22"/>
        </w:rPr>
        <w:t xml:space="preserve"> years. </w:t>
      </w:r>
    </w:p>
    <w:p w14:paraId="4AB18484" w14:textId="265B13EA" w:rsidR="00D310EC" w:rsidRDefault="00D310EC" w:rsidP="003A13DE">
      <w:pPr>
        <w:pStyle w:val="Heading2"/>
      </w:pPr>
      <w:bookmarkStart w:id="10" w:name="_Toc527720480"/>
      <w:r>
        <w:lastRenderedPageBreak/>
        <w:t xml:space="preserve">Workplace </w:t>
      </w:r>
      <w:r w:rsidR="002240F9">
        <w:t>r</w:t>
      </w:r>
      <w:r>
        <w:t xml:space="preserve">elations </w:t>
      </w:r>
      <w:r w:rsidR="002240F9">
        <w:t>s</w:t>
      </w:r>
      <w:r>
        <w:t>ettings</w:t>
      </w:r>
      <w:bookmarkEnd w:id="10"/>
      <w:r>
        <w:t xml:space="preserve"> </w:t>
      </w:r>
    </w:p>
    <w:p w14:paraId="18439752" w14:textId="04C370E7" w:rsidR="00612F08" w:rsidRDefault="000C3D14" w:rsidP="00E87878">
      <w:pPr>
        <w:widowControl w:val="0"/>
        <w:snapToGrid w:val="0"/>
      </w:pPr>
      <w:r>
        <w:t xml:space="preserve">The </w:t>
      </w:r>
      <w:r w:rsidR="00205C2A" w:rsidRPr="007C0DA4">
        <w:rPr>
          <w:i/>
        </w:rPr>
        <w:t>Cleaning</w:t>
      </w:r>
      <w:r w:rsidR="00205C2A">
        <w:rPr>
          <w:i/>
        </w:rPr>
        <w:t xml:space="preserve"> Services</w:t>
      </w:r>
      <w:r w:rsidR="00205C2A" w:rsidRPr="00205C2A">
        <w:rPr>
          <w:i/>
        </w:rPr>
        <w:t xml:space="preserve"> Award 2010</w:t>
      </w:r>
      <w:r w:rsidR="00205C2A" w:rsidRPr="00205C2A">
        <w:t xml:space="preserve"> (the </w:t>
      </w:r>
      <w:r w:rsidR="002240F9">
        <w:t>A</w:t>
      </w:r>
      <w:r w:rsidR="00205C2A" w:rsidRPr="00205C2A">
        <w:t xml:space="preserve">ward) applies to employees </w:t>
      </w:r>
      <w:r w:rsidR="00FC1B76">
        <w:t xml:space="preserve">working </w:t>
      </w:r>
      <w:r w:rsidR="00205C2A" w:rsidRPr="00205C2A">
        <w:t xml:space="preserve">within the </w:t>
      </w:r>
      <w:r w:rsidR="00205C2A">
        <w:t>UTC</w:t>
      </w:r>
      <w:r w:rsidR="00612F08">
        <w:t>’s</w:t>
      </w:r>
      <w:r w:rsidR="00205C2A" w:rsidRPr="00205C2A">
        <w:t xml:space="preserve"> network</w:t>
      </w:r>
      <w:r w:rsidR="00612F08">
        <w:t xml:space="preserve"> of contractors</w:t>
      </w:r>
      <w:r w:rsidR="00205C2A">
        <w:t>,</w:t>
      </w:r>
      <w:r w:rsidR="00205C2A" w:rsidRPr="00205C2A">
        <w:t xml:space="preserve"> u</w:t>
      </w:r>
      <w:proofErr w:type="spellStart"/>
      <w:r w:rsidR="00205C2A" w:rsidRPr="00205C2A">
        <w:rPr>
          <w:szCs w:val="22"/>
          <w:lang w:val="en-US"/>
        </w:rPr>
        <w:t>nless</w:t>
      </w:r>
      <w:proofErr w:type="spellEnd"/>
      <w:r w:rsidR="00205C2A" w:rsidRPr="00205C2A">
        <w:rPr>
          <w:szCs w:val="22"/>
          <w:lang w:val="en-US"/>
        </w:rPr>
        <w:t xml:space="preserve"> a relevant enterprise agreement is in place</w:t>
      </w:r>
      <w:r w:rsidR="00205C2A" w:rsidRPr="00205C2A">
        <w:t xml:space="preserve">. </w:t>
      </w:r>
    </w:p>
    <w:p w14:paraId="1735A89A" w14:textId="5892F165" w:rsidR="00205C2A" w:rsidRPr="00205C2A" w:rsidRDefault="00205C2A" w:rsidP="00E87878">
      <w:pPr>
        <w:widowControl w:val="0"/>
        <w:snapToGrid w:val="0"/>
      </w:pPr>
      <w:r w:rsidRPr="00205C2A">
        <w:t xml:space="preserve">If an enterprise agreement applies, the provisions of the agreement will apply to the exclusion of the </w:t>
      </w:r>
      <w:r w:rsidR="002240F9">
        <w:t>A</w:t>
      </w:r>
      <w:r w:rsidRPr="00205C2A">
        <w:t xml:space="preserve">ward. However, the applicable wages in the agreement cannot be less than in the </w:t>
      </w:r>
      <w:r w:rsidR="002240F9">
        <w:t>A</w:t>
      </w:r>
      <w:r w:rsidRPr="00205C2A">
        <w:t xml:space="preserve">ward and the </w:t>
      </w:r>
      <w:r w:rsidRPr="00E84274">
        <w:rPr>
          <w:rStyle w:val="Hyperlink"/>
          <w:rFonts w:eastAsiaTheme="minorEastAsia" w:cs="Arial"/>
          <w:color w:val="auto"/>
          <w:u w:val="none"/>
        </w:rPr>
        <w:t>National Employment Standards</w:t>
      </w:r>
      <w:r w:rsidR="002240F9">
        <w:rPr>
          <w:rStyle w:val="Hyperlink"/>
          <w:rFonts w:eastAsiaTheme="minorEastAsia" w:cs="Arial"/>
          <w:color w:val="auto"/>
          <w:u w:val="none"/>
        </w:rPr>
        <w:t xml:space="preserve"> (NES)</w:t>
      </w:r>
      <w:r w:rsidR="00E84274">
        <w:rPr>
          <w:rStyle w:val="FootnoteReference"/>
          <w:rFonts w:eastAsiaTheme="minorEastAsia"/>
        </w:rPr>
        <w:footnoteReference w:id="6"/>
      </w:r>
      <w:r w:rsidRPr="00E84274">
        <w:t xml:space="preserve"> </w:t>
      </w:r>
      <w:r w:rsidRPr="00205C2A">
        <w:t>apply.</w:t>
      </w:r>
    </w:p>
    <w:p w14:paraId="0091DDF6" w14:textId="2D613537" w:rsidR="00205C2A" w:rsidRPr="00205C2A" w:rsidRDefault="00205C2A" w:rsidP="00E87878">
      <w:pPr>
        <w:widowControl w:val="0"/>
        <w:snapToGrid w:val="0"/>
      </w:pPr>
      <w:r w:rsidRPr="00205C2A">
        <w:t xml:space="preserve">The </w:t>
      </w:r>
      <w:r w:rsidR="002240F9">
        <w:t>A</w:t>
      </w:r>
      <w:r w:rsidRPr="00205C2A">
        <w:t xml:space="preserve">ward covers employers in the </w:t>
      </w:r>
      <w:r>
        <w:t>cleaning services</w:t>
      </w:r>
      <w:r w:rsidRPr="00205C2A">
        <w:t xml:space="preserve"> industry</w:t>
      </w:r>
      <w:r w:rsidR="002240F9">
        <w:t xml:space="preserve"> and </w:t>
      </w:r>
      <w:r w:rsidR="003E4E99">
        <w:t>trolley collectors employed by trolley collection businesses contracted by a retail shop.</w:t>
      </w:r>
    </w:p>
    <w:p w14:paraId="76FCDAD0" w14:textId="05435587" w:rsidR="00205C2A" w:rsidRPr="00205C2A" w:rsidRDefault="00205C2A" w:rsidP="00E87878">
      <w:r w:rsidRPr="00205C2A">
        <w:t xml:space="preserve">The </w:t>
      </w:r>
      <w:r w:rsidR="002240F9">
        <w:t>A</w:t>
      </w:r>
      <w:r w:rsidRPr="00205C2A">
        <w:t>ward provides for the engagement of full-time, part-time and casual employees. As of 1 July 2018, under the Award, the rates of pay for a permanent part-time or full-time adult employee are $</w:t>
      </w:r>
      <w:r w:rsidR="0098453E">
        <w:t xml:space="preserve">20.21 </w:t>
      </w:r>
      <w:r w:rsidRPr="00205C2A">
        <w:t>per hour (Level 1</w:t>
      </w:r>
      <w:r w:rsidR="0098453E">
        <w:t>).</w:t>
      </w:r>
    </w:p>
    <w:p w14:paraId="5D636376" w14:textId="77777777" w:rsidR="00205C2A" w:rsidRPr="00205C2A" w:rsidRDefault="00205C2A" w:rsidP="00E87878">
      <w:r w:rsidRPr="00205C2A">
        <w:t>Juniors (20 years of age or under) receive a percentage of the applicable adult rate, depending on the age of the individual. Some examples include:</w:t>
      </w:r>
    </w:p>
    <w:p w14:paraId="48EB7BA9" w14:textId="636F7F37" w:rsidR="00205C2A" w:rsidRPr="00205C2A" w:rsidRDefault="00205C2A" w:rsidP="00E87878">
      <w:pPr>
        <w:pStyle w:val="ListParagraph"/>
        <w:numPr>
          <w:ilvl w:val="0"/>
          <w:numId w:val="18"/>
        </w:numPr>
        <w:contextualSpacing w:val="0"/>
      </w:pPr>
      <w:r w:rsidRPr="00205C2A">
        <w:t>$</w:t>
      </w:r>
      <w:r w:rsidR="00DD24B4">
        <w:t>10.11</w:t>
      </w:r>
      <w:r w:rsidR="00E749A8">
        <w:t xml:space="preserve"> </w:t>
      </w:r>
      <w:r w:rsidRPr="00205C2A">
        <w:t>per hour (Level 1) for a 16-year-old (50% of adult rate)</w:t>
      </w:r>
    </w:p>
    <w:p w14:paraId="0CF3DB6A" w14:textId="153A235F" w:rsidR="00205C2A" w:rsidRDefault="00205C2A" w:rsidP="00E87878">
      <w:pPr>
        <w:pStyle w:val="ListParagraph"/>
        <w:numPr>
          <w:ilvl w:val="0"/>
          <w:numId w:val="18"/>
        </w:numPr>
        <w:contextualSpacing w:val="0"/>
      </w:pPr>
      <w:r w:rsidRPr="00205C2A">
        <w:t>$</w:t>
      </w:r>
      <w:r w:rsidR="00DD24B4">
        <w:t>16.17</w:t>
      </w:r>
      <w:r w:rsidRPr="00205C2A">
        <w:t xml:space="preserve"> (Level 1) for a 19-year-old. (80% of adult rate)</w:t>
      </w:r>
      <w:r w:rsidR="002240F9">
        <w:t>.</w:t>
      </w:r>
    </w:p>
    <w:p w14:paraId="05C256DB" w14:textId="0334C7A8" w:rsidR="00DC666E" w:rsidRDefault="00205C2A" w:rsidP="00E87878">
      <w:pPr>
        <w:widowControl w:val="0"/>
        <w:snapToGrid w:val="0"/>
      </w:pPr>
      <w:r w:rsidRPr="00205C2A">
        <w:t>Casual employees are entitled to</w:t>
      </w:r>
      <w:r w:rsidR="002240F9">
        <w:t>:</w:t>
      </w:r>
    </w:p>
    <w:p w14:paraId="0BCD4077" w14:textId="1BFF6A2B" w:rsidR="00DC666E" w:rsidRPr="00DC666E" w:rsidRDefault="00205C2A" w:rsidP="00E87878">
      <w:pPr>
        <w:pStyle w:val="ListParagraph"/>
        <w:widowControl w:val="0"/>
        <w:numPr>
          <w:ilvl w:val="0"/>
          <w:numId w:val="30"/>
        </w:numPr>
        <w:snapToGrid w:val="0"/>
        <w:contextualSpacing w:val="0"/>
        <w:rPr>
          <w:szCs w:val="22"/>
          <w:lang w:val="en-US"/>
        </w:rPr>
      </w:pPr>
      <w:r w:rsidRPr="00DC666E">
        <w:t>casual loading</w:t>
      </w:r>
      <w:r w:rsidR="00810856">
        <w:t xml:space="preserve"> of 25%</w:t>
      </w:r>
      <w:r w:rsidRPr="00DC666E">
        <w:t xml:space="preserve"> on top of the base rates of pay for a full-time employee</w:t>
      </w:r>
    </w:p>
    <w:p w14:paraId="5AEF36F2" w14:textId="3098C79E" w:rsidR="00DC666E" w:rsidRPr="00DC666E" w:rsidRDefault="00205C2A" w:rsidP="00E87878">
      <w:pPr>
        <w:pStyle w:val="ListParagraph"/>
        <w:widowControl w:val="0"/>
        <w:numPr>
          <w:ilvl w:val="0"/>
          <w:numId w:val="30"/>
        </w:numPr>
        <w:snapToGrid w:val="0"/>
        <w:contextualSpacing w:val="0"/>
        <w:rPr>
          <w:szCs w:val="22"/>
          <w:lang w:val="en-US"/>
        </w:rPr>
      </w:pPr>
      <w:r w:rsidRPr="00DC666E">
        <w:t xml:space="preserve">Saturday rates of pay incur a </w:t>
      </w:r>
      <w:r w:rsidR="00DD7934" w:rsidRPr="00DC666E">
        <w:t>50</w:t>
      </w:r>
      <w:r w:rsidRPr="00DC666E">
        <w:t>% penalty loading depending on the hours worked</w:t>
      </w:r>
    </w:p>
    <w:p w14:paraId="1731313F" w14:textId="77777777" w:rsidR="00DC666E" w:rsidRPr="00DC666E" w:rsidRDefault="00205C2A" w:rsidP="00E87878">
      <w:pPr>
        <w:pStyle w:val="ListParagraph"/>
        <w:widowControl w:val="0"/>
        <w:numPr>
          <w:ilvl w:val="0"/>
          <w:numId w:val="30"/>
        </w:numPr>
        <w:snapToGrid w:val="0"/>
        <w:contextualSpacing w:val="0"/>
        <w:rPr>
          <w:szCs w:val="22"/>
          <w:lang w:val="en-US"/>
        </w:rPr>
      </w:pPr>
      <w:r w:rsidRPr="00DC666E">
        <w:t xml:space="preserve">Sunday rates of pay incur a 100% loading depending on the hours worked. </w:t>
      </w:r>
    </w:p>
    <w:p w14:paraId="3E7DFC5B" w14:textId="4949E90A" w:rsidR="006133E9" w:rsidRDefault="00205C2A" w:rsidP="006133E9">
      <w:pPr>
        <w:widowControl w:val="0"/>
        <w:snapToGrid w:val="0"/>
        <w:rPr>
          <w:szCs w:val="22"/>
          <w:lang w:val="en-US"/>
        </w:rPr>
      </w:pPr>
      <w:r w:rsidRPr="00DC666E">
        <w:rPr>
          <w:szCs w:val="22"/>
          <w:lang w:val="en-US"/>
        </w:rPr>
        <w:t>Overtime rates of between 150% and 250% can apply depending on the time and number of hours an employee works.</w:t>
      </w:r>
      <w:r w:rsidR="00231995">
        <w:rPr>
          <w:szCs w:val="22"/>
          <w:lang w:val="en-US"/>
        </w:rPr>
        <w:t xml:space="preserve">  </w:t>
      </w:r>
      <w:bookmarkStart w:id="11" w:name="_Toc527720481"/>
    </w:p>
    <w:p w14:paraId="337DF2B6" w14:textId="77777777" w:rsidR="006133E9" w:rsidRDefault="006133E9">
      <w:pPr>
        <w:spacing w:after="0" w:line="240" w:lineRule="auto"/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4D9E15A0" w14:textId="4DA67AD6" w:rsidR="00E51624" w:rsidRPr="0022190E" w:rsidRDefault="00E51624">
      <w:pPr>
        <w:pStyle w:val="Heading1"/>
      </w:pPr>
      <w:r w:rsidRPr="0022190E">
        <w:lastRenderedPageBreak/>
        <w:t>Communication of the Deed</w:t>
      </w:r>
      <w:bookmarkEnd w:id="11"/>
      <w:r w:rsidRPr="0022190E">
        <w:t xml:space="preserve"> </w:t>
      </w:r>
    </w:p>
    <w:p w14:paraId="44B080E1" w14:textId="174FE74A" w:rsidR="002A410C" w:rsidRPr="00721B86" w:rsidRDefault="00644287">
      <w:pPr>
        <w:pStyle w:val="Heading2"/>
      </w:pPr>
      <w:r>
        <w:t>UTC c</w:t>
      </w:r>
      <w:r w:rsidR="002A410C">
        <w:t xml:space="preserve">ommunication </w:t>
      </w:r>
    </w:p>
    <w:p w14:paraId="424D04D7" w14:textId="53A29379" w:rsidR="00190416" w:rsidRDefault="00E51624" w:rsidP="00DC30F1">
      <w:pPr>
        <w:rPr>
          <w:szCs w:val="22"/>
        </w:rPr>
      </w:pPr>
      <w:r w:rsidRPr="0022190E">
        <w:rPr>
          <w:szCs w:val="22"/>
        </w:rPr>
        <w:t xml:space="preserve">UTC informed </w:t>
      </w:r>
      <w:r w:rsidR="00612F08">
        <w:rPr>
          <w:szCs w:val="22"/>
        </w:rPr>
        <w:t xml:space="preserve">its </w:t>
      </w:r>
      <w:r w:rsidRPr="0022190E">
        <w:rPr>
          <w:szCs w:val="22"/>
        </w:rPr>
        <w:t xml:space="preserve">staff that </w:t>
      </w:r>
      <w:r w:rsidR="004C308A">
        <w:rPr>
          <w:szCs w:val="22"/>
        </w:rPr>
        <w:t xml:space="preserve">it </w:t>
      </w:r>
      <w:r w:rsidRPr="0022190E">
        <w:rPr>
          <w:szCs w:val="22"/>
        </w:rPr>
        <w:t>had entered into a compliance partnership</w:t>
      </w:r>
      <w:r w:rsidR="002240F9" w:rsidRPr="002240F9">
        <w:rPr>
          <w:szCs w:val="22"/>
        </w:rPr>
        <w:t xml:space="preserve"> </w:t>
      </w:r>
      <w:r w:rsidR="002240F9">
        <w:rPr>
          <w:szCs w:val="22"/>
        </w:rPr>
        <w:t>(as per clause A1 of the PCD)</w:t>
      </w:r>
      <w:r w:rsidR="004C7B5B">
        <w:rPr>
          <w:szCs w:val="22"/>
        </w:rPr>
        <w:t>.</w:t>
      </w:r>
    </w:p>
    <w:p w14:paraId="1FBF826D" w14:textId="743092DF" w:rsidR="00190416" w:rsidRDefault="00100CE5" w:rsidP="00DC30F1">
      <w:pPr>
        <w:rPr>
          <w:szCs w:val="22"/>
        </w:rPr>
      </w:pPr>
      <w:r>
        <w:rPr>
          <w:szCs w:val="22"/>
        </w:rPr>
        <w:t>At the company’s 2014 annual conference,</w:t>
      </w:r>
      <w:r w:rsidR="002A410C">
        <w:rPr>
          <w:szCs w:val="22"/>
        </w:rPr>
        <w:t xml:space="preserve"> FWO representatives explained and discussed the compliance partnership and UTC’s commitment to ensuring compliance with workplace laws. </w:t>
      </w:r>
    </w:p>
    <w:p w14:paraId="10FB4CAB" w14:textId="1F288033" w:rsidR="00AC1D14" w:rsidRPr="0022190E" w:rsidRDefault="002A410C" w:rsidP="00DC30F1">
      <w:pPr>
        <w:rPr>
          <w:szCs w:val="22"/>
        </w:rPr>
      </w:pPr>
      <w:r>
        <w:rPr>
          <w:szCs w:val="22"/>
        </w:rPr>
        <w:t>UTC communicated the existence of the PCD to its sub-contractors</w:t>
      </w:r>
      <w:r w:rsidR="00DC30F1">
        <w:rPr>
          <w:szCs w:val="22"/>
        </w:rPr>
        <w:t xml:space="preserve"> and their staff</w:t>
      </w:r>
      <w:r>
        <w:rPr>
          <w:szCs w:val="22"/>
        </w:rPr>
        <w:t xml:space="preserve"> through the UTC website with a linked copy of the PCD available</w:t>
      </w:r>
      <w:r w:rsidR="00DC30F1">
        <w:rPr>
          <w:szCs w:val="22"/>
        </w:rPr>
        <w:t xml:space="preserve"> as well as information concerning </w:t>
      </w:r>
      <w:r w:rsidR="00612F08">
        <w:rPr>
          <w:szCs w:val="22"/>
        </w:rPr>
        <w:t xml:space="preserve">a </w:t>
      </w:r>
      <w:r w:rsidR="009936D0">
        <w:rPr>
          <w:szCs w:val="22"/>
        </w:rPr>
        <w:t xml:space="preserve">UTC App </w:t>
      </w:r>
      <w:r w:rsidR="00DC30F1">
        <w:rPr>
          <w:szCs w:val="22"/>
        </w:rPr>
        <w:t xml:space="preserve">that </w:t>
      </w:r>
      <w:r>
        <w:rPr>
          <w:szCs w:val="22"/>
        </w:rPr>
        <w:t>provides employees with information on their entitlements</w:t>
      </w:r>
      <w:r w:rsidR="008032BA">
        <w:rPr>
          <w:szCs w:val="22"/>
        </w:rPr>
        <w:t xml:space="preserve"> and other resources</w:t>
      </w:r>
      <w:r>
        <w:rPr>
          <w:szCs w:val="22"/>
        </w:rPr>
        <w:t>.</w:t>
      </w:r>
    </w:p>
    <w:p w14:paraId="13B8F106" w14:textId="52F80FF6" w:rsidR="00D33D87" w:rsidRDefault="002240F9" w:rsidP="00DC30F1">
      <w:pPr>
        <w:rPr>
          <w:szCs w:val="22"/>
        </w:rPr>
      </w:pPr>
      <w:r>
        <w:rPr>
          <w:szCs w:val="22"/>
        </w:rPr>
        <w:t>UTC</w:t>
      </w:r>
      <w:r w:rsidR="00A035E0">
        <w:rPr>
          <w:szCs w:val="22"/>
        </w:rPr>
        <w:t xml:space="preserve"> appointed a</w:t>
      </w:r>
      <w:r w:rsidR="001D28B6">
        <w:rPr>
          <w:szCs w:val="22"/>
        </w:rPr>
        <w:t>n</w:t>
      </w:r>
      <w:r w:rsidR="00E51624" w:rsidRPr="0022190E">
        <w:rPr>
          <w:szCs w:val="22"/>
        </w:rPr>
        <w:t xml:space="preserve"> employee </w:t>
      </w:r>
      <w:r w:rsidR="00E51624" w:rsidRPr="001D7362">
        <w:rPr>
          <w:szCs w:val="22"/>
        </w:rPr>
        <w:t xml:space="preserve">liaison officer </w:t>
      </w:r>
      <w:r w:rsidR="00A035E0">
        <w:rPr>
          <w:szCs w:val="22"/>
        </w:rPr>
        <w:t>to make</w:t>
      </w:r>
      <w:r w:rsidR="00EA3533" w:rsidRPr="001D7362">
        <w:rPr>
          <w:szCs w:val="22"/>
        </w:rPr>
        <w:t xml:space="preserve"> </w:t>
      </w:r>
      <w:r w:rsidR="00FA4C3C">
        <w:rPr>
          <w:szCs w:val="22"/>
        </w:rPr>
        <w:t>sub-</w:t>
      </w:r>
      <w:r w:rsidR="00EA3533" w:rsidRPr="001D7362">
        <w:rPr>
          <w:szCs w:val="22"/>
        </w:rPr>
        <w:t xml:space="preserve">contractors </w:t>
      </w:r>
      <w:r w:rsidR="00612F08">
        <w:rPr>
          <w:szCs w:val="22"/>
        </w:rPr>
        <w:t xml:space="preserve">and their staff </w:t>
      </w:r>
      <w:r w:rsidR="00EA3533" w:rsidRPr="001D7362">
        <w:rPr>
          <w:szCs w:val="22"/>
        </w:rPr>
        <w:t xml:space="preserve">aware of </w:t>
      </w:r>
      <w:r w:rsidR="00E51624" w:rsidRPr="001D7362">
        <w:rPr>
          <w:szCs w:val="22"/>
        </w:rPr>
        <w:t xml:space="preserve">who </w:t>
      </w:r>
      <w:r w:rsidR="00612F08">
        <w:rPr>
          <w:szCs w:val="22"/>
        </w:rPr>
        <w:t>c</w:t>
      </w:r>
      <w:r w:rsidR="00612F08" w:rsidRPr="001D7362">
        <w:rPr>
          <w:szCs w:val="22"/>
        </w:rPr>
        <w:t xml:space="preserve">ould </w:t>
      </w:r>
      <w:r w:rsidR="00E51624" w:rsidRPr="001D7362">
        <w:rPr>
          <w:szCs w:val="22"/>
        </w:rPr>
        <w:t>provide them with information about employee entitlements and rights at work</w:t>
      </w:r>
      <w:r w:rsidR="00612F08">
        <w:rPr>
          <w:szCs w:val="22"/>
        </w:rPr>
        <w:t xml:space="preserve">, including any questions </w:t>
      </w:r>
      <w:r w:rsidR="00D33D87">
        <w:rPr>
          <w:szCs w:val="22"/>
        </w:rPr>
        <w:t>regarding:</w:t>
      </w:r>
    </w:p>
    <w:p w14:paraId="39032FCC" w14:textId="77777777" w:rsidR="00D33D87" w:rsidRDefault="00D33D87">
      <w:pPr>
        <w:pStyle w:val="Bullet"/>
      </w:pPr>
      <w:r>
        <w:t xml:space="preserve">workplace entitlements </w:t>
      </w:r>
    </w:p>
    <w:p w14:paraId="4A4D7CED" w14:textId="77777777" w:rsidR="00D33D87" w:rsidRDefault="00D33D87">
      <w:pPr>
        <w:pStyle w:val="Bullet"/>
      </w:pPr>
      <w:r>
        <w:t>rights at work</w:t>
      </w:r>
    </w:p>
    <w:p w14:paraId="19BE6572" w14:textId="77777777" w:rsidR="00D33D87" w:rsidRDefault="00D33D87">
      <w:pPr>
        <w:pStyle w:val="Bullet"/>
      </w:pPr>
      <w:r>
        <w:t>where a copy of the PCD can be viewed</w:t>
      </w:r>
    </w:p>
    <w:p w14:paraId="3846759F" w14:textId="77777777" w:rsidR="008C7810" w:rsidRDefault="008C7810">
      <w:pPr>
        <w:pStyle w:val="Bullet"/>
      </w:pPr>
      <w:r>
        <w:t>resolution of employee complaints</w:t>
      </w:r>
    </w:p>
    <w:p w14:paraId="021B18E0" w14:textId="2AA62DD2" w:rsidR="00E51624" w:rsidRDefault="00D33D87">
      <w:pPr>
        <w:pStyle w:val="Bullet"/>
      </w:pPr>
      <w:proofErr w:type="gramStart"/>
      <w:r>
        <w:t>any</w:t>
      </w:r>
      <w:proofErr w:type="gramEnd"/>
      <w:r>
        <w:t xml:space="preserve"> other related enquiries</w:t>
      </w:r>
      <w:r w:rsidR="002240F9">
        <w:t>.</w:t>
      </w:r>
      <w:r>
        <w:t xml:space="preserve"> </w:t>
      </w:r>
    </w:p>
    <w:p w14:paraId="6496011F" w14:textId="0EFAA561" w:rsidR="002A410C" w:rsidRDefault="008C7810" w:rsidP="00DC30F1">
      <w:pPr>
        <w:rPr>
          <w:szCs w:val="22"/>
        </w:rPr>
      </w:pPr>
      <w:r w:rsidRPr="008C7810">
        <w:rPr>
          <w:szCs w:val="22"/>
        </w:rPr>
        <w:t>The</w:t>
      </w:r>
      <w:r w:rsidR="00612F08">
        <w:rPr>
          <w:szCs w:val="22"/>
        </w:rPr>
        <w:t xml:space="preserve"> UTC employee</w:t>
      </w:r>
      <w:r w:rsidRPr="008C7810">
        <w:rPr>
          <w:szCs w:val="22"/>
        </w:rPr>
        <w:t xml:space="preserve"> liaison officer was also the contact</w:t>
      </w:r>
      <w:r w:rsidR="009936D0">
        <w:rPr>
          <w:szCs w:val="22"/>
        </w:rPr>
        <w:t xml:space="preserve"> point for managing any </w:t>
      </w:r>
      <w:r w:rsidR="009936D0" w:rsidRPr="008C7810">
        <w:rPr>
          <w:szCs w:val="22"/>
        </w:rPr>
        <w:t xml:space="preserve">requests for assistance </w:t>
      </w:r>
      <w:r w:rsidR="009936D0">
        <w:rPr>
          <w:szCs w:val="22"/>
        </w:rPr>
        <w:t xml:space="preserve">referred by the FWO. </w:t>
      </w:r>
    </w:p>
    <w:p w14:paraId="69B5E17F" w14:textId="11EC568D" w:rsidR="002A410C" w:rsidRPr="008032BA" w:rsidRDefault="00644287">
      <w:pPr>
        <w:pStyle w:val="Heading2"/>
      </w:pPr>
      <w:r>
        <w:t>FWO c</w:t>
      </w:r>
      <w:r w:rsidR="002A410C">
        <w:t xml:space="preserve">ommunication </w:t>
      </w:r>
    </w:p>
    <w:p w14:paraId="0198B0D0" w14:textId="1B2C08DF" w:rsidR="000466E9" w:rsidRPr="0022190E" w:rsidRDefault="000466E9" w:rsidP="00DC30F1">
      <w:pPr>
        <w:rPr>
          <w:szCs w:val="22"/>
        </w:rPr>
      </w:pPr>
      <w:r w:rsidRPr="0022190E">
        <w:rPr>
          <w:szCs w:val="22"/>
        </w:rPr>
        <w:t xml:space="preserve">The FWO issued a </w:t>
      </w:r>
      <w:r w:rsidRPr="00F227D4">
        <w:rPr>
          <w:rStyle w:val="Hyperlink"/>
          <w:rFonts w:cs="Arial"/>
          <w:color w:val="auto"/>
          <w:szCs w:val="22"/>
          <w:u w:val="none"/>
        </w:rPr>
        <w:t>media release</w:t>
      </w:r>
      <w:r w:rsidR="00F227D4">
        <w:rPr>
          <w:rStyle w:val="FootnoteReference"/>
          <w:szCs w:val="22"/>
        </w:rPr>
        <w:footnoteReference w:id="7"/>
      </w:r>
      <w:r w:rsidRPr="00F227D4">
        <w:rPr>
          <w:szCs w:val="22"/>
        </w:rPr>
        <w:t xml:space="preserve"> </w:t>
      </w:r>
      <w:r w:rsidRPr="0022190E">
        <w:rPr>
          <w:szCs w:val="22"/>
        </w:rPr>
        <w:t>on 29 August 2014 publicly announcing the compliance partnership between the FWO and UTC.</w:t>
      </w:r>
    </w:p>
    <w:p w14:paraId="48046324" w14:textId="02B04E4C" w:rsidR="000225D5" w:rsidRDefault="00FA4024" w:rsidP="00120CE4">
      <w:pPr>
        <w:rPr>
          <w:szCs w:val="22"/>
        </w:rPr>
      </w:pPr>
      <w:r w:rsidRPr="0022190E">
        <w:rPr>
          <w:szCs w:val="22"/>
        </w:rPr>
        <w:t xml:space="preserve">The FWO posted a notice on </w:t>
      </w:r>
      <w:r w:rsidR="001D7362">
        <w:rPr>
          <w:szCs w:val="22"/>
        </w:rPr>
        <w:t>its</w:t>
      </w:r>
      <w:r>
        <w:rPr>
          <w:szCs w:val="22"/>
        </w:rPr>
        <w:t xml:space="preserve"> </w:t>
      </w:r>
      <w:r w:rsidRPr="0022190E">
        <w:rPr>
          <w:szCs w:val="22"/>
        </w:rPr>
        <w:t xml:space="preserve">internal website to inform </w:t>
      </w:r>
      <w:r w:rsidR="001D7362">
        <w:rPr>
          <w:szCs w:val="22"/>
        </w:rPr>
        <w:t>its</w:t>
      </w:r>
      <w:r w:rsidRPr="0022190E">
        <w:rPr>
          <w:szCs w:val="22"/>
        </w:rPr>
        <w:t xml:space="preserve"> staff about the compliance partnership</w:t>
      </w:r>
      <w:r w:rsidR="00747D93">
        <w:rPr>
          <w:szCs w:val="22"/>
        </w:rPr>
        <w:t xml:space="preserve">. The </w:t>
      </w:r>
      <w:r w:rsidR="00F648C4">
        <w:rPr>
          <w:szCs w:val="22"/>
        </w:rPr>
        <w:t>PCD required FWO</w:t>
      </w:r>
      <w:r w:rsidR="00747D93">
        <w:rPr>
          <w:szCs w:val="22"/>
        </w:rPr>
        <w:t xml:space="preserve"> employees </w:t>
      </w:r>
      <w:r w:rsidR="008227DB">
        <w:rPr>
          <w:szCs w:val="22"/>
        </w:rPr>
        <w:t>to</w:t>
      </w:r>
      <w:r w:rsidRPr="0022190E">
        <w:rPr>
          <w:szCs w:val="22"/>
        </w:rPr>
        <w:t xml:space="preserve"> refer any enquiries and requests for assistance related to UTC to the </w:t>
      </w:r>
      <w:r w:rsidR="008227DB">
        <w:rPr>
          <w:szCs w:val="22"/>
        </w:rPr>
        <w:t>FWO Strategic Partnerships team</w:t>
      </w:r>
      <w:r w:rsidRPr="0022190E">
        <w:rPr>
          <w:szCs w:val="22"/>
        </w:rPr>
        <w:t>.</w:t>
      </w:r>
    </w:p>
    <w:p w14:paraId="6B5C4234" w14:textId="603738F8" w:rsidR="000225D5" w:rsidRPr="0022190E" w:rsidRDefault="000225D5">
      <w:pPr>
        <w:pStyle w:val="Heading1"/>
      </w:pPr>
      <w:bookmarkStart w:id="12" w:name="_Toc527720482"/>
      <w:r>
        <w:lastRenderedPageBreak/>
        <w:t xml:space="preserve">Workplace </w:t>
      </w:r>
      <w:r w:rsidR="008333A9">
        <w:t>r</w:t>
      </w:r>
      <w:r>
        <w:t xml:space="preserve">elations </w:t>
      </w:r>
      <w:r w:rsidR="008333A9">
        <w:t>t</w:t>
      </w:r>
      <w:r>
        <w:t>raining</w:t>
      </w:r>
      <w:bookmarkEnd w:id="12"/>
    </w:p>
    <w:p w14:paraId="2B7A379B" w14:textId="3AFC01F4" w:rsidR="00593022" w:rsidRPr="006E2962" w:rsidRDefault="00B0716A" w:rsidP="00E8787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UTC provided the FWO with details about ongoing workplace relations training it provided to its </w:t>
      </w:r>
      <w:r w:rsidR="00FA4C3C">
        <w:rPr>
          <w:rFonts w:ascii="Helvetica" w:hAnsi="Helvetica" w:cs="Helvetica"/>
        </w:rPr>
        <w:t>sub-</w:t>
      </w:r>
      <w:r>
        <w:rPr>
          <w:rFonts w:ascii="Helvetica" w:hAnsi="Helvetica" w:cs="Helvetica"/>
        </w:rPr>
        <w:t xml:space="preserve">contractors </w:t>
      </w:r>
      <w:r w:rsidR="008333A9">
        <w:rPr>
          <w:rFonts w:ascii="Helvetica" w:hAnsi="Helvetica" w:cs="Helvetica"/>
        </w:rPr>
        <w:t>(as per clause A6 of the PCD).</w:t>
      </w:r>
    </w:p>
    <w:p w14:paraId="0AB40230" w14:textId="77777777" w:rsidR="00B0716A" w:rsidRPr="00B0716A" w:rsidRDefault="00B0716A" w:rsidP="00E87878">
      <w:r>
        <w:t>The training included material on:</w:t>
      </w:r>
    </w:p>
    <w:p w14:paraId="36C4ACDA" w14:textId="4BB5DEEB" w:rsidR="00B0716A" w:rsidRPr="00B0716A" w:rsidRDefault="008333A9" w:rsidP="00E87878">
      <w:pPr>
        <w:pStyle w:val="Bullet"/>
        <w:numPr>
          <w:ilvl w:val="0"/>
          <w:numId w:val="25"/>
        </w:numPr>
      </w:pPr>
      <w:r>
        <w:t>c</w:t>
      </w:r>
      <w:r w:rsidR="00B0716A">
        <w:t xml:space="preserve">ompliance with the </w:t>
      </w:r>
      <w:r w:rsidR="00B0716A" w:rsidRPr="00B0716A">
        <w:rPr>
          <w:i/>
        </w:rPr>
        <w:t>Fair Work Act 2009</w:t>
      </w:r>
      <w:r w:rsidR="00B0716A">
        <w:t xml:space="preserve"> (</w:t>
      </w:r>
      <w:r>
        <w:t xml:space="preserve">the </w:t>
      </w:r>
      <w:r w:rsidR="00B0716A">
        <w:t xml:space="preserve">Act) and the </w:t>
      </w:r>
      <w:r w:rsidRPr="007C0DA4">
        <w:t>Award</w:t>
      </w:r>
    </w:p>
    <w:p w14:paraId="3227F0A0" w14:textId="146E73A0" w:rsidR="00B0716A" w:rsidRDefault="008333A9" w:rsidP="00E87878">
      <w:pPr>
        <w:pStyle w:val="Bullet"/>
        <w:numPr>
          <w:ilvl w:val="0"/>
          <w:numId w:val="25"/>
        </w:numPr>
      </w:pPr>
      <w:r>
        <w:t>o</w:t>
      </w:r>
      <w:r w:rsidR="00B0716A">
        <w:t xml:space="preserve">bligations for </w:t>
      </w:r>
      <w:r w:rsidR="00336948">
        <w:t>sub-</w:t>
      </w:r>
      <w:r w:rsidR="00B0716A">
        <w:t>contractors under the Act</w:t>
      </w:r>
    </w:p>
    <w:p w14:paraId="1B65CB2D" w14:textId="03C21790" w:rsidR="006E2962" w:rsidRPr="00810856" w:rsidRDefault="007C0DA4" w:rsidP="00E87878">
      <w:pPr>
        <w:pStyle w:val="Bullet"/>
        <w:numPr>
          <w:ilvl w:val="0"/>
          <w:numId w:val="25"/>
        </w:numPr>
      </w:pPr>
      <w:proofErr w:type="gramStart"/>
      <w:r>
        <w:t>options</w:t>
      </w:r>
      <w:proofErr w:type="gramEnd"/>
      <w:r w:rsidR="00B0716A">
        <w:t xml:space="preserve"> available to employees of </w:t>
      </w:r>
      <w:r w:rsidR="00336948">
        <w:t>sub-</w:t>
      </w:r>
      <w:r w:rsidR="00B0716A">
        <w:t>contractors to raise complaints via UTC or the FWO.</w:t>
      </w:r>
    </w:p>
    <w:p w14:paraId="37AB71F5" w14:textId="4292E1AA" w:rsidR="00050071" w:rsidRDefault="00DC30F1" w:rsidP="00E87878">
      <w:pPr>
        <w:rPr>
          <w:szCs w:val="22"/>
        </w:rPr>
      </w:pPr>
      <w:r>
        <w:rPr>
          <w:szCs w:val="22"/>
        </w:rPr>
        <w:t xml:space="preserve">Throughout the course of the partnership, </w:t>
      </w:r>
      <w:r w:rsidR="008333A9">
        <w:rPr>
          <w:szCs w:val="22"/>
        </w:rPr>
        <w:t xml:space="preserve">UTC </w:t>
      </w:r>
      <w:r w:rsidR="009B2764" w:rsidRPr="006227E7">
        <w:rPr>
          <w:szCs w:val="22"/>
        </w:rPr>
        <w:t>h</w:t>
      </w:r>
      <w:r>
        <w:rPr>
          <w:szCs w:val="22"/>
        </w:rPr>
        <w:t>eld</w:t>
      </w:r>
      <w:r w:rsidR="009B2764" w:rsidRPr="006227E7">
        <w:rPr>
          <w:szCs w:val="22"/>
        </w:rPr>
        <w:t xml:space="preserve"> </w:t>
      </w:r>
      <w:r w:rsidR="007000CC" w:rsidRPr="006227E7">
        <w:rPr>
          <w:szCs w:val="22"/>
        </w:rPr>
        <w:t>annual</w:t>
      </w:r>
      <w:r w:rsidR="00050071" w:rsidRPr="006227E7">
        <w:rPr>
          <w:szCs w:val="22"/>
        </w:rPr>
        <w:t xml:space="preserve"> conferences</w:t>
      </w:r>
      <w:r w:rsidR="00050071">
        <w:rPr>
          <w:szCs w:val="22"/>
        </w:rPr>
        <w:t xml:space="preserve"> </w:t>
      </w:r>
      <w:r w:rsidR="007000CC">
        <w:rPr>
          <w:szCs w:val="22"/>
        </w:rPr>
        <w:t>that include</w:t>
      </w:r>
      <w:r w:rsidR="00B633AE">
        <w:rPr>
          <w:szCs w:val="22"/>
        </w:rPr>
        <w:t>d</w:t>
      </w:r>
      <w:r w:rsidR="006E3C9C">
        <w:rPr>
          <w:szCs w:val="22"/>
        </w:rPr>
        <w:t xml:space="preserve"> </w:t>
      </w:r>
      <w:r w:rsidR="00050071">
        <w:rPr>
          <w:szCs w:val="22"/>
        </w:rPr>
        <w:t xml:space="preserve">education and training sessions </w:t>
      </w:r>
      <w:r w:rsidR="007000CC">
        <w:rPr>
          <w:szCs w:val="22"/>
        </w:rPr>
        <w:t>for its</w:t>
      </w:r>
      <w:r w:rsidR="00050071">
        <w:rPr>
          <w:szCs w:val="22"/>
        </w:rPr>
        <w:t xml:space="preserve"> team of 60 subcontractors.</w:t>
      </w:r>
      <w:r w:rsidR="007000CC">
        <w:rPr>
          <w:szCs w:val="22"/>
        </w:rPr>
        <w:t xml:space="preserve"> Th</w:t>
      </w:r>
      <w:r>
        <w:rPr>
          <w:szCs w:val="22"/>
        </w:rPr>
        <w:t xml:space="preserve">e Conferences provided the network of businesses </w:t>
      </w:r>
      <w:r w:rsidR="00050071">
        <w:rPr>
          <w:szCs w:val="22"/>
        </w:rPr>
        <w:t xml:space="preserve">with knowledge and awareness of their obligations with </w:t>
      </w:r>
      <w:r w:rsidR="008333A9">
        <w:rPr>
          <w:szCs w:val="22"/>
        </w:rPr>
        <w:t xml:space="preserve">Australia’s </w:t>
      </w:r>
      <w:r w:rsidR="00050071">
        <w:rPr>
          <w:szCs w:val="22"/>
        </w:rPr>
        <w:t>workplace laws.</w:t>
      </w:r>
    </w:p>
    <w:p w14:paraId="473FA1E4" w14:textId="235D6ECB" w:rsidR="00050071" w:rsidRDefault="00050071" w:rsidP="00E87878">
      <w:pPr>
        <w:rPr>
          <w:szCs w:val="22"/>
        </w:rPr>
      </w:pPr>
      <w:r>
        <w:rPr>
          <w:szCs w:val="22"/>
        </w:rPr>
        <w:t xml:space="preserve">At each conference, UTC invited </w:t>
      </w:r>
      <w:r w:rsidR="008333A9">
        <w:rPr>
          <w:szCs w:val="22"/>
        </w:rPr>
        <w:t xml:space="preserve">Fair Work Inspectors </w:t>
      </w:r>
      <w:r>
        <w:rPr>
          <w:szCs w:val="22"/>
        </w:rPr>
        <w:t xml:space="preserve">to </w:t>
      </w:r>
      <w:r w:rsidR="00E552CD">
        <w:rPr>
          <w:szCs w:val="22"/>
        </w:rPr>
        <w:t>present on the topic of</w:t>
      </w:r>
      <w:r>
        <w:rPr>
          <w:szCs w:val="22"/>
        </w:rPr>
        <w:t xml:space="preserve"> compliance with workplace laws and their employee’s lawful entitlements.</w:t>
      </w:r>
    </w:p>
    <w:p w14:paraId="3C82FF53" w14:textId="31D992A5" w:rsidR="00E552CD" w:rsidRDefault="004447A2" w:rsidP="00E87878">
      <w:pPr>
        <w:rPr>
          <w:szCs w:val="22"/>
        </w:rPr>
      </w:pPr>
      <w:r>
        <w:rPr>
          <w:szCs w:val="22"/>
        </w:rPr>
        <w:t xml:space="preserve">The company </w:t>
      </w:r>
      <w:r w:rsidR="00050071">
        <w:rPr>
          <w:szCs w:val="22"/>
        </w:rPr>
        <w:t xml:space="preserve">provided information packs to educate and assist its </w:t>
      </w:r>
      <w:r w:rsidR="00E552CD">
        <w:rPr>
          <w:szCs w:val="22"/>
        </w:rPr>
        <w:t xml:space="preserve">contractors </w:t>
      </w:r>
      <w:r w:rsidR="00050071">
        <w:rPr>
          <w:szCs w:val="22"/>
        </w:rPr>
        <w:t xml:space="preserve">on Award entitlements. The information provided in these packs </w:t>
      </w:r>
      <w:r w:rsidR="006B7BE8">
        <w:rPr>
          <w:szCs w:val="22"/>
        </w:rPr>
        <w:t>addresse</w:t>
      </w:r>
      <w:r w:rsidR="00E552CD">
        <w:rPr>
          <w:szCs w:val="22"/>
        </w:rPr>
        <w:t>d</w:t>
      </w:r>
      <w:r w:rsidR="006B7BE8">
        <w:rPr>
          <w:szCs w:val="22"/>
        </w:rPr>
        <w:t xml:space="preserve"> </w:t>
      </w:r>
      <w:r w:rsidR="00050071">
        <w:rPr>
          <w:szCs w:val="22"/>
        </w:rPr>
        <w:t xml:space="preserve">common mistakes </w:t>
      </w:r>
      <w:r w:rsidR="00E552CD">
        <w:rPr>
          <w:szCs w:val="22"/>
        </w:rPr>
        <w:t xml:space="preserve">made by the contractors disclosed in </w:t>
      </w:r>
      <w:proofErr w:type="gramStart"/>
      <w:r w:rsidR="00E552CD">
        <w:rPr>
          <w:szCs w:val="22"/>
        </w:rPr>
        <w:t>the self-audits</w:t>
      </w:r>
      <w:proofErr w:type="gramEnd"/>
      <w:r w:rsidR="00E552CD">
        <w:rPr>
          <w:szCs w:val="22"/>
        </w:rPr>
        <w:t>.</w:t>
      </w:r>
    </w:p>
    <w:p w14:paraId="7D6F883B" w14:textId="449CAD4C" w:rsidR="00473148" w:rsidRPr="0022190E" w:rsidRDefault="000F3FDB">
      <w:pPr>
        <w:pStyle w:val="Heading1"/>
      </w:pPr>
      <w:bookmarkStart w:id="13" w:name="_Toc527720483"/>
      <w:r w:rsidRPr="0022190E">
        <w:t xml:space="preserve">Systems and </w:t>
      </w:r>
      <w:r w:rsidR="008333A9">
        <w:t>p</w:t>
      </w:r>
      <w:r w:rsidRPr="0022190E">
        <w:t>rocesses</w:t>
      </w:r>
      <w:bookmarkEnd w:id="13"/>
      <w:r w:rsidRPr="0022190E">
        <w:t xml:space="preserve"> </w:t>
      </w:r>
    </w:p>
    <w:p w14:paraId="73C54445" w14:textId="1C7545A5" w:rsidR="00EB14C1" w:rsidRDefault="00EB14C1" w:rsidP="00EB14C1">
      <w:pPr>
        <w:rPr>
          <w:szCs w:val="22"/>
        </w:rPr>
      </w:pPr>
      <w:r>
        <w:rPr>
          <w:szCs w:val="22"/>
        </w:rPr>
        <w:t>UTC</w:t>
      </w:r>
      <w:r w:rsidR="003D7182">
        <w:rPr>
          <w:szCs w:val="22"/>
        </w:rPr>
        <w:t xml:space="preserve"> was required to develop and </w:t>
      </w:r>
      <w:r>
        <w:rPr>
          <w:szCs w:val="22"/>
        </w:rPr>
        <w:t>implement</w:t>
      </w:r>
      <w:r w:rsidR="003D7182">
        <w:rPr>
          <w:szCs w:val="22"/>
        </w:rPr>
        <w:t xml:space="preserve"> </w:t>
      </w:r>
      <w:r>
        <w:rPr>
          <w:szCs w:val="22"/>
        </w:rPr>
        <w:t>systems and processes to support its contractor network achieve compliance with workplace laws</w:t>
      </w:r>
      <w:r w:rsidRPr="008333A9">
        <w:rPr>
          <w:szCs w:val="22"/>
        </w:rPr>
        <w:t xml:space="preserve"> </w:t>
      </w:r>
      <w:r>
        <w:rPr>
          <w:szCs w:val="22"/>
        </w:rPr>
        <w:t xml:space="preserve">(as per clause A2 of the PCD). </w:t>
      </w:r>
    </w:p>
    <w:p w14:paraId="19BF8D05" w14:textId="408CC0FA" w:rsidR="00641735" w:rsidRPr="00AC7347" w:rsidRDefault="00353024" w:rsidP="00EB14C1">
      <w:pPr>
        <w:rPr>
          <w:szCs w:val="22"/>
        </w:rPr>
      </w:pPr>
      <w:r>
        <w:rPr>
          <w:szCs w:val="22"/>
        </w:rPr>
        <w:t>UTC reported to the FWO that p</w:t>
      </w:r>
      <w:r w:rsidR="00696528">
        <w:rPr>
          <w:szCs w:val="22"/>
        </w:rPr>
        <w:t xml:space="preserve">rior to the commencement of the PCD, </w:t>
      </w:r>
      <w:r w:rsidR="005679A3">
        <w:rPr>
          <w:szCs w:val="22"/>
        </w:rPr>
        <w:t xml:space="preserve">it had </w:t>
      </w:r>
      <w:r w:rsidR="00641735" w:rsidRPr="00044A86">
        <w:rPr>
          <w:szCs w:val="22"/>
        </w:rPr>
        <w:t>implement</w:t>
      </w:r>
      <w:r w:rsidR="00696528">
        <w:rPr>
          <w:szCs w:val="22"/>
        </w:rPr>
        <w:t>ed</w:t>
      </w:r>
      <w:r w:rsidR="00641735" w:rsidRPr="00044A86">
        <w:rPr>
          <w:szCs w:val="22"/>
        </w:rPr>
        <w:t xml:space="preserve"> a more structured payroll system by engaging a third party payroll provider</w:t>
      </w:r>
      <w:r w:rsidR="00696528">
        <w:rPr>
          <w:szCs w:val="22"/>
        </w:rPr>
        <w:t>,</w:t>
      </w:r>
      <w:r w:rsidR="00641735">
        <w:rPr>
          <w:szCs w:val="22"/>
        </w:rPr>
        <w:t xml:space="preserve"> </w:t>
      </w:r>
      <w:r w:rsidR="00641735" w:rsidRPr="00AC7347">
        <w:rPr>
          <w:szCs w:val="22"/>
        </w:rPr>
        <w:t>Talent2</w:t>
      </w:r>
      <w:r w:rsidR="00696528">
        <w:rPr>
          <w:szCs w:val="22"/>
        </w:rPr>
        <w:t>.</w:t>
      </w:r>
      <w:r w:rsidR="00641735" w:rsidRPr="00AC7347">
        <w:rPr>
          <w:szCs w:val="22"/>
        </w:rPr>
        <w:t xml:space="preserve"> In March 2017, UTC transitioned from Talent2 to Australian Payroll Systems</w:t>
      </w:r>
      <w:r w:rsidR="00CA5287">
        <w:rPr>
          <w:szCs w:val="22"/>
        </w:rPr>
        <w:t xml:space="preserve"> (APS)</w:t>
      </w:r>
      <w:r w:rsidR="00641735" w:rsidRPr="00AC7347">
        <w:rPr>
          <w:szCs w:val="22"/>
        </w:rPr>
        <w:t xml:space="preserve"> as its third-party provider</w:t>
      </w:r>
      <w:r w:rsidR="00CA5287">
        <w:rPr>
          <w:szCs w:val="22"/>
        </w:rPr>
        <w:t xml:space="preserve">. </w:t>
      </w:r>
    </w:p>
    <w:p w14:paraId="0EA3FBDC" w14:textId="022F3170" w:rsidR="004E65AA" w:rsidRPr="00FD7F5B" w:rsidRDefault="004E65AA">
      <w:pPr>
        <w:pStyle w:val="Heading2"/>
      </w:pPr>
      <w:r w:rsidRPr="00FD7F5B">
        <w:t xml:space="preserve">UTC </w:t>
      </w:r>
      <w:r w:rsidR="00C80F8D" w:rsidRPr="00FD7F5B">
        <w:t xml:space="preserve">Mobile </w:t>
      </w:r>
      <w:r w:rsidRPr="00FD7F5B">
        <w:t>app for trolley collectors</w:t>
      </w:r>
    </w:p>
    <w:p w14:paraId="035C6AEB" w14:textId="673B4B15" w:rsidR="00DA64BC" w:rsidRDefault="004447A2" w:rsidP="00EB14C1">
      <w:pPr>
        <w:rPr>
          <w:szCs w:val="22"/>
        </w:rPr>
      </w:pPr>
      <w:r>
        <w:rPr>
          <w:szCs w:val="22"/>
        </w:rPr>
        <w:t>UTC</w:t>
      </w:r>
      <w:r w:rsidR="00277CCC">
        <w:rPr>
          <w:szCs w:val="22"/>
        </w:rPr>
        <w:t xml:space="preserve"> </w:t>
      </w:r>
      <w:r w:rsidR="004E65AA" w:rsidRPr="0022190E">
        <w:rPr>
          <w:szCs w:val="22"/>
        </w:rPr>
        <w:t xml:space="preserve">implemented an app for trolley collectors </w:t>
      </w:r>
      <w:r w:rsidR="009A3C11">
        <w:rPr>
          <w:szCs w:val="22"/>
        </w:rPr>
        <w:t>that enables them to</w:t>
      </w:r>
      <w:r w:rsidR="004E65AA" w:rsidRPr="0022190E">
        <w:rPr>
          <w:szCs w:val="22"/>
        </w:rPr>
        <w:t xml:space="preserve"> view their entitlements more easily </w:t>
      </w:r>
      <w:r w:rsidR="00FA4024" w:rsidRPr="0022190E">
        <w:rPr>
          <w:szCs w:val="22"/>
        </w:rPr>
        <w:t>and</w:t>
      </w:r>
      <w:r w:rsidR="004E65AA" w:rsidRPr="0022190E">
        <w:rPr>
          <w:szCs w:val="22"/>
        </w:rPr>
        <w:t xml:space="preserve"> lodge </w:t>
      </w:r>
      <w:r w:rsidR="00F50531">
        <w:rPr>
          <w:szCs w:val="22"/>
        </w:rPr>
        <w:t xml:space="preserve">any </w:t>
      </w:r>
      <w:r w:rsidR="004E65AA" w:rsidRPr="0022190E">
        <w:rPr>
          <w:szCs w:val="22"/>
        </w:rPr>
        <w:t xml:space="preserve">queries regarding their employment. The </w:t>
      </w:r>
      <w:r w:rsidR="009A3C11">
        <w:rPr>
          <w:szCs w:val="22"/>
        </w:rPr>
        <w:t xml:space="preserve">company made the </w:t>
      </w:r>
      <w:r w:rsidR="009936D0">
        <w:rPr>
          <w:szCs w:val="22"/>
        </w:rPr>
        <w:t>A</w:t>
      </w:r>
      <w:r w:rsidR="009A3C11">
        <w:rPr>
          <w:szCs w:val="22"/>
        </w:rPr>
        <w:t xml:space="preserve">pp available </w:t>
      </w:r>
      <w:r w:rsidR="004E65AA" w:rsidRPr="0022190E">
        <w:rPr>
          <w:szCs w:val="22"/>
        </w:rPr>
        <w:t xml:space="preserve">to all employees of </w:t>
      </w:r>
      <w:r w:rsidR="0056716B">
        <w:rPr>
          <w:szCs w:val="22"/>
        </w:rPr>
        <w:t xml:space="preserve">its </w:t>
      </w:r>
      <w:r w:rsidR="00336948">
        <w:rPr>
          <w:szCs w:val="22"/>
        </w:rPr>
        <w:t>sub</w:t>
      </w:r>
      <w:r w:rsidR="00277CCC">
        <w:rPr>
          <w:szCs w:val="22"/>
        </w:rPr>
        <w:t xml:space="preserve">contractors. </w:t>
      </w:r>
      <w:r w:rsidR="00DA64BC">
        <w:rPr>
          <w:szCs w:val="22"/>
        </w:rPr>
        <w:t>T</w:t>
      </w:r>
      <w:r w:rsidR="009A3C11">
        <w:rPr>
          <w:szCs w:val="22"/>
        </w:rPr>
        <w:t>he</w:t>
      </w:r>
      <w:r w:rsidR="00DA64BC">
        <w:rPr>
          <w:szCs w:val="22"/>
        </w:rPr>
        <w:t xml:space="preserve"> a</w:t>
      </w:r>
      <w:r w:rsidR="009A3C11">
        <w:rPr>
          <w:szCs w:val="22"/>
        </w:rPr>
        <w:t>pp</w:t>
      </w:r>
      <w:r w:rsidR="00DA64BC">
        <w:rPr>
          <w:szCs w:val="22"/>
        </w:rPr>
        <w:t xml:space="preserve"> provide</w:t>
      </w:r>
      <w:r w:rsidR="009A3C11">
        <w:rPr>
          <w:szCs w:val="22"/>
        </w:rPr>
        <w:t>s</w:t>
      </w:r>
      <w:r w:rsidR="00DA64BC">
        <w:rPr>
          <w:szCs w:val="22"/>
        </w:rPr>
        <w:t xml:space="preserve"> a direct line of communication between its head office and trolley collectors working onsite, which is important in a supply chain environment.</w:t>
      </w:r>
    </w:p>
    <w:p w14:paraId="61A74851" w14:textId="06CB61EC" w:rsidR="006133E9" w:rsidRDefault="00DA64BC" w:rsidP="00EB14C1">
      <w:pPr>
        <w:rPr>
          <w:szCs w:val="22"/>
        </w:rPr>
      </w:pPr>
      <w:r>
        <w:rPr>
          <w:szCs w:val="22"/>
        </w:rPr>
        <w:t>UTC</w:t>
      </w:r>
      <w:r w:rsidR="00EB14C1">
        <w:rPr>
          <w:szCs w:val="22"/>
        </w:rPr>
        <w:t xml:space="preserve">’s </w:t>
      </w:r>
      <w:r>
        <w:rPr>
          <w:szCs w:val="22"/>
        </w:rPr>
        <w:t>management team</w:t>
      </w:r>
      <w:r w:rsidRPr="00DA64BC">
        <w:rPr>
          <w:szCs w:val="22"/>
        </w:rPr>
        <w:t xml:space="preserve"> </w:t>
      </w:r>
      <w:r>
        <w:rPr>
          <w:szCs w:val="22"/>
        </w:rPr>
        <w:t>conduct</w:t>
      </w:r>
      <w:r w:rsidR="00EB14C1">
        <w:rPr>
          <w:szCs w:val="22"/>
        </w:rPr>
        <w:t>ed</w:t>
      </w:r>
      <w:r>
        <w:rPr>
          <w:szCs w:val="22"/>
        </w:rPr>
        <w:t xml:space="preserve"> 16 site reviews each week. </w:t>
      </w:r>
      <w:r w:rsidR="009A3C11">
        <w:rPr>
          <w:szCs w:val="22"/>
        </w:rPr>
        <w:t>During these reviews</w:t>
      </w:r>
      <w:r>
        <w:rPr>
          <w:szCs w:val="22"/>
        </w:rPr>
        <w:t>, the company ensure</w:t>
      </w:r>
      <w:r w:rsidR="00EB14C1">
        <w:rPr>
          <w:szCs w:val="22"/>
        </w:rPr>
        <w:t>d</w:t>
      </w:r>
      <w:r w:rsidR="004447A2">
        <w:rPr>
          <w:szCs w:val="22"/>
        </w:rPr>
        <w:t xml:space="preserve"> that trolley collectors</w:t>
      </w:r>
      <w:r>
        <w:rPr>
          <w:szCs w:val="22"/>
        </w:rPr>
        <w:t xml:space="preserve"> have downloaded the </w:t>
      </w:r>
      <w:r w:rsidR="009A3C11">
        <w:rPr>
          <w:szCs w:val="22"/>
        </w:rPr>
        <w:t xml:space="preserve">UTC app. </w:t>
      </w:r>
    </w:p>
    <w:p w14:paraId="43783CFA" w14:textId="77777777" w:rsidR="006133E9" w:rsidRDefault="006133E9">
      <w:pPr>
        <w:spacing w:after="0" w:line="240" w:lineRule="auto"/>
        <w:rPr>
          <w:szCs w:val="22"/>
        </w:rPr>
      </w:pPr>
      <w:r>
        <w:rPr>
          <w:szCs w:val="22"/>
        </w:rPr>
        <w:br w:type="page"/>
      </w:r>
    </w:p>
    <w:p w14:paraId="4401D767" w14:textId="22D04EAE" w:rsidR="004E65AA" w:rsidRPr="0022190E" w:rsidRDefault="0067490A" w:rsidP="00EB14C1">
      <w:pPr>
        <w:rPr>
          <w:szCs w:val="22"/>
        </w:rPr>
      </w:pPr>
      <w:r>
        <w:rPr>
          <w:szCs w:val="22"/>
        </w:rPr>
        <w:lastRenderedPageBreak/>
        <w:t xml:space="preserve">The app </w:t>
      </w:r>
      <w:r w:rsidR="00277CCC">
        <w:rPr>
          <w:szCs w:val="22"/>
        </w:rPr>
        <w:t>contain</w:t>
      </w:r>
      <w:r w:rsidR="008333A9">
        <w:rPr>
          <w:szCs w:val="22"/>
        </w:rPr>
        <w:t>s</w:t>
      </w:r>
      <w:r w:rsidR="004E65AA" w:rsidRPr="0022190E">
        <w:rPr>
          <w:szCs w:val="22"/>
        </w:rPr>
        <w:t xml:space="preserve"> </w:t>
      </w:r>
      <w:r w:rsidR="008333A9">
        <w:rPr>
          <w:szCs w:val="22"/>
        </w:rPr>
        <w:t>the following</w:t>
      </w:r>
      <w:r w:rsidR="004E65AA" w:rsidRPr="0022190E">
        <w:rPr>
          <w:szCs w:val="22"/>
        </w:rPr>
        <w:t xml:space="preserve"> information:</w:t>
      </w:r>
    </w:p>
    <w:p w14:paraId="15B151E7" w14:textId="77777777" w:rsidR="004E65AA" w:rsidRPr="008333A9" w:rsidRDefault="004E65AA">
      <w:pPr>
        <w:pStyle w:val="Bullet"/>
      </w:pPr>
      <w:r w:rsidRPr="008333A9">
        <w:t>an induction video</w:t>
      </w:r>
    </w:p>
    <w:p w14:paraId="4E9FC955" w14:textId="5D036143" w:rsidR="004E65AA" w:rsidRPr="00644287" w:rsidRDefault="004E65AA" w:rsidP="00602EDA">
      <w:pPr>
        <w:pStyle w:val="Bullet"/>
      </w:pPr>
      <w:r w:rsidRPr="00644287">
        <w:t>a copy</w:t>
      </w:r>
      <w:r w:rsidR="00EB14C1">
        <w:t xml:space="preserve"> of</w:t>
      </w:r>
      <w:r w:rsidRPr="00644287">
        <w:t xml:space="preserve"> the PCD between the FWO and UTC</w:t>
      </w:r>
    </w:p>
    <w:p w14:paraId="62FBA77B" w14:textId="77777777" w:rsidR="004E65AA" w:rsidRPr="00644287" w:rsidRDefault="004E65AA" w:rsidP="00602EDA">
      <w:pPr>
        <w:pStyle w:val="Bullet"/>
      </w:pPr>
      <w:r w:rsidRPr="00644287">
        <w:t>pay rates and classifications</w:t>
      </w:r>
    </w:p>
    <w:p w14:paraId="6B54FF36" w14:textId="77777777" w:rsidR="004E65AA" w:rsidRPr="00644287" w:rsidRDefault="004E65AA" w:rsidP="00602EDA">
      <w:pPr>
        <w:pStyle w:val="Bullet"/>
      </w:pPr>
      <w:r w:rsidRPr="00644287">
        <w:t>status of employment</w:t>
      </w:r>
    </w:p>
    <w:p w14:paraId="36CF992D" w14:textId="521F1727" w:rsidR="004E65AA" w:rsidRPr="008333A9" w:rsidRDefault="004E65AA" w:rsidP="00602EDA">
      <w:pPr>
        <w:pStyle w:val="Bullet"/>
      </w:pPr>
      <w:r w:rsidRPr="008333A9">
        <w:t>th</w:t>
      </w:r>
      <w:r w:rsidR="002A410C" w:rsidRPr="008333A9">
        <w:t xml:space="preserve">e ability to contact or send a pay query or any other work related question </w:t>
      </w:r>
      <w:r w:rsidRPr="008333A9">
        <w:t>to UTC directly</w:t>
      </w:r>
    </w:p>
    <w:p w14:paraId="5534362D" w14:textId="4DA5230A" w:rsidR="002A410C" w:rsidRPr="008333A9" w:rsidRDefault="008333A9" w:rsidP="00602EDA">
      <w:pPr>
        <w:pStyle w:val="Bullet"/>
      </w:pPr>
      <w:proofErr w:type="gramStart"/>
      <w:r>
        <w:t>n</w:t>
      </w:r>
      <w:r w:rsidR="002A410C" w:rsidRPr="008333A9">
        <w:t>ews/</w:t>
      </w:r>
      <w:r>
        <w:t>u</w:t>
      </w:r>
      <w:r w:rsidR="002A410C" w:rsidRPr="008333A9">
        <w:t>pdates</w:t>
      </w:r>
      <w:proofErr w:type="gramEnd"/>
      <w:r w:rsidR="002A410C" w:rsidRPr="008333A9">
        <w:t xml:space="preserve"> so members can keep up</w:t>
      </w:r>
      <w:r>
        <w:t>-</w:t>
      </w:r>
      <w:r w:rsidR="002A410C" w:rsidRPr="008333A9">
        <w:t>to</w:t>
      </w:r>
      <w:r>
        <w:t>-</w:t>
      </w:r>
      <w:r w:rsidR="002A410C" w:rsidRPr="008333A9">
        <w:t>date with current work-related events</w:t>
      </w:r>
      <w:r>
        <w:t>.</w:t>
      </w:r>
    </w:p>
    <w:p w14:paraId="18FA1A72" w14:textId="31F08557" w:rsidR="005F0FBC" w:rsidRDefault="002A410C">
      <w:pPr>
        <w:pStyle w:val="Heading2"/>
        <w:rPr>
          <w:color w:val="632423" w:themeColor="accent2" w:themeShade="80"/>
          <w:szCs w:val="22"/>
        </w:rPr>
      </w:pPr>
      <w:r>
        <w:t xml:space="preserve">Site </w:t>
      </w:r>
      <w:r w:rsidR="008333A9">
        <w:t>r</w:t>
      </w:r>
      <w:r>
        <w:t xml:space="preserve">eview </w:t>
      </w:r>
      <w:r w:rsidR="008333A9">
        <w:t>f</w:t>
      </w:r>
      <w:r>
        <w:t xml:space="preserve">orm </w:t>
      </w:r>
      <w:r w:rsidR="008333A9">
        <w:t>a</w:t>
      </w:r>
      <w:r>
        <w:t>pp – UTC management team</w:t>
      </w:r>
    </w:p>
    <w:p w14:paraId="4DD535DE" w14:textId="18E821B4" w:rsidR="009B21AC" w:rsidRPr="002A410C" w:rsidRDefault="0056716B" w:rsidP="003024D3">
      <w:pPr>
        <w:rPr>
          <w:b/>
          <w:color w:val="632423" w:themeColor="accent2" w:themeShade="80"/>
          <w:szCs w:val="22"/>
        </w:rPr>
      </w:pPr>
      <w:r>
        <w:rPr>
          <w:szCs w:val="22"/>
        </w:rPr>
        <w:t>The company</w:t>
      </w:r>
      <w:r w:rsidR="00AC6FBA">
        <w:rPr>
          <w:szCs w:val="22"/>
        </w:rPr>
        <w:t xml:space="preserve">’s </w:t>
      </w:r>
      <w:r w:rsidR="009B21AC">
        <w:rPr>
          <w:szCs w:val="22"/>
        </w:rPr>
        <w:t>app assist</w:t>
      </w:r>
      <w:r w:rsidR="00AC6FBA">
        <w:rPr>
          <w:szCs w:val="22"/>
        </w:rPr>
        <w:t>ed</w:t>
      </w:r>
      <w:r w:rsidR="009B21AC">
        <w:rPr>
          <w:szCs w:val="22"/>
        </w:rPr>
        <w:t xml:space="preserve"> the UTC management team with </w:t>
      </w:r>
      <w:r>
        <w:rPr>
          <w:szCs w:val="22"/>
        </w:rPr>
        <w:t>its</w:t>
      </w:r>
      <w:r w:rsidR="009B21AC">
        <w:rPr>
          <w:szCs w:val="22"/>
        </w:rPr>
        <w:t xml:space="preserve"> site reviews. The app has the ability to: </w:t>
      </w:r>
    </w:p>
    <w:p w14:paraId="0780772B" w14:textId="77777777" w:rsidR="002A410C" w:rsidRPr="008333A9" w:rsidRDefault="009B21AC">
      <w:pPr>
        <w:pStyle w:val="Bullet"/>
      </w:pPr>
      <w:r w:rsidRPr="008333A9">
        <w:t xml:space="preserve">enable a UTC representative to complete and submit a site audit electronically </w:t>
      </w:r>
    </w:p>
    <w:p w14:paraId="66686737" w14:textId="77777777" w:rsidR="002A410C" w:rsidRPr="008333A9" w:rsidRDefault="009B21AC">
      <w:pPr>
        <w:pStyle w:val="Bullet"/>
      </w:pPr>
      <w:r w:rsidRPr="008333A9">
        <w:t>verify the identification of a team member (ID and induction card)</w:t>
      </w:r>
    </w:p>
    <w:p w14:paraId="4E4C8478" w14:textId="3455D651" w:rsidR="002A410C" w:rsidRPr="008333A9" w:rsidRDefault="009B21AC">
      <w:pPr>
        <w:pStyle w:val="Bullet"/>
      </w:pPr>
      <w:r w:rsidRPr="008333A9">
        <w:t>complete a pay audit section with team member/s onsite (including confirmation that team member/s are using the third party payroll software</w:t>
      </w:r>
      <w:r w:rsidR="009936D0">
        <w:t>,</w:t>
      </w:r>
      <w:r w:rsidRPr="008333A9">
        <w:t xml:space="preserve"> TimeTarget)</w:t>
      </w:r>
    </w:p>
    <w:p w14:paraId="6882C11D" w14:textId="1693486D" w:rsidR="002A410C" w:rsidRPr="008333A9" w:rsidRDefault="009B21AC">
      <w:pPr>
        <w:pStyle w:val="Bullet"/>
      </w:pPr>
      <w:proofErr w:type="gramStart"/>
      <w:r w:rsidRPr="008333A9">
        <w:t>send</w:t>
      </w:r>
      <w:proofErr w:type="gramEnd"/>
      <w:r w:rsidRPr="008333A9">
        <w:t xml:space="preserve"> site audit information directly to UTC from the site</w:t>
      </w:r>
      <w:r w:rsidR="00D00F60">
        <w:t>.</w:t>
      </w:r>
    </w:p>
    <w:p w14:paraId="7FCEC919" w14:textId="6743DE61" w:rsidR="009B21AC" w:rsidRPr="009B21AC" w:rsidRDefault="009B21AC">
      <w:pPr>
        <w:pStyle w:val="Heading2"/>
        <w:rPr>
          <w:color w:val="632423" w:themeColor="accent2" w:themeShade="80"/>
          <w:szCs w:val="22"/>
        </w:rPr>
      </w:pPr>
      <w:r>
        <w:t xml:space="preserve">TimeTarget </w:t>
      </w:r>
      <w:r w:rsidR="00D00F60">
        <w:t>a</w:t>
      </w:r>
      <w:r>
        <w:t>pp</w:t>
      </w:r>
    </w:p>
    <w:p w14:paraId="3B05C5EF" w14:textId="2B380191" w:rsidR="009B21AC" w:rsidRPr="002A410C" w:rsidRDefault="009B21AC" w:rsidP="007C0DA4">
      <w:pPr>
        <w:rPr>
          <w:b/>
          <w:color w:val="632423" w:themeColor="accent2" w:themeShade="80"/>
          <w:szCs w:val="22"/>
        </w:rPr>
      </w:pPr>
      <w:r>
        <w:rPr>
          <w:szCs w:val="22"/>
        </w:rPr>
        <w:t xml:space="preserve">UTC </w:t>
      </w:r>
      <w:r w:rsidR="00AC6FBA">
        <w:rPr>
          <w:szCs w:val="22"/>
        </w:rPr>
        <w:t xml:space="preserve">also </w:t>
      </w:r>
      <w:r>
        <w:rPr>
          <w:szCs w:val="22"/>
        </w:rPr>
        <w:t xml:space="preserve">implemented </w:t>
      </w:r>
      <w:r w:rsidR="00AB4446">
        <w:rPr>
          <w:szCs w:val="22"/>
        </w:rPr>
        <w:t>a</w:t>
      </w:r>
      <w:r>
        <w:rPr>
          <w:szCs w:val="22"/>
        </w:rPr>
        <w:t xml:space="preserve"> third party payroll </w:t>
      </w:r>
      <w:r w:rsidR="00231995">
        <w:rPr>
          <w:szCs w:val="22"/>
        </w:rPr>
        <w:t>app that</w:t>
      </w:r>
      <w:r w:rsidR="00DA2C0F">
        <w:rPr>
          <w:szCs w:val="22"/>
        </w:rPr>
        <w:t xml:space="preserve"> allows </w:t>
      </w:r>
      <w:r w:rsidRPr="002929DA">
        <w:rPr>
          <w:szCs w:val="22"/>
        </w:rPr>
        <w:t xml:space="preserve">employees </w:t>
      </w:r>
      <w:proofErr w:type="gramStart"/>
      <w:r w:rsidR="00C51CE5">
        <w:rPr>
          <w:szCs w:val="22"/>
        </w:rPr>
        <w:t>to</w:t>
      </w:r>
      <w:proofErr w:type="gramEnd"/>
      <w:r>
        <w:rPr>
          <w:szCs w:val="22"/>
        </w:rPr>
        <w:t xml:space="preserve">: </w:t>
      </w:r>
    </w:p>
    <w:p w14:paraId="6787336B" w14:textId="77777777" w:rsidR="009B21AC" w:rsidRPr="00D00F60" w:rsidRDefault="009B21AC" w:rsidP="00602EDA">
      <w:pPr>
        <w:pStyle w:val="Bullet"/>
      </w:pPr>
      <w:r w:rsidRPr="00D00F60">
        <w:t>access their rosters in ‘real time’</w:t>
      </w:r>
    </w:p>
    <w:p w14:paraId="69A36760" w14:textId="77777777" w:rsidR="00C51CE5" w:rsidRPr="00D00F60" w:rsidRDefault="00C51CE5" w:rsidP="00602EDA">
      <w:pPr>
        <w:pStyle w:val="Bullet"/>
      </w:pPr>
      <w:r w:rsidRPr="00D00F60">
        <w:t>to review their timesheets</w:t>
      </w:r>
    </w:p>
    <w:p w14:paraId="3CC1BF9E" w14:textId="533E0349" w:rsidR="009B21AC" w:rsidRPr="00D00F60" w:rsidRDefault="00C51CE5" w:rsidP="00602EDA">
      <w:pPr>
        <w:pStyle w:val="Bullet"/>
      </w:pPr>
      <w:r w:rsidRPr="00D00F60">
        <w:t>communicate through built</w:t>
      </w:r>
      <w:r w:rsidR="00D00F60">
        <w:t>-</w:t>
      </w:r>
      <w:r w:rsidRPr="00D00F60">
        <w:t xml:space="preserve">in messaging </w:t>
      </w:r>
    </w:p>
    <w:p w14:paraId="6FE0DFE5" w14:textId="77777777" w:rsidR="00C51CE5" w:rsidRPr="00D00F60" w:rsidRDefault="00C51CE5" w:rsidP="00602EDA">
      <w:pPr>
        <w:pStyle w:val="Bullet"/>
      </w:pPr>
      <w:r w:rsidRPr="00D00F60">
        <w:t>access roster templates that give the hours and shifts needed</w:t>
      </w:r>
    </w:p>
    <w:p w14:paraId="20FA49AE" w14:textId="0D10DA65" w:rsidR="00C51CE5" w:rsidRPr="00D00F60" w:rsidRDefault="00C51CE5" w:rsidP="00602EDA">
      <w:pPr>
        <w:pStyle w:val="Bullet"/>
      </w:pPr>
      <w:r w:rsidRPr="00D00F60">
        <w:t>clock</w:t>
      </w:r>
      <w:r w:rsidR="00D00F60">
        <w:t>-</w:t>
      </w:r>
      <w:r w:rsidRPr="00D00F60">
        <w:t xml:space="preserve">on and </w:t>
      </w:r>
      <w:r w:rsidR="00D00F60">
        <w:t>-</w:t>
      </w:r>
      <w:r w:rsidRPr="00D00F60">
        <w:t>off though their mobile phone</w:t>
      </w:r>
    </w:p>
    <w:p w14:paraId="3CE96ADB" w14:textId="77777777" w:rsidR="00C51CE5" w:rsidRPr="00D00F60" w:rsidRDefault="00C51CE5" w:rsidP="00602EDA">
      <w:pPr>
        <w:pStyle w:val="Bullet"/>
      </w:pPr>
      <w:r w:rsidRPr="00D00F60">
        <w:t xml:space="preserve">authorise timesheets </w:t>
      </w:r>
    </w:p>
    <w:p w14:paraId="61B53ACF" w14:textId="04B33DEE" w:rsidR="002A410C" w:rsidRPr="00D00F60" w:rsidRDefault="00C51CE5" w:rsidP="00602EDA">
      <w:pPr>
        <w:pStyle w:val="Bullet"/>
      </w:pPr>
      <w:proofErr w:type="gramStart"/>
      <w:r w:rsidRPr="00D00F60">
        <w:t>have</w:t>
      </w:r>
      <w:proofErr w:type="gramEnd"/>
      <w:r w:rsidRPr="00D00F60">
        <w:t xml:space="preserve"> confidence that payroll information is accurate</w:t>
      </w:r>
      <w:r w:rsidR="00D00F60" w:rsidRPr="00D00F60">
        <w:t>.</w:t>
      </w:r>
      <w:r w:rsidRPr="00D00F60">
        <w:t xml:space="preserve"> </w:t>
      </w:r>
    </w:p>
    <w:p w14:paraId="2E2541D6" w14:textId="77777777" w:rsidR="003B0482" w:rsidRDefault="003B0482">
      <w:pPr>
        <w:pStyle w:val="Heading2"/>
      </w:pPr>
      <w:r>
        <w:br w:type="page"/>
      </w:r>
    </w:p>
    <w:p w14:paraId="47EF8A63" w14:textId="51DD341E" w:rsidR="004E65AA" w:rsidRPr="000C3D14" w:rsidRDefault="008634B0">
      <w:pPr>
        <w:pStyle w:val="Heading2"/>
        <w:rPr>
          <w:color w:val="632423" w:themeColor="accent2" w:themeShade="80"/>
          <w:szCs w:val="22"/>
        </w:rPr>
      </w:pPr>
      <w:r>
        <w:lastRenderedPageBreak/>
        <w:t>Promoting s</w:t>
      </w:r>
      <w:r w:rsidR="004E65AA" w:rsidRPr="00FD7F5B">
        <w:t>upply chain</w:t>
      </w:r>
      <w:r w:rsidRPr="00FD7F5B">
        <w:t xml:space="preserve"> compliance</w:t>
      </w:r>
    </w:p>
    <w:p w14:paraId="4B9CE2E3" w14:textId="5A97041F" w:rsidR="004E65AA" w:rsidRPr="0022190E" w:rsidRDefault="004E65AA" w:rsidP="003024D3">
      <w:pPr>
        <w:rPr>
          <w:szCs w:val="22"/>
        </w:rPr>
      </w:pPr>
      <w:r w:rsidRPr="0022190E">
        <w:rPr>
          <w:szCs w:val="22"/>
        </w:rPr>
        <w:t>UTC worked proactively</w:t>
      </w:r>
      <w:r w:rsidR="00F42876">
        <w:rPr>
          <w:szCs w:val="22"/>
        </w:rPr>
        <w:t xml:space="preserve"> with </w:t>
      </w:r>
      <w:r w:rsidR="00F50531">
        <w:rPr>
          <w:szCs w:val="22"/>
        </w:rPr>
        <w:t>its</w:t>
      </w:r>
      <w:r w:rsidR="00F42876">
        <w:rPr>
          <w:szCs w:val="22"/>
        </w:rPr>
        <w:t xml:space="preserve"> </w:t>
      </w:r>
      <w:r w:rsidR="00336948">
        <w:rPr>
          <w:szCs w:val="22"/>
        </w:rPr>
        <w:t>sub</w:t>
      </w:r>
      <w:r w:rsidR="00F42876">
        <w:rPr>
          <w:szCs w:val="22"/>
        </w:rPr>
        <w:t xml:space="preserve">contractors, employees and </w:t>
      </w:r>
      <w:r w:rsidR="00F42876" w:rsidRPr="0022190E">
        <w:rPr>
          <w:szCs w:val="22"/>
        </w:rPr>
        <w:t>the FWO</w:t>
      </w:r>
      <w:r w:rsidR="00F42876">
        <w:rPr>
          <w:szCs w:val="22"/>
        </w:rPr>
        <w:t>,</w:t>
      </w:r>
      <w:r w:rsidRPr="0022190E">
        <w:rPr>
          <w:szCs w:val="22"/>
        </w:rPr>
        <w:t xml:space="preserve"> to support compliance through the supply chain. </w:t>
      </w:r>
      <w:r w:rsidR="000B0D09">
        <w:rPr>
          <w:szCs w:val="22"/>
        </w:rPr>
        <w:t>The</w:t>
      </w:r>
      <w:r w:rsidRPr="0022190E">
        <w:rPr>
          <w:szCs w:val="22"/>
        </w:rPr>
        <w:t xml:space="preserve"> </w:t>
      </w:r>
      <w:r w:rsidR="007552EA">
        <w:rPr>
          <w:szCs w:val="22"/>
        </w:rPr>
        <w:t>company</w:t>
      </w:r>
      <w:r w:rsidRPr="0022190E">
        <w:rPr>
          <w:szCs w:val="22"/>
        </w:rPr>
        <w:t>:</w:t>
      </w:r>
    </w:p>
    <w:p w14:paraId="5CB90B7C" w14:textId="0B121D23" w:rsidR="004E65AA" w:rsidRPr="00ED4C57" w:rsidRDefault="00AC6FBA">
      <w:pPr>
        <w:pStyle w:val="Bullet"/>
        <w:numPr>
          <w:ilvl w:val="0"/>
          <w:numId w:val="8"/>
        </w:numPr>
      </w:pPr>
      <w:r>
        <w:t>p</w:t>
      </w:r>
      <w:r w:rsidR="00D00F60" w:rsidRPr="00ED4C57">
        <w:t>rovide</w:t>
      </w:r>
      <w:r w:rsidR="00D00F60">
        <w:t>d</w:t>
      </w:r>
      <w:r w:rsidR="00D00F60" w:rsidRPr="00ED4C57">
        <w:t xml:space="preserve"> </w:t>
      </w:r>
      <w:r w:rsidR="004E65AA" w:rsidRPr="00ED4C57">
        <w:t xml:space="preserve">the FWO with the details of </w:t>
      </w:r>
      <w:r w:rsidR="00B67B84">
        <w:t>its subcontractors</w:t>
      </w:r>
    </w:p>
    <w:p w14:paraId="41FA78E7" w14:textId="28B86E25" w:rsidR="004E65AA" w:rsidRPr="00ED4C57" w:rsidRDefault="00AC6FBA">
      <w:pPr>
        <w:pStyle w:val="Bullet"/>
        <w:numPr>
          <w:ilvl w:val="0"/>
          <w:numId w:val="8"/>
        </w:numPr>
      </w:pPr>
      <w:r>
        <w:t>r</w:t>
      </w:r>
      <w:r w:rsidRPr="00ED4C57">
        <w:t>equire</w:t>
      </w:r>
      <w:r>
        <w:t>d</w:t>
      </w:r>
      <w:r w:rsidRPr="00ED4C57">
        <w:t xml:space="preserve"> </w:t>
      </w:r>
      <w:r w:rsidR="004E65AA" w:rsidRPr="00ED4C57">
        <w:t xml:space="preserve">contractors </w:t>
      </w:r>
      <w:r w:rsidR="00FA5499">
        <w:t>to</w:t>
      </w:r>
      <w:r w:rsidR="004E65AA" w:rsidRPr="00ED4C57">
        <w:t xml:space="preserve"> provide their employees with a </w:t>
      </w:r>
      <w:r w:rsidR="00205C2A">
        <w:t>Fair Work Information Statement and</w:t>
      </w:r>
      <w:r w:rsidR="004E65AA" w:rsidRPr="00ED4C57">
        <w:t xml:space="preserve"> current minimum pay rates and advice about the </w:t>
      </w:r>
      <w:r w:rsidR="00D00F60" w:rsidRPr="009F6E70">
        <w:t>Award</w:t>
      </w:r>
      <w:r w:rsidR="00D00F60">
        <w:rPr>
          <w:i/>
        </w:rPr>
        <w:t xml:space="preserve"> </w:t>
      </w:r>
      <w:r w:rsidR="004E65AA" w:rsidRPr="00ED4C57">
        <w:t xml:space="preserve">(unless they have an approved </w:t>
      </w:r>
      <w:r w:rsidR="00D00F60">
        <w:t>enterprise</w:t>
      </w:r>
      <w:r w:rsidR="00D00F60" w:rsidRPr="00ED4C57">
        <w:t xml:space="preserve"> </w:t>
      </w:r>
      <w:r w:rsidR="004E65AA" w:rsidRPr="00ED4C57">
        <w:t>agreement)</w:t>
      </w:r>
    </w:p>
    <w:p w14:paraId="40FCFC20" w14:textId="70961D81" w:rsidR="004E65AA" w:rsidRDefault="003024D3">
      <w:pPr>
        <w:pStyle w:val="Bullet"/>
        <w:numPr>
          <w:ilvl w:val="0"/>
          <w:numId w:val="8"/>
        </w:numPr>
      </w:pPr>
      <w:proofErr w:type="gramStart"/>
      <w:r>
        <w:t>r</w:t>
      </w:r>
      <w:r w:rsidRPr="00FA5499">
        <w:t>equire</w:t>
      </w:r>
      <w:r>
        <w:t>d</w:t>
      </w:r>
      <w:proofErr w:type="gramEnd"/>
      <w:r w:rsidRPr="00ED4C57">
        <w:t xml:space="preserve"> </w:t>
      </w:r>
      <w:r w:rsidR="00336948">
        <w:t>sub</w:t>
      </w:r>
      <w:r w:rsidR="004E65AA" w:rsidRPr="00FA5499">
        <w:t>contractor</w:t>
      </w:r>
      <w:r w:rsidR="00FA5499">
        <w:t>s</w:t>
      </w:r>
      <w:r w:rsidR="004E65AA" w:rsidRPr="00FA5499">
        <w:t xml:space="preserve"> </w:t>
      </w:r>
      <w:r w:rsidR="004E65AA" w:rsidRPr="00ED4C57">
        <w:t xml:space="preserve">with three or more employees </w:t>
      </w:r>
      <w:r w:rsidR="00FA5499">
        <w:t>to</w:t>
      </w:r>
      <w:r w:rsidR="004E65AA" w:rsidRPr="00ED4C57">
        <w:t xml:space="preserve"> pay wages and monetary entitlements through</w:t>
      </w:r>
      <w:r>
        <w:t xml:space="preserve"> a</w:t>
      </w:r>
      <w:r w:rsidR="004E65AA" w:rsidRPr="00ED4C57">
        <w:t xml:space="preserve"> third party payroll provider</w:t>
      </w:r>
      <w:r w:rsidR="004E65AA" w:rsidRPr="00FA5499">
        <w:t xml:space="preserve">. </w:t>
      </w:r>
      <w:r w:rsidR="00FA5499">
        <w:t>Th</w:t>
      </w:r>
      <w:r w:rsidR="004E65AA" w:rsidRPr="0022190E">
        <w:t xml:space="preserve">e </w:t>
      </w:r>
      <w:r>
        <w:t xml:space="preserve">provider </w:t>
      </w:r>
      <w:r w:rsidR="00CE49FF" w:rsidRPr="0022190E">
        <w:t>system</w:t>
      </w:r>
      <w:r w:rsidR="00CE49FF">
        <w:t xml:space="preserve"> </w:t>
      </w:r>
      <w:r w:rsidR="004E65AA" w:rsidRPr="0022190E">
        <w:t>processes employe</w:t>
      </w:r>
      <w:r w:rsidR="00FA5499">
        <w:t>e</w:t>
      </w:r>
      <w:r w:rsidR="004E65AA">
        <w:t xml:space="preserve"> </w:t>
      </w:r>
      <w:r w:rsidR="004E65AA" w:rsidRPr="0022190E">
        <w:t>pay, keeps pay records and issues pay</w:t>
      </w:r>
      <w:r w:rsidR="00D00F60">
        <w:t xml:space="preserve"> </w:t>
      </w:r>
      <w:r w:rsidR="004E65AA" w:rsidRPr="0022190E">
        <w:t xml:space="preserve">slips. UTC </w:t>
      </w:r>
      <w:r w:rsidR="00FA5499">
        <w:t>uses the system to</w:t>
      </w:r>
      <w:r w:rsidR="00FA5499" w:rsidRPr="0022190E">
        <w:t xml:space="preserve"> run </w:t>
      </w:r>
      <w:r w:rsidR="009F6E70">
        <w:t>pay</w:t>
      </w:r>
      <w:r w:rsidR="00FA5499">
        <w:t xml:space="preserve">-data </w:t>
      </w:r>
      <w:r w:rsidR="00FA5499" w:rsidRPr="0022190E">
        <w:t xml:space="preserve">reports </w:t>
      </w:r>
      <w:r w:rsidR="00FA5499">
        <w:t xml:space="preserve">and monitor </w:t>
      </w:r>
      <w:r w:rsidR="00FA5499" w:rsidRPr="0022190E">
        <w:t>subcontractor compliance</w:t>
      </w:r>
      <w:r w:rsidR="00FA5499">
        <w:t xml:space="preserve"> with workplace obligations</w:t>
      </w:r>
      <w:r w:rsidR="004E1ACC">
        <w:t>.</w:t>
      </w:r>
    </w:p>
    <w:p w14:paraId="60D5C6D7" w14:textId="77777777" w:rsidR="004E65AA" w:rsidRPr="000C3D14" w:rsidRDefault="004E65AA">
      <w:pPr>
        <w:pStyle w:val="Heading2"/>
        <w:rPr>
          <w:color w:val="632423" w:themeColor="accent2" w:themeShade="80"/>
          <w:szCs w:val="22"/>
        </w:rPr>
      </w:pPr>
      <w:r w:rsidRPr="000C3D14">
        <w:t>Compliance checks</w:t>
      </w:r>
    </w:p>
    <w:p w14:paraId="043A0545" w14:textId="39850D2E" w:rsidR="004E65AA" w:rsidRPr="0022190E" w:rsidRDefault="004E65AA" w:rsidP="003024D3">
      <w:pPr>
        <w:rPr>
          <w:szCs w:val="22"/>
        </w:rPr>
      </w:pPr>
      <w:r w:rsidRPr="0022190E">
        <w:rPr>
          <w:szCs w:val="22"/>
        </w:rPr>
        <w:t xml:space="preserve">UTC conducted regular compliance checks in addition to </w:t>
      </w:r>
      <w:r w:rsidR="00CE49FF">
        <w:rPr>
          <w:szCs w:val="22"/>
        </w:rPr>
        <w:t>the required self-audits under the PCD</w:t>
      </w:r>
      <w:r w:rsidRPr="0022190E">
        <w:rPr>
          <w:szCs w:val="22"/>
        </w:rPr>
        <w:t xml:space="preserve">. </w:t>
      </w:r>
      <w:r w:rsidR="004C308A">
        <w:rPr>
          <w:szCs w:val="22"/>
        </w:rPr>
        <w:t>The company</w:t>
      </w:r>
      <w:r w:rsidRPr="0022190E">
        <w:rPr>
          <w:szCs w:val="22"/>
        </w:rPr>
        <w:t xml:space="preserve"> also developed a software tool for managers to use during site visits that includes a pay audit, which they can submit electronically to UTC</w:t>
      </w:r>
      <w:r w:rsidR="00901060">
        <w:rPr>
          <w:szCs w:val="22"/>
        </w:rPr>
        <w:t>’s</w:t>
      </w:r>
      <w:r w:rsidRPr="0022190E">
        <w:rPr>
          <w:szCs w:val="22"/>
        </w:rPr>
        <w:t xml:space="preserve"> head office.</w:t>
      </w:r>
    </w:p>
    <w:p w14:paraId="40E8CF67" w14:textId="27FDAB7E" w:rsidR="004E65AA" w:rsidRPr="0022190E" w:rsidRDefault="004E65AA" w:rsidP="003024D3">
      <w:pPr>
        <w:rPr>
          <w:szCs w:val="22"/>
        </w:rPr>
      </w:pPr>
      <w:r w:rsidRPr="0022190E">
        <w:rPr>
          <w:szCs w:val="22"/>
        </w:rPr>
        <w:t xml:space="preserve">The pay audit section of the site review </w:t>
      </w:r>
      <w:r w:rsidR="00E3075C" w:rsidRPr="0022190E">
        <w:rPr>
          <w:szCs w:val="22"/>
        </w:rPr>
        <w:t>tool</w:t>
      </w:r>
      <w:r w:rsidRPr="0022190E">
        <w:rPr>
          <w:szCs w:val="22"/>
        </w:rPr>
        <w:t xml:space="preserve"> check</w:t>
      </w:r>
      <w:r w:rsidR="00B67B84">
        <w:rPr>
          <w:szCs w:val="22"/>
        </w:rPr>
        <w:t>s</w:t>
      </w:r>
      <w:r w:rsidRPr="0022190E">
        <w:rPr>
          <w:szCs w:val="22"/>
        </w:rPr>
        <w:t xml:space="preserve"> the most significant entitlements and the ones that present compliance issues. The checklist prompts users to check: </w:t>
      </w:r>
    </w:p>
    <w:p w14:paraId="3E698A1F" w14:textId="07891DC4" w:rsidR="004E65AA" w:rsidRPr="00644287" w:rsidRDefault="004E65AA">
      <w:pPr>
        <w:pStyle w:val="Bullet"/>
      </w:pPr>
      <w:r w:rsidRPr="00644287">
        <w:t>correct hourly rate</w:t>
      </w:r>
    </w:p>
    <w:p w14:paraId="71E489B8" w14:textId="7FBEF8CB" w:rsidR="004E65AA" w:rsidRPr="00644287" w:rsidRDefault="004E65AA">
      <w:pPr>
        <w:pStyle w:val="Bullet"/>
      </w:pPr>
      <w:r w:rsidRPr="00644287">
        <w:t>payslips have been provided</w:t>
      </w:r>
    </w:p>
    <w:p w14:paraId="67845C77" w14:textId="5C5B86A5" w:rsidR="004E65AA" w:rsidRPr="00644287" w:rsidRDefault="004E65AA">
      <w:pPr>
        <w:pStyle w:val="Bullet"/>
      </w:pPr>
      <w:r w:rsidRPr="00644287">
        <w:t>the 6pm penalty was correctly applied</w:t>
      </w:r>
    </w:p>
    <w:p w14:paraId="5BDC2E8D" w14:textId="3E494E5E" w:rsidR="004E65AA" w:rsidRPr="00A85EE1" w:rsidRDefault="004E65AA">
      <w:pPr>
        <w:pStyle w:val="Bullet"/>
      </w:pPr>
      <w:r w:rsidRPr="00644287">
        <w:t>overtime was correctly applied</w:t>
      </w:r>
    </w:p>
    <w:p w14:paraId="28F2B197" w14:textId="1B4F7597" w:rsidR="00CF2869" w:rsidRPr="007C0DA4" w:rsidRDefault="00C74CC1">
      <w:pPr>
        <w:pStyle w:val="Bullet"/>
      </w:pPr>
      <w:proofErr w:type="gramStart"/>
      <w:r>
        <w:t>workers</w:t>
      </w:r>
      <w:proofErr w:type="gramEnd"/>
      <w:r w:rsidR="00CF2869" w:rsidRPr="007C0DA4">
        <w:t xml:space="preserve"> were paid at the correct classification.</w:t>
      </w:r>
    </w:p>
    <w:p w14:paraId="17F747AC" w14:textId="6FBD6914" w:rsidR="00FA4C3C" w:rsidRPr="000C3D14" w:rsidRDefault="00910AFB">
      <w:pPr>
        <w:pStyle w:val="Heading2"/>
        <w:rPr>
          <w:color w:val="632423" w:themeColor="accent2" w:themeShade="80"/>
          <w:szCs w:val="22"/>
        </w:rPr>
      </w:pPr>
      <w:r>
        <w:t xml:space="preserve">UTC </w:t>
      </w:r>
      <w:r w:rsidR="00B10935">
        <w:t>t</w:t>
      </w:r>
      <w:r>
        <w:t xml:space="preserve">raining </w:t>
      </w:r>
    </w:p>
    <w:p w14:paraId="7483F66F" w14:textId="77777777" w:rsidR="00B633AE" w:rsidRDefault="00910AFB" w:rsidP="00DA2C0F">
      <w:pPr>
        <w:rPr>
          <w:szCs w:val="22"/>
        </w:rPr>
      </w:pPr>
      <w:r>
        <w:rPr>
          <w:szCs w:val="22"/>
        </w:rPr>
        <w:t>UTC provided</w:t>
      </w:r>
      <w:r w:rsidR="00F12863">
        <w:rPr>
          <w:szCs w:val="22"/>
        </w:rPr>
        <w:t xml:space="preserve"> training to subcontractors regarding systems and processes</w:t>
      </w:r>
      <w:r w:rsidR="009D77B4">
        <w:rPr>
          <w:szCs w:val="22"/>
        </w:rPr>
        <w:t xml:space="preserve">. </w:t>
      </w:r>
    </w:p>
    <w:p w14:paraId="0C1A3BD9" w14:textId="11E82E3D" w:rsidR="00FA4C3C" w:rsidRPr="0022190E" w:rsidRDefault="009D77B4" w:rsidP="00DA2C0F">
      <w:pPr>
        <w:rPr>
          <w:szCs w:val="22"/>
        </w:rPr>
      </w:pPr>
      <w:r>
        <w:rPr>
          <w:szCs w:val="22"/>
        </w:rPr>
        <w:t>T</w:t>
      </w:r>
      <w:r w:rsidR="00F12863">
        <w:rPr>
          <w:szCs w:val="22"/>
        </w:rPr>
        <w:t xml:space="preserve">he company provided </w:t>
      </w:r>
      <w:r w:rsidR="008A0044">
        <w:rPr>
          <w:szCs w:val="22"/>
        </w:rPr>
        <w:t xml:space="preserve">the </w:t>
      </w:r>
      <w:r w:rsidR="00910AFB">
        <w:rPr>
          <w:szCs w:val="22"/>
        </w:rPr>
        <w:t>FWO with</w:t>
      </w:r>
      <w:r w:rsidR="00D00F60">
        <w:rPr>
          <w:szCs w:val="22"/>
        </w:rPr>
        <w:t xml:space="preserve"> a copy of training </w:t>
      </w:r>
      <w:proofErr w:type="gramStart"/>
      <w:r w:rsidR="00D00F60">
        <w:rPr>
          <w:szCs w:val="22"/>
        </w:rPr>
        <w:t>for</w:t>
      </w:r>
      <w:proofErr w:type="gramEnd"/>
      <w:r w:rsidR="00910AFB">
        <w:rPr>
          <w:szCs w:val="22"/>
        </w:rPr>
        <w:t xml:space="preserve">: </w:t>
      </w:r>
    </w:p>
    <w:p w14:paraId="6576B14F" w14:textId="4A788C4E" w:rsidR="00FA4C3C" w:rsidRPr="00F826D3" w:rsidRDefault="00FA4C3C">
      <w:pPr>
        <w:pStyle w:val="Bullet"/>
        <w:numPr>
          <w:ilvl w:val="0"/>
          <w:numId w:val="14"/>
        </w:numPr>
      </w:pPr>
      <w:r w:rsidRPr="00F826D3">
        <w:t xml:space="preserve">managers and subcontractors on </w:t>
      </w:r>
      <w:r w:rsidR="00F50531">
        <w:t>its</w:t>
      </w:r>
      <w:r w:rsidRPr="00F826D3">
        <w:t xml:space="preserve"> third party payroll service</w:t>
      </w:r>
    </w:p>
    <w:p w14:paraId="157D121C" w14:textId="50C86333" w:rsidR="00FA4C3C" w:rsidRPr="00F826D3" w:rsidRDefault="00FA4C3C">
      <w:pPr>
        <w:pStyle w:val="Bullet"/>
        <w:numPr>
          <w:ilvl w:val="0"/>
          <w:numId w:val="14"/>
        </w:numPr>
      </w:pPr>
      <w:r w:rsidRPr="00F826D3">
        <w:t>all team members on the UTC phone app</w:t>
      </w:r>
    </w:p>
    <w:p w14:paraId="7A2C7544" w14:textId="0DAB7B75" w:rsidR="00FA4C3C" w:rsidRPr="00F826D3" w:rsidRDefault="00FA4C3C">
      <w:pPr>
        <w:pStyle w:val="Bullet"/>
        <w:numPr>
          <w:ilvl w:val="0"/>
          <w:numId w:val="14"/>
        </w:numPr>
      </w:pPr>
      <w:r w:rsidRPr="00F826D3">
        <w:t>managers and subcontractors on the various audit processes undertaken by UTC, including the self-audit conducted under the PCD</w:t>
      </w:r>
    </w:p>
    <w:p w14:paraId="169B9B48" w14:textId="0FE5A3DD" w:rsidR="00FA4C3C" w:rsidRDefault="00FA4C3C">
      <w:pPr>
        <w:pStyle w:val="Bullet"/>
      </w:pPr>
      <w:r w:rsidRPr="00E35A63">
        <w:lastRenderedPageBreak/>
        <w:t>UTC site review audits</w:t>
      </w:r>
    </w:p>
    <w:p w14:paraId="6AA0CA15" w14:textId="5BF062A3" w:rsidR="00266516" w:rsidRPr="0022190E" w:rsidRDefault="00FA4C3C">
      <w:pPr>
        <w:pStyle w:val="Bullet"/>
      </w:pPr>
      <w:proofErr w:type="gramStart"/>
      <w:r w:rsidRPr="009D77B4">
        <w:t>team</w:t>
      </w:r>
      <w:proofErr w:type="gramEnd"/>
      <w:r w:rsidRPr="009D77B4">
        <w:t xml:space="preserve"> members on the UTC phone app that allows trolley collectors to lodge an enquiry with UTC and to receive updates.</w:t>
      </w:r>
    </w:p>
    <w:p w14:paraId="76ACC1C9" w14:textId="43C1E2A5" w:rsidR="00E9698F" w:rsidRPr="0022190E" w:rsidRDefault="00CF2869">
      <w:pPr>
        <w:pStyle w:val="Heading1"/>
      </w:pPr>
      <w:bookmarkStart w:id="14" w:name="_Toc527720484"/>
      <w:r w:rsidRPr="0022190E">
        <w:t>Self-resolution of workplace disputes</w:t>
      </w:r>
      <w:bookmarkEnd w:id="14"/>
    </w:p>
    <w:p w14:paraId="6261FE38" w14:textId="0B4A2E62" w:rsidR="00D00F60" w:rsidRPr="0022190E" w:rsidRDefault="00D00F60" w:rsidP="00C22D97">
      <w:pPr>
        <w:rPr>
          <w:szCs w:val="22"/>
        </w:rPr>
      </w:pPr>
      <w:r>
        <w:rPr>
          <w:szCs w:val="22"/>
        </w:rPr>
        <w:t>T</w:t>
      </w:r>
      <w:r w:rsidR="00113435">
        <w:rPr>
          <w:szCs w:val="22"/>
        </w:rPr>
        <w:t xml:space="preserve">he FWO forwarded </w:t>
      </w:r>
      <w:r w:rsidR="00D31D82">
        <w:rPr>
          <w:szCs w:val="22"/>
        </w:rPr>
        <w:t>r</w:t>
      </w:r>
      <w:r w:rsidR="00CF2869" w:rsidRPr="0022190E">
        <w:rPr>
          <w:szCs w:val="22"/>
        </w:rPr>
        <w:t>equests for assistance</w:t>
      </w:r>
      <w:r w:rsidR="004447A2">
        <w:rPr>
          <w:szCs w:val="22"/>
        </w:rPr>
        <w:t xml:space="preserve"> to UTC that</w:t>
      </w:r>
      <w:r w:rsidR="00CF2869" w:rsidRPr="0022190E">
        <w:rPr>
          <w:szCs w:val="22"/>
        </w:rPr>
        <w:t xml:space="preserve"> </w:t>
      </w:r>
      <w:r w:rsidR="00267DBB">
        <w:rPr>
          <w:szCs w:val="22"/>
        </w:rPr>
        <w:t xml:space="preserve">it received from employees in UTC’s </w:t>
      </w:r>
      <w:r w:rsidR="002F6182">
        <w:rPr>
          <w:szCs w:val="22"/>
        </w:rPr>
        <w:t xml:space="preserve">subcontractor </w:t>
      </w:r>
      <w:r w:rsidR="00267DBB">
        <w:rPr>
          <w:szCs w:val="22"/>
        </w:rPr>
        <w:t>network</w:t>
      </w:r>
      <w:r>
        <w:rPr>
          <w:szCs w:val="22"/>
        </w:rPr>
        <w:t xml:space="preserve"> (as per clause A3 of the PCD)</w:t>
      </w:r>
      <w:r w:rsidR="00B10935">
        <w:rPr>
          <w:szCs w:val="22"/>
        </w:rPr>
        <w:t>.</w:t>
      </w:r>
    </w:p>
    <w:p w14:paraId="450D3BE7" w14:textId="350EF243" w:rsidR="00CF2869" w:rsidRDefault="00CF2869" w:rsidP="00C22D97">
      <w:pPr>
        <w:rPr>
          <w:szCs w:val="22"/>
        </w:rPr>
      </w:pPr>
      <w:r w:rsidRPr="0022190E">
        <w:rPr>
          <w:szCs w:val="22"/>
        </w:rPr>
        <w:t>UTC</w:t>
      </w:r>
      <w:r w:rsidR="00E3075C">
        <w:rPr>
          <w:szCs w:val="22"/>
        </w:rPr>
        <w:t xml:space="preserve"> </w:t>
      </w:r>
      <w:r w:rsidR="002F6182">
        <w:rPr>
          <w:szCs w:val="22"/>
        </w:rPr>
        <w:t xml:space="preserve">was </w:t>
      </w:r>
      <w:r w:rsidR="00750898">
        <w:rPr>
          <w:szCs w:val="22"/>
        </w:rPr>
        <w:t xml:space="preserve">required </w:t>
      </w:r>
      <w:r w:rsidR="002F6182">
        <w:rPr>
          <w:szCs w:val="22"/>
        </w:rPr>
        <w:t xml:space="preserve">to assist </w:t>
      </w:r>
      <w:r w:rsidR="00F50531">
        <w:rPr>
          <w:szCs w:val="22"/>
        </w:rPr>
        <w:t>its</w:t>
      </w:r>
      <w:r w:rsidR="00E3075C">
        <w:rPr>
          <w:szCs w:val="22"/>
        </w:rPr>
        <w:t xml:space="preserve"> su</w:t>
      </w:r>
      <w:r w:rsidR="00336948">
        <w:rPr>
          <w:szCs w:val="22"/>
        </w:rPr>
        <w:t>b</w:t>
      </w:r>
      <w:r w:rsidR="00E3075C">
        <w:rPr>
          <w:szCs w:val="22"/>
        </w:rPr>
        <w:t>contractors</w:t>
      </w:r>
      <w:r w:rsidRPr="0022190E">
        <w:rPr>
          <w:szCs w:val="22"/>
        </w:rPr>
        <w:t xml:space="preserve"> rectify any </w:t>
      </w:r>
      <w:r w:rsidR="003024D3">
        <w:rPr>
          <w:szCs w:val="22"/>
        </w:rPr>
        <w:t xml:space="preserve">breaches </w:t>
      </w:r>
      <w:r w:rsidRPr="0022190E">
        <w:rPr>
          <w:szCs w:val="22"/>
        </w:rPr>
        <w:t xml:space="preserve">of Australian workplace laws within </w:t>
      </w:r>
      <w:r w:rsidR="002F6182">
        <w:rPr>
          <w:szCs w:val="22"/>
        </w:rPr>
        <w:t>35</w:t>
      </w:r>
      <w:r w:rsidR="002F6182" w:rsidRPr="0022190E">
        <w:rPr>
          <w:szCs w:val="22"/>
        </w:rPr>
        <w:t xml:space="preserve"> </w:t>
      </w:r>
      <w:r w:rsidRPr="0022190E">
        <w:rPr>
          <w:szCs w:val="22"/>
        </w:rPr>
        <w:t>days</w:t>
      </w:r>
      <w:r w:rsidR="002F6182">
        <w:rPr>
          <w:szCs w:val="22"/>
        </w:rPr>
        <w:t xml:space="preserve"> of the referral from FWO</w:t>
      </w:r>
      <w:r w:rsidRPr="0022190E">
        <w:rPr>
          <w:szCs w:val="22"/>
        </w:rPr>
        <w:t>.</w:t>
      </w:r>
      <w:r w:rsidR="00ED7289">
        <w:rPr>
          <w:szCs w:val="22"/>
        </w:rPr>
        <w:t xml:space="preserve"> </w:t>
      </w:r>
      <w:r w:rsidRPr="0022190E">
        <w:rPr>
          <w:szCs w:val="22"/>
        </w:rPr>
        <w:t xml:space="preserve">If there </w:t>
      </w:r>
      <w:r w:rsidR="00750898">
        <w:rPr>
          <w:szCs w:val="22"/>
        </w:rPr>
        <w:t>was</w:t>
      </w:r>
      <w:r w:rsidR="00750898" w:rsidRPr="0022190E">
        <w:rPr>
          <w:szCs w:val="22"/>
        </w:rPr>
        <w:t xml:space="preserve"> </w:t>
      </w:r>
      <w:r w:rsidRPr="0022190E">
        <w:rPr>
          <w:szCs w:val="22"/>
        </w:rPr>
        <w:t xml:space="preserve">reasonable evidence </w:t>
      </w:r>
      <w:r w:rsidR="002F6182">
        <w:rPr>
          <w:szCs w:val="22"/>
        </w:rPr>
        <w:t>that a subcontractor had underpaid an employee</w:t>
      </w:r>
      <w:r w:rsidRPr="0022190E">
        <w:rPr>
          <w:szCs w:val="22"/>
        </w:rPr>
        <w:t xml:space="preserve">, </w:t>
      </w:r>
      <w:r w:rsidR="002F6182">
        <w:rPr>
          <w:szCs w:val="22"/>
        </w:rPr>
        <w:t>UTC</w:t>
      </w:r>
      <w:r w:rsidRPr="0022190E">
        <w:rPr>
          <w:szCs w:val="22"/>
        </w:rPr>
        <w:t xml:space="preserve"> </w:t>
      </w:r>
      <w:r w:rsidR="00750898">
        <w:rPr>
          <w:szCs w:val="22"/>
        </w:rPr>
        <w:t xml:space="preserve">was </w:t>
      </w:r>
      <w:r w:rsidR="002F6182">
        <w:rPr>
          <w:szCs w:val="22"/>
        </w:rPr>
        <w:t xml:space="preserve">required to </w:t>
      </w:r>
      <w:r w:rsidRPr="0022190E">
        <w:rPr>
          <w:szCs w:val="22"/>
        </w:rPr>
        <w:t xml:space="preserve">withhold </w:t>
      </w:r>
      <w:r w:rsidR="002F6182">
        <w:rPr>
          <w:szCs w:val="22"/>
        </w:rPr>
        <w:t>this</w:t>
      </w:r>
      <w:r w:rsidRPr="0022190E">
        <w:rPr>
          <w:szCs w:val="22"/>
        </w:rPr>
        <w:t xml:space="preserve"> amount from any money owing to the subcontractor until </w:t>
      </w:r>
      <w:r w:rsidR="002F6182">
        <w:rPr>
          <w:szCs w:val="22"/>
        </w:rPr>
        <w:t xml:space="preserve">the </w:t>
      </w:r>
      <w:r w:rsidR="00B9253E" w:rsidRPr="0022190E">
        <w:rPr>
          <w:szCs w:val="22"/>
        </w:rPr>
        <w:t>subcontractor</w:t>
      </w:r>
      <w:r w:rsidR="00B9253E" w:rsidRPr="0022190E" w:rsidDel="00CD46F6">
        <w:rPr>
          <w:szCs w:val="22"/>
        </w:rPr>
        <w:t xml:space="preserve"> </w:t>
      </w:r>
      <w:r w:rsidR="00CD46F6" w:rsidRPr="0022190E">
        <w:rPr>
          <w:szCs w:val="22"/>
        </w:rPr>
        <w:t>re</w:t>
      </w:r>
      <w:r w:rsidR="00CD46F6">
        <w:rPr>
          <w:szCs w:val="22"/>
        </w:rPr>
        <w:t xml:space="preserve">ctified </w:t>
      </w:r>
      <w:r w:rsidR="002F6182">
        <w:rPr>
          <w:szCs w:val="22"/>
        </w:rPr>
        <w:t xml:space="preserve">the </w:t>
      </w:r>
      <w:r w:rsidR="00CD46F6">
        <w:rPr>
          <w:szCs w:val="22"/>
        </w:rPr>
        <w:t>underpayment</w:t>
      </w:r>
      <w:r w:rsidR="009B5F17">
        <w:rPr>
          <w:szCs w:val="22"/>
        </w:rPr>
        <w:t xml:space="preserve"> of </w:t>
      </w:r>
      <w:r w:rsidR="00DA0CB9">
        <w:rPr>
          <w:szCs w:val="22"/>
        </w:rPr>
        <w:t>the</w:t>
      </w:r>
      <w:r w:rsidR="006F01B6">
        <w:rPr>
          <w:szCs w:val="22"/>
        </w:rPr>
        <w:t>i</w:t>
      </w:r>
      <w:r w:rsidR="00DA0CB9">
        <w:rPr>
          <w:szCs w:val="22"/>
        </w:rPr>
        <w:t xml:space="preserve">r </w:t>
      </w:r>
      <w:r w:rsidR="008D4202">
        <w:rPr>
          <w:szCs w:val="22"/>
        </w:rPr>
        <w:t>worker</w:t>
      </w:r>
      <w:r w:rsidR="00CD46F6">
        <w:rPr>
          <w:szCs w:val="22"/>
        </w:rPr>
        <w:t>.</w:t>
      </w:r>
      <w:r w:rsidRPr="0022190E">
        <w:rPr>
          <w:szCs w:val="22"/>
        </w:rPr>
        <w:t xml:space="preserve"> </w:t>
      </w:r>
    </w:p>
    <w:p w14:paraId="710BB4E1" w14:textId="11E70DFB" w:rsidR="005474BD" w:rsidRDefault="005378F7" w:rsidP="00C22D97">
      <w:r>
        <w:rPr>
          <w:szCs w:val="22"/>
        </w:rPr>
        <w:t>D</w:t>
      </w:r>
      <w:r w:rsidRPr="0022190E">
        <w:rPr>
          <w:szCs w:val="22"/>
        </w:rPr>
        <w:t xml:space="preserve">uring the </w:t>
      </w:r>
      <w:r>
        <w:rPr>
          <w:szCs w:val="22"/>
        </w:rPr>
        <w:t>P</w:t>
      </w:r>
      <w:r w:rsidRPr="0022190E">
        <w:rPr>
          <w:szCs w:val="22"/>
        </w:rPr>
        <w:t>CD</w:t>
      </w:r>
      <w:r w:rsidR="00155534">
        <w:rPr>
          <w:szCs w:val="22"/>
        </w:rPr>
        <w:t>,</w:t>
      </w:r>
      <w:r>
        <w:rPr>
          <w:szCs w:val="22"/>
        </w:rPr>
        <w:t xml:space="preserve"> t</w:t>
      </w:r>
      <w:r w:rsidR="005474BD" w:rsidRPr="0022190E">
        <w:rPr>
          <w:szCs w:val="22"/>
        </w:rPr>
        <w:t xml:space="preserve">he FWO </w:t>
      </w:r>
      <w:r w:rsidR="005474BD">
        <w:rPr>
          <w:szCs w:val="22"/>
        </w:rPr>
        <w:t xml:space="preserve">referred five </w:t>
      </w:r>
      <w:r w:rsidR="005474BD" w:rsidRPr="0022190E">
        <w:rPr>
          <w:szCs w:val="22"/>
        </w:rPr>
        <w:t>requests</w:t>
      </w:r>
      <w:r>
        <w:rPr>
          <w:szCs w:val="22"/>
        </w:rPr>
        <w:t xml:space="preserve"> </w:t>
      </w:r>
      <w:r w:rsidR="00155534">
        <w:rPr>
          <w:szCs w:val="22"/>
        </w:rPr>
        <w:t xml:space="preserve">for assistance </w:t>
      </w:r>
      <w:r>
        <w:rPr>
          <w:szCs w:val="22"/>
        </w:rPr>
        <w:t>f</w:t>
      </w:r>
      <w:r w:rsidR="005474BD">
        <w:rPr>
          <w:szCs w:val="22"/>
        </w:rPr>
        <w:t xml:space="preserve">rom subcontractor </w:t>
      </w:r>
      <w:r w:rsidR="009B5F17">
        <w:rPr>
          <w:szCs w:val="22"/>
        </w:rPr>
        <w:t>employees</w:t>
      </w:r>
      <w:r w:rsidR="005474BD">
        <w:rPr>
          <w:szCs w:val="22"/>
        </w:rPr>
        <w:t xml:space="preserve"> to UTC</w:t>
      </w:r>
      <w:r w:rsidR="005474BD" w:rsidRPr="0022190E">
        <w:rPr>
          <w:szCs w:val="22"/>
        </w:rPr>
        <w:t xml:space="preserve"> </w:t>
      </w:r>
      <w:r w:rsidR="00712763">
        <w:rPr>
          <w:szCs w:val="22"/>
        </w:rPr>
        <w:t>concerning</w:t>
      </w:r>
      <w:r w:rsidR="005474BD">
        <w:rPr>
          <w:szCs w:val="22"/>
        </w:rPr>
        <w:t xml:space="preserve"> </w:t>
      </w:r>
      <w:r w:rsidR="005474BD">
        <w:t>pay slips and outstanding wages.</w:t>
      </w:r>
      <w:r w:rsidR="005474BD" w:rsidRPr="004E2FD3">
        <w:t xml:space="preserve"> </w:t>
      </w:r>
      <w:r w:rsidR="009B5F17">
        <w:t xml:space="preserve">UTC </w:t>
      </w:r>
      <w:r w:rsidR="005474BD" w:rsidRPr="00FB5B34">
        <w:t xml:space="preserve">reported to the FWO that it </w:t>
      </w:r>
      <w:r w:rsidR="00155534">
        <w:t xml:space="preserve">also </w:t>
      </w:r>
      <w:r w:rsidR="005474BD" w:rsidRPr="00FB5B34">
        <w:t>assisted a further 80 employees through its internal network enquiry systems during the partnership.</w:t>
      </w:r>
      <w:r w:rsidR="005474BD" w:rsidRPr="005474BD">
        <w:t xml:space="preserve"> </w:t>
      </w:r>
      <w:r w:rsidR="005474BD" w:rsidRPr="00FB5B34">
        <w:t>This included 39 employees from its subcontractors and 41 employees who went directly to the company’s headquarters</w:t>
      </w:r>
      <w:r w:rsidR="00C73105">
        <w:t>.</w:t>
      </w:r>
      <w:r w:rsidR="005474BD" w:rsidRPr="007A76CE">
        <w:t xml:space="preserve"> </w:t>
      </w:r>
    </w:p>
    <w:p w14:paraId="6E9FCFF6" w14:textId="47AC07A1" w:rsidR="005474BD" w:rsidRDefault="009B5F17" w:rsidP="00C22D97">
      <w:r>
        <w:rPr>
          <w:szCs w:val="22"/>
        </w:rPr>
        <w:t>UTC</w:t>
      </w:r>
      <w:r w:rsidR="005474BD">
        <w:rPr>
          <w:szCs w:val="22"/>
        </w:rPr>
        <w:t xml:space="preserve"> </w:t>
      </w:r>
      <w:r>
        <w:rPr>
          <w:szCs w:val="22"/>
        </w:rPr>
        <w:t xml:space="preserve">reported that it had resolved </w:t>
      </w:r>
      <w:r w:rsidR="005474BD">
        <w:rPr>
          <w:szCs w:val="22"/>
        </w:rPr>
        <w:t xml:space="preserve">all </w:t>
      </w:r>
      <w:r w:rsidR="00882DC0">
        <w:rPr>
          <w:szCs w:val="22"/>
        </w:rPr>
        <w:t xml:space="preserve">requests </w:t>
      </w:r>
      <w:r>
        <w:rPr>
          <w:szCs w:val="22"/>
        </w:rPr>
        <w:t>by m</w:t>
      </w:r>
      <w:r w:rsidR="005474BD">
        <w:rPr>
          <w:szCs w:val="22"/>
        </w:rPr>
        <w:t>eeting</w:t>
      </w:r>
      <w:r w:rsidR="00882DC0">
        <w:rPr>
          <w:szCs w:val="22"/>
        </w:rPr>
        <w:t xml:space="preserve"> (or teleconferencing) </w:t>
      </w:r>
      <w:r>
        <w:rPr>
          <w:szCs w:val="22"/>
        </w:rPr>
        <w:t>with</w:t>
      </w:r>
      <w:r w:rsidR="005474BD">
        <w:rPr>
          <w:szCs w:val="22"/>
        </w:rPr>
        <w:t xml:space="preserve"> </w:t>
      </w:r>
      <w:r>
        <w:rPr>
          <w:szCs w:val="22"/>
        </w:rPr>
        <w:t>b</w:t>
      </w:r>
      <w:r w:rsidR="005474BD">
        <w:rPr>
          <w:szCs w:val="22"/>
        </w:rPr>
        <w:t xml:space="preserve">oth </w:t>
      </w:r>
      <w:r w:rsidR="00882DC0">
        <w:rPr>
          <w:szCs w:val="22"/>
        </w:rPr>
        <w:t>the subcontractor and the</w:t>
      </w:r>
      <w:r w:rsidR="00486653">
        <w:rPr>
          <w:szCs w:val="22"/>
        </w:rPr>
        <w:t xml:space="preserve">ir </w:t>
      </w:r>
      <w:r w:rsidR="00882DC0">
        <w:rPr>
          <w:szCs w:val="22"/>
        </w:rPr>
        <w:t>employee</w:t>
      </w:r>
      <w:r w:rsidR="006516FE">
        <w:rPr>
          <w:szCs w:val="22"/>
        </w:rPr>
        <w:t>,</w:t>
      </w:r>
      <w:r w:rsidR="00882DC0">
        <w:rPr>
          <w:szCs w:val="22"/>
        </w:rPr>
        <w:t xml:space="preserve"> </w:t>
      </w:r>
      <w:r w:rsidR="006516FE">
        <w:rPr>
          <w:szCs w:val="22"/>
        </w:rPr>
        <w:t>ensuring compliance with the Award</w:t>
      </w:r>
      <w:r w:rsidR="003752A2">
        <w:rPr>
          <w:szCs w:val="22"/>
        </w:rPr>
        <w:t>,</w:t>
      </w:r>
      <w:r w:rsidR="006516FE">
        <w:rPr>
          <w:szCs w:val="22"/>
        </w:rPr>
        <w:t xml:space="preserve"> and t</w:t>
      </w:r>
      <w:r>
        <w:rPr>
          <w:szCs w:val="22"/>
        </w:rPr>
        <w:t xml:space="preserve">hat </w:t>
      </w:r>
      <w:r w:rsidR="006F0721">
        <w:rPr>
          <w:szCs w:val="22"/>
        </w:rPr>
        <w:t>the</w:t>
      </w:r>
      <w:r>
        <w:rPr>
          <w:szCs w:val="22"/>
        </w:rPr>
        <w:t xml:space="preserve"> parties </w:t>
      </w:r>
      <w:r w:rsidR="00882DC0">
        <w:rPr>
          <w:szCs w:val="22"/>
        </w:rPr>
        <w:t xml:space="preserve">understood and </w:t>
      </w:r>
      <w:r>
        <w:rPr>
          <w:szCs w:val="22"/>
        </w:rPr>
        <w:t>were satisfied with the outcome.</w:t>
      </w:r>
      <w:r w:rsidR="006516FE" w:rsidRPr="006516FE">
        <w:rPr>
          <w:szCs w:val="22"/>
        </w:rPr>
        <w:t xml:space="preserve"> </w:t>
      </w:r>
    </w:p>
    <w:p w14:paraId="5C33CD6D" w14:textId="77777777" w:rsidR="009A0AF1" w:rsidRPr="00C51E18" w:rsidRDefault="009A0AF1">
      <w:pPr>
        <w:pStyle w:val="Heading2"/>
      </w:pPr>
      <w:r w:rsidRPr="00C51E18">
        <w:t>Enquiries raised with UTC and resolved through the Coles hotline</w:t>
      </w:r>
    </w:p>
    <w:p w14:paraId="45F4646A" w14:textId="625FCF97" w:rsidR="00CF5AB1" w:rsidRDefault="00590D6C" w:rsidP="00837512">
      <w:pPr>
        <w:rPr>
          <w:szCs w:val="22"/>
        </w:rPr>
      </w:pPr>
      <w:r>
        <w:rPr>
          <w:szCs w:val="22"/>
        </w:rPr>
        <w:t>As</w:t>
      </w:r>
      <w:r w:rsidR="00A13B5C">
        <w:rPr>
          <w:szCs w:val="22"/>
        </w:rPr>
        <w:t xml:space="preserve"> a</w:t>
      </w:r>
      <w:r w:rsidRPr="0022190E">
        <w:rPr>
          <w:szCs w:val="22"/>
        </w:rPr>
        <w:t xml:space="preserve"> major </w:t>
      </w:r>
      <w:r>
        <w:rPr>
          <w:szCs w:val="22"/>
        </w:rPr>
        <w:t xml:space="preserve">trolley-collecting </w:t>
      </w:r>
      <w:r w:rsidRPr="0022190E">
        <w:rPr>
          <w:szCs w:val="22"/>
        </w:rPr>
        <w:t>contractor for Coles</w:t>
      </w:r>
      <w:r>
        <w:rPr>
          <w:szCs w:val="22"/>
        </w:rPr>
        <w:t xml:space="preserve">, UTC investigated </w:t>
      </w:r>
      <w:r w:rsidR="004E1ACC">
        <w:rPr>
          <w:szCs w:val="22"/>
        </w:rPr>
        <w:t xml:space="preserve">and attempted to resolve </w:t>
      </w:r>
      <w:r>
        <w:rPr>
          <w:szCs w:val="22"/>
        </w:rPr>
        <w:t xml:space="preserve">requests about </w:t>
      </w:r>
      <w:r w:rsidR="00F50531">
        <w:rPr>
          <w:szCs w:val="22"/>
        </w:rPr>
        <w:t>its</w:t>
      </w:r>
      <w:r w:rsidRPr="00590D6C">
        <w:rPr>
          <w:szCs w:val="22"/>
        </w:rPr>
        <w:t xml:space="preserve"> </w:t>
      </w:r>
      <w:r w:rsidRPr="0022190E">
        <w:rPr>
          <w:szCs w:val="22"/>
        </w:rPr>
        <w:t>subcontractor</w:t>
      </w:r>
      <w:r>
        <w:rPr>
          <w:szCs w:val="22"/>
        </w:rPr>
        <w:t xml:space="preserve">s that came through </w:t>
      </w:r>
      <w:r w:rsidR="009A0AF1" w:rsidRPr="0022190E">
        <w:rPr>
          <w:szCs w:val="22"/>
        </w:rPr>
        <w:t xml:space="preserve">the Coles </w:t>
      </w:r>
      <w:r w:rsidR="00E931A9">
        <w:rPr>
          <w:szCs w:val="22"/>
        </w:rPr>
        <w:t>h</w:t>
      </w:r>
      <w:r w:rsidR="009A0AF1" w:rsidRPr="0022190E">
        <w:rPr>
          <w:szCs w:val="22"/>
        </w:rPr>
        <w:t>otline</w:t>
      </w:r>
      <w:r>
        <w:rPr>
          <w:szCs w:val="22"/>
        </w:rPr>
        <w:t>.</w:t>
      </w:r>
      <w:r w:rsidR="009A0AF1" w:rsidRPr="0022190E">
        <w:rPr>
          <w:szCs w:val="22"/>
        </w:rPr>
        <w:t xml:space="preserve"> Coles reported five complaints</w:t>
      </w:r>
      <w:r w:rsidR="00CF5AB1">
        <w:rPr>
          <w:szCs w:val="22"/>
        </w:rPr>
        <w:t xml:space="preserve"> during the partnership</w:t>
      </w:r>
      <w:r w:rsidR="00AA296E">
        <w:rPr>
          <w:szCs w:val="22"/>
        </w:rPr>
        <w:t xml:space="preserve"> regarding:</w:t>
      </w:r>
    </w:p>
    <w:p w14:paraId="4A5CAD62" w14:textId="622E2CAA" w:rsidR="009A0AF1" w:rsidRDefault="00E931A9">
      <w:pPr>
        <w:pStyle w:val="Bullet"/>
      </w:pPr>
      <w:r>
        <w:t>u</w:t>
      </w:r>
      <w:r w:rsidR="00CF5AB1">
        <w:t xml:space="preserve">nderpayment of wages </w:t>
      </w:r>
    </w:p>
    <w:p w14:paraId="7E5DD1BE" w14:textId="207459CA" w:rsidR="00CF5AB1" w:rsidRDefault="00E931A9">
      <w:pPr>
        <w:pStyle w:val="Bullet"/>
      </w:pPr>
      <w:r>
        <w:t>e</w:t>
      </w:r>
      <w:r w:rsidR="00AA296E">
        <w:t>mployees being</w:t>
      </w:r>
      <w:r w:rsidR="00CF5AB1">
        <w:t xml:space="preserve"> paid a flat rate of pay, </w:t>
      </w:r>
      <w:r w:rsidR="00AA296E">
        <w:t>sometimes</w:t>
      </w:r>
      <w:r w:rsidR="00CF5AB1">
        <w:t xml:space="preserve"> as low as $10 an hour</w:t>
      </w:r>
    </w:p>
    <w:p w14:paraId="2D6CCFD4" w14:textId="257A4223" w:rsidR="00CF5AB1" w:rsidRDefault="00E931A9">
      <w:pPr>
        <w:pStyle w:val="Bullet"/>
      </w:pPr>
      <w:r>
        <w:t>unpaid s</w:t>
      </w:r>
      <w:r w:rsidR="00CF5AB1">
        <w:t xml:space="preserve">uperannuation </w:t>
      </w:r>
    </w:p>
    <w:p w14:paraId="6B5BECC7" w14:textId="5E47ED2A" w:rsidR="00CF5AB1" w:rsidRDefault="00E931A9">
      <w:pPr>
        <w:pStyle w:val="Bullet"/>
      </w:pPr>
      <w:r>
        <w:t>n</w:t>
      </w:r>
      <w:r w:rsidR="00AA296E">
        <w:t>on-provision of a</w:t>
      </w:r>
      <w:r w:rsidR="00CF5AB1">
        <w:t>nnual and sick leave entitlements</w:t>
      </w:r>
    </w:p>
    <w:p w14:paraId="361C8B41" w14:textId="380B84E5" w:rsidR="00CF5AB1" w:rsidRDefault="00E931A9">
      <w:pPr>
        <w:pStyle w:val="Bullet"/>
      </w:pPr>
      <w:proofErr w:type="gramStart"/>
      <w:r>
        <w:t>n</w:t>
      </w:r>
      <w:r w:rsidR="00CF5AB1">
        <w:t>on-provision</w:t>
      </w:r>
      <w:proofErr w:type="gramEnd"/>
      <w:r w:rsidR="00CF5AB1">
        <w:t xml:space="preserve"> of pay</w:t>
      </w:r>
      <w:r>
        <w:t xml:space="preserve"> </w:t>
      </w:r>
      <w:r w:rsidR="00CF5AB1">
        <w:t>slips</w:t>
      </w:r>
      <w:r>
        <w:t>.</w:t>
      </w:r>
    </w:p>
    <w:p w14:paraId="1936687E" w14:textId="1163C774" w:rsidR="009B5F7E" w:rsidRDefault="00231995" w:rsidP="00837512">
      <w:pPr>
        <w:rPr>
          <w:szCs w:val="22"/>
        </w:rPr>
      </w:pPr>
      <w:r w:rsidRPr="00696528">
        <w:rPr>
          <w:szCs w:val="22"/>
        </w:rPr>
        <w:lastRenderedPageBreak/>
        <w:t>Because</w:t>
      </w:r>
      <w:r w:rsidR="00E070A4">
        <w:rPr>
          <w:szCs w:val="22"/>
        </w:rPr>
        <w:t xml:space="preserve"> of these </w:t>
      </w:r>
      <w:r w:rsidR="00A149D6">
        <w:rPr>
          <w:szCs w:val="22"/>
        </w:rPr>
        <w:t xml:space="preserve">five </w:t>
      </w:r>
      <w:r w:rsidR="00E070A4">
        <w:rPr>
          <w:szCs w:val="22"/>
        </w:rPr>
        <w:t xml:space="preserve">complaints, </w:t>
      </w:r>
      <w:r w:rsidR="00DD5875">
        <w:rPr>
          <w:szCs w:val="22"/>
        </w:rPr>
        <w:t xml:space="preserve">$23 419.31 </w:t>
      </w:r>
      <w:r w:rsidR="0050023A">
        <w:rPr>
          <w:szCs w:val="22"/>
        </w:rPr>
        <w:t xml:space="preserve">was recovered for </w:t>
      </w:r>
      <w:r w:rsidR="00837512">
        <w:rPr>
          <w:szCs w:val="22"/>
        </w:rPr>
        <w:t>affected trolley collectors</w:t>
      </w:r>
      <w:r w:rsidR="00A03EF6">
        <w:rPr>
          <w:szCs w:val="22"/>
        </w:rPr>
        <w:t>,</w:t>
      </w:r>
      <w:r w:rsidR="00837512">
        <w:rPr>
          <w:szCs w:val="22"/>
        </w:rPr>
        <w:t xml:space="preserve"> and </w:t>
      </w:r>
      <w:r w:rsidR="0050023A">
        <w:rPr>
          <w:szCs w:val="22"/>
        </w:rPr>
        <w:t xml:space="preserve">UTC </w:t>
      </w:r>
      <w:r w:rsidR="00E070A4">
        <w:rPr>
          <w:szCs w:val="22"/>
        </w:rPr>
        <w:t>terminated the services of two subcontractors.</w:t>
      </w:r>
      <w:r w:rsidR="00A149D6">
        <w:rPr>
          <w:rStyle w:val="FootnoteReference"/>
          <w:szCs w:val="22"/>
        </w:rPr>
        <w:footnoteReference w:id="8"/>
      </w:r>
    </w:p>
    <w:p w14:paraId="35440561" w14:textId="1A950E80" w:rsidR="000F3FDB" w:rsidRPr="0022190E" w:rsidRDefault="000F3FDB">
      <w:pPr>
        <w:pStyle w:val="Heading1"/>
      </w:pPr>
      <w:bookmarkStart w:id="15" w:name="_Toc527720485"/>
      <w:r w:rsidRPr="0022190E">
        <w:t>Self-</w:t>
      </w:r>
      <w:r w:rsidR="00B10935">
        <w:t>a</w:t>
      </w:r>
      <w:r w:rsidR="00CF2869" w:rsidRPr="0022190E">
        <w:t>udits</w:t>
      </w:r>
      <w:bookmarkEnd w:id="15"/>
      <w:r w:rsidR="00CF2869" w:rsidRPr="0022190E">
        <w:t xml:space="preserve"> </w:t>
      </w:r>
    </w:p>
    <w:p w14:paraId="0D8F2386" w14:textId="45765AF6" w:rsidR="00A71060" w:rsidRDefault="00E931A9" w:rsidP="00837512">
      <w:pPr>
        <w:rPr>
          <w:szCs w:val="22"/>
        </w:rPr>
      </w:pPr>
      <w:r>
        <w:rPr>
          <w:szCs w:val="22"/>
        </w:rPr>
        <w:t>T</w:t>
      </w:r>
      <w:r w:rsidR="00DD76FB">
        <w:rPr>
          <w:szCs w:val="22"/>
        </w:rPr>
        <w:t>he FWO required UT</w:t>
      </w:r>
      <w:r w:rsidR="00300F07">
        <w:rPr>
          <w:szCs w:val="22"/>
        </w:rPr>
        <w:t>C</w:t>
      </w:r>
      <w:r w:rsidR="00A658F3">
        <w:rPr>
          <w:szCs w:val="22"/>
        </w:rPr>
        <w:t xml:space="preserve"> to </w:t>
      </w:r>
      <w:r w:rsidR="007F61F0">
        <w:rPr>
          <w:szCs w:val="22"/>
        </w:rPr>
        <w:t>nominate and engage a third party to</w:t>
      </w:r>
      <w:r w:rsidR="00A658F3">
        <w:rPr>
          <w:szCs w:val="22"/>
        </w:rPr>
        <w:t xml:space="preserve"> conduct annual audits </w:t>
      </w:r>
      <w:r w:rsidR="00A71060">
        <w:rPr>
          <w:szCs w:val="22"/>
        </w:rPr>
        <w:t xml:space="preserve">of </w:t>
      </w:r>
      <w:r w:rsidR="00A658F3">
        <w:rPr>
          <w:szCs w:val="22"/>
        </w:rPr>
        <w:t>its contractor network</w:t>
      </w:r>
      <w:r w:rsidRPr="00E931A9">
        <w:rPr>
          <w:szCs w:val="22"/>
        </w:rPr>
        <w:t xml:space="preserve"> </w:t>
      </w:r>
      <w:r>
        <w:rPr>
          <w:szCs w:val="22"/>
        </w:rPr>
        <w:t>(as per Attachment B in the PCD)</w:t>
      </w:r>
      <w:r w:rsidR="00A658F3">
        <w:rPr>
          <w:szCs w:val="22"/>
        </w:rPr>
        <w:t xml:space="preserve">. </w:t>
      </w:r>
    </w:p>
    <w:p w14:paraId="21D7537B" w14:textId="757C6A26" w:rsidR="007F61F0" w:rsidRDefault="007F61F0" w:rsidP="00837512">
      <w:pPr>
        <w:rPr>
          <w:szCs w:val="22"/>
        </w:rPr>
      </w:pPr>
      <w:r w:rsidRPr="0022190E">
        <w:rPr>
          <w:szCs w:val="22"/>
        </w:rPr>
        <w:t xml:space="preserve">UTC engaged </w:t>
      </w:r>
      <w:r>
        <w:rPr>
          <w:szCs w:val="22"/>
        </w:rPr>
        <w:t xml:space="preserve">accounting firm </w:t>
      </w:r>
      <w:proofErr w:type="spellStart"/>
      <w:r w:rsidRPr="00E070A4">
        <w:rPr>
          <w:rStyle w:val="Hyperlink"/>
          <w:rFonts w:cs="Arial"/>
          <w:color w:val="auto"/>
          <w:szCs w:val="22"/>
          <w:u w:val="none"/>
        </w:rPr>
        <w:t>Patison</w:t>
      </w:r>
      <w:proofErr w:type="spellEnd"/>
      <w:r w:rsidRPr="00E070A4">
        <w:rPr>
          <w:rStyle w:val="Hyperlink"/>
          <w:rFonts w:cs="Arial"/>
          <w:color w:val="auto"/>
          <w:szCs w:val="22"/>
          <w:u w:val="none"/>
        </w:rPr>
        <w:t xml:space="preserve"> Partners</w:t>
      </w:r>
      <w:r>
        <w:rPr>
          <w:rStyle w:val="FootnoteReference"/>
          <w:szCs w:val="22"/>
        </w:rPr>
        <w:footnoteReference w:id="9"/>
      </w:r>
      <w:r w:rsidRPr="00E070A4">
        <w:rPr>
          <w:szCs w:val="22"/>
        </w:rPr>
        <w:t xml:space="preserve"> </w:t>
      </w:r>
      <w:r w:rsidR="00E04960">
        <w:rPr>
          <w:szCs w:val="22"/>
        </w:rPr>
        <w:t>t</w:t>
      </w:r>
      <w:r w:rsidRPr="0022190E">
        <w:rPr>
          <w:szCs w:val="22"/>
        </w:rPr>
        <w:t xml:space="preserve">o conduct </w:t>
      </w:r>
      <w:r w:rsidR="00A13B5C">
        <w:rPr>
          <w:szCs w:val="22"/>
        </w:rPr>
        <w:t>all three</w:t>
      </w:r>
      <w:r>
        <w:rPr>
          <w:szCs w:val="22"/>
        </w:rPr>
        <w:t xml:space="preserve"> </w:t>
      </w:r>
      <w:r w:rsidRPr="0022190E">
        <w:rPr>
          <w:szCs w:val="22"/>
        </w:rPr>
        <w:t xml:space="preserve">self-audit </w:t>
      </w:r>
      <w:r>
        <w:rPr>
          <w:szCs w:val="22"/>
        </w:rPr>
        <w:t>program</w:t>
      </w:r>
      <w:r w:rsidR="00E931A9">
        <w:rPr>
          <w:szCs w:val="22"/>
        </w:rPr>
        <w:t>s</w:t>
      </w:r>
      <w:r>
        <w:rPr>
          <w:szCs w:val="22"/>
        </w:rPr>
        <w:t xml:space="preserve">. </w:t>
      </w:r>
      <w:r w:rsidRPr="0022190E">
        <w:rPr>
          <w:szCs w:val="22"/>
        </w:rPr>
        <w:t xml:space="preserve"> </w:t>
      </w:r>
    </w:p>
    <w:p w14:paraId="47527185" w14:textId="5EE05063" w:rsidR="007C44C4" w:rsidRDefault="008E2896" w:rsidP="00837512">
      <w:pPr>
        <w:rPr>
          <w:szCs w:val="22"/>
        </w:rPr>
      </w:pPr>
      <w:r>
        <w:rPr>
          <w:szCs w:val="22"/>
        </w:rPr>
        <w:t>FWO required</w:t>
      </w:r>
      <w:r w:rsidR="00E04960">
        <w:rPr>
          <w:szCs w:val="22"/>
        </w:rPr>
        <w:t xml:space="preserve"> that</w:t>
      </w:r>
      <w:r>
        <w:rPr>
          <w:szCs w:val="22"/>
        </w:rPr>
        <w:t xml:space="preserve"> </w:t>
      </w:r>
      <w:r w:rsidR="00A71060">
        <w:rPr>
          <w:szCs w:val="22"/>
        </w:rPr>
        <w:t>self-audits</w:t>
      </w:r>
      <w:r w:rsidRPr="008E2896">
        <w:rPr>
          <w:szCs w:val="22"/>
        </w:rPr>
        <w:t xml:space="preserve"> </w:t>
      </w:r>
      <w:r>
        <w:rPr>
          <w:szCs w:val="22"/>
        </w:rPr>
        <w:t xml:space="preserve">include </w:t>
      </w:r>
      <w:r w:rsidR="00E04960">
        <w:rPr>
          <w:szCs w:val="22"/>
        </w:rPr>
        <w:t xml:space="preserve">an </w:t>
      </w:r>
      <w:r>
        <w:rPr>
          <w:szCs w:val="22"/>
        </w:rPr>
        <w:t xml:space="preserve">assessment of the time and wages records </w:t>
      </w:r>
      <w:r w:rsidR="00E04960">
        <w:rPr>
          <w:szCs w:val="22"/>
        </w:rPr>
        <w:t xml:space="preserve">of </w:t>
      </w:r>
      <w:r>
        <w:rPr>
          <w:szCs w:val="22"/>
        </w:rPr>
        <w:t>10% of all network employe</w:t>
      </w:r>
      <w:r w:rsidR="00E04960">
        <w:rPr>
          <w:szCs w:val="22"/>
        </w:rPr>
        <w:t>es,</w:t>
      </w:r>
      <w:r>
        <w:rPr>
          <w:szCs w:val="22"/>
        </w:rPr>
        <w:t xml:space="preserve"> and</w:t>
      </w:r>
      <w:r w:rsidR="00A71060">
        <w:rPr>
          <w:szCs w:val="22"/>
        </w:rPr>
        <w:t xml:space="preserve"> </w:t>
      </w:r>
      <w:r>
        <w:t xml:space="preserve">cover a </w:t>
      </w:r>
      <w:r w:rsidR="00A71060" w:rsidRPr="0022190E">
        <w:t>four-week period</w:t>
      </w:r>
      <w:r>
        <w:t>,</w:t>
      </w:r>
      <w:r w:rsidR="00A71060">
        <w:rPr>
          <w:szCs w:val="22"/>
        </w:rPr>
        <w:t xml:space="preserve"> including a public holiday</w:t>
      </w:r>
      <w:r>
        <w:rPr>
          <w:szCs w:val="22"/>
        </w:rPr>
        <w:t>.</w:t>
      </w:r>
    </w:p>
    <w:p w14:paraId="40A2B729" w14:textId="29D04F1B" w:rsidR="007F61F0" w:rsidRDefault="001C0535" w:rsidP="00837512">
      <w:pPr>
        <w:rPr>
          <w:szCs w:val="22"/>
        </w:rPr>
      </w:pPr>
      <w:proofErr w:type="gramStart"/>
      <w:r>
        <w:rPr>
          <w:szCs w:val="22"/>
        </w:rPr>
        <w:t>The</w:t>
      </w:r>
      <w:r w:rsidR="00E04960">
        <w:rPr>
          <w:szCs w:val="22"/>
        </w:rPr>
        <w:t xml:space="preserve"> self-audits</w:t>
      </w:r>
      <w:proofErr w:type="gramEnd"/>
      <w:r w:rsidR="00E04960">
        <w:rPr>
          <w:szCs w:val="22"/>
        </w:rPr>
        <w:t xml:space="preserve"> assess</w:t>
      </w:r>
      <w:r>
        <w:rPr>
          <w:szCs w:val="22"/>
        </w:rPr>
        <w:t>ed</w:t>
      </w:r>
      <w:r w:rsidR="00E04960">
        <w:rPr>
          <w:szCs w:val="22"/>
        </w:rPr>
        <w:t xml:space="preserve"> compliance with </w:t>
      </w:r>
      <w:r w:rsidR="00125D7A">
        <w:rPr>
          <w:szCs w:val="22"/>
        </w:rPr>
        <w:t>the</w:t>
      </w:r>
      <w:r w:rsidR="007F61F0">
        <w:rPr>
          <w:szCs w:val="22"/>
        </w:rPr>
        <w:t xml:space="preserve"> following entitlements:</w:t>
      </w:r>
    </w:p>
    <w:p w14:paraId="40D9CABE" w14:textId="77777777" w:rsidR="007C44C4" w:rsidRPr="00644287" w:rsidRDefault="007C44C4">
      <w:pPr>
        <w:pStyle w:val="Bullet"/>
      </w:pPr>
      <w:r w:rsidRPr="00644287">
        <w:t>wages</w:t>
      </w:r>
    </w:p>
    <w:p w14:paraId="7E43A32D" w14:textId="77777777" w:rsidR="007C44C4" w:rsidRPr="00644287" w:rsidRDefault="007C44C4">
      <w:pPr>
        <w:pStyle w:val="Bullet"/>
      </w:pPr>
      <w:proofErr w:type="spellStart"/>
      <w:r w:rsidRPr="00644287">
        <w:t>Ioadings</w:t>
      </w:r>
      <w:proofErr w:type="spellEnd"/>
    </w:p>
    <w:p w14:paraId="03D7F27B" w14:textId="77777777" w:rsidR="007C44C4" w:rsidRPr="00644287" w:rsidRDefault="007C44C4">
      <w:pPr>
        <w:pStyle w:val="Bullet"/>
      </w:pPr>
      <w:r w:rsidRPr="00644287">
        <w:t>allowances</w:t>
      </w:r>
    </w:p>
    <w:p w14:paraId="0E7E195A" w14:textId="5CABF8BB" w:rsidR="007C44C4" w:rsidRDefault="007C44C4">
      <w:pPr>
        <w:pStyle w:val="Bullet"/>
      </w:pPr>
      <w:proofErr w:type="gramStart"/>
      <w:r w:rsidRPr="00644287">
        <w:t>penalties</w:t>
      </w:r>
      <w:proofErr w:type="gramEnd"/>
      <w:r w:rsidRPr="00644287">
        <w:t>.</w:t>
      </w:r>
    </w:p>
    <w:p w14:paraId="2F9E2248" w14:textId="7DE0BB3F" w:rsidR="00D160D2" w:rsidRPr="00DA0CB9" w:rsidRDefault="00D160D2" w:rsidP="00DA2C0F">
      <w:r w:rsidRPr="00DA2C0F">
        <w:rPr>
          <w:szCs w:val="22"/>
        </w:rPr>
        <w:t xml:space="preserve">UTC exceeded these requirements over the course of the PCD by completing a total of </w:t>
      </w:r>
      <w:proofErr w:type="gramStart"/>
      <w:r w:rsidRPr="00DA2C0F">
        <w:rPr>
          <w:szCs w:val="22"/>
        </w:rPr>
        <w:t>nine</w:t>
      </w:r>
      <w:proofErr w:type="gramEnd"/>
      <w:r w:rsidRPr="00DA2C0F">
        <w:rPr>
          <w:szCs w:val="22"/>
        </w:rPr>
        <w:t xml:space="preserve"> independent audits, covering 102 weeks and 2397 employees. </w:t>
      </w:r>
    </w:p>
    <w:p w14:paraId="75C62AD2" w14:textId="75F94F69" w:rsidR="00CF2869" w:rsidRPr="000C3D14" w:rsidRDefault="00CF2869">
      <w:pPr>
        <w:pStyle w:val="Heading2"/>
      </w:pPr>
      <w:r w:rsidRPr="000C3D14">
        <w:t>First self-audit</w:t>
      </w:r>
    </w:p>
    <w:p w14:paraId="4E65A416" w14:textId="5CB1B226" w:rsidR="00CF2869" w:rsidRPr="0022190E" w:rsidRDefault="00CF2869" w:rsidP="00837512">
      <w:pPr>
        <w:rPr>
          <w:szCs w:val="22"/>
        </w:rPr>
      </w:pPr>
      <w:r w:rsidRPr="0022190E">
        <w:rPr>
          <w:szCs w:val="22"/>
        </w:rPr>
        <w:t xml:space="preserve">The first self-audit reviewed entitlements for 405 employees of 11 subcontractors </w:t>
      </w:r>
      <w:r w:rsidR="0059463D">
        <w:rPr>
          <w:szCs w:val="22"/>
        </w:rPr>
        <w:t>for the period of</w:t>
      </w:r>
      <w:r w:rsidRPr="0022190E">
        <w:rPr>
          <w:szCs w:val="22"/>
        </w:rPr>
        <w:t xml:space="preserve"> </w:t>
      </w:r>
      <w:r w:rsidR="0059463D">
        <w:rPr>
          <w:szCs w:val="22"/>
        </w:rPr>
        <w:t xml:space="preserve">30 March to </w:t>
      </w:r>
      <w:r w:rsidRPr="0022190E">
        <w:rPr>
          <w:szCs w:val="22"/>
        </w:rPr>
        <w:t xml:space="preserve">26 April 2015. </w:t>
      </w:r>
    </w:p>
    <w:p w14:paraId="2C54CC1E" w14:textId="09BA2FC1" w:rsidR="00CF2869" w:rsidRPr="0022190E" w:rsidRDefault="00CF2869" w:rsidP="00837512">
      <w:pPr>
        <w:rPr>
          <w:szCs w:val="22"/>
        </w:rPr>
      </w:pPr>
      <w:r w:rsidRPr="0022190E">
        <w:rPr>
          <w:szCs w:val="22"/>
        </w:rPr>
        <w:t xml:space="preserve">UTC </w:t>
      </w:r>
      <w:r w:rsidR="00201572">
        <w:rPr>
          <w:szCs w:val="22"/>
        </w:rPr>
        <w:t>provided</w:t>
      </w:r>
      <w:r w:rsidRPr="0022190E">
        <w:rPr>
          <w:szCs w:val="22"/>
        </w:rPr>
        <w:t xml:space="preserve"> details of </w:t>
      </w:r>
      <w:r w:rsidR="003024D3">
        <w:rPr>
          <w:szCs w:val="22"/>
        </w:rPr>
        <w:t>breache</w:t>
      </w:r>
      <w:r w:rsidR="003024D3" w:rsidRPr="0022190E">
        <w:rPr>
          <w:szCs w:val="22"/>
        </w:rPr>
        <w:t xml:space="preserve">s </w:t>
      </w:r>
      <w:r w:rsidR="00201572">
        <w:rPr>
          <w:szCs w:val="22"/>
        </w:rPr>
        <w:t xml:space="preserve">to the FWO </w:t>
      </w:r>
      <w:r w:rsidRPr="0022190E">
        <w:rPr>
          <w:szCs w:val="22"/>
        </w:rPr>
        <w:t xml:space="preserve">for each subcontractor along with evidence that </w:t>
      </w:r>
      <w:r w:rsidR="004C308A">
        <w:rPr>
          <w:szCs w:val="22"/>
        </w:rPr>
        <w:t>it</w:t>
      </w:r>
      <w:r w:rsidRPr="0022190E">
        <w:rPr>
          <w:szCs w:val="22"/>
        </w:rPr>
        <w:t xml:space="preserve"> had rectified </w:t>
      </w:r>
      <w:r w:rsidR="003F3574">
        <w:rPr>
          <w:szCs w:val="22"/>
        </w:rPr>
        <w:t>the matters.</w:t>
      </w:r>
    </w:p>
    <w:p w14:paraId="4C27527F" w14:textId="31D09B55" w:rsidR="00CF2869" w:rsidRPr="0022190E" w:rsidRDefault="008E5E75" w:rsidP="00837512">
      <w:pPr>
        <w:rPr>
          <w:szCs w:val="22"/>
        </w:rPr>
      </w:pPr>
      <w:r>
        <w:rPr>
          <w:szCs w:val="22"/>
        </w:rPr>
        <w:t xml:space="preserve">The </w:t>
      </w:r>
      <w:r w:rsidR="003024D3">
        <w:rPr>
          <w:szCs w:val="22"/>
        </w:rPr>
        <w:t>breache</w:t>
      </w:r>
      <w:r w:rsidR="003024D3" w:rsidRPr="0022190E">
        <w:rPr>
          <w:szCs w:val="22"/>
        </w:rPr>
        <w:t xml:space="preserve">s </w:t>
      </w:r>
      <w:r w:rsidR="00CF2869" w:rsidRPr="0022190E">
        <w:rPr>
          <w:szCs w:val="22"/>
        </w:rPr>
        <w:t xml:space="preserve">found were consistent with problems UTC had been proactively identifying </w:t>
      </w:r>
      <w:r w:rsidR="006F2A37" w:rsidRPr="0022190E">
        <w:rPr>
          <w:szCs w:val="22"/>
        </w:rPr>
        <w:t>throughout the year</w:t>
      </w:r>
      <w:r w:rsidR="006F2A37">
        <w:rPr>
          <w:szCs w:val="22"/>
        </w:rPr>
        <w:t>,</w:t>
      </w:r>
      <w:r w:rsidR="006F2A37" w:rsidRPr="0022190E">
        <w:rPr>
          <w:szCs w:val="22"/>
        </w:rPr>
        <w:t xml:space="preserve"> </w:t>
      </w:r>
      <w:r w:rsidR="00CF2869" w:rsidRPr="0022190E">
        <w:rPr>
          <w:szCs w:val="22"/>
        </w:rPr>
        <w:t xml:space="preserve">and </w:t>
      </w:r>
      <w:r w:rsidR="00963801">
        <w:rPr>
          <w:szCs w:val="22"/>
        </w:rPr>
        <w:t xml:space="preserve">had been </w:t>
      </w:r>
      <w:r w:rsidR="00CF2869" w:rsidRPr="0022190E">
        <w:rPr>
          <w:szCs w:val="22"/>
        </w:rPr>
        <w:t>working</w:t>
      </w:r>
      <w:r w:rsidR="006F2A37">
        <w:rPr>
          <w:szCs w:val="22"/>
        </w:rPr>
        <w:t xml:space="preserve"> </w:t>
      </w:r>
      <w:r w:rsidR="00CF2869" w:rsidRPr="0022190E">
        <w:rPr>
          <w:szCs w:val="22"/>
        </w:rPr>
        <w:t>with sub</w:t>
      </w:r>
      <w:r w:rsidR="00336948">
        <w:rPr>
          <w:szCs w:val="22"/>
        </w:rPr>
        <w:t>-</w:t>
      </w:r>
      <w:r w:rsidR="00CF2869" w:rsidRPr="0022190E">
        <w:rPr>
          <w:szCs w:val="22"/>
        </w:rPr>
        <w:t xml:space="preserve">contractors </w:t>
      </w:r>
      <w:r w:rsidR="006F2A37">
        <w:rPr>
          <w:szCs w:val="22"/>
        </w:rPr>
        <w:t>to resolve, including:</w:t>
      </w:r>
    </w:p>
    <w:p w14:paraId="1B94A370" w14:textId="77777777" w:rsidR="00CF2869" w:rsidRPr="00644287" w:rsidRDefault="00CF2869">
      <w:pPr>
        <w:pStyle w:val="Bullet"/>
      </w:pPr>
      <w:r w:rsidRPr="00644287">
        <w:t>incorrect application of the 6pm rate</w:t>
      </w:r>
    </w:p>
    <w:p w14:paraId="304EB63D" w14:textId="77777777" w:rsidR="00CF2869" w:rsidRPr="00644287" w:rsidRDefault="00CF2869">
      <w:pPr>
        <w:pStyle w:val="Bullet"/>
      </w:pPr>
      <w:r w:rsidRPr="00644287">
        <w:t>penalty rates paid inconsistently or incorrectly</w:t>
      </w:r>
    </w:p>
    <w:p w14:paraId="56B1FEA0" w14:textId="77777777" w:rsidR="00CF2869" w:rsidRPr="00644287" w:rsidRDefault="00CF2869">
      <w:pPr>
        <w:pStyle w:val="Bullet"/>
      </w:pPr>
      <w:r w:rsidRPr="00644287">
        <w:t>full-time rates being paid to collectors working less than 38 hours per week</w:t>
      </w:r>
    </w:p>
    <w:p w14:paraId="0582305F" w14:textId="77777777" w:rsidR="00CF2869" w:rsidRPr="00644287" w:rsidRDefault="00CF2869">
      <w:pPr>
        <w:pStyle w:val="Bullet"/>
      </w:pPr>
      <w:proofErr w:type="gramStart"/>
      <w:r w:rsidRPr="00644287">
        <w:t>collectors</w:t>
      </w:r>
      <w:proofErr w:type="gramEnd"/>
      <w:r w:rsidRPr="00644287">
        <w:t xml:space="preserve"> paid for either more or less hours than they had actually worked.</w:t>
      </w:r>
    </w:p>
    <w:p w14:paraId="18396DAF" w14:textId="62D0829B" w:rsidR="00CF2869" w:rsidRPr="000C3D14" w:rsidRDefault="00CF2869">
      <w:pPr>
        <w:pStyle w:val="Heading2"/>
      </w:pPr>
      <w:r w:rsidRPr="000C3D14">
        <w:lastRenderedPageBreak/>
        <w:t>Second self-audit</w:t>
      </w:r>
    </w:p>
    <w:p w14:paraId="6E3187B2" w14:textId="7AA1CB57" w:rsidR="00CF2869" w:rsidRPr="0022190E" w:rsidRDefault="00CF2869" w:rsidP="00837512">
      <w:pPr>
        <w:rPr>
          <w:szCs w:val="22"/>
        </w:rPr>
      </w:pPr>
      <w:r w:rsidRPr="0022190E">
        <w:rPr>
          <w:szCs w:val="22"/>
        </w:rPr>
        <w:t xml:space="preserve">The second self-audit reviewed </w:t>
      </w:r>
      <w:r w:rsidR="006F2A37">
        <w:rPr>
          <w:szCs w:val="22"/>
        </w:rPr>
        <w:t xml:space="preserve">the </w:t>
      </w:r>
      <w:r w:rsidRPr="0022190E">
        <w:rPr>
          <w:szCs w:val="22"/>
        </w:rPr>
        <w:t xml:space="preserve">entitlements </w:t>
      </w:r>
      <w:r w:rsidR="006F2A37">
        <w:rPr>
          <w:szCs w:val="22"/>
        </w:rPr>
        <w:t>of</w:t>
      </w:r>
      <w:r w:rsidR="006F2A37" w:rsidRPr="0022190E">
        <w:rPr>
          <w:szCs w:val="22"/>
        </w:rPr>
        <w:t xml:space="preserve"> </w:t>
      </w:r>
      <w:r w:rsidRPr="0022190E">
        <w:rPr>
          <w:szCs w:val="22"/>
        </w:rPr>
        <w:t xml:space="preserve">1105 employees </w:t>
      </w:r>
      <w:r w:rsidR="006F2A37">
        <w:rPr>
          <w:szCs w:val="22"/>
        </w:rPr>
        <w:t xml:space="preserve">engaged by </w:t>
      </w:r>
      <w:r w:rsidRPr="0022190E">
        <w:rPr>
          <w:szCs w:val="22"/>
        </w:rPr>
        <w:t>44 subcontractors</w:t>
      </w:r>
      <w:r w:rsidR="006F2A37">
        <w:rPr>
          <w:szCs w:val="22"/>
        </w:rPr>
        <w:t>,</w:t>
      </w:r>
      <w:r w:rsidR="0059463D">
        <w:rPr>
          <w:szCs w:val="22"/>
        </w:rPr>
        <w:t xml:space="preserve"> for the period 7 December 2015 to 20 December 2015</w:t>
      </w:r>
      <w:r w:rsidRPr="0022190E">
        <w:rPr>
          <w:szCs w:val="22"/>
        </w:rPr>
        <w:t>. This larger sample</w:t>
      </w:r>
      <w:r w:rsidR="006F2A37">
        <w:rPr>
          <w:szCs w:val="22"/>
        </w:rPr>
        <w:t xml:space="preserve"> exceed</w:t>
      </w:r>
      <w:r w:rsidR="00837512">
        <w:rPr>
          <w:szCs w:val="22"/>
        </w:rPr>
        <w:t>ed</w:t>
      </w:r>
      <w:r w:rsidR="006F2A37">
        <w:rPr>
          <w:szCs w:val="22"/>
        </w:rPr>
        <w:t xml:space="preserve"> </w:t>
      </w:r>
      <w:r w:rsidR="001D6B2A">
        <w:rPr>
          <w:szCs w:val="22"/>
        </w:rPr>
        <w:t xml:space="preserve">the </w:t>
      </w:r>
      <w:r w:rsidR="006F2A37">
        <w:rPr>
          <w:szCs w:val="22"/>
        </w:rPr>
        <w:t xml:space="preserve">self-audit </w:t>
      </w:r>
      <w:r w:rsidR="001D6B2A">
        <w:rPr>
          <w:szCs w:val="22"/>
        </w:rPr>
        <w:t>requirement</w:t>
      </w:r>
      <w:r w:rsidR="006F2A37">
        <w:rPr>
          <w:szCs w:val="22"/>
        </w:rPr>
        <w:t>s</w:t>
      </w:r>
      <w:r w:rsidR="001D6B2A">
        <w:rPr>
          <w:szCs w:val="22"/>
        </w:rPr>
        <w:t xml:space="preserve"> of the PCD</w:t>
      </w:r>
      <w:r w:rsidR="003A13DE">
        <w:rPr>
          <w:szCs w:val="22"/>
        </w:rPr>
        <w:t>.</w:t>
      </w:r>
      <w:r w:rsidR="006F2A37">
        <w:rPr>
          <w:rStyle w:val="FootnoteReference"/>
          <w:szCs w:val="22"/>
        </w:rPr>
        <w:footnoteReference w:id="10"/>
      </w:r>
      <w:r w:rsidR="005C15BB">
        <w:rPr>
          <w:szCs w:val="22"/>
        </w:rPr>
        <w:t xml:space="preserve"> </w:t>
      </w:r>
    </w:p>
    <w:p w14:paraId="7D2FAF8C" w14:textId="77777777" w:rsidR="00CF2869" w:rsidRPr="0022190E" w:rsidRDefault="00CF2869" w:rsidP="00837512">
      <w:pPr>
        <w:rPr>
          <w:szCs w:val="22"/>
        </w:rPr>
      </w:pPr>
      <w:r w:rsidRPr="0022190E">
        <w:rPr>
          <w:szCs w:val="22"/>
        </w:rPr>
        <w:t>The report for this self-audit identified:</w:t>
      </w:r>
    </w:p>
    <w:p w14:paraId="296E7FAD" w14:textId="4F355305" w:rsidR="00CF2869" w:rsidRPr="00644287" w:rsidRDefault="00672483">
      <w:pPr>
        <w:pStyle w:val="Bullet"/>
      </w:pPr>
      <w:r>
        <w:t xml:space="preserve">a </w:t>
      </w:r>
      <w:r w:rsidR="00CF2869" w:rsidRPr="00644287">
        <w:t>reduction in the incorrect application of the 6pm rate</w:t>
      </w:r>
    </w:p>
    <w:p w14:paraId="0F24E665" w14:textId="77777777" w:rsidR="00CF2869" w:rsidRPr="00644287" w:rsidRDefault="00CF2869">
      <w:pPr>
        <w:pStyle w:val="Bullet"/>
      </w:pPr>
      <w:r w:rsidRPr="00644287">
        <w:t>a mix of underpayments and overpayments</w:t>
      </w:r>
    </w:p>
    <w:p w14:paraId="15A75C4D" w14:textId="125D20AC" w:rsidR="00CF2869" w:rsidRPr="00644287" w:rsidRDefault="00CF2869">
      <w:pPr>
        <w:pStyle w:val="Bullet"/>
      </w:pPr>
      <w:r w:rsidRPr="00644287">
        <w:t>most underpayments were for minor amounts</w:t>
      </w:r>
    </w:p>
    <w:p w14:paraId="508CC4DF" w14:textId="309B7064" w:rsidR="00CF2869" w:rsidRPr="00644287" w:rsidRDefault="00CF2869">
      <w:pPr>
        <w:pStyle w:val="Bullet"/>
      </w:pPr>
      <w:proofErr w:type="gramStart"/>
      <w:r w:rsidRPr="00644287">
        <w:t>most</w:t>
      </w:r>
      <w:proofErr w:type="gramEnd"/>
      <w:r w:rsidRPr="00644287">
        <w:t xml:space="preserve"> underpayments resulted from incorrect application of timesheet hours or from incorrectly applying the </w:t>
      </w:r>
      <w:r w:rsidR="00756A4D">
        <w:t>A</w:t>
      </w:r>
      <w:r w:rsidRPr="00644287">
        <w:t>ward.</w:t>
      </w:r>
    </w:p>
    <w:p w14:paraId="41D7E326" w14:textId="050508F9" w:rsidR="006C3688" w:rsidRPr="006C3688" w:rsidRDefault="006C3688" w:rsidP="00837512">
      <w:pPr>
        <w:rPr>
          <w:szCs w:val="22"/>
        </w:rPr>
      </w:pPr>
      <w:r w:rsidRPr="006C3688">
        <w:rPr>
          <w:szCs w:val="22"/>
        </w:rPr>
        <w:t>UTC reported that 94</w:t>
      </w:r>
      <w:r w:rsidR="0010464A">
        <w:rPr>
          <w:szCs w:val="22"/>
        </w:rPr>
        <w:t>.8</w:t>
      </w:r>
      <w:r w:rsidRPr="006C3688">
        <w:rPr>
          <w:szCs w:val="22"/>
        </w:rPr>
        <w:t xml:space="preserve">% </w:t>
      </w:r>
      <w:r w:rsidR="0010464A">
        <w:rPr>
          <w:szCs w:val="22"/>
        </w:rPr>
        <w:t xml:space="preserve">of </w:t>
      </w:r>
      <w:r w:rsidR="00E3632A">
        <w:rPr>
          <w:szCs w:val="22"/>
        </w:rPr>
        <w:t xml:space="preserve">these </w:t>
      </w:r>
      <w:r w:rsidR="0010464A">
        <w:rPr>
          <w:szCs w:val="22"/>
        </w:rPr>
        <w:t xml:space="preserve">employees </w:t>
      </w:r>
      <w:proofErr w:type="gramStart"/>
      <w:r w:rsidR="0010464A">
        <w:rPr>
          <w:szCs w:val="22"/>
        </w:rPr>
        <w:t>were paid</w:t>
      </w:r>
      <w:proofErr w:type="gramEnd"/>
      <w:r w:rsidR="0010464A">
        <w:rPr>
          <w:szCs w:val="22"/>
        </w:rPr>
        <w:t xml:space="preserve"> correctly. It found</w:t>
      </w:r>
      <w:r w:rsidRPr="006C3688">
        <w:rPr>
          <w:szCs w:val="22"/>
        </w:rPr>
        <w:t xml:space="preserve"> </w:t>
      </w:r>
      <w:r w:rsidR="0010464A">
        <w:rPr>
          <w:szCs w:val="22"/>
        </w:rPr>
        <w:t xml:space="preserve">that </w:t>
      </w:r>
      <w:r w:rsidR="006F2A37">
        <w:rPr>
          <w:szCs w:val="22"/>
        </w:rPr>
        <w:t xml:space="preserve">in relation to the </w:t>
      </w:r>
      <w:r w:rsidR="0010464A">
        <w:rPr>
          <w:szCs w:val="22"/>
        </w:rPr>
        <w:t>remaining 5.2%</w:t>
      </w:r>
      <w:r w:rsidR="00E40BD9">
        <w:rPr>
          <w:szCs w:val="22"/>
        </w:rPr>
        <w:t>,</w:t>
      </w:r>
      <w:r w:rsidR="0010464A">
        <w:rPr>
          <w:szCs w:val="22"/>
        </w:rPr>
        <w:t xml:space="preserve"> some</w:t>
      </w:r>
      <w:r w:rsidR="00E40BD9">
        <w:rPr>
          <w:szCs w:val="22"/>
        </w:rPr>
        <w:t xml:space="preserve"> sub</w:t>
      </w:r>
      <w:r w:rsidR="004A2DEA">
        <w:rPr>
          <w:szCs w:val="22"/>
        </w:rPr>
        <w:t xml:space="preserve">contractors </w:t>
      </w:r>
      <w:r w:rsidR="004B3D1E">
        <w:rPr>
          <w:szCs w:val="22"/>
        </w:rPr>
        <w:t xml:space="preserve">had </w:t>
      </w:r>
      <w:r w:rsidR="006F2A37">
        <w:rPr>
          <w:szCs w:val="22"/>
        </w:rPr>
        <w:t xml:space="preserve">experienced ongoing </w:t>
      </w:r>
      <w:r w:rsidR="0010464A">
        <w:rPr>
          <w:szCs w:val="22"/>
        </w:rPr>
        <w:t>difficult</w:t>
      </w:r>
      <w:r w:rsidR="00E40BD9">
        <w:rPr>
          <w:szCs w:val="22"/>
        </w:rPr>
        <w:t>ies</w:t>
      </w:r>
      <w:r w:rsidR="00AB4446" w:rsidRPr="006C3688">
        <w:rPr>
          <w:szCs w:val="22"/>
        </w:rPr>
        <w:t xml:space="preserve"> </w:t>
      </w:r>
      <w:r w:rsidR="0010464A">
        <w:rPr>
          <w:szCs w:val="22"/>
        </w:rPr>
        <w:t xml:space="preserve">in </w:t>
      </w:r>
      <w:r w:rsidRPr="006C3688">
        <w:rPr>
          <w:szCs w:val="22"/>
        </w:rPr>
        <w:t xml:space="preserve">applying the </w:t>
      </w:r>
      <w:r w:rsidR="00756A4D">
        <w:rPr>
          <w:szCs w:val="22"/>
        </w:rPr>
        <w:t>A</w:t>
      </w:r>
      <w:r w:rsidRPr="006C3688">
        <w:rPr>
          <w:szCs w:val="22"/>
        </w:rPr>
        <w:t>war</w:t>
      </w:r>
      <w:r w:rsidR="00E40BD9">
        <w:rPr>
          <w:szCs w:val="22"/>
        </w:rPr>
        <w:t>d</w:t>
      </w:r>
      <w:r w:rsidRPr="006C3688">
        <w:rPr>
          <w:szCs w:val="22"/>
        </w:rPr>
        <w:t>, and in recording accurate time entries from timesheets. UTC undertook a follow-up audit</w:t>
      </w:r>
      <w:r w:rsidR="004A2DEA">
        <w:rPr>
          <w:szCs w:val="22"/>
        </w:rPr>
        <w:t xml:space="preserve"> to address these issues and ensure </w:t>
      </w:r>
      <w:r w:rsidR="00837512">
        <w:rPr>
          <w:szCs w:val="22"/>
        </w:rPr>
        <w:t xml:space="preserve">its </w:t>
      </w:r>
      <w:r w:rsidR="00E40BD9">
        <w:rPr>
          <w:szCs w:val="22"/>
        </w:rPr>
        <w:t>subcontractors</w:t>
      </w:r>
      <w:r w:rsidR="00E40BD9" w:rsidDel="00E40BD9">
        <w:rPr>
          <w:szCs w:val="22"/>
        </w:rPr>
        <w:t xml:space="preserve"> </w:t>
      </w:r>
      <w:r w:rsidR="004A2DEA">
        <w:rPr>
          <w:szCs w:val="22"/>
        </w:rPr>
        <w:t>rectified the</w:t>
      </w:r>
      <w:r w:rsidR="00E40BD9">
        <w:rPr>
          <w:szCs w:val="22"/>
        </w:rPr>
        <w:t>se</w:t>
      </w:r>
      <w:r w:rsidR="004A2DEA">
        <w:rPr>
          <w:szCs w:val="22"/>
        </w:rPr>
        <w:t xml:space="preserve"> errors.</w:t>
      </w:r>
      <w:r w:rsidRPr="006C3688">
        <w:rPr>
          <w:szCs w:val="22"/>
        </w:rPr>
        <w:t xml:space="preserve"> </w:t>
      </w:r>
    </w:p>
    <w:p w14:paraId="1D62F03B" w14:textId="2CF885FA" w:rsidR="006315AB" w:rsidRDefault="001221B8">
      <w:pPr>
        <w:pStyle w:val="Heading2"/>
      </w:pPr>
      <w:r>
        <w:t>Third self-audit</w:t>
      </w:r>
    </w:p>
    <w:p w14:paraId="01188273" w14:textId="544182E8" w:rsidR="00F11636" w:rsidRPr="00B029DC" w:rsidRDefault="005C2F00" w:rsidP="00837512">
      <w:pPr>
        <w:rPr>
          <w:szCs w:val="22"/>
        </w:rPr>
      </w:pPr>
      <w:r>
        <w:rPr>
          <w:szCs w:val="22"/>
        </w:rPr>
        <w:t xml:space="preserve">FWO advised UTC that </w:t>
      </w:r>
      <w:r w:rsidR="00476A2B">
        <w:rPr>
          <w:szCs w:val="22"/>
        </w:rPr>
        <w:t>it was</w:t>
      </w:r>
      <w:r>
        <w:rPr>
          <w:szCs w:val="22"/>
        </w:rPr>
        <w:t xml:space="preserve"> not required to complete a third self-audit, </w:t>
      </w:r>
      <w:r w:rsidR="00A03EF6">
        <w:rPr>
          <w:szCs w:val="22"/>
        </w:rPr>
        <w:t>given the extensive and proactive nature of</w:t>
      </w:r>
      <w:r w:rsidR="00476A2B">
        <w:rPr>
          <w:szCs w:val="22"/>
        </w:rPr>
        <w:t xml:space="preserve"> its</w:t>
      </w:r>
      <w:r w:rsidR="00A03EF6">
        <w:rPr>
          <w:szCs w:val="22"/>
        </w:rPr>
        <w:t xml:space="preserve"> self-auditing </w:t>
      </w:r>
      <w:r w:rsidR="00C75F86">
        <w:rPr>
          <w:szCs w:val="22"/>
        </w:rPr>
        <w:t>activities</w:t>
      </w:r>
      <w:r w:rsidR="00476A2B">
        <w:rPr>
          <w:szCs w:val="22"/>
        </w:rPr>
        <w:t>.</w:t>
      </w:r>
    </w:p>
    <w:p w14:paraId="77A6BD01" w14:textId="77777777" w:rsidR="00EF05EF" w:rsidRPr="009A0AF1" w:rsidRDefault="00EF05EF">
      <w:pPr>
        <w:pStyle w:val="Heading2"/>
      </w:pPr>
      <w:r w:rsidRPr="009A0AF1">
        <w:t>Additional audits</w:t>
      </w:r>
    </w:p>
    <w:p w14:paraId="52ADCAB2" w14:textId="4BA8F79A" w:rsidR="00EF05EF" w:rsidRPr="0022190E" w:rsidRDefault="00EF05EF" w:rsidP="00837512">
      <w:pPr>
        <w:rPr>
          <w:szCs w:val="22"/>
        </w:rPr>
      </w:pPr>
      <w:r w:rsidRPr="0022190E">
        <w:rPr>
          <w:szCs w:val="22"/>
        </w:rPr>
        <w:t xml:space="preserve">In addition to the yearly self-audit, UTC conducted a number of audits of </w:t>
      </w:r>
      <w:r w:rsidR="00F50531">
        <w:rPr>
          <w:szCs w:val="22"/>
        </w:rPr>
        <w:t>its</w:t>
      </w:r>
      <w:r w:rsidRPr="0022190E">
        <w:rPr>
          <w:szCs w:val="22"/>
        </w:rPr>
        <w:t xml:space="preserve"> trolley collection network. These audits included:</w:t>
      </w:r>
    </w:p>
    <w:p w14:paraId="7045E7E7" w14:textId="31DA1061" w:rsidR="00EF05EF" w:rsidRDefault="004B3D1E">
      <w:pPr>
        <w:pStyle w:val="Bullet"/>
      </w:pPr>
      <w:proofErr w:type="gramStart"/>
      <w:r>
        <w:t>compliance</w:t>
      </w:r>
      <w:proofErr w:type="gramEnd"/>
      <w:r>
        <w:t xml:space="preserve"> </w:t>
      </w:r>
      <w:r w:rsidR="009A0AF1">
        <w:t>audits</w:t>
      </w:r>
      <w:r w:rsidR="004E34BA">
        <w:t xml:space="preserve"> -</w:t>
      </w:r>
      <w:r w:rsidR="009A0AF1">
        <w:t xml:space="preserve"> </w:t>
      </w:r>
      <w:r w:rsidR="003457D8">
        <w:t>where</w:t>
      </w:r>
      <w:r w:rsidR="00EF05EF" w:rsidRPr="00F826D3">
        <w:t xml:space="preserve"> regional and state managers visit</w:t>
      </w:r>
      <w:r w:rsidR="00756A4D">
        <w:t>ed</w:t>
      </w:r>
      <w:r w:rsidR="00EF05EF" w:rsidRPr="00F826D3">
        <w:t xml:space="preserve"> random sites and check</w:t>
      </w:r>
      <w:r w:rsidR="00756A4D">
        <w:t>ed</w:t>
      </w:r>
      <w:r w:rsidR="00EF05EF" w:rsidRPr="00F826D3">
        <w:t xml:space="preserve"> employees’ rates of pay, hours of work against pay records, and sign-in information. Any identified discrepancies result</w:t>
      </w:r>
      <w:r w:rsidR="00756A4D">
        <w:t>ed</w:t>
      </w:r>
      <w:r w:rsidR="00EF05EF" w:rsidRPr="00F826D3">
        <w:t xml:space="preserve"> in a planned audit</w:t>
      </w:r>
      <w:r w:rsidR="00A03EF6">
        <w:t>.</w:t>
      </w:r>
    </w:p>
    <w:p w14:paraId="44DE6F92" w14:textId="6306F796" w:rsidR="009A0AF1" w:rsidRPr="009A0AF1" w:rsidRDefault="004B3D1E">
      <w:pPr>
        <w:pStyle w:val="Bullet"/>
      </w:pPr>
      <w:r>
        <w:t>p</w:t>
      </w:r>
      <w:r w:rsidRPr="009A0AF1">
        <w:t xml:space="preserve">lanned </w:t>
      </w:r>
      <w:r w:rsidR="00901060" w:rsidRPr="009A0AF1">
        <w:t>audits</w:t>
      </w:r>
      <w:r w:rsidR="004E34BA">
        <w:t xml:space="preserve"> -</w:t>
      </w:r>
      <w:r w:rsidR="003457D8">
        <w:t xml:space="preserve"> </w:t>
      </w:r>
      <w:r w:rsidR="009A0AF1" w:rsidRPr="009A0AF1">
        <w:t xml:space="preserve">undertaken </w:t>
      </w:r>
      <w:r w:rsidR="004F79ED">
        <w:t xml:space="preserve">to </w:t>
      </w:r>
      <w:r w:rsidR="003457D8">
        <w:t>investigate</w:t>
      </w:r>
      <w:r w:rsidR="004F79ED">
        <w:t xml:space="preserve"> </w:t>
      </w:r>
      <w:r w:rsidR="004F79ED" w:rsidRPr="009A0AF1">
        <w:t xml:space="preserve">suspected or identified </w:t>
      </w:r>
      <w:r w:rsidR="009A0AF1" w:rsidRPr="009A0AF1">
        <w:t>non-compliance</w:t>
      </w:r>
    </w:p>
    <w:p w14:paraId="654F66BB" w14:textId="319CA0D1" w:rsidR="003457D8" w:rsidRDefault="004B3D1E">
      <w:pPr>
        <w:pStyle w:val="Bullet"/>
      </w:pPr>
      <w:r>
        <w:t>p</w:t>
      </w:r>
      <w:r w:rsidRPr="00F826D3">
        <w:t xml:space="preserve">ayroll </w:t>
      </w:r>
      <w:r w:rsidR="00EF05EF" w:rsidRPr="00F826D3">
        <w:t>system audits</w:t>
      </w:r>
      <w:r w:rsidR="004E34BA">
        <w:t xml:space="preserve"> - </w:t>
      </w:r>
      <w:r w:rsidR="003457D8">
        <w:t>weekly reviews of subcontractor payments to trolley collectors</w:t>
      </w:r>
    </w:p>
    <w:p w14:paraId="65A7B3AA" w14:textId="60D231D7" w:rsidR="003457D8" w:rsidRDefault="004E34BA" w:rsidP="00602EDA">
      <w:pPr>
        <w:pStyle w:val="Bullet"/>
      </w:pPr>
      <w:proofErr w:type="gramStart"/>
      <w:r>
        <w:t>a</w:t>
      </w:r>
      <w:r w:rsidR="003457D8">
        <w:t>nnual</w:t>
      </w:r>
      <w:proofErr w:type="gramEnd"/>
      <w:r w:rsidR="003457D8">
        <w:t xml:space="preserve"> compliance audits of 20% of the network workforce.</w:t>
      </w:r>
    </w:p>
    <w:p w14:paraId="704CC5CF" w14:textId="389D3AE8" w:rsidR="00ED7289" w:rsidRPr="00EF05EF" w:rsidRDefault="00255F01">
      <w:pPr>
        <w:pStyle w:val="Heading2"/>
        <w:rPr>
          <w:color w:val="632423" w:themeColor="accent2" w:themeShade="80"/>
        </w:rPr>
      </w:pPr>
      <w:r>
        <w:lastRenderedPageBreak/>
        <w:t>Litigation</w:t>
      </w:r>
    </w:p>
    <w:p w14:paraId="3088D839" w14:textId="0A51B424" w:rsidR="00255F01" w:rsidRPr="00582C0A" w:rsidRDefault="00646BBF" w:rsidP="00837512">
      <w:pPr>
        <w:rPr>
          <w:szCs w:val="22"/>
        </w:rPr>
      </w:pPr>
      <w:r>
        <w:rPr>
          <w:szCs w:val="22"/>
        </w:rPr>
        <w:t xml:space="preserve">The </w:t>
      </w:r>
      <w:r w:rsidR="00ED7289" w:rsidRPr="00582C0A">
        <w:rPr>
          <w:szCs w:val="22"/>
        </w:rPr>
        <w:t xml:space="preserve">FWO </w:t>
      </w:r>
      <w:r>
        <w:rPr>
          <w:szCs w:val="22"/>
        </w:rPr>
        <w:t xml:space="preserve">conducted a </w:t>
      </w:r>
      <w:r w:rsidR="00ED7289" w:rsidRPr="00582C0A">
        <w:rPr>
          <w:szCs w:val="22"/>
        </w:rPr>
        <w:t xml:space="preserve">targeted campaign into trolley collectors at </w:t>
      </w:r>
      <w:proofErr w:type="gramStart"/>
      <w:r w:rsidR="00ED7289" w:rsidRPr="00582C0A">
        <w:rPr>
          <w:szCs w:val="22"/>
        </w:rPr>
        <w:t>Woolworths</w:t>
      </w:r>
      <w:proofErr w:type="gramEnd"/>
      <w:r w:rsidR="00ED7289" w:rsidRPr="00582C0A">
        <w:rPr>
          <w:szCs w:val="22"/>
        </w:rPr>
        <w:t xml:space="preserve"> stores</w:t>
      </w:r>
      <w:r w:rsidR="009D4693" w:rsidRPr="00582C0A">
        <w:rPr>
          <w:szCs w:val="22"/>
        </w:rPr>
        <w:t xml:space="preserve"> in June 2016</w:t>
      </w:r>
      <w:r>
        <w:rPr>
          <w:szCs w:val="22"/>
        </w:rPr>
        <w:t>.</w:t>
      </w:r>
      <w:r w:rsidR="00ED7289" w:rsidRPr="00582C0A">
        <w:rPr>
          <w:szCs w:val="22"/>
        </w:rPr>
        <w:t xml:space="preserve"> </w:t>
      </w:r>
      <w:r>
        <w:rPr>
          <w:szCs w:val="22"/>
        </w:rPr>
        <w:t xml:space="preserve">From this compliance activity, </w:t>
      </w:r>
      <w:r w:rsidR="009D4693" w:rsidRPr="00582C0A">
        <w:rPr>
          <w:szCs w:val="22"/>
        </w:rPr>
        <w:t>the FWO brought legal proceedings against a subcontractor, Joban’s Trolley Collection Pty Ltd in March 2017. The subcontractor had allegedly underpaid two employees nearly $30</w:t>
      </w:r>
      <w:r w:rsidR="00810776">
        <w:rPr>
          <w:szCs w:val="22"/>
        </w:rPr>
        <w:t xml:space="preserve"> </w:t>
      </w:r>
      <w:r w:rsidR="009D4693" w:rsidRPr="00582C0A">
        <w:rPr>
          <w:szCs w:val="22"/>
        </w:rPr>
        <w:t xml:space="preserve">000 over a period of </w:t>
      </w:r>
      <w:r w:rsidR="001A6914">
        <w:rPr>
          <w:szCs w:val="22"/>
        </w:rPr>
        <w:t>six</w:t>
      </w:r>
      <w:r w:rsidR="001A6914" w:rsidRPr="00582C0A">
        <w:rPr>
          <w:szCs w:val="22"/>
        </w:rPr>
        <w:t xml:space="preserve"> </w:t>
      </w:r>
      <w:r w:rsidR="009D4693" w:rsidRPr="00582C0A">
        <w:rPr>
          <w:szCs w:val="22"/>
        </w:rPr>
        <w:t>months. The Federal Circuit Court made a decision</w:t>
      </w:r>
      <w:r w:rsidR="001A6914">
        <w:rPr>
          <w:szCs w:val="22"/>
        </w:rPr>
        <w:t xml:space="preserve"> in relation to this matter</w:t>
      </w:r>
      <w:r w:rsidR="009D4693" w:rsidRPr="00582C0A">
        <w:rPr>
          <w:szCs w:val="22"/>
        </w:rPr>
        <w:t xml:space="preserve"> in March 2018</w:t>
      </w:r>
      <w:r w:rsidR="00810776">
        <w:rPr>
          <w:szCs w:val="22"/>
        </w:rPr>
        <w:t>.</w:t>
      </w:r>
      <w:r w:rsidR="00255F01" w:rsidRPr="00582C0A">
        <w:rPr>
          <w:rStyle w:val="FootnoteReference"/>
          <w:szCs w:val="22"/>
        </w:rPr>
        <w:footnoteReference w:id="11"/>
      </w:r>
      <w:r w:rsidR="009D4693" w:rsidRPr="00582C0A">
        <w:rPr>
          <w:szCs w:val="22"/>
        </w:rPr>
        <w:t xml:space="preserve"> </w:t>
      </w:r>
    </w:p>
    <w:p w14:paraId="29D7D55F" w14:textId="2661692E" w:rsidR="00F50531" w:rsidRPr="00582C0A" w:rsidRDefault="009D4693" w:rsidP="00837512">
      <w:pPr>
        <w:rPr>
          <w:szCs w:val="22"/>
        </w:rPr>
      </w:pPr>
      <w:r w:rsidRPr="00582C0A">
        <w:rPr>
          <w:szCs w:val="22"/>
        </w:rPr>
        <w:t xml:space="preserve">The </w:t>
      </w:r>
      <w:r w:rsidR="00255F01" w:rsidRPr="00582C0A">
        <w:rPr>
          <w:szCs w:val="22"/>
        </w:rPr>
        <w:t xml:space="preserve">court </w:t>
      </w:r>
      <w:r w:rsidR="003024D3">
        <w:rPr>
          <w:szCs w:val="22"/>
        </w:rPr>
        <w:t>decided</w:t>
      </w:r>
      <w:r w:rsidR="00255F01" w:rsidRPr="00582C0A">
        <w:rPr>
          <w:szCs w:val="22"/>
        </w:rPr>
        <w:t xml:space="preserve"> the subcontractor had purposely created false records in order to deceive UTC, who were not aware of the payment arrangements. The court subsequently penalised the subcontractor $230</w:t>
      </w:r>
      <w:r w:rsidR="00810776">
        <w:rPr>
          <w:szCs w:val="22"/>
        </w:rPr>
        <w:t xml:space="preserve"> </w:t>
      </w:r>
      <w:r w:rsidR="00255F01" w:rsidRPr="00582C0A">
        <w:rPr>
          <w:szCs w:val="22"/>
        </w:rPr>
        <w:t xml:space="preserve">638. </w:t>
      </w:r>
    </w:p>
    <w:p w14:paraId="5C1222CE" w14:textId="5E1D6C7D" w:rsidR="00EF7B8C" w:rsidRPr="00582C0A" w:rsidRDefault="00255F01" w:rsidP="00837512">
      <w:pPr>
        <w:rPr>
          <w:b/>
          <w:szCs w:val="22"/>
        </w:rPr>
      </w:pPr>
      <w:r w:rsidRPr="00582C0A">
        <w:rPr>
          <w:szCs w:val="22"/>
        </w:rPr>
        <w:t>UTC terminated the subcontractor’s services prior to the court’s decision on 20 August 2016.</w:t>
      </w:r>
    </w:p>
    <w:p w14:paraId="02D1C6F9" w14:textId="285C37DA" w:rsidR="00DA2867" w:rsidRPr="0022190E" w:rsidRDefault="00DA2867">
      <w:pPr>
        <w:pStyle w:val="Heading1"/>
      </w:pPr>
      <w:bookmarkStart w:id="16" w:name="_Toc527720486"/>
      <w:r w:rsidRPr="0022190E">
        <w:t>Reports</w:t>
      </w:r>
      <w:bookmarkEnd w:id="16"/>
      <w:r w:rsidRPr="0022190E">
        <w:t xml:space="preserve"> </w:t>
      </w:r>
    </w:p>
    <w:p w14:paraId="44CAE665" w14:textId="020CCA4E" w:rsidR="00CF2869" w:rsidRPr="0022190E" w:rsidRDefault="00CF2869" w:rsidP="00837512">
      <w:pPr>
        <w:rPr>
          <w:szCs w:val="22"/>
        </w:rPr>
      </w:pPr>
      <w:r w:rsidRPr="0022190E">
        <w:rPr>
          <w:szCs w:val="22"/>
        </w:rPr>
        <w:t>UTC provided three major rep</w:t>
      </w:r>
      <w:r w:rsidR="00CC6BBC">
        <w:rPr>
          <w:szCs w:val="22"/>
        </w:rPr>
        <w:t xml:space="preserve">orts during the </w:t>
      </w:r>
      <w:r w:rsidR="003024D3">
        <w:rPr>
          <w:szCs w:val="22"/>
        </w:rPr>
        <w:t>compliance partnership</w:t>
      </w:r>
      <w:r w:rsidR="00CC6BBC">
        <w:rPr>
          <w:szCs w:val="22"/>
        </w:rPr>
        <w:t>,</w:t>
      </w:r>
      <w:r w:rsidRPr="0022190E">
        <w:rPr>
          <w:szCs w:val="22"/>
        </w:rPr>
        <w:t xml:space="preserve"> at the end of the fir</w:t>
      </w:r>
      <w:r w:rsidR="00582C0A">
        <w:rPr>
          <w:szCs w:val="22"/>
        </w:rPr>
        <w:t>st year, during the second year</w:t>
      </w:r>
      <w:r w:rsidRPr="0022190E">
        <w:rPr>
          <w:szCs w:val="22"/>
        </w:rPr>
        <w:t xml:space="preserve"> and at the expiry of the PCD</w:t>
      </w:r>
      <w:r w:rsidR="00895024" w:rsidRPr="00895024">
        <w:rPr>
          <w:szCs w:val="22"/>
        </w:rPr>
        <w:t xml:space="preserve"> </w:t>
      </w:r>
      <w:r w:rsidR="00895024">
        <w:rPr>
          <w:szCs w:val="22"/>
        </w:rPr>
        <w:t>(as per clause A5 of the PCD)</w:t>
      </w:r>
      <w:r w:rsidR="004C7B5B">
        <w:rPr>
          <w:szCs w:val="22"/>
        </w:rPr>
        <w:t>.</w:t>
      </w:r>
    </w:p>
    <w:p w14:paraId="36F5836A" w14:textId="0604AD16" w:rsidR="00CF2869" w:rsidRPr="0022190E" w:rsidRDefault="00CF2869" w:rsidP="00837512">
      <w:pPr>
        <w:rPr>
          <w:szCs w:val="22"/>
        </w:rPr>
      </w:pPr>
      <w:r w:rsidRPr="0022190E">
        <w:rPr>
          <w:szCs w:val="22"/>
        </w:rPr>
        <w:t xml:space="preserve">The reports </w:t>
      </w:r>
      <w:r w:rsidR="00FC049C">
        <w:rPr>
          <w:szCs w:val="22"/>
        </w:rPr>
        <w:t>addresse</w:t>
      </w:r>
      <w:r w:rsidR="00895024">
        <w:rPr>
          <w:szCs w:val="22"/>
        </w:rPr>
        <w:t>d</w:t>
      </w:r>
      <w:r w:rsidRPr="0022190E">
        <w:rPr>
          <w:szCs w:val="22"/>
        </w:rPr>
        <w:t xml:space="preserve"> the following:</w:t>
      </w:r>
    </w:p>
    <w:p w14:paraId="03BF585F" w14:textId="77777777" w:rsidR="00CF2869" w:rsidRPr="00832FFF" w:rsidRDefault="00CF2869">
      <w:pPr>
        <w:pStyle w:val="Bullet"/>
        <w:numPr>
          <w:ilvl w:val="0"/>
          <w:numId w:val="13"/>
        </w:numPr>
      </w:pPr>
      <w:r w:rsidRPr="00832FFF">
        <w:t>actions taken by UTC to carry out the undertakings in the PCD</w:t>
      </w:r>
    </w:p>
    <w:p w14:paraId="5EADE656" w14:textId="77777777" w:rsidR="00783301" w:rsidRPr="00832FFF" w:rsidRDefault="00FC049C">
      <w:pPr>
        <w:pStyle w:val="Bullet"/>
        <w:numPr>
          <w:ilvl w:val="0"/>
          <w:numId w:val="13"/>
        </w:numPr>
      </w:pPr>
      <w:r w:rsidRPr="00832FFF">
        <w:t xml:space="preserve">the number of complaints referred to </w:t>
      </w:r>
      <w:r w:rsidR="006C3688" w:rsidRPr="00832FFF">
        <w:t xml:space="preserve">the company </w:t>
      </w:r>
    </w:p>
    <w:p w14:paraId="506A696D" w14:textId="77777777" w:rsidR="00FC049C" w:rsidRPr="00832FFF" w:rsidRDefault="00FC049C">
      <w:pPr>
        <w:pStyle w:val="Bullet"/>
        <w:numPr>
          <w:ilvl w:val="0"/>
          <w:numId w:val="13"/>
        </w:numPr>
      </w:pPr>
      <w:r w:rsidRPr="00832FFF">
        <w:t>the number of complaints resolved by</w:t>
      </w:r>
      <w:r w:rsidR="006C3688" w:rsidRPr="00832FFF">
        <w:t xml:space="preserve"> the company</w:t>
      </w:r>
    </w:p>
    <w:p w14:paraId="1D5B61ED" w14:textId="77777777" w:rsidR="00FC049C" w:rsidRPr="00832FFF" w:rsidRDefault="00FC049C">
      <w:pPr>
        <w:pStyle w:val="Bullet"/>
        <w:numPr>
          <w:ilvl w:val="0"/>
          <w:numId w:val="13"/>
        </w:numPr>
      </w:pPr>
      <w:r w:rsidRPr="00832FFF">
        <w:t>the average time taken to resolve</w:t>
      </w:r>
    </w:p>
    <w:p w14:paraId="55C88714" w14:textId="77777777" w:rsidR="00FC049C" w:rsidRPr="00832FFF" w:rsidRDefault="00FC049C">
      <w:pPr>
        <w:pStyle w:val="Bullet"/>
        <w:numPr>
          <w:ilvl w:val="0"/>
          <w:numId w:val="13"/>
        </w:numPr>
      </w:pPr>
      <w:proofErr w:type="gramStart"/>
      <w:r w:rsidRPr="00832FFF">
        <w:t>the</w:t>
      </w:r>
      <w:proofErr w:type="gramEnd"/>
      <w:r w:rsidRPr="00832FFF">
        <w:t xml:space="preserve"> average amount of underpayments</w:t>
      </w:r>
      <w:r w:rsidR="006C3688" w:rsidRPr="00832FFF">
        <w:t>.</w:t>
      </w:r>
    </w:p>
    <w:p w14:paraId="08F2FD22" w14:textId="77777777" w:rsidR="00B0716A" w:rsidRDefault="00B0716A" w:rsidP="00837512">
      <w:pPr>
        <w:rPr>
          <w:b/>
          <w:color w:val="632423" w:themeColor="accent2" w:themeShade="80"/>
          <w:szCs w:val="22"/>
        </w:rPr>
      </w:pPr>
    </w:p>
    <w:p w14:paraId="15A226CF" w14:textId="77777777" w:rsidR="00351203" w:rsidRDefault="00351203">
      <w:pPr>
        <w:pStyle w:val="Heading1"/>
      </w:pPr>
      <w:bookmarkStart w:id="17" w:name="_Toc527720487"/>
      <w:r>
        <w:br w:type="page"/>
      </w:r>
    </w:p>
    <w:p w14:paraId="4EC8AAA4" w14:textId="5BB3A3DC" w:rsidR="00817AD9" w:rsidRPr="0022190E" w:rsidRDefault="00CF2869">
      <w:pPr>
        <w:pStyle w:val="Heading1"/>
      </w:pPr>
      <w:r w:rsidRPr="0022190E">
        <w:lastRenderedPageBreak/>
        <w:t>Conclusion</w:t>
      </w:r>
      <w:bookmarkEnd w:id="17"/>
      <w:r w:rsidRPr="0022190E">
        <w:t xml:space="preserve"> </w:t>
      </w:r>
    </w:p>
    <w:p w14:paraId="034742AE" w14:textId="272BBC75" w:rsidR="00CF2869" w:rsidRDefault="00CF2869" w:rsidP="00DA2C0F">
      <w:pPr>
        <w:rPr>
          <w:szCs w:val="22"/>
        </w:rPr>
      </w:pPr>
      <w:r w:rsidRPr="0022190E">
        <w:rPr>
          <w:szCs w:val="22"/>
        </w:rPr>
        <w:t xml:space="preserve">UTC operates in a sector </w:t>
      </w:r>
      <w:r w:rsidR="00822FB2" w:rsidRPr="0022190E">
        <w:rPr>
          <w:szCs w:val="22"/>
        </w:rPr>
        <w:t>that</w:t>
      </w:r>
      <w:r w:rsidRPr="0022190E">
        <w:rPr>
          <w:szCs w:val="22"/>
        </w:rPr>
        <w:t xml:space="preserve"> has a long history of non-compliance and involves a large number of potentially vulnerable workers.</w:t>
      </w:r>
      <w:r w:rsidR="00C51E18" w:rsidRPr="00C51E18">
        <w:rPr>
          <w:szCs w:val="22"/>
        </w:rPr>
        <w:t xml:space="preserve"> </w:t>
      </w:r>
    </w:p>
    <w:p w14:paraId="17C83FAC" w14:textId="7E1FE48A" w:rsidR="006F7358" w:rsidRPr="0022190E" w:rsidRDefault="006F7358" w:rsidP="00DA2C0F">
      <w:pPr>
        <w:rPr>
          <w:szCs w:val="22"/>
        </w:rPr>
      </w:pPr>
      <w:r>
        <w:rPr>
          <w:szCs w:val="22"/>
        </w:rPr>
        <w:t>Early in the partnership, UTC identified common compliance issues such as not providing pay</w:t>
      </w:r>
      <w:r w:rsidR="00895024">
        <w:rPr>
          <w:szCs w:val="22"/>
        </w:rPr>
        <w:t xml:space="preserve"> </w:t>
      </w:r>
      <w:r>
        <w:rPr>
          <w:szCs w:val="22"/>
        </w:rPr>
        <w:t xml:space="preserve">slips and incorrectly applying penalty rates or misclassifying employees under the </w:t>
      </w:r>
      <w:r w:rsidR="00895024">
        <w:rPr>
          <w:szCs w:val="22"/>
        </w:rPr>
        <w:t>A</w:t>
      </w:r>
      <w:r>
        <w:rPr>
          <w:szCs w:val="22"/>
        </w:rPr>
        <w:t>ward.</w:t>
      </w:r>
    </w:p>
    <w:p w14:paraId="5FD5AC4E" w14:textId="3E0E0FA2" w:rsidR="00474241" w:rsidRDefault="006F7358" w:rsidP="00DA2C0F">
      <w:pPr>
        <w:rPr>
          <w:szCs w:val="22"/>
        </w:rPr>
      </w:pPr>
      <w:r>
        <w:rPr>
          <w:szCs w:val="22"/>
        </w:rPr>
        <w:t xml:space="preserve">However, </w:t>
      </w:r>
      <w:r w:rsidR="00582C0A">
        <w:rPr>
          <w:szCs w:val="22"/>
        </w:rPr>
        <w:t>the company</w:t>
      </w:r>
      <w:r w:rsidR="00CF2869" w:rsidRPr="0022190E">
        <w:rPr>
          <w:szCs w:val="22"/>
        </w:rPr>
        <w:t xml:space="preserve"> engaged productively with the FWO on </w:t>
      </w:r>
      <w:r w:rsidR="00DB078A">
        <w:rPr>
          <w:szCs w:val="22"/>
        </w:rPr>
        <w:t xml:space="preserve">ways to improve compliance and </w:t>
      </w:r>
      <w:r w:rsidR="00CF2869" w:rsidRPr="0022190E">
        <w:rPr>
          <w:szCs w:val="22"/>
        </w:rPr>
        <w:t xml:space="preserve">implemented a range of </w:t>
      </w:r>
      <w:r>
        <w:rPr>
          <w:szCs w:val="22"/>
        </w:rPr>
        <w:t xml:space="preserve">systems and </w:t>
      </w:r>
      <w:r w:rsidR="00273D61" w:rsidRPr="0022190E">
        <w:rPr>
          <w:szCs w:val="22"/>
        </w:rPr>
        <w:t>processes</w:t>
      </w:r>
      <w:r w:rsidR="00CF2869" w:rsidRPr="0022190E">
        <w:rPr>
          <w:szCs w:val="22"/>
        </w:rPr>
        <w:t xml:space="preserve"> such as</w:t>
      </w:r>
      <w:r w:rsidR="00474241">
        <w:rPr>
          <w:szCs w:val="22"/>
        </w:rPr>
        <w:t>:</w:t>
      </w:r>
    </w:p>
    <w:p w14:paraId="234014CA" w14:textId="77777777" w:rsidR="00474241" w:rsidRDefault="00474241">
      <w:pPr>
        <w:pStyle w:val="Bullet"/>
      </w:pPr>
      <w:r>
        <w:t>a third-party payroll system</w:t>
      </w:r>
      <w:r w:rsidR="00CF2869" w:rsidRPr="00474241">
        <w:t xml:space="preserve"> </w:t>
      </w:r>
    </w:p>
    <w:p w14:paraId="6C6A5BCD" w14:textId="77777777" w:rsidR="00474241" w:rsidRDefault="00CF2869">
      <w:pPr>
        <w:pStyle w:val="Bullet"/>
      </w:pPr>
      <w:r w:rsidRPr="00474241">
        <w:t>regu</w:t>
      </w:r>
      <w:r w:rsidR="00474241">
        <w:t>lar and annual self-audits</w:t>
      </w:r>
    </w:p>
    <w:p w14:paraId="4750C02F" w14:textId="77777777" w:rsidR="00CF2869" w:rsidRPr="005242F7" w:rsidRDefault="00CF2869">
      <w:pPr>
        <w:pStyle w:val="Bullet"/>
      </w:pPr>
      <w:proofErr w:type="gramStart"/>
      <w:r w:rsidRPr="005242F7">
        <w:t>an</w:t>
      </w:r>
      <w:proofErr w:type="gramEnd"/>
      <w:r w:rsidRPr="005242F7">
        <w:t xml:space="preserve"> app for trolley collectors to inform them</w:t>
      </w:r>
      <w:r w:rsidR="00474241" w:rsidRPr="005242F7">
        <w:t xml:space="preserve"> of workplace entitlements</w:t>
      </w:r>
      <w:r w:rsidRPr="005242F7">
        <w:t xml:space="preserve"> and provide them with an avenue </w:t>
      </w:r>
      <w:r w:rsidR="00474241" w:rsidRPr="005242F7">
        <w:t xml:space="preserve">to raise </w:t>
      </w:r>
      <w:r w:rsidR="00AB4446" w:rsidRPr="005242F7">
        <w:t>complaints.</w:t>
      </w:r>
    </w:p>
    <w:p w14:paraId="7C839992" w14:textId="0B8D81D9" w:rsidR="00DB078A" w:rsidRDefault="00A13B5C" w:rsidP="00DA2C0F">
      <w:pPr>
        <w:rPr>
          <w:color w:val="000000" w:themeColor="text1"/>
          <w:szCs w:val="22"/>
        </w:rPr>
      </w:pPr>
      <w:r w:rsidRPr="005242F7">
        <w:rPr>
          <w:color w:val="000000" w:themeColor="text1"/>
          <w:szCs w:val="22"/>
        </w:rPr>
        <w:t xml:space="preserve">The audits </w:t>
      </w:r>
      <w:r w:rsidR="005B2F40" w:rsidRPr="005242F7">
        <w:rPr>
          <w:color w:val="000000" w:themeColor="text1"/>
          <w:szCs w:val="22"/>
        </w:rPr>
        <w:t xml:space="preserve">undertaken by UTC, </w:t>
      </w:r>
      <w:r w:rsidR="009A41FE">
        <w:rPr>
          <w:color w:val="000000" w:themeColor="text1"/>
          <w:szCs w:val="22"/>
        </w:rPr>
        <w:t xml:space="preserve">including those </w:t>
      </w:r>
      <w:r w:rsidR="00C04C5E" w:rsidRPr="005242F7">
        <w:rPr>
          <w:color w:val="000000" w:themeColor="text1"/>
          <w:szCs w:val="22"/>
        </w:rPr>
        <w:t>beyond</w:t>
      </w:r>
      <w:r w:rsidRPr="005242F7">
        <w:rPr>
          <w:color w:val="000000" w:themeColor="text1"/>
          <w:szCs w:val="22"/>
        </w:rPr>
        <w:t xml:space="preserve"> the requirements</w:t>
      </w:r>
      <w:r w:rsidR="00C51E18" w:rsidRPr="005242F7" w:rsidDel="006F7358">
        <w:rPr>
          <w:color w:val="000000" w:themeColor="text1"/>
          <w:szCs w:val="22"/>
        </w:rPr>
        <w:t xml:space="preserve"> of </w:t>
      </w:r>
      <w:r w:rsidRPr="005242F7">
        <w:rPr>
          <w:color w:val="000000" w:themeColor="text1"/>
          <w:szCs w:val="22"/>
        </w:rPr>
        <w:t>the PCD, ha</w:t>
      </w:r>
      <w:r w:rsidR="005B2F40" w:rsidRPr="005242F7">
        <w:rPr>
          <w:color w:val="000000" w:themeColor="text1"/>
          <w:szCs w:val="22"/>
        </w:rPr>
        <w:t>ve</w:t>
      </w:r>
      <w:r w:rsidRPr="005242F7">
        <w:rPr>
          <w:color w:val="000000" w:themeColor="text1"/>
          <w:szCs w:val="22"/>
        </w:rPr>
        <w:t xml:space="preserve"> shown </w:t>
      </w:r>
      <w:r w:rsidR="005B2F40" w:rsidRPr="005242F7">
        <w:rPr>
          <w:color w:val="000000" w:themeColor="text1"/>
          <w:szCs w:val="22"/>
        </w:rPr>
        <w:t xml:space="preserve">the company’s </w:t>
      </w:r>
      <w:r w:rsidRPr="005242F7">
        <w:rPr>
          <w:color w:val="000000" w:themeColor="text1"/>
          <w:szCs w:val="22"/>
        </w:rPr>
        <w:t xml:space="preserve">commitment to driving a culture of compliance in </w:t>
      </w:r>
      <w:r w:rsidR="00837512">
        <w:rPr>
          <w:color w:val="000000" w:themeColor="text1"/>
          <w:szCs w:val="22"/>
        </w:rPr>
        <w:t xml:space="preserve">its </w:t>
      </w:r>
      <w:r w:rsidRPr="005242F7">
        <w:rPr>
          <w:color w:val="000000" w:themeColor="text1"/>
          <w:szCs w:val="22"/>
        </w:rPr>
        <w:t>network.</w:t>
      </w:r>
      <w:r w:rsidR="00895024" w:rsidRPr="005242F7">
        <w:rPr>
          <w:color w:val="000000" w:themeColor="text1"/>
          <w:szCs w:val="22"/>
        </w:rPr>
        <w:t xml:space="preserve"> </w:t>
      </w:r>
    </w:p>
    <w:p w14:paraId="63217F0B" w14:textId="73B7BAD2" w:rsidR="005B2F40" w:rsidRPr="005242F7" w:rsidRDefault="005B2F40" w:rsidP="00837512">
      <w:pPr>
        <w:rPr>
          <w:color w:val="000000" w:themeColor="text1"/>
          <w:szCs w:val="22"/>
        </w:rPr>
      </w:pPr>
      <w:r w:rsidRPr="005242F7">
        <w:rPr>
          <w:color w:val="000000" w:themeColor="text1"/>
          <w:szCs w:val="22"/>
        </w:rPr>
        <w:t>UTC</w:t>
      </w:r>
      <w:r w:rsidR="00895024" w:rsidRPr="005242F7">
        <w:rPr>
          <w:color w:val="000000" w:themeColor="text1"/>
          <w:szCs w:val="22"/>
        </w:rPr>
        <w:t xml:space="preserve"> reported that as a result of self-audits, </w:t>
      </w:r>
      <w:r w:rsidR="00837512">
        <w:rPr>
          <w:color w:val="000000" w:themeColor="text1"/>
          <w:szCs w:val="22"/>
        </w:rPr>
        <w:t xml:space="preserve">its </w:t>
      </w:r>
      <w:r w:rsidR="00895024" w:rsidRPr="005242F7">
        <w:rPr>
          <w:color w:val="000000" w:themeColor="text1"/>
          <w:szCs w:val="22"/>
        </w:rPr>
        <w:t>self-resolution</w:t>
      </w:r>
      <w:r w:rsidRPr="005242F7">
        <w:rPr>
          <w:color w:val="000000" w:themeColor="text1"/>
          <w:szCs w:val="22"/>
        </w:rPr>
        <w:t xml:space="preserve"> of issues</w:t>
      </w:r>
      <w:r w:rsidR="00895024" w:rsidRPr="005242F7">
        <w:rPr>
          <w:color w:val="000000" w:themeColor="text1"/>
          <w:szCs w:val="22"/>
        </w:rPr>
        <w:t xml:space="preserve"> and all other complaints and enquiries received, the total amount recovered for employees </w:t>
      </w:r>
      <w:r w:rsidRPr="005242F7">
        <w:rPr>
          <w:color w:val="000000" w:themeColor="text1"/>
          <w:szCs w:val="22"/>
        </w:rPr>
        <w:t xml:space="preserve">during the period of the PCD </w:t>
      </w:r>
      <w:r w:rsidR="00837512">
        <w:rPr>
          <w:color w:val="000000" w:themeColor="text1"/>
          <w:szCs w:val="22"/>
        </w:rPr>
        <w:t xml:space="preserve">was </w:t>
      </w:r>
      <w:r w:rsidR="00895024" w:rsidRPr="005242F7">
        <w:rPr>
          <w:color w:val="000000" w:themeColor="text1"/>
          <w:szCs w:val="22"/>
        </w:rPr>
        <w:t>$8</w:t>
      </w:r>
      <w:r w:rsidR="00810C99">
        <w:rPr>
          <w:color w:val="000000" w:themeColor="text1"/>
          <w:szCs w:val="22"/>
        </w:rPr>
        <w:t>9</w:t>
      </w:r>
      <w:r w:rsidR="00895024" w:rsidRPr="005242F7">
        <w:rPr>
          <w:color w:val="000000" w:themeColor="text1"/>
          <w:szCs w:val="22"/>
        </w:rPr>
        <w:t xml:space="preserve"> 476.96.</w:t>
      </w:r>
      <w:r w:rsidR="0099068E">
        <w:rPr>
          <w:color w:val="000000" w:themeColor="text1"/>
          <w:szCs w:val="22"/>
        </w:rPr>
        <w:t xml:space="preserve"> </w:t>
      </w:r>
      <w:r w:rsidR="006F7358" w:rsidRPr="005242F7">
        <w:rPr>
          <w:color w:val="000000" w:themeColor="text1"/>
          <w:szCs w:val="22"/>
        </w:rPr>
        <w:t xml:space="preserve">With the above </w:t>
      </w:r>
      <w:r w:rsidRPr="005242F7">
        <w:rPr>
          <w:color w:val="000000" w:themeColor="text1"/>
          <w:szCs w:val="22"/>
        </w:rPr>
        <w:t>measures implemented</w:t>
      </w:r>
      <w:r w:rsidR="006F7358" w:rsidRPr="005242F7">
        <w:rPr>
          <w:color w:val="000000" w:themeColor="text1"/>
          <w:szCs w:val="22"/>
        </w:rPr>
        <w:t>, t</w:t>
      </w:r>
      <w:r w:rsidR="00C51E18" w:rsidRPr="005242F7">
        <w:rPr>
          <w:color w:val="000000" w:themeColor="text1"/>
          <w:szCs w:val="22"/>
        </w:rPr>
        <w:t xml:space="preserve">he FWO </w:t>
      </w:r>
      <w:r w:rsidRPr="005242F7">
        <w:rPr>
          <w:color w:val="000000" w:themeColor="text1"/>
          <w:szCs w:val="22"/>
        </w:rPr>
        <w:t xml:space="preserve">expects a </w:t>
      </w:r>
      <w:r w:rsidR="00C51E18" w:rsidRPr="005242F7">
        <w:rPr>
          <w:color w:val="000000" w:themeColor="text1"/>
          <w:szCs w:val="22"/>
        </w:rPr>
        <w:t>continue</w:t>
      </w:r>
      <w:r w:rsidRPr="005242F7">
        <w:rPr>
          <w:color w:val="000000" w:themeColor="text1"/>
          <w:szCs w:val="22"/>
        </w:rPr>
        <w:t>d</w:t>
      </w:r>
      <w:r w:rsidR="00B33197" w:rsidRPr="005242F7">
        <w:rPr>
          <w:color w:val="000000" w:themeColor="text1"/>
          <w:szCs w:val="22"/>
        </w:rPr>
        <w:t xml:space="preserve"> </w:t>
      </w:r>
      <w:r w:rsidR="00C51E18" w:rsidRPr="005242F7">
        <w:rPr>
          <w:color w:val="000000" w:themeColor="text1"/>
          <w:szCs w:val="22"/>
        </w:rPr>
        <w:t xml:space="preserve">increase </w:t>
      </w:r>
      <w:r w:rsidRPr="005242F7">
        <w:rPr>
          <w:color w:val="000000" w:themeColor="text1"/>
          <w:szCs w:val="22"/>
        </w:rPr>
        <w:t xml:space="preserve">in </w:t>
      </w:r>
      <w:r w:rsidR="00C51E18" w:rsidRPr="005242F7">
        <w:rPr>
          <w:color w:val="000000" w:themeColor="text1"/>
          <w:szCs w:val="22"/>
        </w:rPr>
        <w:t xml:space="preserve">compliance in </w:t>
      </w:r>
      <w:r w:rsidR="006F7358" w:rsidRPr="005242F7">
        <w:rPr>
          <w:color w:val="000000" w:themeColor="text1"/>
          <w:szCs w:val="22"/>
        </w:rPr>
        <w:t>UTC’s</w:t>
      </w:r>
      <w:r w:rsidR="00C51E18" w:rsidRPr="005242F7">
        <w:rPr>
          <w:color w:val="000000" w:themeColor="text1"/>
          <w:szCs w:val="22"/>
        </w:rPr>
        <w:t xml:space="preserve"> network. </w:t>
      </w:r>
    </w:p>
    <w:p w14:paraId="7FE99686" w14:textId="7A96D59E" w:rsidR="00C2079A" w:rsidRPr="005242F7" w:rsidRDefault="00C51E18" w:rsidP="00837512">
      <w:pPr>
        <w:rPr>
          <w:color w:val="000000" w:themeColor="text1"/>
          <w:szCs w:val="22"/>
        </w:rPr>
      </w:pPr>
      <w:r w:rsidRPr="005242F7">
        <w:rPr>
          <w:color w:val="000000" w:themeColor="text1"/>
          <w:szCs w:val="22"/>
        </w:rPr>
        <w:t xml:space="preserve">The monitoring and governance processes that UTC </w:t>
      </w:r>
      <w:r w:rsidR="005B2F40" w:rsidRPr="005242F7">
        <w:rPr>
          <w:color w:val="000000" w:themeColor="text1"/>
          <w:szCs w:val="22"/>
        </w:rPr>
        <w:t>have implemented</w:t>
      </w:r>
      <w:r w:rsidRPr="005242F7">
        <w:rPr>
          <w:color w:val="000000" w:themeColor="text1"/>
          <w:szCs w:val="22"/>
        </w:rPr>
        <w:t xml:space="preserve"> provid</w:t>
      </w:r>
      <w:r w:rsidR="005B2F40" w:rsidRPr="005242F7">
        <w:rPr>
          <w:color w:val="000000" w:themeColor="text1"/>
          <w:szCs w:val="22"/>
        </w:rPr>
        <w:t>e</w:t>
      </w:r>
      <w:r w:rsidRPr="005242F7">
        <w:rPr>
          <w:color w:val="000000" w:themeColor="text1"/>
          <w:szCs w:val="22"/>
        </w:rPr>
        <w:t xml:space="preserve"> a </w:t>
      </w:r>
      <w:r w:rsidR="005B2F40" w:rsidRPr="005242F7">
        <w:rPr>
          <w:color w:val="000000" w:themeColor="text1"/>
          <w:szCs w:val="22"/>
        </w:rPr>
        <w:t xml:space="preserve">positive </w:t>
      </w:r>
      <w:r w:rsidRPr="005242F7">
        <w:rPr>
          <w:color w:val="000000" w:themeColor="text1"/>
          <w:szCs w:val="22"/>
        </w:rPr>
        <w:t xml:space="preserve">model for the industry </w:t>
      </w:r>
      <w:r w:rsidR="005B2F40" w:rsidRPr="005242F7">
        <w:rPr>
          <w:color w:val="000000" w:themeColor="text1"/>
          <w:szCs w:val="22"/>
        </w:rPr>
        <w:t>for achieving compliance with workplace laws in supply chains</w:t>
      </w:r>
      <w:r w:rsidRPr="005242F7">
        <w:rPr>
          <w:color w:val="000000" w:themeColor="text1"/>
          <w:szCs w:val="22"/>
        </w:rPr>
        <w:t>.</w:t>
      </w:r>
      <w:r w:rsidR="00CF2869" w:rsidRPr="005242F7">
        <w:rPr>
          <w:color w:val="000000" w:themeColor="text1"/>
          <w:szCs w:val="22"/>
        </w:rPr>
        <w:t xml:space="preserve"> </w:t>
      </w:r>
    </w:p>
    <w:p w14:paraId="3F408F83" w14:textId="3B31B423" w:rsidR="00781460" w:rsidRPr="005242F7" w:rsidRDefault="002C1627" w:rsidP="00837512">
      <w:pPr>
        <w:pStyle w:val="Quote"/>
        <w:rPr>
          <w:i w:val="0"/>
        </w:rPr>
      </w:pPr>
      <w:r w:rsidRPr="00DB078A">
        <w:rPr>
          <w:i w:val="0"/>
        </w:rPr>
        <w:t xml:space="preserve">The FWO has found it effective to work with UTC, who have been prepared to leverage authority over </w:t>
      </w:r>
      <w:r w:rsidR="00F50531" w:rsidRPr="00DB078A">
        <w:rPr>
          <w:i w:val="0"/>
        </w:rPr>
        <w:t>its</w:t>
      </w:r>
      <w:r w:rsidRPr="00DB078A">
        <w:rPr>
          <w:i w:val="0"/>
        </w:rPr>
        <w:t xml:space="preserve"> subcontractors to promote compliance </w:t>
      </w:r>
      <w:r w:rsidR="00895024" w:rsidRPr="00DB078A">
        <w:rPr>
          <w:i w:val="0"/>
        </w:rPr>
        <w:t xml:space="preserve">across </w:t>
      </w:r>
      <w:r w:rsidR="00F50531" w:rsidRPr="00DB078A">
        <w:rPr>
          <w:i w:val="0"/>
        </w:rPr>
        <w:t>its</w:t>
      </w:r>
      <w:r w:rsidRPr="00DB078A">
        <w:rPr>
          <w:i w:val="0"/>
        </w:rPr>
        <w:t xml:space="preserve"> network</w:t>
      </w:r>
      <w:r w:rsidR="000225D5" w:rsidRPr="00DB078A">
        <w:rPr>
          <w:i w:val="0"/>
        </w:rPr>
        <w:t>.</w:t>
      </w:r>
      <w:r w:rsidR="00781460" w:rsidRPr="00DB078A">
        <w:rPr>
          <w:i w:val="0"/>
        </w:rPr>
        <w:t xml:space="preserve"> </w:t>
      </w:r>
      <w:r w:rsidR="00781460" w:rsidRPr="00DB078A">
        <w:rPr>
          <w:i w:val="0"/>
          <w:szCs w:val="22"/>
        </w:rPr>
        <w:t xml:space="preserve">UTC has engaged in a productive manner with the FWO and has initiated new governance arrangements throughout </w:t>
      </w:r>
      <w:r w:rsidR="00F50531" w:rsidRPr="00DB078A">
        <w:rPr>
          <w:i w:val="0"/>
          <w:szCs w:val="22"/>
        </w:rPr>
        <w:t>its</w:t>
      </w:r>
      <w:r w:rsidR="00781460" w:rsidRPr="00DB078A">
        <w:rPr>
          <w:i w:val="0"/>
          <w:szCs w:val="22"/>
        </w:rPr>
        <w:t xml:space="preserve"> network to improve compliance.  </w:t>
      </w:r>
    </w:p>
    <w:p w14:paraId="222A1675" w14:textId="30E33F3D" w:rsidR="00DC30F1" w:rsidRPr="005242F7" w:rsidRDefault="00DC30F1" w:rsidP="00837512">
      <w:pPr>
        <w:rPr>
          <w:color w:val="000000" w:themeColor="text1"/>
        </w:rPr>
      </w:pPr>
      <w:r w:rsidRPr="005242F7">
        <w:rPr>
          <w:color w:val="000000" w:themeColor="text1"/>
        </w:rPr>
        <w:t>Since the formal end of the PCD, the FWO and UTC have maintained close relations while discussing the possibility of a second compliance partnership. The terms of any new compliance partnership will reflect the current market environment, operating models and UTC’s contractual arrangements with retailers.</w:t>
      </w:r>
    </w:p>
    <w:p w14:paraId="2ACE5FBF" w14:textId="77777777" w:rsidR="00EC1CB1" w:rsidRPr="005242F7" w:rsidRDefault="00EC1CB1">
      <w:pPr>
        <w:pStyle w:val="Heading1"/>
      </w:pPr>
      <w:r w:rsidRPr="005242F7">
        <w:br w:type="page"/>
      </w:r>
    </w:p>
    <w:p w14:paraId="4A3BDCFB" w14:textId="2A0FB464" w:rsidR="00EC1CB1" w:rsidRDefault="00EC1CB1">
      <w:pPr>
        <w:pStyle w:val="Heading1"/>
      </w:pPr>
      <w:bookmarkStart w:id="18" w:name="_Toc527720488"/>
      <w:r>
        <w:lastRenderedPageBreak/>
        <w:t>About the Fair Work Ombudsman</w:t>
      </w:r>
      <w:bookmarkEnd w:id="18"/>
      <w:r>
        <w:t xml:space="preserve"> </w:t>
      </w:r>
    </w:p>
    <w:p w14:paraId="18B7EC02" w14:textId="544ECD30" w:rsidR="00EC1CB1" w:rsidRPr="00EC1CB1" w:rsidRDefault="00EC1CB1" w:rsidP="00837512">
      <w:r w:rsidRPr="00EC1CB1">
        <w:t xml:space="preserve">The FWO is an independent agency created by the </w:t>
      </w:r>
      <w:r w:rsidRPr="00EC1CB1">
        <w:rPr>
          <w:i/>
        </w:rPr>
        <w:t>Fair Work Act 2009</w:t>
      </w:r>
      <w:r w:rsidR="004C7B5B">
        <w:t xml:space="preserve"> on 1 July 2009. Its </w:t>
      </w:r>
      <w:r w:rsidRPr="00EC1CB1">
        <w:t>main role is to promote harmonious, productive and cooperative workplace relations.</w:t>
      </w:r>
    </w:p>
    <w:p w14:paraId="62E5D42D" w14:textId="7CD86CE4" w:rsidR="00EC1CB1" w:rsidRPr="00EC1CB1" w:rsidRDefault="00EC1CB1" w:rsidP="00837512">
      <w:r w:rsidRPr="00EC1CB1">
        <w:t xml:space="preserve">The FWO employs a number of strategies to achieve compliance with national workplace laws. This includes entering into </w:t>
      </w:r>
      <w:r w:rsidR="00CD2907" w:rsidRPr="00EC1CB1">
        <w:t>compliance partnership</w:t>
      </w:r>
      <w:r w:rsidR="00CD2907">
        <w:t>s</w:t>
      </w:r>
      <w:r w:rsidR="00CD2907" w:rsidRPr="00CD2907">
        <w:t xml:space="preserve"> </w:t>
      </w:r>
      <w:r w:rsidRPr="00EC1CB1">
        <w:t xml:space="preserve">with employers in the form of a </w:t>
      </w:r>
      <w:r w:rsidR="00CD2907" w:rsidRPr="00EC1CB1">
        <w:t>proactive compliance deed</w:t>
      </w:r>
      <w:r w:rsidRPr="00EC1CB1">
        <w:t xml:space="preserve">. A </w:t>
      </w:r>
      <w:r w:rsidR="00CD2907">
        <w:t>c</w:t>
      </w:r>
      <w:r w:rsidRPr="00EC1CB1">
        <w:t xml:space="preserve">ompliance </w:t>
      </w:r>
      <w:r w:rsidR="00CD2907">
        <w:t>p</w:t>
      </w:r>
      <w:r w:rsidRPr="00EC1CB1">
        <w:t xml:space="preserve">artnership is an opportunity for businesses to work with the FWO in a positive and constructive manner. It sets out to achieve sustainable self-monitoring arrangements in order to demonstrate commitment to ‘fair Australian workplaces’.  </w:t>
      </w:r>
    </w:p>
    <w:p w14:paraId="2609BF2E" w14:textId="3E499841" w:rsidR="00EC1CB1" w:rsidRPr="00EC1CB1" w:rsidRDefault="00EC1CB1" w:rsidP="00837512">
      <w:r w:rsidRPr="00EC1CB1">
        <w:t xml:space="preserve">Employers may seek to enter into a </w:t>
      </w:r>
      <w:r w:rsidR="00CD2907">
        <w:t>c</w:t>
      </w:r>
      <w:r w:rsidRPr="00EC1CB1">
        <w:t xml:space="preserve">ompliance </w:t>
      </w:r>
      <w:r w:rsidR="00CD2907">
        <w:t>p</w:t>
      </w:r>
      <w:r w:rsidRPr="00EC1CB1">
        <w:t>artnership with the FWO for a variety of reasons.  Some of these reasons include:</w:t>
      </w:r>
    </w:p>
    <w:p w14:paraId="5EF812B6" w14:textId="77777777" w:rsidR="00EC1CB1" w:rsidRPr="00EC1CB1" w:rsidRDefault="00EC1CB1">
      <w:pPr>
        <w:pStyle w:val="Bullet"/>
      </w:pPr>
      <w:r w:rsidRPr="00EC1CB1">
        <w:t xml:space="preserve">ensuring its obligations under the Act are being met </w:t>
      </w:r>
    </w:p>
    <w:p w14:paraId="6DF2C980" w14:textId="77777777" w:rsidR="00EC1CB1" w:rsidRPr="00EC1CB1" w:rsidRDefault="00EC1CB1">
      <w:pPr>
        <w:pStyle w:val="Bullet"/>
      </w:pPr>
      <w:r w:rsidRPr="00EC1CB1">
        <w:t xml:space="preserve">a method of identifying and minimising business risks with respect to its employees </w:t>
      </w:r>
    </w:p>
    <w:p w14:paraId="1629173C" w14:textId="77777777" w:rsidR="00EC1CB1" w:rsidRPr="00EC1CB1" w:rsidRDefault="00EC1CB1">
      <w:pPr>
        <w:pStyle w:val="Bullet"/>
      </w:pPr>
      <w:r w:rsidRPr="00EC1CB1">
        <w:t>to demonstrate that it is a fair Australian workplace and potentially an employer of choice</w:t>
      </w:r>
    </w:p>
    <w:p w14:paraId="416D0348" w14:textId="77777777" w:rsidR="00EC1CB1" w:rsidRPr="00EC1CB1" w:rsidRDefault="00EC1CB1">
      <w:pPr>
        <w:pStyle w:val="Bullet"/>
      </w:pPr>
      <w:proofErr w:type="gramStart"/>
      <w:r w:rsidRPr="00EC1CB1">
        <w:t>to</w:t>
      </w:r>
      <w:proofErr w:type="gramEnd"/>
      <w:r w:rsidRPr="00EC1CB1">
        <w:t xml:space="preserve"> address potential areas of non-compliance with the Act. </w:t>
      </w:r>
    </w:p>
    <w:p w14:paraId="0E23BAA0" w14:textId="4686C494" w:rsidR="00EC1CB1" w:rsidRPr="00EC1CB1" w:rsidRDefault="00EC1CB1" w:rsidP="00837512">
      <w:r w:rsidRPr="00EC1CB1">
        <w:t xml:space="preserve">A range of activities can be utilised to assist the business meet the intended outcomes of the </w:t>
      </w:r>
      <w:r w:rsidR="00CD2907">
        <w:t>c</w:t>
      </w:r>
      <w:r w:rsidRPr="00EC1CB1">
        <w:t xml:space="preserve">ompliance </w:t>
      </w:r>
      <w:r w:rsidR="00CD2907">
        <w:t>p</w:t>
      </w:r>
      <w:r w:rsidRPr="00EC1CB1">
        <w:t>artnership, for example:</w:t>
      </w:r>
    </w:p>
    <w:p w14:paraId="0BBB3AF5" w14:textId="15D6604A" w:rsidR="00EC1CB1" w:rsidRPr="00EC1CB1" w:rsidRDefault="00EC1CB1">
      <w:pPr>
        <w:pStyle w:val="Bullet"/>
      </w:pPr>
      <w:r w:rsidRPr="00EC1CB1">
        <w:t>self</w:t>
      </w:r>
      <w:r w:rsidR="00CD2907">
        <w:t>-</w:t>
      </w:r>
      <w:r w:rsidRPr="00EC1CB1">
        <w:t>auditing of wages and record-keeping</w:t>
      </w:r>
    </w:p>
    <w:p w14:paraId="28D190A3" w14:textId="77777777" w:rsidR="00EC1CB1" w:rsidRPr="00EC1CB1" w:rsidRDefault="00EC1CB1">
      <w:pPr>
        <w:pStyle w:val="Bullet"/>
      </w:pPr>
      <w:r w:rsidRPr="00EC1CB1">
        <w:t>initiatives to engage with employees to improve compliance</w:t>
      </w:r>
    </w:p>
    <w:p w14:paraId="0AA68992" w14:textId="5C38BB4A" w:rsidR="00EC1CB1" w:rsidRPr="00EC1CB1" w:rsidRDefault="00EC1CB1">
      <w:pPr>
        <w:pStyle w:val="Bullet"/>
      </w:pPr>
      <w:proofErr w:type="gramStart"/>
      <w:r w:rsidRPr="00EC1CB1">
        <w:t>mutually</w:t>
      </w:r>
      <w:proofErr w:type="gramEnd"/>
      <w:r w:rsidRPr="00EC1CB1">
        <w:t xml:space="preserve"> beneficial improvements to employment and business outcomes by focussing on supply chain, brand and </w:t>
      </w:r>
      <w:r w:rsidR="00FA4C3C">
        <w:t xml:space="preserve">subcontractor </w:t>
      </w:r>
      <w:r w:rsidRPr="00EC1CB1">
        <w:t>relationships.</w:t>
      </w:r>
    </w:p>
    <w:p w14:paraId="31F85D0A" w14:textId="41B0FA68" w:rsidR="00EC1CB1" w:rsidRPr="00EC1CB1" w:rsidRDefault="00EC1CB1" w:rsidP="00837512">
      <w:r w:rsidRPr="00EC1CB1">
        <w:t xml:space="preserve">A dedicated Fair Work Officer provides support and assistance to a business that enters into a partnership with the FWO. This is to ensure they are able to meet the terms of the proactive compliance deed. The FWO publishes a publically available report at the conclusion of each </w:t>
      </w:r>
      <w:r w:rsidR="00CD2907">
        <w:t>c</w:t>
      </w:r>
      <w:r w:rsidRPr="00EC1CB1">
        <w:t xml:space="preserve">ompliance </w:t>
      </w:r>
      <w:r w:rsidR="00CD2907">
        <w:t>p</w:t>
      </w:r>
      <w:r w:rsidRPr="00EC1CB1">
        <w:t>artnership.</w:t>
      </w:r>
    </w:p>
    <w:p w14:paraId="2016088D" w14:textId="77777777" w:rsidR="00EC1CB1" w:rsidRPr="00EC1CB1" w:rsidRDefault="00EC1CB1" w:rsidP="00837512">
      <w:r w:rsidRPr="00EC1CB1">
        <w:t xml:space="preserve">For further information and </w:t>
      </w:r>
      <w:proofErr w:type="gramStart"/>
      <w:r w:rsidRPr="00EC1CB1">
        <w:t>media</w:t>
      </w:r>
      <w:proofErr w:type="gramEnd"/>
      <w:r w:rsidRPr="00EC1CB1">
        <w:t xml:space="preserve"> enquiries please contact FWO media (</w:t>
      </w:r>
      <w:hyperlink r:id="rId8" w:history="1">
        <w:r w:rsidRPr="00EC1CB1">
          <w:rPr>
            <w:rStyle w:val="Hyperlink"/>
            <w:rFonts w:eastAsiaTheme="minorEastAsia" w:cs="Arial"/>
          </w:rPr>
          <w:t>media@fwo.gov.au</w:t>
        </w:r>
      </w:hyperlink>
      <w:r w:rsidRPr="00EC1CB1">
        <w:t xml:space="preserve">). </w:t>
      </w:r>
    </w:p>
    <w:p w14:paraId="68C4D4B5" w14:textId="15A7F6BE" w:rsidR="00CF2869" w:rsidRPr="00662DE1" w:rsidRDefault="00EC1CB1" w:rsidP="00837512">
      <w:r w:rsidRPr="00EC1CB1">
        <w:t xml:space="preserve">If you would like further information about compliance partnerships please contact Steven </w:t>
      </w:r>
      <w:proofErr w:type="spellStart"/>
      <w:r w:rsidRPr="00EC1CB1">
        <w:t>Ronson</w:t>
      </w:r>
      <w:proofErr w:type="spellEnd"/>
      <w:r w:rsidRPr="00EC1CB1">
        <w:t>, Executive Director – Communications (</w:t>
      </w:r>
      <w:hyperlink r:id="rId9" w:history="1">
        <w:r w:rsidRPr="00EC1CB1">
          <w:rPr>
            <w:rStyle w:val="Hyperlink"/>
            <w:rFonts w:eastAsiaTheme="minorEastAsia" w:cs="Arial"/>
          </w:rPr>
          <w:t>steven.ronson@fwo.gov.au</w:t>
        </w:r>
      </w:hyperlink>
      <w:r w:rsidRPr="00EC1CB1">
        <w:t>).</w:t>
      </w:r>
    </w:p>
    <w:p w14:paraId="622109CE" w14:textId="77777777" w:rsidR="00BF0029" w:rsidRPr="005D5E9F" w:rsidRDefault="00BF0029" w:rsidP="00837512">
      <w:pPr>
        <w:spacing w:after="0" w:line="240" w:lineRule="auto"/>
        <w:rPr>
          <w:rFonts w:cstheme="minorHAnsi"/>
          <w:b/>
          <w:color w:val="263746"/>
          <w:sz w:val="44"/>
          <w:szCs w:val="26"/>
        </w:rPr>
      </w:pPr>
    </w:p>
    <w:sectPr w:rsidR="00BF0029" w:rsidRPr="005D5E9F" w:rsidSect="000F5A1A">
      <w:headerReference w:type="even" r:id="rId10"/>
      <w:footerReference w:type="even" r:id="rId11"/>
      <w:footerReference w:type="default" r:id="rId12"/>
      <w:headerReference w:type="first" r:id="rId13"/>
      <w:type w:val="continuous"/>
      <w:pgSz w:w="11907" w:h="16840" w:code="9"/>
      <w:pgMar w:top="1135" w:right="992" w:bottom="993" w:left="1276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8E726" w14:textId="77777777" w:rsidR="00D52680" w:rsidRDefault="00D52680" w:rsidP="00AB27F9">
      <w:r>
        <w:separator/>
      </w:r>
    </w:p>
  </w:endnote>
  <w:endnote w:type="continuationSeparator" w:id="0">
    <w:p w14:paraId="6147B76F" w14:textId="77777777" w:rsidR="00D52680" w:rsidRDefault="00D52680" w:rsidP="00AB27F9">
      <w:r>
        <w:continuationSeparator/>
      </w:r>
    </w:p>
  </w:endnote>
  <w:endnote w:type="continuationNotice" w:id="1">
    <w:p w14:paraId="3361037F" w14:textId="77777777" w:rsidR="00D52680" w:rsidRDefault="00D526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air Work">
    <w:altName w:val="Times New Roman"/>
    <w:panose1 w:val="00000000000000000000"/>
    <w:charset w:val="00"/>
    <w:family w:val="roman"/>
    <w:notTrueType/>
    <w:pitch w:val="variable"/>
    <w:sig w:usb0="00000001" w:usb1="5000204A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96306" w14:textId="77777777" w:rsidR="00D52680" w:rsidRDefault="00D52680" w:rsidP="00AB27F9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08F8B347" w14:textId="77777777" w:rsidR="00D52680" w:rsidRDefault="00D52680" w:rsidP="00AB27F9"/>
  <w:p w14:paraId="480252F4" w14:textId="77777777" w:rsidR="00D52680" w:rsidRDefault="00D52680"/>
  <w:p w14:paraId="1C354245" w14:textId="77777777" w:rsidR="00D52680" w:rsidRDefault="00D52680"/>
  <w:p w14:paraId="423C0C8F" w14:textId="77777777" w:rsidR="00D52680" w:rsidRDefault="00D52680"/>
  <w:p w14:paraId="14BAAC55" w14:textId="77777777" w:rsidR="00D52680" w:rsidRDefault="00D526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643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4CE9A" w14:textId="6B4364F2" w:rsidR="00D52680" w:rsidRDefault="00D526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B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41F5A8" w14:textId="54887A9D" w:rsidR="00D52680" w:rsidRDefault="00D526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7AAA6" w14:textId="77777777" w:rsidR="00D52680" w:rsidRDefault="00D52680" w:rsidP="00AB27F9">
      <w:r>
        <w:separator/>
      </w:r>
    </w:p>
  </w:footnote>
  <w:footnote w:type="continuationSeparator" w:id="0">
    <w:p w14:paraId="29A8C761" w14:textId="77777777" w:rsidR="00D52680" w:rsidRDefault="00D52680" w:rsidP="00AB27F9">
      <w:r>
        <w:continuationSeparator/>
      </w:r>
    </w:p>
  </w:footnote>
  <w:footnote w:type="continuationNotice" w:id="1">
    <w:p w14:paraId="491C40E0" w14:textId="77777777" w:rsidR="00D52680" w:rsidRDefault="00D52680">
      <w:pPr>
        <w:spacing w:after="0" w:line="240" w:lineRule="auto"/>
      </w:pPr>
    </w:p>
  </w:footnote>
  <w:footnote w:id="2">
    <w:p w14:paraId="5783EC50" w14:textId="77777777" w:rsidR="00D52680" w:rsidRDefault="00D52680" w:rsidP="00DA2C0F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FD7F5B">
        <w:rPr>
          <w:sz w:val="16"/>
          <w:szCs w:val="16"/>
        </w:rPr>
        <w:t>https://www.fairwork.gov.au/ArticleDocuments/762/utc-proactive-compliance-deed.pdf.aspx</w:t>
      </w:r>
    </w:p>
  </w:footnote>
  <w:footnote w:id="3">
    <w:p w14:paraId="4273E45D" w14:textId="77777777" w:rsidR="00D52680" w:rsidRDefault="00D52680" w:rsidP="00453F11">
      <w:pPr>
        <w:pStyle w:val="Footnotes"/>
        <w:spacing w:after="0"/>
      </w:pPr>
      <w:r w:rsidRPr="00453F11">
        <w:rPr>
          <w:rStyle w:val="FootnoteReference"/>
          <w:sz w:val="22"/>
          <w:szCs w:val="24"/>
        </w:rPr>
        <w:footnoteRef/>
      </w:r>
      <w:r w:rsidRPr="00453F11">
        <w:rPr>
          <w:rStyle w:val="FootnoteReference"/>
          <w:sz w:val="22"/>
          <w:szCs w:val="24"/>
        </w:rPr>
        <w:t xml:space="preserve"> </w:t>
      </w:r>
      <w:r w:rsidRPr="00D72C41">
        <w:t>FWO Inquiry into trolley collection services procurement by Woolworths Ltd: https://www.fairwork.gov.au/ArticleDocuments/763/inquiry-into-trolley-collection-services-procurement-by</w:t>
      </w:r>
      <w:r w:rsidRPr="00C671B9">
        <w:t>-woolworths-limited.pdf.aspx</w:t>
      </w:r>
    </w:p>
  </w:footnote>
  <w:footnote w:id="4">
    <w:p w14:paraId="5AE4F9CF" w14:textId="15AD4062" w:rsidR="00D52680" w:rsidRPr="00C671B9" w:rsidRDefault="00D52680" w:rsidP="00453F11">
      <w:pPr>
        <w:pStyle w:val="Footnotes"/>
        <w:spacing w:after="0"/>
      </w:pPr>
      <w:r w:rsidRPr="00453F11">
        <w:rPr>
          <w:rStyle w:val="FootnoteReference"/>
          <w:sz w:val="22"/>
          <w:szCs w:val="24"/>
        </w:rPr>
        <w:footnoteRef/>
      </w:r>
      <w:r w:rsidRPr="00C73105">
        <w:rPr>
          <w:rStyle w:val="FootnoteReference"/>
          <w:rFonts w:cs="Arial"/>
          <w:vertAlign w:val="baseline"/>
        </w:rPr>
        <w:t xml:space="preserve"> </w:t>
      </w:r>
      <w:r>
        <w:t xml:space="preserve">FWO media release: </w:t>
      </w:r>
      <w:r w:rsidRPr="00C671B9">
        <w:t>https://www.fairwork.gov.au/about-us/news-and-media-releases/2014-media-releases/october-2014/20141007-coles-eu-presser</w:t>
      </w:r>
    </w:p>
  </w:footnote>
  <w:footnote w:id="5">
    <w:p w14:paraId="7C2D8803" w14:textId="75B593C8" w:rsidR="00D52680" w:rsidRPr="00D72C41" w:rsidRDefault="00D52680" w:rsidP="00453F11">
      <w:pPr>
        <w:pStyle w:val="Footnotes"/>
        <w:spacing w:after="0"/>
      </w:pPr>
      <w:r w:rsidRPr="00453F11">
        <w:rPr>
          <w:rStyle w:val="FootnoteReference"/>
          <w:sz w:val="22"/>
          <w:szCs w:val="24"/>
        </w:rPr>
        <w:footnoteRef/>
      </w:r>
      <w:r w:rsidRPr="00453F11">
        <w:rPr>
          <w:rStyle w:val="FootnoteReference"/>
          <w:sz w:val="22"/>
          <w:szCs w:val="24"/>
        </w:rPr>
        <w:t xml:space="preserve"> </w:t>
      </w:r>
      <w:r>
        <w:rPr>
          <w:rStyle w:val="FootnoteReference"/>
          <w:rFonts w:cs="Arial"/>
          <w:vertAlign w:val="baseline"/>
        </w:rPr>
        <w:t xml:space="preserve">FWO media release: </w:t>
      </w:r>
      <w:r w:rsidRPr="00D72C41">
        <w:t>https://www.fairwork.gov.au/about-us/news-and-media-releases/2017-media-releases/october-2017/20171011-woolworths-pcd-trolley-collectors-release</w:t>
      </w:r>
    </w:p>
  </w:footnote>
  <w:footnote w:id="6">
    <w:p w14:paraId="361D1145" w14:textId="42C3711E" w:rsidR="00D52680" w:rsidRDefault="00D52680" w:rsidP="00DA2C0F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FD7F5B">
        <w:rPr>
          <w:sz w:val="16"/>
          <w:szCs w:val="16"/>
        </w:rPr>
        <w:t>https://www.fairwork.gov.au/employee-entitlements/national-employment-standards</w:t>
      </w:r>
      <w:r>
        <w:t xml:space="preserve"> </w:t>
      </w:r>
    </w:p>
  </w:footnote>
  <w:footnote w:id="7">
    <w:p w14:paraId="03DE239B" w14:textId="5490ACAA" w:rsidR="00D52680" w:rsidRDefault="00D52680" w:rsidP="00DA2C0F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 </w:t>
      </w:r>
      <w:r w:rsidRPr="00FD7F5B">
        <w:rPr>
          <w:sz w:val="16"/>
          <w:szCs w:val="16"/>
        </w:rPr>
        <w:t>FWO media release: www.fairwork.gov.au/about-us/news-and-media-releases/2014-media-releases/august-2014/20140829-trolley-collectors</w:t>
      </w:r>
    </w:p>
  </w:footnote>
  <w:footnote w:id="8">
    <w:p w14:paraId="4C61A004" w14:textId="2D2E5832" w:rsidR="00D52680" w:rsidRDefault="00D52680" w:rsidP="00467716">
      <w:pPr>
        <w:pStyle w:val="Footnotes"/>
        <w:spacing w:after="0"/>
      </w:pPr>
      <w:r w:rsidRPr="00467716">
        <w:rPr>
          <w:rStyle w:val="FootnoteReference"/>
          <w:sz w:val="22"/>
          <w:szCs w:val="22"/>
        </w:rPr>
        <w:footnoteRef/>
      </w:r>
      <w:r w:rsidRPr="00467716">
        <w:rPr>
          <w:rStyle w:val="FootnoteReference"/>
          <w:sz w:val="22"/>
          <w:szCs w:val="22"/>
        </w:rPr>
        <w:t xml:space="preserve"> </w:t>
      </w:r>
      <w:r w:rsidRPr="00DA2C0F">
        <w:t>Over the life if the PCD, UTC terminated the contracts of seven (7) subcontractors in response to employee complaints, including the two referred through the Coles Hotline.</w:t>
      </w:r>
    </w:p>
  </w:footnote>
  <w:footnote w:id="9">
    <w:p w14:paraId="37CAED1B" w14:textId="56BB5945" w:rsidR="00D52680" w:rsidRDefault="00D52680" w:rsidP="00467716">
      <w:pPr>
        <w:pStyle w:val="Footnotes"/>
        <w:spacing w:after="0"/>
      </w:pPr>
      <w:r w:rsidRPr="00467716">
        <w:rPr>
          <w:rStyle w:val="FootnoteReference"/>
          <w:sz w:val="22"/>
          <w:szCs w:val="22"/>
        </w:rPr>
        <w:footnoteRef/>
      </w:r>
      <w:r>
        <w:t xml:space="preserve"> </w:t>
      </w:r>
      <w:hyperlink r:id="rId1" w:tooltip="Patison Partners website" w:history="1">
        <w:r w:rsidR="006133E9" w:rsidRPr="00AC74DE">
          <w:rPr>
            <w:rStyle w:val="Hyperlink"/>
            <w:rFonts w:cs="Arial"/>
          </w:rPr>
          <w:t>www.patison.com.au</w:t>
        </w:r>
      </w:hyperlink>
    </w:p>
  </w:footnote>
  <w:footnote w:id="10">
    <w:p w14:paraId="0E939D24" w14:textId="460F26A0" w:rsidR="00D52680" w:rsidRDefault="00D52680" w:rsidP="00B10935">
      <w:pPr>
        <w:pStyle w:val="Footnotes"/>
      </w:pPr>
      <w:r w:rsidRPr="00467716">
        <w:rPr>
          <w:rStyle w:val="FootnoteReference"/>
          <w:sz w:val="22"/>
          <w:szCs w:val="22"/>
        </w:rPr>
        <w:footnoteRef/>
      </w:r>
      <w:r w:rsidRPr="00467716">
        <w:rPr>
          <w:rStyle w:val="FootnoteReference"/>
          <w:sz w:val="22"/>
          <w:szCs w:val="22"/>
        </w:rPr>
        <w:t xml:space="preserve"> </w:t>
      </w:r>
      <w:r w:rsidRPr="00DA2C0F">
        <w:t>As the audit sample was extensive, FWO accepted a shorter record sampling period of two-weeks.</w:t>
      </w:r>
      <w:r>
        <w:t xml:space="preserve"> </w:t>
      </w:r>
    </w:p>
  </w:footnote>
  <w:footnote w:id="11">
    <w:p w14:paraId="3EFC008F" w14:textId="1F0D2C3E" w:rsidR="00D52680" w:rsidRDefault="00D52680" w:rsidP="00B10935">
      <w:pPr>
        <w:pStyle w:val="Footnotes"/>
      </w:pPr>
      <w:r w:rsidRPr="00467716">
        <w:rPr>
          <w:rStyle w:val="FootnoteReference"/>
          <w:sz w:val="22"/>
          <w:szCs w:val="22"/>
        </w:rPr>
        <w:footnoteRef/>
      </w:r>
      <w:r w:rsidR="00351203" w:rsidRPr="00467716">
        <w:rPr>
          <w:rStyle w:val="FootnoteReference"/>
          <w:sz w:val="22"/>
          <w:szCs w:val="22"/>
        </w:rPr>
        <w:t xml:space="preserve"> </w:t>
      </w:r>
      <w:r w:rsidR="00B10935" w:rsidRPr="00B10935">
        <w:t>FWO media release:</w:t>
      </w:r>
      <w:r>
        <w:t xml:space="preserve"> </w:t>
      </w:r>
      <w:r w:rsidRPr="009F6E70">
        <w:t>https://www.fairwork.gov.au/about-us/news-and-media-releases/2018-media-releases/april-2018/20180416-jobans-trolley-penalty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A57B8" w14:textId="77777777" w:rsidR="00D52680" w:rsidRDefault="00D52680">
    <w:pPr>
      <w:pStyle w:val="Header"/>
    </w:pPr>
  </w:p>
  <w:p w14:paraId="2B640523" w14:textId="77777777" w:rsidR="00D52680" w:rsidRDefault="00D526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3464" w14:textId="3C0FAC39" w:rsidR="008D7A2A" w:rsidRDefault="008D7A2A" w:rsidP="008D7A2A">
    <w:pPr>
      <w:pStyle w:val="Header"/>
    </w:pPr>
    <w:r w:rsidRPr="003952ED">
      <w:rPr>
        <w:noProof/>
        <w:u w:val="single"/>
        <w:lang w:eastAsia="en-AU"/>
      </w:rPr>
      <w:drawing>
        <wp:anchor distT="0" distB="0" distL="114300" distR="114300" simplePos="0" relativeHeight="251659776" behindDoc="1" locked="0" layoutInCell="1" allowOverlap="1" wp14:anchorId="404EDB9A" wp14:editId="329CF8C2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98603" cy="10681822"/>
          <wp:effectExtent l="0" t="0" r="2540" b="5715"/>
          <wp:wrapNone/>
          <wp:docPr id="8" name="Picture 32" title="United Trolley Collections (UTC) compliance partnership final report cover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:\Information Technology\IT\Information mgmt\Templates\FWO title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8603" cy="10681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  <w:rPr>
        <w:rFonts w:cs="Times New Roman"/>
      </w:rPr>
    </w:lvl>
  </w:abstractNum>
  <w:abstractNum w:abstractNumId="1" w15:restartNumberingAfterBreak="0">
    <w:nsid w:val="06CD05CC"/>
    <w:multiLevelType w:val="hybridMultilevel"/>
    <w:tmpl w:val="05D05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DA5"/>
    <w:multiLevelType w:val="hybridMultilevel"/>
    <w:tmpl w:val="BD389F7C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B1367"/>
    <w:multiLevelType w:val="hybridMultilevel"/>
    <w:tmpl w:val="0DC6D41A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53304"/>
    <w:multiLevelType w:val="hybridMultilevel"/>
    <w:tmpl w:val="9F52869C"/>
    <w:lvl w:ilvl="0" w:tplc="22BE39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1166"/>
    <w:multiLevelType w:val="hybridMultilevel"/>
    <w:tmpl w:val="2DA6AAAE"/>
    <w:lvl w:ilvl="0" w:tplc="22BE39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C5D4A"/>
    <w:multiLevelType w:val="hybridMultilevel"/>
    <w:tmpl w:val="6CEAC1CA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701"/>
    <w:multiLevelType w:val="hybridMultilevel"/>
    <w:tmpl w:val="3508DDE6"/>
    <w:lvl w:ilvl="0" w:tplc="EEF26E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E4F0A"/>
    <w:multiLevelType w:val="hybridMultilevel"/>
    <w:tmpl w:val="156055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AF124D"/>
    <w:multiLevelType w:val="hybridMultilevel"/>
    <w:tmpl w:val="96A6E71C"/>
    <w:lvl w:ilvl="0" w:tplc="22BE39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273A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B1162"/>
    <w:multiLevelType w:val="hybridMultilevel"/>
    <w:tmpl w:val="4C1672EE"/>
    <w:lvl w:ilvl="0" w:tplc="22BE39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273A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967C9A"/>
    <w:multiLevelType w:val="hybridMultilevel"/>
    <w:tmpl w:val="3CC6E30A"/>
    <w:lvl w:ilvl="0" w:tplc="AB86CA3C">
      <w:start w:val="1"/>
      <w:numFmt w:val="bullet"/>
      <w:pStyle w:val="Dotpoint"/>
      <w:lvlText w:val=""/>
      <w:lvlJc w:val="left"/>
      <w:pPr>
        <w:tabs>
          <w:tab w:val="num" w:pos="1385"/>
        </w:tabs>
        <w:ind w:left="1385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2" w15:restartNumberingAfterBreak="0">
    <w:nsid w:val="2C8A5513"/>
    <w:multiLevelType w:val="hybridMultilevel"/>
    <w:tmpl w:val="F44241BE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1D7485"/>
    <w:multiLevelType w:val="hybridMultilevel"/>
    <w:tmpl w:val="57E0BEA8"/>
    <w:lvl w:ilvl="0" w:tplc="AB4AA40C">
      <w:start w:val="1"/>
      <w:numFmt w:val="bullet"/>
      <w:pStyle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15F76"/>
    <w:multiLevelType w:val="hybridMultilevel"/>
    <w:tmpl w:val="D9F87784"/>
    <w:lvl w:ilvl="0" w:tplc="22BE39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273A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1B495E"/>
    <w:multiLevelType w:val="hybridMultilevel"/>
    <w:tmpl w:val="B6A2F004"/>
    <w:lvl w:ilvl="0" w:tplc="22BE39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273A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025CD3"/>
    <w:multiLevelType w:val="hybridMultilevel"/>
    <w:tmpl w:val="BDD40DC6"/>
    <w:lvl w:ilvl="0" w:tplc="22BE39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D7DDF"/>
    <w:multiLevelType w:val="hybridMultilevel"/>
    <w:tmpl w:val="6DB059C2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5033F"/>
    <w:multiLevelType w:val="hybridMultilevel"/>
    <w:tmpl w:val="93FC9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C689A"/>
    <w:multiLevelType w:val="hybridMultilevel"/>
    <w:tmpl w:val="5B30B21A"/>
    <w:lvl w:ilvl="0" w:tplc="BCF482F8">
      <w:start w:val="6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44CD2973"/>
    <w:multiLevelType w:val="hybridMultilevel"/>
    <w:tmpl w:val="BEE4EC7C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126CEB"/>
    <w:multiLevelType w:val="hybridMultilevel"/>
    <w:tmpl w:val="76B2FAEC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3817F2"/>
    <w:multiLevelType w:val="hybridMultilevel"/>
    <w:tmpl w:val="7E8E87D2"/>
    <w:lvl w:ilvl="0" w:tplc="11DED530">
      <w:start w:val="1"/>
      <w:numFmt w:val="bullet"/>
      <w:pStyle w:val="TOC2"/>
      <w:lvlText w:val=""/>
      <w:lvlJc w:val="left"/>
      <w:pPr>
        <w:ind w:left="1571" w:hanging="360"/>
      </w:pPr>
      <w:rPr>
        <w:rFonts w:ascii="Wingdings" w:hAnsi="Wingdings" w:hint="default"/>
        <w:color w:val="17365D" w:themeColor="text2" w:themeShade="BF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E6B6988"/>
    <w:multiLevelType w:val="hybridMultilevel"/>
    <w:tmpl w:val="99A027A8"/>
    <w:lvl w:ilvl="0" w:tplc="22BE39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273A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685A82"/>
    <w:multiLevelType w:val="hybridMultilevel"/>
    <w:tmpl w:val="E1F28010"/>
    <w:lvl w:ilvl="0" w:tplc="22BE39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66984"/>
    <w:multiLevelType w:val="hybridMultilevel"/>
    <w:tmpl w:val="745ECA48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473DC1"/>
    <w:multiLevelType w:val="hybridMultilevel"/>
    <w:tmpl w:val="D92E54EA"/>
    <w:lvl w:ilvl="0" w:tplc="EC145C1A">
      <w:start w:val="1"/>
      <w:numFmt w:val="bullet"/>
      <w:pStyle w:val="Dotpointtable"/>
      <w:lvlText w:val=""/>
      <w:lvlJc w:val="left"/>
      <w:pPr>
        <w:tabs>
          <w:tab w:val="num" w:pos="595"/>
        </w:tabs>
        <w:ind w:left="595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7" w15:restartNumberingAfterBreak="0">
    <w:nsid w:val="6B126074"/>
    <w:multiLevelType w:val="multilevel"/>
    <w:tmpl w:val="17601736"/>
    <w:styleLink w:val="Numberletterbullet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F902B71"/>
    <w:multiLevelType w:val="hybridMultilevel"/>
    <w:tmpl w:val="B05E8372"/>
    <w:lvl w:ilvl="0" w:tplc="22BE39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A16A6"/>
    <w:multiLevelType w:val="multilevel"/>
    <w:tmpl w:val="B5FC094A"/>
    <w:styleLink w:val="Bullet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52375"/>
    <w:multiLevelType w:val="hybridMultilevel"/>
    <w:tmpl w:val="E730D7AA"/>
    <w:lvl w:ilvl="0" w:tplc="22BE39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65449"/>
    <w:multiLevelType w:val="hybridMultilevel"/>
    <w:tmpl w:val="92E4A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3">
    <w:abstractNumId w:val="11"/>
  </w:num>
  <w:num w:numId="4">
    <w:abstractNumId w:val="26"/>
  </w:num>
  <w:num w:numId="5">
    <w:abstractNumId w:val="27"/>
  </w:num>
  <w:num w:numId="6">
    <w:abstractNumId w:val="22"/>
  </w:num>
  <w:num w:numId="7">
    <w:abstractNumId w:val="14"/>
  </w:num>
  <w:num w:numId="8">
    <w:abstractNumId w:val="3"/>
  </w:num>
  <w:num w:numId="9">
    <w:abstractNumId w:val="23"/>
  </w:num>
  <w:num w:numId="10">
    <w:abstractNumId w:val="10"/>
  </w:num>
  <w:num w:numId="11">
    <w:abstractNumId w:val="15"/>
  </w:num>
  <w:num w:numId="12">
    <w:abstractNumId w:val="9"/>
  </w:num>
  <w:num w:numId="13">
    <w:abstractNumId w:val="6"/>
  </w:num>
  <w:num w:numId="14">
    <w:abstractNumId w:val="17"/>
  </w:num>
  <w:num w:numId="15">
    <w:abstractNumId w:val="13"/>
  </w:num>
  <w:num w:numId="16">
    <w:abstractNumId w:val="20"/>
  </w:num>
  <w:num w:numId="17">
    <w:abstractNumId w:val="21"/>
  </w:num>
  <w:num w:numId="18">
    <w:abstractNumId w:val="25"/>
  </w:num>
  <w:num w:numId="19">
    <w:abstractNumId w:val="28"/>
  </w:num>
  <w:num w:numId="20">
    <w:abstractNumId w:val="30"/>
  </w:num>
  <w:num w:numId="21">
    <w:abstractNumId w:val="1"/>
  </w:num>
  <w:num w:numId="22">
    <w:abstractNumId w:val="8"/>
  </w:num>
  <w:num w:numId="23">
    <w:abstractNumId w:val="24"/>
  </w:num>
  <w:num w:numId="24">
    <w:abstractNumId w:val="4"/>
  </w:num>
  <w:num w:numId="25">
    <w:abstractNumId w:val="2"/>
  </w:num>
  <w:num w:numId="26">
    <w:abstractNumId w:val="19"/>
  </w:num>
  <w:num w:numId="27">
    <w:abstractNumId w:val="31"/>
  </w:num>
  <w:num w:numId="28">
    <w:abstractNumId w:val="16"/>
  </w:num>
  <w:num w:numId="29">
    <w:abstractNumId w:val="5"/>
  </w:num>
  <w:num w:numId="30">
    <w:abstractNumId w:val="12"/>
  </w:num>
  <w:num w:numId="31">
    <w:abstractNumId w:val="7"/>
  </w:num>
  <w:num w:numId="32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7B"/>
    <w:rsid w:val="000025BB"/>
    <w:rsid w:val="0000366A"/>
    <w:rsid w:val="00003FF8"/>
    <w:rsid w:val="00006D48"/>
    <w:rsid w:val="000131C0"/>
    <w:rsid w:val="00020ED9"/>
    <w:rsid w:val="000225D5"/>
    <w:rsid w:val="00027E86"/>
    <w:rsid w:val="000418DB"/>
    <w:rsid w:val="00041BEE"/>
    <w:rsid w:val="00043D63"/>
    <w:rsid w:val="00044A07"/>
    <w:rsid w:val="000466E9"/>
    <w:rsid w:val="00050071"/>
    <w:rsid w:val="00051793"/>
    <w:rsid w:val="00054BA1"/>
    <w:rsid w:val="00057AE4"/>
    <w:rsid w:val="00057F2B"/>
    <w:rsid w:val="000617A7"/>
    <w:rsid w:val="0006190D"/>
    <w:rsid w:val="000625B6"/>
    <w:rsid w:val="00064562"/>
    <w:rsid w:val="000652ED"/>
    <w:rsid w:val="00066591"/>
    <w:rsid w:val="00067031"/>
    <w:rsid w:val="00070178"/>
    <w:rsid w:val="00071470"/>
    <w:rsid w:val="000779B6"/>
    <w:rsid w:val="0008451C"/>
    <w:rsid w:val="000870D8"/>
    <w:rsid w:val="00090047"/>
    <w:rsid w:val="00092C5E"/>
    <w:rsid w:val="00093C5A"/>
    <w:rsid w:val="0009727F"/>
    <w:rsid w:val="000A29F0"/>
    <w:rsid w:val="000A5CD2"/>
    <w:rsid w:val="000A5FE4"/>
    <w:rsid w:val="000B04DA"/>
    <w:rsid w:val="000B0C31"/>
    <w:rsid w:val="000B0D09"/>
    <w:rsid w:val="000C1DF4"/>
    <w:rsid w:val="000C359C"/>
    <w:rsid w:val="000C3D14"/>
    <w:rsid w:val="000C51C2"/>
    <w:rsid w:val="000C63F1"/>
    <w:rsid w:val="000C6A5F"/>
    <w:rsid w:val="000D29E1"/>
    <w:rsid w:val="000E08E4"/>
    <w:rsid w:val="000E2601"/>
    <w:rsid w:val="000E362E"/>
    <w:rsid w:val="000E37AC"/>
    <w:rsid w:val="000E4AB2"/>
    <w:rsid w:val="000E7679"/>
    <w:rsid w:val="000E79C6"/>
    <w:rsid w:val="000F0FBA"/>
    <w:rsid w:val="000F17AC"/>
    <w:rsid w:val="000F1923"/>
    <w:rsid w:val="000F2720"/>
    <w:rsid w:val="000F3FDB"/>
    <w:rsid w:val="000F4B5B"/>
    <w:rsid w:val="000F5A1A"/>
    <w:rsid w:val="001005F5"/>
    <w:rsid w:val="00100CE5"/>
    <w:rsid w:val="001014A0"/>
    <w:rsid w:val="0010464A"/>
    <w:rsid w:val="00105CEF"/>
    <w:rsid w:val="00106B77"/>
    <w:rsid w:val="00110D27"/>
    <w:rsid w:val="0011167C"/>
    <w:rsid w:val="001118BC"/>
    <w:rsid w:val="00111949"/>
    <w:rsid w:val="00113435"/>
    <w:rsid w:val="001142EE"/>
    <w:rsid w:val="00117FDC"/>
    <w:rsid w:val="00120CE4"/>
    <w:rsid w:val="001221B8"/>
    <w:rsid w:val="001233DE"/>
    <w:rsid w:val="00125A38"/>
    <w:rsid w:val="00125D7A"/>
    <w:rsid w:val="00127B3A"/>
    <w:rsid w:val="00127C72"/>
    <w:rsid w:val="00133B21"/>
    <w:rsid w:val="0013580F"/>
    <w:rsid w:val="00137262"/>
    <w:rsid w:val="001419B1"/>
    <w:rsid w:val="00142043"/>
    <w:rsid w:val="001442DF"/>
    <w:rsid w:val="00146D95"/>
    <w:rsid w:val="001506E4"/>
    <w:rsid w:val="001525FD"/>
    <w:rsid w:val="00155534"/>
    <w:rsid w:val="001607FB"/>
    <w:rsid w:val="0016101D"/>
    <w:rsid w:val="00163C64"/>
    <w:rsid w:val="0016465A"/>
    <w:rsid w:val="001676B6"/>
    <w:rsid w:val="00172B29"/>
    <w:rsid w:val="00177CFF"/>
    <w:rsid w:val="00181475"/>
    <w:rsid w:val="00181605"/>
    <w:rsid w:val="001850B4"/>
    <w:rsid w:val="0018609C"/>
    <w:rsid w:val="00190392"/>
    <w:rsid w:val="00190416"/>
    <w:rsid w:val="0019080C"/>
    <w:rsid w:val="001918A1"/>
    <w:rsid w:val="00192673"/>
    <w:rsid w:val="00193C43"/>
    <w:rsid w:val="00194138"/>
    <w:rsid w:val="00194A0D"/>
    <w:rsid w:val="001A3034"/>
    <w:rsid w:val="001A4525"/>
    <w:rsid w:val="001A4C6A"/>
    <w:rsid w:val="001A6914"/>
    <w:rsid w:val="001B0289"/>
    <w:rsid w:val="001B0694"/>
    <w:rsid w:val="001B2781"/>
    <w:rsid w:val="001B2A68"/>
    <w:rsid w:val="001B3257"/>
    <w:rsid w:val="001B4B95"/>
    <w:rsid w:val="001B5CA6"/>
    <w:rsid w:val="001B69A2"/>
    <w:rsid w:val="001B6E3A"/>
    <w:rsid w:val="001C0535"/>
    <w:rsid w:val="001C72B5"/>
    <w:rsid w:val="001D28B6"/>
    <w:rsid w:val="001D4605"/>
    <w:rsid w:val="001D67A4"/>
    <w:rsid w:val="001D6B2A"/>
    <w:rsid w:val="001D6D36"/>
    <w:rsid w:val="001D7362"/>
    <w:rsid w:val="001D75B0"/>
    <w:rsid w:val="001E0284"/>
    <w:rsid w:val="001E47B4"/>
    <w:rsid w:val="001E6394"/>
    <w:rsid w:val="001E6D0E"/>
    <w:rsid w:val="001F1E2E"/>
    <w:rsid w:val="001F20C3"/>
    <w:rsid w:val="001F3149"/>
    <w:rsid w:val="001F3169"/>
    <w:rsid w:val="001F327E"/>
    <w:rsid w:val="00201572"/>
    <w:rsid w:val="00202975"/>
    <w:rsid w:val="00202E5C"/>
    <w:rsid w:val="00205C2A"/>
    <w:rsid w:val="00205DBE"/>
    <w:rsid w:val="002123DE"/>
    <w:rsid w:val="00214011"/>
    <w:rsid w:val="00220C66"/>
    <w:rsid w:val="0022190E"/>
    <w:rsid w:val="00221E12"/>
    <w:rsid w:val="002240F9"/>
    <w:rsid w:val="00230D09"/>
    <w:rsid w:val="00231995"/>
    <w:rsid w:val="0024008E"/>
    <w:rsid w:val="00240C40"/>
    <w:rsid w:val="00244EEE"/>
    <w:rsid w:val="002450DA"/>
    <w:rsid w:val="002478A6"/>
    <w:rsid w:val="00252709"/>
    <w:rsid w:val="002527C7"/>
    <w:rsid w:val="002533F0"/>
    <w:rsid w:val="0025534A"/>
    <w:rsid w:val="00255F01"/>
    <w:rsid w:val="002574CC"/>
    <w:rsid w:val="00265AD4"/>
    <w:rsid w:val="00266516"/>
    <w:rsid w:val="00267DBB"/>
    <w:rsid w:val="00270ED5"/>
    <w:rsid w:val="00270FF0"/>
    <w:rsid w:val="00273D61"/>
    <w:rsid w:val="00274039"/>
    <w:rsid w:val="00274AEF"/>
    <w:rsid w:val="00276461"/>
    <w:rsid w:val="00277CCC"/>
    <w:rsid w:val="0028208F"/>
    <w:rsid w:val="002866AB"/>
    <w:rsid w:val="00286D1B"/>
    <w:rsid w:val="00287479"/>
    <w:rsid w:val="00291929"/>
    <w:rsid w:val="002925EC"/>
    <w:rsid w:val="002929DA"/>
    <w:rsid w:val="00292AAB"/>
    <w:rsid w:val="002937FA"/>
    <w:rsid w:val="002957FA"/>
    <w:rsid w:val="002958C4"/>
    <w:rsid w:val="002A410C"/>
    <w:rsid w:val="002A4276"/>
    <w:rsid w:val="002B3CAC"/>
    <w:rsid w:val="002B4412"/>
    <w:rsid w:val="002B5FAD"/>
    <w:rsid w:val="002B621B"/>
    <w:rsid w:val="002C1627"/>
    <w:rsid w:val="002C2930"/>
    <w:rsid w:val="002C418D"/>
    <w:rsid w:val="002C4986"/>
    <w:rsid w:val="002C769D"/>
    <w:rsid w:val="002C7E45"/>
    <w:rsid w:val="002D2CC7"/>
    <w:rsid w:val="002D4156"/>
    <w:rsid w:val="002D7B33"/>
    <w:rsid w:val="002E23E2"/>
    <w:rsid w:val="002E4363"/>
    <w:rsid w:val="002E521B"/>
    <w:rsid w:val="002E6E0C"/>
    <w:rsid w:val="002F0DF6"/>
    <w:rsid w:val="002F1E7C"/>
    <w:rsid w:val="002F4FF2"/>
    <w:rsid w:val="002F6182"/>
    <w:rsid w:val="002F61D0"/>
    <w:rsid w:val="00300F07"/>
    <w:rsid w:val="003024D3"/>
    <w:rsid w:val="00302ABB"/>
    <w:rsid w:val="00307C04"/>
    <w:rsid w:val="0031001E"/>
    <w:rsid w:val="003119AA"/>
    <w:rsid w:val="003151FD"/>
    <w:rsid w:val="00315AB8"/>
    <w:rsid w:val="00315DC8"/>
    <w:rsid w:val="0032006D"/>
    <w:rsid w:val="003215C7"/>
    <w:rsid w:val="00330F14"/>
    <w:rsid w:val="00332317"/>
    <w:rsid w:val="0033245A"/>
    <w:rsid w:val="00333B61"/>
    <w:rsid w:val="0033478A"/>
    <w:rsid w:val="00335B22"/>
    <w:rsid w:val="0033684C"/>
    <w:rsid w:val="00336948"/>
    <w:rsid w:val="00337628"/>
    <w:rsid w:val="00340A89"/>
    <w:rsid w:val="00340E0D"/>
    <w:rsid w:val="003412BC"/>
    <w:rsid w:val="00341A80"/>
    <w:rsid w:val="00342549"/>
    <w:rsid w:val="0034403B"/>
    <w:rsid w:val="0034466B"/>
    <w:rsid w:val="003457D8"/>
    <w:rsid w:val="00345AD1"/>
    <w:rsid w:val="00351203"/>
    <w:rsid w:val="00351A9D"/>
    <w:rsid w:val="00353024"/>
    <w:rsid w:val="00357D51"/>
    <w:rsid w:val="00371258"/>
    <w:rsid w:val="003749B1"/>
    <w:rsid w:val="00374EF9"/>
    <w:rsid w:val="003752A2"/>
    <w:rsid w:val="00377524"/>
    <w:rsid w:val="0037783D"/>
    <w:rsid w:val="003811A1"/>
    <w:rsid w:val="00382AE3"/>
    <w:rsid w:val="00383EE4"/>
    <w:rsid w:val="0038439E"/>
    <w:rsid w:val="00384E0F"/>
    <w:rsid w:val="00385C2D"/>
    <w:rsid w:val="003861B5"/>
    <w:rsid w:val="003952ED"/>
    <w:rsid w:val="003970FF"/>
    <w:rsid w:val="003A13DE"/>
    <w:rsid w:val="003B0482"/>
    <w:rsid w:val="003B121D"/>
    <w:rsid w:val="003B2808"/>
    <w:rsid w:val="003B35B1"/>
    <w:rsid w:val="003B62FE"/>
    <w:rsid w:val="003C26F6"/>
    <w:rsid w:val="003C5696"/>
    <w:rsid w:val="003C6D5B"/>
    <w:rsid w:val="003D02C1"/>
    <w:rsid w:val="003D18E2"/>
    <w:rsid w:val="003D2933"/>
    <w:rsid w:val="003D7182"/>
    <w:rsid w:val="003E044B"/>
    <w:rsid w:val="003E0FDA"/>
    <w:rsid w:val="003E202B"/>
    <w:rsid w:val="003E2B72"/>
    <w:rsid w:val="003E2FB5"/>
    <w:rsid w:val="003E3B2C"/>
    <w:rsid w:val="003E4E99"/>
    <w:rsid w:val="003E60FC"/>
    <w:rsid w:val="003F1870"/>
    <w:rsid w:val="003F1D36"/>
    <w:rsid w:val="003F3574"/>
    <w:rsid w:val="00400743"/>
    <w:rsid w:val="0040294F"/>
    <w:rsid w:val="00403015"/>
    <w:rsid w:val="004033BF"/>
    <w:rsid w:val="004044C1"/>
    <w:rsid w:val="004046AC"/>
    <w:rsid w:val="00404CEC"/>
    <w:rsid w:val="0040543F"/>
    <w:rsid w:val="00405844"/>
    <w:rsid w:val="004063B6"/>
    <w:rsid w:val="00410018"/>
    <w:rsid w:val="004171B5"/>
    <w:rsid w:val="00421190"/>
    <w:rsid w:val="0043066C"/>
    <w:rsid w:val="00433812"/>
    <w:rsid w:val="004342D9"/>
    <w:rsid w:val="00435EB7"/>
    <w:rsid w:val="00435F1A"/>
    <w:rsid w:val="00436CD6"/>
    <w:rsid w:val="004447A2"/>
    <w:rsid w:val="00450528"/>
    <w:rsid w:val="00451CB0"/>
    <w:rsid w:val="0045285F"/>
    <w:rsid w:val="00453F11"/>
    <w:rsid w:val="00455E92"/>
    <w:rsid w:val="0045600E"/>
    <w:rsid w:val="00461122"/>
    <w:rsid w:val="00461D55"/>
    <w:rsid w:val="00463F3A"/>
    <w:rsid w:val="004650C3"/>
    <w:rsid w:val="00467716"/>
    <w:rsid w:val="004679B7"/>
    <w:rsid w:val="00467B47"/>
    <w:rsid w:val="00473148"/>
    <w:rsid w:val="00474241"/>
    <w:rsid w:val="00475F07"/>
    <w:rsid w:val="00476A2B"/>
    <w:rsid w:val="0048357C"/>
    <w:rsid w:val="0048467B"/>
    <w:rsid w:val="00486653"/>
    <w:rsid w:val="00487612"/>
    <w:rsid w:val="004876F7"/>
    <w:rsid w:val="004879B9"/>
    <w:rsid w:val="0049170C"/>
    <w:rsid w:val="004928F8"/>
    <w:rsid w:val="00493D29"/>
    <w:rsid w:val="004947D1"/>
    <w:rsid w:val="00494BAC"/>
    <w:rsid w:val="00495DA8"/>
    <w:rsid w:val="00497EB8"/>
    <w:rsid w:val="00497EC2"/>
    <w:rsid w:val="00497F76"/>
    <w:rsid w:val="004A1D02"/>
    <w:rsid w:val="004A29A2"/>
    <w:rsid w:val="004A2DEA"/>
    <w:rsid w:val="004A3CBF"/>
    <w:rsid w:val="004A5912"/>
    <w:rsid w:val="004B2104"/>
    <w:rsid w:val="004B22F3"/>
    <w:rsid w:val="004B3D1E"/>
    <w:rsid w:val="004B3F6B"/>
    <w:rsid w:val="004C0B58"/>
    <w:rsid w:val="004C1581"/>
    <w:rsid w:val="004C308A"/>
    <w:rsid w:val="004C33F0"/>
    <w:rsid w:val="004C50B8"/>
    <w:rsid w:val="004C6B22"/>
    <w:rsid w:val="004C7B5B"/>
    <w:rsid w:val="004D111F"/>
    <w:rsid w:val="004D44BE"/>
    <w:rsid w:val="004E19C6"/>
    <w:rsid w:val="004E1ACC"/>
    <w:rsid w:val="004E2431"/>
    <w:rsid w:val="004E2FD3"/>
    <w:rsid w:val="004E3470"/>
    <w:rsid w:val="004E34BA"/>
    <w:rsid w:val="004E36F6"/>
    <w:rsid w:val="004E65AA"/>
    <w:rsid w:val="004E7102"/>
    <w:rsid w:val="004E7C5C"/>
    <w:rsid w:val="004F15FA"/>
    <w:rsid w:val="004F3284"/>
    <w:rsid w:val="004F4518"/>
    <w:rsid w:val="004F79ED"/>
    <w:rsid w:val="0050023A"/>
    <w:rsid w:val="00501D43"/>
    <w:rsid w:val="00502485"/>
    <w:rsid w:val="00503E04"/>
    <w:rsid w:val="005103EE"/>
    <w:rsid w:val="00512B40"/>
    <w:rsid w:val="005141D0"/>
    <w:rsid w:val="005160C3"/>
    <w:rsid w:val="0051654E"/>
    <w:rsid w:val="0051756E"/>
    <w:rsid w:val="00523F90"/>
    <w:rsid w:val="005242F7"/>
    <w:rsid w:val="00524C21"/>
    <w:rsid w:val="00530CE8"/>
    <w:rsid w:val="00533528"/>
    <w:rsid w:val="00536B0B"/>
    <w:rsid w:val="005378F7"/>
    <w:rsid w:val="0054474D"/>
    <w:rsid w:val="00546C2E"/>
    <w:rsid w:val="005474BD"/>
    <w:rsid w:val="00550099"/>
    <w:rsid w:val="00551512"/>
    <w:rsid w:val="005526BA"/>
    <w:rsid w:val="0055461D"/>
    <w:rsid w:val="005602E8"/>
    <w:rsid w:val="0056716B"/>
    <w:rsid w:val="005679A3"/>
    <w:rsid w:val="00567BB9"/>
    <w:rsid w:val="00570867"/>
    <w:rsid w:val="00574F91"/>
    <w:rsid w:val="005800A8"/>
    <w:rsid w:val="00582C0A"/>
    <w:rsid w:val="00587007"/>
    <w:rsid w:val="00587A9D"/>
    <w:rsid w:val="00590D6C"/>
    <w:rsid w:val="00592A13"/>
    <w:rsid w:val="00593022"/>
    <w:rsid w:val="00593E35"/>
    <w:rsid w:val="0059463D"/>
    <w:rsid w:val="00595409"/>
    <w:rsid w:val="00595488"/>
    <w:rsid w:val="00596451"/>
    <w:rsid w:val="005A21B4"/>
    <w:rsid w:val="005A5409"/>
    <w:rsid w:val="005A5EA1"/>
    <w:rsid w:val="005A799E"/>
    <w:rsid w:val="005B13F4"/>
    <w:rsid w:val="005B2F40"/>
    <w:rsid w:val="005B3334"/>
    <w:rsid w:val="005B3A17"/>
    <w:rsid w:val="005B513C"/>
    <w:rsid w:val="005C15BB"/>
    <w:rsid w:val="005C2F00"/>
    <w:rsid w:val="005C390A"/>
    <w:rsid w:val="005C5B01"/>
    <w:rsid w:val="005C60C4"/>
    <w:rsid w:val="005D107E"/>
    <w:rsid w:val="005D33C4"/>
    <w:rsid w:val="005D5E9F"/>
    <w:rsid w:val="005D7114"/>
    <w:rsid w:val="005D7797"/>
    <w:rsid w:val="005E0CA0"/>
    <w:rsid w:val="005E218B"/>
    <w:rsid w:val="005E2DBA"/>
    <w:rsid w:val="005E36C3"/>
    <w:rsid w:val="005E3ED5"/>
    <w:rsid w:val="005F0FBC"/>
    <w:rsid w:val="0060069F"/>
    <w:rsid w:val="00600AAD"/>
    <w:rsid w:val="00602CBE"/>
    <w:rsid w:val="00602EDA"/>
    <w:rsid w:val="00604D39"/>
    <w:rsid w:val="0060533F"/>
    <w:rsid w:val="0060649A"/>
    <w:rsid w:val="00607993"/>
    <w:rsid w:val="00611E91"/>
    <w:rsid w:val="00612257"/>
    <w:rsid w:val="00612F08"/>
    <w:rsid w:val="006133E9"/>
    <w:rsid w:val="00616148"/>
    <w:rsid w:val="006173B2"/>
    <w:rsid w:val="006227E7"/>
    <w:rsid w:val="00624A88"/>
    <w:rsid w:val="0062705E"/>
    <w:rsid w:val="00630175"/>
    <w:rsid w:val="006315AB"/>
    <w:rsid w:val="00631685"/>
    <w:rsid w:val="006346C0"/>
    <w:rsid w:val="0063483A"/>
    <w:rsid w:val="00634DE6"/>
    <w:rsid w:val="00635BD6"/>
    <w:rsid w:val="00637055"/>
    <w:rsid w:val="00637381"/>
    <w:rsid w:val="00637B71"/>
    <w:rsid w:val="00637D93"/>
    <w:rsid w:val="00640284"/>
    <w:rsid w:val="00641735"/>
    <w:rsid w:val="00641762"/>
    <w:rsid w:val="00644287"/>
    <w:rsid w:val="00646BBF"/>
    <w:rsid w:val="0064727F"/>
    <w:rsid w:val="00647CC3"/>
    <w:rsid w:val="0065026C"/>
    <w:rsid w:val="00650B1F"/>
    <w:rsid w:val="006516FE"/>
    <w:rsid w:val="006615E0"/>
    <w:rsid w:val="00662762"/>
    <w:rsid w:val="00662DE1"/>
    <w:rsid w:val="00663F9B"/>
    <w:rsid w:val="006644E6"/>
    <w:rsid w:val="00664B8F"/>
    <w:rsid w:val="006656F0"/>
    <w:rsid w:val="00666A7E"/>
    <w:rsid w:val="00666FD1"/>
    <w:rsid w:val="00672483"/>
    <w:rsid w:val="0067490A"/>
    <w:rsid w:val="00676948"/>
    <w:rsid w:val="00676BD1"/>
    <w:rsid w:val="00680E3D"/>
    <w:rsid w:val="00681844"/>
    <w:rsid w:val="006824E7"/>
    <w:rsid w:val="006836FC"/>
    <w:rsid w:val="00683CC6"/>
    <w:rsid w:val="00686BFF"/>
    <w:rsid w:val="006878B3"/>
    <w:rsid w:val="0069093B"/>
    <w:rsid w:val="0069212F"/>
    <w:rsid w:val="00692140"/>
    <w:rsid w:val="0069564F"/>
    <w:rsid w:val="00695D53"/>
    <w:rsid w:val="00696528"/>
    <w:rsid w:val="00696774"/>
    <w:rsid w:val="006A3313"/>
    <w:rsid w:val="006A412C"/>
    <w:rsid w:val="006A47C7"/>
    <w:rsid w:val="006A5033"/>
    <w:rsid w:val="006A59D9"/>
    <w:rsid w:val="006B35DF"/>
    <w:rsid w:val="006B4126"/>
    <w:rsid w:val="006B43F8"/>
    <w:rsid w:val="006B4FCA"/>
    <w:rsid w:val="006B7BE8"/>
    <w:rsid w:val="006B7D36"/>
    <w:rsid w:val="006C2BEE"/>
    <w:rsid w:val="006C3688"/>
    <w:rsid w:val="006C4F59"/>
    <w:rsid w:val="006C6291"/>
    <w:rsid w:val="006D3C2A"/>
    <w:rsid w:val="006D6A65"/>
    <w:rsid w:val="006E0516"/>
    <w:rsid w:val="006E2962"/>
    <w:rsid w:val="006E34AE"/>
    <w:rsid w:val="006E39A2"/>
    <w:rsid w:val="006E3C9C"/>
    <w:rsid w:val="006E4388"/>
    <w:rsid w:val="006E4D7E"/>
    <w:rsid w:val="006E7D24"/>
    <w:rsid w:val="006F00CD"/>
    <w:rsid w:val="006F01B6"/>
    <w:rsid w:val="006F0721"/>
    <w:rsid w:val="006F14A7"/>
    <w:rsid w:val="006F2A37"/>
    <w:rsid w:val="006F65F8"/>
    <w:rsid w:val="006F7358"/>
    <w:rsid w:val="006F7FDE"/>
    <w:rsid w:val="007000CC"/>
    <w:rsid w:val="007013DD"/>
    <w:rsid w:val="00711EED"/>
    <w:rsid w:val="00712763"/>
    <w:rsid w:val="00717C75"/>
    <w:rsid w:val="007209A5"/>
    <w:rsid w:val="00721B86"/>
    <w:rsid w:val="00721F74"/>
    <w:rsid w:val="00722C75"/>
    <w:rsid w:val="007320C2"/>
    <w:rsid w:val="007336A8"/>
    <w:rsid w:val="0073475A"/>
    <w:rsid w:val="0073603C"/>
    <w:rsid w:val="00736C10"/>
    <w:rsid w:val="00736D41"/>
    <w:rsid w:val="00743B2F"/>
    <w:rsid w:val="00747D93"/>
    <w:rsid w:val="00750898"/>
    <w:rsid w:val="007552EA"/>
    <w:rsid w:val="00756A4D"/>
    <w:rsid w:val="00766568"/>
    <w:rsid w:val="00767838"/>
    <w:rsid w:val="007719C6"/>
    <w:rsid w:val="00771EAF"/>
    <w:rsid w:val="007727EB"/>
    <w:rsid w:val="00772E80"/>
    <w:rsid w:val="00774166"/>
    <w:rsid w:val="00781460"/>
    <w:rsid w:val="00782C0D"/>
    <w:rsid w:val="00783301"/>
    <w:rsid w:val="00791818"/>
    <w:rsid w:val="00791B7B"/>
    <w:rsid w:val="007954A3"/>
    <w:rsid w:val="007961D8"/>
    <w:rsid w:val="00796FFC"/>
    <w:rsid w:val="007A2082"/>
    <w:rsid w:val="007A2D49"/>
    <w:rsid w:val="007A6309"/>
    <w:rsid w:val="007A76CE"/>
    <w:rsid w:val="007A7E02"/>
    <w:rsid w:val="007B16EE"/>
    <w:rsid w:val="007B59B2"/>
    <w:rsid w:val="007C0DA4"/>
    <w:rsid w:val="007C44C4"/>
    <w:rsid w:val="007C6BFA"/>
    <w:rsid w:val="007D33BA"/>
    <w:rsid w:val="007D47D1"/>
    <w:rsid w:val="007D4F36"/>
    <w:rsid w:val="007D66FA"/>
    <w:rsid w:val="007D6D98"/>
    <w:rsid w:val="007E065C"/>
    <w:rsid w:val="007E16EB"/>
    <w:rsid w:val="007E1B5B"/>
    <w:rsid w:val="007E3190"/>
    <w:rsid w:val="007E4BA0"/>
    <w:rsid w:val="007E4C63"/>
    <w:rsid w:val="007E6493"/>
    <w:rsid w:val="007E6A2A"/>
    <w:rsid w:val="007F61F0"/>
    <w:rsid w:val="008032BA"/>
    <w:rsid w:val="00804A57"/>
    <w:rsid w:val="00810776"/>
    <w:rsid w:val="00810856"/>
    <w:rsid w:val="00810C99"/>
    <w:rsid w:val="00813552"/>
    <w:rsid w:val="00816C5E"/>
    <w:rsid w:val="00817AD9"/>
    <w:rsid w:val="00820384"/>
    <w:rsid w:val="008205AC"/>
    <w:rsid w:val="008217E4"/>
    <w:rsid w:val="008227DB"/>
    <w:rsid w:val="00822F84"/>
    <w:rsid w:val="00822FB2"/>
    <w:rsid w:val="008243DB"/>
    <w:rsid w:val="00830287"/>
    <w:rsid w:val="008324C6"/>
    <w:rsid w:val="00832FFF"/>
    <w:rsid w:val="008333A9"/>
    <w:rsid w:val="008337BA"/>
    <w:rsid w:val="008340F6"/>
    <w:rsid w:val="00837512"/>
    <w:rsid w:val="00840399"/>
    <w:rsid w:val="00841B8D"/>
    <w:rsid w:val="00846E43"/>
    <w:rsid w:val="008508FF"/>
    <w:rsid w:val="0085108C"/>
    <w:rsid w:val="008522E7"/>
    <w:rsid w:val="008560DF"/>
    <w:rsid w:val="00856E98"/>
    <w:rsid w:val="00856EEC"/>
    <w:rsid w:val="00860091"/>
    <w:rsid w:val="0086183F"/>
    <w:rsid w:val="00861B30"/>
    <w:rsid w:val="008634B0"/>
    <w:rsid w:val="00864086"/>
    <w:rsid w:val="008659BC"/>
    <w:rsid w:val="008661FD"/>
    <w:rsid w:val="00872779"/>
    <w:rsid w:val="008770CF"/>
    <w:rsid w:val="00877300"/>
    <w:rsid w:val="0088232B"/>
    <w:rsid w:val="00882DC0"/>
    <w:rsid w:val="008850A2"/>
    <w:rsid w:val="00886DAF"/>
    <w:rsid w:val="0088737E"/>
    <w:rsid w:val="00890ED8"/>
    <w:rsid w:val="00892902"/>
    <w:rsid w:val="00895024"/>
    <w:rsid w:val="008967E4"/>
    <w:rsid w:val="008979FD"/>
    <w:rsid w:val="008A0044"/>
    <w:rsid w:val="008A451C"/>
    <w:rsid w:val="008A4853"/>
    <w:rsid w:val="008A5914"/>
    <w:rsid w:val="008A5D18"/>
    <w:rsid w:val="008A6906"/>
    <w:rsid w:val="008B4A85"/>
    <w:rsid w:val="008B4B17"/>
    <w:rsid w:val="008B64FB"/>
    <w:rsid w:val="008B7934"/>
    <w:rsid w:val="008C494F"/>
    <w:rsid w:val="008C5658"/>
    <w:rsid w:val="008C68B5"/>
    <w:rsid w:val="008C7810"/>
    <w:rsid w:val="008D3C2D"/>
    <w:rsid w:val="008D4202"/>
    <w:rsid w:val="008D7319"/>
    <w:rsid w:val="008D7A2A"/>
    <w:rsid w:val="008E0A07"/>
    <w:rsid w:val="008E2896"/>
    <w:rsid w:val="008E46F0"/>
    <w:rsid w:val="008E5312"/>
    <w:rsid w:val="008E5CCA"/>
    <w:rsid w:val="008E5E75"/>
    <w:rsid w:val="008F0B4D"/>
    <w:rsid w:val="008F1A8A"/>
    <w:rsid w:val="008F22E5"/>
    <w:rsid w:val="008F2CC1"/>
    <w:rsid w:val="008F5354"/>
    <w:rsid w:val="008F5E6D"/>
    <w:rsid w:val="008F7998"/>
    <w:rsid w:val="008F7AFC"/>
    <w:rsid w:val="00901060"/>
    <w:rsid w:val="00906B8D"/>
    <w:rsid w:val="00910AFB"/>
    <w:rsid w:val="00911CB2"/>
    <w:rsid w:val="00911D94"/>
    <w:rsid w:val="00911DBF"/>
    <w:rsid w:val="0091246E"/>
    <w:rsid w:val="009137A7"/>
    <w:rsid w:val="00917254"/>
    <w:rsid w:val="0092166A"/>
    <w:rsid w:val="00925B42"/>
    <w:rsid w:val="009320A5"/>
    <w:rsid w:val="00932860"/>
    <w:rsid w:val="009344C6"/>
    <w:rsid w:val="0093542C"/>
    <w:rsid w:val="00936511"/>
    <w:rsid w:val="009401AC"/>
    <w:rsid w:val="00954593"/>
    <w:rsid w:val="00960134"/>
    <w:rsid w:val="00960B57"/>
    <w:rsid w:val="00961444"/>
    <w:rsid w:val="009629F3"/>
    <w:rsid w:val="00963801"/>
    <w:rsid w:val="00966961"/>
    <w:rsid w:val="00971520"/>
    <w:rsid w:val="00972C87"/>
    <w:rsid w:val="00973C4D"/>
    <w:rsid w:val="009742D2"/>
    <w:rsid w:val="0097763F"/>
    <w:rsid w:val="00982B23"/>
    <w:rsid w:val="0098453E"/>
    <w:rsid w:val="00984DCC"/>
    <w:rsid w:val="0098727C"/>
    <w:rsid w:val="0099068E"/>
    <w:rsid w:val="009936D0"/>
    <w:rsid w:val="009943AB"/>
    <w:rsid w:val="00995F07"/>
    <w:rsid w:val="009976BC"/>
    <w:rsid w:val="009A0AF1"/>
    <w:rsid w:val="009A3C11"/>
    <w:rsid w:val="009A41FE"/>
    <w:rsid w:val="009A681F"/>
    <w:rsid w:val="009B053A"/>
    <w:rsid w:val="009B0B6A"/>
    <w:rsid w:val="009B21AC"/>
    <w:rsid w:val="009B2764"/>
    <w:rsid w:val="009B5F17"/>
    <w:rsid w:val="009B5F7E"/>
    <w:rsid w:val="009C10C3"/>
    <w:rsid w:val="009C126C"/>
    <w:rsid w:val="009C14E2"/>
    <w:rsid w:val="009C5411"/>
    <w:rsid w:val="009C5571"/>
    <w:rsid w:val="009C5AF8"/>
    <w:rsid w:val="009D2725"/>
    <w:rsid w:val="009D4693"/>
    <w:rsid w:val="009D7631"/>
    <w:rsid w:val="009D77B4"/>
    <w:rsid w:val="009E226F"/>
    <w:rsid w:val="009E6749"/>
    <w:rsid w:val="009F0C25"/>
    <w:rsid w:val="009F1136"/>
    <w:rsid w:val="009F27C4"/>
    <w:rsid w:val="009F6E70"/>
    <w:rsid w:val="00A01211"/>
    <w:rsid w:val="00A035E0"/>
    <w:rsid w:val="00A03EF6"/>
    <w:rsid w:val="00A05A24"/>
    <w:rsid w:val="00A07A1B"/>
    <w:rsid w:val="00A10D2C"/>
    <w:rsid w:val="00A12742"/>
    <w:rsid w:val="00A13B5C"/>
    <w:rsid w:val="00A149D6"/>
    <w:rsid w:val="00A15574"/>
    <w:rsid w:val="00A16DD6"/>
    <w:rsid w:val="00A17BD1"/>
    <w:rsid w:val="00A22368"/>
    <w:rsid w:val="00A27EE5"/>
    <w:rsid w:val="00A30176"/>
    <w:rsid w:val="00A31111"/>
    <w:rsid w:val="00A31EED"/>
    <w:rsid w:val="00A32E18"/>
    <w:rsid w:val="00A36D0C"/>
    <w:rsid w:val="00A40015"/>
    <w:rsid w:val="00A46138"/>
    <w:rsid w:val="00A464E5"/>
    <w:rsid w:val="00A46F23"/>
    <w:rsid w:val="00A50448"/>
    <w:rsid w:val="00A507B5"/>
    <w:rsid w:val="00A658F3"/>
    <w:rsid w:val="00A71060"/>
    <w:rsid w:val="00A7186B"/>
    <w:rsid w:val="00A71FA8"/>
    <w:rsid w:val="00A73C8E"/>
    <w:rsid w:val="00A82E86"/>
    <w:rsid w:val="00A8459A"/>
    <w:rsid w:val="00A85EE1"/>
    <w:rsid w:val="00A86910"/>
    <w:rsid w:val="00A9000B"/>
    <w:rsid w:val="00A91565"/>
    <w:rsid w:val="00A9343E"/>
    <w:rsid w:val="00A946A9"/>
    <w:rsid w:val="00A95312"/>
    <w:rsid w:val="00A95AB6"/>
    <w:rsid w:val="00AA03AA"/>
    <w:rsid w:val="00AA0A3E"/>
    <w:rsid w:val="00AA296E"/>
    <w:rsid w:val="00AA69AC"/>
    <w:rsid w:val="00AB098D"/>
    <w:rsid w:val="00AB09C1"/>
    <w:rsid w:val="00AB1645"/>
    <w:rsid w:val="00AB27F9"/>
    <w:rsid w:val="00AB4446"/>
    <w:rsid w:val="00AB61DE"/>
    <w:rsid w:val="00AC17ED"/>
    <w:rsid w:val="00AC1D14"/>
    <w:rsid w:val="00AC229B"/>
    <w:rsid w:val="00AC4993"/>
    <w:rsid w:val="00AC6FBA"/>
    <w:rsid w:val="00AC7347"/>
    <w:rsid w:val="00AC79DB"/>
    <w:rsid w:val="00AC7EC8"/>
    <w:rsid w:val="00AD0B0A"/>
    <w:rsid w:val="00AD1AC8"/>
    <w:rsid w:val="00AD3C32"/>
    <w:rsid w:val="00AD3FD7"/>
    <w:rsid w:val="00AD5F7F"/>
    <w:rsid w:val="00AD7ACB"/>
    <w:rsid w:val="00AE0C8C"/>
    <w:rsid w:val="00AE2D15"/>
    <w:rsid w:val="00AE6A62"/>
    <w:rsid w:val="00AE6A98"/>
    <w:rsid w:val="00AF0936"/>
    <w:rsid w:val="00AF1C6D"/>
    <w:rsid w:val="00AF636E"/>
    <w:rsid w:val="00B0049B"/>
    <w:rsid w:val="00B00BC8"/>
    <w:rsid w:val="00B029DC"/>
    <w:rsid w:val="00B05475"/>
    <w:rsid w:val="00B0716A"/>
    <w:rsid w:val="00B0742B"/>
    <w:rsid w:val="00B10935"/>
    <w:rsid w:val="00B112AD"/>
    <w:rsid w:val="00B11DDC"/>
    <w:rsid w:val="00B122E9"/>
    <w:rsid w:val="00B13C89"/>
    <w:rsid w:val="00B148E4"/>
    <w:rsid w:val="00B14AD9"/>
    <w:rsid w:val="00B170F9"/>
    <w:rsid w:val="00B206C4"/>
    <w:rsid w:val="00B26E4B"/>
    <w:rsid w:val="00B27BA6"/>
    <w:rsid w:val="00B33197"/>
    <w:rsid w:val="00B33C57"/>
    <w:rsid w:val="00B35F79"/>
    <w:rsid w:val="00B41BA5"/>
    <w:rsid w:val="00B42BFD"/>
    <w:rsid w:val="00B42CD4"/>
    <w:rsid w:val="00B469A3"/>
    <w:rsid w:val="00B55198"/>
    <w:rsid w:val="00B604CE"/>
    <w:rsid w:val="00B633AE"/>
    <w:rsid w:val="00B64727"/>
    <w:rsid w:val="00B64CB9"/>
    <w:rsid w:val="00B67B84"/>
    <w:rsid w:val="00B67D04"/>
    <w:rsid w:val="00B72C52"/>
    <w:rsid w:val="00B7414A"/>
    <w:rsid w:val="00B806AB"/>
    <w:rsid w:val="00B842F5"/>
    <w:rsid w:val="00B84F05"/>
    <w:rsid w:val="00B8655E"/>
    <w:rsid w:val="00B90991"/>
    <w:rsid w:val="00B9253E"/>
    <w:rsid w:val="00B9339B"/>
    <w:rsid w:val="00B94A6B"/>
    <w:rsid w:val="00B94C2B"/>
    <w:rsid w:val="00B97961"/>
    <w:rsid w:val="00BA1ACC"/>
    <w:rsid w:val="00BA1CFE"/>
    <w:rsid w:val="00BA3A6B"/>
    <w:rsid w:val="00BA4FF9"/>
    <w:rsid w:val="00BA5B44"/>
    <w:rsid w:val="00BA602C"/>
    <w:rsid w:val="00BB25C4"/>
    <w:rsid w:val="00BB26EF"/>
    <w:rsid w:val="00BB3020"/>
    <w:rsid w:val="00BB59AA"/>
    <w:rsid w:val="00BC0280"/>
    <w:rsid w:val="00BD0563"/>
    <w:rsid w:val="00BD79E5"/>
    <w:rsid w:val="00BE15EC"/>
    <w:rsid w:val="00BE42BA"/>
    <w:rsid w:val="00BF0029"/>
    <w:rsid w:val="00C00C46"/>
    <w:rsid w:val="00C02BFF"/>
    <w:rsid w:val="00C04307"/>
    <w:rsid w:val="00C04C5E"/>
    <w:rsid w:val="00C11D0C"/>
    <w:rsid w:val="00C14135"/>
    <w:rsid w:val="00C1512A"/>
    <w:rsid w:val="00C15AC0"/>
    <w:rsid w:val="00C16927"/>
    <w:rsid w:val="00C2079A"/>
    <w:rsid w:val="00C20EBB"/>
    <w:rsid w:val="00C22093"/>
    <w:rsid w:val="00C2298B"/>
    <w:rsid w:val="00C22D97"/>
    <w:rsid w:val="00C23A51"/>
    <w:rsid w:val="00C24A7A"/>
    <w:rsid w:val="00C25CB3"/>
    <w:rsid w:val="00C31608"/>
    <w:rsid w:val="00C353CB"/>
    <w:rsid w:val="00C35838"/>
    <w:rsid w:val="00C36E87"/>
    <w:rsid w:val="00C423F4"/>
    <w:rsid w:val="00C449C6"/>
    <w:rsid w:val="00C46495"/>
    <w:rsid w:val="00C46A9A"/>
    <w:rsid w:val="00C51199"/>
    <w:rsid w:val="00C51CE5"/>
    <w:rsid w:val="00C51E18"/>
    <w:rsid w:val="00C538CC"/>
    <w:rsid w:val="00C56962"/>
    <w:rsid w:val="00C6094E"/>
    <w:rsid w:val="00C60972"/>
    <w:rsid w:val="00C61697"/>
    <w:rsid w:val="00C62ACD"/>
    <w:rsid w:val="00C63020"/>
    <w:rsid w:val="00C6446B"/>
    <w:rsid w:val="00C671B9"/>
    <w:rsid w:val="00C71F0C"/>
    <w:rsid w:val="00C72D97"/>
    <w:rsid w:val="00C73105"/>
    <w:rsid w:val="00C74CC1"/>
    <w:rsid w:val="00C75F86"/>
    <w:rsid w:val="00C7688A"/>
    <w:rsid w:val="00C80F8D"/>
    <w:rsid w:val="00C81AF7"/>
    <w:rsid w:val="00C828CF"/>
    <w:rsid w:val="00C9231F"/>
    <w:rsid w:val="00C9292B"/>
    <w:rsid w:val="00C9311D"/>
    <w:rsid w:val="00C94C7A"/>
    <w:rsid w:val="00CA20DF"/>
    <w:rsid w:val="00CA2444"/>
    <w:rsid w:val="00CA5287"/>
    <w:rsid w:val="00CA5DBB"/>
    <w:rsid w:val="00CA5E9C"/>
    <w:rsid w:val="00CA6FF0"/>
    <w:rsid w:val="00CB0976"/>
    <w:rsid w:val="00CB6F7F"/>
    <w:rsid w:val="00CB7DD2"/>
    <w:rsid w:val="00CC333A"/>
    <w:rsid w:val="00CC3FFC"/>
    <w:rsid w:val="00CC6BBC"/>
    <w:rsid w:val="00CC7FFE"/>
    <w:rsid w:val="00CD1FC0"/>
    <w:rsid w:val="00CD2907"/>
    <w:rsid w:val="00CD2CC7"/>
    <w:rsid w:val="00CD3E20"/>
    <w:rsid w:val="00CD404B"/>
    <w:rsid w:val="00CD46F6"/>
    <w:rsid w:val="00CD6F15"/>
    <w:rsid w:val="00CE3D01"/>
    <w:rsid w:val="00CE49FF"/>
    <w:rsid w:val="00CE60A1"/>
    <w:rsid w:val="00CE63BE"/>
    <w:rsid w:val="00CF2869"/>
    <w:rsid w:val="00CF3B06"/>
    <w:rsid w:val="00CF3DFF"/>
    <w:rsid w:val="00CF5845"/>
    <w:rsid w:val="00CF5AB1"/>
    <w:rsid w:val="00D00912"/>
    <w:rsid w:val="00D00F60"/>
    <w:rsid w:val="00D0268F"/>
    <w:rsid w:val="00D048A5"/>
    <w:rsid w:val="00D04EDC"/>
    <w:rsid w:val="00D05DCA"/>
    <w:rsid w:val="00D11086"/>
    <w:rsid w:val="00D1233C"/>
    <w:rsid w:val="00D13A87"/>
    <w:rsid w:val="00D1437B"/>
    <w:rsid w:val="00D157EC"/>
    <w:rsid w:val="00D160D2"/>
    <w:rsid w:val="00D162A4"/>
    <w:rsid w:val="00D20D23"/>
    <w:rsid w:val="00D21A3D"/>
    <w:rsid w:val="00D22BA0"/>
    <w:rsid w:val="00D2660B"/>
    <w:rsid w:val="00D27F43"/>
    <w:rsid w:val="00D310EC"/>
    <w:rsid w:val="00D31283"/>
    <w:rsid w:val="00D31D82"/>
    <w:rsid w:val="00D32399"/>
    <w:rsid w:val="00D3277B"/>
    <w:rsid w:val="00D33D87"/>
    <w:rsid w:val="00D363DC"/>
    <w:rsid w:val="00D4246E"/>
    <w:rsid w:val="00D42FB5"/>
    <w:rsid w:val="00D44EE5"/>
    <w:rsid w:val="00D52680"/>
    <w:rsid w:val="00D638EB"/>
    <w:rsid w:val="00D6467A"/>
    <w:rsid w:val="00D6528F"/>
    <w:rsid w:val="00D70F5E"/>
    <w:rsid w:val="00D72C41"/>
    <w:rsid w:val="00D7342F"/>
    <w:rsid w:val="00D751DA"/>
    <w:rsid w:val="00D7578E"/>
    <w:rsid w:val="00D8198B"/>
    <w:rsid w:val="00D92F05"/>
    <w:rsid w:val="00D93310"/>
    <w:rsid w:val="00D964E9"/>
    <w:rsid w:val="00DA0189"/>
    <w:rsid w:val="00DA096D"/>
    <w:rsid w:val="00DA0BBE"/>
    <w:rsid w:val="00DA0CB9"/>
    <w:rsid w:val="00DA25EF"/>
    <w:rsid w:val="00DA2867"/>
    <w:rsid w:val="00DA2C0F"/>
    <w:rsid w:val="00DA37DB"/>
    <w:rsid w:val="00DA57D3"/>
    <w:rsid w:val="00DA64AB"/>
    <w:rsid w:val="00DA64BC"/>
    <w:rsid w:val="00DA7E1A"/>
    <w:rsid w:val="00DB078A"/>
    <w:rsid w:val="00DB2A3D"/>
    <w:rsid w:val="00DB5915"/>
    <w:rsid w:val="00DC0961"/>
    <w:rsid w:val="00DC1DFA"/>
    <w:rsid w:val="00DC1F8D"/>
    <w:rsid w:val="00DC30F1"/>
    <w:rsid w:val="00DC41FB"/>
    <w:rsid w:val="00DC5A09"/>
    <w:rsid w:val="00DC666E"/>
    <w:rsid w:val="00DC6E22"/>
    <w:rsid w:val="00DC6E83"/>
    <w:rsid w:val="00DC7AC2"/>
    <w:rsid w:val="00DD0694"/>
    <w:rsid w:val="00DD24B4"/>
    <w:rsid w:val="00DD5875"/>
    <w:rsid w:val="00DD76FB"/>
    <w:rsid w:val="00DD7934"/>
    <w:rsid w:val="00DE4AC6"/>
    <w:rsid w:val="00DE548C"/>
    <w:rsid w:val="00DE7C28"/>
    <w:rsid w:val="00DE7E2F"/>
    <w:rsid w:val="00DF030A"/>
    <w:rsid w:val="00DF1417"/>
    <w:rsid w:val="00DF1E9C"/>
    <w:rsid w:val="00DF2C59"/>
    <w:rsid w:val="00DF4831"/>
    <w:rsid w:val="00DF613D"/>
    <w:rsid w:val="00DF6A72"/>
    <w:rsid w:val="00DF6D17"/>
    <w:rsid w:val="00E00662"/>
    <w:rsid w:val="00E04960"/>
    <w:rsid w:val="00E06474"/>
    <w:rsid w:val="00E070A4"/>
    <w:rsid w:val="00E10583"/>
    <w:rsid w:val="00E146CE"/>
    <w:rsid w:val="00E151A0"/>
    <w:rsid w:val="00E169B2"/>
    <w:rsid w:val="00E22203"/>
    <w:rsid w:val="00E234D0"/>
    <w:rsid w:val="00E2399E"/>
    <w:rsid w:val="00E3075C"/>
    <w:rsid w:val="00E32352"/>
    <w:rsid w:val="00E35A63"/>
    <w:rsid w:val="00E3632A"/>
    <w:rsid w:val="00E402C2"/>
    <w:rsid w:val="00E403BA"/>
    <w:rsid w:val="00E40BD9"/>
    <w:rsid w:val="00E41900"/>
    <w:rsid w:val="00E45C2B"/>
    <w:rsid w:val="00E46CCA"/>
    <w:rsid w:val="00E47350"/>
    <w:rsid w:val="00E51624"/>
    <w:rsid w:val="00E552CD"/>
    <w:rsid w:val="00E572DA"/>
    <w:rsid w:val="00E601F8"/>
    <w:rsid w:val="00E64EE0"/>
    <w:rsid w:val="00E65E59"/>
    <w:rsid w:val="00E66044"/>
    <w:rsid w:val="00E70CC8"/>
    <w:rsid w:val="00E73829"/>
    <w:rsid w:val="00E749A8"/>
    <w:rsid w:val="00E74B01"/>
    <w:rsid w:val="00E75438"/>
    <w:rsid w:val="00E84274"/>
    <w:rsid w:val="00E8678A"/>
    <w:rsid w:val="00E87878"/>
    <w:rsid w:val="00E90B33"/>
    <w:rsid w:val="00E931A9"/>
    <w:rsid w:val="00E93623"/>
    <w:rsid w:val="00E944DC"/>
    <w:rsid w:val="00E9698F"/>
    <w:rsid w:val="00E974A6"/>
    <w:rsid w:val="00EA088C"/>
    <w:rsid w:val="00EA3533"/>
    <w:rsid w:val="00EA46D6"/>
    <w:rsid w:val="00EA473D"/>
    <w:rsid w:val="00EA5329"/>
    <w:rsid w:val="00EA6181"/>
    <w:rsid w:val="00EA7557"/>
    <w:rsid w:val="00EB12FC"/>
    <w:rsid w:val="00EB14C1"/>
    <w:rsid w:val="00EB1522"/>
    <w:rsid w:val="00EB2C3E"/>
    <w:rsid w:val="00EB3801"/>
    <w:rsid w:val="00EB3DFD"/>
    <w:rsid w:val="00EB4632"/>
    <w:rsid w:val="00EB53AE"/>
    <w:rsid w:val="00EC1CB1"/>
    <w:rsid w:val="00EC55E6"/>
    <w:rsid w:val="00EC741D"/>
    <w:rsid w:val="00EC7925"/>
    <w:rsid w:val="00EC7B2E"/>
    <w:rsid w:val="00EC7C85"/>
    <w:rsid w:val="00ED0D64"/>
    <w:rsid w:val="00ED295F"/>
    <w:rsid w:val="00ED360D"/>
    <w:rsid w:val="00ED4609"/>
    <w:rsid w:val="00ED4AEB"/>
    <w:rsid w:val="00ED4C57"/>
    <w:rsid w:val="00ED60EC"/>
    <w:rsid w:val="00ED7289"/>
    <w:rsid w:val="00EE2EF8"/>
    <w:rsid w:val="00EE3963"/>
    <w:rsid w:val="00EE3A0A"/>
    <w:rsid w:val="00EE3A19"/>
    <w:rsid w:val="00EE4AFF"/>
    <w:rsid w:val="00EE573C"/>
    <w:rsid w:val="00EF05EF"/>
    <w:rsid w:val="00EF394B"/>
    <w:rsid w:val="00EF3A23"/>
    <w:rsid w:val="00EF6D72"/>
    <w:rsid w:val="00EF7B8C"/>
    <w:rsid w:val="00F07B04"/>
    <w:rsid w:val="00F07B0C"/>
    <w:rsid w:val="00F105AC"/>
    <w:rsid w:val="00F114BF"/>
    <w:rsid w:val="00F11636"/>
    <w:rsid w:val="00F12863"/>
    <w:rsid w:val="00F14EEE"/>
    <w:rsid w:val="00F227D4"/>
    <w:rsid w:val="00F233FB"/>
    <w:rsid w:val="00F23488"/>
    <w:rsid w:val="00F24DB8"/>
    <w:rsid w:val="00F2588C"/>
    <w:rsid w:val="00F26590"/>
    <w:rsid w:val="00F27D7B"/>
    <w:rsid w:val="00F31176"/>
    <w:rsid w:val="00F319F9"/>
    <w:rsid w:val="00F31E30"/>
    <w:rsid w:val="00F37E73"/>
    <w:rsid w:val="00F40583"/>
    <w:rsid w:val="00F42876"/>
    <w:rsid w:val="00F50531"/>
    <w:rsid w:val="00F51A80"/>
    <w:rsid w:val="00F53DE0"/>
    <w:rsid w:val="00F55653"/>
    <w:rsid w:val="00F557CB"/>
    <w:rsid w:val="00F573B5"/>
    <w:rsid w:val="00F6251C"/>
    <w:rsid w:val="00F6348C"/>
    <w:rsid w:val="00F648C4"/>
    <w:rsid w:val="00F656B9"/>
    <w:rsid w:val="00F65F83"/>
    <w:rsid w:val="00F66106"/>
    <w:rsid w:val="00F77208"/>
    <w:rsid w:val="00F77D9C"/>
    <w:rsid w:val="00F808B6"/>
    <w:rsid w:val="00F8218D"/>
    <w:rsid w:val="00F826D3"/>
    <w:rsid w:val="00F85022"/>
    <w:rsid w:val="00F87053"/>
    <w:rsid w:val="00F935F7"/>
    <w:rsid w:val="00F945ED"/>
    <w:rsid w:val="00F94F7D"/>
    <w:rsid w:val="00F962E3"/>
    <w:rsid w:val="00F97323"/>
    <w:rsid w:val="00FA1039"/>
    <w:rsid w:val="00FA137B"/>
    <w:rsid w:val="00FA2BE9"/>
    <w:rsid w:val="00FA37A8"/>
    <w:rsid w:val="00FA4024"/>
    <w:rsid w:val="00FA4C3C"/>
    <w:rsid w:val="00FA5499"/>
    <w:rsid w:val="00FA64BA"/>
    <w:rsid w:val="00FB1516"/>
    <w:rsid w:val="00FB1A84"/>
    <w:rsid w:val="00FB2370"/>
    <w:rsid w:val="00FB48B9"/>
    <w:rsid w:val="00FC049C"/>
    <w:rsid w:val="00FC11E0"/>
    <w:rsid w:val="00FC1B76"/>
    <w:rsid w:val="00FC2EAE"/>
    <w:rsid w:val="00FC55A8"/>
    <w:rsid w:val="00FD21CA"/>
    <w:rsid w:val="00FD7F5B"/>
    <w:rsid w:val="00FE1A59"/>
    <w:rsid w:val="00FE2A0E"/>
    <w:rsid w:val="00FE2F68"/>
    <w:rsid w:val="00FE638A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5D7B97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C73105"/>
    <w:pPr>
      <w:spacing w:after="120" w:line="360" w:lineRule="auto"/>
    </w:pPr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29DA"/>
    <w:pPr>
      <w:keepNext/>
      <w:keepLines/>
      <w:spacing w:before="360" w:after="60"/>
      <w:outlineLvl w:val="0"/>
    </w:pPr>
    <w:rPr>
      <w:b/>
      <w:color w:val="41273B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4E1ACC"/>
    <w:pPr>
      <w:numPr>
        <w:ilvl w:val="1"/>
      </w:numPr>
      <w:outlineLvl w:val="1"/>
    </w:pPr>
    <w:rPr>
      <w:b w:val="0"/>
      <w:sz w:val="40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AC79DB"/>
    <w:pPr>
      <w:numPr>
        <w:ilvl w:val="2"/>
      </w:numPr>
      <w:spacing w:before="120" w:after="0"/>
      <w:outlineLvl w:val="2"/>
    </w:pPr>
    <w:rPr>
      <w:b/>
      <w:color w:val="365F91" w:themeColor="accent1" w:themeShade="BF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105CEF"/>
    <w:pPr>
      <w:numPr>
        <w:ilvl w:val="0"/>
      </w:numPr>
      <w:outlineLvl w:val="3"/>
    </w:pPr>
    <w:rPr>
      <w:sz w:val="20"/>
    </w:rPr>
  </w:style>
  <w:style w:type="paragraph" w:styleId="Heading5">
    <w:name w:val="heading 5"/>
    <w:basedOn w:val="Normal"/>
    <w:next w:val="Normal"/>
    <w:link w:val="Heading5Char"/>
    <w:uiPriority w:val="9"/>
    <w:rsid w:val="00105CEF"/>
    <w:pPr>
      <w:keepNext/>
      <w:keepLines/>
      <w:spacing w:line="240" w:lineRule="atLeast"/>
      <w:outlineLvl w:val="4"/>
    </w:pPr>
    <w:rPr>
      <w:spacing w:val="-4"/>
      <w:kern w:val="28"/>
    </w:rPr>
  </w:style>
  <w:style w:type="paragraph" w:styleId="Heading6">
    <w:name w:val="heading 6"/>
    <w:basedOn w:val="Normal"/>
    <w:next w:val="Normal"/>
    <w:link w:val="Heading6Char"/>
    <w:uiPriority w:val="9"/>
    <w:rsid w:val="00105CEF"/>
    <w:pPr>
      <w:keepNext/>
      <w:keepLines/>
      <w:spacing w:before="140" w:line="220" w:lineRule="atLeast"/>
      <w:outlineLvl w:val="5"/>
    </w:pPr>
    <w:rPr>
      <w:i/>
      <w:spacing w:val="-4"/>
      <w:kern w:val="28"/>
    </w:rPr>
  </w:style>
  <w:style w:type="paragraph" w:styleId="Heading7">
    <w:name w:val="heading 7"/>
    <w:basedOn w:val="Normal"/>
    <w:next w:val="Normal"/>
    <w:link w:val="Heading7Char"/>
    <w:uiPriority w:val="9"/>
    <w:rsid w:val="00105CEF"/>
    <w:pPr>
      <w:keepNext/>
      <w:keepLines/>
      <w:spacing w:before="140" w:line="220" w:lineRule="atLeast"/>
      <w:outlineLvl w:val="6"/>
    </w:pPr>
    <w:rPr>
      <w:spacing w:val="-4"/>
      <w:kern w:val="28"/>
    </w:rPr>
  </w:style>
  <w:style w:type="paragraph" w:styleId="Heading8">
    <w:name w:val="heading 8"/>
    <w:basedOn w:val="Normal"/>
    <w:next w:val="Normal"/>
    <w:link w:val="Heading8Char"/>
    <w:uiPriority w:val="9"/>
    <w:rsid w:val="00105CEF"/>
    <w:pPr>
      <w:keepNext/>
      <w:keepLines/>
      <w:spacing w:before="140" w:line="220" w:lineRule="atLeast"/>
      <w:outlineLvl w:val="7"/>
    </w:pPr>
    <w:rPr>
      <w:i/>
      <w:spacing w:val="-4"/>
      <w:kern w:val="28"/>
      <w:sz w:val="18"/>
    </w:rPr>
  </w:style>
  <w:style w:type="paragraph" w:styleId="Heading9">
    <w:name w:val="heading 9"/>
    <w:basedOn w:val="Normal"/>
    <w:next w:val="Normal"/>
    <w:link w:val="Heading9Char"/>
    <w:uiPriority w:val="9"/>
    <w:rsid w:val="00105CEF"/>
    <w:pPr>
      <w:keepNext/>
      <w:keepLines/>
      <w:spacing w:before="140" w:line="220" w:lineRule="atLeast"/>
      <w:outlineLvl w:val="8"/>
    </w:pPr>
    <w:rPr>
      <w:spacing w:val="-4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929DA"/>
    <w:rPr>
      <w:rFonts w:ascii="Arial" w:hAnsi="Arial" w:cs="Arial"/>
      <w:b/>
      <w:color w:val="41273B"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457D8"/>
    <w:rPr>
      <w:rFonts w:ascii="Arial" w:hAnsi="Arial" w:cs="Arial"/>
      <w:color w:val="41273B"/>
      <w:sz w:val="4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C79DB"/>
    <w:rPr>
      <w:rFonts w:asciiTheme="minorHAnsi" w:hAnsiTheme="minorHAnsi" w:cs="Arial"/>
      <w:color w:val="365F91" w:themeColor="accent1" w:themeShade="BF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asciiTheme="minorHAnsi" w:hAnsiTheme="minorHAnsi" w:cs="Arial"/>
      <w:color w:val="365F91" w:themeColor="accent1" w:themeShade="BF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05CEF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lang w:val="x-none" w:eastAsia="en-US"/>
    </w:rPr>
  </w:style>
  <w:style w:type="paragraph" w:customStyle="1" w:styleId="Captiontext">
    <w:name w:val="Caption text"/>
    <w:basedOn w:val="BodyText"/>
    <w:rsid w:val="00105CEF"/>
    <w:rPr>
      <w:sz w:val="16"/>
    </w:rPr>
  </w:style>
  <w:style w:type="character" w:customStyle="1" w:styleId="FWOBlue">
    <w:name w:val="FWO Blue"/>
    <w:basedOn w:val="DefaultParagraphFont"/>
    <w:rsid w:val="00105CEF"/>
    <w:rPr>
      <w:rFonts w:ascii="Arial" w:hAnsi="Arial" w:cs="Times New Roman"/>
      <w:color w:val="0084C2"/>
    </w:rPr>
  </w:style>
  <w:style w:type="paragraph" w:styleId="Header">
    <w:name w:val="header"/>
    <w:basedOn w:val="Normal"/>
    <w:link w:val="HeaderChar"/>
    <w:uiPriority w:val="99"/>
    <w:rsid w:val="00105CEF"/>
    <w:pPr>
      <w:tabs>
        <w:tab w:val="center" w:pos="4153"/>
        <w:tab w:val="right" w:pos="8306"/>
      </w:tabs>
      <w:spacing w:before="360"/>
      <w:jc w:val="center"/>
    </w:pPr>
    <w:rPr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lang w:val="x-none" w:eastAsia="en-US"/>
    </w:rPr>
  </w:style>
  <w:style w:type="paragraph" w:customStyle="1" w:styleId="Subheading">
    <w:name w:val="Subheading"/>
    <w:basedOn w:val="BodyText"/>
    <w:rsid w:val="00105CE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24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4C21"/>
    <w:rPr>
      <w:rFonts w:ascii="Tahoma" w:hAnsi="Tahoma" w:cs="Tahoma"/>
      <w:sz w:val="16"/>
      <w:szCs w:val="16"/>
      <w:lang w:val="x-none" w:eastAsia="en-US"/>
    </w:rPr>
  </w:style>
  <w:style w:type="paragraph" w:customStyle="1" w:styleId="TableText">
    <w:name w:val="TableText"/>
    <w:basedOn w:val="Normal"/>
    <w:rsid w:val="00105CEF"/>
    <w:pPr>
      <w:spacing w:before="40" w:after="40"/>
    </w:pPr>
    <w:rPr>
      <w:lang w:eastAsia="en-AU"/>
    </w:rPr>
  </w:style>
  <w:style w:type="paragraph" w:customStyle="1" w:styleId="Tabletextheading">
    <w:name w:val="Table text heading"/>
    <w:basedOn w:val="TableText"/>
    <w:rsid w:val="00105CEF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105CEF"/>
    <w:rPr>
      <w:noProof/>
      <w:color w:val="0084C2"/>
      <w:sz w:val="72"/>
      <w:szCs w:val="7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TOC1">
    <w:name w:val="toc 1"/>
    <w:basedOn w:val="Normal"/>
    <w:autoRedefine/>
    <w:uiPriority w:val="39"/>
    <w:rsid w:val="00105CEF"/>
    <w:pPr>
      <w:tabs>
        <w:tab w:val="left" w:pos="1560"/>
        <w:tab w:val="right" w:leader="dot" w:pos="8789"/>
      </w:tabs>
      <w:ind w:left="851" w:right="814"/>
    </w:pPr>
    <w:rPr>
      <w:spacing w:val="-4"/>
    </w:rPr>
  </w:style>
  <w:style w:type="paragraph" w:styleId="TOC2">
    <w:name w:val="toc 2"/>
    <w:basedOn w:val="Normal"/>
    <w:autoRedefine/>
    <w:uiPriority w:val="39"/>
    <w:rsid w:val="001D67A4"/>
    <w:pPr>
      <w:numPr>
        <w:numId w:val="6"/>
      </w:numPr>
      <w:tabs>
        <w:tab w:val="left" w:pos="1701"/>
        <w:tab w:val="right" w:leader="dot" w:pos="8789"/>
      </w:tabs>
    </w:pPr>
    <w:rPr>
      <w:noProof/>
    </w:rPr>
  </w:style>
  <w:style w:type="paragraph" w:styleId="Caption">
    <w:name w:val="caption"/>
    <w:basedOn w:val="Normal"/>
    <w:next w:val="Normal"/>
    <w:uiPriority w:val="35"/>
    <w:rsid w:val="00105CEF"/>
    <w:pPr>
      <w:keepNext/>
      <w:numPr>
        <w:numId w:val="2"/>
      </w:numPr>
      <w:spacing w:before="60" w:after="240" w:line="220" w:lineRule="atLeast"/>
    </w:pPr>
    <w:rPr>
      <w:rFonts w:ascii="Arial Narrow" w:hAnsi="Arial Narrow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105C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Dotpoint">
    <w:name w:val="Dotpoint"/>
    <w:basedOn w:val="Normal"/>
    <w:semiHidden/>
    <w:locked/>
    <w:rsid w:val="00105CEF"/>
    <w:pPr>
      <w:numPr>
        <w:numId w:val="3"/>
      </w:numPr>
    </w:pPr>
  </w:style>
  <w:style w:type="paragraph" w:customStyle="1" w:styleId="Dotpointtable">
    <w:name w:val="Dotpoint table"/>
    <w:basedOn w:val="TableText"/>
    <w:semiHidden/>
    <w:locked/>
    <w:rsid w:val="00105CEF"/>
    <w:pPr>
      <w:numPr>
        <w:numId w:val="4"/>
      </w:numPr>
      <w:spacing w:before="60" w:after="60"/>
    </w:pPr>
    <w:rPr>
      <w:bCs/>
      <w:sz w:val="18"/>
      <w:szCs w:val="28"/>
    </w:rPr>
  </w:style>
  <w:style w:type="paragraph" w:customStyle="1" w:styleId="ExampleText">
    <w:name w:val="Example Text"/>
    <w:basedOn w:val="Normal"/>
    <w:semiHidden/>
    <w:locked/>
    <w:rsid w:val="00105CEF"/>
    <w:pPr>
      <w:spacing w:before="40" w:after="60"/>
    </w:pPr>
    <w:rPr>
      <w:i/>
      <w:vanish/>
      <w:color w:val="0000FF"/>
    </w:rPr>
  </w:style>
  <w:style w:type="paragraph" w:styleId="Footer">
    <w:name w:val="footer"/>
    <w:basedOn w:val="Normal"/>
    <w:link w:val="FooterChar"/>
    <w:uiPriority w:val="99"/>
    <w:rsid w:val="00105C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lang w:val="x-none" w:eastAsia="en-US"/>
    </w:rPr>
  </w:style>
  <w:style w:type="character" w:styleId="Hyperlink">
    <w:name w:val="Hyperlink"/>
    <w:basedOn w:val="DefaultParagraphFont"/>
    <w:uiPriority w:val="99"/>
    <w:rsid w:val="00105CEF"/>
    <w:rPr>
      <w:rFonts w:ascii="Arial" w:hAnsi="Arial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105CEF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autoRedefine/>
    <w:uiPriority w:val="39"/>
    <w:rsid w:val="00105CEF"/>
    <w:pPr>
      <w:tabs>
        <w:tab w:val="left" w:pos="1985"/>
        <w:tab w:val="right" w:leader="dot" w:pos="9629"/>
      </w:tabs>
      <w:ind w:left="360"/>
    </w:pPr>
  </w:style>
  <w:style w:type="paragraph" w:styleId="TOC4">
    <w:name w:val="toc 4"/>
    <w:basedOn w:val="Normal"/>
    <w:autoRedefine/>
    <w:uiPriority w:val="39"/>
    <w:semiHidden/>
    <w:rsid w:val="00105CEF"/>
    <w:pPr>
      <w:ind w:left="360"/>
    </w:pPr>
  </w:style>
  <w:style w:type="paragraph" w:styleId="TOC5">
    <w:name w:val="toc 5"/>
    <w:basedOn w:val="Normal"/>
    <w:autoRedefine/>
    <w:uiPriority w:val="39"/>
    <w:semiHidden/>
    <w:rsid w:val="00105CEF"/>
    <w:pPr>
      <w:ind w:left="360"/>
    </w:pPr>
  </w:style>
  <w:style w:type="character" w:customStyle="1" w:styleId="Subtitlered">
    <w:name w:val="Subtitle red"/>
    <w:basedOn w:val="DefaultParagraphFont"/>
    <w:rsid w:val="00E601F8"/>
    <w:rPr>
      <w:rFonts w:ascii="Arial" w:hAnsi="Arial" w:cs="Times New Roman"/>
      <w:color w:val="872434"/>
      <w:sz w:val="32"/>
    </w:rPr>
  </w:style>
  <w:style w:type="character" w:styleId="PageNumber">
    <w:name w:val="page number"/>
    <w:basedOn w:val="DefaultParagraphFont"/>
    <w:uiPriority w:val="99"/>
    <w:rsid w:val="00181475"/>
    <w:rPr>
      <w:rFonts w:ascii="Arial" w:hAnsi="Arial" w:cs="Times New Roman"/>
    </w:rPr>
  </w:style>
  <w:style w:type="paragraph" w:styleId="TOCHeading">
    <w:name w:val="TOC Heading"/>
    <w:basedOn w:val="Heading1"/>
    <w:next w:val="Normal"/>
    <w:uiPriority w:val="39"/>
    <w:unhideWhenUsed/>
    <w:rsid w:val="001F20C3"/>
    <w:pPr>
      <w:spacing w:before="480" w:after="0" w:line="276" w:lineRule="auto"/>
      <w:outlineLvl w:val="9"/>
    </w:pPr>
    <w:rPr>
      <w:rFonts w:asciiTheme="majorHAnsi" w:eastAsiaTheme="majorEastAsia" w:hAnsiTheme="majorHAnsi"/>
      <w:bCs/>
      <w:color w:val="244061" w:themeColor="accent1" w:themeShade="80"/>
      <w:szCs w:val="28"/>
      <w:lang w:val="en-US" w:eastAsia="ja-JP"/>
    </w:rPr>
  </w:style>
  <w:style w:type="character" w:styleId="CommentReference">
    <w:name w:val="annotation reference"/>
    <w:basedOn w:val="DefaultParagraphFont"/>
    <w:uiPriority w:val="99"/>
    <w:rsid w:val="00B074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742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742B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0742B"/>
    <w:rPr>
      <w:rFonts w:ascii="Arial" w:hAnsi="Arial" w:cs="Times New Roman"/>
      <w:b/>
      <w:bCs/>
      <w:lang w:val="x-none" w:eastAsia="en-US"/>
    </w:rPr>
  </w:style>
  <w:style w:type="paragraph" w:styleId="ListParagraph">
    <w:name w:val="List Paragraph"/>
    <w:aliases w:val="List Paragraph1,List Paragraph11,Recommendation,Brief List Paragraph 1,DDM Gen Text,L,Numbered paragraph,CV text,Table text,F5 List Paragraph,Dot pt,List Paragraph111,Medium Grid 1 - Accent 21,Numbered Paragraph,List Paragraph2,Bullets"/>
    <w:basedOn w:val="Normal"/>
    <w:link w:val="ListParagraphChar"/>
    <w:uiPriority w:val="34"/>
    <w:qFormat/>
    <w:rsid w:val="00057A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7B16EE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B16EE"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rsid w:val="007B16EE"/>
    <w:rPr>
      <w:rFonts w:cs="Times New Roman"/>
      <w:vertAlign w:val="superscript"/>
    </w:rPr>
  </w:style>
  <w:style w:type="numbering" w:customStyle="1" w:styleId="Numberletterbullets">
    <w:name w:val="Number/letter bullets"/>
    <w:pPr>
      <w:numPr>
        <w:numId w:val="5"/>
      </w:numPr>
    </w:pPr>
  </w:style>
  <w:style w:type="numbering" w:customStyle="1" w:styleId="BulletLevel1">
    <w:name w:val="Bullet Level 1"/>
    <w:pPr>
      <w:numPr>
        <w:numId w:val="1"/>
      </w:numPr>
    </w:pPr>
  </w:style>
  <w:style w:type="paragraph" w:customStyle="1" w:styleId="Sub-title">
    <w:name w:val="Sub-title"/>
    <w:basedOn w:val="Heading1"/>
    <w:link w:val="Sub-titleChar"/>
    <w:rsid w:val="000E37AC"/>
    <w:rPr>
      <w:szCs w:val="28"/>
    </w:rPr>
  </w:style>
  <w:style w:type="paragraph" w:customStyle="1" w:styleId="Fronttitle">
    <w:name w:val="Front title"/>
    <w:basedOn w:val="Heading1"/>
    <w:link w:val="FronttitleChar"/>
    <w:rsid w:val="000E37AC"/>
    <w:pPr>
      <w:spacing w:before="3600"/>
    </w:pPr>
    <w:rPr>
      <w:sz w:val="56"/>
    </w:rPr>
  </w:style>
  <w:style w:type="character" w:customStyle="1" w:styleId="Sub-titleChar">
    <w:name w:val="Sub-title Char"/>
    <w:basedOn w:val="Heading1Char"/>
    <w:link w:val="Sub-title"/>
    <w:rsid w:val="000E37AC"/>
    <w:rPr>
      <w:rFonts w:asciiTheme="minorHAnsi" w:hAnsiTheme="minorHAnsi" w:cs="Arial"/>
      <w:b/>
      <w:color w:val="0F243E" w:themeColor="text2" w:themeShade="80"/>
      <w:sz w:val="44"/>
      <w:szCs w:val="28"/>
      <w:lang w:eastAsia="en-US"/>
    </w:rPr>
  </w:style>
  <w:style w:type="paragraph" w:customStyle="1" w:styleId="Casestudytitle">
    <w:name w:val="Case study title"/>
    <w:basedOn w:val="Sub-title"/>
    <w:link w:val="CasestudytitleChar"/>
    <w:autoRedefine/>
    <w:qFormat/>
    <w:rsid w:val="000D29E1"/>
    <w:pPr>
      <w:ind w:left="720"/>
    </w:pPr>
    <w:rPr>
      <w:sz w:val="36"/>
    </w:rPr>
  </w:style>
  <w:style w:type="character" w:customStyle="1" w:styleId="FronttitleChar">
    <w:name w:val="Front title Char"/>
    <w:basedOn w:val="Heading1Char"/>
    <w:link w:val="Fronttitle"/>
    <w:rsid w:val="000E37AC"/>
    <w:rPr>
      <w:rFonts w:asciiTheme="minorHAnsi" w:hAnsiTheme="minorHAnsi" w:cs="Arial"/>
      <w:b/>
      <w:color w:val="0F243E" w:themeColor="text2" w:themeShade="80"/>
      <w:sz w:val="56"/>
      <w:szCs w:val="44"/>
      <w:lang w:eastAsia="en-US"/>
    </w:rPr>
  </w:style>
  <w:style w:type="paragraph" w:customStyle="1" w:styleId="Casestudytext">
    <w:name w:val="Case study text"/>
    <w:basedOn w:val="Normal"/>
    <w:link w:val="CasestudytextChar"/>
    <w:qFormat/>
    <w:rsid w:val="00CF3B06"/>
    <w:pPr>
      <w:ind w:left="720"/>
    </w:pPr>
  </w:style>
  <w:style w:type="character" w:customStyle="1" w:styleId="CasestudytitleChar">
    <w:name w:val="Case study title Char"/>
    <w:basedOn w:val="Sub-titleChar"/>
    <w:link w:val="Casestudytitle"/>
    <w:rsid w:val="000D29E1"/>
    <w:rPr>
      <w:rFonts w:asciiTheme="minorHAnsi" w:hAnsiTheme="minorHAnsi" w:cs="Arial"/>
      <w:b/>
      <w:color w:val="0F243E" w:themeColor="text2" w:themeShade="80"/>
      <w:sz w:val="36"/>
      <w:szCs w:val="28"/>
      <w:lang w:eastAsia="en-US"/>
    </w:rPr>
  </w:style>
  <w:style w:type="character" w:customStyle="1" w:styleId="CasestudytextChar">
    <w:name w:val="Case study text Char"/>
    <w:basedOn w:val="DefaultParagraphFont"/>
    <w:link w:val="Casestudytext"/>
    <w:rsid w:val="00CF3B06"/>
    <w:rPr>
      <w:rFonts w:ascii="Helvetica" w:hAnsi="Helvetica" w:cs="Arial"/>
      <w:sz w:val="22"/>
      <w:szCs w:val="24"/>
      <w:lang w:eastAsia="en-US"/>
    </w:rPr>
  </w:style>
  <w:style w:type="paragraph" w:customStyle="1" w:styleId="CoverReportTitle">
    <w:name w:val="Cover Report Title"/>
    <w:basedOn w:val="Normal"/>
    <w:autoRedefine/>
    <w:qFormat/>
    <w:rsid w:val="004A3CBF"/>
    <w:pPr>
      <w:framePr w:w="4820" w:wrap="around" w:vAnchor="page" w:hAnchor="text" w:x="5388" w:y="795"/>
      <w:spacing w:before="2000" w:after="2000" w:line="240" w:lineRule="auto"/>
    </w:pPr>
    <w:rPr>
      <w:rFonts w:eastAsiaTheme="minorHAnsi" w:cs="Times New Roman"/>
      <w:color w:val="41273B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590D6C"/>
    <w:pPr>
      <w:framePr w:w="0" w:wrap="auto" w:vAnchor="margin" w:xAlign="left" w:yAlign="inline"/>
      <w:spacing w:before="113" w:after="57" w:line="360" w:lineRule="auto"/>
    </w:pPr>
    <w:rPr>
      <w:color w:val="auto"/>
      <w:sz w:val="36"/>
    </w:rPr>
  </w:style>
  <w:style w:type="paragraph" w:customStyle="1" w:styleId="Bullet">
    <w:name w:val="Bullet"/>
    <w:basedOn w:val="Normal"/>
    <w:autoRedefine/>
    <w:qFormat/>
    <w:rsid w:val="00602EDA"/>
    <w:pPr>
      <w:numPr>
        <w:numId w:val="15"/>
      </w:numPr>
    </w:pPr>
    <w:rPr>
      <w:rFonts w:eastAsiaTheme="minorHAnsi" w:cs="Times New Roman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357D51"/>
    <w:pPr>
      <w:pBdr>
        <w:top w:val="single" w:sz="48" w:space="3" w:color="DDDDDD"/>
        <w:left w:val="single" w:sz="48" w:space="8" w:color="DDDDDD"/>
        <w:bottom w:val="single" w:sz="48" w:space="6" w:color="DDDDDD"/>
        <w:right w:val="single" w:sz="48" w:space="8" w:color="DDDDDD"/>
      </w:pBdr>
      <w:shd w:val="clear" w:color="auto" w:fill="DDDDDD"/>
      <w:spacing w:before="240" w:after="113" w:line="320" w:lineRule="exact"/>
      <w:ind w:left="284" w:right="284"/>
      <w:contextualSpacing/>
    </w:pPr>
    <w:rPr>
      <w:rFonts w:eastAsiaTheme="minorHAnsi" w:cs="Times New Roman"/>
      <w:szCs w:val="22"/>
    </w:rPr>
  </w:style>
  <w:style w:type="character" w:styleId="IntenseEmphasis">
    <w:name w:val="Intense Emphasis"/>
    <w:aliases w:val="Figure Heading"/>
    <w:basedOn w:val="DefaultParagraphFont"/>
    <w:uiPriority w:val="21"/>
    <w:rsid w:val="004B2104"/>
    <w:rPr>
      <w:rFonts w:ascii="Arial" w:hAnsi="Arial"/>
      <w:b/>
      <w:bCs/>
      <w:i w:val="0"/>
      <w:iCs/>
      <w:color w:val="000000" w:themeColor="text1"/>
      <w:sz w:val="22"/>
    </w:rPr>
  </w:style>
  <w:style w:type="paragraph" w:customStyle="1" w:styleId="GlanceYellowHeading">
    <w:name w:val="Glance Yellow Heading"/>
    <w:basedOn w:val="Normal"/>
    <w:next w:val="GlanceHeading"/>
    <w:autoRedefine/>
    <w:qFormat/>
    <w:rsid w:val="00A46F23"/>
    <w:pPr>
      <w:pBdr>
        <w:top w:val="single" w:sz="48" w:space="1" w:color="BFBFBF" w:themeColor="background1" w:themeShade="BF"/>
      </w:pBdr>
      <w:shd w:val="clear" w:color="auto" w:fill="FFFFFF" w:themeFill="background1"/>
      <w:spacing w:after="0"/>
      <w:contextualSpacing/>
      <w:jc w:val="center"/>
      <w:textboxTightWrap w:val="allLines"/>
    </w:pPr>
    <w:rPr>
      <w:rFonts w:eastAsiaTheme="minorHAnsi" w:cs="Times New Roman"/>
      <w:color w:val="0194A6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qFormat/>
    <w:rsid w:val="00CF3B06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 w:cs="Times New Roman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CF3B06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 w:cs="Times New Roman"/>
      <w:szCs w:val="22"/>
    </w:rPr>
  </w:style>
  <w:style w:type="paragraph" w:customStyle="1" w:styleId="CoverReportTitle1">
    <w:name w:val="Cover Report Title1"/>
    <w:basedOn w:val="Normal"/>
    <w:next w:val="CoverReportTitle"/>
    <w:rsid w:val="00205DBE"/>
    <w:pPr>
      <w:framePr w:w="4820" w:wrap="around" w:vAnchor="page" w:hAnchor="text" w:x="5388" w:y="795"/>
      <w:spacing w:after="0" w:line="560" w:lineRule="exact"/>
    </w:pPr>
    <w:rPr>
      <w:rFonts w:ascii="Fair Work" w:eastAsiaTheme="minorHAnsi" w:hAnsi="Fair Work" w:cs="Times New Roman"/>
      <w:color w:val="007CBA"/>
      <w:sz w:val="60"/>
      <w:szCs w:val="22"/>
    </w:rPr>
  </w:style>
  <w:style w:type="paragraph" w:customStyle="1" w:styleId="GreyBubbleBox1">
    <w:name w:val="Grey  Bubble Box1"/>
    <w:basedOn w:val="Normal"/>
    <w:next w:val="Normal"/>
    <w:autoRedefine/>
    <w:qFormat/>
    <w:rsid w:val="00A46F23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 w:cs="Times New Roman"/>
      <w:szCs w:val="22"/>
    </w:rPr>
  </w:style>
  <w:style w:type="character" w:styleId="Emphasis">
    <w:name w:val="Emphasis"/>
    <w:basedOn w:val="DefaultParagraphFont"/>
    <w:rsid w:val="00CF3B06"/>
    <w:rPr>
      <w:i/>
      <w:iCs/>
    </w:rPr>
  </w:style>
  <w:style w:type="character" w:styleId="Strong">
    <w:name w:val="Strong"/>
    <w:basedOn w:val="DefaultParagraphFont"/>
    <w:rsid w:val="00CF3B06"/>
    <w:rPr>
      <w:b/>
      <w:bCs/>
    </w:rPr>
  </w:style>
  <w:style w:type="paragraph" w:styleId="Subtitle">
    <w:name w:val="Subtitle"/>
    <w:basedOn w:val="Normal"/>
    <w:next w:val="Normal"/>
    <w:link w:val="SubtitleChar"/>
    <w:rsid w:val="00CF3B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F3B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Spacing">
    <w:name w:val="No Spacing"/>
    <w:uiPriority w:val="1"/>
    <w:rsid w:val="00CF3B06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F3B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F3B06"/>
    <w:rPr>
      <w:rFonts w:ascii="Arial" w:hAnsi="Arial" w:cs="Arial"/>
      <w:i/>
      <w:iCs/>
      <w:color w:val="000000" w:themeColor="text1"/>
      <w:sz w:val="24"/>
      <w:szCs w:val="24"/>
      <w:lang w:eastAsia="en-US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3B62FE"/>
    <w:rPr>
      <w:b/>
      <w:sz w:val="24"/>
    </w:rPr>
  </w:style>
  <w:style w:type="character" w:customStyle="1" w:styleId="CalloutboxChar">
    <w:name w:val="Callout box Char"/>
    <w:basedOn w:val="DefaultParagraphFont"/>
    <w:link w:val="Calloutbox"/>
    <w:rsid w:val="00357D51"/>
    <w:rPr>
      <w:rFonts w:ascii="Arial" w:eastAsiaTheme="minorHAnsi" w:hAnsi="Arial"/>
      <w:sz w:val="22"/>
      <w:szCs w:val="22"/>
      <w:shd w:val="clear" w:color="auto" w:fill="DDDDDD"/>
      <w:lang w:eastAsia="en-US"/>
    </w:rPr>
  </w:style>
  <w:style w:type="character" w:customStyle="1" w:styleId="CalloutBoxHeadingChar">
    <w:name w:val="Callout Box Heading Char"/>
    <w:basedOn w:val="CalloutboxChar"/>
    <w:link w:val="CalloutBoxHeading"/>
    <w:rsid w:val="003B62FE"/>
    <w:rPr>
      <w:rFonts w:ascii="Helvetica" w:eastAsiaTheme="minorHAnsi" w:hAnsi="Helvetica"/>
      <w:b/>
      <w:color w:val="FFFFFF" w:themeColor="background1"/>
      <w:sz w:val="24"/>
      <w:szCs w:val="22"/>
      <w:shd w:val="clear" w:color="auto" w:fill="017F8F"/>
      <w:lang w:eastAsia="en-US"/>
    </w:rPr>
  </w:style>
  <w:style w:type="paragraph" w:customStyle="1" w:styleId="Calloutbox1">
    <w:name w:val="Callout box1"/>
    <w:basedOn w:val="Normal"/>
    <w:next w:val="Normal"/>
    <w:autoRedefine/>
    <w:qFormat/>
    <w:rsid w:val="004A3CBF"/>
    <w:pPr>
      <w:pBdr>
        <w:top w:val="single" w:sz="48" w:space="3" w:color="41273B"/>
        <w:left w:val="single" w:sz="48" w:space="8" w:color="41273B"/>
        <w:bottom w:val="single" w:sz="48" w:space="6" w:color="41273B"/>
        <w:right w:val="single" w:sz="48" w:space="8" w:color="41273B"/>
      </w:pBdr>
      <w:spacing w:before="120" w:after="0"/>
      <w:ind w:left="284" w:right="284"/>
      <w:contextualSpacing/>
      <w:jc w:val="center"/>
    </w:pPr>
    <w:rPr>
      <w:rFonts w:eastAsiaTheme="minorHAnsi" w:cs="Times New Roman"/>
      <w:i/>
      <w:sz w:val="20"/>
      <w:szCs w:val="20"/>
    </w:rPr>
  </w:style>
  <w:style w:type="paragraph" w:customStyle="1" w:styleId="GlanceYellowHeading1">
    <w:name w:val="Glance Yellow Heading1"/>
    <w:basedOn w:val="Normal"/>
    <w:next w:val="GlanceHeading"/>
    <w:autoRedefine/>
    <w:rsid w:val="00CF3B06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 w:cs="Times New Roman"/>
      <w:color w:val="10C9DE"/>
      <w:spacing w:val="-10"/>
      <w:sz w:val="56"/>
      <w:szCs w:val="22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,L Char,Numbered paragraph Char,CV text Char,Table text Char,F5 List Paragraph Char,Dot pt Char,List Paragraph111 Char"/>
    <w:basedOn w:val="DefaultParagraphFont"/>
    <w:link w:val="ListParagraph"/>
    <w:uiPriority w:val="34"/>
    <w:locked/>
    <w:rsid w:val="00982B23"/>
    <w:rPr>
      <w:rFonts w:asciiTheme="minorHAnsi" w:hAnsiTheme="minorHAnsi" w:cs="Arial"/>
      <w:sz w:val="22"/>
      <w:szCs w:val="24"/>
      <w:lang w:eastAsia="en-US"/>
    </w:rPr>
  </w:style>
  <w:style w:type="character" w:customStyle="1" w:styleId="use-awards-tooltitletext">
    <w:name w:val="use-awards-tool__title__text"/>
    <w:basedOn w:val="DefaultParagraphFont"/>
    <w:rsid w:val="00982B23"/>
  </w:style>
  <w:style w:type="paragraph" w:customStyle="1" w:styleId="Style1KIN">
    <w:name w:val="Style1KIN"/>
    <w:link w:val="Style1KINChar"/>
    <w:qFormat/>
    <w:rsid w:val="00982B23"/>
    <w:pPr>
      <w:spacing w:before="120" w:line="360" w:lineRule="auto"/>
    </w:pPr>
    <w:rPr>
      <w:rFonts w:asciiTheme="minorHAnsi" w:eastAsiaTheme="minorEastAsia" w:hAnsiTheme="minorHAnsi"/>
      <w:bCs/>
      <w:color w:val="31849B" w:themeColor="accent5" w:themeShade="BF"/>
      <w:sz w:val="24"/>
      <w:szCs w:val="28"/>
      <w:lang w:val="x-none" w:eastAsia="en-US"/>
    </w:rPr>
  </w:style>
  <w:style w:type="character" w:customStyle="1" w:styleId="Style1KINChar">
    <w:name w:val="Style1KIN Char"/>
    <w:basedOn w:val="Heading4Char"/>
    <w:link w:val="Style1KIN"/>
    <w:rsid w:val="00982B23"/>
    <w:rPr>
      <w:rFonts w:asciiTheme="minorHAnsi" w:eastAsiaTheme="minorEastAsia" w:hAnsiTheme="minorHAnsi" w:cs="Times New Roman"/>
      <w:b/>
      <w:bCs w:val="0"/>
      <w:color w:val="31849B" w:themeColor="accent5" w:themeShade="BF"/>
      <w:sz w:val="24"/>
      <w:szCs w:val="28"/>
      <w:lang w:val="x-none" w:eastAsia="en-US"/>
    </w:rPr>
  </w:style>
  <w:style w:type="paragraph" w:styleId="Revision">
    <w:name w:val="Revision"/>
    <w:hidden/>
    <w:uiPriority w:val="99"/>
    <w:semiHidden/>
    <w:rsid w:val="00F07B0C"/>
    <w:rPr>
      <w:rFonts w:asciiTheme="minorHAnsi" w:hAnsiTheme="minorHAnsi" w:cs="Arial"/>
      <w:sz w:val="22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1D67A4"/>
    <w:rPr>
      <w:color w:val="800080" w:themeColor="followedHyperlink"/>
      <w:u w:val="single"/>
    </w:rPr>
  </w:style>
  <w:style w:type="paragraph" w:customStyle="1" w:styleId="Default">
    <w:name w:val="Default"/>
    <w:rsid w:val="003F1D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ootnotes">
    <w:name w:val="Footnotes"/>
    <w:basedOn w:val="FootnoteText"/>
    <w:qFormat/>
    <w:rsid w:val="00C73105"/>
    <w:pPr>
      <w:spacing w:line="240" w:lineRule="auto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SW0748/AppData/Local/Microsoft/Windows/Temporary%20Internet%20Files/Content.Outlook/RSB4E09Q/media@fwo.gov.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ven.ronson@fwo.gov.a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tison.com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473C-8511-4D4C-BB03-EB8296B2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27F3DF31.dotm</Template>
  <TotalTime>0</TotalTime>
  <Pages>15</Pages>
  <Words>3593</Words>
  <Characters>19528</Characters>
  <Application>Microsoft Office Word</Application>
  <DocSecurity>0</DocSecurity>
  <Lines>361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Trolley Collections (UTC) compliance partnership final report</vt:lpstr>
    </vt:vector>
  </TitlesOfParts>
  <Company/>
  <LinksUpToDate>false</LinksUpToDate>
  <CharactersWithSpaces>22991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Trolley Collections (UTC) compliance partnership final report</dc:title>
  <dc:subject>United Trolley Collections (UTC) compliance partnership final report</dc:subject>
  <dc:creator/>
  <cp:keywords>United Trolley Collections (UTC) compliance partnership final report</cp:keywords>
  <cp:lastModifiedBy/>
  <cp:revision>1</cp:revision>
  <dcterms:created xsi:type="dcterms:W3CDTF">2018-11-01T02:46:00Z</dcterms:created>
  <dcterms:modified xsi:type="dcterms:W3CDTF">2018-11-01T02:54:00Z</dcterms:modified>
  <cp:category/>
</cp:coreProperties>
</file>