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B738" w14:textId="61325395" w:rsidR="006921A0" w:rsidRDefault="006921A0" w:rsidP="006921A0">
      <w:pPr>
        <w:pStyle w:val="CoverReportTitle"/>
      </w:pPr>
      <w:r>
        <w:t xml:space="preserve">Baiada Group </w:t>
      </w:r>
      <w:r w:rsidR="005335E7">
        <w:t>Compliance P</w:t>
      </w:r>
      <w:r>
        <w:t>artnership</w:t>
      </w:r>
      <w:r w:rsidR="005335E7">
        <w:t xml:space="preserve"> </w:t>
      </w:r>
    </w:p>
    <w:p w14:paraId="2891D1B0" w14:textId="77777777" w:rsidR="003952ED" w:rsidRDefault="006921A0" w:rsidP="00602CBE">
      <w:pPr>
        <w:pStyle w:val="CoverReportSubTitle"/>
      </w:pPr>
      <w:r>
        <w:t>Final report</w:t>
      </w:r>
    </w:p>
    <w:p w14:paraId="5DEF240B" w14:textId="77777777" w:rsidR="005335E7" w:rsidRDefault="005335E7" w:rsidP="00BF0029"/>
    <w:p w14:paraId="36FEA7C4" w14:textId="741ED570" w:rsidR="00BF0029" w:rsidRPr="00BF0029" w:rsidRDefault="005335E7" w:rsidP="00BF0029">
      <w:r>
        <w:t>December</w:t>
      </w:r>
      <w:r w:rsidR="00BF0029">
        <w:t xml:space="preserve"> </w:t>
      </w:r>
      <w:r w:rsidR="006921A0">
        <w:t>2018</w:t>
      </w:r>
    </w:p>
    <w:p w14:paraId="6276D7C1" w14:textId="77777777" w:rsidR="001F20C3" w:rsidRPr="006A412C" w:rsidRDefault="009629F3" w:rsidP="006A412C">
      <w:r w:rsidRPr="0045600E">
        <w:t>©</w:t>
      </w:r>
      <w:r w:rsidR="00CC7FFE" w:rsidRPr="0045600E">
        <w:t xml:space="preserve"> </w:t>
      </w:r>
      <w:r w:rsidRPr="0045600E">
        <w:t>Commonwealth of Australia, 201</w:t>
      </w:r>
      <w:r w:rsidR="006921A0">
        <w:t>8</w:t>
      </w:r>
      <w:r w:rsidR="001F20C3">
        <w:br w:type="page"/>
      </w:r>
    </w:p>
    <w:p w14:paraId="60B49540" w14:textId="191AB474" w:rsidR="00BF0029" w:rsidRDefault="00BF0029" w:rsidP="00CB3C81">
      <w:pPr>
        <w:pStyle w:val="Header"/>
        <w:rPr>
          <w:rFonts w:eastAsiaTheme="minorHAnsi" w:cs="Times New Roman"/>
          <w:szCs w:val="22"/>
          <w:lang w:eastAsia="en-AU"/>
        </w:rPr>
      </w:pPr>
      <w:r>
        <w:lastRenderedPageBreak/>
        <w:tab/>
      </w:r>
    </w:p>
    <w:p w14:paraId="0ACEA221" w14:textId="77777777" w:rsidR="00BF0029" w:rsidRDefault="006921A0" w:rsidP="00AB7A7E">
      <w:pPr>
        <w:pStyle w:val="Heading1"/>
      </w:pPr>
      <w:bookmarkStart w:id="0" w:name="_Toc530478377"/>
      <w:bookmarkStart w:id="1" w:name="_Toc531605680"/>
      <w:bookmarkStart w:id="2" w:name="_Toc531605834"/>
      <w:bookmarkStart w:id="3" w:name="_Toc532482849"/>
      <w:r>
        <w:t>Table of c</w:t>
      </w:r>
      <w:r w:rsidR="00BF0029">
        <w:t>ontents</w:t>
      </w:r>
      <w:bookmarkEnd w:id="0"/>
      <w:bookmarkEnd w:id="1"/>
      <w:bookmarkEnd w:id="2"/>
      <w:bookmarkEnd w:id="3"/>
    </w:p>
    <w:p w14:paraId="342E725A" w14:textId="77777777" w:rsidR="00BF0029" w:rsidRDefault="00BF0029" w:rsidP="00BF0029"/>
    <w:p w14:paraId="12B583DF" w14:textId="721122BE" w:rsidR="004D5137" w:rsidRDefault="00BF0029">
      <w:pPr>
        <w:pStyle w:val="TOC1"/>
        <w:rPr>
          <w:rFonts w:asciiTheme="minorHAnsi" w:eastAsiaTheme="minorEastAsia" w:hAnsiTheme="minorHAnsi" w:cstheme="minorBidi"/>
          <w:noProof/>
          <w:spacing w:val="0"/>
          <w:szCs w:val="22"/>
          <w:lang w:eastAsia="en-AU"/>
        </w:rPr>
      </w:pPr>
      <w:r>
        <w:rPr>
          <w:b/>
        </w:rPr>
        <w:fldChar w:fldCharType="begin"/>
      </w:r>
      <w:r>
        <w:rPr>
          <w:b/>
        </w:rPr>
        <w:instrText xml:space="preserve"> TOC \o "1-2" \h \z \u </w:instrText>
      </w:r>
      <w:r>
        <w:rPr>
          <w:b/>
        </w:rPr>
        <w:fldChar w:fldCharType="separate"/>
      </w:r>
      <w:hyperlink w:anchor="_Toc532482849" w:history="1">
        <w:r w:rsidR="004D5137" w:rsidRPr="00AA6AC2">
          <w:rPr>
            <w:rStyle w:val="Hyperlink"/>
            <w:noProof/>
          </w:rPr>
          <w:t>Table of contents</w:t>
        </w:r>
        <w:r w:rsidR="004D5137">
          <w:rPr>
            <w:noProof/>
            <w:webHidden/>
          </w:rPr>
          <w:tab/>
        </w:r>
        <w:r w:rsidR="004D5137">
          <w:rPr>
            <w:noProof/>
            <w:webHidden/>
          </w:rPr>
          <w:fldChar w:fldCharType="begin"/>
        </w:r>
        <w:r w:rsidR="004D5137">
          <w:rPr>
            <w:noProof/>
            <w:webHidden/>
          </w:rPr>
          <w:instrText xml:space="preserve"> PAGEREF _Toc532482849 \h </w:instrText>
        </w:r>
        <w:r w:rsidR="004D5137">
          <w:rPr>
            <w:noProof/>
            <w:webHidden/>
          </w:rPr>
        </w:r>
        <w:r w:rsidR="004D5137">
          <w:rPr>
            <w:noProof/>
            <w:webHidden/>
          </w:rPr>
          <w:fldChar w:fldCharType="separate"/>
        </w:r>
        <w:r w:rsidR="004D5137">
          <w:rPr>
            <w:noProof/>
            <w:webHidden/>
          </w:rPr>
          <w:t>2</w:t>
        </w:r>
        <w:r w:rsidR="004D5137">
          <w:rPr>
            <w:noProof/>
            <w:webHidden/>
          </w:rPr>
          <w:fldChar w:fldCharType="end"/>
        </w:r>
      </w:hyperlink>
    </w:p>
    <w:p w14:paraId="5890AC32" w14:textId="10B91E0C" w:rsidR="004D5137" w:rsidRDefault="005D2113">
      <w:pPr>
        <w:pStyle w:val="TOC1"/>
        <w:rPr>
          <w:rFonts w:asciiTheme="minorHAnsi" w:eastAsiaTheme="minorEastAsia" w:hAnsiTheme="minorHAnsi" w:cstheme="minorBidi"/>
          <w:noProof/>
          <w:spacing w:val="0"/>
          <w:szCs w:val="22"/>
          <w:lang w:eastAsia="en-AU"/>
        </w:rPr>
      </w:pPr>
      <w:hyperlink w:anchor="_Toc532482850" w:history="1">
        <w:r w:rsidR="004D5137" w:rsidRPr="00AA6AC2">
          <w:rPr>
            <w:rStyle w:val="Hyperlink"/>
            <w:noProof/>
          </w:rPr>
          <w:t>Summary</w:t>
        </w:r>
        <w:r w:rsidR="004D5137">
          <w:rPr>
            <w:noProof/>
            <w:webHidden/>
          </w:rPr>
          <w:tab/>
        </w:r>
        <w:r w:rsidR="004D5137">
          <w:rPr>
            <w:noProof/>
            <w:webHidden/>
          </w:rPr>
          <w:fldChar w:fldCharType="begin"/>
        </w:r>
        <w:r w:rsidR="004D5137">
          <w:rPr>
            <w:noProof/>
            <w:webHidden/>
          </w:rPr>
          <w:instrText xml:space="preserve"> PAGEREF _Toc532482850 \h </w:instrText>
        </w:r>
        <w:r w:rsidR="004D5137">
          <w:rPr>
            <w:noProof/>
            <w:webHidden/>
          </w:rPr>
        </w:r>
        <w:r w:rsidR="004D5137">
          <w:rPr>
            <w:noProof/>
            <w:webHidden/>
          </w:rPr>
          <w:fldChar w:fldCharType="separate"/>
        </w:r>
        <w:r w:rsidR="004D5137">
          <w:rPr>
            <w:noProof/>
            <w:webHidden/>
          </w:rPr>
          <w:t>3</w:t>
        </w:r>
        <w:r w:rsidR="004D5137">
          <w:rPr>
            <w:noProof/>
            <w:webHidden/>
          </w:rPr>
          <w:fldChar w:fldCharType="end"/>
        </w:r>
      </w:hyperlink>
    </w:p>
    <w:p w14:paraId="412ADE1E" w14:textId="2E7E4F96" w:rsidR="004D5137" w:rsidRDefault="005D2113">
      <w:pPr>
        <w:pStyle w:val="TOC1"/>
        <w:rPr>
          <w:rFonts w:asciiTheme="minorHAnsi" w:eastAsiaTheme="minorEastAsia" w:hAnsiTheme="minorHAnsi" w:cstheme="minorBidi"/>
          <w:noProof/>
          <w:spacing w:val="0"/>
          <w:szCs w:val="22"/>
          <w:lang w:eastAsia="en-AU"/>
        </w:rPr>
      </w:pPr>
      <w:hyperlink w:anchor="_Toc532482851" w:history="1">
        <w:r w:rsidR="004D5137" w:rsidRPr="00AA6AC2">
          <w:rPr>
            <w:rStyle w:val="Hyperlink"/>
            <w:noProof/>
          </w:rPr>
          <w:t>Background</w:t>
        </w:r>
        <w:r w:rsidR="004D5137">
          <w:rPr>
            <w:noProof/>
            <w:webHidden/>
          </w:rPr>
          <w:tab/>
        </w:r>
        <w:r w:rsidR="004D5137">
          <w:rPr>
            <w:noProof/>
            <w:webHidden/>
          </w:rPr>
          <w:fldChar w:fldCharType="begin"/>
        </w:r>
        <w:r w:rsidR="004D5137">
          <w:rPr>
            <w:noProof/>
            <w:webHidden/>
          </w:rPr>
          <w:instrText xml:space="preserve"> PAGEREF _Toc532482851 \h </w:instrText>
        </w:r>
        <w:r w:rsidR="004D5137">
          <w:rPr>
            <w:noProof/>
            <w:webHidden/>
          </w:rPr>
        </w:r>
        <w:r w:rsidR="004D5137">
          <w:rPr>
            <w:noProof/>
            <w:webHidden/>
          </w:rPr>
          <w:fldChar w:fldCharType="separate"/>
        </w:r>
        <w:r w:rsidR="004D5137">
          <w:rPr>
            <w:noProof/>
            <w:webHidden/>
          </w:rPr>
          <w:t>4</w:t>
        </w:r>
        <w:r w:rsidR="004D5137">
          <w:rPr>
            <w:noProof/>
            <w:webHidden/>
          </w:rPr>
          <w:fldChar w:fldCharType="end"/>
        </w:r>
      </w:hyperlink>
    </w:p>
    <w:p w14:paraId="24980A94" w14:textId="078879DC" w:rsidR="004D5137" w:rsidRDefault="005D2113">
      <w:pPr>
        <w:pStyle w:val="TOC2"/>
        <w:rPr>
          <w:rFonts w:asciiTheme="minorHAnsi" w:eastAsiaTheme="minorEastAsia" w:hAnsiTheme="minorHAnsi" w:cstheme="minorBidi"/>
          <w:noProof/>
          <w:szCs w:val="22"/>
          <w:lang w:eastAsia="en-AU"/>
        </w:rPr>
      </w:pPr>
      <w:hyperlink w:anchor="_Toc532482852" w:history="1">
        <w:r w:rsidR="004D5137" w:rsidRPr="00AA6AC2">
          <w:rPr>
            <w:rStyle w:val="Hyperlink"/>
            <w:noProof/>
          </w:rPr>
          <w:t>FWO Inquiry into Baiada’s labour procurement</w:t>
        </w:r>
        <w:r w:rsidR="004D5137">
          <w:rPr>
            <w:noProof/>
            <w:webHidden/>
          </w:rPr>
          <w:tab/>
        </w:r>
        <w:r w:rsidR="004D5137">
          <w:rPr>
            <w:noProof/>
            <w:webHidden/>
          </w:rPr>
          <w:fldChar w:fldCharType="begin"/>
        </w:r>
        <w:r w:rsidR="004D5137">
          <w:rPr>
            <w:noProof/>
            <w:webHidden/>
          </w:rPr>
          <w:instrText xml:space="preserve"> PAGEREF _Toc532482852 \h </w:instrText>
        </w:r>
        <w:r w:rsidR="004D5137">
          <w:rPr>
            <w:noProof/>
            <w:webHidden/>
          </w:rPr>
        </w:r>
        <w:r w:rsidR="004D5137">
          <w:rPr>
            <w:noProof/>
            <w:webHidden/>
          </w:rPr>
          <w:fldChar w:fldCharType="separate"/>
        </w:r>
        <w:r w:rsidR="004D5137">
          <w:rPr>
            <w:noProof/>
            <w:webHidden/>
          </w:rPr>
          <w:t>6</w:t>
        </w:r>
        <w:r w:rsidR="004D5137">
          <w:rPr>
            <w:noProof/>
            <w:webHidden/>
          </w:rPr>
          <w:fldChar w:fldCharType="end"/>
        </w:r>
      </w:hyperlink>
    </w:p>
    <w:p w14:paraId="77DA95E5" w14:textId="69DC3C42" w:rsidR="004D5137" w:rsidRDefault="005D2113">
      <w:pPr>
        <w:pStyle w:val="TOC2"/>
        <w:rPr>
          <w:rFonts w:asciiTheme="minorHAnsi" w:eastAsiaTheme="minorEastAsia" w:hAnsiTheme="minorHAnsi" w:cstheme="minorBidi"/>
          <w:noProof/>
          <w:szCs w:val="22"/>
          <w:lang w:eastAsia="en-AU"/>
        </w:rPr>
      </w:pPr>
      <w:hyperlink w:anchor="_Toc532482853" w:history="1">
        <w:r w:rsidR="004D5137" w:rsidRPr="00AA6AC2">
          <w:rPr>
            <w:rStyle w:val="Hyperlink"/>
            <w:noProof/>
          </w:rPr>
          <w:t>Workplace relations settings</w:t>
        </w:r>
        <w:r w:rsidR="004D5137">
          <w:rPr>
            <w:noProof/>
            <w:webHidden/>
          </w:rPr>
          <w:tab/>
        </w:r>
        <w:r w:rsidR="004D5137">
          <w:rPr>
            <w:noProof/>
            <w:webHidden/>
          </w:rPr>
          <w:fldChar w:fldCharType="begin"/>
        </w:r>
        <w:r w:rsidR="004D5137">
          <w:rPr>
            <w:noProof/>
            <w:webHidden/>
          </w:rPr>
          <w:instrText xml:space="preserve"> PAGEREF _Toc532482853 \h </w:instrText>
        </w:r>
        <w:r w:rsidR="004D5137">
          <w:rPr>
            <w:noProof/>
            <w:webHidden/>
          </w:rPr>
        </w:r>
        <w:r w:rsidR="004D5137">
          <w:rPr>
            <w:noProof/>
            <w:webHidden/>
          </w:rPr>
          <w:fldChar w:fldCharType="separate"/>
        </w:r>
        <w:r w:rsidR="004D5137">
          <w:rPr>
            <w:noProof/>
            <w:webHidden/>
          </w:rPr>
          <w:t>7</w:t>
        </w:r>
        <w:r w:rsidR="004D5137">
          <w:rPr>
            <w:noProof/>
            <w:webHidden/>
          </w:rPr>
          <w:fldChar w:fldCharType="end"/>
        </w:r>
      </w:hyperlink>
    </w:p>
    <w:p w14:paraId="17B572FF" w14:textId="233E3CB7" w:rsidR="004D5137" w:rsidRDefault="005D2113">
      <w:pPr>
        <w:pStyle w:val="TOC1"/>
        <w:rPr>
          <w:rFonts w:asciiTheme="minorHAnsi" w:eastAsiaTheme="minorEastAsia" w:hAnsiTheme="minorHAnsi" w:cstheme="minorBidi"/>
          <w:noProof/>
          <w:spacing w:val="0"/>
          <w:szCs w:val="22"/>
          <w:lang w:eastAsia="en-AU"/>
        </w:rPr>
      </w:pPr>
      <w:hyperlink w:anchor="_Toc532482854" w:history="1">
        <w:r w:rsidR="004D5137" w:rsidRPr="00AA6AC2">
          <w:rPr>
            <w:rStyle w:val="Hyperlink"/>
            <w:noProof/>
          </w:rPr>
          <w:t>Outcomes</w:t>
        </w:r>
        <w:r w:rsidR="004D5137">
          <w:rPr>
            <w:noProof/>
            <w:webHidden/>
          </w:rPr>
          <w:tab/>
        </w:r>
        <w:r w:rsidR="004D5137">
          <w:rPr>
            <w:noProof/>
            <w:webHidden/>
          </w:rPr>
          <w:fldChar w:fldCharType="begin"/>
        </w:r>
        <w:r w:rsidR="004D5137">
          <w:rPr>
            <w:noProof/>
            <w:webHidden/>
          </w:rPr>
          <w:instrText xml:space="preserve"> PAGEREF _Toc532482854 \h </w:instrText>
        </w:r>
        <w:r w:rsidR="004D5137">
          <w:rPr>
            <w:noProof/>
            <w:webHidden/>
          </w:rPr>
        </w:r>
        <w:r w:rsidR="004D5137">
          <w:rPr>
            <w:noProof/>
            <w:webHidden/>
          </w:rPr>
          <w:fldChar w:fldCharType="separate"/>
        </w:r>
        <w:r w:rsidR="004D5137">
          <w:rPr>
            <w:noProof/>
            <w:webHidden/>
          </w:rPr>
          <w:t>8</w:t>
        </w:r>
        <w:r w:rsidR="004D5137">
          <w:rPr>
            <w:noProof/>
            <w:webHidden/>
          </w:rPr>
          <w:fldChar w:fldCharType="end"/>
        </w:r>
      </w:hyperlink>
    </w:p>
    <w:p w14:paraId="27095D68" w14:textId="70C03445" w:rsidR="004D5137" w:rsidRDefault="005D2113">
      <w:pPr>
        <w:pStyle w:val="TOC2"/>
        <w:rPr>
          <w:rFonts w:asciiTheme="minorHAnsi" w:eastAsiaTheme="minorEastAsia" w:hAnsiTheme="minorHAnsi" w:cstheme="minorBidi"/>
          <w:noProof/>
          <w:szCs w:val="22"/>
          <w:lang w:eastAsia="en-AU"/>
        </w:rPr>
      </w:pPr>
      <w:hyperlink w:anchor="_Toc532482855" w:history="1">
        <w:r w:rsidR="004D5137" w:rsidRPr="00AA6AC2">
          <w:rPr>
            <w:rStyle w:val="Hyperlink"/>
            <w:noProof/>
          </w:rPr>
          <w:t>Communication</w:t>
        </w:r>
        <w:r w:rsidR="004D5137">
          <w:rPr>
            <w:noProof/>
            <w:webHidden/>
          </w:rPr>
          <w:tab/>
        </w:r>
        <w:r w:rsidR="004D5137">
          <w:rPr>
            <w:noProof/>
            <w:webHidden/>
          </w:rPr>
          <w:fldChar w:fldCharType="begin"/>
        </w:r>
        <w:r w:rsidR="004D5137">
          <w:rPr>
            <w:noProof/>
            <w:webHidden/>
          </w:rPr>
          <w:instrText xml:space="preserve"> PAGEREF _Toc532482855 \h </w:instrText>
        </w:r>
        <w:r w:rsidR="004D5137">
          <w:rPr>
            <w:noProof/>
            <w:webHidden/>
          </w:rPr>
        </w:r>
        <w:r w:rsidR="004D5137">
          <w:rPr>
            <w:noProof/>
            <w:webHidden/>
          </w:rPr>
          <w:fldChar w:fldCharType="separate"/>
        </w:r>
        <w:r w:rsidR="004D5137">
          <w:rPr>
            <w:noProof/>
            <w:webHidden/>
          </w:rPr>
          <w:t>8</w:t>
        </w:r>
        <w:r w:rsidR="004D5137">
          <w:rPr>
            <w:noProof/>
            <w:webHidden/>
          </w:rPr>
          <w:fldChar w:fldCharType="end"/>
        </w:r>
      </w:hyperlink>
    </w:p>
    <w:p w14:paraId="2D511E2C" w14:textId="5F6D756B" w:rsidR="004D5137" w:rsidRDefault="005D2113">
      <w:pPr>
        <w:pStyle w:val="TOC2"/>
        <w:rPr>
          <w:rFonts w:asciiTheme="minorHAnsi" w:eastAsiaTheme="minorEastAsia" w:hAnsiTheme="minorHAnsi" w:cstheme="minorBidi"/>
          <w:noProof/>
          <w:szCs w:val="22"/>
          <w:lang w:eastAsia="en-AU"/>
        </w:rPr>
      </w:pPr>
      <w:hyperlink w:anchor="_Toc532482856" w:history="1">
        <w:r w:rsidR="004D5137" w:rsidRPr="00AA6AC2">
          <w:rPr>
            <w:rStyle w:val="Hyperlink"/>
            <w:noProof/>
          </w:rPr>
          <w:t>Systems and processes</w:t>
        </w:r>
        <w:r w:rsidR="004D5137">
          <w:rPr>
            <w:noProof/>
            <w:webHidden/>
          </w:rPr>
          <w:tab/>
        </w:r>
        <w:r w:rsidR="004D5137">
          <w:rPr>
            <w:noProof/>
            <w:webHidden/>
          </w:rPr>
          <w:fldChar w:fldCharType="begin"/>
        </w:r>
        <w:r w:rsidR="004D5137">
          <w:rPr>
            <w:noProof/>
            <w:webHidden/>
          </w:rPr>
          <w:instrText xml:space="preserve"> PAGEREF _Toc532482856 \h </w:instrText>
        </w:r>
        <w:r w:rsidR="004D5137">
          <w:rPr>
            <w:noProof/>
            <w:webHidden/>
          </w:rPr>
        </w:r>
        <w:r w:rsidR="004D5137">
          <w:rPr>
            <w:noProof/>
            <w:webHidden/>
          </w:rPr>
          <w:fldChar w:fldCharType="separate"/>
        </w:r>
        <w:r w:rsidR="004D5137">
          <w:rPr>
            <w:noProof/>
            <w:webHidden/>
          </w:rPr>
          <w:t>9</w:t>
        </w:r>
        <w:r w:rsidR="004D5137">
          <w:rPr>
            <w:noProof/>
            <w:webHidden/>
          </w:rPr>
          <w:fldChar w:fldCharType="end"/>
        </w:r>
      </w:hyperlink>
    </w:p>
    <w:p w14:paraId="1BFF4B17" w14:textId="098A2221" w:rsidR="004D5137" w:rsidRDefault="005D2113">
      <w:pPr>
        <w:pStyle w:val="TOC2"/>
        <w:rPr>
          <w:rFonts w:asciiTheme="minorHAnsi" w:eastAsiaTheme="minorEastAsia" w:hAnsiTheme="minorHAnsi" w:cstheme="minorBidi"/>
          <w:noProof/>
          <w:szCs w:val="22"/>
          <w:lang w:eastAsia="en-AU"/>
        </w:rPr>
      </w:pPr>
      <w:hyperlink w:anchor="_Toc532482857" w:history="1">
        <w:r w:rsidR="004D5137" w:rsidRPr="00AA6AC2">
          <w:rPr>
            <w:rStyle w:val="Hyperlink"/>
            <w:noProof/>
          </w:rPr>
          <w:t>Self-audits</w:t>
        </w:r>
        <w:r w:rsidR="004D5137">
          <w:rPr>
            <w:noProof/>
            <w:webHidden/>
          </w:rPr>
          <w:tab/>
        </w:r>
        <w:r w:rsidR="004D5137">
          <w:rPr>
            <w:noProof/>
            <w:webHidden/>
          </w:rPr>
          <w:fldChar w:fldCharType="begin"/>
        </w:r>
        <w:r w:rsidR="004D5137">
          <w:rPr>
            <w:noProof/>
            <w:webHidden/>
          </w:rPr>
          <w:instrText xml:space="preserve"> PAGEREF _Toc532482857 \h </w:instrText>
        </w:r>
        <w:r w:rsidR="004D5137">
          <w:rPr>
            <w:noProof/>
            <w:webHidden/>
          </w:rPr>
        </w:r>
        <w:r w:rsidR="004D5137">
          <w:rPr>
            <w:noProof/>
            <w:webHidden/>
          </w:rPr>
          <w:fldChar w:fldCharType="separate"/>
        </w:r>
        <w:r w:rsidR="004D5137">
          <w:rPr>
            <w:noProof/>
            <w:webHidden/>
          </w:rPr>
          <w:t>12</w:t>
        </w:r>
        <w:r w:rsidR="004D5137">
          <w:rPr>
            <w:noProof/>
            <w:webHidden/>
          </w:rPr>
          <w:fldChar w:fldCharType="end"/>
        </w:r>
      </w:hyperlink>
    </w:p>
    <w:p w14:paraId="2BF06150" w14:textId="0FB45F21" w:rsidR="004D5137" w:rsidRDefault="005D2113">
      <w:pPr>
        <w:pStyle w:val="TOC2"/>
        <w:rPr>
          <w:rFonts w:asciiTheme="minorHAnsi" w:eastAsiaTheme="minorEastAsia" w:hAnsiTheme="minorHAnsi" w:cstheme="minorBidi"/>
          <w:noProof/>
          <w:szCs w:val="22"/>
          <w:lang w:eastAsia="en-AU"/>
        </w:rPr>
      </w:pPr>
      <w:hyperlink w:anchor="_Toc532482858" w:history="1">
        <w:r w:rsidR="004D5137" w:rsidRPr="00AA6AC2">
          <w:rPr>
            <w:rStyle w:val="Hyperlink"/>
            <w:noProof/>
          </w:rPr>
          <w:t>Resolving disputes and rectifying underpayments</w:t>
        </w:r>
        <w:r w:rsidR="004D5137">
          <w:rPr>
            <w:noProof/>
            <w:webHidden/>
          </w:rPr>
          <w:tab/>
        </w:r>
        <w:r w:rsidR="004D5137">
          <w:rPr>
            <w:noProof/>
            <w:webHidden/>
          </w:rPr>
          <w:fldChar w:fldCharType="begin"/>
        </w:r>
        <w:r w:rsidR="004D5137">
          <w:rPr>
            <w:noProof/>
            <w:webHidden/>
          </w:rPr>
          <w:instrText xml:space="preserve"> PAGEREF _Toc532482858 \h </w:instrText>
        </w:r>
        <w:r w:rsidR="004D5137">
          <w:rPr>
            <w:noProof/>
            <w:webHidden/>
          </w:rPr>
        </w:r>
        <w:r w:rsidR="004D5137">
          <w:rPr>
            <w:noProof/>
            <w:webHidden/>
          </w:rPr>
          <w:fldChar w:fldCharType="separate"/>
        </w:r>
        <w:r w:rsidR="004D5137">
          <w:rPr>
            <w:noProof/>
            <w:webHidden/>
          </w:rPr>
          <w:t>15</w:t>
        </w:r>
        <w:r w:rsidR="004D5137">
          <w:rPr>
            <w:noProof/>
            <w:webHidden/>
          </w:rPr>
          <w:fldChar w:fldCharType="end"/>
        </w:r>
      </w:hyperlink>
    </w:p>
    <w:p w14:paraId="3FD1F721" w14:textId="5F6CAAD7" w:rsidR="004D5137" w:rsidRDefault="005D2113">
      <w:pPr>
        <w:pStyle w:val="TOC1"/>
        <w:rPr>
          <w:rFonts w:asciiTheme="minorHAnsi" w:eastAsiaTheme="minorEastAsia" w:hAnsiTheme="minorHAnsi" w:cstheme="minorBidi"/>
          <w:noProof/>
          <w:spacing w:val="0"/>
          <w:szCs w:val="22"/>
          <w:lang w:eastAsia="en-AU"/>
        </w:rPr>
      </w:pPr>
      <w:hyperlink w:anchor="_Toc532482859" w:history="1">
        <w:r w:rsidR="004D5137" w:rsidRPr="00AA6AC2">
          <w:rPr>
            <w:rStyle w:val="Hyperlink"/>
            <w:noProof/>
          </w:rPr>
          <w:t>Conclusion</w:t>
        </w:r>
        <w:r w:rsidR="004D5137">
          <w:rPr>
            <w:noProof/>
            <w:webHidden/>
          </w:rPr>
          <w:tab/>
        </w:r>
        <w:r w:rsidR="004D5137">
          <w:rPr>
            <w:noProof/>
            <w:webHidden/>
          </w:rPr>
          <w:fldChar w:fldCharType="begin"/>
        </w:r>
        <w:r w:rsidR="004D5137">
          <w:rPr>
            <w:noProof/>
            <w:webHidden/>
          </w:rPr>
          <w:instrText xml:space="preserve"> PAGEREF _Toc532482859 \h </w:instrText>
        </w:r>
        <w:r w:rsidR="004D5137">
          <w:rPr>
            <w:noProof/>
            <w:webHidden/>
          </w:rPr>
        </w:r>
        <w:r w:rsidR="004D5137">
          <w:rPr>
            <w:noProof/>
            <w:webHidden/>
          </w:rPr>
          <w:fldChar w:fldCharType="separate"/>
        </w:r>
        <w:r w:rsidR="004D5137">
          <w:rPr>
            <w:noProof/>
            <w:webHidden/>
          </w:rPr>
          <w:t>16</w:t>
        </w:r>
        <w:r w:rsidR="004D5137">
          <w:rPr>
            <w:noProof/>
            <w:webHidden/>
          </w:rPr>
          <w:fldChar w:fldCharType="end"/>
        </w:r>
      </w:hyperlink>
    </w:p>
    <w:p w14:paraId="7502883F" w14:textId="52F2F654" w:rsidR="004D5137" w:rsidRDefault="005D2113">
      <w:pPr>
        <w:pStyle w:val="TOC1"/>
        <w:rPr>
          <w:rFonts w:asciiTheme="minorHAnsi" w:eastAsiaTheme="minorEastAsia" w:hAnsiTheme="minorHAnsi" w:cstheme="minorBidi"/>
          <w:noProof/>
          <w:spacing w:val="0"/>
          <w:szCs w:val="22"/>
          <w:lang w:eastAsia="en-AU"/>
        </w:rPr>
      </w:pPr>
      <w:hyperlink w:anchor="_Toc532482860" w:history="1">
        <w:r w:rsidR="004D5137" w:rsidRPr="00AA6AC2">
          <w:rPr>
            <w:rStyle w:val="Hyperlink"/>
            <w:noProof/>
          </w:rPr>
          <w:t>About the Fair Work Ombudsman</w:t>
        </w:r>
        <w:r w:rsidR="004D5137">
          <w:rPr>
            <w:noProof/>
            <w:webHidden/>
          </w:rPr>
          <w:tab/>
        </w:r>
        <w:r w:rsidR="004D5137">
          <w:rPr>
            <w:noProof/>
            <w:webHidden/>
          </w:rPr>
          <w:fldChar w:fldCharType="begin"/>
        </w:r>
        <w:r w:rsidR="004D5137">
          <w:rPr>
            <w:noProof/>
            <w:webHidden/>
          </w:rPr>
          <w:instrText xml:space="preserve"> PAGEREF _Toc532482860 \h </w:instrText>
        </w:r>
        <w:r w:rsidR="004D5137">
          <w:rPr>
            <w:noProof/>
            <w:webHidden/>
          </w:rPr>
        </w:r>
        <w:r w:rsidR="004D5137">
          <w:rPr>
            <w:noProof/>
            <w:webHidden/>
          </w:rPr>
          <w:fldChar w:fldCharType="separate"/>
        </w:r>
        <w:r w:rsidR="004D5137">
          <w:rPr>
            <w:noProof/>
            <w:webHidden/>
          </w:rPr>
          <w:t>17</w:t>
        </w:r>
        <w:r w:rsidR="004D5137">
          <w:rPr>
            <w:noProof/>
            <w:webHidden/>
          </w:rPr>
          <w:fldChar w:fldCharType="end"/>
        </w:r>
      </w:hyperlink>
    </w:p>
    <w:p w14:paraId="7D31E23A" w14:textId="160F4B13" w:rsidR="004D5137" w:rsidRDefault="005D2113">
      <w:pPr>
        <w:pStyle w:val="TOC1"/>
        <w:rPr>
          <w:rFonts w:asciiTheme="minorHAnsi" w:eastAsiaTheme="minorEastAsia" w:hAnsiTheme="minorHAnsi" w:cstheme="minorBidi"/>
          <w:noProof/>
          <w:spacing w:val="0"/>
          <w:szCs w:val="22"/>
          <w:lang w:eastAsia="en-AU"/>
        </w:rPr>
      </w:pPr>
      <w:hyperlink w:anchor="_Toc532482861" w:history="1">
        <w:r w:rsidR="004D5137" w:rsidRPr="00AA6AC2">
          <w:rPr>
            <w:rStyle w:val="Hyperlink"/>
            <w:rFonts w:eastAsiaTheme="minorHAnsi"/>
            <w:noProof/>
            <w:lang w:eastAsia="en-AU"/>
          </w:rPr>
          <w:t>Appendix A - Notice published in the Weekend Australian on 14 November 2015</w:t>
        </w:r>
        <w:r w:rsidR="004D5137">
          <w:rPr>
            <w:noProof/>
            <w:webHidden/>
          </w:rPr>
          <w:tab/>
        </w:r>
        <w:r w:rsidR="004D5137">
          <w:rPr>
            <w:noProof/>
            <w:webHidden/>
          </w:rPr>
          <w:fldChar w:fldCharType="begin"/>
        </w:r>
        <w:r w:rsidR="004D5137">
          <w:rPr>
            <w:noProof/>
            <w:webHidden/>
          </w:rPr>
          <w:instrText xml:space="preserve"> PAGEREF _Toc532482861 \h </w:instrText>
        </w:r>
        <w:r w:rsidR="004D5137">
          <w:rPr>
            <w:noProof/>
            <w:webHidden/>
          </w:rPr>
        </w:r>
        <w:r w:rsidR="004D5137">
          <w:rPr>
            <w:noProof/>
            <w:webHidden/>
          </w:rPr>
          <w:fldChar w:fldCharType="separate"/>
        </w:r>
        <w:r w:rsidR="004D5137">
          <w:rPr>
            <w:noProof/>
            <w:webHidden/>
          </w:rPr>
          <w:t>18</w:t>
        </w:r>
        <w:r w:rsidR="004D5137">
          <w:rPr>
            <w:noProof/>
            <w:webHidden/>
          </w:rPr>
          <w:fldChar w:fldCharType="end"/>
        </w:r>
      </w:hyperlink>
    </w:p>
    <w:p w14:paraId="7DC0C952" w14:textId="4015E581" w:rsidR="004D5137" w:rsidRDefault="005D2113">
      <w:pPr>
        <w:pStyle w:val="TOC1"/>
        <w:rPr>
          <w:rFonts w:asciiTheme="minorHAnsi" w:eastAsiaTheme="minorEastAsia" w:hAnsiTheme="minorHAnsi" w:cstheme="minorBidi"/>
          <w:noProof/>
          <w:spacing w:val="0"/>
          <w:szCs w:val="22"/>
          <w:lang w:eastAsia="en-AU"/>
        </w:rPr>
      </w:pPr>
      <w:hyperlink w:anchor="_Toc532482862" w:history="1">
        <w:r w:rsidR="004D5137" w:rsidRPr="00AA6AC2">
          <w:rPr>
            <w:rStyle w:val="Hyperlink"/>
            <w:rFonts w:eastAsiaTheme="minorHAnsi"/>
            <w:noProof/>
            <w:lang w:eastAsia="en-AU"/>
          </w:rPr>
          <w:t>Appendix B – Second  Audit Report, Addendum report and key assumptions and limitations</w:t>
        </w:r>
        <w:r w:rsidR="004D5137">
          <w:rPr>
            <w:noProof/>
            <w:webHidden/>
          </w:rPr>
          <w:tab/>
        </w:r>
        <w:r w:rsidR="004D5137">
          <w:rPr>
            <w:noProof/>
            <w:webHidden/>
          </w:rPr>
          <w:fldChar w:fldCharType="begin"/>
        </w:r>
        <w:r w:rsidR="004D5137">
          <w:rPr>
            <w:noProof/>
            <w:webHidden/>
          </w:rPr>
          <w:instrText xml:space="preserve"> PAGEREF _Toc532482862 \h </w:instrText>
        </w:r>
        <w:r w:rsidR="004D5137">
          <w:rPr>
            <w:noProof/>
            <w:webHidden/>
          </w:rPr>
        </w:r>
        <w:r w:rsidR="004D5137">
          <w:rPr>
            <w:noProof/>
            <w:webHidden/>
          </w:rPr>
          <w:fldChar w:fldCharType="separate"/>
        </w:r>
        <w:r w:rsidR="004D5137">
          <w:rPr>
            <w:noProof/>
            <w:webHidden/>
          </w:rPr>
          <w:t>19</w:t>
        </w:r>
        <w:r w:rsidR="004D5137">
          <w:rPr>
            <w:noProof/>
            <w:webHidden/>
          </w:rPr>
          <w:fldChar w:fldCharType="end"/>
        </w:r>
      </w:hyperlink>
    </w:p>
    <w:p w14:paraId="67F85189" w14:textId="67D5FC90" w:rsidR="004D5137" w:rsidRDefault="005D2113">
      <w:pPr>
        <w:pStyle w:val="TOC1"/>
        <w:rPr>
          <w:rFonts w:asciiTheme="minorHAnsi" w:eastAsiaTheme="minorEastAsia" w:hAnsiTheme="minorHAnsi" w:cstheme="minorBidi"/>
          <w:noProof/>
          <w:spacing w:val="0"/>
          <w:szCs w:val="22"/>
          <w:lang w:eastAsia="en-AU"/>
        </w:rPr>
      </w:pPr>
      <w:hyperlink w:anchor="_Toc532482863" w:history="1">
        <w:r w:rsidR="004D5137" w:rsidRPr="00AA6AC2">
          <w:rPr>
            <w:rStyle w:val="Hyperlink"/>
            <w:rFonts w:eastAsiaTheme="minorHAnsi"/>
            <w:noProof/>
            <w:lang w:eastAsia="en-AU"/>
          </w:rPr>
          <w:t>Appendix C – Third Audit Report – key assumptions and limitations</w:t>
        </w:r>
        <w:r w:rsidR="004D5137">
          <w:rPr>
            <w:noProof/>
            <w:webHidden/>
          </w:rPr>
          <w:tab/>
        </w:r>
        <w:r w:rsidR="004D5137">
          <w:rPr>
            <w:noProof/>
            <w:webHidden/>
          </w:rPr>
          <w:fldChar w:fldCharType="begin"/>
        </w:r>
        <w:r w:rsidR="004D5137">
          <w:rPr>
            <w:noProof/>
            <w:webHidden/>
          </w:rPr>
          <w:instrText xml:space="preserve"> PAGEREF _Toc532482863 \h </w:instrText>
        </w:r>
        <w:r w:rsidR="004D5137">
          <w:rPr>
            <w:noProof/>
            <w:webHidden/>
          </w:rPr>
        </w:r>
        <w:r w:rsidR="004D5137">
          <w:rPr>
            <w:noProof/>
            <w:webHidden/>
          </w:rPr>
          <w:fldChar w:fldCharType="separate"/>
        </w:r>
        <w:r w:rsidR="004D5137">
          <w:rPr>
            <w:noProof/>
            <w:webHidden/>
          </w:rPr>
          <w:t>21</w:t>
        </w:r>
        <w:r w:rsidR="004D5137">
          <w:rPr>
            <w:noProof/>
            <w:webHidden/>
          </w:rPr>
          <w:fldChar w:fldCharType="end"/>
        </w:r>
      </w:hyperlink>
    </w:p>
    <w:p w14:paraId="1094DD98" w14:textId="44E4A5B2" w:rsidR="00BF0029" w:rsidRPr="00181475" w:rsidRDefault="00BF0029" w:rsidP="00BF0029">
      <w:r>
        <w:fldChar w:fldCharType="end"/>
      </w:r>
    </w:p>
    <w:p w14:paraId="3A05C605" w14:textId="0BA1C796" w:rsidR="006921A0" w:rsidRDefault="00BF0029" w:rsidP="00AB7A7E">
      <w:pPr>
        <w:pStyle w:val="Heading1"/>
      </w:pPr>
      <w:r>
        <w:rPr>
          <w:lang w:eastAsia="en-AU"/>
        </w:rPr>
        <w:br w:type="page"/>
      </w:r>
      <w:bookmarkStart w:id="4" w:name="_Toc527622012"/>
      <w:bookmarkStart w:id="5" w:name="_Toc532482850"/>
      <w:r w:rsidR="006921A0">
        <w:lastRenderedPageBreak/>
        <w:t>Summary</w:t>
      </w:r>
      <w:bookmarkEnd w:id="4"/>
      <w:bookmarkEnd w:id="5"/>
      <w:r w:rsidR="006921A0">
        <w:tab/>
      </w:r>
    </w:p>
    <w:p w14:paraId="555F1A7C" w14:textId="0C8094BE" w:rsidR="00984052" w:rsidRDefault="00984052" w:rsidP="00941730">
      <w:pPr>
        <w:spacing w:before="0" w:after="120"/>
      </w:pPr>
      <w:r w:rsidRPr="00375D1A">
        <w:t>Baiada Poultry Pty Limited</w:t>
      </w:r>
      <w:r w:rsidR="00CB3C81" w:rsidRPr="00375D1A">
        <w:t xml:space="preserve"> [ACN </w:t>
      </w:r>
      <w:r w:rsidR="00EA075D" w:rsidRPr="00375D1A">
        <w:t>002 925 948</w:t>
      </w:r>
      <w:r w:rsidR="00CB3C81" w:rsidRPr="00375D1A">
        <w:t xml:space="preserve">] </w:t>
      </w:r>
      <w:r w:rsidRPr="00375D1A">
        <w:t>(Baiada) is one of Australia’s largest producers of</w:t>
      </w:r>
      <w:r>
        <w:t xml:space="preserve"> poultry meat.</w:t>
      </w:r>
    </w:p>
    <w:p w14:paraId="33FB6A74" w14:textId="1F194018" w:rsidR="00984052" w:rsidRDefault="00CB3C81" w:rsidP="00941730">
      <w:pPr>
        <w:spacing w:before="0" w:after="120"/>
      </w:pPr>
      <w:r>
        <w:t>Baiada</w:t>
      </w:r>
      <w:r w:rsidR="00984052" w:rsidRPr="0041664C">
        <w:t xml:space="preserve"> entered into a compliance partnershi</w:t>
      </w:r>
      <w:r w:rsidR="00984052">
        <w:t>p with the Fair Work Ombudsman (FWO)</w:t>
      </w:r>
      <w:r w:rsidR="00984052" w:rsidRPr="0041664C">
        <w:t xml:space="preserve"> in </w:t>
      </w:r>
      <w:r w:rsidR="00984052">
        <w:t xml:space="preserve">October </w:t>
      </w:r>
      <w:r w:rsidR="00984052" w:rsidRPr="0041664C">
        <w:t>2015</w:t>
      </w:r>
      <w:r w:rsidR="00984052">
        <w:t xml:space="preserve">. Underpinned by a </w:t>
      </w:r>
      <w:r w:rsidR="00984052" w:rsidRPr="00834154">
        <w:t>Proactive Compliance Deed (PCD)</w:t>
      </w:r>
      <w:r w:rsidR="00984052">
        <w:rPr>
          <w:rStyle w:val="FootnoteReference"/>
        </w:rPr>
        <w:footnoteReference w:id="1"/>
      </w:r>
      <w:r w:rsidR="00984052">
        <w:t>, the overarching objective of the compliance partnership was to drive ongoing and sustainable compliance across Baiada’s labour supply chain.</w:t>
      </w:r>
    </w:p>
    <w:p w14:paraId="48E8FA4D" w14:textId="30A8DA58" w:rsidR="006541BF" w:rsidRPr="00375D1A" w:rsidRDefault="009E64AF" w:rsidP="00941730">
      <w:pPr>
        <w:spacing w:before="0" w:after="120"/>
      </w:pPr>
      <w:r>
        <w:t>Because</w:t>
      </w:r>
      <w:r w:rsidR="006541BF">
        <w:t xml:space="preserve"> of the compliance partnership, </w:t>
      </w:r>
      <w:r w:rsidR="006541BF" w:rsidRPr="00603E19">
        <w:t xml:space="preserve">Baiada </w:t>
      </w:r>
      <w:r w:rsidR="006541BF">
        <w:t>now has greater</w:t>
      </w:r>
      <w:r w:rsidR="006541BF" w:rsidRPr="00603E19">
        <w:t xml:space="preserve"> capability to </w:t>
      </w:r>
      <w:r w:rsidR="006541BF">
        <w:t xml:space="preserve">prevent, </w:t>
      </w:r>
      <w:r w:rsidR="006541BF" w:rsidRPr="00603E19">
        <w:t xml:space="preserve">detect and </w:t>
      </w:r>
      <w:r w:rsidR="006541BF" w:rsidRPr="00375D1A">
        <w:t>respond to non-compliance at all of its poultry processing facilities.</w:t>
      </w:r>
    </w:p>
    <w:p w14:paraId="3CFE0BA7" w14:textId="2E1C706F" w:rsidR="00984052" w:rsidRPr="00375D1A" w:rsidRDefault="00CB3C81" w:rsidP="00941730">
      <w:pPr>
        <w:spacing w:before="0" w:after="120"/>
      </w:pPr>
      <w:r w:rsidRPr="00375D1A">
        <w:t xml:space="preserve">The </w:t>
      </w:r>
      <w:r w:rsidR="00984052" w:rsidRPr="00375D1A">
        <w:t>compliance partnership</w:t>
      </w:r>
      <w:r w:rsidRPr="00375D1A">
        <w:t xml:space="preserve"> outcomes included:</w:t>
      </w:r>
    </w:p>
    <w:p w14:paraId="73B1B7C1" w14:textId="759E347C" w:rsidR="00F9695A" w:rsidRPr="00375D1A" w:rsidRDefault="00CB3C81" w:rsidP="00941730">
      <w:pPr>
        <w:pStyle w:val="Bullet"/>
      </w:pPr>
      <w:r w:rsidRPr="00375D1A">
        <w:t>rectification o</w:t>
      </w:r>
      <w:r w:rsidR="0078713D" w:rsidRPr="00375D1A">
        <w:t xml:space="preserve">f </w:t>
      </w:r>
      <w:r w:rsidR="00984052" w:rsidRPr="00375D1A">
        <w:t xml:space="preserve">over </w:t>
      </w:r>
      <w:r w:rsidR="00036791" w:rsidRPr="00375D1A">
        <w:t>$340,000 to 296 workers</w:t>
      </w:r>
      <w:r w:rsidR="000C1097" w:rsidRPr="00375D1A">
        <w:t xml:space="preserve"> (most of which</w:t>
      </w:r>
      <w:r w:rsidR="00036791" w:rsidRPr="00375D1A">
        <w:t xml:space="preserve"> occurred in the first 12 months of the PCD’s operation</w:t>
      </w:r>
      <w:r w:rsidR="00036791" w:rsidRPr="00375D1A">
        <w:rPr>
          <w:rStyle w:val="FootnoteReference"/>
        </w:rPr>
        <w:footnoteReference w:id="2"/>
      </w:r>
      <w:r w:rsidR="000C1097" w:rsidRPr="00375D1A">
        <w:t>)</w:t>
      </w:r>
    </w:p>
    <w:p w14:paraId="3DB29028" w14:textId="204AD62E" w:rsidR="00984052" w:rsidRPr="00375D1A" w:rsidRDefault="00984052" w:rsidP="00941730">
      <w:pPr>
        <w:pStyle w:val="Bullet"/>
      </w:pPr>
      <w:r w:rsidRPr="00375D1A">
        <w:t xml:space="preserve">$450 000 paid to </w:t>
      </w:r>
      <w:r w:rsidR="00CB3C81" w:rsidRPr="00375D1A">
        <w:t>charitable organisations</w:t>
      </w:r>
    </w:p>
    <w:p w14:paraId="73B188BB" w14:textId="515074D4" w:rsidR="00984052" w:rsidRPr="00375D1A" w:rsidRDefault="0078713D" w:rsidP="00941730">
      <w:pPr>
        <w:pStyle w:val="Bullet"/>
      </w:pPr>
      <w:r w:rsidRPr="00375D1A">
        <w:t xml:space="preserve">implementation of </w:t>
      </w:r>
      <w:r w:rsidR="00984052" w:rsidRPr="00375D1A">
        <w:t xml:space="preserve">best practice supply chain governance measures, including a centralised payroll system </w:t>
      </w:r>
      <w:r w:rsidR="007517B1" w:rsidRPr="00375D1A">
        <w:t>that contractors must now use</w:t>
      </w:r>
    </w:p>
    <w:p w14:paraId="4F727BAB" w14:textId="169EC58E" w:rsidR="00CB3C81" w:rsidRDefault="007517B1" w:rsidP="00941730">
      <w:pPr>
        <w:pStyle w:val="Bullet"/>
      </w:pPr>
      <w:r>
        <w:t>termination of non-comp</w:t>
      </w:r>
      <w:r w:rsidR="0078713D">
        <w:t>l</w:t>
      </w:r>
      <w:r>
        <w:t xml:space="preserve">iant contractors </w:t>
      </w:r>
    </w:p>
    <w:p w14:paraId="6E9AD29E" w14:textId="7183C7A8" w:rsidR="00984052" w:rsidRPr="00340BBF" w:rsidRDefault="0078713D" w:rsidP="00941730">
      <w:pPr>
        <w:pStyle w:val="Bullet"/>
      </w:pPr>
      <w:proofErr w:type="gramStart"/>
      <w:r>
        <w:t>significant</w:t>
      </w:r>
      <w:proofErr w:type="gramEnd"/>
      <w:r>
        <w:t xml:space="preserve"> rise in overall compliance as identified through </w:t>
      </w:r>
      <w:r w:rsidR="007517B1">
        <w:t xml:space="preserve">three independent </w:t>
      </w:r>
      <w:r w:rsidR="00984052" w:rsidRPr="00340BBF">
        <w:t>audit</w:t>
      </w:r>
      <w:r w:rsidR="007517B1">
        <w:t>s</w:t>
      </w:r>
      <w:r w:rsidR="00984052" w:rsidRPr="00340BBF">
        <w:t xml:space="preserve"> </w:t>
      </w:r>
      <w:r w:rsidR="007517B1">
        <w:t xml:space="preserve">by </w:t>
      </w:r>
      <w:r w:rsidR="00984052" w:rsidRPr="00340BBF">
        <w:t xml:space="preserve">Deloitte </w:t>
      </w:r>
      <w:proofErr w:type="spellStart"/>
      <w:r w:rsidR="00984052" w:rsidRPr="00340BBF">
        <w:t>Touche</w:t>
      </w:r>
      <w:proofErr w:type="spellEnd"/>
      <w:r w:rsidR="00984052" w:rsidRPr="00340BBF">
        <w:t xml:space="preserve"> </w:t>
      </w:r>
      <w:proofErr w:type="spellStart"/>
      <w:r w:rsidR="00984052" w:rsidRPr="00340BBF">
        <w:t>Toma</w:t>
      </w:r>
      <w:r w:rsidR="006262D9">
        <w:t>tsu</w:t>
      </w:r>
      <w:proofErr w:type="spellEnd"/>
      <w:r w:rsidR="006262D9">
        <w:t>;</w:t>
      </w:r>
      <w:r>
        <w:t xml:space="preserve"> </w:t>
      </w:r>
      <w:r w:rsidR="00984052" w:rsidRPr="00340BBF">
        <w:t xml:space="preserve">the second and third of which </w:t>
      </w:r>
      <w:r w:rsidR="007517B1">
        <w:t xml:space="preserve">identified </w:t>
      </w:r>
      <w:r>
        <w:t>no underpayments</w:t>
      </w:r>
      <w:r w:rsidR="00984052">
        <w:t>.</w:t>
      </w:r>
    </w:p>
    <w:p w14:paraId="53D5E81B" w14:textId="1F476975" w:rsidR="00984052" w:rsidRDefault="00984052" w:rsidP="00941730">
      <w:pPr>
        <w:spacing w:before="0" w:after="120"/>
        <w:jc w:val="both"/>
      </w:pPr>
      <w:r>
        <w:t xml:space="preserve">The </w:t>
      </w:r>
      <w:r w:rsidR="00CB3C81">
        <w:t>majority o</w:t>
      </w:r>
      <w:r>
        <w:t xml:space="preserve">f the obligations prescribed by the PCD were satisfied in the first 12 months of its operation. </w:t>
      </w:r>
      <w:r w:rsidR="00536E67">
        <w:t xml:space="preserve">These outcomes are </w:t>
      </w:r>
      <w:r w:rsidR="009E64AF">
        <w:t>contained</w:t>
      </w:r>
      <w:r>
        <w:t xml:space="preserve"> in the </w:t>
      </w:r>
      <w:r w:rsidR="009E64AF">
        <w:t>FWO’s Interim Report on the compliance</w:t>
      </w:r>
      <w:r w:rsidRPr="00340BBF">
        <w:t xml:space="preserve"> partnership with Baiada </w:t>
      </w:r>
      <w:r>
        <w:t>published on 26 November 2016</w:t>
      </w:r>
      <w:r w:rsidR="00CA0F8F">
        <w:t xml:space="preserve"> (Interim PCD Report).</w:t>
      </w:r>
      <w:r>
        <w:rPr>
          <w:rStyle w:val="FootnoteReference"/>
        </w:rPr>
        <w:footnoteReference w:id="3"/>
      </w:r>
    </w:p>
    <w:p w14:paraId="766741CA" w14:textId="640D9893" w:rsidR="00984052" w:rsidRDefault="00F70FCC" w:rsidP="00941730">
      <w:pPr>
        <w:spacing w:before="0" w:after="120"/>
        <w:jc w:val="both"/>
      </w:pPr>
      <w:r>
        <w:t>Concluding in June 2018, t</w:t>
      </w:r>
      <w:r w:rsidR="00984052">
        <w:t xml:space="preserve">his report outlines the background to </w:t>
      </w:r>
      <w:r w:rsidR="008B4A2B">
        <w:t xml:space="preserve">the FWO’s </w:t>
      </w:r>
      <w:r w:rsidR="00984052">
        <w:t xml:space="preserve">compliance partnership with Baiada and describes the key outcomes. </w:t>
      </w:r>
    </w:p>
    <w:p w14:paraId="08D92543" w14:textId="492538E0" w:rsidR="00F70FCC" w:rsidRDefault="00F70FCC">
      <w:pPr>
        <w:spacing w:before="0" w:line="240" w:lineRule="auto"/>
      </w:pPr>
      <w:r>
        <w:br w:type="page"/>
      </w:r>
    </w:p>
    <w:p w14:paraId="6D88A60C" w14:textId="1826AD1B" w:rsidR="006921A0" w:rsidRDefault="006921A0" w:rsidP="00AB7A7E">
      <w:pPr>
        <w:pStyle w:val="Heading1"/>
      </w:pPr>
      <w:bookmarkStart w:id="6" w:name="_Toc527622013"/>
      <w:bookmarkStart w:id="7" w:name="_Toc532482851"/>
      <w:r>
        <w:lastRenderedPageBreak/>
        <w:t>Background</w:t>
      </w:r>
      <w:bookmarkEnd w:id="6"/>
      <w:bookmarkEnd w:id="7"/>
    </w:p>
    <w:p w14:paraId="172E3B50" w14:textId="1FAA9663" w:rsidR="006562D1" w:rsidRDefault="006562D1" w:rsidP="00941730">
      <w:pPr>
        <w:spacing w:before="0" w:after="120"/>
      </w:pPr>
      <w:bookmarkStart w:id="8" w:name="_Toc527622014"/>
      <w:r>
        <w:t xml:space="preserve">Baiada Poultry Pty Limited </w:t>
      </w:r>
      <w:r w:rsidRPr="00B6255B">
        <w:t>[</w:t>
      </w:r>
      <w:r w:rsidRPr="0076117E">
        <w:t xml:space="preserve">ACN </w:t>
      </w:r>
      <w:r w:rsidR="00366ADA" w:rsidRPr="00B6255B">
        <w:t>002</w:t>
      </w:r>
      <w:r w:rsidR="00366ADA">
        <w:t xml:space="preserve"> </w:t>
      </w:r>
      <w:r w:rsidR="00366ADA" w:rsidRPr="00EA075D">
        <w:t>925</w:t>
      </w:r>
      <w:r w:rsidR="00366ADA">
        <w:t xml:space="preserve"> </w:t>
      </w:r>
      <w:r w:rsidR="00366ADA" w:rsidRPr="00EA075D">
        <w:t>948</w:t>
      </w:r>
      <w:r>
        <w:t>] (Baiada</w:t>
      </w:r>
      <w:r w:rsidR="00B71D93">
        <w:t>) is</w:t>
      </w:r>
      <w:r w:rsidR="00CA0F8F">
        <w:t xml:space="preserve"> </w:t>
      </w:r>
      <w:r w:rsidR="00984052">
        <w:t xml:space="preserve">an Australian-owned private company that </w:t>
      </w:r>
      <w:r w:rsidR="00984052" w:rsidRPr="008B0379">
        <w:t xml:space="preserve">operates a </w:t>
      </w:r>
      <w:r w:rsidR="00984052">
        <w:t xml:space="preserve">vertically integrated </w:t>
      </w:r>
      <w:r w:rsidR="00984052" w:rsidRPr="0008113E">
        <w:t>poultry growing, processing and supply operation</w:t>
      </w:r>
      <w:r w:rsidR="00984052">
        <w:t>.</w:t>
      </w:r>
      <w:r w:rsidR="00984052" w:rsidRPr="0008113E">
        <w:rPr>
          <w:rStyle w:val="FootnoteReference"/>
        </w:rPr>
        <w:footnoteReference w:id="4"/>
      </w:r>
      <w:r w:rsidR="00B71D93">
        <w:t xml:space="preserve"> </w:t>
      </w:r>
      <w:r w:rsidR="00984052">
        <w:t>Headquartered in Pendle Hill in Sydney, the company employs over 4000 staff across its operations.</w:t>
      </w:r>
      <w:r w:rsidR="00984052">
        <w:rPr>
          <w:rStyle w:val="FootnoteReference"/>
        </w:rPr>
        <w:footnoteReference w:id="5"/>
      </w:r>
      <w:r w:rsidR="00984052">
        <w:t xml:space="preserve"> </w:t>
      </w:r>
    </w:p>
    <w:p w14:paraId="1505DFE9" w14:textId="6E580531" w:rsidR="00984052" w:rsidRDefault="00984052" w:rsidP="00941730">
      <w:pPr>
        <w:spacing w:before="0" w:after="120"/>
      </w:pPr>
      <w:r w:rsidRPr="008B0379">
        <w:t>Baiada is one of Australia’s large</w:t>
      </w:r>
      <w:r>
        <w:t xml:space="preserve">st poultry processing companies, </w:t>
      </w:r>
      <w:r w:rsidRPr="008B0379">
        <w:t xml:space="preserve">producing the </w:t>
      </w:r>
      <w:proofErr w:type="spellStart"/>
      <w:r w:rsidRPr="008B0379">
        <w:t>Steggles</w:t>
      </w:r>
      <w:proofErr w:type="spellEnd"/>
      <w:r>
        <w:t xml:space="preserve"> and</w:t>
      </w:r>
      <w:r w:rsidRPr="008B0379">
        <w:t xml:space="preserve"> Lilydale </w:t>
      </w:r>
      <w:r w:rsidR="00B71D93">
        <w:t>free-range</w:t>
      </w:r>
      <w:r>
        <w:t xml:space="preserve"> chicken</w:t>
      </w:r>
      <w:r w:rsidRPr="008B0379">
        <w:t xml:space="preserve"> brands with a </w:t>
      </w:r>
      <w:r>
        <w:t xml:space="preserve">combined </w:t>
      </w:r>
      <w:r w:rsidRPr="008B0379">
        <w:t xml:space="preserve">market share </w:t>
      </w:r>
      <w:r w:rsidRPr="00FE15E0">
        <w:t>of 24.4%,</w:t>
      </w:r>
      <w:r>
        <w:t xml:space="preserve"> and generating over $1.5 billion in revenue in the 2017-18 financial year.</w:t>
      </w:r>
      <w:r>
        <w:rPr>
          <w:rStyle w:val="FootnoteReference"/>
        </w:rPr>
        <w:footnoteReference w:id="6"/>
      </w:r>
    </w:p>
    <w:p w14:paraId="530F46B3" w14:textId="41CC0F9A" w:rsidR="00722A74" w:rsidRDefault="00AE1B9F" w:rsidP="00941730">
      <w:pPr>
        <w:spacing w:before="0" w:after="120"/>
      </w:pPr>
      <w:r w:rsidRPr="00722A74">
        <w:t xml:space="preserve">While poultry processing market share is dominated by two lead firms (Baiada and </w:t>
      </w:r>
      <w:proofErr w:type="spellStart"/>
      <w:r w:rsidRPr="00722A74">
        <w:t>Inghams</w:t>
      </w:r>
      <w:proofErr w:type="spellEnd"/>
      <w:r w:rsidR="00722A74" w:rsidRPr="00722A74">
        <w:t>, who together account for over 50% of industry revenue</w:t>
      </w:r>
      <w:r w:rsidRPr="00722A74">
        <w:t xml:space="preserve">), </w:t>
      </w:r>
      <w:r w:rsidR="00B71D93">
        <w:t xml:space="preserve">there is high </w:t>
      </w:r>
      <w:r w:rsidRPr="00722A74">
        <w:t>competition in the sector</w:t>
      </w:r>
      <w:r w:rsidR="00B71D93">
        <w:t>.</w:t>
      </w:r>
      <w:r w:rsidRPr="00722A74">
        <w:t xml:space="preserve"> </w:t>
      </w:r>
    </w:p>
    <w:p w14:paraId="0D26E71E" w14:textId="37691209" w:rsidR="00722A74" w:rsidRDefault="00722A74" w:rsidP="00941730">
      <w:pPr>
        <w:spacing w:before="0" w:after="120"/>
      </w:pPr>
      <w:r>
        <w:t>Poultry is the most consumed meat in Australia. In 2017/18, poultry processing was a $6.4 billion industry. Chicken meat accounts for over 90% of industry revenue, with other poultry varieties including duck, goose, turkey and game birds.</w:t>
      </w:r>
      <w:r>
        <w:rPr>
          <w:rStyle w:val="FootnoteReference"/>
        </w:rPr>
        <w:footnoteReference w:id="7"/>
      </w:r>
      <w:r>
        <w:t xml:space="preserve"> The major buyers of processed poultry meat are supermarkets (38.4%), food-service establishments (29.8%) and wholesalers (13.1%).</w:t>
      </w:r>
      <w:r>
        <w:rPr>
          <w:rStyle w:val="FootnoteReference"/>
        </w:rPr>
        <w:footnoteReference w:id="8"/>
      </w:r>
      <w:r>
        <w:t xml:space="preserve"> Fast-food outlets are </w:t>
      </w:r>
      <w:r w:rsidR="00CF7F09">
        <w:t xml:space="preserve">also </w:t>
      </w:r>
      <w:r>
        <w:t>a major market for chicken products.</w:t>
      </w:r>
      <w:r>
        <w:rPr>
          <w:rStyle w:val="FootnoteReference"/>
        </w:rPr>
        <w:footnoteReference w:id="9"/>
      </w:r>
    </w:p>
    <w:p w14:paraId="659CFDDC" w14:textId="752830D2" w:rsidR="00722A74" w:rsidRDefault="00722A74" w:rsidP="00941730">
      <w:pPr>
        <w:spacing w:before="0" w:after="120"/>
      </w:pPr>
      <w:r>
        <w:t xml:space="preserve">Consumer preferences are changing with rising health consciousness driving greater demand for organic and free-range poultry meat. Time-poor consumers are also demanding </w:t>
      </w:r>
      <w:r w:rsidR="00CF7F09">
        <w:t>‘</w:t>
      </w:r>
      <w:r>
        <w:t>value-added</w:t>
      </w:r>
      <w:r w:rsidR="00CF7F09">
        <w:t>’</w:t>
      </w:r>
      <w:r>
        <w:t xml:space="preserve"> products such as pre-cooked, marinated, seasoned and stuffed poultry products. At the same time, the rising number of vegetarians and vegans in Australia has negatively affected demand for poultry over the past five years.</w:t>
      </w:r>
      <w:r>
        <w:rPr>
          <w:rStyle w:val="FootnoteReference"/>
        </w:rPr>
        <w:footnoteReference w:id="10"/>
      </w:r>
    </w:p>
    <w:p w14:paraId="10D439E7" w14:textId="4EE742B9" w:rsidR="007F5B64" w:rsidRDefault="007F5B64" w:rsidP="00941730">
      <w:pPr>
        <w:spacing w:before="0" w:after="120"/>
      </w:pPr>
      <w:r w:rsidRPr="00603E19">
        <w:t xml:space="preserve">In November 2013, the </w:t>
      </w:r>
      <w:r>
        <w:t>FWO</w:t>
      </w:r>
      <w:r w:rsidRPr="00603E19">
        <w:t xml:space="preserve"> commenced an </w:t>
      </w:r>
      <w:r w:rsidRPr="006A5D91">
        <w:t xml:space="preserve">Inquiry into the labour procurement arrangements of the Baiada Group </w:t>
      </w:r>
      <w:r>
        <w:t xml:space="preserve">at </w:t>
      </w:r>
      <w:r w:rsidR="00CF7F09">
        <w:t>its</w:t>
      </w:r>
      <w:r>
        <w:t xml:space="preserve"> three New South Wales poultry processing facilities located in </w:t>
      </w:r>
      <w:r w:rsidRPr="00FE15E0">
        <w:t>Beresfield, Tamworth and Hanwood</w:t>
      </w:r>
      <w:r>
        <w:t xml:space="preserve"> </w:t>
      </w:r>
      <w:r w:rsidRPr="00603E19">
        <w:t>(Baiada</w:t>
      </w:r>
      <w:r>
        <w:t xml:space="preserve"> Inquiry</w:t>
      </w:r>
      <w:r w:rsidRPr="00603E19">
        <w:t>)</w:t>
      </w:r>
      <w:r>
        <w:t>.</w:t>
      </w:r>
      <w:r w:rsidRPr="00603E19">
        <w:rPr>
          <w:vertAlign w:val="superscript"/>
        </w:rPr>
        <w:footnoteReference w:id="11"/>
      </w:r>
    </w:p>
    <w:p w14:paraId="75BF16B6" w14:textId="1C6ABB91" w:rsidR="00994635" w:rsidRDefault="006562D1" w:rsidP="00994635">
      <w:pPr>
        <w:spacing w:before="0" w:after="120"/>
      </w:pPr>
      <w:r>
        <w:t xml:space="preserve">The Inquiry findings led </w:t>
      </w:r>
      <w:r w:rsidR="00CA0F8F">
        <w:t xml:space="preserve">Baiada </w:t>
      </w:r>
      <w:r w:rsidR="005A54CF">
        <w:t>to enter</w:t>
      </w:r>
      <w:r w:rsidR="00CA0F8F" w:rsidRPr="0041664C">
        <w:t xml:space="preserve"> into a compliance partnershi</w:t>
      </w:r>
      <w:r w:rsidR="00CA0F8F">
        <w:t>p with the FWO</w:t>
      </w:r>
      <w:r w:rsidR="00CA0F8F" w:rsidRPr="0041664C">
        <w:t xml:space="preserve"> in </w:t>
      </w:r>
      <w:r w:rsidR="00CA0F8F">
        <w:t xml:space="preserve">October </w:t>
      </w:r>
      <w:r w:rsidR="00CA0F8F" w:rsidRPr="0041664C">
        <w:t>2015</w:t>
      </w:r>
      <w:r>
        <w:t xml:space="preserve">. </w:t>
      </w:r>
    </w:p>
    <w:p w14:paraId="63DAAA28" w14:textId="77777777" w:rsidR="00994635" w:rsidRDefault="00994635">
      <w:pPr>
        <w:spacing w:before="0" w:line="240" w:lineRule="auto"/>
      </w:pPr>
      <w:r>
        <w:br w:type="page"/>
      </w:r>
    </w:p>
    <w:p w14:paraId="13C0B75A" w14:textId="3ED74764" w:rsidR="00CA0F8F" w:rsidRDefault="006562D1" w:rsidP="00941730">
      <w:pPr>
        <w:spacing w:before="0" w:after="120"/>
      </w:pPr>
      <w:r>
        <w:lastRenderedPageBreak/>
        <w:t>The objectives of the partnership were</w:t>
      </w:r>
      <w:r w:rsidR="00CA0F8F" w:rsidRPr="0041664C">
        <w:t xml:space="preserve"> to:</w:t>
      </w:r>
    </w:p>
    <w:p w14:paraId="6346AF97" w14:textId="0417BC81" w:rsidR="00CA0F8F" w:rsidRDefault="00CA0F8F" w:rsidP="005A3957">
      <w:pPr>
        <w:pStyle w:val="Bullet"/>
      </w:pPr>
      <w:r>
        <w:t xml:space="preserve">address significant non-compliance identified in the Baiada Inquiry, by </w:t>
      </w:r>
      <w:r w:rsidR="00DC09C0">
        <w:t xml:space="preserve">contractors </w:t>
      </w:r>
      <w:r>
        <w:t xml:space="preserve">supplying </w:t>
      </w:r>
      <w:r w:rsidR="00E04EC0">
        <w:t xml:space="preserve">services </w:t>
      </w:r>
      <w:r>
        <w:t>to Baiada’s poultry processing facilities</w:t>
      </w:r>
      <w:r>
        <w:rPr>
          <w:rStyle w:val="FootnoteReference"/>
        </w:rPr>
        <w:footnoteReference w:id="12"/>
      </w:r>
    </w:p>
    <w:p w14:paraId="29CB2107" w14:textId="77777777" w:rsidR="00CA0F8F" w:rsidRDefault="00CA0F8F" w:rsidP="005A3957">
      <w:pPr>
        <w:pStyle w:val="Bullet"/>
      </w:pPr>
      <w:proofErr w:type="gramStart"/>
      <w:r>
        <w:t>transform</w:t>
      </w:r>
      <w:proofErr w:type="gramEnd"/>
      <w:r>
        <w:t xml:space="preserve"> its systems and </w:t>
      </w:r>
      <w:r w:rsidRPr="000F09B3">
        <w:t xml:space="preserve">practices </w:t>
      </w:r>
      <w:r>
        <w:t xml:space="preserve">to eradicate exploitation and </w:t>
      </w:r>
      <w:r w:rsidRPr="000F09B3">
        <w:t xml:space="preserve">ensure compliance with workplace laws </w:t>
      </w:r>
      <w:r>
        <w:t>by all businesses operating on Baiada sites.</w:t>
      </w:r>
    </w:p>
    <w:p w14:paraId="0F9356FA" w14:textId="579AEA50" w:rsidR="007F5B64" w:rsidRDefault="006562D1" w:rsidP="005A3957">
      <w:pPr>
        <w:pStyle w:val="Bullet"/>
        <w:numPr>
          <w:ilvl w:val="0"/>
          <w:numId w:val="0"/>
        </w:numPr>
      </w:pPr>
      <w:r>
        <w:t>The terms and undertakings contained in the proactive compliance deed [</w:t>
      </w:r>
      <w:r w:rsidR="007F5B64" w:rsidRPr="006A5D91">
        <w:t>PCD</w:t>
      </w:r>
      <w:r w:rsidR="005A54CF">
        <w:t>] that underpin</w:t>
      </w:r>
      <w:r>
        <w:t xml:space="preserve"> the compliance partnership relate</w:t>
      </w:r>
      <w:r w:rsidR="005A54CF">
        <w:t xml:space="preserve"> </w:t>
      </w:r>
      <w:r w:rsidR="007F5B64" w:rsidRPr="006A5D91">
        <w:t>to Baiada’s governance and oversight of workers</w:t>
      </w:r>
      <w:r w:rsidR="007F5B64">
        <w:t xml:space="preserve"> provided by contractors</w:t>
      </w:r>
      <w:r w:rsidR="007F5B64" w:rsidRPr="006A5D91">
        <w:t>.</w:t>
      </w:r>
      <w:r w:rsidR="007F5B64">
        <w:t xml:space="preserve"> It does not cover the majority of Baiada’s workforce who </w:t>
      </w:r>
      <w:proofErr w:type="gramStart"/>
      <w:r w:rsidR="007F5B64">
        <w:t>are directly engaged</w:t>
      </w:r>
      <w:proofErr w:type="gramEnd"/>
      <w:r w:rsidR="007F5B64">
        <w:t xml:space="preserve"> as employees of Baiada.</w:t>
      </w:r>
      <w:r w:rsidR="007F5B64">
        <w:rPr>
          <w:rStyle w:val="FootnoteReference"/>
        </w:rPr>
        <w:footnoteReference w:id="13"/>
      </w:r>
    </w:p>
    <w:p w14:paraId="650F2442" w14:textId="54D259BC" w:rsidR="00D72CC5" w:rsidRPr="008B0379" w:rsidRDefault="00D72CC5" w:rsidP="004C550D">
      <w:pPr>
        <w:spacing w:before="0" w:after="120"/>
      </w:pPr>
      <w:r>
        <w:t>T</w:t>
      </w:r>
      <w:r w:rsidRPr="0008113E">
        <w:t xml:space="preserve">he PCD </w:t>
      </w:r>
      <w:r w:rsidR="007F5B64">
        <w:t xml:space="preserve">also </w:t>
      </w:r>
      <w:r w:rsidRPr="0008113E">
        <w:t xml:space="preserve">only </w:t>
      </w:r>
      <w:r w:rsidR="007F5B64">
        <w:t xml:space="preserve">relates </w:t>
      </w:r>
      <w:r w:rsidRPr="0008113E">
        <w:t>to Baiada’s poultry processing activities.</w:t>
      </w:r>
      <w:r>
        <w:t xml:space="preserve"> </w:t>
      </w:r>
      <w:r w:rsidRPr="008B0379">
        <w:t>Baiada</w:t>
      </w:r>
      <w:r>
        <w:t xml:space="preserve"> </w:t>
      </w:r>
      <w:r w:rsidRPr="008B0379">
        <w:t xml:space="preserve">operates </w:t>
      </w:r>
      <w:r>
        <w:t xml:space="preserve">six poultry processing plants </w:t>
      </w:r>
      <w:r w:rsidR="00CF7F09">
        <w:t>in the following locations</w:t>
      </w:r>
      <w:r w:rsidRPr="008B0379">
        <w:t>:</w:t>
      </w:r>
    </w:p>
    <w:p w14:paraId="10EEDB1C" w14:textId="77777777" w:rsidR="00D72CC5" w:rsidRPr="00FE15E0" w:rsidRDefault="00D72CC5" w:rsidP="005A3957">
      <w:pPr>
        <w:pStyle w:val="Bullet"/>
      </w:pPr>
      <w:r w:rsidRPr="00FE15E0">
        <w:t>Beresfield, Tamworth and Hanwood in New South Wales</w:t>
      </w:r>
    </w:p>
    <w:p w14:paraId="36588090" w14:textId="77777777" w:rsidR="00D72CC5" w:rsidRPr="00FE15E0" w:rsidRDefault="00D72CC5" w:rsidP="005A3957">
      <w:pPr>
        <w:pStyle w:val="Bullet"/>
      </w:pPr>
      <w:r w:rsidRPr="00FE15E0">
        <w:t>Mareeba in Queensland</w:t>
      </w:r>
    </w:p>
    <w:p w14:paraId="7C48E169" w14:textId="77777777" w:rsidR="00D72CC5" w:rsidRPr="00FE15E0" w:rsidRDefault="00D72CC5" w:rsidP="005A3957">
      <w:pPr>
        <w:pStyle w:val="Bullet"/>
      </w:pPr>
      <w:r w:rsidRPr="00FE15E0">
        <w:t xml:space="preserve">Osborne Park in Western Australia </w:t>
      </w:r>
    </w:p>
    <w:p w14:paraId="12FC75D4" w14:textId="77777777" w:rsidR="00D72CC5" w:rsidRPr="00FE15E0" w:rsidRDefault="00D72CC5" w:rsidP="005A3957">
      <w:pPr>
        <w:pStyle w:val="Bullet"/>
      </w:pPr>
      <w:r>
        <w:t>Wingfield</w:t>
      </w:r>
      <w:r w:rsidRPr="00FE15E0">
        <w:t xml:space="preserve"> in South Australia</w:t>
      </w:r>
      <w:r>
        <w:t>.</w:t>
      </w:r>
      <w:r w:rsidRPr="00FE15E0">
        <w:rPr>
          <w:vertAlign w:val="superscript"/>
        </w:rPr>
        <w:footnoteReference w:id="14"/>
      </w:r>
    </w:p>
    <w:p w14:paraId="73D1EA7A" w14:textId="7750F70B" w:rsidR="00984052" w:rsidRDefault="00984052" w:rsidP="004C550D">
      <w:pPr>
        <w:spacing w:before="0" w:after="120"/>
      </w:pPr>
      <w:r>
        <w:t>The PCD committed Baiada to a comprehensive suite of measures</w:t>
      </w:r>
      <w:r w:rsidR="00CA0F8F">
        <w:t>,</w:t>
      </w:r>
      <w:r>
        <w:t xml:space="preserve"> including:</w:t>
      </w:r>
    </w:p>
    <w:p w14:paraId="571D3AF0" w14:textId="5A384386" w:rsidR="00984052" w:rsidRPr="00834154" w:rsidRDefault="00984052" w:rsidP="005A3957">
      <w:pPr>
        <w:pStyle w:val="Bullet"/>
      </w:pPr>
      <w:r w:rsidRPr="00834154">
        <w:t xml:space="preserve">publicly declaring its ethical and moral responsibility to ensure </w:t>
      </w:r>
      <w:r>
        <w:t xml:space="preserve">compliance in </w:t>
      </w:r>
      <w:r w:rsidRPr="00834154">
        <w:t xml:space="preserve">its labour </w:t>
      </w:r>
      <w:r>
        <w:t>supply chain</w:t>
      </w:r>
    </w:p>
    <w:p w14:paraId="176AE354" w14:textId="24C96F38" w:rsidR="00984052" w:rsidRPr="00834154" w:rsidRDefault="00984052" w:rsidP="005A3957">
      <w:pPr>
        <w:pStyle w:val="Bullet"/>
      </w:pPr>
      <w:r w:rsidRPr="00834154">
        <w:t xml:space="preserve">committing to make </w:t>
      </w:r>
      <w:r w:rsidR="00DC09C0">
        <w:t>ex</w:t>
      </w:r>
      <w:r w:rsidR="00D272E3">
        <w:t>-</w:t>
      </w:r>
      <w:r w:rsidRPr="00834154">
        <w:t xml:space="preserve">gratia payments where </w:t>
      </w:r>
      <w:r>
        <w:t>c</w:t>
      </w:r>
      <w:r w:rsidRPr="00834154">
        <w:t xml:space="preserve">ontractors </w:t>
      </w:r>
      <w:r>
        <w:t>failed to rectify underpayments</w:t>
      </w:r>
    </w:p>
    <w:p w14:paraId="7A9FD4B2" w14:textId="0009CD0E" w:rsidR="00984052" w:rsidRPr="00834154" w:rsidRDefault="00984052" w:rsidP="005A3957">
      <w:pPr>
        <w:pStyle w:val="Bullet"/>
      </w:pPr>
      <w:r w:rsidRPr="00834154">
        <w:t xml:space="preserve">setting aside </w:t>
      </w:r>
      <w:r>
        <w:t xml:space="preserve">$500 </w:t>
      </w:r>
      <w:r w:rsidRPr="00834154">
        <w:t xml:space="preserve">000 to reimburse workers underpaid by </w:t>
      </w:r>
      <w:r>
        <w:t>c</w:t>
      </w:r>
      <w:r w:rsidRPr="00834154">
        <w:t>ontractor</w:t>
      </w:r>
      <w:r>
        <w:t>s</w:t>
      </w:r>
      <w:r w:rsidRPr="00834154">
        <w:t xml:space="preserve"> in the 10-month period prior</w:t>
      </w:r>
      <w:r>
        <w:t xml:space="preserve"> to </w:t>
      </w:r>
      <w:r w:rsidR="00CF7F09">
        <w:t xml:space="preserve">the </w:t>
      </w:r>
      <w:r>
        <w:t>commencement of the PCD</w:t>
      </w:r>
    </w:p>
    <w:p w14:paraId="59B15437" w14:textId="77777777" w:rsidR="00D72CC5" w:rsidRPr="00E17B81" w:rsidRDefault="00D72CC5" w:rsidP="005A3957">
      <w:pPr>
        <w:pStyle w:val="Bullet"/>
      </w:pPr>
      <w:r w:rsidRPr="00E17B81">
        <w:t>establishing and promoting a dedicated</w:t>
      </w:r>
      <w:r>
        <w:t>,</w:t>
      </w:r>
      <w:r w:rsidRPr="00E17B81">
        <w:t xml:space="preserve"> multi-language hotline </w:t>
      </w:r>
      <w:r>
        <w:t xml:space="preserve">for </w:t>
      </w:r>
      <w:r w:rsidRPr="00E17B81">
        <w:t xml:space="preserve">enquiries </w:t>
      </w:r>
      <w:r>
        <w:t xml:space="preserve">and </w:t>
      </w:r>
      <w:r w:rsidRPr="00E17B81">
        <w:t xml:space="preserve">complaints </w:t>
      </w:r>
    </w:p>
    <w:p w14:paraId="02F8A3FE" w14:textId="72CD61FD" w:rsidR="00D72CC5" w:rsidRDefault="00D72CC5" w:rsidP="005A3957">
      <w:pPr>
        <w:pStyle w:val="Bullet"/>
      </w:pPr>
      <w:r w:rsidRPr="00E17B81">
        <w:t>maintaining a dedicated HR specialist to manage responses to inquiries and investigate complaints</w:t>
      </w:r>
    </w:p>
    <w:p w14:paraId="637F69BF" w14:textId="77777777" w:rsidR="00D72CC5" w:rsidRPr="00834154" w:rsidRDefault="00D72CC5" w:rsidP="005A3957">
      <w:pPr>
        <w:pStyle w:val="Bullet"/>
      </w:pPr>
      <w:r w:rsidRPr="00834154">
        <w:t xml:space="preserve">engaging workplace relations specialists to design and implement workplace relations training </w:t>
      </w:r>
      <w:r>
        <w:t>for w</w:t>
      </w:r>
      <w:r w:rsidRPr="00834154">
        <w:t xml:space="preserve">orkers and </w:t>
      </w:r>
      <w:r>
        <w:t>managers</w:t>
      </w:r>
    </w:p>
    <w:p w14:paraId="2A08BBC0" w14:textId="130C51A1" w:rsidR="00D72CC5" w:rsidRPr="00834154" w:rsidRDefault="00D72CC5" w:rsidP="005A3957">
      <w:pPr>
        <w:pStyle w:val="Bullet"/>
      </w:pPr>
      <w:r w:rsidRPr="00834154">
        <w:t>supply chain accountability measures</w:t>
      </w:r>
      <w:r>
        <w:t xml:space="preserve"> such as formalised c</w:t>
      </w:r>
      <w:r w:rsidRPr="00834154">
        <w:t xml:space="preserve">ontractor arrangements </w:t>
      </w:r>
      <w:r>
        <w:t>and regular</w:t>
      </w:r>
      <w:r w:rsidRPr="00834154">
        <w:t xml:space="preserve"> report</w:t>
      </w:r>
      <w:r>
        <w:t>ing</w:t>
      </w:r>
      <w:r w:rsidRPr="00834154">
        <w:t xml:space="preserve"> to the FWO</w:t>
      </w:r>
    </w:p>
    <w:p w14:paraId="3054F393" w14:textId="77777777" w:rsidR="00D72CC5" w:rsidRDefault="00984052" w:rsidP="005A3957">
      <w:pPr>
        <w:pStyle w:val="Bullet"/>
      </w:pPr>
      <w:r w:rsidRPr="00834154">
        <w:lastRenderedPageBreak/>
        <w:t xml:space="preserve">implementing systems and processes to </w:t>
      </w:r>
      <w:r>
        <w:t xml:space="preserve">track </w:t>
      </w:r>
      <w:r w:rsidRPr="00834154">
        <w:t xml:space="preserve">hours worked </w:t>
      </w:r>
      <w:r w:rsidR="00DC09C0">
        <w:t>by contract workers</w:t>
      </w:r>
    </w:p>
    <w:p w14:paraId="554A8B3F" w14:textId="0A981105" w:rsidR="00D72CC5" w:rsidRPr="00834154" w:rsidRDefault="00D72CC5" w:rsidP="005A3957">
      <w:pPr>
        <w:pStyle w:val="Bullet"/>
      </w:pPr>
      <w:r>
        <w:t xml:space="preserve">ensuring contractors maintain </w:t>
      </w:r>
      <w:r w:rsidRPr="00AD3E5A">
        <w:t xml:space="preserve">accurate and complete time and wages records </w:t>
      </w:r>
      <w:r>
        <w:t xml:space="preserve">and </w:t>
      </w:r>
      <w:r w:rsidRPr="00834154">
        <w:t>requiring weekly payment of wages</w:t>
      </w:r>
      <w:r>
        <w:t xml:space="preserve"> </w:t>
      </w:r>
      <w:r w:rsidRPr="00834154">
        <w:t>in a manner verifiabl</w:t>
      </w:r>
      <w:r>
        <w:t>e by an independent third party</w:t>
      </w:r>
    </w:p>
    <w:p w14:paraId="4C97639F" w14:textId="044FAD6C" w:rsidR="00984052" w:rsidRPr="00834154" w:rsidRDefault="00DC09C0" w:rsidP="005A3957">
      <w:pPr>
        <w:pStyle w:val="Bullet"/>
      </w:pPr>
      <w:r>
        <w:t xml:space="preserve">commissioning </w:t>
      </w:r>
      <w:r w:rsidR="00984052" w:rsidRPr="00834154">
        <w:t>independent annual audits</w:t>
      </w:r>
      <w:r w:rsidR="00984052">
        <w:t xml:space="preserve"> of </w:t>
      </w:r>
      <w:r>
        <w:t xml:space="preserve">labour hire </w:t>
      </w:r>
      <w:r w:rsidR="00984052">
        <w:t>c</w:t>
      </w:r>
      <w:r w:rsidR="00984052" w:rsidRPr="00834154">
        <w:t>ontractors</w:t>
      </w:r>
    </w:p>
    <w:p w14:paraId="481A4DED" w14:textId="5AA4422A" w:rsidR="00984052" w:rsidRPr="00E17B81" w:rsidRDefault="00984052" w:rsidP="005A3957">
      <w:pPr>
        <w:pStyle w:val="Bullet"/>
      </w:pPr>
      <w:proofErr w:type="gramStart"/>
      <w:r>
        <w:t>terminating</w:t>
      </w:r>
      <w:proofErr w:type="gramEnd"/>
      <w:r>
        <w:t xml:space="preserve"> c</w:t>
      </w:r>
      <w:r w:rsidRPr="00E17B81">
        <w:t>ontractors for serious breaches</w:t>
      </w:r>
      <w:r w:rsidR="00D72CC5">
        <w:t>.</w:t>
      </w:r>
    </w:p>
    <w:p w14:paraId="74AE614D" w14:textId="7305A560" w:rsidR="007F5B64" w:rsidRDefault="007F5B64" w:rsidP="0061347A">
      <w:pPr>
        <w:pStyle w:val="Heading2"/>
      </w:pPr>
      <w:bookmarkStart w:id="9" w:name="_Toc532482852"/>
      <w:bookmarkEnd w:id="8"/>
      <w:r>
        <w:t>FWO Inquiry into Baiada’s labour procurement</w:t>
      </w:r>
      <w:bookmarkEnd w:id="9"/>
    </w:p>
    <w:p w14:paraId="4CD38B34" w14:textId="04EE8F8F" w:rsidR="007F5B64" w:rsidRPr="00603E19" w:rsidRDefault="007F5B64" w:rsidP="004C550D">
      <w:r w:rsidRPr="00603E19">
        <w:t xml:space="preserve">The </w:t>
      </w:r>
      <w:r>
        <w:t xml:space="preserve">FWO conducted the Baiada </w:t>
      </w:r>
      <w:r w:rsidRPr="00603E19">
        <w:t xml:space="preserve">Inquiry following allegations raised on the ABC's </w:t>
      </w:r>
      <w:proofErr w:type="spellStart"/>
      <w:r w:rsidRPr="006A5D91">
        <w:t>Lateline</w:t>
      </w:r>
      <w:proofErr w:type="spellEnd"/>
      <w:r w:rsidRPr="00603E19">
        <w:t xml:space="preserve"> program in October 2013 concerning the employment practice</w:t>
      </w:r>
      <w:r>
        <w:t>s of contractors</w:t>
      </w:r>
      <w:r w:rsidRPr="00603E19">
        <w:t xml:space="preserve"> </w:t>
      </w:r>
      <w:r>
        <w:t>operating at Baiada’s Beresfield site. The</w:t>
      </w:r>
      <w:r w:rsidRPr="00603E19">
        <w:t xml:space="preserve"> allegations were consistent with information the FWO had received from plant workers, the Australian Meat Industry Employees’ Union (AMIEU) and members of the local communi</w:t>
      </w:r>
      <w:r>
        <w:t>ties of Griffith and Tamworth.</w:t>
      </w:r>
    </w:p>
    <w:p w14:paraId="377825F1" w14:textId="16BD9CB0" w:rsidR="007F5B64" w:rsidRPr="008B0379" w:rsidRDefault="007F5B64" w:rsidP="004C550D">
      <w:r w:rsidRPr="00603E19">
        <w:t>On 18 June 2015, the FWO published a</w:t>
      </w:r>
      <w:r>
        <w:t xml:space="preserve"> </w:t>
      </w:r>
      <w:r w:rsidRPr="00D42AB3">
        <w:t xml:space="preserve">report on the findings of </w:t>
      </w:r>
      <w:r>
        <w:t xml:space="preserve">the Baiada </w:t>
      </w:r>
      <w:r w:rsidRPr="006A5D91">
        <w:t>Inquiry</w:t>
      </w:r>
      <w:r>
        <w:t>.</w:t>
      </w:r>
      <w:r w:rsidRPr="00603E19">
        <w:rPr>
          <w:vertAlign w:val="superscript"/>
        </w:rPr>
        <w:footnoteReference w:id="15"/>
      </w:r>
      <w:r w:rsidR="006562D1">
        <w:t xml:space="preserve"> The Inquiry</w:t>
      </w:r>
      <w:r>
        <w:t xml:space="preserve"> found</w:t>
      </w:r>
      <w:r w:rsidRPr="008B0379">
        <w:t>:</w:t>
      </w:r>
    </w:p>
    <w:p w14:paraId="17546060" w14:textId="77777777" w:rsidR="007F5B64" w:rsidRPr="008B0379" w:rsidRDefault="007F5B64" w:rsidP="005A3957">
      <w:pPr>
        <w:pStyle w:val="Bullet"/>
      </w:pPr>
      <w:r w:rsidRPr="008B0379">
        <w:t xml:space="preserve">non-compliance with a range of </w:t>
      </w:r>
      <w:r>
        <w:t>Australian workplace laws by c</w:t>
      </w:r>
      <w:r w:rsidRPr="008B0379">
        <w:t xml:space="preserve">ontractors </w:t>
      </w:r>
      <w:r>
        <w:t>in Baiada’s labour supply chain</w:t>
      </w:r>
    </w:p>
    <w:p w14:paraId="1B0203D7" w14:textId="77777777" w:rsidR="007F5B64" w:rsidRPr="008B0379" w:rsidRDefault="007F5B64" w:rsidP="005A3957">
      <w:pPr>
        <w:pStyle w:val="Bullet"/>
      </w:pPr>
      <w:r w:rsidRPr="008B0379">
        <w:t>limited governan</w:t>
      </w:r>
      <w:r>
        <w:t>ce arrangements by Baiada of its labour supply chains</w:t>
      </w:r>
    </w:p>
    <w:p w14:paraId="375A1517" w14:textId="13FB7D51" w:rsidR="007F5B64" w:rsidRPr="008B0379" w:rsidRDefault="007F5B64" w:rsidP="005A3957">
      <w:pPr>
        <w:pStyle w:val="Bullet"/>
      </w:pPr>
      <w:r>
        <w:t xml:space="preserve">exploitation </w:t>
      </w:r>
      <w:r w:rsidR="00E04EC0">
        <w:t xml:space="preserve">by contractors </w:t>
      </w:r>
      <w:r>
        <w:t>of workers</w:t>
      </w:r>
      <w:r w:rsidRPr="008B0379">
        <w:t>, comprised predominantly of overseas workers in Australia on sub-class 417 working holiday visas, involving</w:t>
      </w:r>
      <w:r>
        <w:t>:</w:t>
      </w:r>
    </w:p>
    <w:p w14:paraId="15E7DFDC" w14:textId="77777777" w:rsidR="007F5B64" w:rsidRPr="008B0379" w:rsidRDefault="007F5B64" w:rsidP="00941730">
      <w:pPr>
        <w:pStyle w:val="Bullet"/>
      </w:pPr>
      <w:r w:rsidRPr="008B0379">
        <w:t>significant underpayments</w:t>
      </w:r>
    </w:p>
    <w:p w14:paraId="7B83BFDA" w14:textId="77777777" w:rsidR="007F5B64" w:rsidRPr="008B0379" w:rsidRDefault="007F5B64" w:rsidP="00941730">
      <w:pPr>
        <w:pStyle w:val="Bullet"/>
      </w:pPr>
      <w:r w:rsidRPr="008B0379">
        <w:t>extremely long hours of work</w:t>
      </w:r>
    </w:p>
    <w:p w14:paraId="08641299" w14:textId="77777777" w:rsidR="007F5B64" w:rsidRPr="008B0379" w:rsidRDefault="007F5B64" w:rsidP="00941730">
      <w:pPr>
        <w:pStyle w:val="Bullet"/>
      </w:pPr>
      <w:r w:rsidRPr="008B0379">
        <w:t>high rents for overcrowded and unsafe worker accommodation</w:t>
      </w:r>
    </w:p>
    <w:p w14:paraId="022A2990" w14:textId="77777777" w:rsidR="007F5B64" w:rsidRPr="008B0379" w:rsidRDefault="007F5B64" w:rsidP="00941730">
      <w:pPr>
        <w:pStyle w:val="Bullet"/>
      </w:pPr>
      <w:r w:rsidRPr="008B0379">
        <w:t>discrimination</w:t>
      </w:r>
    </w:p>
    <w:p w14:paraId="268932B6" w14:textId="77777777" w:rsidR="007F5B64" w:rsidRDefault="007F5B64" w:rsidP="00941730">
      <w:pPr>
        <w:pStyle w:val="Bullet"/>
      </w:pPr>
      <w:proofErr w:type="gramStart"/>
      <w:r w:rsidRPr="008B0379">
        <w:t>misclassification</w:t>
      </w:r>
      <w:proofErr w:type="gramEnd"/>
      <w:r w:rsidRPr="008B0379">
        <w:t xml:space="preserve"> of employees as contractors.</w:t>
      </w:r>
      <w:r w:rsidRPr="008B0379">
        <w:rPr>
          <w:vertAlign w:val="superscript"/>
        </w:rPr>
        <w:footnoteReference w:id="16"/>
      </w:r>
      <w:r>
        <w:t xml:space="preserve"> </w:t>
      </w:r>
    </w:p>
    <w:p w14:paraId="786B28D6" w14:textId="5CADAFFF" w:rsidR="007F5B64" w:rsidRDefault="007F5B64" w:rsidP="004C550D">
      <w:r>
        <w:t>T</w:t>
      </w:r>
      <w:r w:rsidRPr="008B0379">
        <w:t xml:space="preserve">he FWO recommended </w:t>
      </w:r>
      <w:r>
        <w:t xml:space="preserve">that Baiada </w:t>
      </w:r>
      <w:r w:rsidRPr="008B0379">
        <w:t>enter into a compliance partnership to publicly</w:t>
      </w:r>
      <w:r>
        <w:t xml:space="preserve"> acknowledge and demonstrate its </w:t>
      </w:r>
      <w:r w:rsidRPr="008B0379">
        <w:t xml:space="preserve">moral and ethical responsibility to eliminate exploitation of vulnerable </w:t>
      </w:r>
      <w:r>
        <w:t>workers</w:t>
      </w:r>
      <w:r w:rsidRPr="008B0379">
        <w:t xml:space="preserve"> at its processing sites</w:t>
      </w:r>
      <w:r>
        <w:t>.</w:t>
      </w:r>
    </w:p>
    <w:p w14:paraId="420A9DD7" w14:textId="6A8B20FD" w:rsidR="007F5B64" w:rsidRPr="00603E19" w:rsidRDefault="007F5B64" w:rsidP="004C550D">
      <w:r w:rsidRPr="00603E19">
        <w:lastRenderedPageBreak/>
        <w:t xml:space="preserve">On 23 October 2015, FWO and Baiada </w:t>
      </w:r>
      <w:r w:rsidRPr="00F9286C">
        <w:t>entered into a compliance partnership</w:t>
      </w:r>
      <w:r w:rsidRPr="00CA0F8F">
        <w:t xml:space="preserve"> </w:t>
      </w:r>
      <w:r>
        <w:t xml:space="preserve">underpinned by a </w:t>
      </w:r>
      <w:hyperlink r:id="rId7" w:history="1">
        <w:r w:rsidRPr="00F9286C">
          <w:t>Proactive Compliance Deed (PCD)</w:t>
        </w:r>
      </w:hyperlink>
      <w:r>
        <w:t>.</w:t>
      </w:r>
      <w:r w:rsidRPr="00603E19">
        <w:rPr>
          <w:vertAlign w:val="superscript"/>
        </w:rPr>
        <w:footnoteReference w:id="17"/>
      </w:r>
    </w:p>
    <w:p w14:paraId="252DE979" w14:textId="636B3BC9" w:rsidR="006921A0" w:rsidRDefault="006262D9" w:rsidP="0061347A">
      <w:pPr>
        <w:pStyle w:val="Heading2"/>
      </w:pPr>
      <w:bookmarkStart w:id="10" w:name="_Toc532482853"/>
      <w:r>
        <w:t>Workplace relations settings</w:t>
      </w:r>
      <w:bookmarkEnd w:id="10"/>
    </w:p>
    <w:p w14:paraId="5C8CB3DE" w14:textId="441DA646" w:rsidR="006921A0" w:rsidRDefault="006921A0" w:rsidP="00941730">
      <w:pPr>
        <w:spacing w:before="0" w:after="120"/>
      </w:pPr>
      <w:r>
        <w:t xml:space="preserve">The </w:t>
      </w:r>
      <w:r w:rsidRPr="00B47B45">
        <w:rPr>
          <w:i/>
        </w:rPr>
        <w:t xml:space="preserve">Poultry Processing Award 2010 </w:t>
      </w:r>
      <w:r>
        <w:t xml:space="preserve">(Award) applies to the majority of </w:t>
      </w:r>
      <w:r w:rsidR="004C227E">
        <w:t>contract</w:t>
      </w:r>
      <w:r>
        <w:t xml:space="preserve"> </w:t>
      </w:r>
      <w:r w:rsidR="004C227E">
        <w:t>w</w:t>
      </w:r>
      <w:r>
        <w:t xml:space="preserve">orkers servicing Baiada, unless the relevant </w:t>
      </w:r>
      <w:r w:rsidR="004C227E">
        <w:t>c</w:t>
      </w:r>
      <w:r>
        <w:t>ontractor has an enterprise agreement in place. The minimum bas</w:t>
      </w:r>
      <w:r w:rsidR="006262D9">
        <w:t>e rates in the Award</w:t>
      </w:r>
      <w:r>
        <w:t xml:space="preserve"> and the </w:t>
      </w:r>
      <w:r w:rsidRPr="004C227E">
        <w:t>National Employment Standards</w:t>
      </w:r>
      <w:r w:rsidR="00CA03FD">
        <w:t xml:space="preserve"> </w:t>
      </w:r>
      <w:r w:rsidR="00222D16">
        <w:t xml:space="preserve">(NES) </w:t>
      </w:r>
      <w:r>
        <w:t>underpin all enterprise agreements.</w:t>
      </w:r>
    </w:p>
    <w:p w14:paraId="6A4785D7" w14:textId="74C48DF3" w:rsidR="006921A0" w:rsidRDefault="006921A0" w:rsidP="00941730">
      <w:pPr>
        <w:spacing w:before="0" w:after="120"/>
      </w:pPr>
      <w:r>
        <w:t xml:space="preserve">The Award covers employees in the poultry processing industry, which is defined as </w:t>
      </w:r>
      <w:r w:rsidRPr="00AE5BCC">
        <w:t xml:space="preserve">the </w:t>
      </w:r>
      <w:r>
        <w:t>killing</w:t>
      </w:r>
      <w:r w:rsidRPr="00AE5BCC">
        <w:t>, processing, preparation, packing, wholesaling and distribution of uncooked poultry, poultry produc</w:t>
      </w:r>
      <w:r>
        <w:t xml:space="preserve">ts and poultry by-products and associated </w:t>
      </w:r>
      <w:r w:rsidRPr="00AE5BCC">
        <w:t>cooked poultry, poultry products and poultry by-products</w:t>
      </w:r>
      <w:r>
        <w:t>.</w:t>
      </w:r>
    </w:p>
    <w:p w14:paraId="27ECD2E1" w14:textId="34C8EE92" w:rsidR="006921A0" w:rsidRDefault="006921A0" w:rsidP="00941730">
      <w:pPr>
        <w:spacing w:before="0" w:after="120"/>
      </w:pPr>
      <w:r>
        <w:t>As of 1 July 2018, under the Award, the rates of pay for a permanent part-time or full-time adult employee</w:t>
      </w:r>
      <w:r w:rsidR="004C227E">
        <w:t>s</w:t>
      </w:r>
      <w:r>
        <w:t xml:space="preserve"> range from $19.56 per hour (Level 1) to $21.49 per hour (Level 6). </w:t>
      </w:r>
    </w:p>
    <w:p w14:paraId="3D9DC757" w14:textId="6F7BA53A" w:rsidR="006921A0" w:rsidRDefault="006921A0" w:rsidP="00941730">
      <w:pPr>
        <w:spacing w:before="0" w:after="120"/>
      </w:pPr>
      <w:r>
        <w:t xml:space="preserve">Junior </w:t>
      </w:r>
      <w:r w:rsidR="004C227E">
        <w:t xml:space="preserve">pay </w:t>
      </w:r>
      <w:r>
        <w:t xml:space="preserve">rates vary </w:t>
      </w:r>
      <w:r w:rsidR="00CE3A3B">
        <w:t>for different ages</w:t>
      </w:r>
      <w:r>
        <w:t>. For example</w:t>
      </w:r>
      <w:r w:rsidR="000F2243">
        <w:t xml:space="preserve">: </w:t>
      </w:r>
    </w:p>
    <w:p w14:paraId="22794C47" w14:textId="46786835" w:rsidR="006921A0" w:rsidRPr="004C227E" w:rsidRDefault="006921A0" w:rsidP="005A3957">
      <w:pPr>
        <w:pStyle w:val="Bullet"/>
      </w:pPr>
      <w:r w:rsidRPr="004C227E">
        <w:t>70% of</w:t>
      </w:r>
      <w:r w:rsidR="00CE3A3B">
        <w:t xml:space="preserve"> the adult rate of pay for a 16 year </w:t>
      </w:r>
      <w:r w:rsidRPr="004C227E">
        <w:t>old</w:t>
      </w:r>
    </w:p>
    <w:p w14:paraId="226FF42C" w14:textId="5023BE23" w:rsidR="006921A0" w:rsidRPr="004C227E" w:rsidRDefault="006921A0" w:rsidP="005A3957">
      <w:pPr>
        <w:pStyle w:val="Bullet"/>
      </w:pPr>
      <w:proofErr w:type="gramStart"/>
      <w:r w:rsidRPr="004C227E">
        <w:t>80%</w:t>
      </w:r>
      <w:proofErr w:type="gramEnd"/>
      <w:r w:rsidRPr="004C227E">
        <w:t xml:space="preserve"> of</w:t>
      </w:r>
      <w:r w:rsidR="00CE3A3B">
        <w:t xml:space="preserve"> the adult rate of pay for a 17 year </w:t>
      </w:r>
      <w:r w:rsidRPr="004C227E">
        <w:t>old</w:t>
      </w:r>
      <w:r w:rsidR="004C227E">
        <w:t>.</w:t>
      </w:r>
    </w:p>
    <w:p w14:paraId="4AB4F3F2" w14:textId="53A9F185" w:rsidR="00CE3A3B" w:rsidRDefault="00CE3A3B" w:rsidP="00941730">
      <w:pPr>
        <w:spacing w:before="0" w:after="120"/>
      </w:pPr>
      <w:r>
        <w:t>Penalty rates also apply:</w:t>
      </w:r>
    </w:p>
    <w:p w14:paraId="2BB18A60" w14:textId="77777777" w:rsidR="00CE3A3B" w:rsidRDefault="00CE3A3B" w:rsidP="005A3957">
      <w:pPr>
        <w:pStyle w:val="Bullet"/>
      </w:pPr>
      <w:r>
        <w:t>25% loading on top of the base rate for c</w:t>
      </w:r>
      <w:r w:rsidR="006921A0">
        <w:t xml:space="preserve">asual employees </w:t>
      </w:r>
    </w:p>
    <w:p w14:paraId="41B55D7C" w14:textId="77777777" w:rsidR="00CE3A3B" w:rsidRDefault="00CE3A3B" w:rsidP="005A3957">
      <w:pPr>
        <w:pStyle w:val="Bullet"/>
      </w:pPr>
      <w:r>
        <w:t xml:space="preserve">50% </w:t>
      </w:r>
      <w:r w:rsidR="006921A0">
        <w:t xml:space="preserve">Saturday </w:t>
      </w:r>
      <w:r>
        <w:t xml:space="preserve">and 75% </w:t>
      </w:r>
      <w:r w:rsidR="006921A0">
        <w:t xml:space="preserve">Sunday </w:t>
      </w:r>
      <w:r>
        <w:t xml:space="preserve">penalty loading </w:t>
      </w:r>
    </w:p>
    <w:p w14:paraId="6A87E77D" w14:textId="77777777" w:rsidR="00CE3A3B" w:rsidRPr="00CE3A3B" w:rsidRDefault="00CE3A3B" w:rsidP="005A3957">
      <w:pPr>
        <w:pStyle w:val="Bullet"/>
      </w:pPr>
      <w:r>
        <w:t>150% public holiday</w:t>
      </w:r>
      <w:r w:rsidR="006921A0">
        <w:t xml:space="preserve"> </w:t>
      </w:r>
      <w:r>
        <w:t>loading</w:t>
      </w:r>
    </w:p>
    <w:p w14:paraId="30DD2E9F" w14:textId="77777777" w:rsidR="00CE3A3B" w:rsidRPr="00CE3A3B" w:rsidRDefault="00CE3A3B" w:rsidP="005A3957">
      <w:pPr>
        <w:pStyle w:val="Bullet"/>
      </w:pPr>
      <w:r w:rsidRPr="00CE3A3B">
        <w:rPr>
          <w:lang w:val="en-US"/>
        </w:rPr>
        <w:t>overtime rates depending on the time and number of hours worked</w:t>
      </w:r>
    </w:p>
    <w:p w14:paraId="1B44C576" w14:textId="6FBA4B24" w:rsidR="006921A0" w:rsidRDefault="006921A0" w:rsidP="005A3957">
      <w:pPr>
        <w:pStyle w:val="Bullet"/>
      </w:pPr>
      <w:proofErr w:type="gramStart"/>
      <w:r>
        <w:t>special</w:t>
      </w:r>
      <w:proofErr w:type="gramEnd"/>
      <w:r>
        <w:t xml:space="preserve"> provisions for shift workers, with additional loadings ranging from 10% to 25% depen</w:t>
      </w:r>
      <w:r w:rsidR="00CE3A3B">
        <w:t>ding on when shifts are worked.</w:t>
      </w:r>
    </w:p>
    <w:p w14:paraId="01BC60F0" w14:textId="77777777" w:rsidR="00AB7A7E" w:rsidRDefault="00AB7A7E" w:rsidP="00AB7A7E">
      <w:pPr>
        <w:pStyle w:val="Heading1"/>
      </w:pPr>
      <w:bookmarkStart w:id="11" w:name="_Toc527622015"/>
      <w:r>
        <w:br w:type="page"/>
      </w:r>
    </w:p>
    <w:p w14:paraId="1E0CC065" w14:textId="7B6B0061" w:rsidR="006921A0" w:rsidRPr="004C227E" w:rsidRDefault="006921A0" w:rsidP="00AB7A7E">
      <w:pPr>
        <w:pStyle w:val="Heading1"/>
      </w:pPr>
      <w:bookmarkStart w:id="12" w:name="_Toc532482854"/>
      <w:r w:rsidRPr="004C227E">
        <w:lastRenderedPageBreak/>
        <w:t>Outcomes</w:t>
      </w:r>
      <w:bookmarkEnd w:id="11"/>
      <w:bookmarkEnd w:id="12"/>
    </w:p>
    <w:p w14:paraId="48552523" w14:textId="61AD6B9C" w:rsidR="006921A0" w:rsidRPr="00DA21D5" w:rsidRDefault="006F19FA" w:rsidP="004C550D">
      <w:r w:rsidRPr="00AE1B9F">
        <w:t xml:space="preserve">The outcomes of the compliance partnership </w:t>
      </w:r>
      <w:proofErr w:type="gramStart"/>
      <w:r w:rsidRPr="00AE1B9F">
        <w:t>are reported</w:t>
      </w:r>
      <w:proofErr w:type="gramEnd"/>
      <w:r w:rsidRPr="00AE1B9F">
        <w:t xml:space="preserve"> below, including a summary of the ob</w:t>
      </w:r>
      <w:r w:rsidR="00AE7FFB" w:rsidRPr="00AE1B9F">
        <w:t>l</w:t>
      </w:r>
      <w:r w:rsidRPr="00AE1B9F">
        <w:t xml:space="preserve">igations satisfied </w:t>
      </w:r>
      <w:r w:rsidR="00E8197B" w:rsidRPr="00AE1B9F">
        <w:t xml:space="preserve">and reported in </w:t>
      </w:r>
      <w:r w:rsidRPr="00AE1B9F">
        <w:t>the Interim Report (</w:t>
      </w:r>
      <w:r w:rsidR="00A02A81">
        <w:t xml:space="preserve">published </w:t>
      </w:r>
      <w:r w:rsidRPr="00AE1B9F">
        <w:t>November 2016)</w:t>
      </w:r>
      <w:r w:rsidRPr="00AE1B9F">
        <w:rPr>
          <w:rStyle w:val="FootnoteReference"/>
        </w:rPr>
        <w:footnoteReference w:id="18"/>
      </w:r>
      <w:r w:rsidR="00E8197B" w:rsidRPr="00AE1B9F">
        <w:t xml:space="preserve"> </w:t>
      </w:r>
      <w:r w:rsidRPr="00AE1B9F">
        <w:t xml:space="preserve">and </w:t>
      </w:r>
      <w:r w:rsidR="00E8197B" w:rsidRPr="00AE1B9F">
        <w:t xml:space="preserve">the ongoing obligations </w:t>
      </w:r>
      <w:r w:rsidR="00A02A81">
        <w:t xml:space="preserve">of the PCD </w:t>
      </w:r>
      <w:r w:rsidR="00E8197B" w:rsidRPr="00AE1B9F">
        <w:t xml:space="preserve">up to </w:t>
      </w:r>
      <w:r w:rsidRPr="00AE1B9F">
        <w:t>the</w:t>
      </w:r>
      <w:r w:rsidR="00A02A81">
        <w:t xml:space="preserve"> conclusion of the partnership in June</w:t>
      </w:r>
      <w:r w:rsidRPr="00AE1B9F">
        <w:t xml:space="preserve"> 2018.</w:t>
      </w:r>
      <w:r w:rsidR="006921A0" w:rsidRPr="00AE1B9F">
        <w:rPr>
          <w:rStyle w:val="FootnoteReference"/>
        </w:rPr>
        <w:footnoteReference w:id="19"/>
      </w:r>
    </w:p>
    <w:p w14:paraId="11D061FA" w14:textId="35199823" w:rsidR="002C03A6" w:rsidRDefault="002C03A6" w:rsidP="0061347A">
      <w:pPr>
        <w:pStyle w:val="Heading2"/>
      </w:pPr>
      <w:bookmarkStart w:id="13" w:name="_Toc532482855"/>
      <w:r>
        <w:t>Communication</w:t>
      </w:r>
      <w:bookmarkEnd w:id="13"/>
    </w:p>
    <w:p w14:paraId="31EE476A" w14:textId="19A6E26D" w:rsidR="002C03A6" w:rsidRDefault="002C03A6" w:rsidP="004C550D">
      <w:pPr>
        <w:spacing w:before="0" w:after="120"/>
      </w:pPr>
      <w:r>
        <w:t xml:space="preserve">A key requirement of the compliance partnership was for Baiada </w:t>
      </w:r>
      <w:proofErr w:type="gramStart"/>
      <w:r>
        <w:t>to publically de</w:t>
      </w:r>
      <w:r w:rsidR="00CC2C2A">
        <w:t>clare</w:t>
      </w:r>
      <w:proofErr w:type="gramEnd"/>
      <w:r w:rsidR="00CC2C2A">
        <w:t xml:space="preserve"> its moral and ethical </w:t>
      </w:r>
      <w:r w:rsidR="009E64AF">
        <w:t>responsibility</w:t>
      </w:r>
      <w:r>
        <w:t xml:space="preserve"> to ensure full compliance with Aus</w:t>
      </w:r>
      <w:r w:rsidR="00CC2C2A">
        <w:t>tralia workplace laws by indivi</w:t>
      </w:r>
      <w:r>
        <w:t>duals and entities involved in its business.</w:t>
      </w:r>
    </w:p>
    <w:p w14:paraId="76B6B830" w14:textId="432D518C" w:rsidR="002C03A6" w:rsidRDefault="002C03A6" w:rsidP="004C550D">
      <w:pPr>
        <w:spacing w:before="0" w:after="120"/>
      </w:pPr>
      <w:r>
        <w:t>Within 28 days of the execution of the PCD, Baiada posted statements:</w:t>
      </w:r>
    </w:p>
    <w:p w14:paraId="10E9FD22" w14:textId="4080ADD0" w:rsidR="002C03A6" w:rsidRDefault="002C03A6" w:rsidP="005A3957">
      <w:pPr>
        <w:pStyle w:val="Bullet"/>
      </w:pPr>
      <w:r>
        <w:t>to its public website</w:t>
      </w:r>
    </w:p>
    <w:p w14:paraId="61D654C1" w14:textId="7D17ED55" w:rsidR="002C03A6" w:rsidRDefault="002C03A6" w:rsidP="005A3957">
      <w:pPr>
        <w:pStyle w:val="Bullet"/>
      </w:pPr>
      <w:r>
        <w:t>on noticeboards at all of its processing sites</w:t>
      </w:r>
      <w:r w:rsidR="00746ABE">
        <w:t xml:space="preserve">, in </w:t>
      </w:r>
      <w:r w:rsidR="00AE7FFB">
        <w:t xml:space="preserve">the </w:t>
      </w:r>
      <w:r w:rsidR="00746ABE">
        <w:t xml:space="preserve">languages </w:t>
      </w:r>
      <w:r w:rsidR="00AE7FFB">
        <w:t>most commonly spoken at its sites (</w:t>
      </w:r>
      <w:r w:rsidR="00746ABE">
        <w:t>English, Chinese, Vietnames</w:t>
      </w:r>
      <w:r w:rsidR="00AE7FFB">
        <w:t>e</w:t>
      </w:r>
      <w:r w:rsidR="00746ABE">
        <w:t xml:space="preserve"> and Korean</w:t>
      </w:r>
      <w:r w:rsidR="00AE7FFB">
        <w:t>)</w:t>
      </w:r>
    </w:p>
    <w:p w14:paraId="25C82870" w14:textId="7EE12390" w:rsidR="002C03A6" w:rsidRDefault="002C03A6" w:rsidP="005A3957">
      <w:pPr>
        <w:pStyle w:val="Bullet"/>
      </w:pPr>
      <w:proofErr w:type="gramStart"/>
      <w:r>
        <w:t>in</w:t>
      </w:r>
      <w:proofErr w:type="gramEnd"/>
      <w:r>
        <w:t xml:space="preserve"> The Weekend Australian newspaper</w:t>
      </w:r>
      <w:r w:rsidR="00746ABE">
        <w:t xml:space="preserve"> (14 November 2015)</w:t>
      </w:r>
      <w:r>
        <w:t>.</w:t>
      </w:r>
      <w:r w:rsidR="00746ABE">
        <w:rPr>
          <w:rStyle w:val="FootnoteReference"/>
        </w:rPr>
        <w:footnoteReference w:id="20"/>
      </w:r>
    </w:p>
    <w:p w14:paraId="16D82100" w14:textId="0CED2042" w:rsidR="00746ABE" w:rsidRDefault="00746ABE" w:rsidP="0061347A">
      <w:pPr>
        <w:pStyle w:val="Heading3"/>
      </w:pPr>
      <w:r>
        <w:t>Baiada hotline</w:t>
      </w:r>
    </w:p>
    <w:p w14:paraId="7FFB367A" w14:textId="37B06896" w:rsidR="00746ABE" w:rsidRDefault="00746ABE" w:rsidP="004C550D">
      <w:pPr>
        <w:spacing w:before="0" w:after="120"/>
      </w:pPr>
      <w:r>
        <w:t>Baiada engaged a third party (</w:t>
      </w:r>
      <w:proofErr w:type="spellStart"/>
      <w:r>
        <w:t>Stopline</w:t>
      </w:r>
      <w:proofErr w:type="spellEnd"/>
      <w:r>
        <w:t>) to administer a hotline for current and former workers, and memb</w:t>
      </w:r>
      <w:r w:rsidR="00E8197B">
        <w:t>e</w:t>
      </w:r>
      <w:r>
        <w:t xml:space="preserve">rs of the public, </w:t>
      </w:r>
      <w:r w:rsidR="00CC2C2A">
        <w:t>to make enquiries, lodge complai</w:t>
      </w:r>
      <w:r>
        <w:t xml:space="preserve">nts or report potential non-compliance with Australian workplace laws (as per Clause </w:t>
      </w:r>
      <w:r w:rsidR="00366ADA">
        <w:t xml:space="preserve">6 </w:t>
      </w:r>
      <w:r>
        <w:t>of the PCD).</w:t>
      </w:r>
    </w:p>
    <w:p w14:paraId="568B1296" w14:textId="05A91511" w:rsidR="006F19FA" w:rsidRDefault="006F19FA" w:rsidP="004C550D">
      <w:pPr>
        <w:spacing w:before="0" w:after="120"/>
      </w:pPr>
      <w:r>
        <w:t>Baiada promoted the hotline on its website and on noticeboards at its processing sites.</w:t>
      </w:r>
    </w:p>
    <w:p w14:paraId="7CC958A7" w14:textId="4299E718" w:rsidR="00746ABE" w:rsidRDefault="00746ABE" w:rsidP="004C550D">
      <w:pPr>
        <w:spacing w:before="0" w:after="120"/>
      </w:pPr>
      <w:r>
        <w:t>The FWO supported the public promotion of the hotline by issuing a media release</w:t>
      </w:r>
      <w:r>
        <w:rPr>
          <w:rStyle w:val="FootnoteReference"/>
        </w:rPr>
        <w:footnoteReference w:id="21"/>
      </w:r>
      <w:r>
        <w:t xml:space="preserve"> and with various messages through FWO social </w:t>
      </w:r>
      <w:r w:rsidR="00B00082">
        <w:t>media</w:t>
      </w:r>
      <w:r>
        <w:t xml:space="preserve"> channels during December 2015.</w:t>
      </w:r>
      <w:r w:rsidR="006F19FA">
        <w:rPr>
          <w:rStyle w:val="FootnoteReference"/>
        </w:rPr>
        <w:footnoteReference w:id="22"/>
      </w:r>
      <w:r>
        <w:t xml:space="preserve"> </w:t>
      </w:r>
      <w:r w:rsidR="006F19FA">
        <w:rPr>
          <w:rStyle w:val="FootnoteReference"/>
        </w:rPr>
        <w:footnoteReference w:id="23"/>
      </w:r>
      <w:r w:rsidR="006F19FA">
        <w:t xml:space="preserve"> </w:t>
      </w:r>
    </w:p>
    <w:p w14:paraId="038EBE01" w14:textId="688E3D21" w:rsidR="006F19FA" w:rsidRDefault="00B00082" w:rsidP="00D073C4">
      <w:r w:rsidRPr="00602496">
        <w:t>During</w:t>
      </w:r>
      <w:r w:rsidR="006F19FA" w:rsidRPr="00602496">
        <w:t xml:space="preserve"> the</w:t>
      </w:r>
      <w:r w:rsidRPr="00602496">
        <w:t xml:space="preserve"> operation of the</w:t>
      </w:r>
      <w:r w:rsidR="00377CC0">
        <w:t xml:space="preserve"> compliance partnership</w:t>
      </w:r>
      <w:r>
        <w:t xml:space="preserve">, </w:t>
      </w:r>
      <w:r w:rsidR="00D073C4">
        <w:t xml:space="preserve">a total of 18 calls and emails related to Baiada sites </w:t>
      </w:r>
      <w:proofErr w:type="gramStart"/>
      <w:r w:rsidR="00D073C4">
        <w:t>were received</w:t>
      </w:r>
      <w:proofErr w:type="gramEnd"/>
      <w:r w:rsidR="00D073C4">
        <w:t xml:space="preserve"> by the hotline.</w:t>
      </w:r>
      <w:r w:rsidR="00D073C4" w:rsidRPr="00D073C4">
        <w:rPr>
          <w:highlight w:val="yellow"/>
        </w:rPr>
        <w:t xml:space="preserve"> </w:t>
      </w:r>
    </w:p>
    <w:p w14:paraId="3EF48FA4" w14:textId="77777777" w:rsidR="0054539A" w:rsidRDefault="0054539A" w:rsidP="00941730">
      <w:pPr>
        <w:pStyle w:val="Heading3"/>
      </w:pPr>
      <w:r>
        <w:lastRenderedPageBreak/>
        <w:t>Meetings</w:t>
      </w:r>
    </w:p>
    <w:p w14:paraId="473767E9" w14:textId="4DBE824D" w:rsidR="0054539A" w:rsidRDefault="0054539A" w:rsidP="00D073C4">
      <w:r>
        <w:t>The FWO and Baiada agreed it was important to hold regular formal meetings to discuss and settle the implementation of the obligations under the PCD.</w:t>
      </w:r>
    </w:p>
    <w:p w14:paraId="339A2D9D" w14:textId="2B35F97F" w:rsidR="0054539A" w:rsidRDefault="003A0A4C" w:rsidP="0054539A">
      <w:r>
        <w:t>A higher than average number of meetings occurred</w:t>
      </w:r>
      <w:r w:rsidR="0054539A">
        <w:t xml:space="preserve"> in the fi</w:t>
      </w:r>
      <w:r>
        <w:t>rst year of the compliance partnership</w:t>
      </w:r>
      <w:r w:rsidR="00A91C02">
        <w:t>,</w:t>
      </w:r>
      <w:r w:rsidR="0054539A">
        <w:t xml:space="preserve"> </w:t>
      </w:r>
      <w:r w:rsidR="0088307F">
        <w:t xml:space="preserve">as </w:t>
      </w:r>
      <w:r w:rsidR="0054539A">
        <w:t xml:space="preserve">that was the period when the </w:t>
      </w:r>
      <w:r w:rsidR="0088307F">
        <w:t xml:space="preserve">majority </w:t>
      </w:r>
      <w:r w:rsidR="0054539A">
        <w:t xml:space="preserve">of the obligations under the PCD were </w:t>
      </w:r>
      <w:r>
        <w:t xml:space="preserve">required and </w:t>
      </w:r>
      <w:r w:rsidR="0054539A">
        <w:t>fulfilled.</w:t>
      </w:r>
      <w:r w:rsidR="0054539A">
        <w:rPr>
          <w:rStyle w:val="FootnoteReference"/>
        </w:rPr>
        <w:footnoteReference w:id="24"/>
      </w:r>
      <w:r w:rsidR="0054539A">
        <w:t xml:space="preserve"> </w:t>
      </w:r>
    </w:p>
    <w:p w14:paraId="3CD49CF4" w14:textId="68DC196F" w:rsidR="0054539A" w:rsidRDefault="0054539A" w:rsidP="0054539A">
      <w:r>
        <w:t>Between the time of publication of the Interim PCD Report in November 2016 and the conclusion of the PCD in April 2018, a further three meetings have occurred. These meetings have proven to be a successful forum for discussing progress and sharing feedback on the requirements of</w:t>
      </w:r>
      <w:r w:rsidR="00CC2C2A">
        <w:t xml:space="preserve">, and activities associated with, </w:t>
      </w:r>
      <w:r>
        <w:t>implementing the terms of the PCD.</w:t>
      </w:r>
    </w:p>
    <w:p w14:paraId="439609F7" w14:textId="5F3A72B1" w:rsidR="0054539A" w:rsidRPr="00F64CA0" w:rsidRDefault="0054539A" w:rsidP="0054539A">
      <w:r>
        <w:t xml:space="preserve">In addition to these formal meetings, FWO and Baiada representatives responsible for ensuring compliance with the PCD, have held regular and frequent informal discussions </w:t>
      </w:r>
      <w:r w:rsidR="0088307F">
        <w:t>regarding</w:t>
      </w:r>
      <w:r>
        <w:t xml:space="preserve"> issues as they ar</w:t>
      </w:r>
      <w:r w:rsidR="00A91C02">
        <w:t>o</w:t>
      </w:r>
      <w:r>
        <w:t xml:space="preserve">se. These discussions have been productive with a view of honouring the terms of the PCD </w:t>
      </w:r>
      <w:r w:rsidR="00A91C02">
        <w:t xml:space="preserve">and </w:t>
      </w:r>
      <w:r>
        <w:t>the ‘</w:t>
      </w:r>
      <w:r w:rsidR="009D5584">
        <w:t xml:space="preserve">spirit </w:t>
      </w:r>
      <w:r>
        <w:t>of the partnership’.</w:t>
      </w:r>
    </w:p>
    <w:p w14:paraId="7211B0F4" w14:textId="365263EE" w:rsidR="005B197B" w:rsidRDefault="005B197B" w:rsidP="0061347A">
      <w:pPr>
        <w:pStyle w:val="Heading2"/>
      </w:pPr>
      <w:bookmarkStart w:id="14" w:name="_Toc532482856"/>
      <w:r>
        <w:t>Systems and processes</w:t>
      </w:r>
      <w:bookmarkEnd w:id="14"/>
    </w:p>
    <w:p w14:paraId="4566B6DD" w14:textId="2D9B45B9" w:rsidR="00645EA8" w:rsidRDefault="00645EA8" w:rsidP="0061347A">
      <w:pPr>
        <w:pStyle w:val="Heading3"/>
      </w:pPr>
      <w:r>
        <w:t>Identifying employees and maintaining records</w:t>
      </w:r>
    </w:p>
    <w:p w14:paraId="42511C5D" w14:textId="44D6F299" w:rsidR="00645EA8" w:rsidRDefault="00645EA8" w:rsidP="00941730">
      <w:pPr>
        <w:spacing w:before="0" w:after="120"/>
      </w:pPr>
      <w:r>
        <w:t xml:space="preserve">Baiada was required to improve its system and governance arrangements under </w:t>
      </w:r>
      <w:r w:rsidR="00CC2C2A">
        <w:t xml:space="preserve">the </w:t>
      </w:r>
      <w:r>
        <w:t xml:space="preserve">PCD, with the introduction </w:t>
      </w:r>
      <w:proofErr w:type="gramStart"/>
      <w:r>
        <w:t>of</w:t>
      </w:r>
      <w:proofErr w:type="gramEnd"/>
      <w:r>
        <w:t>:</w:t>
      </w:r>
    </w:p>
    <w:p w14:paraId="43F2DEEA" w14:textId="604ED11B" w:rsidR="00645EA8" w:rsidRDefault="00645EA8" w:rsidP="005A3957">
      <w:pPr>
        <w:pStyle w:val="Bullet"/>
      </w:pPr>
      <w:r>
        <w:t>identification cards for all workers at its processing sites (including full name, employing entity and employing entity’s Australian Business Number)</w:t>
      </w:r>
    </w:p>
    <w:p w14:paraId="6CC11EF7" w14:textId="1EB6D46D" w:rsidR="00645EA8" w:rsidRDefault="00645EA8" w:rsidP="005A3957">
      <w:pPr>
        <w:pStyle w:val="Bullet"/>
      </w:pPr>
      <w:proofErr w:type="gramStart"/>
      <w:r>
        <w:t>an</w:t>
      </w:r>
      <w:proofErr w:type="gramEnd"/>
      <w:r>
        <w:t xml:space="preserve"> electronic timekeeping system (KRONOS) to monitor and maintain accurate records of hours worked.</w:t>
      </w:r>
    </w:p>
    <w:p w14:paraId="2C743F08" w14:textId="1556021E" w:rsidR="00645EA8" w:rsidRDefault="00645EA8" w:rsidP="00941730">
      <w:pPr>
        <w:spacing w:before="0" w:after="120"/>
      </w:pPr>
      <w:r>
        <w:t xml:space="preserve">The KRONOS system </w:t>
      </w:r>
      <w:proofErr w:type="gramStart"/>
      <w:r>
        <w:t>was upgraded</w:t>
      </w:r>
      <w:proofErr w:type="gramEnd"/>
      <w:r>
        <w:t xml:space="preserve"> in the second half of the compliance partnership </w:t>
      </w:r>
      <w:r w:rsidR="00797422">
        <w:t>to use biometrics to track shift start and end times</w:t>
      </w:r>
      <w:r w:rsidR="00BD7F30">
        <w:t>.</w:t>
      </w:r>
    </w:p>
    <w:p w14:paraId="585C701B" w14:textId="385DD6A2" w:rsidR="00645EA8" w:rsidRDefault="00645EA8" w:rsidP="00941730">
      <w:pPr>
        <w:spacing w:before="0" w:after="120"/>
      </w:pPr>
      <w:r>
        <w:t>Baiada also instituted additional processes to ensure labour hire contractors were compliant</w:t>
      </w:r>
      <w:r w:rsidR="00BD7F30">
        <w:t>, including the Titan security gate access system.</w:t>
      </w:r>
      <w:r w:rsidR="00C6264C">
        <w:t xml:space="preserve"> Under this system, </w:t>
      </w:r>
      <w:r w:rsidR="00C6264C" w:rsidRPr="00C6264C">
        <w:t>Baiada’s supervisors now meet contract workers at all sites before the shift starting time at the site entry gate, to check their photo ID card.</w:t>
      </w:r>
      <w:r w:rsidR="00EE5AA7">
        <w:t xml:space="preserve"> </w:t>
      </w:r>
      <w:r w:rsidR="00C6264C" w:rsidRPr="00C6264C">
        <w:t xml:space="preserve">The Baiada supervisor then swipes the Kronos card matched to that individual’s photo ID card to allow entry to the site. The workers then proceed to the change/wash area at </w:t>
      </w:r>
      <w:r w:rsidR="009C5F6A">
        <w:t xml:space="preserve">the </w:t>
      </w:r>
      <w:r w:rsidR="00C6264C" w:rsidRPr="00C6264C">
        <w:lastRenderedPageBreak/>
        <w:t xml:space="preserve">appointed shift start time </w:t>
      </w:r>
      <w:r w:rsidR="00C6264C">
        <w:t xml:space="preserve">where </w:t>
      </w:r>
      <w:r w:rsidR="00C6264C" w:rsidRPr="00C6264C">
        <w:t>a Baiada supervisor again swipes on each worker at Kronos point(s) adjacent to the designated work area. The reverse occurs at the end of each shift</w:t>
      </w:r>
      <w:r w:rsidR="00EE5AA7">
        <w:t>.</w:t>
      </w:r>
      <w:r w:rsidR="00C6264C">
        <w:t xml:space="preserve"> </w:t>
      </w:r>
    </w:p>
    <w:p w14:paraId="769A4430" w14:textId="403B7436" w:rsidR="00BD7F30" w:rsidRDefault="00BD7F30" w:rsidP="0061347A">
      <w:pPr>
        <w:pStyle w:val="Heading3"/>
      </w:pPr>
      <w:r>
        <w:t>Engagement of contractors</w:t>
      </w:r>
    </w:p>
    <w:p w14:paraId="55A7EA9B" w14:textId="77777777" w:rsidR="00BD7F30" w:rsidRDefault="00BD7F30" w:rsidP="004C550D">
      <w:pPr>
        <w:spacing w:before="0" w:after="120"/>
      </w:pPr>
      <w:r>
        <w:t>Baiada has taken the necessary steps to ensure all labour hire contractors:</w:t>
      </w:r>
    </w:p>
    <w:p w14:paraId="43E6032C" w14:textId="3733E2EA" w:rsidR="00BD7F30" w:rsidRDefault="00BD7F30" w:rsidP="005A3957">
      <w:pPr>
        <w:pStyle w:val="Bullet"/>
      </w:pPr>
      <w:r>
        <w:t>enter into a written contract regarding the engagement of contract workers at Baiada’s processing sites</w:t>
      </w:r>
    </w:p>
    <w:p w14:paraId="5C94F1AA" w14:textId="0903782A" w:rsidR="00BD7F30" w:rsidRDefault="00BD7F30" w:rsidP="005A3957">
      <w:pPr>
        <w:pStyle w:val="Bullet"/>
      </w:pPr>
      <w:r>
        <w:t>provide written certification signed by a director that their directors, officers and managers understand their obligations to comply with Australian workplace laws</w:t>
      </w:r>
    </w:p>
    <w:p w14:paraId="6525A857" w14:textId="4246995F" w:rsidR="00BD7F30" w:rsidRDefault="00BD7F30" w:rsidP="005A3957">
      <w:pPr>
        <w:pStyle w:val="Bullet"/>
      </w:pPr>
      <w:proofErr w:type="gramStart"/>
      <w:r>
        <w:t>provide</w:t>
      </w:r>
      <w:proofErr w:type="gramEnd"/>
      <w:r>
        <w:t xml:space="preserve"> details of the terms and conditions for all workers, including hours of work and pay rates (on a six monthly basis).</w:t>
      </w:r>
    </w:p>
    <w:p w14:paraId="2976B9F7" w14:textId="7669C043" w:rsidR="00BD7F30" w:rsidRDefault="00E8197B" w:rsidP="004C550D">
      <w:pPr>
        <w:spacing w:before="0" w:after="120"/>
      </w:pPr>
      <w:r>
        <w:t>Baiada provided copies of</w:t>
      </w:r>
      <w:r w:rsidR="00CC2C2A">
        <w:t xml:space="preserve"> all the contracts and </w:t>
      </w:r>
      <w:r w:rsidR="009D5584">
        <w:t>notification</w:t>
      </w:r>
      <w:r>
        <w:t xml:space="preserve"> of any changes, to the FWO.</w:t>
      </w:r>
    </w:p>
    <w:p w14:paraId="52EAFDBD" w14:textId="77777777" w:rsidR="00E8197B" w:rsidRPr="003956EA" w:rsidRDefault="00E8197B" w:rsidP="004C550D">
      <w:pPr>
        <w:spacing w:before="0" w:after="120"/>
      </w:pPr>
      <w:r>
        <w:t>The number of labour hire c</w:t>
      </w:r>
      <w:r w:rsidRPr="003956EA">
        <w:t xml:space="preserve">ontractors in operation at Baiada sites reduced from </w:t>
      </w:r>
      <w:r>
        <w:t>seven at the commencement of the PCD in October 2015, to six in October 2016, and four by the conclusion of the PCD in April 2018.</w:t>
      </w:r>
    </w:p>
    <w:p w14:paraId="1C151FFE" w14:textId="77777777" w:rsidR="00E8197B" w:rsidRDefault="00E8197B" w:rsidP="004C550D">
      <w:pPr>
        <w:spacing w:before="0" w:after="120"/>
      </w:pPr>
      <w:r>
        <w:t xml:space="preserve">The following contractors </w:t>
      </w:r>
      <w:proofErr w:type="gramStart"/>
      <w:r>
        <w:t>were terminated</w:t>
      </w:r>
      <w:proofErr w:type="gramEnd"/>
      <w:r>
        <w:t>:</w:t>
      </w:r>
    </w:p>
    <w:p w14:paraId="71790F10" w14:textId="77777777" w:rsidR="00E8197B" w:rsidRDefault="00E8197B" w:rsidP="005A3957">
      <w:pPr>
        <w:pStyle w:val="Bullet"/>
      </w:pPr>
      <w:r w:rsidRPr="00327474">
        <w:t>B&amp;E Poultry Holdings Pty Ltd</w:t>
      </w:r>
      <w:r>
        <w:t xml:space="preserve"> </w:t>
      </w:r>
    </w:p>
    <w:p w14:paraId="4C43D711" w14:textId="77777777" w:rsidR="00E8197B" w:rsidRDefault="00E8197B" w:rsidP="005A3957">
      <w:pPr>
        <w:pStyle w:val="Bullet"/>
      </w:pPr>
      <w:r>
        <w:t>N</w:t>
      </w:r>
      <w:r w:rsidRPr="00327474">
        <w:t>TD Poultry Pty Ltd</w:t>
      </w:r>
    </w:p>
    <w:p w14:paraId="619E8390" w14:textId="77777777" w:rsidR="00E8197B" w:rsidRDefault="00E8197B" w:rsidP="005A3957">
      <w:pPr>
        <w:pStyle w:val="Bullet"/>
      </w:pPr>
      <w:proofErr w:type="spellStart"/>
      <w:r w:rsidRPr="00327474">
        <w:t>Evergreenlee</w:t>
      </w:r>
      <w:proofErr w:type="spellEnd"/>
      <w:r w:rsidRPr="00327474">
        <w:t xml:space="preserve"> Pty Ltd</w:t>
      </w:r>
    </w:p>
    <w:p w14:paraId="192A03BB" w14:textId="77777777" w:rsidR="00E8197B" w:rsidRDefault="00E8197B" w:rsidP="005A3957">
      <w:pPr>
        <w:pStyle w:val="Bullet"/>
      </w:pPr>
      <w:r>
        <w:t>HP Foods Pty Ltd</w:t>
      </w:r>
    </w:p>
    <w:p w14:paraId="7BDDDD4B" w14:textId="71D10276" w:rsidR="00E8197B" w:rsidRDefault="00E8197B" w:rsidP="005A3957">
      <w:pPr>
        <w:pStyle w:val="Bullet"/>
      </w:pPr>
      <w:r w:rsidRPr="00327474">
        <w:t>VNJ Holdings</w:t>
      </w:r>
      <w:r>
        <w:t xml:space="preserve"> Pty Ltd. </w:t>
      </w:r>
    </w:p>
    <w:p w14:paraId="7A584E51" w14:textId="4399C291" w:rsidR="00D073C4" w:rsidRDefault="00D073C4" w:rsidP="005A3957">
      <w:pPr>
        <w:pStyle w:val="Bullet"/>
      </w:pPr>
      <w:r w:rsidRPr="00D073C4">
        <w:t>AMAI Enterprises Pty Ltd</w:t>
      </w:r>
    </w:p>
    <w:p w14:paraId="097F8793" w14:textId="77777777" w:rsidR="00E8197B" w:rsidRPr="006A3036" w:rsidRDefault="00E8197B" w:rsidP="00602496">
      <w:pPr>
        <w:spacing w:before="0" w:after="120"/>
      </w:pPr>
      <w:r w:rsidRPr="00B6255B">
        <w:t>The four contractors in operation at Baiada sites at the conclusion of the PCD were:</w:t>
      </w:r>
    </w:p>
    <w:p w14:paraId="7C80D9A8" w14:textId="77777777" w:rsidR="00E8197B" w:rsidRPr="006A3036" w:rsidRDefault="00E8197B" w:rsidP="00602496">
      <w:pPr>
        <w:pStyle w:val="Bullet"/>
      </w:pPr>
      <w:r w:rsidRPr="006A3036">
        <w:t xml:space="preserve">J &amp; T Trade Pty Ltd (engaged at Beresfield </w:t>
      </w:r>
      <w:r>
        <w:t xml:space="preserve">NSW </w:t>
      </w:r>
      <w:r w:rsidRPr="006A3036">
        <w:t xml:space="preserve">and </w:t>
      </w:r>
      <w:r>
        <w:t>Adelaide SA</w:t>
      </w:r>
      <w:r w:rsidRPr="006A3036">
        <w:t>)</w:t>
      </w:r>
    </w:p>
    <w:p w14:paraId="762AF844" w14:textId="77777777" w:rsidR="00E8197B" w:rsidRPr="006A3036" w:rsidRDefault="00E8197B" w:rsidP="00602496">
      <w:pPr>
        <w:pStyle w:val="Bullet"/>
      </w:pPr>
      <w:r w:rsidRPr="006A3036">
        <w:t>GGPB Pow</w:t>
      </w:r>
      <w:r>
        <w:t>er Pty Ltd (engaged at Hanwood NSW and Tamworth NSW</w:t>
      </w:r>
      <w:r w:rsidRPr="006A3036">
        <w:t>)</w:t>
      </w:r>
    </w:p>
    <w:p w14:paraId="69833AD1" w14:textId="77777777" w:rsidR="00E8197B" w:rsidRPr="006A3036" w:rsidRDefault="00E8197B" w:rsidP="00602496">
      <w:pPr>
        <w:pStyle w:val="Bullet"/>
      </w:pPr>
      <w:r w:rsidRPr="006A3036">
        <w:t>Springtime Poultry Pty Ltd (engaged at Mareeba</w:t>
      </w:r>
      <w:r>
        <w:t xml:space="preserve"> QLD</w:t>
      </w:r>
      <w:r w:rsidRPr="006A3036">
        <w:t>)</w:t>
      </w:r>
    </w:p>
    <w:p w14:paraId="6A745657" w14:textId="77777777" w:rsidR="00E8197B" w:rsidRDefault="00E8197B" w:rsidP="00602496">
      <w:pPr>
        <w:pStyle w:val="Bullet"/>
      </w:pPr>
      <w:proofErr w:type="spellStart"/>
      <w:r w:rsidRPr="006A3036">
        <w:t>Calacash</w:t>
      </w:r>
      <w:proofErr w:type="spellEnd"/>
      <w:r w:rsidRPr="006A3036">
        <w:t xml:space="preserve"> </w:t>
      </w:r>
      <w:proofErr w:type="spellStart"/>
      <w:r w:rsidRPr="006A3036">
        <w:t>Inwa</w:t>
      </w:r>
      <w:proofErr w:type="spellEnd"/>
      <w:r w:rsidRPr="006A3036">
        <w:t xml:space="preserve"> Enterprises Pty Limited (engaged at Osborne Park</w:t>
      </w:r>
      <w:r>
        <w:t xml:space="preserve"> WA</w:t>
      </w:r>
      <w:r w:rsidRPr="006A3036">
        <w:t>).</w:t>
      </w:r>
    </w:p>
    <w:p w14:paraId="4B684AD4" w14:textId="5201C778" w:rsidR="00E8197B" w:rsidRDefault="00E8197B" w:rsidP="00602496">
      <w:pPr>
        <w:spacing w:before="0" w:after="120"/>
      </w:pPr>
      <w:r>
        <w:t xml:space="preserve">The multiple layers of sub-contracting that previously characterised Baiada’s labour supply chain </w:t>
      </w:r>
      <w:proofErr w:type="gramStart"/>
      <w:r>
        <w:t>have been removed</w:t>
      </w:r>
      <w:proofErr w:type="gramEnd"/>
      <w:r>
        <w:t>. This means that Baiada is in a better position to know what is happening in its supply chain, and to prevent, detect and respond to non-compliance by labour hire contractors.</w:t>
      </w:r>
    </w:p>
    <w:p w14:paraId="17114E6E" w14:textId="37E3B5DB" w:rsidR="00E8197B" w:rsidRDefault="00E8197B" w:rsidP="0061347A">
      <w:pPr>
        <w:pStyle w:val="Heading3"/>
      </w:pPr>
      <w:r>
        <w:lastRenderedPageBreak/>
        <w:t>Enhanced payroll system</w:t>
      </w:r>
    </w:p>
    <w:p w14:paraId="35C452C6" w14:textId="7F1EEED4" w:rsidR="00E8197B" w:rsidRDefault="00E8197B" w:rsidP="004C550D">
      <w:r>
        <w:t xml:space="preserve">Baiada implemented a centralised payroll system, </w:t>
      </w:r>
      <w:r w:rsidR="00BD1FC6">
        <w:t>via</w:t>
      </w:r>
      <w:r>
        <w:t xml:space="preserve"> a Payroll Services Agreement</w:t>
      </w:r>
      <w:r w:rsidR="00BD1FC6">
        <w:t>,</w:t>
      </w:r>
      <w:r>
        <w:t xml:space="preserve"> that requires </w:t>
      </w:r>
      <w:r w:rsidR="00BD1FC6">
        <w:t xml:space="preserve">its </w:t>
      </w:r>
      <w:r>
        <w:t xml:space="preserve">labour hire contractors to use </w:t>
      </w:r>
      <w:proofErr w:type="spellStart"/>
      <w:r>
        <w:t>Eatmore</w:t>
      </w:r>
      <w:proofErr w:type="spellEnd"/>
      <w:r>
        <w:t xml:space="preserve"> Hold</w:t>
      </w:r>
      <w:r w:rsidR="00BD1FC6">
        <w:t>i</w:t>
      </w:r>
      <w:r>
        <w:t xml:space="preserve">ngs Pty Ltd (a Baiada Group entity) to </w:t>
      </w:r>
      <w:r w:rsidR="00BD1FC6">
        <w:t xml:space="preserve">provide payroll services. This ensures contract workers </w:t>
      </w:r>
      <w:proofErr w:type="gramStart"/>
      <w:r w:rsidR="00BD1FC6">
        <w:t>are paid</w:t>
      </w:r>
      <w:proofErr w:type="gramEnd"/>
      <w:r w:rsidR="00BD1FC6">
        <w:t xml:space="preserve"> correctly according to the Award.</w:t>
      </w:r>
    </w:p>
    <w:p w14:paraId="60BD481B" w14:textId="5B0B9DF4" w:rsidR="00BD1FC6" w:rsidRPr="00645EA8" w:rsidRDefault="00BD1FC6" w:rsidP="004C550D">
      <w:r>
        <w:t>An</w:t>
      </w:r>
      <w:r w:rsidR="00CA03FD">
        <w:t>other</w:t>
      </w:r>
      <w:r>
        <w:t xml:space="preserve"> aspect of the arrangement that </w:t>
      </w:r>
      <w:proofErr w:type="gramStart"/>
      <w:r>
        <w:t>wasn’t</w:t>
      </w:r>
      <w:proofErr w:type="gramEnd"/>
      <w:r>
        <w:t xml:space="preserve"> required under the PCD, is that Baiada holds a </w:t>
      </w:r>
      <w:r w:rsidR="00222D16">
        <w:t xml:space="preserve">  </w:t>
      </w:r>
      <w:r>
        <w:t>$50 000 bond from each contractor to cover underpayments should they be identified.</w:t>
      </w:r>
    </w:p>
    <w:p w14:paraId="16E70880" w14:textId="0CB09F7F" w:rsidR="006921A0" w:rsidRDefault="00CA03FD" w:rsidP="0061347A">
      <w:pPr>
        <w:pStyle w:val="Heading3"/>
        <w:rPr>
          <w:lang w:eastAsia="en-AU"/>
        </w:rPr>
      </w:pPr>
      <w:r>
        <w:rPr>
          <w:lang w:eastAsia="en-AU"/>
        </w:rPr>
        <w:t>Workplace relations training</w:t>
      </w:r>
    </w:p>
    <w:p w14:paraId="6EE38607" w14:textId="401BCB8D" w:rsidR="00CA03FD" w:rsidRDefault="00CA03FD" w:rsidP="00941730">
      <w:pPr>
        <w:spacing w:before="0" w:after="120"/>
        <w:rPr>
          <w:lang w:eastAsia="en-AU"/>
        </w:rPr>
      </w:pPr>
      <w:r>
        <w:rPr>
          <w:lang w:eastAsia="en-AU"/>
        </w:rPr>
        <w:t xml:space="preserve">A key obligation under the terms of the PCD is the provision of workplace relations training. </w:t>
      </w:r>
    </w:p>
    <w:p w14:paraId="0260B9DF" w14:textId="5A31C559" w:rsidR="00CA03FD" w:rsidRDefault="00CA03FD" w:rsidP="00941730">
      <w:pPr>
        <w:spacing w:before="0" w:after="120"/>
        <w:rPr>
          <w:lang w:eastAsia="en-AU"/>
        </w:rPr>
      </w:pPr>
      <w:r>
        <w:rPr>
          <w:lang w:eastAsia="en-AU"/>
        </w:rPr>
        <w:t>Baiada engaged Australian Federation of Employers and Industries Legal to design and implement a workplace relations and human resources training program for its directors</w:t>
      </w:r>
      <w:r w:rsidR="00CC2C2A">
        <w:rPr>
          <w:lang w:eastAsia="en-AU"/>
        </w:rPr>
        <w:t>,</w:t>
      </w:r>
      <w:r>
        <w:rPr>
          <w:lang w:eastAsia="en-AU"/>
        </w:rPr>
        <w:t xml:space="preserve"> supervisors and managers, including contracting and subcontracting staff. The training covered:</w:t>
      </w:r>
    </w:p>
    <w:p w14:paraId="111E2617" w14:textId="3738FD3C" w:rsidR="00CA03FD" w:rsidRDefault="00CA03FD" w:rsidP="005A3957">
      <w:pPr>
        <w:pStyle w:val="Bullet"/>
        <w:rPr>
          <w:lang w:eastAsia="en-AU"/>
        </w:rPr>
      </w:pPr>
      <w:r>
        <w:rPr>
          <w:lang w:eastAsia="en-AU"/>
        </w:rPr>
        <w:t xml:space="preserve">the NES and the </w:t>
      </w:r>
      <w:r w:rsidR="00222D16" w:rsidRPr="000648F7">
        <w:rPr>
          <w:lang w:eastAsia="en-AU"/>
        </w:rPr>
        <w:t xml:space="preserve">Fair Work </w:t>
      </w:r>
      <w:r w:rsidRPr="000648F7">
        <w:rPr>
          <w:lang w:eastAsia="en-AU"/>
        </w:rPr>
        <w:t>Act</w:t>
      </w:r>
      <w:r w:rsidR="00222D16" w:rsidRPr="000648F7">
        <w:rPr>
          <w:lang w:eastAsia="en-AU"/>
        </w:rPr>
        <w:t xml:space="preserve"> 2009</w:t>
      </w:r>
      <w:r w:rsidR="00222D16">
        <w:rPr>
          <w:lang w:eastAsia="en-AU"/>
        </w:rPr>
        <w:t xml:space="preserve"> (the Act</w:t>
      </w:r>
      <w:r>
        <w:rPr>
          <w:lang w:eastAsia="en-AU"/>
        </w:rPr>
        <w:t>)</w:t>
      </w:r>
    </w:p>
    <w:p w14:paraId="21D0BE89" w14:textId="62D7F295" w:rsidR="00CA03FD" w:rsidRDefault="00CA03FD" w:rsidP="005A3957">
      <w:pPr>
        <w:pStyle w:val="Bullet"/>
        <w:rPr>
          <w:lang w:eastAsia="en-AU"/>
        </w:rPr>
      </w:pPr>
      <w:r>
        <w:rPr>
          <w:lang w:eastAsia="en-AU"/>
        </w:rPr>
        <w:t>modern awards and enterprise agreements</w:t>
      </w:r>
    </w:p>
    <w:p w14:paraId="118237BE" w14:textId="31600281" w:rsidR="00CA03FD" w:rsidRDefault="00CA03FD" w:rsidP="005A3957">
      <w:pPr>
        <w:pStyle w:val="Bullet"/>
        <w:rPr>
          <w:lang w:eastAsia="en-AU"/>
        </w:rPr>
      </w:pPr>
      <w:r>
        <w:rPr>
          <w:lang w:eastAsia="en-AU"/>
        </w:rPr>
        <w:t>pay and record-keeping requirements</w:t>
      </w:r>
    </w:p>
    <w:p w14:paraId="4B4CEFAC" w14:textId="1486F14B" w:rsidR="00CA03FD" w:rsidRDefault="00CA03FD" w:rsidP="005A3957">
      <w:pPr>
        <w:pStyle w:val="Bullet"/>
        <w:rPr>
          <w:lang w:eastAsia="en-AU"/>
        </w:rPr>
      </w:pPr>
      <w:r>
        <w:rPr>
          <w:lang w:eastAsia="en-AU"/>
        </w:rPr>
        <w:t>work health and safety</w:t>
      </w:r>
    </w:p>
    <w:p w14:paraId="17E37ED9" w14:textId="5AF8A901" w:rsidR="00CA03FD" w:rsidRDefault="00CA03FD" w:rsidP="005A3957">
      <w:pPr>
        <w:pStyle w:val="Bullet"/>
        <w:rPr>
          <w:lang w:eastAsia="en-AU"/>
        </w:rPr>
      </w:pPr>
      <w:r>
        <w:rPr>
          <w:lang w:eastAsia="en-AU"/>
        </w:rPr>
        <w:t>migration laws</w:t>
      </w:r>
    </w:p>
    <w:p w14:paraId="10786249" w14:textId="1E1121BA" w:rsidR="00CA03FD" w:rsidRDefault="00CA03FD" w:rsidP="005A3957">
      <w:pPr>
        <w:pStyle w:val="Bullet"/>
        <w:rPr>
          <w:lang w:eastAsia="en-AU"/>
        </w:rPr>
      </w:pPr>
      <w:proofErr w:type="gramStart"/>
      <w:r>
        <w:rPr>
          <w:lang w:eastAsia="en-AU"/>
        </w:rPr>
        <w:t>supply</w:t>
      </w:r>
      <w:proofErr w:type="gramEnd"/>
      <w:r>
        <w:rPr>
          <w:lang w:eastAsia="en-AU"/>
        </w:rPr>
        <w:t xml:space="preserve"> chain obligations.</w:t>
      </w:r>
    </w:p>
    <w:p w14:paraId="079E05E1" w14:textId="041D8344" w:rsidR="00CA03FD" w:rsidRDefault="00CA03FD" w:rsidP="00941730">
      <w:pPr>
        <w:spacing w:before="0" w:after="120"/>
        <w:rPr>
          <w:lang w:eastAsia="en-AU"/>
        </w:rPr>
      </w:pPr>
      <w:r>
        <w:rPr>
          <w:lang w:eastAsia="en-AU"/>
        </w:rPr>
        <w:t xml:space="preserve">Workplace relations training for workers was also a requirement of the compliance partnership. Baiada incorporated </w:t>
      </w:r>
      <w:r w:rsidR="00DC4D45">
        <w:rPr>
          <w:lang w:eastAsia="en-AU"/>
        </w:rPr>
        <w:t xml:space="preserve">this </w:t>
      </w:r>
      <w:r w:rsidR="000648F7">
        <w:rPr>
          <w:lang w:eastAsia="en-AU"/>
        </w:rPr>
        <w:t xml:space="preserve">training </w:t>
      </w:r>
      <w:r w:rsidR="00DC4D45">
        <w:rPr>
          <w:lang w:eastAsia="en-AU"/>
        </w:rPr>
        <w:t xml:space="preserve">in </w:t>
      </w:r>
      <w:r w:rsidR="000648F7">
        <w:rPr>
          <w:lang w:eastAsia="en-AU"/>
        </w:rPr>
        <w:t>the in-person</w:t>
      </w:r>
      <w:r w:rsidR="00DC4D45">
        <w:rPr>
          <w:lang w:eastAsia="en-AU"/>
        </w:rPr>
        <w:t xml:space="preserve"> induction sessions for new workers. Refresher training </w:t>
      </w:r>
      <w:proofErr w:type="gramStart"/>
      <w:r w:rsidR="00DC4D45">
        <w:rPr>
          <w:lang w:eastAsia="en-AU"/>
        </w:rPr>
        <w:t>was provided</w:t>
      </w:r>
      <w:proofErr w:type="gramEnd"/>
      <w:r w:rsidR="00DC4D45">
        <w:rPr>
          <w:lang w:eastAsia="en-AU"/>
        </w:rPr>
        <w:t xml:space="preserve"> to existing staff also, covering:</w:t>
      </w:r>
    </w:p>
    <w:p w14:paraId="33A279DE" w14:textId="7B417F4C" w:rsidR="00DC4D45" w:rsidRDefault="0061347A" w:rsidP="005A3957">
      <w:pPr>
        <w:pStyle w:val="Bullet"/>
        <w:rPr>
          <w:lang w:eastAsia="en-AU"/>
        </w:rPr>
      </w:pPr>
      <w:r>
        <w:rPr>
          <w:lang w:eastAsia="en-AU"/>
        </w:rPr>
        <w:t>workplace</w:t>
      </w:r>
      <w:r w:rsidR="00DC4D45">
        <w:rPr>
          <w:lang w:eastAsia="en-AU"/>
        </w:rPr>
        <w:t xml:space="preserve"> health and safety</w:t>
      </w:r>
    </w:p>
    <w:p w14:paraId="77860911" w14:textId="1ABD7E46" w:rsidR="00DC4D45" w:rsidRDefault="0061347A" w:rsidP="005A3957">
      <w:pPr>
        <w:pStyle w:val="Bullet"/>
        <w:rPr>
          <w:lang w:eastAsia="en-AU"/>
        </w:rPr>
      </w:pPr>
      <w:r>
        <w:rPr>
          <w:lang w:eastAsia="en-AU"/>
        </w:rPr>
        <w:t>workplace</w:t>
      </w:r>
      <w:r w:rsidR="00DC4D45">
        <w:rPr>
          <w:lang w:eastAsia="en-AU"/>
        </w:rPr>
        <w:t xml:space="preserve"> bullying</w:t>
      </w:r>
    </w:p>
    <w:p w14:paraId="48BBAA81" w14:textId="13AE5BF0" w:rsidR="00DC4D45" w:rsidRDefault="00DC4D45" w:rsidP="005A3957">
      <w:pPr>
        <w:pStyle w:val="Bullet"/>
        <w:rPr>
          <w:lang w:eastAsia="en-AU"/>
        </w:rPr>
      </w:pPr>
      <w:r>
        <w:rPr>
          <w:lang w:eastAsia="en-AU"/>
        </w:rPr>
        <w:t>animal welfare</w:t>
      </w:r>
    </w:p>
    <w:p w14:paraId="2309B5FE" w14:textId="4A52CE54" w:rsidR="00DC4D45" w:rsidRDefault="00DC4D45" w:rsidP="005A3957">
      <w:pPr>
        <w:pStyle w:val="Bullet"/>
        <w:rPr>
          <w:lang w:eastAsia="en-AU"/>
        </w:rPr>
      </w:pPr>
      <w:r>
        <w:rPr>
          <w:lang w:eastAsia="en-AU"/>
        </w:rPr>
        <w:t>disciplinary guidelines</w:t>
      </w:r>
    </w:p>
    <w:p w14:paraId="21D51FC6" w14:textId="23B55CF6" w:rsidR="00DC4D45" w:rsidRPr="00B6255B" w:rsidRDefault="00DC4D45" w:rsidP="005A3957">
      <w:pPr>
        <w:pStyle w:val="Bullet"/>
        <w:rPr>
          <w:lang w:eastAsia="en-AU"/>
        </w:rPr>
      </w:pPr>
      <w:r w:rsidRPr="00B6255B">
        <w:rPr>
          <w:lang w:eastAsia="en-AU"/>
        </w:rPr>
        <w:t>the</w:t>
      </w:r>
      <w:r w:rsidRPr="00602496">
        <w:rPr>
          <w:lang w:eastAsia="en-AU"/>
        </w:rPr>
        <w:t xml:space="preserve"> Award and enterprise agreements</w:t>
      </w:r>
    </w:p>
    <w:p w14:paraId="65C25A49" w14:textId="7E8B7DD7" w:rsidR="00DC4D45" w:rsidRPr="00B6255B" w:rsidRDefault="00DC4D45" w:rsidP="005A3957">
      <w:pPr>
        <w:pStyle w:val="Bullet"/>
        <w:rPr>
          <w:lang w:eastAsia="en-AU"/>
        </w:rPr>
      </w:pPr>
      <w:proofErr w:type="gramStart"/>
      <w:r w:rsidRPr="00B6255B">
        <w:rPr>
          <w:lang w:eastAsia="en-AU"/>
        </w:rPr>
        <w:t>the</w:t>
      </w:r>
      <w:proofErr w:type="gramEnd"/>
      <w:r w:rsidRPr="00B6255B">
        <w:rPr>
          <w:lang w:eastAsia="en-AU"/>
        </w:rPr>
        <w:t xml:space="preserve"> NES and the Act.</w:t>
      </w:r>
    </w:p>
    <w:p w14:paraId="3DB2E1EA" w14:textId="77777777" w:rsidR="0061347A" w:rsidRDefault="0061347A" w:rsidP="0061347A">
      <w:pPr>
        <w:pStyle w:val="Heading2"/>
      </w:pPr>
      <w:r>
        <w:br w:type="page"/>
      </w:r>
    </w:p>
    <w:p w14:paraId="383DCA20" w14:textId="01BCA92D" w:rsidR="006921A0" w:rsidRDefault="00A77CEA" w:rsidP="0061347A">
      <w:pPr>
        <w:pStyle w:val="Heading2"/>
      </w:pPr>
      <w:bookmarkStart w:id="15" w:name="_Toc532482857"/>
      <w:r>
        <w:lastRenderedPageBreak/>
        <w:t>S</w:t>
      </w:r>
      <w:r w:rsidR="006921A0" w:rsidRPr="00776B46">
        <w:t>elf-audit</w:t>
      </w:r>
      <w:r>
        <w:t>s</w:t>
      </w:r>
      <w:bookmarkEnd w:id="15"/>
    </w:p>
    <w:p w14:paraId="1E373629" w14:textId="72A1FA0D" w:rsidR="00A77CEA" w:rsidRDefault="00A77CEA" w:rsidP="004C550D">
      <w:r>
        <w:t>The Baiada Inquiry found a lack of governance and monitoring of the labour supply chain</w:t>
      </w:r>
      <w:r w:rsidRPr="001C51FB">
        <w:t xml:space="preserve"> </w:t>
      </w:r>
      <w:r>
        <w:t>contributed to serious worker exploitation by contractors.</w:t>
      </w:r>
    </w:p>
    <w:p w14:paraId="47258116" w14:textId="08498F9B" w:rsidR="00A77CEA" w:rsidRDefault="00A77CEA" w:rsidP="004C550D">
      <w:r>
        <w:t xml:space="preserve">In addition to </w:t>
      </w:r>
      <w:r w:rsidR="009E22AC">
        <w:t xml:space="preserve">governance systems and process </w:t>
      </w:r>
      <w:r>
        <w:t xml:space="preserve">reforms, </w:t>
      </w:r>
      <w:r w:rsidR="00C6264C">
        <w:t xml:space="preserve">clause 3 of </w:t>
      </w:r>
      <w:r w:rsidR="0061347A">
        <w:t>the PCD</w:t>
      </w:r>
      <w:r>
        <w:t xml:space="preserve"> required </w:t>
      </w:r>
      <w:r w:rsidR="00C6264C">
        <w:t xml:space="preserve">a </w:t>
      </w:r>
      <w:r>
        <w:t>robust independent auditing</w:t>
      </w:r>
      <w:r w:rsidR="00C6264C">
        <w:t xml:space="preserve"> regime</w:t>
      </w:r>
      <w:r>
        <w:t>. Baiada was required to forward the a</w:t>
      </w:r>
      <w:r w:rsidRPr="00C56F90">
        <w:t xml:space="preserve">udit results to the </w:t>
      </w:r>
      <w:r>
        <w:t xml:space="preserve">FWO. </w:t>
      </w:r>
    </w:p>
    <w:p w14:paraId="0C8887F3" w14:textId="0916E3DC" w:rsidR="006921A0" w:rsidRDefault="006921A0" w:rsidP="004C550D">
      <w:r w:rsidRPr="00BF63A2">
        <w:t xml:space="preserve">Baiada </w:t>
      </w:r>
      <w:r w:rsidR="00A77CEA">
        <w:t xml:space="preserve">engaged </w:t>
      </w:r>
      <w:r w:rsidR="00A77CEA" w:rsidRPr="00795641">
        <w:t xml:space="preserve">Deloitte </w:t>
      </w:r>
      <w:proofErr w:type="spellStart"/>
      <w:r w:rsidR="00A77CEA" w:rsidRPr="00795641">
        <w:t>Touche</w:t>
      </w:r>
      <w:proofErr w:type="spellEnd"/>
      <w:r w:rsidR="00A77CEA" w:rsidRPr="00795641">
        <w:t xml:space="preserve"> Tohmatsu</w:t>
      </w:r>
      <w:r w:rsidR="00A77CEA">
        <w:t xml:space="preserve"> (Deloitte) to conduct </w:t>
      </w:r>
      <w:r w:rsidRPr="00A77CEA">
        <w:t>annual audits</w:t>
      </w:r>
      <w:r>
        <w:t xml:space="preserve"> of all </w:t>
      </w:r>
      <w:r w:rsidR="00A77CEA">
        <w:t>c</w:t>
      </w:r>
      <w:r>
        <w:t xml:space="preserve">ontractors supplying </w:t>
      </w:r>
      <w:r w:rsidR="00A77CEA">
        <w:t>w</w:t>
      </w:r>
      <w:r>
        <w:t>orkers</w:t>
      </w:r>
      <w:r w:rsidRPr="00252DAD">
        <w:t xml:space="preserve"> to Baiada processing sites</w:t>
      </w:r>
      <w:r>
        <w:t xml:space="preserve">. </w:t>
      </w:r>
    </w:p>
    <w:p w14:paraId="260717E5" w14:textId="28FD6536" w:rsidR="006921A0" w:rsidRDefault="004775ED" w:rsidP="004C550D">
      <w:r>
        <w:t>C</w:t>
      </w:r>
      <w:r w:rsidR="006921A0">
        <w:t xml:space="preserve">ontractors </w:t>
      </w:r>
      <w:r w:rsidR="00373030">
        <w:t xml:space="preserve">were required to </w:t>
      </w:r>
      <w:r w:rsidR="006921A0">
        <w:t>provide Baiada and Deloitte all necessary documents such as timesheets, invoices and pay</w:t>
      </w:r>
      <w:r w:rsidR="009152FB">
        <w:t xml:space="preserve"> slips for checking against KRONOS and Australian workplace laws.</w:t>
      </w:r>
      <w:r w:rsidR="00431FD8">
        <w:t xml:space="preserve"> </w:t>
      </w:r>
      <w:r w:rsidR="009152FB">
        <w:t>Deloitte provided</w:t>
      </w:r>
      <w:r w:rsidR="006921A0">
        <w:t xml:space="preserve"> a signed statement certifying the outcome of </w:t>
      </w:r>
      <w:r w:rsidR="009152FB">
        <w:t xml:space="preserve">each </w:t>
      </w:r>
      <w:r w:rsidR="006921A0">
        <w:t>audit.</w:t>
      </w:r>
    </w:p>
    <w:p w14:paraId="17629332" w14:textId="7E9C623F" w:rsidR="00431FD8" w:rsidRDefault="00431FD8" w:rsidP="004C550D">
      <w:r>
        <w:t xml:space="preserve">The first audit in 2016 resulted in a </w:t>
      </w:r>
      <w:r w:rsidR="0061347A">
        <w:t>back payment</w:t>
      </w:r>
      <w:r>
        <w:t xml:space="preserve"> to three workers </w:t>
      </w:r>
      <w:r w:rsidRPr="00F205B6">
        <w:t>for the net amounts of $8, $46 and $1,615.05 respectively</w:t>
      </w:r>
      <w:r>
        <w:t>.</w:t>
      </w:r>
      <w:r>
        <w:rPr>
          <w:rStyle w:val="FootnoteReference"/>
        </w:rPr>
        <w:footnoteReference w:id="25"/>
      </w:r>
      <w:r>
        <w:t xml:space="preserve"> The second and third audits in 2017 and 2018 disclosed no underpayments.</w:t>
      </w:r>
    </w:p>
    <w:p w14:paraId="3BB5A90D" w14:textId="6110BE05" w:rsidR="00431FD8" w:rsidRDefault="00431FD8" w:rsidP="004C550D">
      <w:r>
        <w:t xml:space="preserve">This indicates significant improvements in compliance with workplace laws on Baiada’s sites. The </w:t>
      </w:r>
      <w:r w:rsidR="007B6ADD">
        <w:t xml:space="preserve">maintenance of </w:t>
      </w:r>
      <w:r>
        <w:t>processes established to prevent, identify and rectify</w:t>
      </w:r>
      <w:r w:rsidR="007B6ADD">
        <w:t xml:space="preserve"> underpayments will </w:t>
      </w:r>
      <w:r>
        <w:t xml:space="preserve">be critical in ensuring a firmly embedded ‘culture of compliance’ in Baiada’s workforce going forward. </w:t>
      </w:r>
    </w:p>
    <w:p w14:paraId="432320ED" w14:textId="0B2E9C55" w:rsidR="00431FD8" w:rsidRPr="005138DC" w:rsidRDefault="007B6ADD" w:rsidP="004C550D">
      <w:r>
        <w:t>The FWO</w:t>
      </w:r>
      <w:r w:rsidR="00431FD8">
        <w:t xml:space="preserve"> also observe that the size of the contractor work</w:t>
      </w:r>
      <w:r>
        <w:t>er workforce has steadily decreased</w:t>
      </w:r>
      <w:r w:rsidR="00431FD8">
        <w:t xml:space="preserve"> since the commencement of</w:t>
      </w:r>
      <w:r>
        <w:t xml:space="preserve"> the compliance partnership</w:t>
      </w:r>
      <w:r w:rsidR="00431FD8">
        <w:t xml:space="preserve"> (as evidenced by the reduced size of the 20% sample audited in each report, namely </w:t>
      </w:r>
      <w:r w:rsidR="00431FD8" w:rsidRPr="005138DC">
        <w:t>168</w:t>
      </w:r>
      <w:r w:rsidR="00431FD8">
        <w:t xml:space="preserve"> in 2016, 149 in 2017 and 131 in 2018). This would appear to indicate that Baiada is reducing its overall reliance on contract workers.</w:t>
      </w:r>
      <w:r w:rsidR="00431FD8">
        <w:rPr>
          <w:rStyle w:val="FootnoteReference"/>
        </w:rPr>
        <w:footnoteReference w:id="26"/>
      </w:r>
      <w:r w:rsidR="00431FD8">
        <w:t xml:space="preserve"> This </w:t>
      </w:r>
      <w:r w:rsidR="00FF18FE">
        <w:t xml:space="preserve">observation </w:t>
      </w:r>
      <w:proofErr w:type="gramStart"/>
      <w:r w:rsidR="00431FD8">
        <w:t>was confirmed</w:t>
      </w:r>
      <w:proofErr w:type="gramEnd"/>
      <w:r w:rsidR="00431FD8">
        <w:t xml:space="preserve"> at a meeting between representatives of Baiada and FWO in February 2017.</w:t>
      </w:r>
    </w:p>
    <w:p w14:paraId="3B77FA14" w14:textId="4F145EE6" w:rsidR="006921A0" w:rsidRPr="00B40E38" w:rsidRDefault="00373030" w:rsidP="0061347A">
      <w:pPr>
        <w:pStyle w:val="Heading3"/>
      </w:pPr>
      <w:r w:rsidRPr="00B40E38">
        <w:t>First self-a</w:t>
      </w:r>
      <w:r w:rsidR="006921A0" w:rsidRPr="00B40E38">
        <w:t>udit (2016)</w:t>
      </w:r>
    </w:p>
    <w:p w14:paraId="2D44199D" w14:textId="77777777" w:rsidR="00F64CA0" w:rsidRDefault="00F64CA0" w:rsidP="00F64CA0">
      <w:r>
        <w:t xml:space="preserve">Baiada provided Deloitte’s first audit </w:t>
      </w:r>
      <w:r w:rsidRPr="00E65FB7">
        <w:t xml:space="preserve">report on </w:t>
      </w:r>
      <w:r>
        <w:t>23 June 2016</w:t>
      </w:r>
      <w:r w:rsidRPr="00E65FB7">
        <w:t>.</w:t>
      </w:r>
      <w:r>
        <w:t xml:space="preserve"> </w:t>
      </w:r>
    </w:p>
    <w:p w14:paraId="7489BCB4" w14:textId="01F924A9" w:rsidR="00F64CA0" w:rsidRDefault="00F64CA0" w:rsidP="00F64CA0">
      <w:r>
        <w:t xml:space="preserve">A 20% sample of Baiada contract workers over </w:t>
      </w:r>
      <w:r w:rsidR="001B04EF">
        <w:t>the period 14 March to 10 April</w:t>
      </w:r>
      <w:r>
        <w:t xml:space="preserve"> 2016</w:t>
      </w:r>
      <w:r w:rsidRPr="00F64CA0">
        <w:t xml:space="preserve"> </w:t>
      </w:r>
      <w:proofErr w:type="gramStart"/>
      <w:r>
        <w:t>w</w:t>
      </w:r>
      <w:r w:rsidR="00256115">
        <w:t>ere</w:t>
      </w:r>
      <w:r>
        <w:t xml:space="preserve"> reviewed</w:t>
      </w:r>
      <w:proofErr w:type="gramEnd"/>
      <w:r>
        <w:t xml:space="preserve">. No systemic risk of underpayments was </w:t>
      </w:r>
      <w:r w:rsidR="00256115">
        <w:t>identified; however</w:t>
      </w:r>
      <w:r>
        <w:t xml:space="preserve"> </w:t>
      </w:r>
      <w:proofErr w:type="gramStart"/>
      <w:r>
        <w:t>a number of limited exceptions were investigated by Baiada resulting in repayments to three workers of $8, $46 and $1,615 respectively</w:t>
      </w:r>
      <w:proofErr w:type="gramEnd"/>
      <w:r>
        <w:t>.</w:t>
      </w:r>
    </w:p>
    <w:p w14:paraId="160FEE00" w14:textId="0D704823" w:rsidR="006921A0" w:rsidRPr="00373030" w:rsidRDefault="00F64CA0" w:rsidP="004C550D">
      <w:r>
        <w:t xml:space="preserve">More detail about the first self-audit can be found in the </w:t>
      </w:r>
      <w:r w:rsidR="006921A0" w:rsidRPr="00373030">
        <w:t>Interim PCD Report.</w:t>
      </w:r>
    </w:p>
    <w:p w14:paraId="7846C1D6" w14:textId="32F7D6E0" w:rsidR="006921A0" w:rsidRDefault="00373030" w:rsidP="0061347A">
      <w:pPr>
        <w:pStyle w:val="Heading3"/>
      </w:pPr>
      <w:r>
        <w:lastRenderedPageBreak/>
        <w:t>Second self-a</w:t>
      </w:r>
      <w:r w:rsidR="006921A0" w:rsidRPr="00795641">
        <w:t>udit (2017)</w:t>
      </w:r>
    </w:p>
    <w:p w14:paraId="52667699" w14:textId="2F34DBC5" w:rsidR="006921A0" w:rsidRDefault="006921A0" w:rsidP="004C550D">
      <w:r>
        <w:t xml:space="preserve">Baiada provided Deloitte’s second completed audit </w:t>
      </w:r>
      <w:r w:rsidRPr="00E65FB7">
        <w:t>report on 2 June 2017.</w:t>
      </w:r>
      <w:r>
        <w:t xml:space="preserve"> </w:t>
      </w:r>
    </w:p>
    <w:p w14:paraId="3FE09F0D" w14:textId="765E4CCD" w:rsidR="006921A0" w:rsidRDefault="006921A0" w:rsidP="004C550D">
      <w:r>
        <w:t>At the time of this audit, six</w:t>
      </w:r>
      <w:r w:rsidR="00373030">
        <w:t xml:space="preserve"> c</w:t>
      </w:r>
      <w:r>
        <w:t xml:space="preserve">ontractors </w:t>
      </w:r>
      <w:r w:rsidR="00CA1DD5">
        <w:t>undertook</w:t>
      </w:r>
      <w:r>
        <w:t xml:space="preserve"> operations at Baiada facilities. These </w:t>
      </w:r>
      <w:proofErr w:type="gramStart"/>
      <w:r>
        <w:t>were:</w:t>
      </w:r>
      <w:proofErr w:type="gramEnd"/>
      <w:r>
        <w:t xml:space="preserve"> </w:t>
      </w:r>
      <w:proofErr w:type="spellStart"/>
      <w:r>
        <w:t>Ca</w:t>
      </w:r>
      <w:r w:rsidR="009152FB">
        <w:t>lacash</w:t>
      </w:r>
      <w:proofErr w:type="spellEnd"/>
      <w:r w:rsidR="009152FB">
        <w:t xml:space="preserve"> </w:t>
      </w:r>
      <w:proofErr w:type="spellStart"/>
      <w:r w:rsidR="009152FB">
        <w:t>Inwa</w:t>
      </w:r>
      <w:proofErr w:type="spellEnd"/>
      <w:r w:rsidR="009152FB">
        <w:t xml:space="preserve"> Enterprises Pty Ltd, GGPB Power Pty Ltd, J&amp;T Trade Pty Ltd,</w:t>
      </w:r>
      <w:r>
        <w:t xml:space="preserve"> PHV Po</w:t>
      </w:r>
      <w:r w:rsidR="009152FB">
        <w:t>ultry Pty Ltd, Springtime Poultry Pty Ltd,</w:t>
      </w:r>
      <w:r>
        <w:t xml:space="preserve"> and </w:t>
      </w:r>
      <w:proofErr w:type="spellStart"/>
      <w:r>
        <w:t>Amai</w:t>
      </w:r>
      <w:proofErr w:type="spellEnd"/>
      <w:r>
        <w:t xml:space="preserve"> Enterprise Pty Ltd.</w:t>
      </w:r>
    </w:p>
    <w:p w14:paraId="27429CE7" w14:textId="1AB551D5" w:rsidR="006921A0" w:rsidRDefault="006921A0" w:rsidP="004C550D">
      <w:r>
        <w:t>T</w:t>
      </w:r>
      <w:r w:rsidRPr="0057260E">
        <w:t>he self-audit r</w:t>
      </w:r>
      <w:r>
        <w:t xml:space="preserve">eviewed a 20% sample of </w:t>
      </w:r>
      <w:r w:rsidR="009152FB">
        <w:t>w</w:t>
      </w:r>
      <w:r w:rsidRPr="0057260E">
        <w:t>orkers</w:t>
      </w:r>
      <w:r>
        <w:t xml:space="preserve"> employed by each </w:t>
      </w:r>
      <w:r w:rsidR="009152FB">
        <w:t>c</w:t>
      </w:r>
      <w:r>
        <w:t>ontractor (149 workers in total) who worked</w:t>
      </w:r>
      <w:r w:rsidRPr="0057260E">
        <w:t xml:space="preserve"> over </w:t>
      </w:r>
      <w:r>
        <w:t xml:space="preserve">the </w:t>
      </w:r>
      <w:r w:rsidR="008410B0">
        <w:t>four</w:t>
      </w:r>
      <w:r>
        <w:t xml:space="preserve">-week </w:t>
      </w:r>
      <w:r w:rsidRPr="0057260E">
        <w:t xml:space="preserve">period from </w:t>
      </w:r>
      <w:r>
        <w:t>20 February 2017</w:t>
      </w:r>
      <w:r w:rsidRPr="0057260E">
        <w:t xml:space="preserve"> to </w:t>
      </w:r>
      <w:r>
        <w:t>19 March 2017</w:t>
      </w:r>
      <w:r w:rsidRPr="0057260E">
        <w:t xml:space="preserve"> inclusive</w:t>
      </w:r>
      <w:r>
        <w:t xml:space="preserve">. </w:t>
      </w:r>
    </w:p>
    <w:p w14:paraId="418A01F7" w14:textId="7A451D58" w:rsidR="006921A0" w:rsidRDefault="006921A0" w:rsidP="004C550D">
      <w:r>
        <w:t xml:space="preserve">All </w:t>
      </w:r>
      <w:r w:rsidR="009152FB">
        <w:t>w</w:t>
      </w:r>
      <w:r>
        <w:t xml:space="preserve">orkers </w:t>
      </w:r>
      <w:proofErr w:type="gramStart"/>
      <w:r>
        <w:t>were employed</w:t>
      </w:r>
      <w:proofErr w:type="gramEnd"/>
      <w:r>
        <w:t xml:space="preserve"> as casuals. In conducting the audit, </w:t>
      </w:r>
      <w:r w:rsidR="009152FB">
        <w:t>Deloitte analysed records for 2</w:t>
      </w:r>
      <w:r>
        <w:t>617 work events (or work shifts).</w:t>
      </w:r>
    </w:p>
    <w:p w14:paraId="79624D80" w14:textId="666B413B" w:rsidR="006921A0" w:rsidRDefault="006921A0" w:rsidP="004C550D">
      <w:r>
        <w:t xml:space="preserve">The Deloitte report </w:t>
      </w:r>
      <w:r w:rsidR="009152FB">
        <w:t>did</w:t>
      </w:r>
      <w:r w:rsidR="007E0FA1">
        <w:t xml:space="preserve"> no</w:t>
      </w:r>
      <w:r w:rsidRPr="009B6D24">
        <w:t xml:space="preserve">t </w:t>
      </w:r>
      <w:r w:rsidRPr="001B04EF">
        <w:t xml:space="preserve">identify any systemic risk of underpayments. However, </w:t>
      </w:r>
      <w:r w:rsidR="009152FB" w:rsidRPr="001B04EF">
        <w:t xml:space="preserve">some </w:t>
      </w:r>
      <w:r w:rsidRPr="001B04EF">
        <w:t>exceptions that appeared to be limited and isolated in nature</w:t>
      </w:r>
      <w:r w:rsidR="009152FB" w:rsidRPr="001B04EF">
        <w:t xml:space="preserve"> </w:t>
      </w:r>
      <w:proofErr w:type="gramStart"/>
      <w:r w:rsidR="009152FB" w:rsidRPr="001B04EF">
        <w:t>were identified</w:t>
      </w:r>
      <w:proofErr w:type="gramEnd"/>
      <w:r w:rsidRPr="001B04EF">
        <w:rPr>
          <w:rStyle w:val="FootnoteReference"/>
        </w:rPr>
        <w:footnoteReference w:id="27"/>
      </w:r>
      <w:r w:rsidRPr="001B04EF">
        <w:t xml:space="preserve">, which indicated a small number of </w:t>
      </w:r>
      <w:r w:rsidR="009152FB" w:rsidRPr="001B04EF">
        <w:t>w</w:t>
      </w:r>
      <w:r w:rsidRPr="001B04EF">
        <w:t>orkers</w:t>
      </w:r>
      <w:r w:rsidR="009152FB" w:rsidRPr="001B04EF">
        <w:t xml:space="preserve"> </w:t>
      </w:r>
      <w:r w:rsidR="009E64AF" w:rsidRPr="001B04EF">
        <w:t>might</w:t>
      </w:r>
      <w:r w:rsidR="009152FB" w:rsidRPr="001B04EF">
        <w:t xml:space="preserve"> have been underpaid. </w:t>
      </w:r>
      <w:r w:rsidRPr="001B04EF">
        <w:t>Baiada investigate</w:t>
      </w:r>
      <w:r w:rsidR="009152FB" w:rsidRPr="001B04EF">
        <w:t>d</w:t>
      </w:r>
      <w:r w:rsidRPr="001B04EF">
        <w:t xml:space="preserve"> these exceptions</w:t>
      </w:r>
      <w:r>
        <w:t xml:space="preserve"> and advised that they were satisfied </w:t>
      </w:r>
      <w:r w:rsidR="009152FB">
        <w:t xml:space="preserve">there were </w:t>
      </w:r>
      <w:r>
        <w:t xml:space="preserve">no </w:t>
      </w:r>
      <w:r w:rsidRPr="009152FB">
        <w:t>actual</w:t>
      </w:r>
      <w:r>
        <w:t xml:space="preserve"> underpayment.</w:t>
      </w:r>
    </w:p>
    <w:p w14:paraId="4B4432F1" w14:textId="5D688D2A" w:rsidR="006921A0" w:rsidRPr="009152FB" w:rsidRDefault="006921A0" w:rsidP="004C550D">
      <w:r>
        <w:t>Deloitte’s signed statement dated 1 June 2017</w:t>
      </w:r>
      <w:r w:rsidRPr="009B6D24">
        <w:t xml:space="preserve"> </w:t>
      </w:r>
      <w:r>
        <w:t xml:space="preserve">is at </w:t>
      </w:r>
      <w:r w:rsidRPr="009152FB">
        <w:t xml:space="preserve">Appendix </w:t>
      </w:r>
      <w:r w:rsidR="007F4587">
        <w:t>B</w:t>
      </w:r>
      <w:r w:rsidR="008410B0">
        <w:t>.</w:t>
      </w:r>
    </w:p>
    <w:p w14:paraId="126322BE" w14:textId="79879A2D" w:rsidR="006921A0" w:rsidRDefault="006921A0" w:rsidP="004C550D">
      <w:r>
        <w:t>At a meeting between representatives of the FWO and Baiada on 9 August 2017, the FWO asked Baiada further questions in respect of the detail contained in the audit report. These questions sought further information as to Baiada’s assessment</w:t>
      </w:r>
      <w:r>
        <w:rPr>
          <w:rStyle w:val="FootnoteReference"/>
        </w:rPr>
        <w:footnoteReference w:id="28"/>
      </w:r>
      <w:r>
        <w:t xml:space="preserve"> of classification levels for </w:t>
      </w:r>
      <w:r w:rsidR="009152FB">
        <w:t>w</w:t>
      </w:r>
      <w:r>
        <w:t xml:space="preserve">orkers. Clarification </w:t>
      </w:r>
      <w:proofErr w:type="gramStart"/>
      <w:r>
        <w:t>was also sought</w:t>
      </w:r>
      <w:proofErr w:type="gramEnd"/>
      <w:r>
        <w:t xml:space="preserve"> </w:t>
      </w:r>
      <w:r w:rsidR="008410B0">
        <w:t>regarding</w:t>
      </w:r>
      <w:r>
        <w:t xml:space="preserve"> </w:t>
      </w:r>
      <w:r w:rsidR="008410B0">
        <w:t xml:space="preserve">how </w:t>
      </w:r>
      <w:r>
        <w:t xml:space="preserve">one </w:t>
      </w:r>
      <w:r w:rsidR="009152FB">
        <w:t>c</w:t>
      </w:r>
      <w:r>
        <w:t xml:space="preserve">ontractor’s use of a supplementary piece rate payment system was reconciled against minimum wages required under the Award. Baiada provided written responses to the FWO on 17 August 2017 that satisfied the FWO’s queries. </w:t>
      </w:r>
    </w:p>
    <w:p w14:paraId="003888AD" w14:textId="77777777" w:rsidR="006921A0" w:rsidRDefault="006921A0" w:rsidP="004C550D">
      <w:r>
        <w:t>At the meeting on 9 August 2017, the FWO also asked Baiada to re-engage Deloitte and instruct the firm to expand the scope of its earlier audit to address the matters contained in clauses 3.2(c) (</w:t>
      </w:r>
      <w:r w:rsidRPr="0073669C">
        <w:t>checking of samp</w:t>
      </w:r>
      <w:r>
        <w:t>le records compared to invoices) and 3.2(d) (</w:t>
      </w:r>
      <w:r w:rsidRPr="0073669C">
        <w:t>leave and termination entitlements)</w:t>
      </w:r>
      <w:r>
        <w:t xml:space="preserve"> of the PCD.</w:t>
      </w:r>
    </w:p>
    <w:p w14:paraId="13E00A6D" w14:textId="49F18DE8" w:rsidR="006921A0" w:rsidRDefault="006921A0" w:rsidP="004C550D">
      <w:r>
        <w:t xml:space="preserve">Baiada then re-engaged Deloitte who subsequently provided an addendum report dated 24 August 2017. In respect of checking </w:t>
      </w:r>
      <w:r w:rsidR="00AA6CD3">
        <w:t xml:space="preserve">the </w:t>
      </w:r>
      <w:r>
        <w:t xml:space="preserve">sample records compared to invoices, no exceptions </w:t>
      </w:r>
      <w:proofErr w:type="gramStart"/>
      <w:r>
        <w:t>were found</w:t>
      </w:r>
      <w:proofErr w:type="gramEnd"/>
      <w:r>
        <w:t xml:space="preserve">. No exceptions were found either in respect of leave and termination entitlements, as no leave or termination entitlements were applicable to the </w:t>
      </w:r>
      <w:r w:rsidR="009152FB">
        <w:t>w</w:t>
      </w:r>
      <w:r>
        <w:t xml:space="preserve">orkers (who were all employed as casuals) during the audit period.  </w:t>
      </w:r>
    </w:p>
    <w:p w14:paraId="14FCA635" w14:textId="47CD553A" w:rsidR="006921A0" w:rsidRDefault="006921A0" w:rsidP="004C550D">
      <w:r>
        <w:lastRenderedPageBreak/>
        <w:t xml:space="preserve">Deloitte’s Addendum statement dated 24 August 2017 is at </w:t>
      </w:r>
      <w:r w:rsidRPr="009152FB">
        <w:t>Appendix B.</w:t>
      </w:r>
    </w:p>
    <w:p w14:paraId="5EF73219" w14:textId="3FBC991F" w:rsidR="006921A0" w:rsidRDefault="009152FB" w:rsidP="0061347A">
      <w:pPr>
        <w:pStyle w:val="Heading3"/>
      </w:pPr>
      <w:r>
        <w:t>Third self-a</w:t>
      </w:r>
      <w:r w:rsidR="006921A0" w:rsidRPr="007B7E3B">
        <w:t>udit (2018)</w:t>
      </w:r>
    </w:p>
    <w:p w14:paraId="48E3BA13" w14:textId="2707C07E" w:rsidR="006921A0" w:rsidRDefault="00431FD8" w:rsidP="004C550D">
      <w:r>
        <w:t xml:space="preserve">Baiada provided Deloitte’s third completed audit </w:t>
      </w:r>
      <w:r w:rsidRPr="00E65FB7">
        <w:t>report on 18 May 2018</w:t>
      </w:r>
      <w:r>
        <w:t>.</w:t>
      </w:r>
      <w:r w:rsidR="006921A0">
        <w:rPr>
          <w:rStyle w:val="FootnoteReference"/>
        </w:rPr>
        <w:footnoteReference w:id="29"/>
      </w:r>
      <w:r w:rsidR="006921A0">
        <w:t xml:space="preserve"> </w:t>
      </w:r>
    </w:p>
    <w:p w14:paraId="63663827" w14:textId="06A1FEA1" w:rsidR="006921A0" w:rsidRDefault="006921A0" w:rsidP="004C550D">
      <w:r>
        <w:t xml:space="preserve">At the time of this audit, </w:t>
      </w:r>
      <w:r w:rsidRPr="00DB4E2F">
        <w:t xml:space="preserve">five </w:t>
      </w:r>
      <w:r w:rsidR="00431FD8">
        <w:t>c</w:t>
      </w:r>
      <w:r>
        <w:t xml:space="preserve">ontractors </w:t>
      </w:r>
      <w:r w:rsidR="004379E6">
        <w:t>undertook</w:t>
      </w:r>
      <w:r>
        <w:t xml:space="preserve"> operations at Baiada facilities. These </w:t>
      </w:r>
      <w:r w:rsidR="009E64AF">
        <w:t>were</w:t>
      </w:r>
      <w:r w:rsidRPr="00DB4E2F">
        <w:t xml:space="preserve"> </w:t>
      </w:r>
      <w:proofErr w:type="spellStart"/>
      <w:r w:rsidRPr="00DB4E2F">
        <w:t>Calaca</w:t>
      </w:r>
      <w:r w:rsidR="00431FD8">
        <w:t>sh</w:t>
      </w:r>
      <w:proofErr w:type="spellEnd"/>
      <w:r w:rsidR="00431FD8">
        <w:t xml:space="preserve"> </w:t>
      </w:r>
      <w:proofErr w:type="spellStart"/>
      <w:r w:rsidR="00431FD8">
        <w:t>Inwa</w:t>
      </w:r>
      <w:proofErr w:type="spellEnd"/>
      <w:r w:rsidR="00431FD8">
        <w:t xml:space="preserve"> Enterprises Pty Ltd, GGPB Power Pty Ltd, J&amp;T Trade Pty Ltd, Springtime Poultry Pty Ltd,</w:t>
      </w:r>
      <w:r w:rsidRPr="00DB4E2F">
        <w:t xml:space="preserve"> and </w:t>
      </w:r>
      <w:proofErr w:type="spellStart"/>
      <w:r w:rsidRPr="00DB4E2F">
        <w:t>Amai</w:t>
      </w:r>
      <w:proofErr w:type="spellEnd"/>
      <w:r w:rsidRPr="00DB4E2F">
        <w:t xml:space="preserve"> Enterprise Pty Ltd.</w:t>
      </w:r>
    </w:p>
    <w:p w14:paraId="6385146C" w14:textId="2B942E82" w:rsidR="006921A0" w:rsidRPr="00DB4E2F" w:rsidRDefault="006921A0" w:rsidP="004C550D">
      <w:r>
        <w:t>T</w:t>
      </w:r>
      <w:r w:rsidRPr="0057260E">
        <w:t>he self-audit r</w:t>
      </w:r>
      <w:r>
        <w:t xml:space="preserve">eviewed a 20% sample of </w:t>
      </w:r>
      <w:r w:rsidR="00431FD8">
        <w:t>w</w:t>
      </w:r>
      <w:r w:rsidRPr="0057260E">
        <w:t>orkers</w:t>
      </w:r>
      <w:r>
        <w:t xml:space="preserve"> employed by each </w:t>
      </w:r>
      <w:r w:rsidR="00431FD8">
        <w:t>c</w:t>
      </w:r>
      <w:r w:rsidRPr="00DB4E2F">
        <w:t>ontractor (131 workers in</w:t>
      </w:r>
      <w:r>
        <w:t xml:space="preserve"> total) who worked</w:t>
      </w:r>
      <w:r w:rsidRPr="0057260E">
        <w:t xml:space="preserve"> over </w:t>
      </w:r>
      <w:r>
        <w:t xml:space="preserve">the </w:t>
      </w:r>
      <w:r w:rsidR="004379E6">
        <w:t>four</w:t>
      </w:r>
      <w:r>
        <w:t xml:space="preserve">-week </w:t>
      </w:r>
      <w:r w:rsidRPr="00DB4E2F">
        <w:t>period from 22 January 2018 to 18 February 2018</w:t>
      </w:r>
      <w:r w:rsidRPr="0057260E">
        <w:t xml:space="preserve"> inclusive</w:t>
      </w:r>
      <w:r>
        <w:t xml:space="preserve">. </w:t>
      </w:r>
      <w:r w:rsidRPr="00DB4E2F">
        <w:t xml:space="preserve">The </w:t>
      </w:r>
      <w:r w:rsidR="00431FD8">
        <w:t>c</w:t>
      </w:r>
      <w:r w:rsidRPr="00DB4E2F">
        <w:t>ontractors employed all workers as casual employees.</w:t>
      </w:r>
    </w:p>
    <w:p w14:paraId="036D4E6D" w14:textId="5CE02377" w:rsidR="006921A0" w:rsidRDefault="006921A0" w:rsidP="004C550D">
      <w:r>
        <w:t xml:space="preserve">In conducting the audit, </w:t>
      </w:r>
      <w:r w:rsidR="00431FD8">
        <w:t>Deloitte analysed records for 2</w:t>
      </w:r>
      <w:r>
        <w:t>038 work events (or work shifts).</w:t>
      </w:r>
    </w:p>
    <w:p w14:paraId="13666140" w14:textId="4D13FB2B" w:rsidR="006921A0" w:rsidRDefault="006921A0" w:rsidP="004C550D">
      <w:r>
        <w:t xml:space="preserve">It is worth noting that </w:t>
      </w:r>
      <w:r w:rsidR="00CF635F">
        <w:t xml:space="preserve">at </w:t>
      </w:r>
      <w:r>
        <w:t xml:space="preserve">the time of this audit, Baiada’s electronic time recording system, KRONOS, </w:t>
      </w:r>
      <w:proofErr w:type="gramStart"/>
      <w:r>
        <w:t>had been enhanced</w:t>
      </w:r>
      <w:proofErr w:type="gramEnd"/>
      <w:r>
        <w:t xml:space="preserve"> to operate using only biometrics. This enhancement further increased confidence in the </w:t>
      </w:r>
      <w:r w:rsidR="006A769D">
        <w:t xml:space="preserve">accuracy of the time records. It </w:t>
      </w:r>
      <w:proofErr w:type="gramStart"/>
      <w:r w:rsidR="006A769D">
        <w:t>is noted</w:t>
      </w:r>
      <w:proofErr w:type="gramEnd"/>
      <w:r w:rsidR="006A769D">
        <w:t xml:space="preserve"> </w:t>
      </w:r>
      <w:r>
        <w:t>however that this development did not change the comprehensive procedures used by Deloitte to audit the time records.</w:t>
      </w:r>
    </w:p>
    <w:p w14:paraId="59AD89D3" w14:textId="0FF47F0A" w:rsidR="006921A0" w:rsidRPr="009B6D24" w:rsidRDefault="006921A0" w:rsidP="004C550D">
      <w:r>
        <w:t xml:space="preserve">The Deloitte report </w:t>
      </w:r>
      <w:r w:rsidRPr="009B6D24">
        <w:t xml:space="preserve">did </w:t>
      </w:r>
      <w:r w:rsidRPr="00774DA1">
        <w:t>not identify any systemic risk of underpayments to</w:t>
      </w:r>
      <w:r w:rsidRPr="009B6D24">
        <w:t xml:space="preserve"> </w:t>
      </w:r>
      <w:r w:rsidR="00431FD8">
        <w:t>w</w:t>
      </w:r>
      <w:r w:rsidRPr="0057260E">
        <w:t>orkers</w:t>
      </w:r>
      <w:r w:rsidRPr="009B6D24">
        <w:t xml:space="preserve">. However, </w:t>
      </w:r>
      <w:r w:rsidR="00EC2CC9">
        <w:t xml:space="preserve">again, </w:t>
      </w:r>
      <w:r w:rsidRPr="009B6D24">
        <w:t>the report did identify some exceptions that appeared to be limited and isolated in nature</w:t>
      </w:r>
      <w:r>
        <w:t xml:space="preserve">, which indicated </w:t>
      </w:r>
      <w:r w:rsidRPr="009B6D24">
        <w:t xml:space="preserve">a small number of </w:t>
      </w:r>
      <w:r w:rsidR="00431FD8">
        <w:t>w</w:t>
      </w:r>
      <w:r w:rsidRPr="0057260E">
        <w:t>orkers</w:t>
      </w:r>
      <w:r w:rsidRPr="009B6D24">
        <w:t xml:space="preserve"> </w:t>
      </w:r>
      <w:proofErr w:type="gramStart"/>
      <w:r w:rsidR="009E64AF" w:rsidRPr="009B6D24">
        <w:t>might</w:t>
      </w:r>
      <w:r w:rsidRPr="009B6D24">
        <w:t xml:space="preserve"> have been underpaid</w:t>
      </w:r>
      <w:proofErr w:type="gramEnd"/>
      <w:r w:rsidRPr="009B6D24">
        <w:t xml:space="preserve">. </w:t>
      </w:r>
    </w:p>
    <w:p w14:paraId="718D389E" w14:textId="45D3CE73" w:rsidR="006921A0" w:rsidRDefault="006921A0" w:rsidP="004C550D">
      <w:r>
        <w:t>Baiada investigate</w:t>
      </w:r>
      <w:r w:rsidR="00431FD8">
        <w:t>d</w:t>
      </w:r>
      <w:r>
        <w:t xml:space="preserve"> these exceptions and advised they were satisfied that there had been no actual underpayment.</w:t>
      </w:r>
      <w:r w:rsidR="00EC2CC9">
        <w:t xml:space="preserve">  </w:t>
      </w:r>
    </w:p>
    <w:p w14:paraId="51C204DA" w14:textId="05183A18" w:rsidR="006921A0" w:rsidRDefault="006921A0" w:rsidP="004C550D">
      <w:r w:rsidRPr="005E04F9">
        <w:t xml:space="preserve">Deloitte’s signed statement date 18 May 2018 is </w:t>
      </w:r>
      <w:r w:rsidRPr="00431FD8">
        <w:t>at Appendix C</w:t>
      </w:r>
      <w:r>
        <w:t>.</w:t>
      </w:r>
    </w:p>
    <w:p w14:paraId="0D794C84" w14:textId="5347E9C8" w:rsidR="005A3957" w:rsidRDefault="005A3957" w:rsidP="0061347A">
      <w:pPr>
        <w:pStyle w:val="Heading2"/>
      </w:pPr>
      <w:r>
        <w:br w:type="page"/>
      </w:r>
    </w:p>
    <w:p w14:paraId="3F6C1824" w14:textId="465246A5" w:rsidR="006921A0" w:rsidRDefault="006921A0" w:rsidP="0061347A">
      <w:pPr>
        <w:pStyle w:val="Heading2"/>
      </w:pPr>
      <w:bookmarkStart w:id="16" w:name="_Toc532482858"/>
      <w:r>
        <w:lastRenderedPageBreak/>
        <w:t>Resolving disput</w:t>
      </w:r>
      <w:r w:rsidR="00D527BD">
        <w:t>es and rectifying underpayments</w:t>
      </w:r>
      <w:bookmarkEnd w:id="16"/>
    </w:p>
    <w:p w14:paraId="5F8E5623" w14:textId="0AD4A9CF" w:rsidR="00D527BD" w:rsidRDefault="006921A0" w:rsidP="005A3957">
      <w:pPr>
        <w:spacing w:before="0" w:after="120"/>
      </w:pPr>
      <w:r>
        <w:t xml:space="preserve">Throughout the </w:t>
      </w:r>
      <w:r w:rsidR="005E564A">
        <w:t xml:space="preserve">duration </w:t>
      </w:r>
      <w:r>
        <w:t xml:space="preserve">of the </w:t>
      </w:r>
      <w:r w:rsidR="005E564A">
        <w:t>partnership</w:t>
      </w:r>
      <w:r>
        <w:t xml:space="preserve">, </w:t>
      </w:r>
      <w:r w:rsidRPr="00F03C8E">
        <w:t xml:space="preserve">Baiada </w:t>
      </w:r>
      <w:r w:rsidRPr="00D527BD">
        <w:t>assume</w:t>
      </w:r>
      <w:r w:rsidR="00D527BD">
        <w:t>d</w:t>
      </w:r>
      <w:r w:rsidRPr="00D527BD">
        <w:t xml:space="preserve"> responsibility for rectifying underpayments to </w:t>
      </w:r>
      <w:r w:rsidR="00D527BD">
        <w:t>contractor</w:t>
      </w:r>
      <w:r w:rsidRPr="00D527BD">
        <w:t xml:space="preserve"> </w:t>
      </w:r>
      <w:r w:rsidR="00D527BD">
        <w:t>w</w:t>
      </w:r>
      <w:r w:rsidRPr="00D527BD">
        <w:t>orkers, even th</w:t>
      </w:r>
      <w:r>
        <w:t xml:space="preserve">ough </w:t>
      </w:r>
      <w:r w:rsidR="00CD7CB1">
        <w:t>they were</w:t>
      </w:r>
      <w:r w:rsidRPr="00F03C8E">
        <w:t xml:space="preserve"> not the</w:t>
      </w:r>
      <w:r w:rsidR="00CD7CB1">
        <w:t xml:space="preserve"> worker’s</w:t>
      </w:r>
      <w:r w:rsidRPr="00F03C8E">
        <w:t xml:space="preserve"> direct employer</w:t>
      </w:r>
      <w:r>
        <w:t xml:space="preserve">. </w:t>
      </w:r>
    </w:p>
    <w:p w14:paraId="0C86B3A1" w14:textId="77777777" w:rsidR="006D5F95" w:rsidRDefault="006D5F95" w:rsidP="005A3957">
      <w:pPr>
        <w:spacing w:before="0" w:after="120"/>
      </w:pPr>
      <w:r>
        <w:t xml:space="preserve">Baiada also established a </w:t>
      </w:r>
      <w:r w:rsidRPr="00D527BD">
        <w:t>dedicated hotline</w:t>
      </w:r>
      <w:r w:rsidRPr="007B7A0D">
        <w:t xml:space="preserve"> </w:t>
      </w:r>
      <w:r>
        <w:t>managed by qualified internal human resources specialists for w</w:t>
      </w:r>
      <w:r w:rsidRPr="007B7A0D">
        <w:t xml:space="preserve">orkers to </w:t>
      </w:r>
      <w:r>
        <w:t xml:space="preserve">lodge enquiries and complaints. </w:t>
      </w:r>
    </w:p>
    <w:p w14:paraId="26A5F15F" w14:textId="125DCD45" w:rsidR="006D5F95" w:rsidRPr="00CF7731" w:rsidRDefault="006D5F95" w:rsidP="005A3957">
      <w:pPr>
        <w:spacing w:before="0" w:after="120"/>
      </w:pPr>
      <w:r>
        <w:t xml:space="preserve">The same human resources specialists </w:t>
      </w:r>
      <w:r w:rsidRPr="00CC51CB">
        <w:t>investiga</w:t>
      </w:r>
      <w:r>
        <w:t>ted, resolved</w:t>
      </w:r>
      <w:r w:rsidRPr="00CC51CB">
        <w:t xml:space="preserve"> and report</w:t>
      </w:r>
      <w:r>
        <w:t>ed</w:t>
      </w:r>
      <w:r w:rsidRPr="00CC51CB">
        <w:t xml:space="preserve"> </w:t>
      </w:r>
      <w:r>
        <w:t xml:space="preserve">on all requests for assistance relating to underpayment of wages that </w:t>
      </w:r>
      <w:proofErr w:type="gramStart"/>
      <w:r>
        <w:t>were referred</w:t>
      </w:r>
      <w:proofErr w:type="gramEnd"/>
      <w:r>
        <w:t xml:space="preserve"> by the FWO.</w:t>
      </w:r>
    </w:p>
    <w:p w14:paraId="0211BB3D" w14:textId="688C211F" w:rsidR="006D5F95" w:rsidRDefault="00D8527C" w:rsidP="005A3957">
      <w:pPr>
        <w:spacing w:before="0" w:after="120"/>
      </w:pPr>
      <w:r>
        <w:t>Over</w:t>
      </w:r>
      <w:r w:rsidR="006D5F95">
        <w:t xml:space="preserve"> $</w:t>
      </w:r>
      <w:r w:rsidR="009E64AF">
        <w:t>340,</w:t>
      </w:r>
      <w:r w:rsidR="005A3957">
        <w:t xml:space="preserve"> </w:t>
      </w:r>
      <w:r>
        <w:t>000</w:t>
      </w:r>
      <w:r w:rsidR="006D5F95">
        <w:t xml:space="preserve"> in </w:t>
      </w:r>
      <w:r w:rsidR="006D5F95" w:rsidRPr="00CE37D8">
        <w:t xml:space="preserve">underpayments </w:t>
      </w:r>
      <w:r w:rsidR="006D5F95">
        <w:t xml:space="preserve">involving </w:t>
      </w:r>
      <w:r w:rsidR="007F4587">
        <w:t>296</w:t>
      </w:r>
      <w:r w:rsidR="006D5F95">
        <w:t xml:space="preserve"> workers </w:t>
      </w:r>
      <w:proofErr w:type="gramStart"/>
      <w:r w:rsidR="006D5F95">
        <w:t>w</w:t>
      </w:r>
      <w:r w:rsidR="005A3957">
        <w:t>ere</w:t>
      </w:r>
      <w:r w:rsidR="006D5F95">
        <w:t xml:space="preserve"> </w:t>
      </w:r>
      <w:r w:rsidR="006D5F95" w:rsidRPr="00CE37D8">
        <w:t xml:space="preserve">identified </w:t>
      </w:r>
      <w:r w:rsidR="006D5F95">
        <w:t xml:space="preserve">and repaid </w:t>
      </w:r>
      <w:r w:rsidR="006D5F95" w:rsidRPr="00CE37D8">
        <w:t xml:space="preserve">through claims and self-audit </w:t>
      </w:r>
      <w:r w:rsidR="006D5F95" w:rsidRPr="00083C95">
        <w:t>processes</w:t>
      </w:r>
      <w:proofErr w:type="gramEnd"/>
      <w:r w:rsidR="006D5F95" w:rsidRPr="00083C95">
        <w:t xml:space="preserve">. </w:t>
      </w:r>
      <w:r w:rsidR="00EC2CC9" w:rsidRPr="00083C95">
        <w:t xml:space="preserve">The FWO’s </w:t>
      </w:r>
      <w:r w:rsidR="006D5F95" w:rsidRPr="00083C95">
        <w:t>Interim PCD Report</w:t>
      </w:r>
      <w:r w:rsidR="00EC2CC9" w:rsidRPr="00083C95">
        <w:t xml:space="preserve"> cover</w:t>
      </w:r>
      <w:r w:rsidR="005A3957" w:rsidRPr="00083C95">
        <w:t>s</w:t>
      </w:r>
      <w:r w:rsidR="00EC2CC9" w:rsidRPr="00083C95">
        <w:t xml:space="preserve"> </w:t>
      </w:r>
      <w:r w:rsidRPr="00083C95">
        <w:t xml:space="preserve">most of </w:t>
      </w:r>
      <w:r w:rsidR="00EC2CC9" w:rsidRPr="00083C95">
        <w:t>these recoveries in</w:t>
      </w:r>
      <w:r w:rsidR="005A3957" w:rsidRPr="00083C95">
        <w:t xml:space="preserve"> more</w:t>
      </w:r>
      <w:r w:rsidR="00EC2CC9" w:rsidRPr="00083C95">
        <w:t xml:space="preserve"> </w:t>
      </w:r>
      <w:r w:rsidR="005A3957" w:rsidRPr="00083C95">
        <w:t>detail</w:t>
      </w:r>
      <w:r w:rsidR="00EC2CC9" w:rsidRPr="00083C95">
        <w:t>.</w:t>
      </w:r>
    </w:p>
    <w:p w14:paraId="41C98433" w14:textId="1870195C" w:rsidR="006921A0" w:rsidRDefault="006921A0" w:rsidP="005A3957">
      <w:pPr>
        <w:spacing w:before="0" w:after="120"/>
      </w:pPr>
      <w:r>
        <w:t xml:space="preserve">There </w:t>
      </w:r>
      <w:r w:rsidRPr="00E35837">
        <w:t xml:space="preserve">were no requests for assistance </w:t>
      </w:r>
      <w:r w:rsidR="00EC2CC9">
        <w:t>received by</w:t>
      </w:r>
      <w:r w:rsidRPr="00E35837">
        <w:t xml:space="preserve"> the FWO involving</w:t>
      </w:r>
      <w:r>
        <w:t xml:space="preserve"> Baiada </w:t>
      </w:r>
      <w:r w:rsidR="00B02232">
        <w:t>c</w:t>
      </w:r>
      <w:r>
        <w:t xml:space="preserve">ontract </w:t>
      </w:r>
      <w:r w:rsidR="00B02232">
        <w:t>w</w:t>
      </w:r>
      <w:r>
        <w:t xml:space="preserve">orkers between the time of publication of the Interim </w:t>
      </w:r>
      <w:r w:rsidR="00F9695A">
        <w:t>Compliance Partnership</w:t>
      </w:r>
      <w:r>
        <w:t xml:space="preserve"> Re</w:t>
      </w:r>
      <w:r w:rsidR="00F9695A">
        <w:t xml:space="preserve">port and the conclusion of the partnership </w:t>
      </w:r>
      <w:r>
        <w:t xml:space="preserve">in </w:t>
      </w:r>
      <w:r w:rsidR="00F9695A">
        <w:t>June</w:t>
      </w:r>
      <w:r>
        <w:t xml:space="preserve"> 2018.</w:t>
      </w:r>
      <w:r w:rsidR="00B02232">
        <w:t xml:space="preserve"> </w:t>
      </w:r>
      <w:r>
        <w:t>However, the following occurred during this period:</w:t>
      </w:r>
      <w:r w:rsidRPr="0072668E">
        <w:t xml:space="preserve"> </w:t>
      </w:r>
    </w:p>
    <w:p w14:paraId="6AE16ADF" w14:textId="007E5D66" w:rsidR="006921A0" w:rsidRDefault="006921A0" w:rsidP="005A3957">
      <w:pPr>
        <w:pStyle w:val="Bullet"/>
      </w:pPr>
      <w:r w:rsidRPr="0072668E">
        <w:t>t</w:t>
      </w:r>
      <w:r>
        <w:t>wo</w:t>
      </w:r>
      <w:r w:rsidRPr="0072668E">
        <w:t xml:space="preserve"> anonymous allegations </w:t>
      </w:r>
      <w:r w:rsidR="00B02232">
        <w:t xml:space="preserve">made via </w:t>
      </w:r>
      <w:r w:rsidRPr="0072668E">
        <w:t xml:space="preserve">the FWO’s </w:t>
      </w:r>
      <w:r w:rsidRPr="00B02232">
        <w:t xml:space="preserve">Anonymous </w:t>
      </w:r>
      <w:r w:rsidR="005A3957">
        <w:t xml:space="preserve">reporting </w:t>
      </w:r>
      <w:r w:rsidRPr="00B02232">
        <w:t>tool</w:t>
      </w:r>
      <w:r>
        <w:rPr>
          <w:rStyle w:val="FootnoteReference"/>
        </w:rPr>
        <w:footnoteReference w:id="30"/>
      </w:r>
      <w:r>
        <w:t xml:space="preserve"> </w:t>
      </w:r>
      <w:r w:rsidR="00B02232">
        <w:t xml:space="preserve">were </w:t>
      </w:r>
      <w:r>
        <w:t xml:space="preserve">referred to Baiada </w:t>
      </w:r>
      <w:r w:rsidR="00B02232">
        <w:t xml:space="preserve">to </w:t>
      </w:r>
      <w:r>
        <w:t>investigate</w:t>
      </w:r>
      <w:r w:rsidR="006D5F95">
        <w:t xml:space="preserve"> </w:t>
      </w:r>
    </w:p>
    <w:p w14:paraId="64CDDEC0" w14:textId="0463B4C2" w:rsidR="006921A0" w:rsidRDefault="006921A0" w:rsidP="005A3957">
      <w:pPr>
        <w:pStyle w:val="Bullet"/>
      </w:pPr>
      <w:r>
        <w:t xml:space="preserve">one anonymous allegation was made directly to Baiada </w:t>
      </w:r>
      <w:r w:rsidR="005A3957">
        <w:t>through a</w:t>
      </w:r>
      <w:r>
        <w:t xml:space="preserve"> suggestion box in </w:t>
      </w:r>
      <w:r w:rsidR="005A3957">
        <w:t xml:space="preserve">a </w:t>
      </w:r>
      <w:r>
        <w:t>worker lunchroom</w:t>
      </w:r>
    </w:p>
    <w:p w14:paraId="48E761C3" w14:textId="318D19F0" w:rsidR="006921A0" w:rsidRDefault="006921A0" w:rsidP="005A3957">
      <w:pPr>
        <w:pStyle w:val="Bullet"/>
      </w:pPr>
      <w:r>
        <w:t xml:space="preserve">one allegation </w:t>
      </w:r>
      <w:r w:rsidR="00531838">
        <w:t xml:space="preserve">of poor conduct </w:t>
      </w:r>
      <w:r>
        <w:t xml:space="preserve">against a </w:t>
      </w:r>
      <w:r w:rsidR="00B02232">
        <w:t>c</w:t>
      </w:r>
      <w:r>
        <w:t xml:space="preserve">ontractor supervisor </w:t>
      </w:r>
      <w:r w:rsidR="00531838">
        <w:t xml:space="preserve">at the Tamworth processing plant </w:t>
      </w:r>
      <w:r>
        <w:t xml:space="preserve">led to termination of </w:t>
      </w:r>
      <w:r w:rsidR="00B02232">
        <w:t xml:space="preserve">their </w:t>
      </w:r>
      <w:r>
        <w:t xml:space="preserve">employment with the </w:t>
      </w:r>
      <w:r w:rsidR="00B02232">
        <w:t>c</w:t>
      </w:r>
      <w:r>
        <w:t>ontractor</w:t>
      </w:r>
    </w:p>
    <w:p w14:paraId="6F9E52E6" w14:textId="5796D17B" w:rsidR="006921A0" w:rsidRDefault="006921A0" w:rsidP="00915CC7">
      <w:pPr>
        <w:pStyle w:val="Bullet"/>
      </w:pPr>
      <w:r>
        <w:t xml:space="preserve">underpayments </w:t>
      </w:r>
      <w:r w:rsidR="007F4587" w:rsidRPr="007F4587">
        <w:t xml:space="preserve">by </w:t>
      </w:r>
      <w:r w:rsidR="00915CC7">
        <w:t>three</w:t>
      </w:r>
      <w:r w:rsidR="006A769D">
        <w:t xml:space="preserve"> </w:t>
      </w:r>
      <w:r w:rsidR="007F4587" w:rsidRPr="007F4587">
        <w:t xml:space="preserve">contractors </w:t>
      </w:r>
      <w:r w:rsidR="00963B67">
        <w:t xml:space="preserve">relating to unpaid </w:t>
      </w:r>
      <w:r w:rsidR="007F4587" w:rsidRPr="007F4587">
        <w:t xml:space="preserve">rest break entitlements </w:t>
      </w:r>
      <w:r w:rsidR="00915CC7">
        <w:t>and</w:t>
      </w:r>
      <w:r w:rsidR="00915CC7" w:rsidRPr="00915CC7">
        <w:t xml:space="preserve"> misclassifications</w:t>
      </w:r>
      <w:r w:rsidR="00915CC7">
        <w:t xml:space="preserve"> of staff</w:t>
      </w:r>
      <w:r w:rsidR="00915CC7" w:rsidRPr="00915CC7">
        <w:t xml:space="preserve"> </w:t>
      </w:r>
      <w:r w:rsidR="00B02232">
        <w:t xml:space="preserve">were </w:t>
      </w:r>
      <w:r w:rsidR="00D8527C">
        <w:t>self-</w:t>
      </w:r>
      <w:r w:rsidR="00B02232">
        <w:t xml:space="preserve">identified </w:t>
      </w:r>
      <w:r>
        <w:t>by Baiada through its internal audit and review processes</w:t>
      </w:r>
      <w:r w:rsidR="00963B67">
        <w:t>, resulting in a total of $11</w:t>
      </w:r>
      <w:r w:rsidR="007F4587">
        <w:t>5</w:t>
      </w:r>
      <w:r w:rsidR="005A3957">
        <w:t xml:space="preserve"> </w:t>
      </w:r>
      <w:r w:rsidR="007F4587">
        <w:t>688.46</w:t>
      </w:r>
      <w:r w:rsidR="00963B67">
        <w:t xml:space="preserve"> in back-paid wages </w:t>
      </w:r>
    </w:p>
    <w:p w14:paraId="27DF3253" w14:textId="011DAB75" w:rsidR="006921A0" w:rsidRDefault="006921A0" w:rsidP="005A3957">
      <w:pPr>
        <w:pStyle w:val="Bullet"/>
      </w:pPr>
      <w:proofErr w:type="gramStart"/>
      <w:r>
        <w:t>two</w:t>
      </w:r>
      <w:proofErr w:type="gramEnd"/>
      <w:r>
        <w:t xml:space="preserve"> claims </w:t>
      </w:r>
      <w:r w:rsidR="00B02232">
        <w:t xml:space="preserve">made </w:t>
      </w:r>
      <w:r>
        <w:t xml:space="preserve">by former </w:t>
      </w:r>
      <w:r w:rsidR="00B02232">
        <w:t>c</w:t>
      </w:r>
      <w:r>
        <w:t xml:space="preserve">ontractor </w:t>
      </w:r>
      <w:r w:rsidR="00B02232">
        <w:t>w</w:t>
      </w:r>
      <w:r>
        <w:t>orkers relating to the period before the PCD commenced</w:t>
      </w:r>
      <w:r w:rsidR="00B02232">
        <w:t xml:space="preserve"> </w:t>
      </w:r>
      <w:r>
        <w:t>were lodged after the PCD deadline</w:t>
      </w:r>
      <w:r w:rsidR="005A3957">
        <w:t>.</w:t>
      </w:r>
      <w:r w:rsidR="00B02232">
        <w:t xml:space="preserve"> </w:t>
      </w:r>
      <w:r>
        <w:t>Baiada successfully secure</w:t>
      </w:r>
      <w:r w:rsidR="00B02232">
        <w:t>d</w:t>
      </w:r>
      <w:r>
        <w:t xml:space="preserve"> settlement payment</w:t>
      </w:r>
      <w:r w:rsidR="006D5F95">
        <w:t>s</w:t>
      </w:r>
      <w:r>
        <w:t xml:space="preserve"> for </w:t>
      </w:r>
      <w:r w:rsidR="006D5F95">
        <w:t xml:space="preserve">the </w:t>
      </w:r>
      <w:r>
        <w:t>claimants</w:t>
      </w:r>
      <w:r w:rsidR="006D5F95">
        <w:t xml:space="preserve"> (totalling $</w:t>
      </w:r>
      <w:r w:rsidR="007F4587">
        <w:t>4</w:t>
      </w:r>
      <w:r w:rsidR="006A769D">
        <w:t>,</w:t>
      </w:r>
      <w:r w:rsidR="006D5F95">
        <w:t>000)</w:t>
      </w:r>
      <w:r>
        <w:t>.</w:t>
      </w:r>
    </w:p>
    <w:p w14:paraId="389A5BDE" w14:textId="4226CA56" w:rsidR="006921A0" w:rsidRDefault="006921A0" w:rsidP="005A3957">
      <w:pPr>
        <w:spacing w:before="0" w:after="120"/>
      </w:pPr>
      <w:r>
        <w:t xml:space="preserve">Baiada conducted investigations and reported to the FWO </w:t>
      </w:r>
      <w:r w:rsidR="00531838">
        <w:t xml:space="preserve">in detail </w:t>
      </w:r>
      <w:r>
        <w:t xml:space="preserve">on each of the above matters. </w:t>
      </w:r>
    </w:p>
    <w:p w14:paraId="14C31297" w14:textId="13151F75" w:rsidR="006921A0" w:rsidRDefault="006921A0" w:rsidP="005A3957">
      <w:pPr>
        <w:spacing w:before="0" w:after="120"/>
      </w:pPr>
      <w:r>
        <w:t xml:space="preserve">None of the three anonymous allegations </w:t>
      </w:r>
      <w:proofErr w:type="gramStart"/>
      <w:r>
        <w:t>were</w:t>
      </w:r>
      <w:proofErr w:type="gramEnd"/>
      <w:r>
        <w:t xml:space="preserve"> sustained. </w:t>
      </w:r>
    </w:p>
    <w:p w14:paraId="568D0584" w14:textId="4885F5BF" w:rsidR="006921A0" w:rsidRDefault="00F64CA0" w:rsidP="00AB7A7E">
      <w:pPr>
        <w:pStyle w:val="Heading1"/>
      </w:pPr>
      <w:bookmarkStart w:id="17" w:name="_Toc527622016"/>
      <w:r>
        <w:br w:type="page"/>
      </w:r>
      <w:bookmarkStart w:id="18" w:name="_Toc532482859"/>
      <w:r w:rsidR="006921A0">
        <w:lastRenderedPageBreak/>
        <w:t>Conclusion</w:t>
      </w:r>
      <w:bookmarkEnd w:id="17"/>
      <w:bookmarkEnd w:id="18"/>
    </w:p>
    <w:p w14:paraId="7B1983B9" w14:textId="153DE974" w:rsidR="006921A0" w:rsidRDefault="006921A0" w:rsidP="004C550D">
      <w:pPr>
        <w:spacing w:before="0" w:after="120"/>
      </w:pPr>
      <w:r>
        <w:t xml:space="preserve">The </w:t>
      </w:r>
      <w:r w:rsidRPr="00603E19">
        <w:t>FWO</w:t>
      </w:r>
      <w:r>
        <w:t xml:space="preserve"> considers that by significantly transforming its governance of its contract labour supply chain, </w:t>
      </w:r>
      <w:r w:rsidRPr="00603E19">
        <w:t xml:space="preserve">Baiada </w:t>
      </w:r>
      <w:r>
        <w:t xml:space="preserve">has </w:t>
      </w:r>
      <w:r w:rsidRPr="00603E19">
        <w:t>develop</w:t>
      </w:r>
      <w:r>
        <w:t>ed</w:t>
      </w:r>
      <w:r w:rsidRPr="00603E19">
        <w:t xml:space="preserve"> a</w:t>
      </w:r>
      <w:r>
        <w:t xml:space="preserve"> demonstrably more </w:t>
      </w:r>
      <w:r w:rsidRPr="00603E19">
        <w:t xml:space="preserve">effective capability to </w:t>
      </w:r>
      <w:r>
        <w:t xml:space="preserve">prevent, </w:t>
      </w:r>
      <w:r w:rsidRPr="00603E19">
        <w:t>detect and respond to non-compliance</w:t>
      </w:r>
      <w:r>
        <w:t xml:space="preserve"> </w:t>
      </w:r>
      <w:r w:rsidRPr="00603E19">
        <w:t xml:space="preserve">at </w:t>
      </w:r>
      <w:r>
        <w:t xml:space="preserve">all of </w:t>
      </w:r>
      <w:r w:rsidRPr="00603E19">
        <w:t xml:space="preserve">its </w:t>
      </w:r>
      <w:r>
        <w:t>poultry processing facilities</w:t>
      </w:r>
      <w:r w:rsidRPr="00603E19">
        <w:t xml:space="preserve">. </w:t>
      </w:r>
    </w:p>
    <w:p w14:paraId="3D2E088D" w14:textId="5D28EF9F" w:rsidR="006921A0" w:rsidRDefault="006921A0" w:rsidP="004C550D">
      <w:pPr>
        <w:spacing w:before="0" w:after="120"/>
      </w:pPr>
      <w:r>
        <w:t xml:space="preserve">This compliance partnership </w:t>
      </w:r>
      <w:r w:rsidRPr="00603E19">
        <w:t xml:space="preserve">demonstrates that embedding and sustaining a culture of compliance in a supply chain requires commitment and action from the </w:t>
      </w:r>
      <w:r>
        <w:t xml:space="preserve">lead firm at the </w:t>
      </w:r>
      <w:r w:rsidRPr="00603E19">
        <w:t>top</w:t>
      </w:r>
      <w:r w:rsidR="00F9695A">
        <w:t xml:space="preserve"> of the chain.</w:t>
      </w:r>
    </w:p>
    <w:p w14:paraId="7F795FCA" w14:textId="42A9D61E" w:rsidR="006921A0" w:rsidRDefault="006921A0" w:rsidP="004C550D">
      <w:pPr>
        <w:spacing w:before="0" w:after="120"/>
      </w:pPr>
      <w:r w:rsidRPr="00603E19">
        <w:t xml:space="preserve">While </w:t>
      </w:r>
      <w:r>
        <w:t>significant</w:t>
      </w:r>
      <w:r w:rsidR="006A769D">
        <w:t xml:space="preserve"> progress has occurred</w:t>
      </w:r>
      <w:r w:rsidRPr="00603E19">
        <w:t xml:space="preserve">, Baiada must </w:t>
      </w:r>
      <w:r>
        <w:t xml:space="preserve">continue to </w:t>
      </w:r>
      <w:r w:rsidRPr="00603E19">
        <w:t>remain vigilant to ensure that non-complian</w:t>
      </w:r>
      <w:r w:rsidR="00DF7241">
        <w:t>t behaviour by c</w:t>
      </w:r>
      <w:r w:rsidRPr="00603E19">
        <w:t xml:space="preserve">ontractors </w:t>
      </w:r>
      <w:r>
        <w:t>does not return to Baiada sites</w:t>
      </w:r>
      <w:r w:rsidR="006A769D">
        <w:t>.</w:t>
      </w:r>
      <w:r>
        <w:rPr>
          <w:rStyle w:val="FootnoteReference"/>
        </w:rPr>
        <w:footnoteReference w:id="31"/>
      </w:r>
    </w:p>
    <w:p w14:paraId="7688DE90" w14:textId="2C9B222C" w:rsidR="00F64CA0" w:rsidRPr="00F64CA0" w:rsidRDefault="006921A0" w:rsidP="00F64CA0">
      <w:pPr>
        <w:spacing w:before="0" w:after="120"/>
      </w:pPr>
      <w:r>
        <w:t xml:space="preserve">The </w:t>
      </w:r>
      <w:r w:rsidRPr="00603E19">
        <w:t xml:space="preserve">FWO will continue to monitor compliance </w:t>
      </w:r>
      <w:r w:rsidR="00F9695A">
        <w:t xml:space="preserve">at the </w:t>
      </w:r>
      <w:r w:rsidR="009E64AF">
        <w:t>Baiada sites</w:t>
      </w:r>
      <w:r>
        <w:t>.</w:t>
      </w:r>
      <w:r w:rsidRPr="00603E19">
        <w:t xml:space="preserve"> </w:t>
      </w:r>
      <w:bookmarkStart w:id="19" w:name="_Toc528244591"/>
      <w:bookmarkStart w:id="20" w:name="_Toc528244151"/>
    </w:p>
    <w:p w14:paraId="565B01AF" w14:textId="77777777" w:rsidR="00F64CA0" w:rsidRDefault="00F64CA0">
      <w:pPr>
        <w:spacing w:before="0" w:line="240" w:lineRule="auto"/>
        <w:rPr>
          <w:color w:val="41273B"/>
          <w:sz w:val="44"/>
          <w:szCs w:val="26"/>
        </w:rPr>
      </w:pPr>
      <w:r>
        <w:br w:type="page"/>
      </w:r>
    </w:p>
    <w:p w14:paraId="057D1CB8" w14:textId="7C5EA7DF" w:rsidR="00F9695A" w:rsidRPr="009A569C" w:rsidRDefault="00F9695A" w:rsidP="00AB7A7E">
      <w:pPr>
        <w:pStyle w:val="Heading1"/>
      </w:pPr>
      <w:bookmarkStart w:id="21" w:name="_Toc532482860"/>
      <w:r w:rsidRPr="009A569C">
        <w:lastRenderedPageBreak/>
        <w:t>About the Fair Work Ombudsman</w:t>
      </w:r>
      <w:bookmarkEnd w:id="19"/>
      <w:bookmarkEnd w:id="20"/>
      <w:bookmarkEnd w:id="21"/>
    </w:p>
    <w:p w14:paraId="2BC37551" w14:textId="77777777" w:rsidR="00F9695A" w:rsidRPr="009A569C" w:rsidRDefault="00F9695A" w:rsidP="004C550D">
      <w:r w:rsidRPr="009A569C">
        <w:t xml:space="preserve">The FWO is an independent agency created by the </w:t>
      </w:r>
      <w:r w:rsidRPr="009A569C">
        <w:rPr>
          <w:i/>
        </w:rPr>
        <w:t>Fair Work Act 2009</w:t>
      </w:r>
      <w:r w:rsidRPr="009A569C">
        <w:t xml:space="preserve"> on 1 July 2009. Our main role is to promote harmonious, productive and cooperative workplace relations.</w:t>
      </w:r>
    </w:p>
    <w:p w14:paraId="0478804B" w14:textId="08EE515E" w:rsidR="00F9695A" w:rsidRPr="009A569C" w:rsidRDefault="00F9695A" w:rsidP="004C550D">
      <w:r w:rsidRPr="009A569C">
        <w:t xml:space="preserve">The FWO employs a number of strategies to achieve compliance with national workplace laws.  This includes entering into </w:t>
      </w:r>
      <w:r w:rsidR="002829AF">
        <w:t>compliance p</w:t>
      </w:r>
      <w:r>
        <w:t xml:space="preserve">artnerships </w:t>
      </w:r>
      <w:r w:rsidRPr="009A569C">
        <w:t xml:space="preserve">with employers. A </w:t>
      </w:r>
      <w:r w:rsidR="002829AF">
        <w:t>compliance p</w:t>
      </w:r>
      <w:r>
        <w:t xml:space="preserve">artnership </w:t>
      </w:r>
      <w:r w:rsidRPr="009A569C">
        <w:t xml:space="preserve">is an opportunity </w:t>
      </w:r>
      <w:r>
        <w:t>for lead businesses</w:t>
      </w:r>
      <w:r w:rsidRPr="009A569C">
        <w:t xml:space="preserve"> to work with the FWO in a positive and constructive manner and achieve sustainable monitoring arrangements</w:t>
      </w:r>
      <w:r w:rsidR="00994635">
        <w:t>.</w:t>
      </w:r>
    </w:p>
    <w:p w14:paraId="1DDE64E3" w14:textId="083F48FD" w:rsidR="00F9695A" w:rsidRPr="009A569C" w:rsidRDefault="009E64AF" w:rsidP="004C550D">
      <w:r>
        <w:t>Lead businesses</w:t>
      </w:r>
      <w:r w:rsidR="00F9695A" w:rsidRPr="009A569C">
        <w:t xml:space="preserve"> may seek to enter into a </w:t>
      </w:r>
      <w:r w:rsidR="00F9695A">
        <w:t>Compliance Partnership</w:t>
      </w:r>
      <w:r w:rsidR="00F9695A" w:rsidRPr="009A569C">
        <w:t xml:space="preserve"> with the FWO for a variety of reasons.  Some of these reasons include:</w:t>
      </w:r>
    </w:p>
    <w:p w14:paraId="77D10F4F" w14:textId="77777777" w:rsidR="00F9695A" w:rsidRPr="009A569C" w:rsidRDefault="00F9695A" w:rsidP="005A3957">
      <w:pPr>
        <w:pStyle w:val="Bullet"/>
      </w:pPr>
      <w:r w:rsidRPr="009A569C">
        <w:t xml:space="preserve">ensuring its obligations under the Act are being met </w:t>
      </w:r>
    </w:p>
    <w:p w14:paraId="2A454868" w14:textId="29B61F07" w:rsidR="00F9695A" w:rsidRPr="009A569C" w:rsidRDefault="00F9695A" w:rsidP="005A3957">
      <w:pPr>
        <w:pStyle w:val="Bullet"/>
      </w:pPr>
      <w:r w:rsidRPr="009A569C">
        <w:t xml:space="preserve">a method of identifying and minimising business risks with respect to its employees </w:t>
      </w:r>
      <w:r w:rsidR="009E64AF">
        <w:t xml:space="preserve">and those working in its supply chain or service network </w:t>
      </w:r>
    </w:p>
    <w:p w14:paraId="3EF77740" w14:textId="77777777" w:rsidR="00F9695A" w:rsidRPr="009A569C" w:rsidRDefault="00F9695A" w:rsidP="005A3957">
      <w:pPr>
        <w:pStyle w:val="Bullet"/>
      </w:pPr>
      <w:r w:rsidRPr="009A569C">
        <w:t>to demonstrate that it is a fair Australian workplace and potentially an employer of choice</w:t>
      </w:r>
    </w:p>
    <w:p w14:paraId="36A6B84E" w14:textId="77777777" w:rsidR="00F9695A" w:rsidRPr="009A569C" w:rsidRDefault="00F9695A" w:rsidP="005A3957">
      <w:pPr>
        <w:pStyle w:val="Bullet"/>
      </w:pPr>
      <w:proofErr w:type="gramStart"/>
      <w:r w:rsidRPr="009A569C">
        <w:t>to</w:t>
      </w:r>
      <w:proofErr w:type="gramEnd"/>
      <w:r w:rsidRPr="009A569C">
        <w:t xml:space="preserve"> address potential areas of non-compliance with the Act. </w:t>
      </w:r>
    </w:p>
    <w:p w14:paraId="34F94AF3" w14:textId="77777777" w:rsidR="00F9695A" w:rsidRPr="009A569C" w:rsidRDefault="00F9695A" w:rsidP="004C550D">
      <w:r w:rsidRPr="009A569C">
        <w:t xml:space="preserve">A range of activities can be utilised to assist </w:t>
      </w:r>
      <w:r>
        <w:t>lead firms</w:t>
      </w:r>
      <w:r w:rsidRPr="009A569C">
        <w:t xml:space="preserve"> meet the intended outcomes of the </w:t>
      </w:r>
      <w:r>
        <w:t>partnership</w:t>
      </w:r>
      <w:r w:rsidRPr="009A569C">
        <w:t>, for example, self-auditing of wages and record keeping, initiatives to engage with employees to improve compliance, and mutually beneficial improvements to employment and business outcomes by focussing on supply chain, brand and franchise relationships.</w:t>
      </w:r>
    </w:p>
    <w:p w14:paraId="5ABD121C" w14:textId="77777777" w:rsidR="00F9695A" w:rsidRPr="009A569C" w:rsidRDefault="00F9695A" w:rsidP="004C550D">
      <w:r w:rsidRPr="009A569C">
        <w:t xml:space="preserve">A business that enters into a </w:t>
      </w:r>
      <w:r>
        <w:t xml:space="preserve">partnership </w:t>
      </w:r>
      <w:r w:rsidRPr="009A569C">
        <w:t xml:space="preserve">with the FWO </w:t>
      </w:r>
      <w:proofErr w:type="gramStart"/>
      <w:r w:rsidRPr="009A569C">
        <w:t>is assigned</w:t>
      </w:r>
      <w:proofErr w:type="gramEnd"/>
      <w:r w:rsidRPr="009A569C">
        <w:t xml:space="preserve"> a dedicated Fair Work Officer who provides support and assistance to the business to ensure they are able to meet the outcomes of the </w:t>
      </w:r>
      <w:r>
        <w:t>partnership</w:t>
      </w:r>
      <w:r w:rsidRPr="009A569C">
        <w:t>.</w:t>
      </w:r>
    </w:p>
    <w:p w14:paraId="226CA11A" w14:textId="77777777" w:rsidR="00F9695A" w:rsidRPr="009A569C" w:rsidRDefault="00F9695A" w:rsidP="004C550D">
      <w:r w:rsidRPr="009A569C">
        <w:t xml:space="preserve">A publicly available report </w:t>
      </w:r>
      <w:proofErr w:type="gramStart"/>
      <w:r w:rsidRPr="009A569C">
        <w:t>is published</w:t>
      </w:r>
      <w:proofErr w:type="gramEnd"/>
      <w:r w:rsidRPr="009A569C">
        <w:t xml:space="preserve"> at the conclusion of each </w:t>
      </w:r>
      <w:r>
        <w:t>partnership</w:t>
      </w:r>
      <w:r w:rsidRPr="009A569C">
        <w:t>.</w:t>
      </w:r>
    </w:p>
    <w:p w14:paraId="3C6D2F9F" w14:textId="77777777" w:rsidR="00F9695A" w:rsidRPr="009A569C" w:rsidRDefault="00F9695A" w:rsidP="004C550D">
      <w:r w:rsidRPr="009A569C">
        <w:t xml:space="preserve">For further information and </w:t>
      </w:r>
      <w:proofErr w:type="gramStart"/>
      <w:r w:rsidRPr="009A569C">
        <w:t>media</w:t>
      </w:r>
      <w:proofErr w:type="gramEnd"/>
      <w:r w:rsidRPr="009A569C">
        <w:t xml:space="preserve"> enquiries please contact FWO media (</w:t>
      </w:r>
      <w:hyperlink r:id="rId8" w:history="1">
        <w:r w:rsidRPr="009A569C">
          <w:rPr>
            <w:rStyle w:val="Hyperlink"/>
            <w:rFonts w:cs="Arial"/>
          </w:rPr>
          <w:t>media@fwo.gov.au</w:t>
        </w:r>
      </w:hyperlink>
      <w:r w:rsidRPr="009A569C">
        <w:t xml:space="preserve">). </w:t>
      </w:r>
    </w:p>
    <w:p w14:paraId="43C8C40C" w14:textId="49B09E7E" w:rsidR="00F9695A" w:rsidRPr="009A569C" w:rsidRDefault="00F9695A" w:rsidP="004C550D">
      <w:r w:rsidRPr="009A569C">
        <w:t>If you would like further information about compliance pa</w:t>
      </w:r>
      <w:r>
        <w:t>rtnerships please contact Steve</w:t>
      </w:r>
      <w:r w:rsidRPr="009A569C">
        <w:t xml:space="preserve"> </w:t>
      </w:r>
      <w:proofErr w:type="spellStart"/>
      <w:r w:rsidRPr="009A569C">
        <w:t>Ronson</w:t>
      </w:r>
      <w:proofErr w:type="spellEnd"/>
      <w:r w:rsidRPr="009A569C">
        <w:t xml:space="preserve">, Executive Director – </w:t>
      </w:r>
      <w:r>
        <w:t>Proactive Compliance</w:t>
      </w:r>
      <w:r w:rsidRPr="009A569C">
        <w:t xml:space="preserve"> (</w:t>
      </w:r>
      <w:hyperlink r:id="rId9" w:history="1">
        <w:r w:rsidRPr="009A569C">
          <w:rPr>
            <w:rStyle w:val="Hyperlink"/>
            <w:rFonts w:cs="Arial"/>
          </w:rPr>
          <w:t>steven.ronson@fwo.gov.au</w:t>
        </w:r>
      </w:hyperlink>
      <w:r w:rsidRPr="009A569C">
        <w:t>).</w:t>
      </w:r>
    </w:p>
    <w:p w14:paraId="0815DFAC" w14:textId="77777777" w:rsidR="00F9695A" w:rsidRPr="004F6C7F" w:rsidRDefault="00F9695A" w:rsidP="004C550D"/>
    <w:p w14:paraId="2348D349" w14:textId="137BE9E3" w:rsidR="00D073C4" w:rsidRDefault="00D073C4">
      <w:pPr>
        <w:spacing w:before="0" w:line="240" w:lineRule="auto"/>
        <w:rPr>
          <w:rFonts w:eastAsiaTheme="minorHAnsi" w:cs="Times New Roman"/>
          <w:color w:val="41273B"/>
          <w:sz w:val="44"/>
          <w:szCs w:val="22"/>
          <w:lang w:eastAsia="en-AU"/>
        </w:rPr>
      </w:pPr>
      <w:r>
        <w:rPr>
          <w:rFonts w:eastAsiaTheme="minorHAnsi" w:cs="Times New Roman"/>
          <w:szCs w:val="22"/>
          <w:lang w:eastAsia="en-AU"/>
        </w:rPr>
        <w:br w:type="page"/>
      </w:r>
    </w:p>
    <w:p w14:paraId="13C875D2" w14:textId="1CC86369" w:rsidR="00BF0029" w:rsidRDefault="00D073C4" w:rsidP="00AB7A7E">
      <w:pPr>
        <w:pStyle w:val="Heading1"/>
        <w:rPr>
          <w:rFonts w:eastAsiaTheme="minorHAnsi"/>
          <w:lang w:eastAsia="en-AU"/>
        </w:rPr>
      </w:pPr>
      <w:bookmarkStart w:id="22" w:name="_Toc532482861"/>
      <w:r>
        <w:rPr>
          <w:rFonts w:eastAsiaTheme="minorHAnsi"/>
          <w:lang w:eastAsia="en-AU"/>
        </w:rPr>
        <w:lastRenderedPageBreak/>
        <w:t xml:space="preserve">Appendix A - </w:t>
      </w:r>
      <w:r w:rsidRPr="00D073C4">
        <w:rPr>
          <w:rFonts w:eastAsiaTheme="minorHAnsi"/>
          <w:lang w:eastAsia="en-AU"/>
        </w:rPr>
        <w:t>Notice published in the Weekend Australian on 14 November 2015</w:t>
      </w:r>
      <w:bookmarkEnd w:id="22"/>
    </w:p>
    <w:p w14:paraId="2375787B" w14:textId="3983F23C" w:rsidR="007F4587" w:rsidRDefault="00D073C4" w:rsidP="00941730">
      <w:pPr>
        <w:rPr>
          <w:rFonts w:eastAsiaTheme="minorHAnsi"/>
          <w:lang w:eastAsia="en-AU"/>
        </w:rPr>
      </w:pPr>
      <w:r>
        <w:rPr>
          <w:rFonts w:eastAsiaTheme="minorHAnsi"/>
          <w:lang w:eastAsia="en-AU"/>
        </w:rPr>
        <w:t xml:space="preserve">Extract </w:t>
      </w:r>
      <w:proofErr w:type="gramStart"/>
      <w:r>
        <w:rPr>
          <w:rFonts w:eastAsiaTheme="minorHAnsi"/>
          <w:lang w:eastAsia="en-AU"/>
        </w:rPr>
        <w:t>from:</w:t>
      </w:r>
      <w:proofErr w:type="gramEnd"/>
      <w:r>
        <w:rPr>
          <w:rFonts w:eastAsiaTheme="minorHAnsi"/>
          <w:lang w:eastAsia="en-AU"/>
        </w:rPr>
        <w:t xml:space="preserve"> </w:t>
      </w:r>
      <w:hyperlink r:id="rId10" w:history="1">
        <w:r w:rsidR="005A3957" w:rsidRPr="00816AAF">
          <w:rPr>
            <w:rStyle w:val="Hyperlink"/>
            <w:rFonts w:eastAsiaTheme="minorHAnsi" w:cs="Arial"/>
            <w:lang w:eastAsia="en-AU"/>
          </w:rPr>
          <w:t>https://www.fairwork.gov.au/reports/baiada-group-interim-report/appendices</w:t>
        </w:r>
      </w:hyperlink>
    </w:p>
    <w:p w14:paraId="5C21FA9C" w14:textId="77777777" w:rsidR="0058213B" w:rsidRDefault="0058213B" w:rsidP="00941730">
      <w:pPr>
        <w:rPr>
          <w:rFonts w:eastAsiaTheme="minorHAnsi" w:cs="Times New Roman"/>
          <w:color w:val="41273B"/>
          <w:sz w:val="44"/>
          <w:szCs w:val="22"/>
          <w:lang w:eastAsia="en-AU"/>
        </w:rPr>
      </w:pPr>
      <w:r>
        <w:rPr>
          <w:rFonts w:eastAsiaTheme="minorHAnsi" w:cs="Times New Roman"/>
          <w:color w:val="41273B"/>
          <w:sz w:val="44"/>
          <w:szCs w:val="22"/>
          <w:lang w:eastAsia="en-AU"/>
        </w:rPr>
        <w:br w:type="page"/>
      </w:r>
    </w:p>
    <w:p w14:paraId="1DD22417" w14:textId="5C8C0736" w:rsidR="007F4587" w:rsidRDefault="007F4587" w:rsidP="00B10C17">
      <w:pPr>
        <w:pStyle w:val="Heading1"/>
        <w:rPr>
          <w:rFonts w:eastAsiaTheme="minorHAnsi"/>
          <w:lang w:eastAsia="en-AU"/>
        </w:rPr>
      </w:pPr>
      <w:bookmarkStart w:id="23" w:name="_Toc532482862"/>
      <w:r w:rsidRPr="00941730">
        <w:rPr>
          <w:rFonts w:eastAsiaTheme="minorHAnsi"/>
          <w:lang w:eastAsia="en-AU"/>
        </w:rPr>
        <w:lastRenderedPageBreak/>
        <w:t>Appendix</w:t>
      </w:r>
      <w:r>
        <w:rPr>
          <w:rFonts w:eastAsiaTheme="minorHAnsi"/>
          <w:lang w:eastAsia="en-AU"/>
        </w:rPr>
        <w:t xml:space="preserve"> </w:t>
      </w:r>
      <w:r w:rsidRPr="00941730">
        <w:rPr>
          <w:rFonts w:eastAsiaTheme="minorHAnsi"/>
          <w:lang w:eastAsia="en-AU"/>
        </w:rPr>
        <w:t xml:space="preserve">B – </w:t>
      </w:r>
      <w:r w:rsidR="00B6255B">
        <w:rPr>
          <w:rFonts w:eastAsiaTheme="minorHAnsi"/>
          <w:lang w:eastAsia="en-AU"/>
        </w:rPr>
        <w:t xml:space="preserve">Second </w:t>
      </w:r>
      <w:r w:rsidRPr="00941730">
        <w:rPr>
          <w:rFonts w:eastAsiaTheme="minorHAnsi"/>
          <w:lang w:eastAsia="en-AU"/>
        </w:rPr>
        <w:t>Audit Report</w:t>
      </w:r>
      <w:r w:rsidR="00B6255B">
        <w:rPr>
          <w:rFonts w:eastAsiaTheme="minorHAnsi"/>
          <w:lang w:eastAsia="en-AU"/>
        </w:rPr>
        <w:t>,</w:t>
      </w:r>
      <w:r w:rsidRPr="00941730">
        <w:rPr>
          <w:rFonts w:eastAsiaTheme="minorHAnsi"/>
          <w:lang w:eastAsia="en-AU"/>
        </w:rPr>
        <w:t xml:space="preserve"> Addendum</w:t>
      </w:r>
      <w:r w:rsidR="00EB7AC7">
        <w:rPr>
          <w:rFonts w:eastAsiaTheme="minorHAnsi"/>
          <w:lang w:eastAsia="en-AU"/>
        </w:rPr>
        <w:t xml:space="preserve"> -</w:t>
      </w:r>
      <w:r w:rsidR="00B6255B">
        <w:rPr>
          <w:rFonts w:eastAsiaTheme="minorHAnsi"/>
          <w:lang w:eastAsia="en-AU"/>
        </w:rPr>
        <w:t xml:space="preserve"> report</w:t>
      </w:r>
      <w:r w:rsidR="009B6EFA">
        <w:rPr>
          <w:rFonts w:eastAsiaTheme="minorHAnsi"/>
          <w:lang w:eastAsia="en-AU"/>
        </w:rPr>
        <w:t xml:space="preserve"> </w:t>
      </w:r>
      <w:r w:rsidR="00B6255B">
        <w:rPr>
          <w:rFonts w:eastAsiaTheme="minorHAnsi"/>
          <w:lang w:eastAsia="en-AU"/>
        </w:rPr>
        <w:t>and</w:t>
      </w:r>
      <w:r w:rsidR="009B6EFA">
        <w:rPr>
          <w:rFonts w:eastAsiaTheme="minorHAnsi"/>
          <w:lang w:eastAsia="en-AU"/>
        </w:rPr>
        <w:t xml:space="preserve"> key assumptions and limitations</w:t>
      </w:r>
      <w:bookmarkEnd w:id="23"/>
    </w:p>
    <w:p w14:paraId="20945072" w14:textId="2D04BD14" w:rsidR="00792D5D" w:rsidRPr="00792D5D" w:rsidRDefault="00792D5D" w:rsidP="00792D5D">
      <w:pPr>
        <w:jc w:val="center"/>
        <w:rPr>
          <w:rFonts w:eastAsiaTheme="minorHAnsi"/>
          <w:lang w:eastAsia="en-AU"/>
        </w:rPr>
      </w:pPr>
      <w:r>
        <w:rPr>
          <w:noProof/>
          <w:lang w:eastAsia="en-AU"/>
        </w:rPr>
        <w:drawing>
          <wp:inline distT="0" distB="0" distL="0" distR="0" wp14:anchorId="29D685A1" wp14:editId="3E26BC74">
            <wp:extent cx="3590569" cy="7277100"/>
            <wp:effectExtent l="0" t="0" r="0" b="0"/>
            <wp:docPr id="2" name="Picture 2" title="1 June 2017 Deloitte Second Audi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3754" cy="7283556"/>
                    </a:xfrm>
                    <a:prstGeom prst="rect">
                      <a:avLst/>
                    </a:prstGeom>
                  </pic:spPr>
                </pic:pic>
              </a:graphicData>
            </a:graphic>
          </wp:inline>
        </w:drawing>
      </w:r>
    </w:p>
    <w:p w14:paraId="3E121DDD" w14:textId="07B06067" w:rsidR="0058213B" w:rsidRDefault="009B6EFA" w:rsidP="00792D5D">
      <w:pPr>
        <w:jc w:val="center"/>
        <w:rPr>
          <w:rFonts w:eastAsiaTheme="minorHAnsi"/>
          <w:lang w:eastAsia="en-AU"/>
        </w:rPr>
      </w:pPr>
      <w:r>
        <w:rPr>
          <w:noProof/>
          <w:lang w:eastAsia="en-AU"/>
        </w:rPr>
        <w:lastRenderedPageBreak/>
        <w:drawing>
          <wp:inline distT="0" distB="0" distL="0" distR="0" wp14:anchorId="48613C43" wp14:editId="796ABD74">
            <wp:extent cx="3924300" cy="7128617"/>
            <wp:effectExtent l="0" t="0" r="0" b="0"/>
            <wp:docPr id="3" name="Picture 3" title="1 June 2017 Deloitte Second Audit Report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35762" cy="7149437"/>
                    </a:xfrm>
                    <a:prstGeom prst="rect">
                      <a:avLst/>
                    </a:prstGeom>
                  </pic:spPr>
                </pic:pic>
              </a:graphicData>
            </a:graphic>
          </wp:inline>
        </w:drawing>
      </w:r>
    </w:p>
    <w:p w14:paraId="146EFF4D" w14:textId="6CFFA3F2" w:rsidR="00792D5D" w:rsidRPr="007F4587" w:rsidRDefault="00792D5D" w:rsidP="00792D5D">
      <w:pPr>
        <w:jc w:val="center"/>
        <w:rPr>
          <w:rFonts w:eastAsiaTheme="minorHAnsi"/>
          <w:lang w:eastAsia="en-AU"/>
        </w:rPr>
      </w:pPr>
      <w:r>
        <w:rPr>
          <w:noProof/>
          <w:lang w:eastAsia="en-AU"/>
        </w:rPr>
        <w:lastRenderedPageBreak/>
        <w:drawing>
          <wp:inline distT="0" distB="0" distL="0" distR="0" wp14:anchorId="26416923" wp14:editId="0B022BA2">
            <wp:extent cx="6076950" cy="8610600"/>
            <wp:effectExtent l="0" t="0" r="0" b="0"/>
            <wp:docPr id="4" name="Picture 4" title="24 August 2017 Deloitte Second Audit Report Adde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6950" cy="8610600"/>
                    </a:xfrm>
                    <a:prstGeom prst="rect">
                      <a:avLst/>
                    </a:prstGeom>
                  </pic:spPr>
                </pic:pic>
              </a:graphicData>
            </a:graphic>
          </wp:inline>
        </w:drawing>
      </w:r>
    </w:p>
    <w:p w14:paraId="1289A8BB" w14:textId="12DAEA1E" w:rsidR="007F4587" w:rsidRDefault="009B6EFA" w:rsidP="00792D5D">
      <w:pPr>
        <w:jc w:val="center"/>
        <w:rPr>
          <w:rFonts w:eastAsiaTheme="minorHAnsi"/>
          <w:lang w:eastAsia="en-AU"/>
        </w:rPr>
      </w:pPr>
      <w:r>
        <w:rPr>
          <w:noProof/>
          <w:lang w:eastAsia="en-AU"/>
        </w:rPr>
        <w:lastRenderedPageBreak/>
        <w:drawing>
          <wp:inline distT="0" distB="0" distL="0" distR="0" wp14:anchorId="27305E3E" wp14:editId="70C93E59">
            <wp:extent cx="6120765" cy="6149340"/>
            <wp:effectExtent l="0" t="0" r="0" b="3810"/>
            <wp:docPr id="1" name="Picture 1" title="24 August 2017 Deloitte Second Audit Report Addendu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6149340"/>
                    </a:xfrm>
                    <a:prstGeom prst="rect">
                      <a:avLst/>
                    </a:prstGeom>
                  </pic:spPr>
                </pic:pic>
              </a:graphicData>
            </a:graphic>
          </wp:inline>
        </w:drawing>
      </w:r>
    </w:p>
    <w:p w14:paraId="73544DD6" w14:textId="5457FDB0" w:rsidR="009B6EFA" w:rsidRPr="007F4587" w:rsidRDefault="009B6EFA" w:rsidP="007F4587">
      <w:pPr>
        <w:rPr>
          <w:rFonts w:eastAsiaTheme="minorHAnsi"/>
          <w:lang w:eastAsia="en-AU"/>
        </w:rPr>
      </w:pPr>
    </w:p>
    <w:p w14:paraId="46681AF9" w14:textId="77777777" w:rsidR="009B6EFA" w:rsidRDefault="009B6EFA" w:rsidP="00552C38">
      <w:pPr>
        <w:rPr>
          <w:rFonts w:eastAsiaTheme="minorHAnsi" w:cs="Times New Roman"/>
          <w:color w:val="41273B"/>
          <w:sz w:val="44"/>
          <w:szCs w:val="22"/>
          <w:lang w:eastAsia="en-AU"/>
        </w:rPr>
      </w:pPr>
      <w:r>
        <w:rPr>
          <w:rFonts w:eastAsiaTheme="minorHAnsi" w:cs="Times New Roman"/>
          <w:color w:val="41273B"/>
          <w:sz w:val="44"/>
          <w:szCs w:val="22"/>
          <w:lang w:eastAsia="en-AU"/>
        </w:rPr>
        <w:br w:type="page"/>
      </w:r>
    </w:p>
    <w:p w14:paraId="7D4D885E" w14:textId="02CD0E92" w:rsidR="009B6EFA" w:rsidRDefault="007F4587" w:rsidP="00B10C17">
      <w:pPr>
        <w:pStyle w:val="Heading1"/>
        <w:rPr>
          <w:rFonts w:eastAsiaTheme="minorHAnsi"/>
          <w:lang w:eastAsia="en-AU"/>
        </w:rPr>
      </w:pPr>
      <w:bookmarkStart w:id="24" w:name="_Toc532482863"/>
      <w:r w:rsidRPr="00941730">
        <w:rPr>
          <w:rFonts w:eastAsiaTheme="minorHAnsi"/>
          <w:lang w:eastAsia="en-AU"/>
        </w:rPr>
        <w:lastRenderedPageBreak/>
        <w:t xml:space="preserve">Appendix C – </w:t>
      </w:r>
      <w:r w:rsidR="00B6255B">
        <w:rPr>
          <w:rFonts w:eastAsiaTheme="minorHAnsi"/>
          <w:lang w:eastAsia="en-AU"/>
        </w:rPr>
        <w:t>Thi</w:t>
      </w:r>
      <w:r w:rsidR="00B6255B" w:rsidRPr="00941730">
        <w:rPr>
          <w:rFonts w:eastAsiaTheme="minorHAnsi"/>
          <w:lang w:eastAsia="en-AU"/>
        </w:rPr>
        <w:t xml:space="preserve">rd </w:t>
      </w:r>
      <w:r w:rsidRPr="00941730">
        <w:rPr>
          <w:rFonts w:eastAsiaTheme="minorHAnsi"/>
          <w:lang w:eastAsia="en-AU"/>
        </w:rPr>
        <w:t>Audit Report</w:t>
      </w:r>
      <w:r w:rsidR="009B6EFA">
        <w:rPr>
          <w:rFonts w:eastAsiaTheme="minorHAnsi"/>
          <w:lang w:eastAsia="en-AU"/>
        </w:rPr>
        <w:t xml:space="preserve"> – key assumptions and limitations</w:t>
      </w:r>
      <w:bookmarkEnd w:id="24"/>
    </w:p>
    <w:p w14:paraId="1E630844" w14:textId="446F5640" w:rsidR="00F1667D" w:rsidRPr="00F1667D" w:rsidRDefault="00F1667D" w:rsidP="00F1667D">
      <w:pPr>
        <w:jc w:val="center"/>
        <w:rPr>
          <w:rFonts w:eastAsiaTheme="minorHAnsi"/>
          <w:lang w:eastAsia="en-AU"/>
        </w:rPr>
      </w:pPr>
      <w:r>
        <w:rPr>
          <w:noProof/>
          <w:lang w:eastAsia="en-AU"/>
        </w:rPr>
        <w:drawing>
          <wp:inline distT="0" distB="0" distL="0" distR="0" wp14:anchorId="7E4CB468" wp14:editId="2D4AB188">
            <wp:extent cx="3390900" cy="7531630"/>
            <wp:effectExtent l="0" t="0" r="0" b="0"/>
            <wp:docPr id="6" name="Picture 6" title="17 May 2018 Deloitte Third Audi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3583" cy="7537589"/>
                    </a:xfrm>
                    <a:prstGeom prst="rect">
                      <a:avLst/>
                    </a:prstGeom>
                  </pic:spPr>
                </pic:pic>
              </a:graphicData>
            </a:graphic>
          </wp:inline>
        </w:drawing>
      </w:r>
    </w:p>
    <w:p w14:paraId="78036E1A" w14:textId="3CAB9EA5" w:rsidR="007F4587" w:rsidRPr="00D073C4" w:rsidRDefault="009B6EFA" w:rsidP="00F1667D">
      <w:pPr>
        <w:jc w:val="center"/>
        <w:rPr>
          <w:rFonts w:eastAsiaTheme="minorHAnsi"/>
          <w:lang w:eastAsia="en-AU"/>
        </w:rPr>
      </w:pPr>
      <w:r>
        <w:rPr>
          <w:noProof/>
          <w:lang w:eastAsia="en-AU"/>
        </w:rPr>
        <w:lastRenderedPageBreak/>
        <w:drawing>
          <wp:inline distT="0" distB="0" distL="0" distR="0" wp14:anchorId="36B9F514" wp14:editId="5E589BEA">
            <wp:extent cx="4000500" cy="7814724"/>
            <wp:effectExtent l="0" t="0" r="0" b="0"/>
            <wp:docPr id="5" name="Picture 5" title="17 May 2018 Deloitte Third Audit Report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2139" cy="7817925"/>
                    </a:xfrm>
                    <a:prstGeom prst="rect">
                      <a:avLst/>
                    </a:prstGeom>
                  </pic:spPr>
                </pic:pic>
              </a:graphicData>
            </a:graphic>
          </wp:inline>
        </w:drawing>
      </w:r>
    </w:p>
    <w:sectPr w:rsidR="007F4587" w:rsidRPr="00D073C4" w:rsidSect="0076117E">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851"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93FB4" w14:textId="77777777" w:rsidR="0076117E" w:rsidRDefault="0076117E" w:rsidP="00AB27F9">
      <w:r>
        <w:separator/>
      </w:r>
    </w:p>
  </w:endnote>
  <w:endnote w:type="continuationSeparator" w:id="0">
    <w:p w14:paraId="1D36D394" w14:textId="77777777" w:rsidR="0076117E" w:rsidRDefault="0076117E"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83" w:usb1="50002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74A7" w14:textId="77777777" w:rsidR="0076117E" w:rsidRDefault="0076117E" w:rsidP="00AB27F9">
    <w:r>
      <w:fldChar w:fldCharType="begin"/>
    </w:r>
    <w:r>
      <w:instrText xml:space="preserve">PAGE  </w:instrText>
    </w:r>
    <w:r>
      <w:fldChar w:fldCharType="separate"/>
    </w:r>
    <w:r>
      <w:rPr>
        <w:noProof/>
      </w:rPr>
      <w:t>2</w:t>
    </w:r>
    <w:r>
      <w:fldChar w:fldCharType="end"/>
    </w:r>
  </w:p>
  <w:p w14:paraId="4CD3DB12" w14:textId="77777777" w:rsidR="0076117E" w:rsidRDefault="0076117E" w:rsidP="00AB27F9"/>
  <w:p w14:paraId="7688286A" w14:textId="77777777" w:rsidR="0076117E" w:rsidRDefault="0076117E"/>
  <w:p w14:paraId="60835368" w14:textId="77777777" w:rsidR="0076117E" w:rsidRDefault="0076117E"/>
  <w:p w14:paraId="2923A203" w14:textId="77777777" w:rsidR="0076117E" w:rsidRDefault="007611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1218" w14:textId="621D46D2" w:rsidR="0076117E" w:rsidRPr="0045600E" w:rsidRDefault="0076117E" w:rsidP="006A5D91">
    <w:pPr>
      <w:pStyle w:val="Footer"/>
      <w:rPr>
        <w:color w:val="FFFFFF" w:themeColor="background1"/>
      </w:rPr>
    </w:pPr>
    <w:r>
      <w:rPr>
        <w:szCs w:val="18"/>
      </w:rPr>
      <w:t>Baiada proactive compliance partnership final report</w:t>
    </w:r>
    <w:r>
      <w:rPr>
        <w:szCs w:val="18"/>
      </w:rPr>
      <w:tab/>
    </w:r>
    <w:r>
      <w:rPr>
        <w:szCs w:val="18"/>
      </w:rPr>
      <w:tab/>
    </w:r>
    <w:r w:rsidRPr="0045600E">
      <w:rPr>
        <w:color w:val="FFFFFF" w:themeColor="background1"/>
        <w:szCs w:val="18"/>
      </w:rPr>
      <w:tab/>
    </w:r>
    <w:sdt>
      <w:sdtPr>
        <w:id w:val="-1505813797"/>
        <w:docPartObj>
          <w:docPartGallery w:val="Page Numbers (Bottom of Page)"/>
          <w:docPartUnique/>
        </w:docPartObj>
      </w:sdtPr>
      <w:sdtEndPr>
        <w:rPr>
          <w:noProof/>
          <w:color w:val="FFFFFF" w:themeColor="background1"/>
        </w:rPr>
      </w:sdtEndPr>
      <w:sdtContent>
        <w:r w:rsidRPr="00BF0029">
          <w:rPr>
            <w:sz w:val="20"/>
            <w:szCs w:val="20"/>
          </w:rPr>
          <w:fldChar w:fldCharType="begin"/>
        </w:r>
        <w:r w:rsidRPr="00BF0029">
          <w:rPr>
            <w:sz w:val="20"/>
            <w:szCs w:val="20"/>
          </w:rPr>
          <w:instrText xml:space="preserve"> PAGE   \* MERGEFORMAT </w:instrText>
        </w:r>
        <w:r w:rsidRPr="00BF0029">
          <w:rPr>
            <w:sz w:val="20"/>
            <w:szCs w:val="20"/>
          </w:rPr>
          <w:fldChar w:fldCharType="separate"/>
        </w:r>
        <w:r w:rsidR="005D2113">
          <w:rPr>
            <w:noProof/>
            <w:sz w:val="20"/>
            <w:szCs w:val="20"/>
          </w:rPr>
          <w:t>4</w:t>
        </w:r>
        <w:r w:rsidRPr="00BF0029">
          <w:rPr>
            <w:noProof/>
            <w:sz w:val="20"/>
            <w:szCs w:val="20"/>
          </w:rPr>
          <w:fldChar w:fldCharType="end"/>
        </w:r>
      </w:sdtContent>
    </w:sdt>
  </w:p>
  <w:p w14:paraId="7FE80386" w14:textId="77777777" w:rsidR="0076117E" w:rsidRDefault="0076117E" w:rsidP="004B2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E5E8" w14:textId="305854DF" w:rsidR="0076117E" w:rsidRDefault="00BB512B">
    <w:pPr>
      <w:pStyle w:val="Footer"/>
    </w:pPr>
    <w:r>
      <w:fldChar w:fldCharType="begin"/>
    </w:r>
    <w:r>
      <w:instrText xml:space="preserve"> DOCPROPERTY "mvRef" \* MERGEFORMAT </w:instrText>
    </w:r>
    <w:r>
      <w:fldChar w:fldCharType="separate"/>
    </w:r>
    <w:r w:rsidR="0076117E">
      <w:t>PCDs</w:t>
    </w:r>
    <w:proofErr w:type="gramStart"/>
    <w:r w:rsidR="0076117E">
      <w:t>:DB</w:t>
    </w:r>
    <w:proofErr w:type="gramEnd"/>
    <w:r w:rsidR="0076117E">
      <w:t>-1151057/1.0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9F79" w14:textId="77777777" w:rsidR="0076117E" w:rsidRDefault="0076117E" w:rsidP="00AB27F9">
      <w:r>
        <w:separator/>
      </w:r>
    </w:p>
  </w:footnote>
  <w:footnote w:type="continuationSeparator" w:id="0">
    <w:p w14:paraId="7C2B0D87" w14:textId="77777777" w:rsidR="0076117E" w:rsidRDefault="0076117E" w:rsidP="00AB27F9">
      <w:r>
        <w:continuationSeparator/>
      </w:r>
    </w:p>
  </w:footnote>
  <w:footnote w:id="1">
    <w:p w14:paraId="639EC021" w14:textId="77777777" w:rsidR="0076117E" w:rsidRPr="008031DF" w:rsidRDefault="0076117E" w:rsidP="008345D2">
      <w:pPr>
        <w:pStyle w:val="Footnotes"/>
      </w:pPr>
      <w:r w:rsidRPr="00CA0F8F">
        <w:rPr>
          <w:rStyle w:val="FootnoteReference"/>
        </w:rPr>
        <w:footnoteRef/>
      </w:r>
      <w:r w:rsidRPr="00CA0F8F">
        <w:rPr>
          <w:rStyle w:val="FootnoteReference"/>
        </w:rPr>
        <w:t xml:space="preserve"> </w:t>
      </w:r>
      <w:r w:rsidRPr="008031DF">
        <w:t xml:space="preserve">A copy of the PCD can be accessed at:  </w:t>
      </w:r>
      <w:hyperlink r:id="rId1" w:history="1">
        <w:r w:rsidRPr="008031DF">
          <w:rPr>
            <w:rStyle w:val="Hyperlink"/>
            <w:rFonts w:cs="Arial"/>
            <w:color w:val="auto"/>
            <w:u w:val="none"/>
          </w:rPr>
          <w:t>https://www.fairwork.gov.au/ArticleDocuments/762/baiada-proactive-compliance-deed.pdf.aspx</w:t>
        </w:r>
      </w:hyperlink>
      <w:r w:rsidRPr="008031DF">
        <w:t xml:space="preserve"> </w:t>
      </w:r>
    </w:p>
  </w:footnote>
  <w:footnote w:id="2">
    <w:p w14:paraId="79EEB83F" w14:textId="6532FA09" w:rsidR="0076117E" w:rsidRPr="00941730" w:rsidRDefault="0076117E" w:rsidP="005A3957">
      <w:pPr>
        <w:pStyle w:val="FootnoteText"/>
        <w:spacing w:before="0" w:line="240" w:lineRule="auto"/>
        <w:rPr>
          <w:sz w:val="16"/>
          <w:szCs w:val="16"/>
        </w:rPr>
      </w:pPr>
      <w:r>
        <w:rPr>
          <w:rStyle w:val="FootnoteReference"/>
        </w:rPr>
        <w:footnoteRef/>
      </w:r>
      <w:r>
        <w:t xml:space="preserve"> </w:t>
      </w:r>
      <w:r w:rsidRPr="00941730">
        <w:rPr>
          <w:sz w:val="16"/>
          <w:szCs w:val="16"/>
        </w:rPr>
        <w:t>See</w:t>
      </w:r>
      <w:r>
        <w:rPr>
          <w:sz w:val="16"/>
          <w:szCs w:val="16"/>
        </w:rPr>
        <w:t xml:space="preserve"> </w:t>
      </w:r>
      <w:r w:rsidRPr="00036791">
        <w:rPr>
          <w:sz w:val="16"/>
          <w:szCs w:val="16"/>
        </w:rPr>
        <w:t>the FWO’s Interim Report on our partnership with Baiada published on 26 November 2016</w:t>
      </w:r>
      <w:r w:rsidRPr="00941730">
        <w:rPr>
          <w:sz w:val="16"/>
          <w:szCs w:val="16"/>
        </w:rPr>
        <w:t>: https://www.fairwork.gov.au/about-us/news-and-media-releases/2016-media-releases/november-2016/20161128-baiada-media-release</w:t>
      </w:r>
    </w:p>
  </w:footnote>
  <w:footnote w:id="3">
    <w:p w14:paraId="66927952" w14:textId="77777777" w:rsidR="0076117E" w:rsidRDefault="0076117E" w:rsidP="00B71D93">
      <w:pPr>
        <w:pStyle w:val="Footnotes"/>
      </w:pPr>
      <w:r>
        <w:rPr>
          <w:rStyle w:val="FootnoteReference"/>
        </w:rPr>
        <w:footnoteRef/>
      </w:r>
      <w:r>
        <w:t xml:space="preserve"> FWO media release: </w:t>
      </w:r>
      <w:r w:rsidRPr="00340BBF">
        <w:t>https://www.fairwork.gov.au/about-us/news-and-media-releases/2016-media-releases/november-2016/20161128-baiada-media-release</w:t>
      </w:r>
      <w:r>
        <w:rPr>
          <w:sz w:val="20"/>
        </w:rPr>
        <w:t xml:space="preserve"> </w:t>
      </w:r>
    </w:p>
  </w:footnote>
  <w:footnote w:id="4">
    <w:p w14:paraId="1D6BB26E" w14:textId="77777777" w:rsidR="0076117E" w:rsidRPr="005A18E6" w:rsidRDefault="0076117E" w:rsidP="005A18E6">
      <w:pPr>
        <w:pStyle w:val="Footnotes"/>
      </w:pPr>
      <w:r w:rsidRPr="00941730">
        <w:rPr>
          <w:rStyle w:val="FootnoteReference"/>
          <w:rFonts w:eastAsia="Times New Roman"/>
          <w:sz w:val="22"/>
          <w:szCs w:val="24"/>
        </w:rPr>
        <w:footnoteRef/>
      </w:r>
      <w:r w:rsidRPr="00941730">
        <w:rPr>
          <w:rStyle w:val="FootnoteReference"/>
          <w:rFonts w:eastAsia="Times New Roman"/>
          <w:sz w:val="22"/>
          <w:szCs w:val="24"/>
        </w:rPr>
        <w:t xml:space="preserve"> </w:t>
      </w:r>
      <w:hyperlink r:id="rId2" w:history="1">
        <w:r w:rsidRPr="005A18E6">
          <w:rPr>
            <w:rStyle w:val="Hyperlink"/>
            <w:rFonts w:cs="Arial"/>
            <w:color w:val="auto"/>
            <w:u w:val="none"/>
          </w:rPr>
          <w:t>https://www.baiada.com.au/our-expertise/poultry/operations</w:t>
        </w:r>
      </w:hyperlink>
      <w:r w:rsidRPr="005A18E6">
        <w:t xml:space="preserve"> </w:t>
      </w:r>
    </w:p>
  </w:footnote>
  <w:footnote w:id="5">
    <w:p w14:paraId="47A8F60F" w14:textId="77777777" w:rsidR="0076117E" w:rsidRPr="005A18E6" w:rsidRDefault="0076117E" w:rsidP="005A18E6">
      <w:pPr>
        <w:pStyle w:val="Footnotes"/>
      </w:pPr>
      <w:r w:rsidRPr="00941730">
        <w:rPr>
          <w:rStyle w:val="FootnoteReference"/>
          <w:rFonts w:eastAsia="Times New Roman"/>
          <w:sz w:val="22"/>
          <w:szCs w:val="24"/>
        </w:rPr>
        <w:footnoteRef/>
      </w:r>
      <w:r w:rsidRPr="005A18E6">
        <w:t xml:space="preserve"> </w:t>
      </w:r>
      <w:proofErr w:type="spellStart"/>
      <w:r w:rsidRPr="005A18E6">
        <w:t>Cloutman</w:t>
      </w:r>
      <w:proofErr w:type="spellEnd"/>
      <w:r w:rsidRPr="005A18E6">
        <w:t>, Nathan, IBISWorld Industry Report C1112 - Poultry Processing in Australia, IBISWorld Pty Ltd, February 2018</w:t>
      </w:r>
    </w:p>
  </w:footnote>
  <w:footnote w:id="6">
    <w:p w14:paraId="37F47DF5" w14:textId="77777777" w:rsidR="0076117E" w:rsidRPr="005A18E6" w:rsidRDefault="0076117E" w:rsidP="005A18E6">
      <w:pPr>
        <w:pStyle w:val="Footnotes"/>
      </w:pPr>
      <w:r w:rsidRPr="00941730">
        <w:rPr>
          <w:rStyle w:val="FootnoteReference"/>
          <w:rFonts w:eastAsia="Times New Roman"/>
          <w:sz w:val="22"/>
          <w:szCs w:val="24"/>
        </w:rPr>
        <w:footnoteRef/>
      </w:r>
      <w:r w:rsidRPr="00941730">
        <w:rPr>
          <w:rStyle w:val="FootnoteReference"/>
          <w:rFonts w:eastAsia="Times New Roman"/>
          <w:sz w:val="22"/>
          <w:szCs w:val="24"/>
        </w:rPr>
        <w:t xml:space="preserve"> </w:t>
      </w:r>
      <w:r w:rsidRPr="005A18E6">
        <w:t>Ibid</w:t>
      </w:r>
    </w:p>
  </w:footnote>
  <w:footnote w:id="7">
    <w:p w14:paraId="62D41491" w14:textId="5BB6BB8B" w:rsidR="0076117E" w:rsidRPr="005A18E6" w:rsidRDefault="0076117E" w:rsidP="005A18E6">
      <w:pPr>
        <w:pStyle w:val="Footnotes"/>
      </w:pPr>
      <w:r w:rsidRPr="00941730">
        <w:rPr>
          <w:rStyle w:val="FootnoteReference"/>
          <w:rFonts w:eastAsia="Times New Roman"/>
          <w:sz w:val="22"/>
          <w:szCs w:val="24"/>
        </w:rPr>
        <w:footnoteRef/>
      </w:r>
      <w:r w:rsidRPr="005A18E6">
        <w:t xml:space="preserve"> Ibid</w:t>
      </w:r>
    </w:p>
  </w:footnote>
  <w:footnote w:id="8">
    <w:p w14:paraId="3939077A" w14:textId="588765FD" w:rsidR="0076117E" w:rsidRPr="005A18E6" w:rsidRDefault="0076117E" w:rsidP="005A18E6">
      <w:pPr>
        <w:pStyle w:val="Footnotes"/>
      </w:pPr>
      <w:r w:rsidRPr="00941730">
        <w:rPr>
          <w:rStyle w:val="FootnoteReference"/>
          <w:rFonts w:eastAsia="Times New Roman"/>
          <w:sz w:val="22"/>
          <w:szCs w:val="24"/>
        </w:rPr>
        <w:footnoteRef/>
      </w:r>
      <w:r w:rsidRPr="00941730">
        <w:rPr>
          <w:rStyle w:val="FootnoteReference"/>
          <w:rFonts w:eastAsia="Times New Roman"/>
          <w:sz w:val="22"/>
          <w:szCs w:val="24"/>
        </w:rPr>
        <w:t xml:space="preserve"> </w:t>
      </w:r>
      <w:r w:rsidRPr="005A18E6">
        <w:t>Ibid</w:t>
      </w:r>
    </w:p>
  </w:footnote>
  <w:footnote w:id="9">
    <w:p w14:paraId="5BE0AEF5" w14:textId="4915B5CF" w:rsidR="0076117E" w:rsidRPr="005A18E6" w:rsidRDefault="0076117E" w:rsidP="005A18E6">
      <w:pPr>
        <w:pStyle w:val="Footnotes"/>
      </w:pPr>
      <w:r w:rsidRPr="00941730">
        <w:rPr>
          <w:rStyle w:val="FootnoteReference"/>
          <w:rFonts w:eastAsia="Times New Roman"/>
          <w:sz w:val="22"/>
          <w:szCs w:val="24"/>
        </w:rPr>
        <w:footnoteRef/>
      </w:r>
      <w:r w:rsidRPr="00941730">
        <w:rPr>
          <w:rStyle w:val="FootnoteReference"/>
          <w:rFonts w:eastAsia="Times New Roman"/>
          <w:sz w:val="22"/>
          <w:szCs w:val="24"/>
        </w:rPr>
        <w:t xml:space="preserve"> </w:t>
      </w:r>
      <w:r w:rsidRPr="005A18E6">
        <w:t>Ibid</w:t>
      </w:r>
    </w:p>
  </w:footnote>
  <w:footnote w:id="10">
    <w:p w14:paraId="55A4CC76" w14:textId="6535BD0E" w:rsidR="0076117E" w:rsidRPr="005A18E6" w:rsidRDefault="0076117E" w:rsidP="005A18E6">
      <w:pPr>
        <w:pStyle w:val="Footnotes"/>
      </w:pPr>
      <w:r w:rsidRPr="00941730">
        <w:rPr>
          <w:rStyle w:val="FootnoteReference"/>
          <w:rFonts w:eastAsia="Times New Roman"/>
          <w:sz w:val="22"/>
          <w:szCs w:val="24"/>
        </w:rPr>
        <w:footnoteRef/>
      </w:r>
      <w:r w:rsidRPr="005A18E6">
        <w:t xml:space="preserve"> Ibid</w:t>
      </w:r>
    </w:p>
  </w:footnote>
  <w:footnote w:id="11">
    <w:p w14:paraId="78F371FA" w14:textId="77777777" w:rsidR="0076117E" w:rsidRPr="005A18E6" w:rsidRDefault="0076117E" w:rsidP="005A18E6">
      <w:pPr>
        <w:pStyle w:val="Footnotes"/>
      </w:pPr>
      <w:r w:rsidRPr="00941730">
        <w:rPr>
          <w:rStyle w:val="FootnoteReference"/>
          <w:rFonts w:eastAsia="Times New Roman"/>
          <w:sz w:val="22"/>
          <w:szCs w:val="24"/>
        </w:rPr>
        <w:footnoteRef/>
      </w:r>
      <w:r w:rsidRPr="005A18E6">
        <w:t xml:space="preserve"> FWO Inquiry into the labour procurement arrangements of the Baiada Group in New South Wales, 2015: </w:t>
      </w:r>
      <w:hyperlink r:id="rId3" w:history="1">
        <w:r w:rsidRPr="005A18E6">
          <w:rPr>
            <w:rStyle w:val="Hyperlink"/>
            <w:rFonts w:cs="Arial"/>
            <w:color w:val="auto"/>
            <w:u w:val="none"/>
          </w:rPr>
          <w:t>https://www.fairwork.gov.au/about-us/access-accountability-and-reporting/inquiry-reports</w:t>
        </w:r>
      </w:hyperlink>
      <w:r w:rsidRPr="005A18E6">
        <w:t xml:space="preserve"> </w:t>
      </w:r>
    </w:p>
  </w:footnote>
  <w:footnote w:id="12">
    <w:p w14:paraId="70BED5F8" w14:textId="77777777" w:rsidR="0076117E" w:rsidRPr="008031DF" w:rsidRDefault="0076117E" w:rsidP="00CA0F8F">
      <w:pPr>
        <w:pStyle w:val="Footnotes"/>
      </w:pPr>
      <w:r w:rsidRPr="00941730">
        <w:rPr>
          <w:rFonts w:eastAsia="Times New Roman"/>
          <w:sz w:val="22"/>
          <w:szCs w:val="24"/>
          <w:vertAlign w:val="superscript"/>
        </w:rPr>
        <w:footnoteRef/>
      </w:r>
      <w:r w:rsidRPr="00941730">
        <w:rPr>
          <w:rFonts w:eastAsia="Times New Roman"/>
          <w:sz w:val="22"/>
          <w:szCs w:val="24"/>
          <w:vertAlign w:val="superscript"/>
        </w:rPr>
        <w:t xml:space="preserve"> </w:t>
      </w:r>
      <w:r>
        <w:t>FWO</w:t>
      </w:r>
      <w:r w:rsidRPr="008031DF">
        <w:t xml:space="preserve"> media release: https://www.fairwork.gov.au/about-us/news-and-media-releases/2015-media-releases/june-2015/20150618-baiada-group-statement-of-findings</w:t>
      </w:r>
    </w:p>
  </w:footnote>
  <w:footnote w:id="13">
    <w:p w14:paraId="227C71E4" w14:textId="77777777" w:rsidR="0076117E" w:rsidRPr="006A5D91" w:rsidRDefault="0076117E" w:rsidP="007F5B64">
      <w:pPr>
        <w:pStyle w:val="Footnotes"/>
      </w:pPr>
      <w:r w:rsidRPr="00941730">
        <w:rPr>
          <w:rFonts w:eastAsia="Times New Roman"/>
          <w:sz w:val="22"/>
          <w:szCs w:val="24"/>
          <w:vertAlign w:val="superscript"/>
        </w:rPr>
        <w:footnoteRef/>
      </w:r>
      <w:r w:rsidRPr="00941730">
        <w:rPr>
          <w:rFonts w:eastAsia="Times New Roman"/>
          <w:sz w:val="22"/>
          <w:szCs w:val="24"/>
          <w:vertAlign w:val="superscript"/>
        </w:rPr>
        <w:t xml:space="preserve"> </w:t>
      </w:r>
      <w:r w:rsidRPr="006A5D91">
        <w:t>See Recital D of the PCD</w:t>
      </w:r>
    </w:p>
  </w:footnote>
  <w:footnote w:id="14">
    <w:p w14:paraId="7A410314" w14:textId="77777777" w:rsidR="0076117E" w:rsidRPr="00D14193" w:rsidRDefault="0076117E" w:rsidP="00D72CC5">
      <w:pPr>
        <w:pStyle w:val="Footnotes"/>
        <w:rPr>
          <w:rFonts w:ascii="Times New Roman" w:hAnsi="Times New Roman" w:cs="Times New Roman"/>
          <w:sz w:val="18"/>
          <w:szCs w:val="18"/>
        </w:rPr>
      </w:pPr>
      <w:r w:rsidRPr="00941730">
        <w:rPr>
          <w:rFonts w:eastAsia="Times New Roman"/>
          <w:sz w:val="22"/>
          <w:szCs w:val="24"/>
          <w:vertAlign w:val="superscript"/>
        </w:rPr>
        <w:footnoteRef/>
      </w:r>
      <w:r w:rsidRPr="0008113E">
        <w:t xml:space="preserve"> </w:t>
      </w:r>
      <w:r>
        <w:rPr>
          <w:rStyle w:val="Hyperlink"/>
          <w:rFonts w:cs="Arial"/>
          <w:color w:val="auto"/>
          <w:u w:val="none"/>
        </w:rPr>
        <w:t>Ibid</w:t>
      </w:r>
    </w:p>
  </w:footnote>
  <w:footnote w:id="15">
    <w:p w14:paraId="2C5623F0" w14:textId="77777777" w:rsidR="0076117E" w:rsidRPr="006A5D91" w:rsidRDefault="0076117E" w:rsidP="007F5B64">
      <w:pPr>
        <w:pStyle w:val="Footnotes"/>
      </w:pPr>
      <w:r w:rsidRPr="00941730">
        <w:rPr>
          <w:rFonts w:eastAsia="Times New Roman"/>
          <w:sz w:val="22"/>
          <w:szCs w:val="24"/>
          <w:vertAlign w:val="superscript"/>
        </w:rPr>
        <w:footnoteRef/>
      </w:r>
      <w:r w:rsidRPr="00941730">
        <w:rPr>
          <w:rFonts w:eastAsia="Times New Roman"/>
          <w:sz w:val="22"/>
          <w:szCs w:val="24"/>
          <w:vertAlign w:val="superscript"/>
        </w:rPr>
        <w:t xml:space="preserve"> </w:t>
      </w:r>
      <w:r w:rsidRPr="006A5D91">
        <w:t xml:space="preserve">FWO Inquiry into the labour procurement arrangements of the Baiada Group in New South Wales, 2015: </w:t>
      </w:r>
      <w:hyperlink r:id="rId4" w:history="1">
        <w:r w:rsidRPr="006A5D91">
          <w:rPr>
            <w:rStyle w:val="Hyperlink"/>
            <w:rFonts w:cs="Arial"/>
            <w:color w:val="auto"/>
            <w:u w:val="none"/>
          </w:rPr>
          <w:t>https://www.fairwork.gov.au/about-us/access-accountability-and-reporting/inquiry-reports</w:t>
        </w:r>
      </w:hyperlink>
      <w:r w:rsidRPr="006A5D91">
        <w:t xml:space="preserve"> </w:t>
      </w:r>
    </w:p>
  </w:footnote>
  <w:footnote w:id="16">
    <w:p w14:paraId="7FAD7810" w14:textId="77777777" w:rsidR="0076117E" w:rsidRPr="000669F4" w:rsidRDefault="0076117E" w:rsidP="007F5B64">
      <w:pPr>
        <w:pStyle w:val="Footnotes"/>
        <w:rPr>
          <w:rFonts w:cs="Times New Roman"/>
          <w:szCs w:val="16"/>
        </w:rPr>
      </w:pPr>
      <w:r w:rsidRPr="00941730">
        <w:rPr>
          <w:rFonts w:eastAsia="Times New Roman"/>
          <w:sz w:val="22"/>
          <w:szCs w:val="24"/>
          <w:vertAlign w:val="superscript"/>
        </w:rPr>
        <w:footnoteRef/>
      </w:r>
      <w:r w:rsidRPr="00941730">
        <w:rPr>
          <w:rFonts w:eastAsia="Times New Roman"/>
          <w:sz w:val="22"/>
          <w:szCs w:val="24"/>
          <w:vertAlign w:val="superscript"/>
        </w:rPr>
        <w:t xml:space="preserve"> </w:t>
      </w:r>
      <w:r w:rsidRPr="006A5D91">
        <w:t>Ibid., p.3</w:t>
      </w:r>
    </w:p>
  </w:footnote>
  <w:footnote w:id="17">
    <w:p w14:paraId="3CE401C3" w14:textId="77777777" w:rsidR="0076117E" w:rsidRPr="00F9286C" w:rsidRDefault="0076117E" w:rsidP="007F5B64">
      <w:pPr>
        <w:pStyle w:val="Footnotes"/>
      </w:pPr>
      <w:r w:rsidRPr="00941730">
        <w:rPr>
          <w:rFonts w:eastAsia="Times New Roman"/>
          <w:sz w:val="22"/>
          <w:szCs w:val="24"/>
          <w:vertAlign w:val="superscript"/>
        </w:rPr>
        <w:footnoteRef/>
      </w:r>
      <w:r w:rsidRPr="00941730">
        <w:rPr>
          <w:rFonts w:eastAsia="Times New Roman"/>
          <w:sz w:val="22"/>
          <w:szCs w:val="24"/>
          <w:vertAlign w:val="superscript"/>
        </w:rPr>
        <w:t xml:space="preserve"> </w:t>
      </w:r>
      <w:r>
        <w:t xml:space="preserve">FWO media release: </w:t>
      </w:r>
      <w:hyperlink r:id="rId5" w:history="1">
        <w:r w:rsidRPr="00F9286C">
          <w:rPr>
            <w:rStyle w:val="Hyperlink"/>
            <w:rFonts w:cs="Arial"/>
            <w:color w:val="auto"/>
            <w:u w:val="none"/>
          </w:rPr>
          <w:t>https://www.fairwork.gov.au/about-us/news-and-media-releases/2015-media-releases/october-2015/20151026-baiada-media-release</w:t>
        </w:r>
      </w:hyperlink>
      <w:r w:rsidRPr="00F9286C">
        <w:t xml:space="preserve">  </w:t>
      </w:r>
    </w:p>
  </w:footnote>
  <w:footnote w:id="18">
    <w:p w14:paraId="5D3944DE" w14:textId="6A5FF49A" w:rsidR="0076117E" w:rsidRPr="00480BC2" w:rsidRDefault="0076117E" w:rsidP="006F19FA">
      <w:pPr>
        <w:pStyle w:val="Footnotes"/>
      </w:pPr>
      <w:r w:rsidRPr="00674C41">
        <w:rPr>
          <w:rStyle w:val="FootnoteReference"/>
          <w:rFonts w:eastAsia="Times New Roman"/>
          <w:sz w:val="22"/>
          <w:szCs w:val="24"/>
        </w:rPr>
        <w:footnoteRef/>
      </w:r>
      <w:r w:rsidRPr="00674C41">
        <w:rPr>
          <w:rStyle w:val="FootnoteReference"/>
          <w:rFonts w:eastAsia="Times New Roman"/>
          <w:sz w:val="22"/>
          <w:szCs w:val="24"/>
        </w:rPr>
        <w:t xml:space="preserve"> </w:t>
      </w:r>
      <w:r>
        <w:t xml:space="preserve">FWO media release: </w:t>
      </w:r>
      <w:hyperlink r:id="rId6" w:history="1">
        <w:r w:rsidRPr="00480BC2">
          <w:rPr>
            <w:rStyle w:val="Hyperlink"/>
            <w:rFonts w:cs="Arial"/>
            <w:color w:val="auto"/>
            <w:u w:val="none"/>
          </w:rPr>
          <w:t>https://www.fairwork.gov.au/about-us/news-and-media-releases/2016-media-releases/november-2016/20161128-baiada-media-release</w:t>
        </w:r>
      </w:hyperlink>
      <w:r>
        <w:rPr>
          <w:rStyle w:val="Hyperlink"/>
          <w:rFonts w:cs="Arial"/>
          <w:color w:val="auto"/>
          <w:u w:val="none"/>
        </w:rPr>
        <w:t xml:space="preserve"> </w:t>
      </w:r>
      <w:r w:rsidRPr="00480BC2">
        <w:t xml:space="preserve"> </w:t>
      </w:r>
    </w:p>
  </w:footnote>
  <w:footnote w:id="19">
    <w:p w14:paraId="1A125D1F" w14:textId="77777777" w:rsidR="0076117E" w:rsidRDefault="0076117E" w:rsidP="00480BC2">
      <w:pPr>
        <w:pStyle w:val="Footnotes"/>
      </w:pPr>
      <w:r w:rsidRPr="00674C41">
        <w:rPr>
          <w:rStyle w:val="FootnoteReference"/>
          <w:rFonts w:eastAsia="Times New Roman"/>
          <w:sz w:val="22"/>
          <w:szCs w:val="24"/>
        </w:rPr>
        <w:footnoteRef/>
      </w:r>
      <w:r w:rsidRPr="00480BC2">
        <w:t xml:space="preserve"> The PCD applied for 30 months from 23 October 2015 to 23 April 2018 [clause 15], however a built-in facilitative provision [clause </w:t>
      </w:r>
    </w:p>
    <w:p w14:paraId="351E6EB8" w14:textId="356B7C48" w:rsidR="0076117E" w:rsidRPr="00480BC2" w:rsidRDefault="0076117E" w:rsidP="00480BC2">
      <w:pPr>
        <w:pStyle w:val="Footnotes"/>
      </w:pPr>
      <w:r w:rsidRPr="00941730">
        <w:rPr>
          <w:rStyle w:val="FootnoteReference"/>
          <w:rFonts w:eastAsia="Times New Roman"/>
          <w:sz w:val="22"/>
          <w:szCs w:val="24"/>
        </w:rPr>
        <w:t>20</w:t>
      </w:r>
      <w:r>
        <w:t xml:space="preserve"> </w:t>
      </w:r>
      <w:r w:rsidRPr="00480BC2">
        <w:t>1(b)] extended this period to enable the final audit process under clause 3 (which commenced at 30 months after the execution of the PCD) to be completed</w:t>
      </w:r>
      <w:r>
        <w:t xml:space="preserve"> – the partnership therefore ending in June 2018</w:t>
      </w:r>
    </w:p>
  </w:footnote>
  <w:footnote w:id="20">
    <w:p w14:paraId="1E1E5808" w14:textId="08D83ACA" w:rsidR="0076117E" w:rsidRDefault="0076117E" w:rsidP="00B71D93">
      <w:pPr>
        <w:pStyle w:val="Footnotes"/>
      </w:pPr>
      <w:r w:rsidRPr="00602496">
        <w:rPr>
          <w:rStyle w:val="FootnoteReference"/>
        </w:rPr>
        <w:footnoteRef/>
      </w:r>
      <w:r w:rsidRPr="00602496">
        <w:t xml:space="preserve"> See Appendix</w:t>
      </w:r>
      <w:r>
        <w:t xml:space="preserve"> A - </w:t>
      </w:r>
      <w:r w:rsidRPr="00D073C4">
        <w:t>Notice published in the Weekend Australian on 14 November 2015</w:t>
      </w:r>
      <w:r>
        <w:t xml:space="preserve"> </w:t>
      </w:r>
    </w:p>
  </w:footnote>
  <w:footnote w:id="21">
    <w:p w14:paraId="24817332" w14:textId="2A1B07E0" w:rsidR="0076117E" w:rsidRDefault="0076117E" w:rsidP="00B71D93">
      <w:pPr>
        <w:pStyle w:val="Footnotes"/>
      </w:pPr>
      <w:r>
        <w:rPr>
          <w:rStyle w:val="FootnoteReference"/>
        </w:rPr>
        <w:footnoteRef/>
      </w:r>
      <w:r>
        <w:t xml:space="preserve"> FWO media release: </w:t>
      </w:r>
      <w:hyperlink r:id="rId7" w:history="1">
        <w:r w:rsidRPr="00D64B2A">
          <w:rPr>
            <w:rStyle w:val="Hyperlink"/>
            <w:rFonts w:cs="Arial"/>
          </w:rPr>
          <w:t>https://www.fairwork.gov.au/about-us/news-and-media-releases/2015-media-releases/december-</w:t>
        </w:r>
      </w:hyperlink>
    </w:p>
    <w:p w14:paraId="3AD4D0BD" w14:textId="6E3C9087" w:rsidR="0076117E" w:rsidRDefault="0076117E" w:rsidP="00B71D93">
      <w:pPr>
        <w:pStyle w:val="Footnotes"/>
      </w:pPr>
      <w:r w:rsidRPr="00804E7D">
        <w:rPr>
          <w:rStyle w:val="FootnoteReference"/>
        </w:rPr>
        <w:t>20</w:t>
      </w:r>
      <w:r w:rsidRPr="00746ABE">
        <w:t>15/20151204-baiada-hotline</w:t>
      </w:r>
    </w:p>
  </w:footnote>
  <w:footnote w:id="22">
    <w:p w14:paraId="4DFF33FE" w14:textId="4C1128E4" w:rsidR="0076117E" w:rsidRPr="006F19FA" w:rsidRDefault="0076117E" w:rsidP="00B71D93">
      <w:pPr>
        <w:pStyle w:val="Footnotes"/>
      </w:pPr>
      <w:r>
        <w:rPr>
          <w:rStyle w:val="FootnoteReference"/>
        </w:rPr>
        <w:footnoteRef/>
      </w:r>
      <w:r>
        <w:t xml:space="preserve"> FWO tweet: </w:t>
      </w:r>
      <w:hyperlink r:id="rId8" w:history="1">
        <w:r w:rsidRPr="006F19FA">
          <w:t>https://mobile.twitter.com/fairwork_gov_au/status/672544595297767424</w:t>
        </w:r>
      </w:hyperlink>
    </w:p>
  </w:footnote>
  <w:footnote w:id="23">
    <w:p w14:paraId="618C937B" w14:textId="459F2BF0" w:rsidR="0076117E" w:rsidRDefault="0076117E" w:rsidP="00B71D93">
      <w:pPr>
        <w:pStyle w:val="Footnotes"/>
      </w:pPr>
      <w:r>
        <w:rPr>
          <w:rStyle w:val="FootnoteReference"/>
        </w:rPr>
        <w:footnoteRef/>
      </w:r>
      <w:r>
        <w:t xml:space="preserve"> FWO tweet: </w:t>
      </w:r>
      <w:r w:rsidRPr="006F19FA">
        <w:t>https://twitter.com/natjamescitz/status/672553613927944194</w:t>
      </w:r>
    </w:p>
  </w:footnote>
  <w:footnote w:id="24">
    <w:p w14:paraId="6E0933F3" w14:textId="77777777" w:rsidR="0076117E" w:rsidRPr="000C5F50" w:rsidRDefault="0076117E" w:rsidP="00941730">
      <w:pPr>
        <w:pStyle w:val="FootnoteText"/>
        <w:spacing w:before="0" w:line="240" w:lineRule="auto"/>
        <w:rPr>
          <w:sz w:val="16"/>
          <w:szCs w:val="16"/>
        </w:rPr>
      </w:pPr>
      <w:r>
        <w:rPr>
          <w:rStyle w:val="FootnoteReference"/>
        </w:rPr>
        <w:footnoteRef/>
      </w:r>
      <w:r>
        <w:t xml:space="preserve"> </w:t>
      </w:r>
      <w:r w:rsidRPr="00AD2132">
        <w:rPr>
          <w:sz w:val="16"/>
          <w:szCs w:val="16"/>
        </w:rPr>
        <w:t xml:space="preserve">For further details, please refer to the </w:t>
      </w:r>
      <w:hyperlink r:id="rId9" w:history="1">
        <w:r w:rsidRPr="00AD2132">
          <w:rPr>
            <w:rStyle w:val="Hyperlink"/>
            <w:rFonts w:cs="Arial"/>
            <w:sz w:val="16"/>
            <w:szCs w:val="16"/>
          </w:rPr>
          <w:t>Interim PCD Report</w:t>
        </w:r>
      </w:hyperlink>
    </w:p>
  </w:footnote>
  <w:footnote w:id="25">
    <w:p w14:paraId="16593D05" w14:textId="77777777" w:rsidR="0076117E" w:rsidRPr="00941730" w:rsidRDefault="0076117E" w:rsidP="00941730">
      <w:pPr>
        <w:pStyle w:val="FootnoteText"/>
        <w:spacing w:before="0" w:line="240" w:lineRule="auto"/>
        <w:rPr>
          <w:sz w:val="16"/>
          <w:szCs w:val="16"/>
        </w:rPr>
      </w:pPr>
      <w:r w:rsidRPr="00941730">
        <w:rPr>
          <w:rStyle w:val="FootnoteReference"/>
          <w:sz w:val="16"/>
          <w:szCs w:val="16"/>
        </w:rPr>
        <w:footnoteRef/>
      </w:r>
      <w:r w:rsidRPr="00941730">
        <w:rPr>
          <w:sz w:val="16"/>
          <w:szCs w:val="16"/>
        </w:rPr>
        <w:t xml:space="preserve"> </w:t>
      </w:r>
      <w:r w:rsidRPr="00256115">
        <w:rPr>
          <w:sz w:val="16"/>
          <w:szCs w:val="16"/>
        </w:rPr>
        <w:t xml:space="preserve">For full details, please refer to the </w:t>
      </w:r>
      <w:hyperlink r:id="rId10" w:history="1">
        <w:r w:rsidRPr="00256115">
          <w:rPr>
            <w:rStyle w:val="Hyperlink"/>
            <w:rFonts w:cs="Arial"/>
            <w:sz w:val="16"/>
            <w:szCs w:val="16"/>
          </w:rPr>
          <w:t>Interim PCD Report</w:t>
        </w:r>
      </w:hyperlink>
    </w:p>
  </w:footnote>
  <w:footnote w:id="26">
    <w:p w14:paraId="7886B949" w14:textId="77777777" w:rsidR="0076117E" w:rsidRPr="00405490" w:rsidRDefault="0076117E" w:rsidP="00256115">
      <w:pPr>
        <w:pStyle w:val="FootnoteText"/>
        <w:spacing w:before="0" w:line="240" w:lineRule="auto"/>
        <w:rPr>
          <w:sz w:val="16"/>
          <w:szCs w:val="16"/>
        </w:rPr>
      </w:pPr>
      <w:r w:rsidRPr="00941730">
        <w:rPr>
          <w:rStyle w:val="FootnoteReference"/>
          <w:sz w:val="16"/>
          <w:szCs w:val="16"/>
        </w:rPr>
        <w:footnoteRef/>
      </w:r>
      <w:r w:rsidRPr="00941730">
        <w:rPr>
          <w:sz w:val="16"/>
          <w:szCs w:val="16"/>
        </w:rPr>
        <w:t xml:space="preserve"> </w:t>
      </w:r>
      <w:r w:rsidRPr="00256115">
        <w:rPr>
          <w:sz w:val="16"/>
          <w:szCs w:val="16"/>
        </w:rPr>
        <w:t>Although we acknowledge that the number of Contractors and the size of Contractor workforce was also affected by Baiada’s decisions to close some processing plants (e.g. at Laverton in Victoria in 2016 and Ipswich in Queensland in early 2018) due to difficult market conditions</w:t>
      </w:r>
    </w:p>
  </w:footnote>
  <w:footnote w:id="27">
    <w:p w14:paraId="451286FC" w14:textId="41764E9B" w:rsidR="0076117E" w:rsidRPr="00066B06" w:rsidRDefault="0076117E" w:rsidP="00D82FB6">
      <w:pPr>
        <w:pStyle w:val="Footnotes"/>
      </w:pPr>
      <w:r w:rsidRPr="00066B06">
        <w:rPr>
          <w:rStyle w:val="FootnoteReference"/>
          <w:rFonts w:eastAsia="Times New Roman"/>
          <w:sz w:val="22"/>
          <w:szCs w:val="24"/>
        </w:rPr>
        <w:footnoteRef/>
      </w:r>
      <w:r w:rsidRPr="00066B06">
        <w:t xml:space="preserve"> As an example, in less than 5% of the significant number of work shifts analysed, the KRONOS start time </w:t>
      </w:r>
      <w:proofErr w:type="gramStart"/>
      <w:r w:rsidRPr="00066B06">
        <w:t>was recorded</w:t>
      </w:r>
      <w:proofErr w:type="gramEnd"/>
      <w:r w:rsidRPr="00066B06">
        <w:t xml:space="preserve"> after the manual timesheet time. However, for 99% of these exceptions, the difference was no more than 10 minutes. No underpayments </w:t>
      </w:r>
      <w:proofErr w:type="gramStart"/>
      <w:r w:rsidRPr="00066B06">
        <w:t>were found</w:t>
      </w:r>
      <w:proofErr w:type="gramEnd"/>
      <w:r w:rsidRPr="00066B06">
        <w:t xml:space="preserve"> to have occurred as a result.</w:t>
      </w:r>
    </w:p>
  </w:footnote>
  <w:footnote w:id="28">
    <w:p w14:paraId="72D14A2F" w14:textId="77777777" w:rsidR="0076117E" w:rsidRPr="00251546" w:rsidRDefault="0076117E" w:rsidP="00D82FB6">
      <w:pPr>
        <w:pStyle w:val="Footnotes"/>
        <w:rPr>
          <w:szCs w:val="18"/>
        </w:rPr>
      </w:pPr>
      <w:r w:rsidRPr="00066B06">
        <w:rPr>
          <w:rStyle w:val="FootnoteReference"/>
          <w:rFonts w:eastAsia="Times New Roman"/>
          <w:sz w:val="22"/>
          <w:szCs w:val="24"/>
        </w:rPr>
        <w:footnoteRef/>
      </w:r>
      <w:r w:rsidRPr="00066B06">
        <w:rPr>
          <w:rStyle w:val="FootnoteReference"/>
          <w:rFonts w:eastAsia="Times New Roman"/>
          <w:sz w:val="22"/>
          <w:szCs w:val="24"/>
        </w:rPr>
        <w:t xml:space="preserve"> </w:t>
      </w:r>
      <w:r w:rsidRPr="00066B06">
        <w:t xml:space="preserve">Noting that one of Baiada’s reforms to its systems and processes was establishing a specific entity that manages the payroll for all Baiada labour contractors and directly pays employees electronically into their bank accounts. For full details, please refer to the </w:t>
      </w:r>
      <w:hyperlink r:id="rId11" w:history="1">
        <w:r w:rsidRPr="00066B06">
          <w:rPr>
            <w:rStyle w:val="Hyperlink"/>
            <w:rFonts w:cs="Arial"/>
            <w:color w:val="auto"/>
            <w:u w:val="none"/>
          </w:rPr>
          <w:t>Interim PCD Report</w:t>
        </w:r>
      </w:hyperlink>
      <w:r w:rsidRPr="00251546">
        <w:rPr>
          <w:szCs w:val="18"/>
        </w:rPr>
        <w:t xml:space="preserve"> </w:t>
      </w:r>
    </w:p>
  </w:footnote>
  <w:footnote w:id="29">
    <w:p w14:paraId="32AB6305" w14:textId="77777777" w:rsidR="0076117E" w:rsidRDefault="0076117E" w:rsidP="00D82FB6">
      <w:pPr>
        <w:pStyle w:val="FootnoteText"/>
        <w:spacing w:before="0" w:line="240" w:lineRule="auto"/>
        <w:rPr>
          <w:sz w:val="16"/>
          <w:szCs w:val="16"/>
        </w:rPr>
      </w:pPr>
      <w:r>
        <w:rPr>
          <w:rStyle w:val="FootnoteReference"/>
        </w:rPr>
        <w:footnoteRef/>
      </w:r>
      <w:r>
        <w:t xml:space="preserve"> </w:t>
      </w:r>
      <w:r w:rsidRPr="00D82FB6">
        <w:rPr>
          <w:sz w:val="16"/>
          <w:szCs w:val="16"/>
        </w:rPr>
        <w:t xml:space="preserve">The PCD applied for 30 months from 23 October 2015 to 23 April 2018 [clause 15], however a built-in facilitative provision [clause </w:t>
      </w:r>
    </w:p>
    <w:p w14:paraId="6217E8B4" w14:textId="72B2650D" w:rsidR="0076117E" w:rsidRPr="0001658F" w:rsidRDefault="0076117E" w:rsidP="00D82FB6">
      <w:pPr>
        <w:pStyle w:val="FootnoteText"/>
        <w:spacing w:before="0" w:line="240" w:lineRule="auto"/>
        <w:rPr>
          <w:sz w:val="20"/>
        </w:rPr>
      </w:pPr>
      <w:r w:rsidRPr="00941730">
        <w:rPr>
          <w:rStyle w:val="FootnoteReference"/>
        </w:rPr>
        <w:t xml:space="preserve">20 </w:t>
      </w:r>
      <w:r w:rsidRPr="00D82FB6">
        <w:rPr>
          <w:sz w:val="16"/>
          <w:szCs w:val="16"/>
        </w:rPr>
        <w:t>1(b)] extended this period to allow the final audit process under clause 3 (which commenced at 30 months after the execution of the PCD) to be completed</w:t>
      </w:r>
    </w:p>
  </w:footnote>
  <w:footnote w:id="30">
    <w:p w14:paraId="59E8812E" w14:textId="77777777" w:rsidR="0076117E" w:rsidRPr="0072668E" w:rsidRDefault="0076117E" w:rsidP="006921A0">
      <w:pPr>
        <w:pStyle w:val="FootnoteText"/>
        <w:rPr>
          <w:sz w:val="16"/>
          <w:szCs w:val="16"/>
        </w:rPr>
      </w:pPr>
      <w:r>
        <w:rPr>
          <w:rStyle w:val="FootnoteReference"/>
        </w:rPr>
        <w:footnoteRef/>
      </w:r>
      <w:r>
        <w:t xml:space="preserve"> </w:t>
      </w:r>
      <w:r w:rsidRPr="0072668E">
        <w:rPr>
          <w:sz w:val="16"/>
          <w:szCs w:val="16"/>
        </w:rPr>
        <w:t xml:space="preserve">See: </w:t>
      </w:r>
      <w:hyperlink r:id="rId12" w:history="1">
        <w:r w:rsidRPr="0072668E">
          <w:rPr>
            <w:rStyle w:val="Hyperlink"/>
            <w:rFonts w:cs="Arial"/>
            <w:sz w:val="16"/>
            <w:szCs w:val="16"/>
          </w:rPr>
          <w:t>https://www.fairwork.gov.au/how-we-will-help/how-we-help-you/anonymous-tipoff</w:t>
        </w:r>
      </w:hyperlink>
      <w:r w:rsidRPr="0072668E">
        <w:rPr>
          <w:sz w:val="16"/>
          <w:szCs w:val="16"/>
        </w:rPr>
        <w:t xml:space="preserve"> </w:t>
      </w:r>
    </w:p>
  </w:footnote>
  <w:footnote w:id="31">
    <w:p w14:paraId="0D24135E" w14:textId="40DB8E45" w:rsidR="0076117E" w:rsidRPr="005C0A45" w:rsidRDefault="0076117E" w:rsidP="00941730">
      <w:pPr>
        <w:pStyle w:val="FootnoteText"/>
        <w:spacing w:before="0" w:line="240" w:lineRule="auto"/>
        <w:rPr>
          <w:sz w:val="16"/>
          <w:szCs w:val="16"/>
        </w:rPr>
      </w:pPr>
      <w:r>
        <w:rPr>
          <w:rStyle w:val="FootnoteReference"/>
        </w:rPr>
        <w:footnoteRef/>
      </w:r>
      <w:r>
        <w:t xml:space="preserve"> </w:t>
      </w:r>
      <w:r w:rsidRPr="005C0A45">
        <w:rPr>
          <w:sz w:val="16"/>
          <w:szCs w:val="16"/>
        </w:rPr>
        <w:t>See:</w:t>
      </w:r>
      <w:r>
        <w:rPr>
          <w:sz w:val="16"/>
          <w:szCs w:val="16"/>
        </w:rPr>
        <w:t xml:space="preserve"> </w:t>
      </w:r>
      <w:hyperlink r:id="rId13" w:history="1">
        <w:r w:rsidRPr="005C0A45">
          <w:rPr>
            <w:rStyle w:val="Hyperlink"/>
            <w:rFonts w:cs="Arial"/>
            <w:sz w:val="16"/>
            <w:szCs w:val="16"/>
          </w:rPr>
          <w:t>Baiada cleaning up act after wages scandal</w:t>
        </w:r>
      </w:hyperlink>
      <w:r w:rsidRPr="005C0A45">
        <w:rPr>
          <w:sz w:val="16"/>
          <w:szCs w:val="16"/>
        </w:rPr>
        <w:t xml:space="preserve">, Adele Ferguson, </w:t>
      </w:r>
      <w:r w:rsidRPr="005C0A45">
        <w:rPr>
          <w:i/>
          <w:sz w:val="16"/>
          <w:szCs w:val="16"/>
        </w:rPr>
        <w:t>Australian Financial Review</w:t>
      </w:r>
      <w:r w:rsidRPr="005C0A45">
        <w:rPr>
          <w:sz w:val="16"/>
          <w:szCs w:val="16"/>
        </w:rPr>
        <w:t xml:space="preserve"> 28/11/16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9596" w14:textId="77777777" w:rsidR="00994635" w:rsidRDefault="00994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37F6" w14:textId="77777777" w:rsidR="00994635" w:rsidRDefault="00994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E40F" w14:textId="77777777" w:rsidR="0076117E" w:rsidRPr="003952ED" w:rsidRDefault="0076117E" w:rsidP="00AB27F9">
    <w:pPr>
      <w:rPr>
        <w:u w:val="single"/>
      </w:rPr>
    </w:pPr>
    <w:bookmarkStart w:id="25" w:name="_GoBack"/>
    <w:r w:rsidRPr="003952ED">
      <w:rPr>
        <w:noProof/>
        <w:u w:val="single"/>
        <w:lang w:eastAsia="en-AU"/>
      </w:rPr>
      <w:drawing>
        <wp:anchor distT="0" distB="0" distL="114300" distR="114300" simplePos="0" relativeHeight="251659264" behindDoc="1" locked="0" layoutInCell="1" allowOverlap="1" wp14:anchorId="74FD576C" wp14:editId="0BB395AF">
          <wp:simplePos x="0" y="0"/>
          <wp:positionH relativeFrom="margin">
            <wp:posOffset>-794063</wp:posOffset>
          </wp:positionH>
          <wp:positionV relativeFrom="paragraph">
            <wp:posOffset>0</wp:posOffset>
          </wp:positionV>
          <wp:extent cx="7598603" cy="10681822"/>
          <wp:effectExtent l="0" t="0" r="2540" b="5715"/>
          <wp:wrapNone/>
          <wp:docPr id="8" name="Picture 32" title="Baiada Group Compliance Partnership Final Report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8603" cy="106818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11F2AE7"/>
    <w:multiLevelType w:val="hybridMultilevel"/>
    <w:tmpl w:val="1A16051E"/>
    <w:lvl w:ilvl="0" w:tplc="9FD6795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03A17"/>
    <w:multiLevelType w:val="hybridMultilevel"/>
    <w:tmpl w:val="0E646458"/>
    <w:lvl w:ilvl="0" w:tplc="EAC65526">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4" w15:restartNumberingAfterBreak="0">
    <w:nsid w:val="24032D19"/>
    <w:multiLevelType w:val="hybridMultilevel"/>
    <w:tmpl w:val="BCBCE7FE"/>
    <w:lvl w:ilvl="0" w:tplc="ED7C300A">
      <w:start w:val="1"/>
      <w:numFmt w:val="bullet"/>
      <w:lvlText w:val=""/>
      <w:lvlJc w:val="left"/>
      <w:pPr>
        <w:ind w:left="36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071CC2"/>
    <w:multiLevelType w:val="hybridMultilevel"/>
    <w:tmpl w:val="DA768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50743"/>
    <w:multiLevelType w:val="hybridMultilevel"/>
    <w:tmpl w:val="9E26B0E8"/>
    <w:lvl w:ilvl="0" w:tplc="27B6C77A">
      <w:start w:val="1"/>
      <w:numFmt w:val="bullet"/>
      <w:pStyle w:val="Bullet"/>
      <w:lvlText w:val=""/>
      <w:lvlJc w:val="left"/>
      <w:pPr>
        <w:ind w:left="360" w:hanging="360"/>
      </w:pPr>
      <w:rPr>
        <w:rFonts w:ascii="Wingdings" w:hAnsi="Wingdings" w:hint="default"/>
        <w:color w:val="41273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AE7EC6"/>
    <w:multiLevelType w:val="hybridMultilevel"/>
    <w:tmpl w:val="14160586"/>
    <w:lvl w:ilvl="0" w:tplc="2974B152">
      <w:start w:val="1"/>
      <w:numFmt w:val="bullet"/>
      <w:lvlText w:val=""/>
      <w:lvlJc w:val="left"/>
      <w:pPr>
        <w:ind w:left="360" w:hanging="360"/>
      </w:pPr>
      <w:rPr>
        <w:rFonts w:ascii="Wingdings" w:hAnsi="Wingdings" w:hint="default"/>
        <w:color w:val="0194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EA399F"/>
    <w:multiLevelType w:val="hybridMultilevel"/>
    <w:tmpl w:val="3B42A472"/>
    <w:lvl w:ilvl="0" w:tplc="3CE0E7F0">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0"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F456EB3"/>
    <w:multiLevelType w:val="hybridMultilevel"/>
    <w:tmpl w:val="F46C5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0466D1"/>
    <w:multiLevelType w:val="hybridMultilevel"/>
    <w:tmpl w:val="39B68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C04639"/>
    <w:multiLevelType w:val="hybridMultilevel"/>
    <w:tmpl w:val="4B5800AE"/>
    <w:lvl w:ilvl="0" w:tplc="51E8AC4C">
      <w:start w:val="1"/>
      <w:numFmt w:val="bullet"/>
      <w:pStyle w:val="Callout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12"/>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3"/>
  </w:num>
  <w:num w:numId="4">
    <w:abstractNumId w:val="9"/>
  </w:num>
  <w:num w:numId="5">
    <w:abstractNumId w:val="10"/>
  </w:num>
  <w:num w:numId="6">
    <w:abstractNumId w:val="6"/>
  </w:num>
  <w:num w:numId="7">
    <w:abstractNumId w:val="14"/>
  </w:num>
  <w:num w:numId="8">
    <w:abstractNumId w:val="8"/>
  </w:num>
  <w:num w:numId="9">
    <w:abstractNumId w:val="7"/>
  </w:num>
  <w:num w:numId="10">
    <w:abstractNumId w:val="4"/>
  </w:num>
  <w:num w:numId="11">
    <w:abstractNumId w:val="2"/>
  </w:num>
  <w:num w:numId="12">
    <w:abstractNumId w:val="13"/>
  </w:num>
  <w:num w:numId="13">
    <w:abstractNumId w:val="5"/>
  </w:num>
  <w:num w:numId="14">
    <w:abstractNumId w:val="1"/>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63"/>
    <w:rsid w:val="00000652"/>
    <w:rsid w:val="000017AB"/>
    <w:rsid w:val="0000366A"/>
    <w:rsid w:val="00003FF8"/>
    <w:rsid w:val="00006D48"/>
    <w:rsid w:val="00020ED9"/>
    <w:rsid w:val="0002705F"/>
    <w:rsid w:val="00036791"/>
    <w:rsid w:val="00043D63"/>
    <w:rsid w:val="00044A07"/>
    <w:rsid w:val="00057AE4"/>
    <w:rsid w:val="00064562"/>
    <w:rsid w:val="000648F7"/>
    <w:rsid w:val="000652ED"/>
    <w:rsid w:val="00066B06"/>
    <w:rsid w:val="00067031"/>
    <w:rsid w:val="00070178"/>
    <w:rsid w:val="0008113E"/>
    <w:rsid w:val="00083C95"/>
    <w:rsid w:val="00086C2E"/>
    <w:rsid w:val="00090047"/>
    <w:rsid w:val="0009291F"/>
    <w:rsid w:val="0009727F"/>
    <w:rsid w:val="000A2527"/>
    <w:rsid w:val="000A5FE4"/>
    <w:rsid w:val="000B04DA"/>
    <w:rsid w:val="000C1097"/>
    <w:rsid w:val="000C1DF4"/>
    <w:rsid w:val="000C359C"/>
    <w:rsid w:val="000C63F1"/>
    <w:rsid w:val="000C6A5F"/>
    <w:rsid w:val="000D29E1"/>
    <w:rsid w:val="000E08E4"/>
    <w:rsid w:val="000E2601"/>
    <w:rsid w:val="000E362E"/>
    <w:rsid w:val="000E37AC"/>
    <w:rsid w:val="000F0FBA"/>
    <w:rsid w:val="000F2243"/>
    <w:rsid w:val="000F2720"/>
    <w:rsid w:val="000F4B5B"/>
    <w:rsid w:val="001014A0"/>
    <w:rsid w:val="00105CEF"/>
    <w:rsid w:val="00106B77"/>
    <w:rsid w:val="00111949"/>
    <w:rsid w:val="00125A38"/>
    <w:rsid w:val="00127C72"/>
    <w:rsid w:val="00133B21"/>
    <w:rsid w:val="0013580F"/>
    <w:rsid w:val="00142043"/>
    <w:rsid w:val="001506E4"/>
    <w:rsid w:val="00150E2B"/>
    <w:rsid w:val="001607FB"/>
    <w:rsid w:val="0016101D"/>
    <w:rsid w:val="0016465A"/>
    <w:rsid w:val="001676B6"/>
    <w:rsid w:val="00181475"/>
    <w:rsid w:val="001850B4"/>
    <w:rsid w:val="00190392"/>
    <w:rsid w:val="0019080C"/>
    <w:rsid w:val="00194A0D"/>
    <w:rsid w:val="001A4525"/>
    <w:rsid w:val="001B04EF"/>
    <w:rsid w:val="001B166E"/>
    <w:rsid w:val="001B2781"/>
    <w:rsid w:val="001B2A68"/>
    <w:rsid w:val="001D6D36"/>
    <w:rsid w:val="001D75B0"/>
    <w:rsid w:val="001E47B4"/>
    <w:rsid w:val="001F20C3"/>
    <w:rsid w:val="001F3149"/>
    <w:rsid w:val="001F3169"/>
    <w:rsid w:val="00202975"/>
    <w:rsid w:val="00202E5C"/>
    <w:rsid w:val="00205DBE"/>
    <w:rsid w:val="00214011"/>
    <w:rsid w:val="00222D16"/>
    <w:rsid w:val="00244EEE"/>
    <w:rsid w:val="002450DA"/>
    <w:rsid w:val="00252709"/>
    <w:rsid w:val="002533F0"/>
    <w:rsid w:val="0025534A"/>
    <w:rsid w:val="00256115"/>
    <w:rsid w:val="00257A38"/>
    <w:rsid w:val="00274039"/>
    <w:rsid w:val="00274AEF"/>
    <w:rsid w:val="0028208F"/>
    <w:rsid w:val="002829AF"/>
    <w:rsid w:val="00292AAB"/>
    <w:rsid w:val="002958C4"/>
    <w:rsid w:val="002A4276"/>
    <w:rsid w:val="002B03C2"/>
    <w:rsid w:val="002B5FAD"/>
    <w:rsid w:val="002B621B"/>
    <w:rsid w:val="002C03A6"/>
    <w:rsid w:val="002C4986"/>
    <w:rsid w:val="002C769D"/>
    <w:rsid w:val="002D4156"/>
    <w:rsid w:val="002D7B33"/>
    <w:rsid w:val="002E23E2"/>
    <w:rsid w:val="002E6E0C"/>
    <w:rsid w:val="002F0DF6"/>
    <w:rsid w:val="002F61D0"/>
    <w:rsid w:val="00315AB8"/>
    <w:rsid w:val="0032006D"/>
    <w:rsid w:val="003215C7"/>
    <w:rsid w:val="00327D90"/>
    <w:rsid w:val="00330F14"/>
    <w:rsid w:val="00332317"/>
    <w:rsid w:val="0033684C"/>
    <w:rsid w:val="00340BBF"/>
    <w:rsid w:val="00340E0D"/>
    <w:rsid w:val="003412BC"/>
    <w:rsid w:val="00341A80"/>
    <w:rsid w:val="0034403B"/>
    <w:rsid w:val="00345AD1"/>
    <w:rsid w:val="00357D51"/>
    <w:rsid w:val="0036596F"/>
    <w:rsid w:val="00366ADA"/>
    <w:rsid w:val="00371258"/>
    <w:rsid w:val="00373030"/>
    <w:rsid w:val="003749B1"/>
    <w:rsid w:val="00374EF9"/>
    <w:rsid w:val="00375D1A"/>
    <w:rsid w:val="00377CC0"/>
    <w:rsid w:val="0038439E"/>
    <w:rsid w:val="003861B5"/>
    <w:rsid w:val="003952ED"/>
    <w:rsid w:val="003A0A4C"/>
    <w:rsid w:val="003B121D"/>
    <w:rsid w:val="003B1C62"/>
    <w:rsid w:val="003B2808"/>
    <w:rsid w:val="003B35B1"/>
    <w:rsid w:val="003B62FE"/>
    <w:rsid w:val="003B6F1E"/>
    <w:rsid w:val="003C493F"/>
    <w:rsid w:val="003C6D5B"/>
    <w:rsid w:val="003D18E2"/>
    <w:rsid w:val="003D2933"/>
    <w:rsid w:val="003E0FDA"/>
    <w:rsid w:val="003E2FB5"/>
    <w:rsid w:val="00400743"/>
    <w:rsid w:val="0040294F"/>
    <w:rsid w:val="00403015"/>
    <w:rsid w:val="004033BF"/>
    <w:rsid w:val="004044C1"/>
    <w:rsid w:val="004046AC"/>
    <w:rsid w:val="0040543F"/>
    <w:rsid w:val="00405844"/>
    <w:rsid w:val="00410018"/>
    <w:rsid w:val="00411988"/>
    <w:rsid w:val="004171B5"/>
    <w:rsid w:val="004273CB"/>
    <w:rsid w:val="00431FD8"/>
    <w:rsid w:val="00433812"/>
    <w:rsid w:val="00436CD6"/>
    <w:rsid w:val="004379E6"/>
    <w:rsid w:val="00451CB0"/>
    <w:rsid w:val="0045285F"/>
    <w:rsid w:val="0045600E"/>
    <w:rsid w:val="00463F3A"/>
    <w:rsid w:val="004650C3"/>
    <w:rsid w:val="00467B47"/>
    <w:rsid w:val="00475F07"/>
    <w:rsid w:val="004775ED"/>
    <w:rsid w:val="00480BC2"/>
    <w:rsid w:val="004947D1"/>
    <w:rsid w:val="00494BAC"/>
    <w:rsid w:val="00495DA8"/>
    <w:rsid w:val="00497F76"/>
    <w:rsid w:val="004A29A2"/>
    <w:rsid w:val="004B2104"/>
    <w:rsid w:val="004B22F3"/>
    <w:rsid w:val="004C0B58"/>
    <w:rsid w:val="004C227E"/>
    <w:rsid w:val="004C33F0"/>
    <w:rsid w:val="004C550D"/>
    <w:rsid w:val="004C6B22"/>
    <w:rsid w:val="004D111F"/>
    <w:rsid w:val="004D5137"/>
    <w:rsid w:val="004E2431"/>
    <w:rsid w:val="004E3470"/>
    <w:rsid w:val="004E36F6"/>
    <w:rsid w:val="004E7102"/>
    <w:rsid w:val="004E7C5C"/>
    <w:rsid w:val="004F15FA"/>
    <w:rsid w:val="004F3284"/>
    <w:rsid w:val="004F3C68"/>
    <w:rsid w:val="004F4518"/>
    <w:rsid w:val="00501D43"/>
    <w:rsid w:val="00502485"/>
    <w:rsid w:val="00503E04"/>
    <w:rsid w:val="005103EE"/>
    <w:rsid w:val="005117BB"/>
    <w:rsid w:val="00512B40"/>
    <w:rsid w:val="00523F90"/>
    <w:rsid w:val="00524C21"/>
    <w:rsid w:val="00531838"/>
    <w:rsid w:val="00533528"/>
    <w:rsid w:val="005335E7"/>
    <w:rsid w:val="00536E67"/>
    <w:rsid w:val="0054474D"/>
    <w:rsid w:val="0054539A"/>
    <w:rsid w:val="00546C2E"/>
    <w:rsid w:val="00551512"/>
    <w:rsid w:val="00552C38"/>
    <w:rsid w:val="0058213B"/>
    <w:rsid w:val="00587007"/>
    <w:rsid w:val="00587A9D"/>
    <w:rsid w:val="00592A13"/>
    <w:rsid w:val="00593E35"/>
    <w:rsid w:val="00596451"/>
    <w:rsid w:val="005A18E6"/>
    <w:rsid w:val="005A3957"/>
    <w:rsid w:val="005A54CF"/>
    <w:rsid w:val="005B197B"/>
    <w:rsid w:val="005B3334"/>
    <w:rsid w:val="005B3A17"/>
    <w:rsid w:val="005B513C"/>
    <w:rsid w:val="005C2227"/>
    <w:rsid w:val="005C390A"/>
    <w:rsid w:val="005D107E"/>
    <w:rsid w:val="005D2113"/>
    <w:rsid w:val="005E3ED5"/>
    <w:rsid w:val="005E564A"/>
    <w:rsid w:val="00602496"/>
    <w:rsid w:val="00602CBE"/>
    <w:rsid w:val="0060649A"/>
    <w:rsid w:val="00607993"/>
    <w:rsid w:val="00612257"/>
    <w:rsid w:val="0061347A"/>
    <w:rsid w:val="00616148"/>
    <w:rsid w:val="00624A88"/>
    <w:rsid w:val="006262D9"/>
    <w:rsid w:val="0062705E"/>
    <w:rsid w:val="00631685"/>
    <w:rsid w:val="00635BD6"/>
    <w:rsid w:val="00637381"/>
    <w:rsid w:val="00637D93"/>
    <w:rsid w:val="00645EA8"/>
    <w:rsid w:val="006541BF"/>
    <w:rsid w:val="006562D1"/>
    <w:rsid w:val="006615E0"/>
    <w:rsid w:val="00663F9B"/>
    <w:rsid w:val="00666A7E"/>
    <w:rsid w:val="00666FD1"/>
    <w:rsid w:val="00674C41"/>
    <w:rsid w:val="00681844"/>
    <w:rsid w:val="006824E7"/>
    <w:rsid w:val="006836FC"/>
    <w:rsid w:val="006878B3"/>
    <w:rsid w:val="006921A0"/>
    <w:rsid w:val="0069564F"/>
    <w:rsid w:val="006A3313"/>
    <w:rsid w:val="006A4099"/>
    <w:rsid w:val="006A412C"/>
    <w:rsid w:val="006A5D91"/>
    <w:rsid w:val="006A769D"/>
    <w:rsid w:val="006B7D36"/>
    <w:rsid w:val="006C2BEE"/>
    <w:rsid w:val="006D5F95"/>
    <w:rsid w:val="006E34AE"/>
    <w:rsid w:val="006E4D7E"/>
    <w:rsid w:val="006E7D24"/>
    <w:rsid w:val="006F0FF0"/>
    <w:rsid w:val="006F19FA"/>
    <w:rsid w:val="007013DD"/>
    <w:rsid w:val="00706D12"/>
    <w:rsid w:val="00717C75"/>
    <w:rsid w:val="00722A74"/>
    <w:rsid w:val="00736C10"/>
    <w:rsid w:val="00743B2F"/>
    <w:rsid w:val="00746ABE"/>
    <w:rsid w:val="007517B1"/>
    <w:rsid w:val="0076117E"/>
    <w:rsid w:val="00770A92"/>
    <w:rsid w:val="00774166"/>
    <w:rsid w:val="0078713D"/>
    <w:rsid w:val="00791818"/>
    <w:rsid w:val="00792D5D"/>
    <w:rsid w:val="00797422"/>
    <w:rsid w:val="007A2082"/>
    <w:rsid w:val="007A2D49"/>
    <w:rsid w:val="007A6309"/>
    <w:rsid w:val="007B16EE"/>
    <w:rsid w:val="007B6ADD"/>
    <w:rsid w:val="007D38CA"/>
    <w:rsid w:val="007D66FA"/>
    <w:rsid w:val="007E0FA1"/>
    <w:rsid w:val="007E1B5B"/>
    <w:rsid w:val="007E3190"/>
    <w:rsid w:val="007E4C63"/>
    <w:rsid w:val="007E6493"/>
    <w:rsid w:val="007F4587"/>
    <w:rsid w:val="007F5B64"/>
    <w:rsid w:val="008031DF"/>
    <w:rsid w:val="00804E7D"/>
    <w:rsid w:val="00807058"/>
    <w:rsid w:val="00813552"/>
    <w:rsid w:val="008205AC"/>
    <w:rsid w:val="008217E4"/>
    <w:rsid w:val="008324C6"/>
    <w:rsid w:val="008340F6"/>
    <w:rsid w:val="00834154"/>
    <w:rsid w:val="008345D2"/>
    <w:rsid w:val="00840399"/>
    <w:rsid w:val="00840FD2"/>
    <w:rsid w:val="008410B0"/>
    <w:rsid w:val="00856E98"/>
    <w:rsid w:val="00860091"/>
    <w:rsid w:val="00861C03"/>
    <w:rsid w:val="00872779"/>
    <w:rsid w:val="008770CF"/>
    <w:rsid w:val="00877300"/>
    <w:rsid w:val="0088307F"/>
    <w:rsid w:val="008850A2"/>
    <w:rsid w:val="0088737E"/>
    <w:rsid w:val="00892902"/>
    <w:rsid w:val="008967E4"/>
    <w:rsid w:val="008979FD"/>
    <w:rsid w:val="008A6906"/>
    <w:rsid w:val="008B4A2B"/>
    <w:rsid w:val="008B4B17"/>
    <w:rsid w:val="008B64FB"/>
    <w:rsid w:val="008B7934"/>
    <w:rsid w:val="008C494F"/>
    <w:rsid w:val="008C68B5"/>
    <w:rsid w:val="008D7319"/>
    <w:rsid w:val="008E46F0"/>
    <w:rsid w:val="008E5CCA"/>
    <w:rsid w:val="008F22E5"/>
    <w:rsid w:val="008F2CC1"/>
    <w:rsid w:val="008F3466"/>
    <w:rsid w:val="008F5354"/>
    <w:rsid w:val="008F5E6D"/>
    <w:rsid w:val="008F7AFC"/>
    <w:rsid w:val="0091028D"/>
    <w:rsid w:val="00911CB2"/>
    <w:rsid w:val="00911D94"/>
    <w:rsid w:val="0091246E"/>
    <w:rsid w:val="009137A7"/>
    <w:rsid w:val="009152FB"/>
    <w:rsid w:val="00915CC7"/>
    <w:rsid w:val="00924E8B"/>
    <w:rsid w:val="00925B42"/>
    <w:rsid w:val="009344C6"/>
    <w:rsid w:val="0093542C"/>
    <w:rsid w:val="00936511"/>
    <w:rsid w:val="009401AC"/>
    <w:rsid w:val="00941730"/>
    <w:rsid w:val="00960B57"/>
    <w:rsid w:val="009629F3"/>
    <w:rsid w:val="00963B67"/>
    <w:rsid w:val="0097141A"/>
    <w:rsid w:val="00972C87"/>
    <w:rsid w:val="00973C4D"/>
    <w:rsid w:val="009742D2"/>
    <w:rsid w:val="00984052"/>
    <w:rsid w:val="009943AB"/>
    <w:rsid w:val="00994635"/>
    <w:rsid w:val="009B0B6A"/>
    <w:rsid w:val="009B6EFA"/>
    <w:rsid w:val="009C10C3"/>
    <w:rsid w:val="009C14E2"/>
    <w:rsid w:val="009C5F6A"/>
    <w:rsid w:val="009D2725"/>
    <w:rsid w:val="009D5584"/>
    <w:rsid w:val="009D7631"/>
    <w:rsid w:val="009E226F"/>
    <w:rsid w:val="009E22AC"/>
    <w:rsid w:val="009E64AF"/>
    <w:rsid w:val="009F0C25"/>
    <w:rsid w:val="00A02A81"/>
    <w:rsid w:val="00A05A24"/>
    <w:rsid w:val="00A07A1B"/>
    <w:rsid w:val="00A12742"/>
    <w:rsid w:val="00A15574"/>
    <w:rsid w:val="00A31EED"/>
    <w:rsid w:val="00A32E18"/>
    <w:rsid w:val="00A3384A"/>
    <w:rsid w:val="00A40015"/>
    <w:rsid w:val="00A46F23"/>
    <w:rsid w:val="00A50448"/>
    <w:rsid w:val="00A7186B"/>
    <w:rsid w:val="00A71FA8"/>
    <w:rsid w:val="00A73C8E"/>
    <w:rsid w:val="00A77CEA"/>
    <w:rsid w:val="00A82E86"/>
    <w:rsid w:val="00A9000B"/>
    <w:rsid w:val="00A91C02"/>
    <w:rsid w:val="00A946A9"/>
    <w:rsid w:val="00A95312"/>
    <w:rsid w:val="00A95416"/>
    <w:rsid w:val="00AA0A3E"/>
    <w:rsid w:val="00AA6CD3"/>
    <w:rsid w:val="00AB091F"/>
    <w:rsid w:val="00AB098D"/>
    <w:rsid w:val="00AB27F9"/>
    <w:rsid w:val="00AB7A7E"/>
    <w:rsid w:val="00AC17ED"/>
    <w:rsid w:val="00AC229B"/>
    <w:rsid w:val="00AC7EC8"/>
    <w:rsid w:val="00AD0B0A"/>
    <w:rsid w:val="00AD3E5A"/>
    <w:rsid w:val="00AD3FD7"/>
    <w:rsid w:val="00AD5F7F"/>
    <w:rsid w:val="00AD7ACB"/>
    <w:rsid w:val="00AE0C8C"/>
    <w:rsid w:val="00AE1B9F"/>
    <w:rsid w:val="00AE203B"/>
    <w:rsid w:val="00AE7FFB"/>
    <w:rsid w:val="00AF0936"/>
    <w:rsid w:val="00B00082"/>
    <w:rsid w:val="00B0049B"/>
    <w:rsid w:val="00B00BC8"/>
    <w:rsid w:val="00B02232"/>
    <w:rsid w:val="00B0742B"/>
    <w:rsid w:val="00B10C17"/>
    <w:rsid w:val="00B11DDC"/>
    <w:rsid w:val="00B13C89"/>
    <w:rsid w:val="00B148E4"/>
    <w:rsid w:val="00B14AD9"/>
    <w:rsid w:val="00B206C4"/>
    <w:rsid w:val="00B26E4B"/>
    <w:rsid w:val="00B32D23"/>
    <w:rsid w:val="00B33C57"/>
    <w:rsid w:val="00B40E38"/>
    <w:rsid w:val="00B42289"/>
    <w:rsid w:val="00B6255B"/>
    <w:rsid w:val="00B67D04"/>
    <w:rsid w:val="00B71D93"/>
    <w:rsid w:val="00B7753D"/>
    <w:rsid w:val="00B842F5"/>
    <w:rsid w:val="00B8655E"/>
    <w:rsid w:val="00B90991"/>
    <w:rsid w:val="00B9339B"/>
    <w:rsid w:val="00B94A6B"/>
    <w:rsid w:val="00B97961"/>
    <w:rsid w:val="00B97BA0"/>
    <w:rsid w:val="00BA1ACC"/>
    <w:rsid w:val="00BA4FF9"/>
    <w:rsid w:val="00BA602C"/>
    <w:rsid w:val="00BB25C4"/>
    <w:rsid w:val="00BB26EF"/>
    <w:rsid w:val="00BB512B"/>
    <w:rsid w:val="00BB59AA"/>
    <w:rsid w:val="00BC0280"/>
    <w:rsid w:val="00BD0563"/>
    <w:rsid w:val="00BD1FC6"/>
    <w:rsid w:val="00BD79E5"/>
    <w:rsid w:val="00BD7F30"/>
    <w:rsid w:val="00BE15EC"/>
    <w:rsid w:val="00BF0029"/>
    <w:rsid w:val="00C00C46"/>
    <w:rsid w:val="00C02BFF"/>
    <w:rsid w:val="00C11D0C"/>
    <w:rsid w:val="00C14135"/>
    <w:rsid w:val="00C2298B"/>
    <w:rsid w:val="00C24A7A"/>
    <w:rsid w:val="00C36E87"/>
    <w:rsid w:val="00C423F4"/>
    <w:rsid w:val="00C46495"/>
    <w:rsid w:val="00C46A9A"/>
    <w:rsid w:val="00C51199"/>
    <w:rsid w:val="00C538CC"/>
    <w:rsid w:val="00C56962"/>
    <w:rsid w:val="00C61DA3"/>
    <w:rsid w:val="00C6264C"/>
    <w:rsid w:val="00C62ACD"/>
    <w:rsid w:val="00C6446B"/>
    <w:rsid w:val="00C660DB"/>
    <w:rsid w:val="00C67F38"/>
    <w:rsid w:val="00C72D97"/>
    <w:rsid w:val="00C76C82"/>
    <w:rsid w:val="00C81AF7"/>
    <w:rsid w:val="00C83C72"/>
    <w:rsid w:val="00C9231F"/>
    <w:rsid w:val="00CA03FD"/>
    <w:rsid w:val="00CA0F8F"/>
    <w:rsid w:val="00CA1DD5"/>
    <w:rsid w:val="00CB141C"/>
    <w:rsid w:val="00CB3C81"/>
    <w:rsid w:val="00CC2C2A"/>
    <w:rsid w:val="00CC3FFC"/>
    <w:rsid w:val="00CC51CB"/>
    <w:rsid w:val="00CC7FFE"/>
    <w:rsid w:val="00CD404B"/>
    <w:rsid w:val="00CD6F15"/>
    <w:rsid w:val="00CD7CB1"/>
    <w:rsid w:val="00CE3A3B"/>
    <w:rsid w:val="00CE3D01"/>
    <w:rsid w:val="00CE60A1"/>
    <w:rsid w:val="00CE63BE"/>
    <w:rsid w:val="00CF1056"/>
    <w:rsid w:val="00CF3B06"/>
    <w:rsid w:val="00CF4DE8"/>
    <w:rsid w:val="00CF635F"/>
    <w:rsid w:val="00CF7F09"/>
    <w:rsid w:val="00D048A5"/>
    <w:rsid w:val="00D073C4"/>
    <w:rsid w:val="00D13A87"/>
    <w:rsid w:val="00D272E3"/>
    <w:rsid w:val="00D27F43"/>
    <w:rsid w:val="00D32399"/>
    <w:rsid w:val="00D3277B"/>
    <w:rsid w:val="00D363DC"/>
    <w:rsid w:val="00D527BD"/>
    <w:rsid w:val="00D6528F"/>
    <w:rsid w:val="00D72159"/>
    <w:rsid w:val="00D72CC5"/>
    <w:rsid w:val="00D7342F"/>
    <w:rsid w:val="00D7578E"/>
    <w:rsid w:val="00D8198B"/>
    <w:rsid w:val="00D82FB6"/>
    <w:rsid w:val="00D8527C"/>
    <w:rsid w:val="00D964E9"/>
    <w:rsid w:val="00DA0189"/>
    <w:rsid w:val="00DA096D"/>
    <w:rsid w:val="00DA57D3"/>
    <w:rsid w:val="00DA7E1A"/>
    <w:rsid w:val="00DB2A3D"/>
    <w:rsid w:val="00DB5915"/>
    <w:rsid w:val="00DC0961"/>
    <w:rsid w:val="00DC09C0"/>
    <w:rsid w:val="00DC1F8D"/>
    <w:rsid w:val="00DC4D45"/>
    <w:rsid w:val="00DC5A09"/>
    <w:rsid w:val="00DC6E83"/>
    <w:rsid w:val="00DC7AC2"/>
    <w:rsid w:val="00DE7C28"/>
    <w:rsid w:val="00DF4831"/>
    <w:rsid w:val="00DF6D17"/>
    <w:rsid w:val="00DF7241"/>
    <w:rsid w:val="00E0439C"/>
    <w:rsid w:val="00E04EC0"/>
    <w:rsid w:val="00E10583"/>
    <w:rsid w:val="00E151A0"/>
    <w:rsid w:val="00E17B81"/>
    <w:rsid w:val="00E218A3"/>
    <w:rsid w:val="00E22203"/>
    <w:rsid w:val="00E2399E"/>
    <w:rsid w:val="00E32352"/>
    <w:rsid w:val="00E402C2"/>
    <w:rsid w:val="00E403BA"/>
    <w:rsid w:val="00E460A0"/>
    <w:rsid w:val="00E46CCA"/>
    <w:rsid w:val="00E47350"/>
    <w:rsid w:val="00E601F8"/>
    <w:rsid w:val="00E64EE0"/>
    <w:rsid w:val="00E65E59"/>
    <w:rsid w:val="00E71869"/>
    <w:rsid w:val="00E73829"/>
    <w:rsid w:val="00E8197B"/>
    <w:rsid w:val="00E8678A"/>
    <w:rsid w:val="00E944DC"/>
    <w:rsid w:val="00E974A6"/>
    <w:rsid w:val="00EA075D"/>
    <w:rsid w:val="00EA5329"/>
    <w:rsid w:val="00EA6181"/>
    <w:rsid w:val="00EB1522"/>
    <w:rsid w:val="00EB2C3E"/>
    <w:rsid w:val="00EB7AC7"/>
    <w:rsid w:val="00EC2CC9"/>
    <w:rsid w:val="00EC55E6"/>
    <w:rsid w:val="00ED0D64"/>
    <w:rsid w:val="00ED295F"/>
    <w:rsid w:val="00ED4AEB"/>
    <w:rsid w:val="00ED60EC"/>
    <w:rsid w:val="00EE2EF8"/>
    <w:rsid w:val="00EE3963"/>
    <w:rsid w:val="00EE3A19"/>
    <w:rsid w:val="00EE573C"/>
    <w:rsid w:val="00EE5AA7"/>
    <w:rsid w:val="00EF394B"/>
    <w:rsid w:val="00EF6D72"/>
    <w:rsid w:val="00F06FAB"/>
    <w:rsid w:val="00F105AC"/>
    <w:rsid w:val="00F1667D"/>
    <w:rsid w:val="00F23488"/>
    <w:rsid w:val="00F2588C"/>
    <w:rsid w:val="00F26590"/>
    <w:rsid w:val="00F31E30"/>
    <w:rsid w:val="00F32CF2"/>
    <w:rsid w:val="00F37E36"/>
    <w:rsid w:val="00F51A80"/>
    <w:rsid w:val="00F55653"/>
    <w:rsid w:val="00F557CB"/>
    <w:rsid w:val="00F573B5"/>
    <w:rsid w:val="00F64CA0"/>
    <w:rsid w:val="00F66106"/>
    <w:rsid w:val="00F70FCC"/>
    <w:rsid w:val="00F77208"/>
    <w:rsid w:val="00F77D9C"/>
    <w:rsid w:val="00F8218D"/>
    <w:rsid w:val="00F87B33"/>
    <w:rsid w:val="00F9286C"/>
    <w:rsid w:val="00F94F7D"/>
    <w:rsid w:val="00F9695A"/>
    <w:rsid w:val="00FA1039"/>
    <w:rsid w:val="00FA137B"/>
    <w:rsid w:val="00FA37A8"/>
    <w:rsid w:val="00FA5AD9"/>
    <w:rsid w:val="00FA64BA"/>
    <w:rsid w:val="00FB1516"/>
    <w:rsid w:val="00FB24D4"/>
    <w:rsid w:val="00FB48B9"/>
    <w:rsid w:val="00FC11E0"/>
    <w:rsid w:val="00FD21CA"/>
    <w:rsid w:val="00FE2A0E"/>
    <w:rsid w:val="00FE638A"/>
    <w:rsid w:val="00FF18FE"/>
    <w:rsid w:val="00FF450D"/>
    <w:rsid w:val="00FF5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8BC2E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4C550D"/>
    <w:pPr>
      <w:spacing w:before="120" w:line="360" w:lineRule="auto"/>
    </w:pPr>
    <w:rPr>
      <w:rFonts w:ascii="Arial" w:hAnsi="Arial" w:cs="Arial"/>
      <w:sz w:val="22"/>
      <w:szCs w:val="24"/>
      <w:lang w:eastAsia="en-US"/>
    </w:rPr>
  </w:style>
  <w:style w:type="paragraph" w:styleId="Heading1">
    <w:name w:val="heading 1"/>
    <w:next w:val="Normal"/>
    <w:link w:val="Heading1Char"/>
    <w:autoRedefine/>
    <w:uiPriority w:val="9"/>
    <w:qFormat/>
    <w:rsid w:val="00AB7A7E"/>
    <w:pPr>
      <w:keepNext/>
      <w:keepLines/>
      <w:spacing w:line="360" w:lineRule="auto"/>
      <w:outlineLvl w:val="0"/>
    </w:pPr>
    <w:rPr>
      <w:rFonts w:ascii="Arial" w:hAnsi="Arial" w:cs="Arial"/>
      <w:color w:val="41273B"/>
      <w:sz w:val="44"/>
      <w:szCs w:val="26"/>
      <w:lang w:eastAsia="en-US"/>
    </w:rPr>
  </w:style>
  <w:style w:type="paragraph" w:styleId="Heading2">
    <w:name w:val="heading 2"/>
    <w:basedOn w:val="Heading1"/>
    <w:next w:val="Normal"/>
    <w:link w:val="Heading2Char"/>
    <w:autoRedefine/>
    <w:uiPriority w:val="9"/>
    <w:qFormat/>
    <w:rsid w:val="0061347A"/>
    <w:pPr>
      <w:numPr>
        <w:ilvl w:val="1"/>
      </w:numPr>
      <w:spacing w:before="480"/>
      <w:outlineLvl w:val="1"/>
    </w:pPr>
    <w:rPr>
      <w:rFonts w:ascii="Helvetica" w:hAnsi="Helvetica"/>
      <w:sz w:val="40"/>
      <w:szCs w:val="24"/>
    </w:rPr>
  </w:style>
  <w:style w:type="paragraph" w:styleId="Heading3">
    <w:name w:val="heading 3"/>
    <w:basedOn w:val="Heading2"/>
    <w:next w:val="Normal"/>
    <w:link w:val="Heading3Char"/>
    <w:autoRedefine/>
    <w:uiPriority w:val="9"/>
    <w:qFormat/>
    <w:rsid w:val="00804E7D"/>
    <w:pPr>
      <w:numPr>
        <w:ilvl w:val="2"/>
      </w:numPr>
      <w:spacing w:before="240" w:after="120"/>
      <w:outlineLvl w:val="2"/>
    </w:pPr>
    <w:rPr>
      <w:sz w:val="28"/>
      <w:szCs w:val="20"/>
    </w:rPr>
  </w:style>
  <w:style w:type="paragraph" w:styleId="Heading4">
    <w:name w:val="heading 4"/>
    <w:basedOn w:val="Heading3"/>
    <w:next w:val="Normal"/>
    <w:link w:val="Heading4Char"/>
    <w:uiPriority w:val="9"/>
    <w:qFormat/>
    <w:rsid w:val="005117BB"/>
    <w:pPr>
      <w:numPr>
        <w:ilvl w:val="0"/>
      </w:numPr>
      <w:outlineLvl w:val="3"/>
    </w:pPr>
    <w:rPr>
      <w:sz w:val="24"/>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B7A7E"/>
    <w:rPr>
      <w:rFonts w:ascii="Arial" w:hAnsi="Arial" w:cs="Arial"/>
      <w:color w:val="41273B"/>
      <w:sz w:val="44"/>
      <w:szCs w:val="26"/>
      <w:lang w:eastAsia="en-US"/>
    </w:rPr>
  </w:style>
  <w:style w:type="character" w:customStyle="1" w:styleId="Heading2Char">
    <w:name w:val="Heading 2 Char"/>
    <w:basedOn w:val="DefaultParagraphFont"/>
    <w:link w:val="Heading2"/>
    <w:uiPriority w:val="9"/>
    <w:locked/>
    <w:rsid w:val="0061347A"/>
    <w:rPr>
      <w:rFonts w:ascii="Helvetica" w:hAnsi="Helvetica" w:cs="Arial"/>
      <w:color w:val="41273B"/>
      <w:sz w:val="40"/>
      <w:szCs w:val="24"/>
      <w:lang w:eastAsia="en-US"/>
    </w:rPr>
  </w:style>
  <w:style w:type="character" w:customStyle="1" w:styleId="Heading3Char">
    <w:name w:val="Heading 3 Char"/>
    <w:basedOn w:val="DefaultParagraphFont"/>
    <w:link w:val="Heading3"/>
    <w:uiPriority w:val="9"/>
    <w:locked/>
    <w:rsid w:val="00804E7D"/>
    <w:rPr>
      <w:rFonts w:ascii="Helvetica" w:hAnsi="Helvetica" w:cs="Arial"/>
      <w:color w:val="41273B"/>
      <w:sz w:val="28"/>
      <w:lang w:eastAsia="en-US"/>
    </w:rPr>
  </w:style>
  <w:style w:type="character" w:customStyle="1" w:styleId="Heading4Char">
    <w:name w:val="Heading 4 Char"/>
    <w:basedOn w:val="DefaultParagraphFont"/>
    <w:link w:val="Heading4"/>
    <w:uiPriority w:val="9"/>
    <w:locked/>
    <w:rsid w:val="005117BB"/>
    <w:rPr>
      <w:rFonts w:ascii="Helvetica" w:hAnsi="Helvetica" w:cs="Arial"/>
      <w:color w:val="0194A6"/>
      <w:sz w:val="24"/>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5117BB"/>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5117BB"/>
    <w:pPr>
      <w:tabs>
        <w:tab w:val="left" w:pos="1560"/>
        <w:tab w:val="right" w:leader="dot" w:pos="8789"/>
      </w:tabs>
      <w:ind w:left="851" w:right="814"/>
    </w:pPr>
    <w:rPr>
      <w:spacing w:val="-4"/>
    </w:rPr>
  </w:style>
  <w:style w:type="paragraph" w:styleId="TOC2">
    <w:name w:val="toc 2"/>
    <w:basedOn w:val="Normal"/>
    <w:autoRedefine/>
    <w:uiPriority w:val="39"/>
    <w:rsid w:val="005117BB"/>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5117BB"/>
    <w:pPr>
      <w:tabs>
        <w:tab w:val="center" w:pos="4153"/>
        <w:tab w:val="right" w:pos="8306"/>
      </w:tabs>
    </w:pPr>
    <w:rPr>
      <w:sz w:val="18"/>
    </w:rPr>
  </w:style>
  <w:style w:type="character" w:customStyle="1" w:styleId="FooterChar">
    <w:name w:val="Footer Char"/>
    <w:basedOn w:val="DefaultParagraphFont"/>
    <w:link w:val="Footer"/>
    <w:uiPriority w:val="99"/>
    <w:locked/>
    <w:rsid w:val="005117BB"/>
    <w:rPr>
      <w:rFonts w:ascii="Arial" w:hAnsi="Arial" w:cs="Arial"/>
      <w:sz w:val="18"/>
      <w:szCs w:val="24"/>
      <w:lang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5117BB"/>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5117BB"/>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5117BB"/>
    <w:rPr>
      <w:rFonts w:ascii="Arial" w:hAnsi="Arial" w:cs="Arial"/>
      <w:sz w:val="22"/>
      <w:szCs w:val="24"/>
      <w:lang w:eastAsia="en-US"/>
    </w:rPr>
  </w:style>
  <w:style w:type="paragraph" w:customStyle="1" w:styleId="CoverReportTitle">
    <w:name w:val="Cover Report Title"/>
    <w:autoRedefine/>
    <w:qFormat/>
    <w:rsid w:val="00411988"/>
    <w:pPr>
      <w:spacing w:before="4440" w:after="2400" w:line="480" w:lineRule="auto"/>
    </w:pPr>
    <w:rPr>
      <w:rFonts w:ascii="Helvetica" w:eastAsiaTheme="minorHAnsi" w:hAnsi="Helvetica"/>
      <w:color w:val="41273B"/>
      <w:sz w:val="60"/>
      <w:szCs w:val="22"/>
      <w:lang w:eastAsia="en-US"/>
    </w:rPr>
  </w:style>
  <w:style w:type="paragraph" w:customStyle="1" w:styleId="CoverReportSubTitle">
    <w:name w:val="Cover Report Sub Title"/>
    <w:basedOn w:val="CoverReportTitle"/>
    <w:next w:val="Normal"/>
    <w:autoRedefine/>
    <w:qFormat/>
    <w:rsid w:val="005117BB"/>
    <w:pPr>
      <w:spacing w:before="113" w:after="57" w:line="400" w:lineRule="exact"/>
    </w:pPr>
    <w:rPr>
      <w:color w:val="auto"/>
      <w:sz w:val="36"/>
    </w:rPr>
  </w:style>
  <w:style w:type="paragraph" w:customStyle="1" w:styleId="Bullet">
    <w:name w:val="Bullet"/>
    <w:basedOn w:val="Normal"/>
    <w:autoRedefine/>
    <w:qFormat/>
    <w:rsid w:val="005A3957"/>
    <w:pPr>
      <w:numPr>
        <w:numId w:val="6"/>
      </w:numPr>
      <w:spacing w:before="0" w:after="120"/>
      <w:ind w:left="357" w:hanging="357"/>
    </w:pPr>
    <w:rPr>
      <w:rFonts w:eastAsiaTheme="minorHAnsi" w:cs="Times New Roman"/>
      <w:szCs w:val="22"/>
    </w:rPr>
  </w:style>
  <w:style w:type="paragraph" w:customStyle="1" w:styleId="Calloutbox">
    <w:name w:val="Callout box"/>
    <w:basedOn w:val="Normal"/>
    <w:next w:val="Normal"/>
    <w:link w:val="CalloutboxChar"/>
    <w:autoRedefine/>
    <w:qFormat/>
    <w:rsid w:val="00FF55AE"/>
    <w:pPr>
      <w:pBdr>
        <w:top w:val="single" w:sz="48" w:space="3" w:color="41273B"/>
        <w:left w:val="single" w:sz="48" w:space="8" w:color="41273B"/>
        <w:bottom w:val="single" w:sz="48" w:space="6" w:color="41273B"/>
        <w:right w:val="single" w:sz="48" w:space="8" w:color="41273B"/>
      </w:pBdr>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uiPriority w:val="22"/>
    <w:qForma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FF55AE"/>
    <w:rPr>
      <w:rFonts w:ascii="Arial" w:eastAsiaTheme="minorHAnsi" w:hAnsi="Arial"/>
      <w:sz w:val="22"/>
      <w:szCs w:val="22"/>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5117BB"/>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contextualSpacing/>
      <w:jc w:val="center"/>
      <w:textboxTightWrap w:val="allLines"/>
    </w:pPr>
    <w:rPr>
      <w:rFonts w:eastAsiaTheme="minorHAnsi" w:cs="Times New Roman"/>
      <w:color w:val="10C9DE"/>
      <w:spacing w:val="-10"/>
      <w:sz w:val="56"/>
      <w:szCs w:val="22"/>
    </w:rPr>
  </w:style>
  <w:style w:type="paragraph" w:customStyle="1" w:styleId="StyleCentered">
    <w:name w:val="Style Centered"/>
    <w:basedOn w:val="Normal"/>
    <w:rsid w:val="005117BB"/>
    <w:pPr>
      <w:jc w:val="center"/>
    </w:pPr>
    <w:rPr>
      <w:rFonts w:cs="Times New Roman"/>
      <w:szCs w:val="20"/>
    </w:rPr>
  </w:style>
  <w:style w:type="paragraph" w:customStyle="1" w:styleId="CalloutItalic">
    <w:name w:val="Callout Italic"/>
    <w:basedOn w:val="CalloutBoxHeading"/>
    <w:link w:val="CalloutItalicChar"/>
    <w:qFormat/>
    <w:rsid w:val="000A2527"/>
    <w:rPr>
      <w:b w:val="0"/>
      <w:i/>
      <w:color w:val="000000" w:themeColor="text1"/>
    </w:rPr>
  </w:style>
  <w:style w:type="paragraph" w:customStyle="1" w:styleId="CalloutBullet">
    <w:name w:val="Callout Bullet"/>
    <w:basedOn w:val="Calloutbox"/>
    <w:link w:val="CalloutBulletChar"/>
    <w:qFormat/>
    <w:rsid w:val="00FF55AE"/>
    <w:pPr>
      <w:numPr>
        <w:numId w:val="7"/>
      </w:numPr>
      <w:ind w:left="567" w:hanging="283"/>
    </w:pPr>
  </w:style>
  <w:style w:type="character" w:customStyle="1" w:styleId="CalloutItalicChar">
    <w:name w:val="Callout Italic Char"/>
    <w:basedOn w:val="CalloutBoxHeadingChar"/>
    <w:link w:val="CalloutItalic"/>
    <w:rsid w:val="000A2527"/>
    <w:rPr>
      <w:rFonts w:ascii="Arial" w:eastAsiaTheme="minorHAnsi" w:hAnsi="Arial"/>
      <w:b w:val="0"/>
      <w:i/>
      <w:color w:val="000000" w:themeColor="text1"/>
      <w:sz w:val="24"/>
      <w:szCs w:val="22"/>
      <w:shd w:val="clear" w:color="auto" w:fill="DDDDDD"/>
      <w:lang w:eastAsia="en-US"/>
    </w:rPr>
  </w:style>
  <w:style w:type="character" w:customStyle="1" w:styleId="CalloutBulletChar">
    <w:name w:val="Callout Bullet Char"/>
    <w:basedOn w:val="DefaultParagraphFont"/>
    <w:link w:val="CalloutBullet"/>
    <w:rsid w:val="00FF55AE"/>
    <w:rPr>
      <w:rFonts w:ascii="Arial" w:eastAsiaTheme="minorHAnsi" w:hAnsi="Arial"/>
      <w:sz w:val="22"/>
      <w:szCs w:val="22"/>
      <w:lang w:eastAsia="en-US"/>
    </w:rPr>
  </w:style>
  <w:style w:type="character" w:styleId="FollowedHyperlink">
    <w:name w:val="FollowedHyperlink"/>
    <w:basedOn w:val="DefaultParagraphFont"/>
    <w:semiHidden/>
    <w:unhideWhenUsed/>
    <w:rsid w:val="006921A0"/>
    <w:rPr>
      <w:color w:val="800080" w:themeColor="followedHyperlink"/>
      <w:u w:val="single"/>
    </w:rPr>
  </w:style>
  <w:style w:type="paragraph" w:customStyle="1" w:styleId="Default">
    <w:name w:val="Default"/>
    <w:rsid w:val="006921A0"/>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6921A0"/>
    <w:rPr>
      <w:rFonts w:ascii="Arial" w:hAnsi="Arial" w:cs="Arial"/>
      <w:sz w:val="22"/>
      <w:szCs w:val="24"/>
      <w:lang w:eastAsia="en-US"/>
    </w:rPr>
  </w:style>
  <w:style w:type="paragraph" w:styleId="NormalWeb">
    <w:name w:val="Normal (Web)"/>
    <w:basedOn w:val="Normal"/>
    <w:uiPriority w:val="99"/>
    <w:semiHidden/>
    <w:unhideWhenUsed/>
    <w:rsid w:val="006921A0"/>
    <w:pPr>
      <w:spacing w:before="100" w:beforeAutospacing="1" w:after="100" w:afterAutospacing="1" w:line="240" w:lineRule="auto"/>
    </w:pPr>
    <w:rPr>
      <w:rFonts w:ascii="Times New Roman" w:hAnsi="Times New Roman" w:cs="Times New Roman"/>
      <w:sz w:val="24"/>
      <w:lang w:eastAsia="en-AU"/>
    </w:rPr>
  </w:style>
  <w:style w:type="paragraph" w:customStyle="1" w:styleId="Footnotes">
    <w:name w:val="Footnotes"/>
    <w:basedOn w:val="FootnoteText"/>
    <w:qFormat/>
    <w:rsid w:val="008031DF"/>
    <w:pPr>
      <w:spacing w:before="0" w:line="240" w:lineRule="auto"/>
    </w:pPr>
    <w:rPr>
      <w:rFonts w:eastAsiaTheme="minorHAns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01737">
      <w:bodyDiv w:val="1"/>
      <w:marLeft w:val="0"/>
      <w:marRight w:val="0"/>
      <w:marTop w:val="0"/>
      <w:marBottom w:val="0"/>
      <w:divBdr>
        <w:top w:val="none" w:sz="0" w:space="0" w:color="auto"/>
        <w:left w:val="none" w:sz="0" w:space="0" w:color="auto"/>
        <w:bottom w:val="none" w:sz="0" w:space="0" w:color="auto"/>
        <w:right w:val="none" w:sz="0" w:space="0" w:color="auto"/>
      </w:divBdr>
    </w:div>
    <w:div w:id="1286428960">
      <w:bodyDiv w:val="1"/>
      <w:marLeft w:val="0"/>
      <w:marRight w:val="0"/>
      <w:marTop w:val="0"/>
      <w:marBottom w:val="0"/>
      <w:divBdr>
        <w:top w:val="none" w:sz="0" w:space="0" w:color="auto"/>
        <w:left w:val="none" w:sz="0" w:space="0" w:color="auto"/>
        <w:bottom w:val="none" w:sz="0" w:space="0" w:color="auto"/>
        <w:right w:val="none" w:sz="0" w:space="0" w:color="auto"/>
      </w:divBdr>
    </w:div>
    <w:div w:id="1491939963">
      <w:bodyDiv w:val="1"/>
      <w:marLeft w:val="0"/>
      <w:marRight w:val="0"/>
      <w:marTop w:val="0"/>
      <w:marBottom w:val="0"/>
      <w:divBdr>
        <w:top w:val="none" w:sz="0" w:space="0" w:color="auto"/>
        <w:left w:val="none" w:sz="0" w:space="0" w:color="auto"/>
        <w:bottom w:val="none" w:sz="0" w:space="0" w:color="auto"/>
        <w:right w:val="none" w:sz="0" w:space="0" w:color="auto"/>
      </w:divBdr>
    </w:div>
    <w:div w:id="18351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W0748/AppData/Local/Microsoft/Windows/Temporary%20Internet%20Files/Content.Outlook/RSB4E09Q/media@fwo.gov.au"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fairwork.gov.au/ArticleDocuments/762/baiada-proactive-compliance-deed.pdf.aspx"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fairwork.gov.au/reports/baiada-group-interim-report/appendi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even.ronson@fwo.gov.au" TargetMode="External"/><Relationship Id="rId14" Type="http://schemas.openxmlformats.org/officeDocument/2006/relationships/image" Target="media/image4.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mobile.twitter.com/fairwork_gov_au/status/672544595297767424" TargetMode="External"/><Relationship Id="rId13" Type="http://schemas.openxmlformats.org/officeDocument/2006/relationships/hyperlink" Target="https://www.afr.com/business/agriculture/baiada-cleaning-up-act-after-wages-scandal-20161127-gsydyq" TargetMode="External"/><Relationship Id="rId3" Type="http://schemas.openxmlformats.org/officeDocument/2006/relationships/hyperlink" Target="https://www.fairwork.gov.au/about-us/access-accountability-and-reporting/inquiry-reports" TargetMode="External"/><Relationship Id="rId7" Type="http://schemas.openxmlformats.org/officeDocument/2006/relationships/hyperlink" Target="https://www.fairwork.gov.au/about-us/news-and-media-releases/2015-media-releases/december-" TargetMode="External"/><Relationship Id="rId12" Type="http://schemas.openxmlformats.org/officeDocument/2006/relationships/hyperlink" Target="https://www.fairwork.gov.au/how-we-will-help/how-we-help-you/anonymous-tipoff" TargetMode="External"/><Relationship Id="rId2" Type="http://schemas.openxmlformats.org/officeDocument/2006/relationships/hyperlink" Target="https://www.baiada.com.au/our-expertise/poultry/operations" TargetMode="External"/><Relationship Id="rId1" Type="http://schemas.openxmlformats.org/officeDocument/2006/relationships/hyperlink" Target="https://www.fairwork.gov.au/ArticleDocuments/762/baiada-proactive-compliance-deed.pdf.aspx" TargetMode="External"/><Relationship Id="rId6" Type="http://schemas.openxmlformats.org/officeDocument/2006/relationships/hyperlink" Target="https://www.fairwork.gov.au/about-us/news-and-media-releases/2016-media-releases/november-2016/20161128-baiada-media-release" TargetMode="External"/><Relationship Id="rId11" Type="http://schemas.openxmlformats.org/officeDocument/2006/relationships/hyperlink" Target="https://www.fairwork.gov.au/about-us/news-and-media-releases/2016-media-releases/november-2016/20161128-baiada-media-release" TargetMode="External"/><Relationship Id="rId5" Type="http://schemas.openxmlformats.org/officeDocument/2006/relationships/hyperlink" Target="https://www.fairwork.gov.au/about-us/news-and-media-releases/2015-media-releases/october-2015/20151026-baiada-media-release" TargetMode="External"/><Relationship Id="rId10" Type="http://schemas.openxmlformats.org/officeDocument/2006/relationships/hyperlink" Target="https://www.fairwork.gov.au/about-us/news-and-media-releases/2016-media-releases/november-2016/20161128-baiada-media-release" TargetMode="External"/><Relationship Id="rId4" Type="http://schemas.openxmlformats.org/officeDocument/2006/relationships/hyperlink" Target="https://www.fairwork.gov.au/about-us/access-accountability-and-reporting/inquiry-reports" TargetMode="External"/><Relationship Id="rId9" Type="http://schemas.openxmlformats.org/officeDocument/2006/relationships/hyperlink" Target="https://www.fairwork.gov.au/about-us/news-and-media-releases/2016-media-releases/november-2016/20161128-baiada-media-relea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9DE46761.dotm</Template>
  <TotalTime>0</TotalTime>
  <Pages>24</Pages>
  <Words>4087</Words>
  <Characters>23947</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Baiada Group Proactive Compliance Deed Report</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Baiada Group Proactive Compliance Deed Report</dc:title>
  <dc:creator/>
  <cp:keywords>Baiada Group Proactive Compliance Deed Report</cp:keywords>
  <cp:lastModifiedBy/>
  <cp:revision>1</cp:revision>
  <dcterms:created xsi:type="dcterms:W3CDTF">2018-12-19T03:25:00Z</dcterms:created>
  <dcterms:modified xsi:type="dcterms:W3CDTF">2018-12-19T03:34:00Z</dcterms:modified>
</cp:coreProperties>
</file>