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BEC1C" w14:textId="77777777" w:rsidR="00AF74D9" w:rsidRPr="009C4EEF" w:rsidRDefault="0038650F" w:rsidP="0079462D">
      <w:pPr>
        <w:pStyle w:val="Heading1"/>
      </w:pPr>
      <w:r>
        <w:t>7-Eleven compliance partnership</w:t>
      </w:r>
    </w:p>
    <w:p w14:paraId="0C9DEDDA" w14:textId="090F2E17" w:rsidR="005D1BC1" w:rsidRDefault="00714AAC" w:rsidP="005D1BC1">
      <w:pPr>
        <w:rPr>
          <w:szCs w:val="22"/>
        </w:rPr>
      </w:pPr>
      <w:r w:rsidRPr="00FD6BC9">
        <w:t xml:space="preserve">7-Eleven Stores Pty Ltd [ACN 005 299 427] </w:t>
      </w:r>
      <w:r>
        <w:t xml:space="preserve">(7-Eleven) </w:t>
      </w:r>
      <w:r w:rsidR="0038650F">
        <w:t xml:space="preserve">is </w:t>
      </w:r>
      <w:r w:rsidR="0038650F" w:rsidRPr="00FD6BC9">
        <w:t>one of Australia’s la</w:t>
      </w:r>
      <w:r>
        <w:t xml:space="preserve">rgest private companies and the </w:t>
      </w:r>
      <w:r w:rsidR="0038650F" w:rsidRPr="00FD6BC9">
        <w:t xml:space="preserve">franchisor of the 7-Eleven network of convenience </w:t>
      </w:r>
      <w:r w:rsidR="0038650F">
        <w:t xml:space="preserve">and fuel </w:t>
      </w:r>
      <w:r w:rsidR="0038650F" w:rsidRPr="00FD6BC9">
        <w:t>stores</w:t>
      </w:r>
      <w:r>
        <w:t xml:space="preserve"> in Australia</w:t>
      </w:r>
      <w:r w:rsidR="0038650F">
        <w:t>.</w:t>
      </w:r>
      <w:r w:rsidR="005D1BC1">
        <w:t xml:space="preserve"> </w:t>
      </w:r>
      <w:r w:rsidR="005D1BC1">
        <w:rPr>
          <w:szCs w:val="22"/>
        </w:rPr>
        <w:t xml:space="preserve">It has more than 700 stores </w:t>
      </w:r>
      <w:r w:rsidR="005D1BC1" w:rsidRPr="00DE6ADA">
        <w:rPr>
          <w:szCs w:val="22"/>
        </w:rPr>
        <w:t>across Victoria, N</w:t>
      </w:r>
      <w:r w:rsidR="0062168C">
        <w:rPr>
          <w:szCs w:val="22"/>
        </w:rPr>
        <w:t xml:space="preserve">ew </w:t>
      </w:r>
      <w:r w:rsidR="005D1BC1" w:rsidRPr="00DE6ADA">
        <w:rPr>
          <w:szCs w:val="22"/>
        </w:rPr>
        <w:t>S</w:t>
      </w:r>
      <w:r w:rsidR="0062168C">
        <w:rPr>
          <w:szCs w:val="22"/>
        </w:rPr>
        <w:t xml:space="preserve">outh </w:t>
      </w:r>
      <w:r w:rsidR="005D1BC1" w:rsidRPr="00DE6ADA">
        <w:rPr>
          <w:szCs w:val="22"/>
        </w:rPr>
        <w:t>W</w:t>
      </w:r>
      <w:r w:rsidR="0062168C">
        <w:rPr>
          <w:szCs w:val="22"/>
        </w:rPr>
        <w:t>ales</w:t>
      </w:r>
      <w:r w:rsidR="005D1BC1" w:rsidRPr="00DE6ADA">
        <w:rPr>
          <w:szCs w:val="22"/>
        </w:rPr>
        <w:t xml:space="preserve">, </w:t>
      </w:r>
      <w:r w:rsidR="0062168C">
        <w:rPr>
          <w:szCs w:val="22"/>
        </w:rPr>
        <w:t xml:space="preserve">the </w:t>
      </w:r>
      <w:r w:rsidR="005D1BC1" w:rsidRPr="00DE6ADA">
        <w:rPr>
          <w:szCs w:val="22"/>
        </w:rPr>
        <w:t>ACT, Q</w:t>
      </w:r>
      <w:r w:rsidR="0062168C">
        <w:rPr>
          <w:szCs w:val="22"/>
        </w:rPr>
        <w:t xml:space="preserve">ueensland </w:t>
      </w:r>
      <w:r w:rsidR="005D1BC1" w:rsidRPr="00DE6ADA">
        <w:rPr>
          <w:szCs w:val="22"/>
        </w:rPr>
        <w:t>and Western Australia</w:t>
      </w:r>
      <w:r w:rsidR="005D1BC1">
        <w:rPr>
          <w:szCs w:val="22"/>
        </w:rPr>
        <w:t xml:space="preserve">, </w:t>
      </w:r>
      <w:r w:rsidR="00E501FD">
        <w:rPr>
          <w:szCs w:val="22"/>
        </w:rPr>
        <w:t xml:space="preserve">including </w:t>
      </w:r>
      <w:r w:rsidR="001A27FB">
        <w:rPr>
          <w:szCs w:val="22"/>
        </w:rPr>
        <w:t xml:space="preserve">those operated by over </w:t>
      </w:r>
      <w:r w:rsidR="00CF4D36">
        <w:rPr>
          <w:szCs w:val="22"/>
        </w:rPr>
        <w:t>530</w:t>
      </w:r>
      <w:r w:rsidR="005D1BC1">
        <w:rPr>
          <w:szCs w:val="22"/>
        </w:rPr>
        <w:t xml:space="preserve"> franchisees.</w:t>
      </w:r>
      <w:r w:rsidR="005D1BC1">
        <w:rPr>
          <w:rStyle w:val="FootnoteReference"/>
          <w:szCs w:val="22"/>
        </w:rPr>
        <w:footnoteReference w:id="2"/>
      </w:r>
    </w:p>
    <w:p w14:paraId="0EB9CCD1" w14:textId="39EF973D" w:rsidR="009E29E9" w:rsidRDefault="00714AAC" w:rsidP="00714AAC">
      <w:r>
        <w:t>T</w:t>
      </w:r>
      <w:r w:rsidR="0038650F" w:rsidRPr="00727F8A">
        <w:t>he</w:t>
      </w:r>
      <w:r w:rsidR="0038650F">
        <w:t xml:space="preserve"> Fair Work Ombudsman</w:t>
      </w:r>
      <w:r w:rsidR="0038650F" w:rsidRPr="00727F8A">
        <w:t xml:space="preserve"> </w:t>
      </w:r>
      <w:r>
        <w:t>(</w:t>
      </w:r>
      <w:r w:rsidR="0038650F" w:rsidRPr="00727F8A">
        <w:t>FWO</w:t>
      </w:r>
      <w:r>
        <w:t>)</w:t>
      </w:r>
      <w:r w:rsidR="0038650F" w:rsidRPr="00727F8A">
        <w:t xml:space="preserve"> </w:t>
      </w:r>
      <w:r>
        <w:t xml:space="preserve">published its inquiry </w:t>
      </w:r>
      <w:r w:rsidR="0038650F" w:rsidRPr="00727F8A">
        <w:t>report</w:t>
      </w:r>
      <w:r>
        <w:t xml:space="preserve">, </w:t>
      </w:r>
      <w:r w:rsidR="0038650F" w:rsidRPr="00727F8A">
        <w:rPr>
          <w:i/>
        </w:rPr>
        <w:t>Identifying and addressing the drivers of non-compliance in the 7-Eleven network</w:t>
      </w:r>
      <w:r w:rsidR="0038650F" w:rsidRPr="00727F8A">
        <w:t xml:space="preserve"> </w:t>
      </w:r>
      <w:r>
        <w:t>i</w:t>
      </w:r>
      <w:r w:rsidRPr="00727F8A">
        <w:t>n April 2016</w:t>
      </w:r>
      <w:r>
        <w:t>.</w:t>
      </w:r>
      <w:r w:rsidR="0038650F" w:rsidRPr="00727F8A">
        <w:rPr>
          <w:rFonts w:cs="Times New Roman"/>
          <w:vertAlign w:val="superscript"/>
        </w:rPr>
        <w:footnoteReference w:id="3"/>
      </w:r>
      <w:r>
        <w:t xml:space="preserve"> </w:t>
      </w:r>
      <w:r w:rsidR="007E16D5" w:rsidRPr="007E16D5">
        <w:t xml:space="preserve">The Inquiry found that </w:t>
      </w:r>
      <w:r w:rsidR="009E29E9" w:rsidRPr="009E29E9">
        <w:t xml:space="preserve">that a number of </w:t>
      </w:r>
      <w:r w:rsidR="007A6F39">
        <w:br/>
      </w:r>
      <w:r w:rsidR="00A20273">
        <w:t xml:space="preserve">7-Eleven </w:t>
      </w:r>
      <w:r w:rsidR="009E29E9" w:rsidRPr="009E29E9">
        <w:t xml:space="preserve">franchisees deliberately </w:t>
      </w:r>
      <w:r w:rsidR="00D57946" w:rsidRPr="009E29E9">
        <w:t>falsif</w:t>
      </w:r>
      <w:r w:rsidR="00D57946">
        <w:t>ied</w:t>
      </w:r>
      <w:r w:rsidR="00D57946" w:rsidRPr="009E29E9">
        <w:t xml:space="preserve"> </w:t>
      </w:r>
      <w:r w:rsidR="009E29E9" w:rsidRPr="009E29E9">
        <w:t xml:space="preserve">records to disguise the underpayment of wages and that </w:t>
      </w:r>
      <w:r w:rsidR="009F64F6">
        <w:br/>
      </w:r>
      <w:r w:rsidR="009E29E9" w:rsidRPr="009E29E9">
        <w:t>7-Eleven’s approach to workplace matters, while seemingly promoting compliance, didn’t adequately detect or address deliberate non-compliance.</w:t>
      </w:r>
      <w:r w:rsidR="007E16D5">
        <w:t xml:space="preserve"> </w:t>
      </w:r>
    </w:p>
    <w:p w14:paraId="21BA8B74" w14:textId="13F6F64F" w:rsidR="0038650F" w:rsidRDefault="0038650F" w:rsidP="00714AAC">
      <w:r>
        <w:t xml:space="preserve">A key recommendation </w:t>
      </w:r>
      <w:r w:rsidR="009E29E9">
        <w:t>following from the Inquiry</w:t>
      </w:r>
      <w:r>
        <w:t xml:space="preserve"> </w:t>
      </w:r>
      <w:r w:rsidR="00714AAC">
        <w:t xml:space="preserve">was that </w:t>
      </w:r>
      <w:r>
        <w:t xml:space="preserve">7-Eleven enter into a </w:t>
      </w:r>
      <w:r w:rsidR="00714AAC">
        <w:t xml:space="preserve">3-year </w:t>
      </w:r>
      <w:r>
        <w:t xml:space="preserve">compliance partnership with </w:t>
      </w:r>
      <w:r w:rsidR="00504C43">
        <w:t>the FWO</w:t>
      </w:r>
      <w:r w:rsidR="00714AAC">
        <w:t xml:space="preserve"> to </w:t>
      </w:r>
      <w:r>
        <w:t xml:space="preserve">rectify </w:t>
      </w:r>
      <w:r w:rsidR="00714AAC">
        <w:t xml:space="preserve">widespread non-compliance and significant </w:t>
      </w:r>
      <w:r>
        <w:t>underpayments</w:t>
      </w:r>
      <w:r w:rsidR="00714AAC">
        <w:t xml:space="preserve"> of wages and entitlements.</w:t>
      </w:r>
    </w:p>
    <w:p w14:paraId="5987B20E" w14:textId="4B6B9D9A" w:rsidR="00333004" w:rsidRDefault="0038650F" w:rsidP="00333004">
      <w:pPr>
        <w:rPr>
          <w:szCs w:val="22"/>
          <w:lang w:val="en-US"/>
        </w:rPr>
      </w:pPr>
      <w:r w:rsidRPr="009A381E">
        <w:t>On 6 December 2016, 7-Eleven signed a Proactive Compliance Deed (</w:t>
      </w:r>
      <w:r w:rsidR="00714AAC" w:rsidRPr="00714AAC">
        <w:t>PCD</w:t>
      </w:r>
      <w:r w:rsidRPr="00714AAC">
        <w:t>)</w:t>
      </w:r>
      <w:r w:rsidR="00714AAC">
        <w:t>, publicly acknowledging</w:t>
      </w:r>
      <w:r>
        <w:t xml:space="preserve"> </w:t>
      </w:r>
      <w:r w:rsidRPr="00D1133E">
        <w:t xml:space="preserve">its responsibility </w:t>
      </w:r>
      <w:r w:rsidR="00714AAC">
        <w:t>for addressing past non-compliance</w:t>
      </w:r>
      <w:r w:rsidR="00A7006D">
        <w:t xml:space="preserve"> by its franchisees</w:t>
      </w:r>
      <w:r w:rsidR="00714AAC">
        <w:t xml:space="preserve">, and its </w:t>
      </w:r>
      <w:r>
        <w:t xml:space="preserve">commitment </w:t>
      </w:r>
      <w:r w:rsidRPr="00D1133E">
        <w:t xml:space="preserve">to </w:t>
      </w:r>
      <w:r w:rsidR="00714AAC">
        <w:t xml:space="preserve">future </w:t>
      </w:r>
      <w:r w:rsidRPr="00D1133E">
        <w:t xml:space="preserve">compliance </w:t>
      </w:r>
      <w:r w:rsidR="00714AAC">
        <w:t>with workplace laws across its franchise network.</w:t>
      </w:r>
      <w:r>
        <w:rPr>
          <w:rStyle w:val="FootnoteReference"/>
        </w:rPr>
        <w:footnoteReference w:id="4"/>
      </w:r>
      <w:r w:rsidR="007E16D5" w:rsidRPr="007E16D5">
        <w:t xml:space="preserve"> </w:t>
      </w:r>
      <w:r w:rsidR="00333004">
        <w:t xml:space="preserve">This compliance partnership has </w:t>
      </w:r>
      <w:r w:rsidR="00D654CA">
        <w:t>led to improvements in 7</w:t>
      </w:r>
      <w:r w:rsidR="0090062C">
        <w:t>-</w:t>
      </w:r>
      <w:r w:rsidR="00D654CA">
        <w:t>Eleven’s</w:t>
      </w:r>
      <w:r w:rsidR="00333004">
        <w:t xml:space="preserve"> wage compliance management and governance arrangements.</w:t>
      </w:r>
    </w:p>
    <w:p w14:paraId="45C6A77D" w14:textId="5FDD693F" w:rsidR="00333004" w:rsidRDefault="00D654CA" w:rsidP="00333004">
      <w:pPr>
        <w:rPr>
          <w:szCs w:val="22"/>
          <w:highlight w:val="yellow"/>
        </w:rPr>
      </w:pPr>
      <w:r>
        <w:t>To date, more than</w:t>
      </w:r>
      <w:r w:rsidR="00333004">
        <w:t xml:space="preserve"> $170 million </w:t>
      </w:r>
      <w:r>
        <w:t>has been</w:t>
      </w:r>
      <w:r w:rsidR="00333004">
        <w:t xml:space="preserve"> repaid to current and former employees</w:t>
      </w:r>
      <w:r w:rsidR="00A7006D">
        <w:t xml:space="preserve"> of 7</w:t>
      </w:r>
      <w:r w:rsidR="007E1836">
        <w:t>-</w:t>
      </w:r>
      <w:r w:rsidR="00A7006D">
        <w:t>Eleven franchisees</w:t>
      </w:r>
      <w:r w:rsidR="00333004">
        <w:t>.</w:t>
      </w:r>
    </w:p>
    <w:p w14:paraId="2DF05E71" w14:textId="61EFA359" w:rsidR="00730BA6" w:rsidRDefault="00333004" w:rsidP="00333004">
      <w:r w:rsidRPr="00333004">
        <w:t xml:space="preserve">At the time of this report, the FWO has brought 11 litigations against 7-Eleven </w:t>
      </w:r>
      <w:r w:rsidR="00356139">
        <w:t>franchisees</w:t>
      </w:r>
      <w:r w:rsidRPr="00333004">
        <w:t xml:space="preserve">, resulting in courts awarding </w:t>
      </w:r>
      <w:r w:rsidR="000647E7">
        <w:t>more than</w:t>
      </w:r>
      <w:r w:rsidRPr="00333004">
        <w:t xml:space="preserve"> $1.</w:t>
      </w:r>
      <w:r w:rsidR="00AD66F6">
        <w:t>8</w:t>
      </w:r>
      <w:r w:rsidRPr="00333004">
        <w:t xml:space="preserve"> million in penalties </w:t>
      </w:r>
      <w:r w:rsidR="00730BA6">
        <w:t xml:space="preserve">for various contraventions of the </w:t>
      </w:r>
      <w:r w:rsidR="00730BA6" w:rsidRPr="00B83AC4">
        <w:rPr>
          <w:i/>
          <w:iCs/>
        </w:rPr>
        <w:t>Fair Work Act</w:t>
      </w:r>
      <w:r w:rsidR="00B83AC4" w:rsidRPr="00B83AC4">
        <w:rPr>
          <w:i/>
          <w:iCs/>
        </w:rPr>
        <w:t xml:space="preserve"> 2009</w:t>
      </w:r>
      <w:r w:rsidR="00730BA6">
        <w:t xml:space="preserve">, including operating </w:t>
      </w:r>
      <w:r w:rsidR="00730BA6" w:rsidRPr="00730BA6">
        <w:t>unlawful cashback scheme</w:t>
      </w:r>
      <w:r w:rsidR="00730BA6">
        <w:t>s, paying unlawful flat rates to workers, and fals</w:t>
      </w:r>
      <w:r w:rsidR="00A20273">
        <w:t>ifying records.</w:t>
      </w:r>
      <w:r w:rsidR="00730BA6">
        <w:t xml:space="preserve"> </w:t>
      </w:r>
    </w:p>
    <w:p w14:paraId="71144F88" w14:textId="1AFE6EE1" w:rsidR="009330F3" w:rsidRDefault="00333004" w:rsidP="00333004">
      <w:pPr>
        <w:rPr>
          <w:szCs w:val="22"/>
          <w:lang w:val="en-US"/>
        </w:rPr>
      </w:pPr>
      <w:r w:rsidRPr="00333004">
        <w:t>For details of these litigations, see Appendix A.</w:t>
      </w:r>
      <w:r w:rsidR="009330F3" w:rsidRPr="009330F3">
        <w:rPr>
          <w:szCs w:val="22"/>
          <w:lang w:val="en-US"/>
        </w:rPr>
        <w:t xml:space="preserve"> </w:t>
      </w:r>
    </w:p>
    <w:p w14:paraId="3DE48D04" w14:textId="4C2E361E" w:rsidR="00B53065" w:rsidRDefault="0079462D" w:rsidP="00333004">
      <w:bookmarkStart w:id="0" w:name="_Hlk54769997"/>
      <w:r>
        <w:lastRenderedPageBreak/>
        <w:t xml:space="preserve">Through this PCD, the FWO has worked constructively with 7-Eleven to improve the workplace culture and compliance with workplace laws in its franchise network. It is vital that 7-Eleven continues to invest in ensuring compliance with workplace laws across its Australian network. </w:t>
      </w:r>
    </w:p>
    <w:bookmarkEnd w:id="0"/>
    <w:p w14:paraId="2206A0F9" w14:textId="4A8B386D" w:rsidR="009330F3" w:rsidRDefault="0079462D" w:rsidP="00D57946">
      <w:pPr>
        <w:rPr>
          <w:b/>
          <w:color w:val="1B365D"/>
          <w:sz w:val="32"/>
        </w:rPr>
      </w:pPr>
      <w:r>
        <w:rPr>
          <w:szCs w:val="22"/>
          <w:lang w:val="en-US"/>
        </w:rPr>
        <w:t>Key outcomes against commitments under the PCD are detailed in this report.</w:t>
      </w:r>
    </w:p>
    <w:p w14:paraId="735A25F4" w14:textId="77777777" w:rsidR="0038650F" w:rsidRDefault="0038650F" w:rsidP="0079462D">
      <w:pPr>
        <w:pStyle w:val="Heading2"/>
      </w:pPr>
      <w:r>
        <w:t>Communication</w:t>
      </w:r>
    </w:p>
    <w:p w14:paraId="646EF601" w14:textId="1B36E935" w:rsidR="005D1BC1" w:rsidRDefault="005D1BC1" w:rsidP="005D1BC1">
      <w:r>
        <w:t xml:space="preserve">We issued a media </w:t>
      </w:r>
      <w:r w:rsidR="007C5894">
        <w:t xml:space="preserve">release </w:t>
      </w:r>
      <w:r>
        <w:t xml:space="preserve">announcing the compliance partnership </w:t>
      </w:r>
      <w:r w:rsidR="00594634">
        <w:t xml:space="preserve">between the FWO and 7-Eleven </w:t>
      </w:r>
      <w:r>
        <w:t>on 7 December 2016 and published the PCD on fairwork.gov.au</w:t>
      </w:r>
      <w:r>
        <w:rPr>
          <w:rStyle w:val="FootnoteReference"/>
          <w:szCs w:val="22"/>
        </w:rPr>
        <w:footnoteReference w:id="5"/>
      </w:r>
      <w:r w:rsidR="00504C43">
        <w:t>.</w:t>
      </w:r>
    </w:p>
    <w:p w14:paraId="0FE061A7" w14:textId="77777777" w:rsidR="0038650F" w:rsidRDefault="005D1BC1" w:rsidP="0038650F">
      <w:r>
        <w:t>7-Eleven</w:t>
      </w:r>
      <w:r w:rsidR="0038650F">
        <w:t xml:space="preserve"> met requirements t</w:t>
      </w:r>
      <w:r w:rsidR="007C5894">
        <w:t xml:space="preserve">o communicate </w:t>
      </w:r>
      <w:r w:rsidR="00BE2C8C">
        <w:t xml:space="preserve">about the compliance partnership to </w:t>
      </w:r>
      <w:r w:rsidR="007C5894">
        <w:t xml:space="preserve">franchisees, </w:t>
      </w:r>
      <w:r w:rsidR="0038650F">
        <w:t xml:space="preserve">staff </w:t>
      </w:r>
      <w:r w:rsidR="007C5894">
        <w:t xml:space="preserve">and the public </w:t>
      </w:r>
      <w:r w:rsidR="0038650F">
        <w:t xml:space="preserve">(as per Clause </w:t>
      </w:r>
      <w:r w:rsidR="0038650F" w:rsidRPr="007C5894">
        <w:t>3</w:t>
      </w:r>
      <w:r w:rsidR="0038650F">
        <w:t xml:space="preserve"> of the PCD), including:</w:t>
      </w:r>
    </w:p>
    <w:p w14:paraId="2E0EFC9D" w14:textId="1899A282" w:rsidR="007C5894" w:rsidRDefault="0090062C" w:rsidP="007C5894">
      <w:pPr>
        <w:pStyle w:val="Bullet"/>
      </w:pPr>
      <w:r>
        <w:t xml:space="preserve">releasing </w:t>
      </w:r>
      <w:r w:rsidR="005D1BC1">
        <w:t>a series of media statements</w:t>
      </w:r>
      <w:r w:rsidR="007C5894" w:rsidRPr="007C5894">
        <w:t xml:space="preserve"> </w:t>
      </w:r>
      <w:r w:rsidR="007C5894">
        <w:t>announcing the PCD and its compliance commitments</w:t>
      </w:r>
    </w:p>
    <w:p w14:paraId="0FFDEEAD" w14:textId="4F12379B" w:rsidR="007C5894" w:rsidRDefault="007C5894" w:rsidP="007C5894">
      <w:pPr>
        <w:pStyle w:val="Bullet"/>
      </w:pPr>
      <w:r>
        <w:t>publishing the PCD</w:t>
      </w:r>
      <w:r w:rsidR="005D1BC1">
        <w:t xml:space="preserve"> on the 7-Eleven website</w:t>
      </w:r>
      <w:r>
        <w:t xml:space="preserve"> </w:t>
      </w:r>
      <w:r w:rsidR="005D1BC1">
        <w:t xml:space="preserve">and the </w:t>
      </w:r>
      <w:r w:rsidR="00320205">
        <w:t>w</w:t>
      </w:r>
      <w:r w:rsidR="005D1BC1">
        <w:t xml:space="preserve">age </w:t>
      </w:r>
      <w:r w:rsidR="00320205">
        <w:t>r</w:t>
      </w:r>
      <w:r w:rsidR="005D1BC1">
        <w:t xml:space="preserve">epayment </w:t>
      </w:r>
      <w:r w:rsidR="00320205">
        <w:t>p</w:t>
      </w:r>
      <w:r w:rsidR="005D1BC1">
        <w:t>rogram website</w:t>
      </w:r>
    </w:p>
    <w:p w14:paraId="1BBA1BF2" w14:textId="77777777" w:rsidR="007C5894" w:rsidRDefault="007C5894" w:rsidP="007C5894">
      <w:pPr>
        <w:pStyle w:val="Bullet"/>
      </w:pPr>
      <w:r>
        <w:t xml:space="preserve">emailing </w:t>
      </w:r>
      <w:r w:rsidR="005D1BC1">
        <w:t>all franchisees and employees</w:t>
      </w:r>
    </w:p>
    <w:p w14:paraId="4DCED620" w14:textId="77777777" w:rsidR="007C5894" w:rsidRDefault="007C5894" w:rsidP="007C5894">
      <w:pPr>
        <w:pStyle w:val="Bullet"/>
      </w:pPr>
      <w:r>
        <w:t xml:space="preserve">publishing details </w:t>
      </w:r>
      <w:r w:rsidR="005D1BC1">
        <w:t xml:space="preserve">on </w:t>
      </w:r>
      <w:r>
        <w:t>the 7-Eleven</w:t>
      </w:r>
      <w:r w:rsidR="005D1BC1">
        <w:t xml:space="preserve"> intranet</w:t>
      </w:r>
    </w:p>
    <w:p w14:paraId="12F960D8" w14:textId="77777777" w:rsidR="007C5894" w:rsidRDefault="007C5894" w:rsidP="007C5894">
      <w:pPr>
        <w:pStyle w:val="Bullet"/>
      </w:pPr>
      <w:r>
        <w:t xml:space="preserve">social media content on </w:t>
      </w:r>
      <w:r w:rsidR="005D1BC1">
        <w:t xml:space="preserve">7-Eleven’s </w:t>
      </w:r>
      <w:r w:rsidR="005D1BC1" w:rsidRPr="007F5D38">
        <w:t>Facebook, LinkedIn and Twitter</w:t>
      </w:r>
      <w:r w:rsidR="005D1BC1">
        <w:t xml:space="preserve"> </w:t>
      </w:r>
      <w:r>
        <w:t>accounts</w:t>
      </w:r>
      <w:r w:rsidR="005D1BC1">
        <w:t>.</w:t>
      </w:r>
    </w:p>
    <w:p w14:paraId="0405026F" w14:textId="77777777" w:rsidR="007C5894" w:rsidRDefault="007C5894" w:rsidP="0079462D">
      <w:pPr>
        <w:pStyle w:val="Heading2"/>
      </w:pPr>
      <w:r>
        <w:t>Workplace relations training</w:t>
      </w:r>
    </w:p>
    <w:p w14:paraId="4F3B0622" w14:textId="6AF54FBC" w:rsidR="007C5894" w:rsidRPr="00D907C5" w:rsidRDefault="007C5894" w:rsidP="007C5894">
      <w:r>
        <w:t>7-Eleven</w:t>
      </w:r>
      <w:r w:rsidRPr="00611696">
        <w:t xml:space="preserve"> </w:t>
      </w:r>
      <w:r w:rsidR="00743DBC">
        <w:t xml:space="preserve">engaged human resources (HR) specialist, Hera Consulting Group (Hera) to </w:t>
      </w:r>
      <w:r w:rsidR="00743DBC" w:rsidRPr="00532BC2">
        <w:rPr>
          <w:lang w:eastAsia="en-AU"/>
        </w:rPr>
        <w:t xml:space="preserve">review </w:t>
      </w:r>
      <w:r w:rsidR="00743DBC">
        <w:rPr>
          <w:lang w:eastAsia="en-AU"/>
        </w:rPr>
        <w:t>its</w:t>
      </w:r>
      <w:r w:rsidR="00743DBC" w:rsidRPr="00532BC2">
        <w:rPr>
          <w:lang w:eastAsia="en-AU"/>
        </w:rPr>
        <w:t xml:space="preserve"> workplace relations and </w:t>
      </w:r>
      <w:r w:rsidR="00743DBC">
        <w:rPr>
          <w:lang w:eastAsia="en-AU"/>
        </w:rPr>
        <w:t xml:space="preserve">HR </w:t>
      </w:r>
      <w:r w:rsidR="00743DBC" w:rsidRPr="00532BC2">
        <w:rPr>
          <w:lang w:eastAsia="en-AU"/>
        </w:rPr>
        <w:t xml:space="preserve">training and provide recommendations for </w:t>
      </w:r>
      <w:r w:rsidR="00743DBC">
        <w:rPr>
          <w:lang w:eastAsia="en-AU"/>
        </w:rPr>
        <w:t>new or improved</w:t>
      </w:r>
      <w:r w:rsidR="00743DBC" w:rsidRPr="00532BC2">
        <w:rPr>
          <w:lang w:eastAsia="en-AU"/>
        </w:rPr>
        <w:t xml:space="preserve"> training</w:t>
      </w:r>
      <w:r w:rsidR="00743DBC" w:rsidRPr="00611696">
        <w:t xml:space="preserve"> </w:t>
      </w:r>
      <w:r>
        <w:t>(Clause 1</w:t>
      </w:r>
      <w:r w:rsidR="00743DBC">
        <w:t>2</w:t>
      </w:r>
      <w:r w:rsidR="00504C43">
        <w:t xml:space="preserve"> of the PCD</w:t>
      </w:r>
      <w:r>
        <w:t>).</w:t>
      </w:r>
    </w:p>
    <w:p w14:paraId="26672DD4" w14:textId="1D6DA9A1" w:rsidR="00743DBC" w:rsidRDefault="00504C43" w:rsidP="00743DBC">
      <w:pPr>
        <w:rPr>
          <w:lang w:eastAsia="en-AU"/>
        </w:rPr>
      </w:pPr>
      <w:r>
        <w:rPr>
          <w:lang w:eastAsia="en-AU"/>
        </w:rPr>
        <w:t>The FWO</w:t>
      </w:r>
      <w:r w:rsidR="00743DBC">
        <w:rPr>
          <w:lang w:eastAsia="en-AU"/>
        </w:rPr>
        <w:t xml:space="preserve"> received </w:t>
      </w:r>
      <w:r w:rsidR="007D2B23">
        <w:rPr>
          <w:lang w:eastAsia="en-AU"/>
        </w:rPr>
        <w:t xml:space="preserve">a copy of </w:t>
      </w:r>
      <w:r w:rsidR="00743DBC">
        <w:rPr>
          <w:lang w:eastAsia="en-AU"/>
        </w:rPr>
        <w:t>Hera’s recommendations in October 2017.</w:t>
      </w:r>
      <w:r w:rsidR="0042094F">
        <w:rPr>
          <w:lang w:eastAsia="en-AU"/>
        </w:rPr>
        <w:t xml:space="preserve"> </w:t>
      </w:r>
      <w:r w:rsidR="00743DBC">
        <w:rPr>
          <w:lang w:eastAsia="en-AU"/>
        </w:rPr>
        <w:t>7-Eleven reported implementing the following:</w:t>
      </w:r>
    </w:p>
    <w:p w14:paraId="5F55F1EF" w14:textId="77777777" w:rsidR="00743DBC" w:rsidRDefault="00743DBC" w:rsidP="00743DBC">
      <w:pPr>
        <w:pStyle w:val="Bullet"/>
      </w:pPr>
      <w:r>
        <w:t>compulsory online training on basic employment conditions for all new employees, to be completed prior to issuing staff with an online point-of-sale ID or login</w:t>
      </w:r>
    </w:p>
    <w:p w14:paraId="7F2F4872" w14:textId="33ACF248" w:rsidR="00743DBC" w:rsidRDefault="00743DBC" w:rsidP="00743DBC">
      <w:pPr>
        <w:pStyle w:val="Bullet"/>
      </w:pPr>
      <w:r>
        <w:t xml:space="preserve">a </w:t>
      </w:r>
      <w:r w:rsidRPr="00773D4C">
        <w:t xml:space="preserve">Team Member Handbook </w:t>
      </w:r>
      <w:r>
        <w:t xml:space="preserve">for </w:t>
      </w:r>
      <w:r w:rsidRPr="00773D4C">
        <w:t>all new employees upon commencement (and acc</w:t>
      </w:r>
      <w:r>
        <w:t>essible to all other employees)</w:t>
      </w:r>
    </w:p>
    <w:p w14:paraId="53FB2976" w14:textId="06EFFCCC" w:rsidR="00743DBC" w:rsidRDefault="00594634" w:rsidP="00BE2C8C">
      <w:pPr>
        <w:pStyle w:val="Bullet"/>
      </w:pPr>
      <w:r>
        <w:t xml:space="preserve">an </w:t>
      </w:r>
      <w:r w:rsidR="00743DBC">
        <w:t xml:space="preserve">‘employment conditions’ chapter added to 7-Eleven’s </w:t>
      </w:r>
      <w:r w:rsidR="00743DBC" w:rsidRPr="00C62118">
        <w:t>Franchisee Systems Manual</w:t>
      </w:r>
      <w:r w:rsidR="00743DBC">
        <w:t xml:space="preserve">, including updated </w:t>
      </w:r>
      <w:r w:rsidR="00743DBC" w:rsidRPr="00C62118">
        <w:t>7-Eleven policies and procedures</w:t>
      </w:r>
    </w:p>
    <w:p w14:paraId="65726B02" w14:textId="001C410F" w:rsidR="00743DBC" w:rsidRDefault="00743DBC" w:rsidP="00BE2C8C">
      <w:pPr>
        <w:pStyle w:val="Bullet"/>
      </w:pPr>
      <w:r w:rsidRPr="005A36F1">
        <w:lastRenderedPageBreak/>
        <w:t xml:space="preserve">posters </w:t>
      </w:r>
      <w:r>
        <w:t xml:space="preserve">displayed </w:t>
      </w:r>
      <w:r w:rsidRPr="005A36F1">
        <w:t xml:space="preserve">in stores </w:t>
      </w:r>
      <w:r w:rsidR="0042094F">
        <w:t xml:space="preserve">telling </w:t>
      </w:r>
      <w:r>
        <w:t xml:space="preserve">employees </w:t>
      </w:r>
      <w:r w:rsidR="007D2B23">
        <w:t xml:space="preserve">about the </w:t>
      </w:r>
      <w:r w:rsidR="00594634">
        <w:t xml:space="preserve">7-Eleven Employee Helpline </w:t>
      </w:r>
      <w:r w:rsidR="007D2B23">
        <w:t xml:space="preserve">(see below) and </w:t>
      </w:r>
      <w:r>
        <w:t>how to contact the FWO</w:t>
      </w:r>
    </w:p>
    <w:p w14:paraId="71800F14" w14:textId="77777777" w:rsidR="0042094F" w:rsidRDefault="00743DBC" w:rsidP="0042094F">
      <w:pPr>
        <w:pStyle w:val="Bullet"/>
      </w:pPr>
      <w:r>
        <w:t xml:space="preserve">introduction </w:t>
      </w:r>
      <w:r w:rsidR="0042094F">
        <w:t xml:space="preserve">of </w:t>
      </w:r>
      <w:r>
        <w:t>cloud-based people management systems that facilitate people processes, new starter on-boarding and the management of employee details</w:t>
      </w:r>
    </w:p>
    <w:p w14:paraId="58CF6CEC" w14:textId="67D30A1C" w:rsidR="00743DBC" w:rsidRDefault="00594634" w:rsidP="0042094F">
      <w:pPr>
        <w:pStyle w:val="Bullet"/>
      </w:pPr>
      <w:r>
        <w:t xml:space="preserve">a </w:t>
      </w:r>
      <w:r w:rsidR="0042094F">
        <w:t>fortnightly e-newsletter sent to all team members, including compliance stories and links to the 7-Eleven Employee Helpline.</w:t>
      </w:r>
    </w:p>
    <w:p w14:paraId="1768490F" w14:textId="77777777" w:rsidR="0042094F" w:rsidRDefault="0042094F" w:rsidP="0079462D">
      <w:pPr>
        <w:pStyle w:val="Heading2"/>
      </w:pPr>
      <w:r>
        <w:t>Systems and processes</w:t>
      </w:r>
    </w:p>
    <w:p w14:paraId="16C772D5" w14:textId="3D63DEAF" w:rsidR="00BE2C8C" w:rsidRPr="00BE2C8C" w:rsidRDefault="0042094F" w:rsidP="009330F3">
      <w:r>
        <w:t xml:space="preserve">7-Eleven </w:t>
      </w:r>
      <w:r w:rsidRPr="00611696">
        <w:t>implement</w:t>
      </w:r>
      <w:r>
        <w:t>ed</w:t>
      </w:r>
      <w:r w:rsidRPr="00611696">
        <w:t xml:space="preserve"> </w:t>
      </w:r>
      <w:r>
        <w:t xml:space="preserve">system and process </w:t>
      </w:r>
      <w:r w:rsidRPr="00611696">
        <w:t xml:space="preserve">changes </w:t>
      </w:r>
      <w:r w:rsidR="00711718">
        <w:t xml:space="preserve">during the term of the PCD </w:t>
      </w:r>
      <w:r w:rsidRPr="00611696">
        <w:t xml:space="preserve">to </w:t>
      </w:r>
      <w:r w:rsidR="00297A72">
        <w:t xml:space="preserve">address governance issues and </w:t>
      </w:r>
      <w:r w:rsidR="00297A72">
        <w:rPr>
          <w:szCs w:val="22"/>
        </w:rPr>
        <w:t>safeguard against franchisees fabricating or manipulating employee time records</w:t>
      </w:r>
      <w:r w:rsidR="007D2B23">
        <w:t>.</w:t>
      </w:r>
    </w:p>
    <w:p w14:paraId="7C8D198F" w14:textId="77777777" w:rsidR="00BE2C8C" w:rsidRPr="005E3A55" w:rsidRDefault="00BE2C8C" w:rsidP="0079462D">
      <w:pPr>
        <w:pStyle w:val="Heading3"/>
      </w:pPr>
      <w:bookmarkStart w:id="1" w:name="_Toc25742572"/>
      <w:r w:rsidRPr="005E3A55">
        <w:t>Biometric time recording</w:t>
      </w:r>
      <w:bookmarkEnd w:id="1"/>
    </w:p>
    <w:p w14:paraId="31D56D84" w14:textId="103C085F" w:rsidR="00BE2C8C" w:rsidRDefault="00504C43" w:rsidP="00297A72">
      <w:r>
        <w:t>The FWO</w:t>
      </w:r>
      <w:r w:rsidR="00297A72">
        <w:t xml:space="preserve"> required </w:t>
      </w:r>
      <w:r w:rsidR="00BE2C8C">
        <w:t>7-Eleven to:</w:t>
      </w:r>
    </w:p>
    <w:p w14:paraId="63D73CF7" w14:textId="30D5BE12" w:rsidR="00BE2C8C" w:rsidRPr="00DC08E2" w:rsidRDefault="00BE2C8C" w:rsidP="00297A72">
      <w:pPr>
        <w:pStyle w:val="Bullet"/>
      </w:pPr>
      <w:r>
        <w:t>implement</w:t>
      </w:r>
      <w:r w:rsidRPr="00DC08E2">
        <w:t xml:space="preserve"> </w:t>
      </w:r>
      <w:r w:rsidR="00594634">
        <w:t xml:space="preserve">a </w:t>
      </w:r>
      <w:r w:rsidRPr="00DC08E2">
        <w:t>biometric time rec</w:t>
      </w:r>
      <w:r>
        <w:t>ording</w:t>
      </w:r>
      <w:r w:rsidR="00297A72">
        <w:t xml:space="preserve"> </w:t>
      </w:r>
      <w:r w:rsidR="00594634">
        <w:t xml:space="preserve">system </w:t>
      </w:r>
      <w:r w:rsidR="00297A72">
        <w:t xml:space="preserve">for </w:t>
      </w:r>
      <w:r>
        <w:t>all employees, f</w:t>
      </w:r>
      <w:r w:rsidRPr="00DC08E2">
        <w:t>ra</w:t>
      </w:r>
      <w:r>
        <w:t xml:space="preserve">nchisees and their family members </w:t>
      </w:r>
      <w:r w:rsidRPr="00DC08E2">
        <w:t xml:space="preserve">performing work in </w:t>
      </w:r>
      <w:r>
        <w:t>the stores</w:t>
      </w:r>
    </w:p>
    <w:p w14:paraId="534AABAB" w14:textId="77777777" w:rsidR="00BE2C8C" w:rsidRDefault="00BE2C8C" w:rsidP="00297A72">
      <w:pPr>
        <w:pStyle w:val="Bullet"/>
      </w:pPr>
      <w:r>
        <w:t xml:space="preserve">require franchisees to forward </w:t>
      </w:r>
      <w:r w:rsidRPr="00DC08E2">
        <w:t>store rosters to 7-Eleven o</w:t>
      </w:r>
      <w:r>
        <w:t>n a weekly basis and/or capture this information</w:t>
      </w:r>
      <w:r w:rsidR="00297A72">
        <w:t xml:space="preserve"> in the biometric system</w:t>
      </w:r>
    </w:p>
    <w:p w14:paraId="72A89416" w14:textId="77777777" w:rsidR="00BE2C8C" w:rsidRPr="00DC08E2" w:rsidRDefault="00BE2C8C" w:rsidP="00297A72">
      <w:pPr>
        <w:pStyle w:val="Bullet"/>
      </w:pPr>
      <w:r>
        <w:t>regularly cross-check records against the various systems</w:t>
      </w:r>
    </w:p>
    <w:p w14:paraId="48460F72" w14:textId="77777777" w:rsidR="00BE2C8C" w:rsidRPr="00003278" w:rsidRDefault="00BE2C8C" w:rsidP="00297A72">
      <w:pPr>
        <w:pStyle w:val="Bullet"/>
      </w:pPr>
      <w:r>
        <w:t>ensure the biometric system was</w:t>
      </w:r>
      <w:r w:rsidRPr="00DC08E2">
        <w:t xml:space="preserve"> maintained and upgraded as necessary for a minimum period of 6 years</w:t>
      </w:r>
      <w:r>
        <w:t>.</w:t>
      </w:r>
    </w:p>
    <w:p w14:paraId="42CB6134" w14:textId="3A3B4603" w:rsidR="00BE2C8C" w:rsidRDefault="00BE2C8C" w:rsidP="00CF4D36">
      <w:r w:rsidRPr="00DC08E2">
        <w:t>7-Eleven</w:t>
      </w:r>
      <w:r>
        <w:t xml:space="preserve"> </w:t>
      </w:r>
      <w:r w:rsidR="00297A72">
        <w:t xml:space="preserve">invested in </w:t>
      </w:r>
      <w:r>
        <w:t xml:space="preserve">Kronos, a </w:t>
      </w:r>
      <w:r w:rsidRPr="00E07BE3">
        <w:t>biometric time recording system</w:t>
      </w:r>
      <w:r w:rsidR="00297A72">
        <w:t>,</w:t>
      </w:r>
      <w:r w:rsidRPr="00E07BE3">
        <w:t xml:space="preserve"> </w:t>
      </w:r>
      <w:r>
        <w:t>to be used by all franchisees and e</w:t>
      </w:r>
      <w:r w:rsidRPr="00E07BE3">
        <w:t>mployees</w:t>
      </w:r>
      <w:r>
        <w:t xml:space="preserve"> in the 7-Eleven network.</w:t>
      </w:r>
      <w:r w:rsidRPr="00E07BE3">
        <w:t xml:space="preserve"> </w:t>
      </w:r>
      <w:r w:rsidR="00CF4D36" w:rsidRPr="00CF4D36">
        <w:rPr>
          <w:lang w:eastAsia="en-AU"/>
        </w:rPr>
        <w:t>7-Eleven employees now clock into the Kronos system with a biometric thumbprint, which is cross-checked against employee facial recognition images and store rosters. The Assurance Team then inputs biometric and Kronos data from all stores into a Continuous Controls Monitoring (CCM) platform that is used to identify rostering and payroll anomalies. </w:t>
      </w:r>
      <w:r>
        <w:t xml:space="preserve">This </w:t>
      </w:r>
      <w:r w:rsidRPr="00E07BE3">
        <w:t>enable</w:t>
      </w:r>
      <w:r w:rsidR="00CF4D36">
        <w:t>s</w:t>
      </w:r>
      <w:r w:rsidR="00594634">
        <w:t xml:space="preserve"> </w:t>
      </w:r>
      <w:r>
        <w:t>m</w:t>
      </w:r>
      <w:r w:rsidR="00297A72">
        <w:t>ore accurate</w:t>
      </w:r>
      <w:r>
        <w:t xml:space="preserve"> </w:t>
      </w:r>
      <w:r w:rsidR="00297A72">
        <w:t>recording</w:t>
      </w:r>
      <w:r w:rsidRPr="00E07BE3">
        <w:t xml:space="preserve"> </w:t>
      </w:r>
      <w:r w:rsidR="00297A72">
        <w:t xml:space="preserve">and monitoring </w:t>
      </w:r>
      <w:r w:rsidRPr="00E07BE3">
        <w:t>of employees’ and franchisees</w:t>
      </w:r>
      <w:r>
        <w:t>’</w:t>
      </w:r>
      <w:r w:rsidRPr="00E07BE3">
        <w:t xml:space="preserve"> working hours, including start and finish times.</w:t>
      </w:r>
    </w:p>
    <w:p w14:paraId="0F5CEB19" w14:textId="6A5B1650" w:rsidR="00BE2C8C" w:rsidRPr="0032009B" w:rsidRDefault="00BE2C8C" w:rsidP="00AD2C05">
      <w:pPr>
        <w:rPr>
          <w:lang w:eastAsia="en-AU"/>
        </w:rPr>
      </w:pPr>
      <w:r>
        <w:t xml:space="preserve">7-Eleven </w:t>
      </w:r>
      <w:r w:rsidR="00AD2C05">
        <w:t xml:space="preserve">reported </w:t>
      </w:r>
      <w:r>
        <w:t xml:space="preserve">that </w:t>
      </w:r>
      <w:r w:rsidR="00504C43">
        <w:t xml:space="preserve">its </w:t>
      </w:r>
      <w:r>
        <w:t>Assurance Team</w:t>
      </w:r>
      <w:r w:rsidRPr="00B30B7F">
        <w:rPr>
          <w:lang w:eastAsia="en-AU"/>
        </w:rPr>
        <w:t xml:space="preserve"> </w:t>
      </w:r>
      <w:r>
        <w:rPr>
          <w:lang w:eastAsia="en-AU"/>
        </w:rPr>
        <w:t>inputs biometric</w:t>
      </w:r>
      <w:r w:rsidRPr="00284ABC">
        <w:rPr>
          <w:lang w:eastAsia="en-AU"/>
        </w:rPr>
        <w:t xml:space="preserve"> data </w:t>
      </w:r>
      <w:r>
        <w:rPr>
          <w:lang w:eastAsia="en-AU"/>
        </w:rPr>
        <w:t xml:space="preserve">from all stores </w:t>
      </w:r>
      <w:r w:rsidRPr="00284ABC">
        <w:rPr>
          <w:lang w:eastAsia="en-AU"/>
        </w:rPr>
        <w:t xml:space="preserve">into </w:t>
      </w:r>
      <w:r>
        <w:rPr>
          <w:lang w:eastAsia="en-AU"/>
        </w:rPr>
        <w:t>a</w:t>
      </w:r>
      <w:r w:rsidRPr="00284ABC">
        <w:rPr>
          <w:lang w:eastAsia="en-AU"/>
        </w:rPr>
        <w:t xml:space="preserve"> </w:t>
      </w:r>
      <w:r>
        <w:rPr>
          <w:lang w:eastAsia="en-AU"/>
        </w:rPr>
        <w:t>Continuous Controls M</w:t>
      </w:r>
      <w:r w:rsidRPr="00B92121">
        <w:rPr>
          <w:lang w:eastAsia="en-AU"/>
        </w:rPr>
        <w:t>onitoring (CCM)</w:t>
      </w:r>
      <w:r>
        <w:rPr>
          <w:lang w:eastAsia="en-AU"/>
        </w:rPr>
        <w:t xml:space="preserve"> </w:t>
      </w:r>
      <w:r w:rsidRPr="00284ABC">
        <w:rPr>
          <w:lang w:eastAsia="en-AU"/>
        </w:rPr>
        <w:t>platform</w:t>
      </w:r>
      <w:r>
        <w:rPr>
          <w:lang w:eastAsia="en-AU"/>
        </w:rPr>
        <w:t xml:space="preserve"> to identify rostering and payroll</w:t>
      </w:r>
      <w:r w:rsidRPr="00B30B7F">
        <w:rPr>
          <w:lang w:eastAsia="en-AU"/>
        </w:rPr>
        <w:t xml:space="preserve"> anomalies</w:t>
      </w:r>
      <w:r w:rsidRPr="00284ABC">
        <w:rPr>
          <w:lang w:eastAsia="en-AU"/>
        </w:rPr>
        <w:t xml:space="preserve"> </w:t>
      </w:r>
      <w:r>
        <w:rPr>
          <w:lang w:eastAsia="en-AU"/>
        </w:rPr>
        <w:t>that</w:t>
      </w:r>
      <w:r w:rsidRPr="00284ABC">
        <w:rPr>
          <w:lang w:eastAsia="en-AU"/>
        </w:rPr>
        <w:t xml:space="preserve"> might indicate irr</w:t>
      </w:r>
      <w:r>
        <w:rPr>
          <w:lang w:eastAsia="en-AU"/>
        </w:rPr>
        <w:t>egular use of the Kronos system, for example:</w:t>
      </w:r>
      <w:r w:rsidRPr="00284ABC">
        <w:rPr>
          <w:lang w:eastAsia="en-AU"/>
        </w:rPr>
        <w:t xml:space="preserve"> </w:t>
      </w:r>
    </w:p>
    <w:p w14:paraId="7AB3E470" w14:textId="77777777" w:rsidR="00BE2C8C" w:rsidRPr="00B30B7F" w:rsidRDefault="00BE2C8C" w:rsidP="00AD2C05">
      <w:pPr>
        <w:pStyle w:val="Bullet"/>
      </w:pPr>
      <w:r>
        <w:t>gaps in</w:t>
      </w:r>
      <w:r w:rsidRPr="00B30B7F">
        <w:t xml:space="preserve"> </w:t>
      </w:r>
      <w:r>
        <w:t xml:space="preserve">Kronos </w:t>
      </w:r>
      <w:r w:rsidRPr="00B30B7F">
        <w:t>timecards</w:t>
      </w:r>
    </w:p>
    <w:p w14:paraId="624F8C07" w14:textId="77777777" w:rsidR="00BE2C8C" w:rsidRPr="00B30B7F" w:rsidRDefault="00BE2C8C" w:rsidP="00AD2C05">
      <w:pPr>
        <w:pStyle w:val="Bullet"/>
      </w:pPr>
      <w:r>
        <w:t xml:space="preserve">an </w:t>
      </w:r>
      <w:r w:rsidRPr="00B30B7F">
        <w:t xml:space="preserve">outlier number of actual attendance hours </w:t>
      </w:r>
      <w:r>
        <w:t xml:space="preserve">as compared </w:t>
      </w:r>
      <w:r w:rsidRPr="00B30B7F">
        <w:t xml:space="preserve">to rosters </w:t>
      </w:r>
    </w:p>
    <w:p w14:paraId="20BBE5C0" w14:textId="77777777" w:rsidR="00C43B6D" w:rsidRDefault="00BE2C8C" w:rsidP="00AD2C05">
      <w:pPr>
        <w:pStyle w:val="Bullet"/>
      </w:pPr>
      <w:r w:rsidRPr="00B30B7F">
        <w:t xml:space="preserve">biometric usage statistics </w:t>
      </w:r>
      <w:r>
        <w:t>versus</w:t>
      </w:r>
      <w:r w:rsidRPr="00B30B7F">
        <w:t xml:space="preserve"> timecards </w:t>
      </w:r>
      <w:r>
        <w:t>submitted</w:t>
      </w:r>
      <w:r w:rsidR="00AD2C05">
        <w:t>.</w:t>
      </w:r>
    </w:p>
    <w:p w14:paraId="6369BE3B" w14:textId="77777777" w:rsidR="00BE2C8C" w:rsidRDefault="00C43B6D" w:rsidP="00C43B6D">
      <w:r>
        <w:lastRenderedPageBreak/>
        <w:t>T</w:t>
      </w:r>
      <w:r w:rsidR="00BE2C8C">
        <w:t xml:space="preserve">he 7-Eleven Assurance Team </w:t>
      </w:r>
      <w:r>
        <w:t xml:space="preserve">also reportedly </w:t>
      </w:r>
      <w:r w:rsidR="00BE2C8C">
        <w:t>follows up and rec</w:t>
      </w:r>
      <w:r w:rsidR="00AD2C05">
        <w:t>tifies anomalies a</w:t>
      </w:r>
      <w:r>
        <w:t>s part</w:t>
      </w:r>
      <w:r w:rsidR="00AD2C05">
        <w:t xml:space="preserve"> of its </w:t>
      </w:r>
      <w:r w:rsidR="00BE2C8C">
        <w:t xml:space="preserve">operational teams’ weekly reviews </w:t>
      </w:r>
      <w:r w:rsidR="00BE2C8C" w:rsidRPr="008429CF">
        <w:t xml:space="preserve">and fortnightly </w:t>
      </w:r>
      <w:r w:rsidR="00BE2C8C">
        <w:t>in-store follow-ups.</w:t>
      </w:r>
    </w:p>
    <w:p w14:paraId="6AB3C236" w14:textId="52518CA6" w:rsidR="00C43B6D" w:rsidRDefault="00C43B6D" w:rsidP="00C43B6D">
      <w:pPr>
        <w:rPr>
          <w:lang w:eastAsia="en-AU"/>
        </w:rPr>
      </w:pPr>
      <w:r>
        <w:rPr>
          <w:lang w:eastAsia="en-AU"/>
        </w:rPr>
        <w:t xml:space="preserve">Kronos is also used for rostering. </w:t>
      </w:r>
      <w:r w:rsidR="00594634">
        <w:rPr>
          <w:lang w:eastAsia="en-AU"/>
        </w:rPr>
        <w:t>7-Eleven reports that f</w:t>
      </w:r>
      <w:r>
        <w:rPr>
          <w:lang w:eastAsia="en-AU"/>
        </w:rPr>
        <w:t>ortnightly rosters are:</w:t>
      </w:r>
    </w:p>
    <w:p w14:paraId="0D2E7739" w14:textId="77777777" w:rsidR="00C43B6D" w:rsidRDefault="00C43B6D" w:rsidP="00C43B6D">
      <w:pPr>
        <w:pStyle w:val="Bullet"/>
      </w:pPr>
      <w:r>
        <w:t xml:space="preserve">accessible to employees via </w:t>
      </w:r>
      <w:r w:rsidR="00BE2C8C">
        <w:t>their mobile phone and a biometric clock</w:t>
      </w:r>
    </w:p>
    <w:p w14:paraId="4AA084DF" w14:textId="77777777" w:rsidR="00C43B6D" w:rsidRDefault="00BE2C8C" w:rsidP="00C43B6D">
      <w:pPr>
        <w:pStyle w:val="Bullet"/>
      </w:pPr>
      <w:r>
        <w:t xml:space="preserve">posted on the noticeboards </w:t>
      </w:r>
      <w:r w:rsidR="00C43B6D">
        <w:t xml:space="preserve">in </w:t>
      </w:r>
      <w:r>
        <w:t>stores</w:t>
      </w:r>
    </w:p>
    <w:p w14:paraId="0B163D93" w14:textId="77777777" w:rsidR="00BE2C8C" w:rsidRPr="00B30A99" w:rsidRDefault="00BE2C8C" w:rsidP="00C43B6D">
      <w:pPr>
        <w:pStyle w:val="Bullet"/>
      </w:pPr>
      <w:r w:rsidRPr="00B30A99">
        <w:t xml:space="preserve">accessible by 7-Eleven </w:t>
      </w:r>
      <w:r w:rsidR="00C43B6D" w:rsidRPr="00B30A99">
        <w:t>h</w:t>
      </w:r>
      <w:r w:rsidRPr="00B30A99">
        <w:t xml:space="preserve">ead </w:t>
      </w:r>
      <w:r w:rsidR="00C43B6D" w:rsidRPr="00B30A99">
        <w:t>o</w:t>
      </w:r>
      <w:r w:rsidRPr="00B30A99">
        <w:t>ffice.</w:t>
      </w:r>
    </w:p>
    <w:p w14:paraId="6F44ECB8" w14:textId="57FBADBA" w:rsidR="00BE2C8C" w:rsidRDefault="00BE2C8C" w:rsidP="00C43B6D">
      <w:r w:rsidRPr="00B30A99">
        <w:t xml:space="preserve">7-Eleven implemented </w:t>
      </w:r>
      <w:r w:rsidR="00594634">
        <w:t xml:space="preserve">the </w:t>
      </w:r>
      <w:proofErr w:type="spellStart"/>
      <w:r w:rsidRPr="00B30A99">
        <w:rPr>
          <w:i/>
        </w:rPr>
        <w:t>HROnboard</w:t>
      </w:r>
      <w:proofErr w:type="spellEnd"/>
      <w:r w:rsidRPr="00B30A99">
        <w:t xml:space="preserve"> and </w:t>
      </w:r>
      <w:r w:rsidRPr="00B30A99">
        <w:rPr>
          <w:i/>
        </w:rPr>
        <w:t>Workday</w:t>
      </w:r>
      <w:r w:rsidRPr="00B30A99">
        <w:t xml:space="preserve"> cloud-based people management </w:t>
      </w:r>
      <w:r w:rsidR="00594634" w:rsidRPr="00B30A99">
        <w:t xml:space="preserve">systems </w:t>
      </w:r>
      <w:r w:rsidR="00C43B6D" w:rsidRPr="00B30A99">
        <w:t xml:space="preserve">to </w:t>
      </w:r>
      <w:r w:rsidRPr="00B30A99">
        <w:t>manage leave requests, pay</w:t>
      </w:r>
      <w:r w:rsidR="00C43B6D" w:rsidRPr="00B30A99">
        <w:t xml:space="preserve"> slips</w:t>
      </w:r>
      <w:r w:rsidRPr="00B30A99">
        <w:t xml:space="preserve"> and other employment-related tasks online or through an app.</w:t>
      </w:r>
      <w:r w:rsidR="00C43B6D" w:rsidRPr="00B30A99">
        <w:t xml:space="preserve"> </w:t>
      </w:r>
      <w:r w:rsidR="004D0A9E" w:rsidRPr="00B30A99">
        <w:t>T</w:t>
      </w:r>
      <w:r w:rsidRPr="00B30A99">
        <w:t>he</w:t>
      </w:r>
      <w:r w:rsidR="00CF4D36">
        <w:t xml:space="preserve"> Workday </w:t>
      </w:r>
      <w:r w:rsidRPr="00B30A99">
        <w:t>system interface</w:t>
      </w:r>
      <w:r w:rsidR="00CF4D36">
        <w:t>s</w:t>
      </w:r>
      <w:r w:rsidRPr="00B30A99">
        <w:t xml:space="preserve"> with Kronos and </w:t>
      </w:r>
      <w:r w:rsidR="00CF4D36">
        <w:t xml:space="preserve">the ADP </w:t>
      </w:r>
      <w:r w:rsidRPr="00B30A99">
        <w:t>payroll system</w:t>
      </w:r>
      <w:r w:rsidR="004D0A9E" w:rsidRPr="00B30A99">
        <w:t>,</w:t>
      </w:r>
      <w:r w:rsidRPr="00B30A99">
        <w:t xml:space="preserve"> </w:t>
      </w:r>
      <w:r w:rsidR="004D0A9E" w:rsidRPr="00B30A99">
        <w:t>enabling</w:t>
      </w:r>
      <w:r w:rsidRPr="00B30A99">
        <w:t xml:space="preserve"> 7-Eleven to capture all people data in a single database.</w:t>
      </w:r>
    </w:p>
    <w:p w14:paraId="423A3126" w14:textId="77777777" w:rsidR="00BE2C8C" w:rsidRDefault="005D750B" w:rsidP="0079462D">
      <w:pPr>
        <w:pStyle w:val="Heading3"/>
      </w:pPr>
      <w:bookmarkStart w:id="2" w:name="_Toc25742573"/>
      <w:r>
        <w:t>F</w:t>
      </w:r>
      <w:r w:rsidR="00BE2C8C" w:rsidRPr="007D0510">
        <w:t xml:space="preserve">acial recognition technology </w:t>
      </w:r>
      <w:bookmarkEnd w:id="2"/>
    </w:p>
    <w:p w14:paraId="4D7C64A2" w14:textId="6B2A71E3" w:rsidR="00BE2C8C" w:rsidRDefault="00504C43" w:rsidP="004D0A9E">
      <w:r>
        <w:t xml:space="preserve">The FWO </w:t>
      </w:r>
      <w:r w:rsidR="004D0A9E">
        <w:t xml:space="preserve">required </w:t>
      </w:r>
      <w:r w:rsidR="00BE2C8C" w:rsidRPr="007D0510">
        <w:t xml:space="preserve">7-Eleven </w:t>
      </w:r>
      <w:r w:rsidR="004D0A9E">
        <w:t xml:space="preserve">to </w:t>
      </w:r>
      <w:r w:rsidR="00BE2C8C" w:rsidRPr="00E07BE3">
        <w:t xml:space="preserve">implement </w:t>
      </w:r>
      <w:r w:rsidR="004D0A9E">
        <w:t>additional measures to verify the identities</w:t>
      </w:r>
      <w:r w:rsidR="00BE2C8C">
        <w:t xml:space="preserve"> of employees</w:t>
      </w:r>
      <w:r w:rsidR="00BE2C8C" w:rsidRPr="00E07BE3">
        <w:t xml:space="preserve"> </w:t>
      </w:r>
      <w:r w:rsidR="00BE2C8C">
        <w:t>working</w:t>
      </w:r>
      <w:r w:rsidR="00BE2C8C" w:rsidRPr="00E07BE3">
        <w:t xml:space="preserve"> shift</w:t>
      </w:r>
      <w:r w:rsidR="00BE2C8C">
        <w:t>s</w:t>
      </w:r>
      <w:r w:rsidR="00594634">
        <w:t>, including (Clause 4 of the PCD)</w:t>
      </w:r>
      <w:r w:rsidR="004D0A9E">
        <w:t>:</w:t>
      </w:r>
    </w:p>
    <w:p w14:paraId="382D6EEC" w14:textId="77777777" w:rsidR="00BE2C8C" w:rsidRPr="00E07BE3" w:rsidRDefault="00BE2C8C" w:rsidP="004D0A9E">
      <w:pPr>
        <w:pStyle w:val="Bullet"/>
      </w:pPr>
      <w:r w:rsidRPr="00E07BE3">
        <w:t>photo</w:t>
      </w:r>
      <w:r>
        <w:t xml:space="preserve"> identification for all e</w:t>
      </w:r>
      <w:r w:rsidRPr="00E07BE3">
        <w:t>mployees captured in the store</w:t>
      </w:r>
    </w:p>
    <w:p w14:paraId="420525EE" w14:textId="77777777" w:rsidR="00BE2C8C" w:rsidRPr="00E07BE3" w:rsidRDefault="00BE2C8C" w:rsidP="004D0A9E">
      <w:pPr>
        <w:pStyle w:val="Bullet"/>
      </w:pPr>
      <w:r w:rsidRPr="00E07BE3">
        <w:t>capturing images and other</w:t>
      </w:r>
      <w:r>
        <w:t xml:space="preserve"> data showing an e</w:t>
      </w:r>
      <w:r w:rsidRPr="00E07BE3">
        <w:t>mployee’s attendance a</w:t>
      </w:r>
      <w:r>
        <w:t>t regular intervals throughout their</w:t>
      </w:r>
      <w:r w:rsidRPr="00E07BE3">
        <w:t xml:space="preserve"> shift</w:t>
      </w:r>
      <w:r>
        <w:t>s</w:t>
      </w:r>
    </w:p>
    <w:p w14:paraId="5A8CFF44" w14:textId="7C18F66A" w:rsidR="00BE2C8C" w:rsidRPr="00E07BE3" w:rsidRDefault="00BE2C8C" w:rsidP="004D0A9E">
      <w:pPr>
        <w:pStyle w:val="Bullet"/>
      </w:pPr>
      <w:r w:rsidRPr="00E07BE3">
        <w:t>storing the system generated images and</w:t>
      </w:r>
      <w:r>
        <w:t xml:space="preserve"> data for a period of at least six</w:t>
      </w:r>
      <w:r w:rsidRPr="00E07BE3">
        <w:t xml:space="preserve"> months</w:t>
      </w:r>
    </w:p>
    <w:p w14:paraId="6E29AB71" w14:textId="77777777" w:rsidR="00BE2C8C" w:rsidRDefault="00BE2C8C" w:rsidP="004D0A9E">
      <w:pPr>
        <w:pStyle w:val="Bullet"/>
      </w:pPr>
      <w:r>
        <w:t>preventing f</w:t>
      </w:r>
      <w:r w:rsidRPr="00E07BE3">
        <w:t>ranchisees from having access to</w:t>
      </w:r>
      <w:r>
        <w:t>, altering or manipulating system data</w:t>
      </w:r>
      <w:r w:rsidRPr="00E07BE3">
        <w:t>.</w:t>
      </w:r>
    </w:p>
    <w:p w14:paraId="4FA302CA" w14:textId="6EAD4489" w:rsidR="00BE2C8C" w:rsidRDefault="00CF4D36" w:rsidP="004D0A9E">
      <w:pPr>
        <w:rPr>
          <w:lang w:eastAsia="en-AU"/>
        </w:rPr>
      </w:pPr>
      <w:r w:rsidRPr="00CF4D36">
        <w:rPr>
          <w:lang w:eastAsia="en-AU"/>
        </w:rPr>
        <w:t>7-Eleven reported that despite initial technical issues, it completed the full rollout of 7-Eleven owned and operated facial recognition cameras at stores across its network in 2019</w:t>
      </w:r>
      <w:r w:rsidR="007A7296">
        <w:rPr>
          <w:lang w:eastAsia="en-AU"/>
        </w:rPr>
        <w:t>.</w:t>
      </w:r>
      <w:r w:rsidRPr="00CF4D36">
        <w:rPr>
          <w:color w:val="333399"/>
          <w:lang w:eastAsia="en-AU"/>
        </w:rPr>
        <w:t xml:space="preserve"> </w:t>
      </w:r>
      <w:r w:rsidR="00BE2C8C" w:rsidRPr="00CF4D36">
        <w:rPr>
          <w:lang w:eastAsia="en-AU"/>
        </w:rPr>
        <w:t>Features of the system include the following:</w:t>
      </w:r>
    </w:p>
    <w:p w14:paraId="3BAED939" w14:textId="4597E317" w:rsidR="004D0A9E" w:rsidRDefault="004D0A9E" w:rsidP="004D0A9E">
      <w:pPr>
        <w:pStyle w:val="Bullet"/>
      </w:pPr>
      <w:r>
        <w:t>motion-activated f</w:t>
      </w:r>
      <w:r w:rsidR="00BE2C8C">
        <w:t xml:space="preserve">acial </w:t>
      </w:r>
      <w:r>
        <w:t>r</w:t>
      </w:r>
      <w:r w:rsidR="00BE2C8C">
        <w:t xml:space="preserve">ecognition cameras </w:t>
      </w:r>
      <w:r>
        <w:t>at point-of-</w:t>
      </w:r>
      <w:r w:rsidR="00BE2C8C">
        <w:t>sale computer terminals</w:t>
      </w:r>
      <w:r>
        <w:t>,</w:t>
      </w:r>
      <w:r w:rsidR="00BE2C8C">
        <w:t xml:space="preserve"> which</w:t>
      </w:r>
      <w:r w:rsidR="00BE2C8C" w:rsidRPr="00E63138">
        <w:t xml:space="preserve"> take periodic photo</w:t>
      </w:r>
      <w:r w:rsidR="00BE2C8C">
        <w:t>graph</w:t>
      </w:r>
      <w:r w:rsidR="00BE2C8C" w:rsidRPr="00E63138">
        <w:t xml:space="preserve">s of </w:t>
      </w:r>
      <w:r w:rsidR="00683A87">
        <w:t>employees</w:t>
      </w:r>
      <w:r w:rsidR="00BE2C8C" w:rsidRPr="00E63138">
        <w:t xml:space="preserve"> in </w:t>
      </w:r>
      <w:r>
        <w:t>the store</w:t>
      </w:r>
    </w:p>
    <w:p w14:paraId="3DD03161" w14:textId="77777777" w:rsidR="004D0A9E" w:rsidRDefault="00BE2C8C" w:rsidP="004D0A9E">
      <w:pPr>
        <w:pStyle w:val="Bullet"/>
      </w:pPr>
      <w:r w:rsidRPr="00E63138">
        <w:t xml:space="preserve">data </w:t>
      </w:r>
      <w:r w:rsidR="004D0A9E">
        <w:t xml:space="preserve">uploaded to </w:t>
      </w:r>
      <w:r w:rsidRPr="00E63138">
        <w:t>a central</w:t>
      </w:r>
      <w:r w:rsidR="004D0A9E">
        <w:t>,</w:t>
      </w:r>
      <w:r w:rsidRPr="00E63138">
        <w:t xml:space="preserve"> cloud</w:t>
      </w:r>
      <w:r>
        <w:t>-based</w:t>
      </w:r>
      <w:r w:rsidRPr="00E63138">
        <w:t xml:space="preserve"> server </w:t>
      </w:r>
      <w:r>
        <w:t xml:space="preserve">and </w:t>
      </w:r>
      <w:r w:rsidRPr="00E63138">
        <w:t>store</w:t>
      </w:r>
      <w:r w:rsidR="004D0A9E">
        <w:t>d</w:t>
      </w:r>
      <w:r w:rsidRPr="00E63138">
        <w:t xml:space="preserve"> for 6 months</w:t>
      </w:r>
    </w:p>
    <w:p w14:paraId="77032FA0" w14:textId="5A007A3F" w:rsidR="00BE2C8C" w:rsidRDefault="00BE2C8C" w:rsidP="004D0A9E">
      <w:pPr>
        <w:pStyle w:val="Bullet"/>
      </w:pPr>
      <w:r>
        <w:t xml:space="preserve">weekly </w:t>
      </w:r>
      <w:r w:rsidR="004D0A9E">
        <w:t xml:space="preserve">dashboard </w:t>
      </w:r>
      <w:r w:rsidR="00A7006D">
        <w:t xml:space="preserve">reports </w:t>
      </w:r>
      <w:r w:rsidR="004D0A9E">
        <w:t>highlighting</w:t>
      </w:r>
      <w:r w:rsidRPr="00C64F26">
        <w:t xml:space="preserve"> exceptions </w:t>
      </w:r>
      <w:r w:rsidR="004D0A9E">
        <w:t>with Kronos rosters</w:t>
      </w:r>
      <w:r>
        <w:t xml:space="preserve"> </w:t>
      </w:r>
      <w:r w:rsidRPr="00C64F26">
        <w:t xml:space="preserve">for </w:t>
      </w:r>
      <w:r>
        <w:t>7-Eleven</w:t>
      </w:r>
      <w:r w:rsidRPr="00C64F26">
        <w:t xml:space="preserve"> </w:t>
      </w:r>
      <w:r w:rsidR="004D0A9E">
        <w:t>o</w:t>
      </w:r>
      <w:r w:rsidRPr="00C64F26">
        <w:t>perations</w:t>
      </w:r>
      <w:r>
        <w:t xml:space="preserve"> staff to follow up with </w:t>
      </w:r>
      <w:r w:rsidRPr="00C64F26">
        <w:t>franchisee</w:t>
      </w:r>
      <w:r>
        <w:t>s</w:t>
      </w:r>
      <w:r w:rsidR="004D0A9E">
        <w:t>.</w:t>
      </w:r>
    </w:p>
    <w:p w14:paraId="5F5EBC1E" w14:textId="68ACE031" w:rsidR="00D57946" w:rsidRDefault="00D57946" w:rsidP="00D57946">
      <w:pPr>
        <w:pStyle w:val="Bullet"/>
        <w:numPr>
          <w:ilvl w:val="0"/>
          <w:numId w:val="0"/>
        </w:numPr>
      </w:pPr>
    </w:p>
    <w:p w14:paraId="4B219829" w14:textId="62D726FF" w:rsidR="00D57946" w:rsidRDefault="00D57946" w:rsidP="00D57946">
      <w:pPr>
        <w:pStyle w:val="Bullet"/>
        <w:numPr>
          <w:ilvl w:val="0"/>
          <w:numId w:val="0"/>
        </w:numPr>
      </w:pPr>
    </w:p>
    <w:p w14:paraId="72FFF720" w14:textId="77777777" w:rsidR="00D57946" w:rsidRDefault="00D57946" w:rsidP="00D57946">
      <w:pPr>
        <w:pStyle w:val="Bullet"/>
        <w:numPr>
          <w:ilvl w:val="0"/>
          <w:numId w:val="0"/>
        </w:numPr>
      </w:pPr>
    </w:p>
    <w:p w14:paraId="504701B6" w14:textId="2161FB57" w:rsidR="00BE2C8C" w:rsidRPr="005D750B" w:rsidRDefault="00BE2C8C" w:rsidP="005D750B">
      <w:pPr>
        <w:pStyle w:val="CalloutBoxHeading"/>
      </w:pPr>
      <w:r w:rsidRPr="005D750B">
        <w:lastRenderedPageBreak/>
        <w:t>C</w:t>
      </w:r>
      <w:r w:rsidR="005D750B">
        <w:t>ase study</w:t>
      </w:r>
      <w:r w:rsidRPr="005D750B">
        <w:t xml:space="preserve">: Facial </w:t>
      </w:r>
      <w:r w:rsidR="005D750B">
        <w:t>r</w:t>
      </w:r>
      <w:r w:rsidRPr="005D750B">
        <w:t>ecognition red flags underpayment</w:t>
      </w:r>
      <w:r w:rsidR="00594634">
        <w:rPr>
          <w:rStyle w:val="FootnoteReference"/>
        </w:rPr>
        <w:footnoteReference w:id="6"/>
      </w:r>
    </w:p>
    <w:p w14:paraId="4F19953B" w14:textId="31E807A3" w:rsidR="00BE2C8C" w:rsidRPr="00C20BF1" w:rsidRDefault="008252CD" w:rsidP="005D750B">
      <w:pPr>
        <w:pStyle w:val="Calloutbox"/>
        <w:rPr>
          <w:lang w:eastAsia="en-AU"/>
        </w:rPr>
      </w:pPr>
      <w:r>
        <w:rPr>
          <w:lang w:eastAsia="en-AU"/>
        </w:rPr>
        <w:t xml:space="preserve">The </w:t>
      </w:r>
      <w:r w:rsidR="00BE2C8C">
        <w:rPr>
          <w:lang w:eastAsia="en-AU"/>
        </w:rPr>
        <w:t xml:space="preserve">CCM system </w:t>
      </w:r>
      <w:r w:rsidR="00BE2C8C" w:rsidRPr="00C20BF1">
        <w:rPr>
          <w:lang w:eastAsia="en-AU"/>
        </w:rPr>
        <w:t xml:space="preserve">identified an anomaly at a store </w:t>
      </w:r>
      <w:r w:rsidR="00BE2C8C">
        <w:rPr>
          <w:lang w:eastAsia="en-AU"/>
        </w:rPr>
        <w:t>where</w:t>
      </w:r>
      <w:r w:rsidR="00BE2C8C" w:rsidRPr="00C20BF1">
        <w:rPr>
          <w:lang w:eastAsia="en-AU"/>
        </w:rPr>
        <w:t xml:space="preserve"> </w:t>
      </w:r>
      <w:r>
        <w:rPr>
          <w:lang w:eastAsia="en-AU"/>
        </w:rPr>
        <w:t xml:space="preserve">3 </w:t>
      </w:r>
      <w:r w:rsidR="00BE2C8C" w:rsidRPr="00C20BF1">
        <w:rPr>
          <w:lang w:eastAsia="en-AU"/>
        </w:rPr>
        <w:t xml:space="preserve">employees </w:t>
      </w:r>
      <w:r w:rsidR="00BE2C8C">
        <w:rPr>
          <w:lang w:eastAsia="en-AU"/>
        </w:rPr>
        <w:t>had</w:t>
      </w:r>
      <w:r w:rsidR="00BE2C8C" w:rsidRPr="00C20BF1">
        <w:rPr>
          <w:lang w:eastAsia="en-AU"/>
        </w:rPr>
        <w:t xml:space="preserve"> </w:t>
      </w:r>
      <w:r>
        <w:rPr>
          <w:lang w:eastAsia="en-AU"/>
        </w:rPr>
        <w:t xml:space="preserve">discrepancies </w:t>
      </w:r>
      <w:r w:rsidR="00BE2C8C" w:rsidRPr="00C20BF1">
        <w:rPr>
          <w:lang w:eastAsia="en-AU"/>
        </w:rPr>
        <w:t xml:space="preserve">greater than 30 minutes between their </w:t>
      </w:r>
      <w:r w:rsidR="00BE2C8C">
        <w:rPr>
          <w:lang w:eastAsia="en-AU"/>
        </w:rPr>
        <w:t xml:space="preserve">Kronos </w:t>
      </w:r>
      <w:r w:rsidR="00BE2C8C" w:rsidRPr="00C20BF1">
        <w:rPr>
          <w:lang w:eastAsia="en-AU"/>
        </w:rPr>
        <w:t xml:space="preserve">timecards </w:t>
      </w:r>
      <w:r>
        <w:rPr>
          <w:lang w:eastAsia="en-AU"/>
        </w:rPr>
        <w:t xml:space="preserve">and </w:t>
      </w:r>
      <w:r w:rsidR="00BE2C8C">
        <w:rPr>
          <w:lang w:eastAsia="en-AU"/>
        </w:rPr>
        <w:t>facial recognition camera</w:t>
      </w:r>
      <w:r>
        <w:rPr>
          <w:lang w:eastAsia="en-AU"/>
        </w:rPr>
        <w:t xml:space="preserve"> images.</w:t>
      </w:r>
    </w:p>
    <w:p w14:paraId="237EEAC7" w14:textId="77777777" w:rsidR="00BE2C8C" w:rsidRPr="00C20BF1" w:rsidRDefault="00BE2C8C" w:rsidP="005D750B">
      <w:pPr>
        <w:pStyle w:val="Calloutbox"/>
        <w:rPr>
          <w:lang w:eastAsia="en-AU"/>
        </w:rPr>
      </w:pPr>
      <w:r>
        <w:rPr>
          <w:lang w:eastAsia="en-AU"/>
        </w:rPr>
        <w:t xml:space="preserve">A 7-Eleven head office representative found </w:t>
      </w:r>
      <w:r w:rsidRPr="00C20BF1">
        <w:rPr>
          <w:lang w:eastAsia="en-AU"/>
        </w:rPr>
        <w:t xml:space="preserve">one employee’s facial recognition images exceeded the Kronos paid shift by 66 minutes, </w:t>
      </w:r>
      <w:r w:rsidR="008252CD">
        <w:rPr>
          <w:lang w:eastAsia="en-AU"/>
        </w:rPr>
        <w:t>meaning a potential underpayment.</w:t>
      </w:r>
    </w:p>
    <w:p w14:paraId="57018ED0" w14:textId="116D023A" w:rsidR="008252CD" w:rsidRDefault="00594634" w:rsidP="005D750B">
      <w:pPr>
        <w:pStyle w:val="Calloutbox"/>
        <w:rPr>
          <w:lang w:eastAsia="en-AU"/>
        </w:rPr>
      </w:pPr>
      <w:r>
        <w:rPr>
          <w:lang w:eastAsia="en-AU"/>
        </w:rPr>
        <w:t xml:space="preserve">7-Eleven head office representatives then </w:t>
      </w:r>
      <w:r w:rsidR="00BE2C8C">
        <w:rPr>
          <w:lang w:eastAsia="en-AU"/>
        </w:rPr>
        <w:t>visited the store and reviewed CCTV footage.</w:t>
      </w:r>
      <w:r w:rsidR="008252CD">
        <w:rPr>
          <w:lang w:eastAsia="en-AU"/>
        </w:rPr>
        <w:t xml:space="preserve"> </w:t>
      </w:r>
    </w:p>
    <w:p w14:paraId="71D09614" w14:textId="77777777" w:rsidR="00BE2C8C" w:rsidRPr="00C20BF1" w:rsidRDefault="008252CD" w:rsidP="005D750B">
      <w:pPr>
        <w:pStyle w:val="Calloutbox"/>
        <w:rPr>
          <w:lang w:eastAsia="en-AU"/>
        </w:rPr>
      </w:pPr>
      <w:r>
        <w:rPr>
          <w:lang w:eastAsia="en-AU"/>
        </w:rPr>
        <w:t xml:space="preserve">The employee had been </w:t>
      </w:r>
      <w:r w:rsidR="00BE2C8C" w:rsidRPr="00C20BF1">
        <w:rPr>
          <w:lang w:eastAsia="en-AU"/>
        </w:rPr>
        <w:t>paid for a shift from 07:00 to 14:00</w:t>
      </w:r>
      <w:r>
        <w:rPr>
          <w:lang w:eastAsia="en-AU"/>
        </w:rPr>
        <w:t xml:space="preserve"> but </w:t>
      </w:r>
      <w:proofErr w:type="gramStart"/>
      <w:r w:rsidR="00BE2C8C" w:rsidRPr="00C20BF1">
        <w:rPr>
          <w:lang w:eastAsia="en-AU"/>
        </w:rPr>
        <w:t>actually worked</w:t>
      </w:r>
      <w:proofErr w:type="gramEnd"/>
      <w:r w:rsidR="00BE2C8C" w:rsidRPr="00C20BF1">
        <w:rPr>
          <w:lang w:eastAsia="en-AU"/>
        </w:rPr>
        <w:t xml:space="preserve"> from 06:55 to 15:06.</w:t>
      </w:r>
    </w:p>
    <w:p w14:paraId="6A1A7945" w14:textId="77777777" w:rsidR="00BE2C8C" w:rsidRPr="00C20BF1" w:rsidRDefault="00BE2C8C" w:rsidP="008252CD">
      <w:pPr>
        <w:pStyle w:val="Calloutbox"/>
        <w:rPr>
          <w:lang w:eastAsia="en-AU"/>
        </w:rPr>
      </w:pPr>
      <w:r w:rsidRPr="00C20BF1">
        <w:rPr>
          <w:lang w:eastAsia="en-AU"/>
        </w:rPr>
        <w:t xml:space="preserve">A timesheet review </w:t>
      </w:r>
      <w:r w:rsidR="008252CD">
        <w:rPr>
          <w:lang w:eastAsia="en-AU"/>
        </w:rPr>
        <w:t xml:space="preserve">showed </w:t>
      </w:r>
      <w:r w:rsidRPr="00C20BF1">
        <w:rPr>
          <w:lang w:eastAsia="en-AU"/>
        </w:rPr>
        <w:t xml:space="preserve">the team member </w:t>
      </w:r>
      <w:r w:rsidR="008252CD">
        <w:rPr>
          <w:lang w:eastAsia="en-AU"/>
        </w:rPr>
        <w:t>didn’</w:t>
      </w:r>
      <w:r w:rsidRPr="00C20BF1">
        <w:rPr>
          <w:lang w:eastAsia="en-AU"/>
        </w:rPr>
        <w:t>t clock off after his shift and so the franchisee entered a manual punc</w:t>
      </w:r>
      <w:r w:rsidR="008252CD">
        <w:rPr>
          <w:lang w:eastAsia="en-AU"/>
        </w:rPr>
        <w:t>h for his rostered finish time.</w:t>
      </w:r>
    </w:p>
    <w:p w14:paraId="6F290E1E" w14:textId="636F706A" w:rsidR="00594634" w:rsidRPr="00594634" w:rsidRDefault="00BE2C8C" w:rsidP="00594634">
      <w:pPr>
        <w:pStyle w:val="Calloutbox"/>
        <w:rPr>
          <w:lang w:eastAsia="en-AU"/>
        </w:rPr>
      </w:pPr>
      <w:r w:rsidRPr="00C20BF1">
        <w:rPr>
          <w:lang w:eastAsia="en-AU"/>
        </w:rPr>
        <w:t xml:space="preserve">The </w:t>
      </w:r>
      <w:r>
        <w:rPr>
          <w:lang w:eastAsia="en-AU"/>
        </w:rPr>
        <w:t>f</w:t>
      </w:r>
      <w:r w:rsidRPr="00C20BF1">
        <w:rPr>
          <w:lang w:eastAsia="en-AU"/>
        </w:rPr>
        <w:t xml:space="preserve">ranchisee agreed </w:t>
      </w:r>
      <w:r>
        <w:rPr>
          <w:lang w:eastAsia="en-AU"/>
        </w:rPr>
        <w:t>to</w:t>
      </w:r>
      <w:r w:rsidRPr="00C20BF1">
        <w:rPr>
          <w:lang w:eastAsia="en-AU"/>
        </w:rPr>
        <w:t xml:space="preserve"> rectify the underpayment </w:t>
      </w:r>
      <w:r w:rsidR="008252CD">
        <w:rPr>
          <w:lang w:eastAsia="en-AU"/>
        </w:rPr>
        <w:t>via a payroll a</w:t>
      </w:r>
      <w:r>
        <w:rPr>
          <w:lang w:eastAsia="en-AU"/>
        </w:rPr>
        <w:t xml:space="preserve">djustment </w:t>
      </w:r>
      <w:r w:rsidR="008252CD">
        <w:rPr>
          <w:lang w:eastAsia="en-AU"/>
        </w:rPr>
        <w:t xml:space="preserve">and </w:t>
      </w:r>
      <w:r w:rsidRPr="00C20BF1">
        <w:rPr>
          <w:lang w:eastAsia="en-AU"/>
        </w:rPr>
        <w:t xml:space="preserve">the action </w:t>
      </w:r>
      <w:r w:rsidR="008252CD">
        <w:rPr>
          <w:lang w:eastAsia="en-AU"/>
        </w:rPr>
        <w:t xml:space="preserve">was </w:t>
      </w:r>
      <w:r w:rsidRPr="00C20BF1">
        <w:rPr>
          <w:lang w:eastAsia="en-AU"/>
        </w:rPr>
        <w:t>documented in 7-Eleven’s Franchisee Relati</w:t>
      </w:r>
      <w:bookmarkStart w:id="3" w:name="_Toc25742574"/>
      <w:r w:rsidR="00393CAF">
        <w:rPr>
          <w:lang w:eastAsia="en-AU"/>
        </w:rPr>
        <w:t>onship Management (FRM) system.</w:t>
      </w:r>
    </w:p>
    <w:p w14:paraId="6E679AA4" w14:textId="77777777" w:rsidR="00D57946" w:rsidRDefault="00D57946" w:rsidP="00D57946">
      <w:pPr>
        <w:pStyle w:val="Heading3"/>
      </w:pPr>
    </w:p>
    <w:p w14:paraId="08665E17" w14:textId="23C59811" w:rsidR="00BE2C8C" w:rsidRPr="00D57946" w:rsidRDefault="00BE2C8C" w:rsidP="00D57946">
      <w:pPr>
        <w:pStyle w:val="Heading3"/>
      </w:pPr>
      <w:r>
        <w:t xml:space="preserve">Payroll </w:t>
      </w:r>
      <w:bookmarkEnd w:id="3"/>
      <w:r w:rsidR="00393CAF">
        <w:t>and payments</w:t>
      </w:r>
    </w:p>
    <w:p w14:paraId="5A344D7A" w14:textId="5BDED914" w:rsidR="00BE2C8C" w:rsidRPr="00712580" w:rsidRDefault="00BE2C8C" w:rsidP="005D750B">
      <w:pPr>
        <w:rPr>
          <w:rFonts w:ascii="Calibri" w:hAnsi="Calibri" w:cs="Calibri"/>
          <w:sz w:val="24"/>
          <w:lang w:eastAsia="en-AU"/>
        </w:rPr>
      </w:pPr>
      <w:r w:rsidRPr="007D0510">
        <w:t xml:space="preserve">7-Eleven </w:t>
      </w:r>
      <w:r w:rsidR="005D750B">
        <w:t xml:space="preserve">was required </w:t>
      </w:r>
      <w:r w:rsidRPr="007D0510">
        <w:t>to</w:t>
      </w:r>
      <w:r>
        <w:t xml:space="preserve"> </w:t>
      </w:r>
      <w:r w:rsidRPr="00E07BE3">
        <w:t>implement</w:t>
      </w:r>
      <w:r>
        <w:t xml:space="preserve"> measures to enhance the integrity of payment systems and payroll records used by franchisees</w:t>
      </w:r>
      <w:r w:rsidR="005D750B">
        <w:t xml:space="preserve"> (Clause 5</w:t>
      </w:r>
      <w:r w:rsidR="00504C43">
        <w:t xml:space="preserve"> of the PCD</w:t>
      </w:r>
      <w:r w:rsidR="005D750B">
        <w:t>)</w:t>
      </w:r>
      <w:r w:rsidR="00EC6D6B">
        <w:t>. Payroll systems were enhanced to</w:t>
      </w:r>
      <w:r w:rsidR="005D750B">
        <w:t>:</w:t>
      </w:r>
    </w:p>
    <w:p w14:paraId="238D3935" w14:textId="63891493" w:rsidR="00BE2C8C" w:rsidRDefault="00BE2C8C" w:rsidP="005D750B">
      <w:pPr>
        <w:pStyle w:val="Bullet"/>
      </w:pPr>
      <w:r>
        <w:t>specify minimum rates of pay, with such rates unable to be manually altered by franchisees</w:t>
      </w:r>
    </w:p>
    <w:p w14:paraId="7BD871B4" w14:textId="763E81EB" w:rsidR="00BE2C8C" w:rsidRDefault="00EC6D6B" w:rsidP="005D750B">
      <w:pPr>
        <w:pStyle w:val="Bullet"/>
      </w:pPr>
      <w:r>
        <w:t xml:space="preserve">ensure central approval by 7-Eleven head office of the </w:t>
      </w:r>
      <w:r w:rsidR="00BE2C8C">
        <w:t xml:space="preserve">payment of alternative rates (such as above-award amounts) </w:t>
      </w:r>
    </w:p>
    <w:p w14:paraId="398F0339" w14:textId="5726533D" w:rsidR="00BE2C8C" w:rsidRDefault="00EC6D6B" w:rsidP="005D750B">
      <w:pPr>
        <w:pStyle w:val="Bullet"/>
      </w:pPr>
      <w:r>
        <w:t xml:space="preserve">make </w:t>
      </w:r>
      <w:r w:rsidR="00BE2C8C">
        <w:t xml:space="preserve">payments to staff by electronic funds transfer </w:t>
      </w:r>
      <w:r w:rsidR="005D750B">
        <w:t xml:space="preserve">only </w:t>
      </w:r>
      <w:r w:rsidR="00BE2C8C">
        <w:t>(no cash)</w:t>
      </w:r>
    </w:p>
    <w:p w14:paraId="3E7B6CDC" w14:textId="2A7050A0" w:rsidR="00BE2C8C" w:rsidRPr="005A36F1" w:rsidRDefault="00EC6D6B" w:rsidP="005D750B">
      <w:pPr>
        <w:pStyle w:val="Bullet"/>
      </w:pPr>
      <w:r>
        <w:t xml:space="preserve">ensure </w:t>
      </w:r>
      <w:r w:rsidR="00BE2C8C">
        <w:t xml:space="preserve">payments </w:t>
      </w:r>
      <w:r>
        <w:t xml:space="preserve">were </w:t>
      </w:r>
      <w:r w:rsidR="00BE2C8C">
        <w:t xml:space="preserve">not paid into the bank account of a franchisee, and </w:t>
      </w:r>
      <w:r>
        <w:t xml:space="preserve">that </w:t>
      </w:r>
      <w:r w:rsidR="00BE2C8C" w:rsidRPr="005A36F1">
        <w:t xml:space="preserve">7-Eleven </w:t>
      </w:r>
      <w:r>
        <w:t xml:space="preserve">could </w:t>
      </w:r>
      <w:r w:rsidR="00BE2C8C" w:rsidRPr="005A36F1">
        <w:t xml:space="preserve">proactively identify and investigate any instances where payments for more than one employee are </w:t>
      </w:r>
      <w:r w:rsidR="005D750B">
        <w:t>paid into the same bank account</w:t>
      </w:r>
    </w:p>
    <w:p w14:paraId="200C14E2" w14:textId="77110AFA" w:rsidR="00BE2C8C" w:rsidRPr="00712580" w:rsidRDefault="00EC6D6B" w:rsidP="005D750B">
      <w:pPr>
        <w:pStyle w:val="Bullet"/>
      </w:pPr>
      <w:r>
        <w:t xml:space="preserve">give </w:t>
      </w:r>
      <w:r w:rsidR="005D750B">
        <w:t xml:space="preserve">employees access to </w:t>
      </w:r>
      <w:r w:rsidR="00BE2C8C">
        <w:t>electronic pay</w:t>
      </w:r>
      <w:r w:rsidR="005D750B">
        <w:t xml:space="preserve"> slips.</w:t>
      </w:r>
    </w:p>
    <w:p w14:paraId="0A89D73B" w14:textId="6A207A2A" w:rsidR="00BE2C8C" w:rsidRDefault="00BE2C8C" w:rsidP="005D750B">
      <w:r>
        <w:t>7-Eleven reported that</w:t>
      </w:r>
      <w:r w:rsidR="009330F3">
        <w:t>:</w:t>
      </w:r>
    </w:p>
    <w:p w14:paraId="65129D97" w14:textId="5377B044" w:rsidR="005D750B" w:rsidRDefault="00EC6D6B" w:rsidP="005D750B">
      <w:pPr>
        <w:pStyle w:val="Bullet"/>
      </w:pPr>
      <w:r>
        <w:t xml:space="preserve">using its ADP payroll system, </w:t>
      </w:r>
      <w:r w:rsidR="00BE2C8C">
        <w:t xml:space="preserve">wage </w:t>
      </w:r>
      <w:r w:rsidR="00BE2C8C" w:rsidRPr="00B17E6E">
        <w:t>interpretation</w:t>
      </w:r>
      <w:r w:rsidR="00BE2C8C">
        <w:t>s</w:t>
      </w:r>
      <w:r w:rsidR="00BE2C8C" w:rsidRPr="00B17E6E">
        <w:t xml:space="preserve"> and pay rates </w:t>
      </w:r>
      <w:r w:rsidR="00BE2C8C">
        <w:t>for all industrial instruments in the network are now controlled centrally by</w:t>
      </w:r>
      <w:r w:rsidR="005D750B">
        <w:t xml:space="preserve"> h</w:t>
      </w:r>
      <w:r w:rsidR="00BE2C8C" w:rsidRPr="00B17E6E">
        <w:t xml:space="preserve">ead </w:t>
      </w:r>
      <w:r w:rsidR="005D750B">
        <w:t>o</w:t>
      </w:r>
      <w:r w:rsidR="00BE2C8C" w:rsidRPr="00B17E6E">
        <w:t>ffice</w:t>
      </w:r>
    </w:p>
    <w:p w14:paraId="16349BAD" w14:textId="77777777" w:rsidR="00BE2C8C" w:rsidRDefault="00BE2C8C" w:rsidP="005D750B">
      <w:pPr>
        <w:pStyle w:val="Bullet"/>
      </w:pPr>
      <w:r>
        <w:t>r</w:t>
      </w:r>
      <w:r w:rsidRPr="00C95E9C">
        <w:t>ates of pay interface with the Kronos biometric time clock system to allow stores to model weekly labour costs when developing their rosters</w:t>
      </w:r>
    </w:p>
    <w:p w14:paraId="7B44EBF3" w14:textId="77777777" w:rsidR="00BE2C8C" w:rsidRPr="006E6194" w:rsidRDefault="00BE2C8C" w:rsidP="005D750B">
      <w:pPr>
        <w:pStyle w:val="Bullet"/>
      </w:pPr>
      <w:r>
        <w:t>o</w:t>
      </w:r>
      <w:r w:rsidRPr="00B17E6E">
        <w:t xml:space="preserve">nly </w:t>
      </w:r>
      <w:r>
        <w:t>7-Eleven head office p</w:t>
      </w:r>
      <w:r w:rsidRPr="00B17E6E">
        <w:t xml:space="preserve">ayroll </w:t>
      </w:r>
      <w:r w:rsidRPr="006E6194">
        <w:t xml:space="preserve">personnel </w:t>
      </w:r>
      <w:proofErr w:type="gramStart"/>
      <w:r w:rsidRPr="006E6194">
        <w:t>are able to</w:t>
      </w:r>
      <w:proofErr w:type="gramEnd"/>
      <w:r w:rsidRPr="006E6194">
        <w:t xml:space="preserve"> update pay </w:t>
      </w:r>
      <w:r w:rsidR="005D750B">
        <w:t xml:space="preserve">rates </w:t>
      </w:r>
      <w:r w:rsidRPr="006E6194">
        <w:t xml:space="preserve">in </w:t>
      </w:r>
      <w:r>
        <w:t>the system</w:t>
      </w:r>
      <w:r w:rsidRPr="006E6194">
        <w:t xml:space="preserve"> </w:t>
      </w:r>
    </w:p>
    <w:p w14:paraId="1E1CBAA5" w14:textId="77777777" w:rsidR="005D750B" w:rsidRDefault="00BE2C8C" w:rsidP="005D750B">
      <w:pPr>
        <w:pStyle w:val="Bullet"/>
      </w:pPr>
      <w:r>
        <w:t>a</w:t>
      </w:r>
      <w:r w:rsidRPr="006E6194">
        <w:t xml:space="preserve">ll employees are paid by electronic funds transfer and </w:t>
      </w:r>
      <w:proofErr w:type="gramStart"/>
      <w:r w:rsidRPr="006E6194">
        <w:t>are able to</w:t>
      </w:r>
      <w:proofErr w:type="gramEnd"/>
      <w:r w:rsidRPr="006E6194">
        <w:t xml:space="preserve"> access their pay</w:t>
      </w:r>
      <w:r w:rsidR="005D750B">
        <w:t xml:space="preserve"> </w:t>
      </w:r>
      <w:r w:rsidRPr="006E6194">
        <w:t>slips electronically via</w:t>
      </w:r>
      <w:r>
        <w:t xml:space="preserve"> the cloud-based</w:t>
      </w:r>
      <w:r w:rsidRPr="006E6194">
        <w:t xml:space="preserve"> </w:t>
      </w:r>
      <w:r w:rsidRPr="006C56D5">
        <w:rPr>
          <w:i/>
        </w:rPr>
        <w:t>Workday</w:t>
      </w:r>
      <w:r w:rsidRPr="00EA5868">
        <w:rPr>
          <w:i/>
        </w:rPr>
        <w:t xml:space="preserve"> </w:t>
      </w:r>
      <w:r>
        <w:t>system</w:t>
      </w:r>
    </w:p>
    <w:p w14:paraId="4F311F09" w14:textId="50F806EF" w:rsidR="00393CAF" w:rsidRDefault="00BE2C8C" w:rsidP="005D750B">
      <w:pPr>
        <w:pStyle w:val="Bullet"/>
      </w:pPr>
      <w:r w:rsidRPr="006E6194">
        <w:t xml:space="preserve">protocols and controls </w:t>
      </w:r>
      <w:r w:rsidR="00EC6D6B">
        <w:t xml:space="preserve">are </w:t>
      </w:r>
      <w:r w:rsidR="00393CAF">
        <w:t xml:space="preserve">in place </w:t>
      </w:r>
      <w:r w:rsidRPr="006E6194">
        <w:t>with respect to bank accounts authorised to</w:t>
      </w:r>
      <w:r w:rsidR="00393CAF">
        <w:t xml:space="preserve"> receive pays</w:t>
      </w:r>
    </w:p>
    <w:p w14:paraId="481C758D" w14:textId="77777777" w:rsidR="00EC6D6B" w:rsidRPr="00EC6D6B" w:rsidRDefault="00EC6D6B" w:rsidP="005D750B">
      <w:pPr>
        <w:pStyle w:val="Bullet"/>
        <w:rPr>
          <w:rFonts w:eastAsia="Tahoma"/>
        </w:rPr>
      </w:pPr>
      <w:r>
        <w:lastRenderedPageBreak/>
        <w:t xml:space="preserve">the </w:t>
      </w:r>
      <w:r w:rsidR="00BE2C8C" w:rsidRPr="00E0001F">
        <w:t>CCM data analysis platform</w:t>
      </w:r>
      <w:r w:rsidR="00BE2C8C">
        <w:t xml:space="preserve"> incorporates </w:t>
      </w:r>
      <w:r w:rsidR="00BE2C8C" w:rsidRPr="00E0001F">
        <w:t>payroll information</w:t>
      </w:r>
      <w:r w:rsidR="00393CAF">
        <w:t xml:space="preserve"> </w:t>
      </w:r>
      <w:r w:rsidR="00BE2C8C" w:rsidRPr="00E0001F">
        <w:t xml:space="preserve">and </w:t>
      </w:r>
      <w:r w:rsidR="00BE2C8C">
        <w:t xml:space="preserve">reports on </w:t>
      </w:r>
      <w:proofErr w:type="gramStart"/>
      <w:r w:rsidR="00BE2C8C">
        <w:t>a number of</w:t>
      </w:r>
      <w:proofErr w:type="gramEnd"/>
      <w:r w:rsidR="00BE2C8C">
        <w:t xml:space="preserve"> existing rules </w:t>
      </w:r>
      <w:r w:rsidR="00393CAF">
        <w:t xml:space="preserve">e.g. </w:t>
      </w:r>
      <w:r w:rsidR="00BE2C8C" w:rsidRPr="00003278">
        <w:t xml:space="preserve">low </w:t>
      </w:r>
      <w:r w:rsidR="00393CAF">
        <w:t xml:space="preserve">work </w:t>
      </w:r>
      <w:r w:rsidR="00BE2C8C" w:rsidRPr="00003278">
        <w:t xml:space="preserve">hours versus operating hours </w:t>
      </w:r>
      <w:r w:rsidR="00BE2C8C" w:rsidRPr="005A36F1">
        <w:t xml:space="preserve">and </w:t>
      </w:r>
      <w:r w:rsidR="00BE2C8C" w:rsidRPr="00393CAF">
        <w:rPr>
          <w:rFonts w:eastAsia="Tahoma"/>
        </w:rPr>
        <w:t>revenue/transaction volume</w:t>
      </w:r>
      <w:r w:rsidR="00BE2C8C" w:rsidRPr="005A36F1">
        <w:t>s</w:t>
      </w:r>
      <w:r w:rsidR="00393CAF" w:rsidRPr="00393CAF">
        <w:rPr>
          <w:rFonts w:eastAsia="Tahoma"/>
        </w:rPr>
        <w:t xml:space="preserve">, </w:t>
      </w:r>
      <w:r w:rsidR="00BE2C8C" w:rsidRPr="00393CAF">
        <w:rPr>
          <w:rFonts w:eastAsia="Tahoma"/>
        </w:rPr>
        <w:t xml:space="preserve">excessive hours </w:t>
      </w:r>
      <w:r w:rsidR="00BE2C8C" w:rsidRPr="005A36F1">
        <w:t xml:space="preserve">reported </w:t>
      </w:r>
      <w:r w:rsidR="00393CAF" w:rsidRPr="00393CAF">
        <w:rPr>
          <w:rFonts w:eastAsia="Tahoma"/>
        </w:rPr>
        <w:t xml:space="preserve">by a single employee, </w:t>
      </w:r>
      <w:r w:rsidR="00BE2C8C" w:rsidRPr="00393CAF">
        <w:rPr>
          <w:rFonts w:eastAsia="Tahoma"/>
        </w:rPr>
        <w:t>shared bank account numbers</w:t>
      </w:r>
      <w:r w:rsidR="00BE2C8C" w:rsidRPr="005A36F1">
        <w:t xml:space="preserve"> within a particular franchise</w:t>
      </w:r>
    </w:p>
    <w:p w14:paraId="1FC6A4BF" w14:textId="1C1AB848" w:rsidR="00BE2C8C" w:rsidRPr="00EC6D6B" w:rsidRDefault="00EC6D6B" w:rsidP="005D750B">
      <w:pPr>
        <w:pStyle w:val="Bullet"/>
        <w:rPr>
          <w:rFonts w:eastAsia="Tahoma"/>
        </w:rPr>
      </w:pPr>
      <w:r>
        <w:t xml:space="preserve">the </w:t>
      </w:r>
      <w:r w:rsidR="00393CAF">
        <w:t>Assurance Team follows up payroll anomalies</w:t>
      </w:r>
      <w:r w:rsidR="00BE2C8C">
        <w:t xml:space="preserve"> as part of</w:t>
      </w:r>
      <w:r w:rsidR="00393CAF">
        <w:t xml:space="preserve"> its regular weekly reviews.</w:t>
      </w:r>
    </w:p>
    <w:p w14:paraId="22AB0642" w14:textId="77777777" w:rsidR="007D2B23" w:rsidRDefault="007D2B23" w:rsidP="0079462D">
      <w:pPr>
        <w:pStyle w:val="Heading3"/>
      </w:pPr>
      <w:r>
        <w:t>Employee helpline and email service</w:t>
      </w:r>
    </w:p>
    <w:p w14:paraId="161BE7C6" w14:textId="617908C2" w:rsidR="007D2B23" w:rsidRPr="00D64968" w:rsidRDefault="007D2B23" w:rsidP="007D2B23">
      <w:r>
        <w:t xml:space="preserve">7-Eleven established a </w:t>
      </w:r>
      <w:r w:rsidRPr="00E07BE3">
        <w:t>dedicated</w:t>
      </w:r>
      <w:r>
        <w:t>, anonymous</w:t>
      </w:r>
      <w:r w:rsidRPr="00E07BE3">
        <w:t xml:space="preserve"> h</w:t>
      </w:r>
      <w:r>
        <w:t>e</w:t>
      </w:r>
      <w:r w:rsidRPr="00E07BE3">
        <w:t>l</w:t>
      </w:r>
      <w:r>
        <w:t>pl</w:t>
      </w:r>
      <w:r w:rsidRPr="00E07BE3">
        <w:t xml:space="preserve">ine and email </w:t>
      </w:r>
      <w:r>
        <w:t>service with access to an interpreter facility, for e</w:t>
      </w:r>
      <w:r w:rsidRPr="00E07BE3">
        <w:t>mployees and the public</w:t>
      </w:r>
      <w:r>
        <w:t xml:space="preserve"> to enquire</w:t>
      </w:r>
      <w:r w:rsidRPr="00E07BE3">
        <w:t xml:space="preserve">, </w:t>
      </w:r>
      <w:r>
        <w:t>complain</w:t>
      </w:r>
      <w:r w:rsidRPr="00E07BE3">
        <w:t xml:space="preserve"> o</w:t>
      </w:r>
      <w:r>
        <w:t>r</w:t>
      </w:r>
      <w:r w:rsidRPr="00E07BE3">
        <w:t xml:space="preserve"> report non-compliance, including </w:t>
      </w:r>
      <w:r>
        <w:t xml:space="preserve">wages </w:t>
      </w:r>
      <w:r w:rsidRPr="00E07BE3">
        <w:t>unde</w:t>
      </w:r>
      <w:r>
        <w:t>rpayments (Clause 8</w:t>
      </w:r>
      <w:r w:rsidR="00504C43">
        <w:t xml:space="preserve"> of the PCD</w:t>
      </w:r>
      <w:r>
        <w:t>).</w:t>
      </w:r>
      <w:r w:rsidRPr="00D64968">
        <w:t xml:space="preserve"> Claims could also be </w:t>
      </w:r>
      <w:r>
        <w:t>submitted via the 7-Eleven website</w:t>
      </w:r>
      <w:r w:rsidRPr="00D64968">
        <w:t>.</w:t>
      </w:r>
    </w:p>
    <w:p w14:paraId="47974995" w14:textId="1489E7CA" w:rsidR="007D2B23" w:rsidRDefault="00EC6D6B" w:rsidP="007D2B23">
      <w:r>
        <w:t xml:space="preserve">7-Eleven reported that all </w:t>
      </w:r>
      <w:r w:rsidR="007D2B23">
        <w:t xml:space="preserve">employees were advised about the helpline and email service </w:t>
      </w:r>
      <w:r w:rsidR="007D2B23" w:rsidRPr="00E07BE3">
        <w:t>and details were published on 7-Eleven’s public website</w:t>
      </w:r>
      <w:r w:rsidR="007D2B23">
        <w:t>. Details of the helpline were included in new employee training.</w:t>
      </w:r>
    </w:p>
    <w:p w14:paraId="11EEAAE1" w14:textId="77777777" w:rsidR="00FC7B74" w:rsidRDefault="00FC7B74" w:rsidP="0079462D">
      <w:pPr>
        <w:pStyle w:val="Heading3"/>
      </w:pPr>
      <w:r>
        <w:t>Wage costing disclosure</w:t>
      </w:r>
    </w:p>
    <w:p w14:paraId="0C1E33BC" w14:textId="3B802D52" w:rsidR="00FC7B74" w:rsidRDefault="00EC6D6B" w:rsidP="00FC7B74">
      <w:r>
        <w:t>7-Eleven reported that p</w:t>
      </w:r>
      <w:r w:rsidR="00FC7B74">
        <w:t xml:space="preserve">rospective franchisees are now issued a wage costing disclosure prior to the sale of </w:t>
      </w:r>
      <w:r w:rsidR="00FC7B74" w:rsidRPr="00BF269F">
        <w:t xml:space="preserve">any new or existing </w:t>
      </w:r>
      <w:r w:rsidR="00FC7B74">
        <w:t>f</w:t>
      </w:r>
      <w:r w:rsidR="00FC7B74" w:rsidRPr="00BF269F">
        <w:t>ranchise</w:t>
      </w:r>
      <w:r w:rsidR="00FC7B74">
        <w:t xml:space="preserve"> (Clause 13</w:t>
      </w:r>
      <w:r w:rsidR="00504C43">
        <w:t xml:space="preserve"> of the PCD</w:t>
      </w:r>
      <w:r w:rsidR="00FC7B74">
        <w:t>)</w:t>
      </w:r>
      <w:r>
        <w:t xml:space="preserve">, </w:t>
      </w:r>
      <w:r w:rsidR="00FC7B74">
        <w:t>outlin</w:t>
      </w:r>
      <w:r>
        <w:t>ing</w:t>
      </w:r>
      <w:r w:rsidR="00FC7B74">
        <w:t>:</w:t>
      </w:r>
    </w:p>
    <w:p w14:paraId="7DB37D66" w14:textId="77777777" w:rsidR="00FC7B74" w:rsidRDefault="00FC7B74" w:rsidP="00FC7B74">
      <w:pPr>
        <w:pStyle w:val="Bullet"/>
      </w:pPr>
      <w:r>
        <w:t>wages and entitlements under the applicable Fair Work instrument</w:t>
      </w:r>
    </w:p>
    <w:p w14:paraId="69DEA48B" w14:textId="77777777" w:rsidR="00FC7B74" w:rsidRDefault="00FC7B74" w:rsidP="00FC7B74">
      <w:pPr>
        <w:pStyle w:val="Bullet"/>
      </w:pPr>
      <w:r>
        <w:t xml:space="preserve">detailed wage modelling, </w:t>
      </w:r>
      <w:r w:rsidRPr="00BF269F">
        <w:t>verified by 7-Eleven senior management</w:t>
      </w:r>
      <w:r>
        <w:t xml:space="preserve">, outlining cost expectations for a 7-Eleven store </w:t>
      </w:r>
    </w:p>
    <w:p w14:paraId="1D5B5751" w14:textId="77777777" w:rsidR="00FC7B74" w:rsidRDefault="00FC7B74" w:rsidP="00FC7B74">
      <w:pPr>
        <w:pStyle w:val="Bullet"/>
      </w:pPr>
      <w:r>
        <w:t>the minimum working hours required to operate a store</w:t>
      </w:r>
    </w:p>
    <w:p w14:paraId="54318AB4" w14:textId="77777777" w:rsidR="00FC7B74" w:rsidRDefault="00FC7B74" w:rsidP="00FC7B74">
      <w:pPr>
        <w:pStyle w:val="Bullet"/>
      </w:pPr>
      <w:r>
        <w:t>details of the income and expenditure for the specific store for the previous two years.</w:t>
      </w:r>
    </w:p>
    <w:p w14:paraId="0BA2F1C9" w14:textId="77777777" w:rsidR="00FC7B74" w:rsidRPr="00002D3E" w:rsidRDefault="00FC7B74" w:rsidP="00FC7B74">
      <w:pPr>
        <w:rPr>
          <w:szCs w:val="22"/>
          <w:lang w:eastAsia="en-AU"/>
        </w:rPr>
      </w:pPr>
      <w:r w:rsidRPr="00002D3E">
        <w:rPr>
          <w:szCs w:val="22"/>
          <w:lang w:eastAsia="en-AU"/>
        </w:rPr>
        <w:t>In addition, a ‘Statement as to labour costs’ is provided to franchisees</w:t>
      </w:r>
      <w:r>
        <w:rPr>
          <w:szCs w:val="22"/>
          <w:lang w:eastAsia="en-AU"/>
        </w:rPr>
        <w:t xml:space="preserve"> with </w:t>
      </w:r>
      <w:r w:rsidRPr="00002D3E">
        <w:rPr>
          <w:szCs w:val="22"/>
          <w:lang w:eastAsia="en-AU"/>
        </w:rPr>
        <w:t xml:space="preserve">guidelines on </w:t>
      </w:r>
      <w:r>
        <w:rPr>
          <w:szCs w:val="22"/>
          <w:lang w:eastAsia="en-AU"/>
        </w:rPr>
        <w:t>anticipated</w:t>
      </w:r>
      <w:r w:rsidRPr="00002D3E">
        <w:rPr>
          <w:szCs w:val="22"/>
          <w:lang w:eastAsia="en-AU"/>
        </w:rPr>
        <w:t xml:space="preserve"> total labour costs based on </w:t>
      </w:r>
      <w:r>
        <w:rPr>
          <w:szCs w:val="22"/>
          <w:lang w:eastAsia="en-AU"/>
        </w:rPr>
        <w:t xml:space="preserve">several </w:t>
      </w:r>
      <w:r w:rsidRPr="00002D3E">
        <w:rPr>
          <w:szCs w:val="22"/>
          <w:lang w:eastAsia="en-AU"/>
        </w:rPr>
        <w:t xml:space="preserve">scenarios. </w:t>
      </w:r>
    </w:p>
    <w:p w14:paraId="03E963E8" w14:textId="357F7B2E" w:rsidR="006B59F9" w:rsidRDefault="006B59F9" w:rsidP="0079462D">
      <w:pPr>
        <w:pStyle w:val="Heading2"/>
      </w:pPr>
      <w:r>
        <w:t>Self-resolution of workplace disputes</w:t>
      </w:r>
    </w:p>
    <w:p w14:paraId="2BAA6DDC" w14:textId="18D741CC" w:rsidR="009202D5" w:rsidRPr="009202D5" w:rsidRDefault="009202D5" w:rsidP="0079462D">
      <w:pPr>
        <w:pStyle w:val="Heading3"/>
      </w:pPr>
      <w:r>
        <w:t xml:space="preserve">Wage </w:t>
      </w:r>
      <w:r w:rsidR="001739D9">
        <w:t>r</w:t>
      </w:r>
      <w:r>
        <w:t xml:space="preserve">epayment </w:t>
      </w:r>
      <w:r w:rsidR="001739D9">
        <w:t>p</w:t>
      </w:r>
      <w:r>
        <w:t>rogram</w:t>
      </w:r>
      <w:r w:rsidR="001739D9">
        <w:t>s</w:t>
      </w:r>
    </w:p>
    <w:p w14:paraId="44455BB3" w14:textId="17FB6D5E" w:rsidR="009202D5" w:rsidRPr="00E07BE3" w:rsidRDefault="009202D5" w:rsidP="00AC2DF7">
      <w:r>
        <w:t xml:space="preserve">7-Eleven </w:t>
      </w:r>
      <w:r w:rsidR="00711718">
        <w:t xml:space="preserve">initially </w:t>
      </w:r>
      <w:r>
        <w:t>worked with</w:t>
      </w:r>
      <w:r w:rsidRPr="00E07BE3">
        <w:t xml:space="preserve"> </w:t>
      </w:r>
      <w:r w:rsidR="00D333E0" w:rsidRPr="00CB0E5D">
        <w:t>an independent panel headed by Professor Allan Fels to establish</w:t>
      </w:r>
      <w:r>
        <w:t xml:space="preserve"> a </w:t>
      </w:r>
      <w:r w:rsidR="001739D9">
        <w:t>w</w:t>
      </w:r>
      <w:r>
        <w:t xml:space="preserve">age </w:t>
      </w:r>
      <w:r w:rsidR="001739D9">
        <w:t>r</w:t>
      </w:r>
      <w:r>
        <w:t xml:space="preserve">epayment </w:t>
      </w:r>
      <w:r w:rsidR="001739D9">
        <w:t>p</w:t>
      </w:r>
      <w:r>
        <w:t>rogram</w:t>
      </w:r>
      <w:r w:rsidR="00AC2DF7">
        <w:t xml:space="preserve">. </w:t>
      </w:r>
      <w:r w:rsidR="001739D9">
        <w:t>From May 2016</w:t>
      </w:r>
      <w:r w:rsidR="00711718">
        <w:t xml:space="preserve">, 7-Eleven brought management of the program </w:t>
      </w:r>
      <w:r w:rsidR="001739D9">
        <w:t xml:space="preserve">in-house. </w:t>
      </w:r>
      <w:r w:rsidR="00AC2DF7">
        <w:t>The program</w:t>
      </w:r>
      <w:r w:rsidR="001739D9">
        <w:t>s</w:t>
      </w:r>
      <w:r w:rsidR="00AC2DF7">
        <w:t xml:space="preserve"> approved c</w:t>
      </w:r>
      <w:r w:rsidR="009330F3">
        <w:t xml:space="preserve">laims, </w:t>
      </w:r>
      <w:r w:rsidR="00AC2DF7">
        <w:t>made back-</w:t>
      </w:r>
      <w:r w:rsidR="00AC2DF7" w:rsidRPr="008825EC">
        <w:t xml:space="preserve">payments </w:t>
      </w:r>
      <w:r w:rsidR="00AC2DF7">
        <w:t xml:space="preserve">and was guided by a set of principles and </w:t>
      </w:r>
      <w:r>
        <w:t>c</w:t>
      </w:r>
      <w:r w:rsidRPr="008825EC">
        <w:t>laims assessment methodology</w:t>
      </w:r>
      <w:r w:rsidR="00AC2DF7">
        <w:t xml:space="preserve"> that the FWO had input </w:t>
      </w:r>
      <w:r w:rsidR="00ED5190">
        <w:t>in</w:t>
      </w:r>
      <w:r w:rsidR="00AC2DF7">
        <w:t>to</w:t>
      </w:r>
      <w:r w:rsidR="00AC2DF7">
        <w:rPr>
          <w:rFonts w:eastAsiaTheme="minorHAnsi"/>
          <w:szCs w:val="22"/>
        </w:rPr>
        <w:t xml:space="preserve"> (Clause 2</w:t>
      </w:r>
      <w:r w:rsidR="00504C43">
        <w:rPr>
          <w:rFonts w:eastAsiaTheme="minorHAnsi"/>
          <w:szCs w:val="22"/>
        </w:rPr>
        <w:t xml:space="preserve"> of the PCD</w:t>
      </w:r>
      <w:r w:rsidR="00AC2DF7">
        <w:rPr>
          <w:rFonts w:eastAsiaTheme="minorHAnsi"/>
          <w:szCs w:val="22"/>
        </w:rPr>
        <w:t>).</w:t>
      </w:r>
    </w:p>
    <w:p w14:paraId="33DBC682" w14:textId="77777777" w:rsidR="009202D5" w:rsidRDefault="00AC2DF7" w:rsidP="00AC2DF7">
      <w:pPr>
        <w:rPr>
          <w:lang w:eastAsia="en-AU"/>
        </w:rPr>
      </w:pPr>
      <w:r>
        <w:rPr>
          <w:lang w:eastAsia="en-AU"/>
        </w:rPr>
        <w:t xml:space="preserve">An initial communications program </w:t>
      </w:r>
      <w:r w:rsidR="009202D5">
        <w:rPr>
          <w:lang w:eastAsia="en-AU"/>
        </w:rPr>
        <w:t>contact</w:t>
      </w:r>
      <w:r>
        <w:rPr>
          <w:lang w:eastAsia="en-AU"/>
        </w:rPr>
        <w:t>ed</w:t>
      </w:r>
      <w:r w:rsidR="009202D5">
        <w:rPr>
          <w:lang w:eastAsia="en-AU"/>
        </w:rPr>
        <w:t xml:space="preserve"> former and </w:t>
      </w:r>
      <w:r>
        <w:rPr>
          <w:lang w:eastAsia="en-AU"/>
        </w:rPr>
        <w:t xml:space="preserve">existing </w:t>
      </w:r>
      <w:r w:rsidR="009202D5">
        <w:rPr>
          <w:lang w:eastAsia="en-AU"/>
        </w:rPr>
        <w:t>employees</w:t>
      </w:r>
      <w:r>
        <w:rPr>
          <w:lang w:eastAsia="en-AU"/>
        </w:rPr>
        <w:t xml:space="preserve"> and invited </w:t>
      </w:r>
      <w:r w:rsidR="009202D5">
        <w:rPr>
          <w:lang w:eastAsia="en-AU"/>
        </w:rPr>
        <w:t xml:space="preserve">claimants </w:t>
      </w:r>
      <w:r>
        <w:rPr>
          <w:lang w:eastAsia="en-AU"/>
        </w:rPr>
        <w:t xml:space="preserve">to </w:t>
      </w:r>
      <w:r w:rsidR="009202D5">
        <w:rPr>
          <w:lang w:eastAsia="en-AU"/>
        </w:rPr>
        <w:t xml:space="preserve">submit an </w:t>
      </w:r>
      <w:r>
        <w:rPr>
          <w:lang w:eastAsia="en-AU"/>
        </w:rPr>
        <w:t>e</w:t>
      </w:r>
      <w:r w:rsidR="009202D5">
        <w:rPr>
          <w:lang w:eastAsia="en-AU"/>
        </w:rPr>
        <w:t xml:space="preserve">xpression of </w:t>
      </w:r>
      <w:r>
        <w:rPr>
          <w:lang w:eastAsia="en-AU"/>
        </w:rPr>
        <w:t>i</w:t>
      </w:r>
      <w:r w:rsidR="009202D5">
        <w:rPr>
          <w:lang w:eastAsia="en-AU"/>
        </w:rPr>
        <w:t xml:space="preserve">nterest </w:t>
      </w:r>
      <w:r>
        <w:rPr>
          <w:lang w:eastAsia="en-AU"/>
        </w:rPr>
        <w:t xml:space="preserve">(EOI) with proof of identity and address, </w:t>
      </w:r>
      <w:r w:rsidR="009202D5">
        <w:rPr>
          <w:lang w:eastAsia="en-AU"/>
        </w:rPr>
        <w:t>hours worked</w:t>
      </w:r>
      <w:r>
        <w:rPr>
          <w:lang w:eastAsia="en-AU"/>
        </w:rPr>
        <w:t xml:space="preserve"> and evidence supporting their claim (</w:t>
      </w:r>
      <w:r w:rsidR="009202D5">
        <w:rPr>
          <w:lang w:eastAsia="en-AU"/>
        </w:rPr>
        <w:t>if available</w:t>
      </w:r>
      <w:r>
        <w:rPr>
          <w:lang w:eastAsia="en-AU"/>
        </w:rPr>
        <w:t>)</w:t>
      </w:r>
      <w:r w:rsidR="009202D5">
        <w:rPr>
          <w:lang w:eastAsia="en-AU"/>
        </w:rPr>
        <w:t>.</w:t>
      </w:r>
    </w:p>
    <w:p w14:paraId="115B32F6" w14:textId="3E3E3D37" w:rsidR="009202D5" w:rsidRDefault="00AC2DF7" w:rsidP="009202D5">
      <w:pPr>
        <w:rPr>
          <w:bCs/>
        </w:rPr>
      </w:pPr>
      <w:r>
        <w:rPr>
          <w:bCs/>
        </w:rPr>
        <w:lastRenderedPageBreak/>
        <w:t xml:space="preserve">The FWO was concerned about the </w:t>
      </w:r>
      <w:r w:rsidR="009202D5">
        <w:rPr>
          <w:bCs/>
        </w:rPr>
        <w:t xml:space="preserve">number of </w:t>
      </w:r>
      <w:r w:rsidR="009202D5" w:rsidRPr="00CA0C69">
        <w:rPr>
          <w:bCs/>
        </w:rPr>
        <w:t xml:space="preserve">unsuccessful </w:t>
      </w:r>
      <w:r w:rsidR="009202D5">
        <w:rPr>
          <w:bCs/>
        </w:rPr>
        <w:t>EOIs</w:t>
      </w:r>
      <w:r w:rsidR="009202D5" w:rsidRPr="00CA0C69">
        <w:rPr>
          <w:bCs/>
        </w:rPr>
        <w:t xml:space="preserve"> due to inadequate information provided by </w:t>
      </w:r>
      <w:r w:rsidR="00ED5190">
        <w:rPr>
          <w:bCs/>
        </w:rPr>
        <w:t xml:space="preserve">employee </w:t>
      </w:r>
      <w:r w:rsidR="009202D5" w:rsidRPr="00CA0C69">
        <w:rPr>
          <w:bCs/>
        </w:rPr>
        <w:t>claimants</w:t>
      </w:r>
      <w:r>
        <w:rPr>
          <w:bCs/>
        </w:rPr>
        <w:t xml:space="preserve">. </w:t>
      </w:r>
      <w:r w:rsidR="00D333E0">
        <w:rPr>
          <w:bCs/>
        </w:rPr>
        <w:t xml:space="preserve">We requested that </w:t>
      </w:r>
      <w:r w:rsidR="00D333E0" w:rsidRPr="00CA0C69">
        <w:rPr>
          <w:bCs/>
        </w:rPr>
        <w:t>Deloitte</w:t>
      </w:r>
      <w:r w:rsidR="00D333E0">
        <w:rPr>
          <w:bCs/>
        </w:rPr>
        <w:t xml:space="preserve"> (who was retained as an independent secretariat of the panel) </w:t>
      </w:r>
      <w:r w:rsidR="00ED5190">
        <w:rPr>
          <w:bCs/>
        </w:rPr>
        <w:t xml:space="preserve">enhance </w:t>
      </w:r>
      <w:r w:rsidR="009202D5" w:rsidRPr="00CA0C69">
        <w:rPr>
          <w:bCs/>
        </w:rPr>
        <w:t>communication</w:t>
      </w:r>
      <w:r>
        <w:rPr>
          <w:bCs/>
        </w:rPr>
        <w:t>s</w:t>
      </w:r>
      <w:r w:rsidR="009202D5" w:rsidRPr="00CA0C69">
        <w:rPr>
          <w:bCs/>
        </w:rPr>
        <w:t xml:space="preserve"> with claimants </w:t>
      </w:r>
      <w:r>
        <w:rPr>
          <w:bCs/>
        </w:rPr>
        <w:t xml:space="preserve">about required documentation, including </w:t>
      </w:r>
      <w:r w:rsidR="00ED5190">
        <w:rPr>
          <w:bCs/>
        </w:rPr>
        <w:t>giving</w:t>
      </w:r>
      <w:r>
        <w:rPr>
          <w:bCs/>
        </w:rPr>
        <w:t xml:space="preserve"> examples of information that could assist in </w:t>
      </w:r>
      <w:r w:rsidR="009202D5" w:rsidRPr="00CA0C69">
        <w:rPr>
          <w:bCs/>
        </w:rPr>
        <w:t>determining their claim.</w:t>
      </w:r>
    </w:p>
    <w:p w14:paraId="72BEB0A6" w14:textId="5879FFCE" w:rsidR="00727B17" w:rsidRPr="0015611E" w:rsidRDefault="00711718" w:rsidP="00727B17">
      <w:pPr>
        <w:rPr>
          <w:lang w:eastAsia="en-AU"/>
        </w:rPr>
      </w:pPr>
      <w:r>
        <w:rPr>
          <w:lang w:eastAsia="en-AU"/>
        </w:rPr>
        <w:t xml:space="preserve">Between September 2015 and February 2020, </w:t>
      </w:r>
      <w:r w:rsidR="00D333E0" w:rsidRPr="0015611E">
        <w:rPr>
          <w:lang w:eastAsia="en-AU"/>
        </w:rPr>
        <w:t xml:space="preserve">7-Eleven paid </w:t>
      </w:r>
      <w:r w:rsidR="00D333E0">
        <w:rPr>
          <w:lang w:eastAsia="en-AU"/>
        </w:rPr>
        <w:t xml:space="preserve">back </w:t>
      </w:r>
      <w:r w:rsidR="00727B17" w:rsidRPr="0015611E">
        <w:rPr>
          <w:lang w:eastAsia="en-AU"/>
        </w:rPr>
        <w:t>over $1</w:t>
      </w:r>
      <w:r w:rsidR="00727B17">
        <w:rPr>
          <w:lang w:eastAsia="en-AU"/>
        </w:rPr>
        <w:t xml:space="preserve">73, 610,752 </w:t>
      </w:r>
      <w:r w:rsidR="00727B17" w:rsidRPr="0015611E">
        <w:rPr>
          <w:lang w:eastAsia="en-AU"/>
        </w:rPr>
        <w:t xml:space="preserve">to current and former employees under its </w:t>
      </w:r>
      <w:r w:rsidR="001739D9">
        <w:rPr>
          <w:lang w:eastAsia="en-AU"/>
        </w:rPr>
        <w:t>w</w:t>
      </w:r>
      <w:r w:rsidR="00D333E0">
        <w:rPr>
          <w:lang w:eastAsia="en-AU"/>
        </w:rPr>
        <w:t xml:space="preserve">age </w:t>
      </w:r>
      <w:r w:rsidR="001739D9">
        <w:rPr>
          <w:lang w:eastAsia="en-AU"/>
        </w:rPr>
        <w:t>r</w:t>
      </w:r>
      <w:r w:rsidR="00727B17">
        <w:rPr>
          <w:lang w:eastAsia="en-AU"/>
        </w:rPr>
        <w:t xml:space="preserve">epayment </w:t>
      </w:r>
      <w:r w:rsidR="001739D9">
        <w:rPr>
          <w:lang w:eastAsia="en-AU"/>
        </w:rPr>
        <w:t>p</w:t>
      </w:r>
      <w:r w:rsidR="00727B17">
        <w:rPr>
          <w:lang w:eastAsia="en-AU"/>
        </w:rPr>
        <w:t>rogram</w:t>
      </w:r>
      <w:r w:rsidR="001739D9">
        <w:rPr>
          <w:lang w:eastAsia="en-AU"/>
        </w:rPr>
        <w:t>s</w:t>
      </w:r>
      <w:r w:rsidR="00727B17">
        <w:rPr>
          <w:lang w:eastAsia="en-AU"/>
        </w:rPr>
        <w:t>, comprising</w:t>
      </w:r>
      <w:r w:rsidR="00727B17" w:rsidRPr="0015611E">
        <w:rPr>
          <w:lang w:eastAsia="en-AU"/>
        </w:rPr>
        <w:t>:</w:t>
      </w:r>
    </w:p>
    <w:p w14:paraId="188BD3BB" w14:textId="77777777" w:rsidR="00727B17" w:rsidRPr="0015611E" w:rsidRDefault="00727B17" w:rsidP="00727B17">
      <w:pPr>
        <w:pStyle w:val="Bullet"/>
      </w:pPr>
      <w:r w:rsidRPr="0015611E">
        <w:t>$144,484,521 in wages</w:t>
      </w:r>
    </w:p>
    <w:p w14:paraId="4746777D" w14:textId="77777777" w:rsidR="00727B17" w:rsidRPr="0015611E" w:rsidRDefault="00727B17" w:rsidP="00727B17">
      <w:pPr>
        <w:pStyle w:val="Bullet"/>
      </w:pPr>
      <w:r w:rsidRPr="0015611E">
        <w:t>$19,497</w:t>
      </w:r>
      <w:r>
        <w:t>,</w:t>
      </w:r>
      <w:r w:rsidRPr="0015611E">
        <w:t>405 in interest</w:t>
      </w:r>
    </w:p>
    <w:p w14:paraId="7562C5FB" w14:textId="77777777" w:rsidR="00727B17" w:rsidRPr="0015611E" w:rsidRDefault="00727B17" w:rsidP="00727B17">
      <w:pPr>
        <w:pStyle w:val="Bullet"/>
      </w:pPr>
      <w:r w:rsidRPr="0015611E">
        <w:t>$9,628,826 in superannuation</w:t>
      </w:r>
      <w:r w:rsidR="003B2611">
        <w:t>.</w:t>
      </w:r>
    </w:p>
    <w:p w14:paraId="69522AA3" w14:textId="41D8FDDF" w:rsidR="00727B17" w:rsidRPr="0015611E" w:rsidRDefault="003B2611" w:rsidP="00727B17">
      <w:r w:rsidRPr="003B2611">
        <w:t xml:space="preserve">There </w:t>
      </w:r>
      <w:r w:rsidR="0007056F" w:rsidRPr="003B2611">
        <w:t>was</w:t>
      </w:r>
      <w:r w:rsidRPr="003B2611">
        <w:t xml:space="preserve"> a total of </w:t>
      </w:r>
      <w:r w:rsidR="00727B17" w:rsidRPr="003B2611">
        <w:t xml:space="preserve">7,926 </w:t>
      </w:r>
      <w:r w:rsidRPr="003B2611">
        <w:t xml:space="preserve">paid </w:t>
      </w:r>
      <w:r w:rsidR="00727B17" w:rsidRPr="003B2611">
        <w:t xml:space="preserve">claims </w:t>
      </w:r>
      <w:r w:rsidRPr="003B2611">
        <w:t xml:space="preserve">by 4,043 individual claimants. The average </w:t>
      </w:r>
      <w:r w:rsidR="00727B17" w:rsidRPr="003B2611">
        <w:t xml:space="preserve">payout </w:t>
      </w:r>
      <w:r w:rsidRPr="003B2611">
        <w:t xml:space="preserve">was </w:t>
      </w:r>
      <w:r w:rsidR="00727B17" w:rsidRPr="003B2611">
        <w:t>$21,90</w:t>
      </w:r>
      <w:r w:rsidR="000A7821">
        <w:t>3.96</w:t>
      </w:r>
      <w:r w:rsidR="00727B17" w:rsidRPr="003B2611">
        <w:t xml:space="preserve"> per claim</w:t>
      </w:r>
      <w:r w:rsidRPr="003B2611">
        <w:t>.</w:t>
      </w:r>
    </w:p>
    <w:p w14:paraId="103AA42E" w14:textId="77777777" w:rsidR="00727B17" w:rsidRDefault="00727B17" w:rsidP="0079462D">
      <w:pPr>
        <w:pStyle w:val="Heading3"/>
        <w:rPr>
          <w:lang w:eastAsia="en-AU"/>
        </w:rPr>
      </w:pPr>
      <w:r>
        <w:rPr>
          <w:lang w:eastAsia="en-AU"/>
        </w:rPr>
        <w:t>Internal audits</w:t>
      </w:r>
    </w:p>
    <w:p w14:paraId="34B940F1" w14:textId="2D79C7CA" w:rsidR="009202D5" w:rsidRDefault="009202D5" w:rsidP="003B2611">
      <w:pPr>
        <w:rPr>
          <w:lang w:eastAsia="en-AU"/>
        </w:rPr>
      </w:pPr>
      <w:r w:rsidRPr="0015611E">
        <w:rPr>
          <w:lang w:eastAsia="en-AU"/>
        </w:rPr>
        <w:t xml:space="preserve">7-Eleven appointed the General Manager of its Assurance Team as the senior manager </w:t>
      </w:r>
      <w:r w:rsidR="00727B17">
        <w:rPr>
          <w:lang w:eastAsia="en-AU"/>
        </w:rPr>
        <w:t>responsible</w:t>
      </w:r>
      <w:r w:rsidRPr="0015611E">
        <w:rPr>
          <w:lang w:eastAsia="en-AU"/>
        </w:rPr>
        <w:t xml:space="preserve"> for internal auditing time and payroll data to </w:t>
      </w:r>
      <w:r w:rsidR="00727B17">
        <w:rPr>
          <w:lang w:eastAsia="en-AU"/>
        </w:rPr>
        <w:t>identify</w:t>
      </w:r>
      <w:r w:rsidR="003B2611">
        <w:rPr>
          <w:lang w:eastAsia="en-AU"/>
        </w:rPr>
        <w:t xml:space="preserve"> and investigate</w:t>
      </w:r>
      <w:r w:rsidRPr="0015611E">
        <w:rPr>
          <w:lang w:eastAsia="en-AU"/>
        </w:rPr>
        <w:t xml:space="preserve"> irregularities </w:t>
      </w:r>
      <w:r w:rsidR="003B2611">
        <w:rPr>
          <w:lang w:eastAsia="en-AU"/>
        </w:rPr>
        <w:t>indicating</w:t>
      </w:r>
      <w:r w:rsidRPr="0015611E">
        <w:rPr>
          <w:lang w:eastAsia="en-AU"/>
        </w:rPr>
        <w:t xml:space="preserve"> compliance risks (</w:t>
      </w:r>
      <w:r w:rsidR="003B2611">
        <w:rPr>
          <w:lang w:eastAsia="en-AU"/>
        </w:rPr>
        <w:t>C</w:t>
      </w:r>
      <w:r>
        <w:rPr>
          <w:lang w:eastAsia="en-AU"/>
        </w:rPr>
        <w:t>lause 6.8</w:t>
      </w:r>
      <w:r w:rsidR="00D333E0">
        <w:rPr>
          <w:lang w:eastAsia="en-AU"/>
        </w:rPr>
        <w:t xml:space="preserve"> of the PCD</w:t>
      </w:r>
      <w:r w:rsidRPr="0015611E">
        <w:rPr>
          <w:lang w:eastAsia="en-AU"/>
        </w:rPr>
        <w:t>).</w:t>
      </w:r>
      <w:r w:rsidR="003B2611">
        <w:rPr>
          <w:lang w:eastAsia="en-AU"/>
        </w:rPr>
        <w:t xml:space="preserve"> An Internal Investigations Unit was created </w:t>
      </w:r>
      <w:r>
        <w:rPr>
          <w:lang w:eastAsia="en-AU"/>
        </w:rPr>
        <w:t xml:space="preserve">within the </w:t>
      </w:r>
      <w:r w:rsidRPr="00DD2917">
        <w:rPr>
          <w:lang w:eastAsia="en-AU"/>
        </w:rPr>
        <w:t>Assurance Team</w:t>
      </w:r>
      <w:r w:rsidR="003B2611">
        <w:rPr>
          <w:lang w:eastAsia="en-AU"/>
        </w:rPr>
        <w:t xml:space="preserve">. It was </w:t>
      </w:r>
      <w:r>
        <w:rPr>
          <w:lang w:eastAsia="en-AU"/>
        </w:rPr>
        <w:t>tasked with internal audit</w:t>
      </w:r>
      <w:r w:rsidR="003B2611">
        <w:rPr>
          <w:lang w:eastAsia="en-AU"/>
        </w:rPr>
        <w:t>s</w:t>
      </w:r>
      <w:r>
        <w:rPr>
          <w:lang w:eastAsia="en-AU"/>
        </w:rPr>
        <w:t>, risk analysis and investigation functions (</w:t>
      </w:r>
      <w:r w:rsidR="003B2611">
        <w:rPr>
          <w:lang w:eastAsia="en-AU"/>
        </w:rPr>
        <w:t>C</w:t>
      </w:r>
      <w:r>
        <w:rPr>
          <w:lang w:eastAsia="en-AU"/>
        </w:rPr>
        <w:t>lauses 6.6 – 6.13</w:t>
      </w:r>
      <w:r w:rsidR="00504C43">
        <w:rPr>
          <w:lang w:eastAsia="en-AU"/>
        </w:rPr>
        <w:t xml:space="preserve"> of the PCD</w:t>
      </w:r>
      <w:r w:rsidR="003B2611">
        <w:rPr>
          <w:lang w:eastAsia="en-AU"/>
        </w:rPr>
        <w:t>)</w:t>
      </w:r>
      <w:r>
        <w:rPr>
          <w:lang w:eastAsia="en-AU"/>
        </w:rPr>
        <w:t>.</w:t>
      </w:r>
    </w:p>
    <w:p w14:paraId="41FD3B49" w14:textId="73A97824" w:rsidR="009202D5" w:rsidRDefault="009202D5" w:rsidP="009202D5">
      <w:pPr>
        <w:rPr>
          <w:color w:val="000000"/>
          <w:lang w:eastAsia="en-AU"/>
        </w:rPr>
      </w:pPr>
      <w:r>
        <w:rPr>
          <w:color w:val="000000"/>
          <w:lang w:eastAsia="en-AU"/>
        </w:rPr>
        <w:t xml:space="preserve">The General Manager of the </w:t>
      </w:r>
      <w:r w:rsidRPr="00DD2917">
        <w:rPr>
          <w:color w:val="000000"/>
          <w:lang w:eastAsia="en-AU"/>
        </w:rPr>
        <w:t>Assurance Team</w:t>
      </w:r>
      <w:r>
        <w:rPr>
          <w:color w:val="000000"/>
          <w:lang w:eastAsia="en-AU"/>
        </w:rPr>
        <w:t xml:space="preserve"> also tabled reports with 7-Eleven’s </w:t>
      </w:r>
      <w:r w:rsidRPr="00CC5D4B">
        <w:rPr>
          <w:color w:val="000000"/>
          <w:lang w:eastAsia="en-AU"/>
        </w:rPr>
        <w:t xml:space="preserve">Audit and Risk Committee </w:t>
      </w:r>
      <w:r>
        <w:rPr>
          <w:color w:val="000000"/>
          <w:lang w:eastAsia="en-AU"/>
        </w:rPr>
        <w:t xml:space="preserve">and 7-Eleven senior management </w:t>
      </w:r>
      <w:r w:rsidRPr="00CC5D4B">
        <w:rPr>
          <w:color w:val="000000"/>
          <w:lang w:eastAsia="en-AU"/>
        </w:rPr>
        <w:t xml:space="preserve">on </w:t>
      </w:r>
      <w:r>
        <w:rPr>
          <w:color w:val="000000"/>
          <w:lang w:eastAsia="en-AU"/>
        </w:rPr>
        <w:t xml:space="preserve">a </w:t>
      </w:r>
      <w:r w:rsidRPr="00CC5D4B">
        <w:rPr>
          <w:color w:val="000000"/>
          <w:lang w:eastAsia="en-AU"/>
        </w:rPr>
        <w:t>quarterly</w:t>
      </w:r>
      <w:r>
        <w:rPr>
          <w:color w:val="000000"/>
          <w:lang w:eastAsia="en-AU"/>
        </w:rPr>
        <w:t xml:space="preserve"> basis.</w:t>
      </w:r>
    </w:p>
    <w:p w14:paraId="2AD84247" w14:textId="6B5C5A18" w:rsidR="009202D5" w:rsidRDefault="009202D5" w:rsidP="009202D5">
      <w:pPr>
        <w:rPr>
          <w:lang w:val="en-US"/>
        </w:rPr>
      </w:pPr>
      <w:r>
        <w:rPr>
          <w:lang w:val="en-US"/>
        </w:rPr>
        <w:t>In September 2018, a</w:t>
      </w:r>
      <w:r w:rsidRPr="00003278">
        <w:rPr>
          <w:lang w:val="en-US"/>
        </w:rPr>
        <w:t xml:space="preserve"> </w:t>
      </w:r>
      <w:r w:rsidRPr="005A36F1">
        <w:rPr>
          <w:lang w:val="en-US"/>
        </w:rPr>
        <w:t xml:space="preserve">new Employee Relations Governance Committee </w:t>
      </w:r>
      <w:r>
        <w:rPr>
          <w:lang w:val="en-US"/>
        </w:rPr>
        <w:t xml:space="preserve">was introduced and began </w:t>
      </w:r>
      <w:r w:rsidRPr="00003278">
        <w:rPr>
          <w:lang w:val="en-US"/>
        </w:rPr>
        <w:t>discuss</w:t>
      </w:r>
      <w:r>
        <w:rPr>
          <w:lang w:val="en-US"/>
        </w:rPr>
        <w:t>ions regarding</w:t>
      </w:r>
      <w:r w:rsidRPr="00003278">
        <w:rPr>
          <w:lang w:val="en-US"/>
        </w:rPr>
        <w:t xml:space="preserve"> employee relations matters and the impact </w:t>
      </w:r>
      <w:r w:rsidR="002E2201">
        <w:rPr>
          <w:lang w:val="en-US"/>
        </w:rPr>
        <w:t>on</w:t>
      </w:r>
      <w:r w:rsidRPr="00003278">
        <w:rPr>
          <w:lang w:val="en-US"/>
        </w:rPr>
        <w:t xml:space="preserve"> the </w:t>
      </w:r>
      <w:r>
        <w:rPr>
          <w:lang w:val="en-US"/>
        </w:rPr>
        <w:t xml:space="preserve">7-Eleven </w:t>
      </w:r>
      <w:r w:rsidRPr="00003278">
        <w:rPr>
          <w:lang w:val="en-US"/>
        </w:rPr>
        <w:t>network</w:t>
      </w:r>
      <w:r w:rsidR="003B2611">
        <w:rPr>
          <w:lang w:val="en-US"/>
        </w:rPr>
        <w:t>.</w:t>
      </w:r>
    </w:p>
    <w:p w14:paraId="457360B4" w14:textId="6932885A" w:rsidR="00B77037" w:rsidRDefault="006B59F9" w:rsidP="006B59F9">
      <w:r>
        <w:t xml:space="preserve">7-Eleven committed to self-resolving employee queries about pay and conditions, including requests for assistance from current and former employees referred by the FWO </w:t>
      </w:r>
      <w:r w:rsidRPr="00611696">
        <w:t>(</w:t>
      </w:r>
      <w:r>
        <w:t>C</w:t>
      </w:r>
      <w:r w:rsidRPr="00611696">
        <w:t>lause 9</w:t>
      </w:r>
      <w:r w:rsidR="00D333E0">
        <w:t xml:space="preserve"> of the PCD</w:t>
      </w:r>
      <w:r w:rsidRPr="00611696">
        <w:t>).</w:t>
      </w:r>
      <w:r>
        <w:t xml:space="preserve"> They were required to investigate and report to us within 45 days.</w:t>
      </w:r>
      <w:r w:rsidR="00B77037">
        <w:t xml:space="preserve"> </w:t>
      </w:r>
    </w:p>
    <w:p w14:paraId="7651BB18" w14:textId="4161CA6D" w:rsidR="00B77037" w:rsidRDefault="00504C43" w:rsidP="006B59F9">
      <w:proofErr w:type="gramStart"/>
      <w:r>
        <w:t>During the course of</w:t>
      </w:r>
      <w:proofErr w:type="gramEnd"/>
      <w:r>
        <w:t xml:space="preserve"> the </w:t>
      </w:r>
      <w:r w:rsidR="00D333E0">
        <w:t xml:space="preserve">compliance </w:t>
      </w:r>
      <w:r>
        <w:t>partnership</w:t>
      </w:r>
      <w:r w:rsidR="00D333E0">
        <w:t>,</w:t>
      </w:r>
      <w:r>
        <w:t xml:space="preserve"> the FWO </w:t>
      </w:r>
      <w:r w:rsidR="00B77037">
        <w:t xml:space="preserve">referred 1 matter to 7-Eleven, with the resulting investigation identifying no underpayments. </w:t>
      </w:r>
    </w:p>
    <w:p w14:paraId="38B44A5D" w14:textId="650297AE" w:rsidR="0007056F" w:rsidRDefault="00804D07" w:rsidP="007E1836">
      <w:r>
        <w:t xml:space="preserve">Most </w:t>
      </w:r>
      <w:r w:rsidR="00B77037">
        <w:t xml:space="preserve">other </w:t>
      </w:r>
      <w:r w:rsidR="006B59F9">
        <w:t xml:space="preserve">enquiries </w:t>
      </w:r>
      <w:r w:rsidR="00D333E0">
        <w:t xml:space="preserve">we received </w:t>
      </w:r>
      <w:r w:rsidR="006B59F9">
        <w:t xml:space="preserve">from </w:t>
      </w:r>
      <w:r w:rsidR="00B77037">
        <w:t xml:space="preserve">7-Eleven </w:t>
      </w:r>
      <w:r w:rsidR="006B59F9">
        <w:t xml:space="preserve">employees during the </w:t>
      </w:r>
      <w:r w:rsidR="00B77037">
        <w:t xml:space="preserve">compliance partnership </w:t>
      </w:r>
      <w:r w:rsidR="006B59F9">
        <w:t xml:space="preserve">were </w:t>
      </w:r>
      <w:r w:rsidR="00B77037">
        <w:t xml:space="preserve">referred to the 7-Eleven </w:t>
      </w:r>
      <w:r w:rsidR="00320205">
        <w:t>w</w:t>
      </w:r>
      <w:r w:rsidR="00B77037">
        <w:t xml:space="preserve">age </w:t>
      </w:r>
      <w:r w:rsidR="00320205">
        <w:t>r</w:t>
      </w:r>
      <w:r w:rsidR="00B77037">
        <w:t xml:space="preserve">epayment </w:t>
      </w:r>
      <w:r w:rsidR="00320205">
        <w:t>p</w:t>
      </w:r>
      <w:r w:rsidR="00B77037">
        <w:t>rogram</w:t>
      </w:r>
      <w:r w:rsidR="00320205">
        <w:t>s</w:t>
      </w:r>
      <w:r w:rsidR="00B77037">
        <w:t>.</w:t>
      </w:r>
      <w:r>
        <w:t xml:space="preserve"> </w:t>
      </w:r>
    </w:p>
    <w:p w14:paraId="2D0CF88E" w14:textId="50F92CA6" w:rsidR="0007056F" w:rsidRPr="00133548" w:rsidRDefault="0007056F" w:rsidP="0007056F">
      <w:pPr>
        <w:rPr>
          <w:lang w:eastAsia="en-AU"/>
        </w:rPr>
      </w:pPr>
      <w:r w:rsidRPr="007B050D">
        <w:t xml:space="preserve">7-Eleven engaged an </w:t>
      </w:r>
      <w:r w:rsidRPr="007B050D">
        <w:rPr>
          <w:lang w:eastAsia="en-AU"/>
        </w:rPr>
        <w:t>external HR specialist, ER Strategies</w:t>
      </w:r>
      <w:r w:rsidRPr="007B050D">
        <w:rPr>
          <w:rStyle w:val="FootnoteReference"/>
          <w:szCs w:val="22"/>
          <w:lang w:eastAsia="en-AU"/>
        </w:rPr>
        <w:footnoteReference w:id="7"/>
      </w:r>
      <w:r w:rsidR="002E2201">
        <w:rPr>
          <w:lang w:eastAsia="en-AU"/>
        </w:rPr>
        <w:t>,</w:t>
      </w:r>
      <w:r w:rsidRPr="007B050D">
        <w:rPr>
          <w:lang w:eastAsia="en-AU"/>
        </w:rPr>
        <w:t xml:space="preserve"> to manage responses to enquiries through the helpline and email service.</w:t>
      </w:r>
      <w:r>
        <w:rPr>
          <w:lang w:eastAsia="en-AU"/>
        </w:rPr>
        <w:t xml:space="preserve"> ER Strategies reported to </w:t>
      </w:r>
      <w:r w:rsidRPr="00E07BE3">
        <w:rPr>
          <w:lang w:eastAsia="en-AU"/>
        </w:rPr>
        <w:t xml:space="preserve">7-Eleven’s </w:t>
      </w:r>
      <w:r>
        <w:rPr>
          <w:lang w:eastAsia="en-AU"/>
        </w:rPr>
        <w:t>B</w:t>
      </w:r>
      <w:r w:rsidRPr="00E07BE3">
        <w:rPr>
          <w:lang w:eastAsia="en-AU"/>
        </w:rPr>
        <w:t xml:space="preserve">oard </w:t>
      </w:r>
      <w:r>
        <w:rPr>
          <w:lang w:eastAsia="en-AU"/>
        </w:rPr>
        <w:t xml:space="preserve">on a quarterly basis about </w:t>
      </w:r>
      <w:r w:rsidRPr="00133548">
        <w:rPr>
          <w:lang w:eastAsia="en-AU"/>
        </w:rPr>
        <w:lastRenderedPageBreak/>
        <w:t>enquiries, complaints and grievances (Clause 8.4</w:t>
      </w:r>
      <w:r w:rsidR="00D333E0">
        <w:rPr>
          <w:lang w:eastAsia="en-AU"/>
        </w:rPr>
        <w:t xml:space="preserve"> of the PCD</w:t>
      </w:r>
      <w:r w:rsidRPr="00133548">
        <w:rPr>
          <w:lang w:eastAsia="en-AU"/>
        </w:rPr>
        <w:t xml:space="preserve">). In turn, </w:t>
      </w:r>
      <w:r w:rsidRPr="00133548">
        <w:t>7-Eleven provided quarterly updates to the FWO (C</w:t>
      </w:r>
      <w:r w:rsidRPr="00133548">
        <w:rPr>
          <w:lang w:eastAsia="en-AU"/>
        </w:rPr>
        <w:t>lause 8.6(c)</w:t>
      </w:r>
      <w:r w:rsidR="00D333E0">
        <w:rPr>
          <w:lang w:eastAsia="en-AU"/>
        </w:rPr>
        <w:t xml:space="preserve"> of the PCD</w:t>
      </w:r>
      <w:r w:rsidRPr="00133548">
        <w:rPr>
          <w:lang w:eastAsia="en-AU"/>
        </w:rPr>
        <w:t>).</w:t>
      </w:r>
    </w:p>
    <w:p w14:paraId="403F31AD" w14:textId="4B53FFF3" w:rsidR="00133548" w:rsidRPr="00133548" w:rsidRDefault="00504C43" w:rsidP="00133548">
      <w:pPr>
        <w:rPr>
          <w:rFonts w:ascii="Calibri" w:hAnsi="Calibri" w:cs="Calibri"/>
          <w:szCs w:val="22"/>
        </w:rPr>
      </w:pPr>
      <w:r>
        <w:t>The FWO was</w:t>
      </w:r>
      <w:r w:rsidR="00133548" w:rsidRPr="004E1430">
        <w:t xml:space="preserve"> satisfied with the information provided in the quarterly updates. They demonstrated that 7-Eleven was acting on intelligence received via their employee helpline and email service</w:t>
      </w:r>
      <w:r w:rsidR="004E1430">
        <w:t>.</w:t>
      </w:r>
      <w:r w:rsidR="00133548" w:rsidRPr="0013354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B431E80" w14:textId="3C902ADB" w:rsidR="006B59F9" w:rsidRPr="00133548" w:rsidRDefault="006B59F9" w:rsidP="0079462D">
      <w:pPr>
        <w:pStyle w:val="Heading2"/>
        <w:rPr>
          <w:lang w:eastAsia="en-AU"/>
        </w:rPr>
      </w:pPr>
      <w:r w:rsidRPr="00133548">
        <w:rPr>
          <w:lang w:eastAsia="en-AU"/>
        </w:rPr>
        <w:t>Independent audits</w:t>
      </w:r>
    </w:p>
    <w:p w14:paraId="68F5F801" w14:textId="04379319" w:rsidR="00430393" w:rsidRPr="00133548" w:rsidRDefault="00430393" w:rsidP="00430393">
      <w:r w:rsidRPr="00133548">
        <w:t>7-Eleven engaged PwC Australia (PwC) to conduct three annual audits (Clause 6</w:t>
      </w:r>
      <w:r w:rsidR="00D333E0">
        <w:t xml:space="preserve"> of the PCD</w:t>
      </w:r>
      <w:r w:rsidRPr="00133548">
        <w:t xml:space="preserve">): </w:t>
      </w:r>
    </w:p>
    <w:p w14:paraId="3F382098" w14:textId="77777777" w:rsidR="00430393" w:rsidRPr="00133548" w:rsidRDefault="00430393" w:rsidP="00430393">
      <w:pPr>
        <w:pStyle w:val="Bullet"/>
        <w:rPr>
          <w:i/>
        </w:rPr>
      </w:pPr>
      <w:r w:rsidRPr="00133548">
        <w:t xml:space="preserve">in accordance with the </w:t>
      </w:r>
      <w:r w:rsidRPr="00133548">
        <w:rPr>
          <w:i/>
        </w:rPr>
        <w:t>Standard on Assurance Engagements ASAE 3100 Compliance Engagements</w:t>
      </w:r>
      <w:r w:rsidRPr="00133548">
        <w:t xml:space="preserve"> issued by the Australian Government Auditing and Assurance Standards Board</w:t>
      </w:r>
      <w:r w:rsidRPr="00133548">
        <w:rPr>
          <w:rStyle w:val="FootnoteReference"/>
          <w:i/>
        </w:rPr>
        <w:footnoteReference w:id="8"/>
      </w:r>
    </w:p>
    <w:p w14:paraId="67474613" w14:textId="77777777" w:rsidR="00430393" w:rsidRDefault="00430393" w:rsidP="00430393">
      <w:pPr>
        <w:pStyle w:val="Bullet"/>
      </w:pPr>
      <w:r>
        <w:t>covering 3-month assessment periods and statistically relevant samples of employees, including</w:t>
      </w:r>
      <w:r w:rsidRPr="00764ABC">
        <w:t xml:space="preserve"> a representative mix of fuel and retail stores over all locations</w:t>
      </w:r>
    </w:p>
    <w:p w14:paraId="34584575" w14:textId="77777777" w:rsidR="00430393" w:rsidRDefault="00430393" w:rsidP="00430393">
      <w:pPr>
        <w:pStyle w:val="Bullet"/>
      </w:pPr>
      <w:r w:rsidRPr="00764ABC">
        <w:t>informed by results of Internal Auditing and Risk Analysis</w:t>
      </w:r>
      <w:r>
        <w:t>.</w:t>
      </w:r>
    </w:p>
    <w:p w14:paraId="396D6B54" w14:textId="444E354D" w:rsidR="005F3548" w:rsidRDefault="005F3548" w:rsidP="005F3548">
      <w:pPr>
        <w:rPr>
          <w:szCs w:val="22"/>
        </w:rPr>
      </w:pPr>
      <w:r>
        <w:t xml:space="preserve">PwC independently recalculated the wages and benefits </w:t>
      </w:r>
      <w:r w:rsidRPr="0015611E">
        <w:rPr>
          <w:szCs w:val="22"/>
        </w:rPr>
        <w:t>(including annual leave accrual</w:t>
      </w:r>
      <w:r>
        <w:rPr>
          <w:szCs w:val="22"/>
        </w:rPr>
        <w:t>s</w:t>
      </w:r>
      <w:r w:rsidRPr="0015611E">
        <w:rPr>
          <w:szCs w:val="22"/>
        </w:rPr>
        <w:t>)</w:t>
      </w:r>
      <w:r w:rsidR="00683A87">
        <w:rPr>
          <w:szCs w:val="22"/>
        </w:rPr>
        <w:t xml:space="preserve"> </w:t>
      </w:r>
      <w:r w:rsidR="00683A87">
        <w:t>for a sample</w:t>
      </w:r>
      <w:r w:rsidRPr="0015611E">
        <w:rPr>
          <w:szCs w:val="22"/>
        </w:rPr>
        <w:t xml:space="preserve"> </w:t>
      </w:r>
      <w:r w:rsidR="00683A87">
        <w:rPr>
          <w:szCs w:val="22"/>
        </w:rPr>
        <w:t>of</w:t>
      </w:r>
      <w:r>
        <w:rPr>
          <w:szCs w:val="22"/>
        </w:rPr>
        <w:t>:</w:t>
      </w:r>
    </w:p>
    <w:p w14:paraId="35BB367B" w14:textId="77777777" w:rsidR="005F3548" w:rsidRDefault="005F3548" w:rsidP="005F3548">
      <w:pPr>
        <w:pStyle w:val="Bullet"/>
      </w:pPr>
      <w:r w:rsidRPr="005F3548">
        <w:t>200 emp</w:t>
      </w:r>
      <w:r>
        <w:t xml:space="preserve">loyees during the period 1 June to </w:t>
      </w:r>
      <w:r w:rsidRPr="005F3548">
        <w:t>31 August 2017</w:t>
      </w:r>
      <w:r>
        <w:t xml:space="preserve"> (Audit 1)</w:t>
      </w:r>
    </w:p>
    <w:p w14:paraId="6A25D2AA" w14:textId="77777777" w:rsidR="005F3548" w:rsidRPr="005F3548" w:rsidRDefault="005F3548" w:rsidP="005F3548">
      <w:pPr>
        <w:pStyle w:val="Bullet"/>
      </w:pPr>
      <w:r w:rsidRPr="005F3548">
        <w:t xml:space="preserve">183 employees during the period 1 June </w:t>
      </w:r>
      <w:r>
        <w:t xml:space="preserve">to </w:t>
      </w:r>
      <w:r w:rsidRPr="005F3548">
        <w:t>31 August 2018</w:t>
      </w:r>
      <w:r>
        <w:t xml:space="preserve"> (Audit 2)</w:t>
      </w:r>
    </w:p>
    <w:p w14:paraId="480FB69F" w14:textId="77777777" w:rsidR="005F3548" w:rsidRPr="005F3548" w:rsidRDefault="005F3548" w:rsidP="005F3548">
      <w:pPr>
        <w:pStyle w:val="Bullet"/>
      </w:pPr>
      <w:r w:rsidRPr="005F3548">
        <w:t xml:space="preserve">182 employees during the period 1 July </w:t>
      </w:r>
      <w:r>
        <w:t>to</w:t>
      </w:r>
      <w:r w:rsidRPr="005F3548">
        <w:t xml:space="preserve"> 3</w:t>
      </w:r>
      <w:r>
        <w:t>0 September 2019 (Audit 3).</w:t>
      </w:r>
    </w:p>
    <w:p w14:paraId="1DDDDD10" w14:textId="66367880" w:rsidR="00AC746D" w:rsidRDefault="009330F3" w:rsidP="00AC746D">
      <w:r>
        <w:t>O</w:t>
      </w:r>
      <w:r w:rsidR="00AC746D">
        <w:t xml:space="preserve">ne issue was noted in Audit </w:t>
      </w:r>
      <w:r w:rsidR="00470388">
        <w:t>1</w:t>
      </w:r>
      <w:r w:rsidR="00AC746D">
        <w:t xml:space="preserve">. </w:t>
      </w:r>
      <w:r w:rsidR="00AC746D" w:rsidRPr="0015611E">
        <w:t xml:space="preserve">PwC identified that while </w:t>
      </w:r>
      <w:r w:rsidR="00AC746D">
        <w:t>an a</w:t>
      </w:r>
      <w:r w:rsidR="00AC746D" w:rsidRPr="0015611E">
        <w:t xml:space="preserve">ward </w:t>
      </w:r>
      <w:r w:rsidR="00AC746D">
        <w:t>change</w:t>
      </w:r>
      <w:r w:rsidR="00AC746D" w:rsidRPr="0015611E">
        <w:t xml:space="preserve"> from a Fair Work Commission determination </w:t>
      </w:r>
      <w:r w:rsidR="00AC746D">
        <w:t xml:space="preserve">on </w:t>
      </w:r>
      <w:r w:rsidR="00AC746D" w:rsidRPr="0015611E">
        <w:t>21 June 2017</w:t>
      </w:r>
      <w:r w:rsidR="00AC746D">
        <w:t xml:space="preserve"> </w:t>
      </w:r>
      <w:r>
        <w:t xml:space="preserve">was </w:t>
      </w:r>
      <w:proofErr w:type="gramStart"/>
      <w:r>
        <w:t>taken into account</w:t>
      </w:r>
      <w:proofErr w:type="gramEnd"/>
      <w:r w:rsidR="00AC746D">
        <w:t>,</w:t>
      </w:r>
      <w:r w:rsidR="00AC746D" w:rsidRPr="0015611E">
        <w:t xml:space="preserve"> a further adjustment created by a 30 June 2017 determination</w:t>
      </w:r>
      <w:r w:rsidR="00AC746D">
        <w:t xml:space="preserve"> </w:t>
      </w:r>
      <w:r w:rsidR="00D333E0">
        <w:t>had been</w:t>
      </w:r>
      <w:r w:rsidR="00AC746D">
        <w:t xml:space="preserve"> missed</w:t>
      </w:r>
      <w:r w:rsidR="00AC746D" w:rsidRPr="0015611E">
        <w:t xml:space="preserve">. </w:t>
      </w:r>
      <w:r w:rsidR="00D333E0">
        <w:t>This resulted in u</w:t>
      </w:r>
      <w:r w:rsidR="00D333E0" w:rsidRPr="0015611E">
        <w:t>nderpayment</w:t>
      </w:r>
      <w:r w:rsidR="00D333E0">
        <w:t>s</w:t>
      </w:r>
      <w:r w:rsidR="00D333E0" w:rsidRPr="0015611E">
        <w:t xml:space="preserve"> of $102,167 </w:t>
      </w:r>
      <w:r w:rsidR="00AC746D" w:rsidRPr="0015611E">
        <w:t>to 1,896 employees during the period 1</w:t>
      </w:r>
      <w:r w:rsidR="00AC746D">
        <w:t xml:space="preserve"> July 2017 – 14 September 2017</w:t>
      </w:r>
      <w:r w:rsidR="008C2607">
        <w:t xml:space="preserve">, which </w:t>
      </w:r>
      <w:r w:rsidR="009F416F">
        <w:t xml:space="preserve">7-Eleven reported </w:t>
      </w:r>
      <w:r w:rsidR="008C2607">
        <w:t>were fully rectified</w:t>
      </w:r>
      <w:r w:rsidR="00AC746D">
        <w:t>.</w:t>
      </w:r>
    </w:p>
    <w:p w14:paraId="6376667B" w14:textId="0232C5BC" w:rsidR="00B5695D" w:rsidRDefault="00AC746D" w:rsidP="005F3548">
      <w:r>
        <w:t xml:space="preserve">Across the three audits PwC </w:t>
      </w:r>
      <w:r w:rsidR="003714A1">
        <w:t>identified</w:t>
      </w:r>
      <w:r w:rsidR="009F416F">
        <w:t xml:space="preserve"> and reported to 7-Eleven</w:t>
      </w:r>
      <w:r w:rsidR="003714A1">
        <w:t xml:space="preserve"> </w:t>
      </w:r>
      <w:r w:rsidR="00B5695D">
        <w:t xml:space="preserve">some </w:t>
      </w:r>
      <w:r w:rsidR="003714A1">
        <w:t>anomalies and system issues that represented a potential compliance risk, concerning:</w:t>
      </w:r>
    </w:p>
    <w:p w14:paraId="50467B50" w14:textId="77777777" w:rsidR="00B5695D" w:rsidRDefault="003714A1" w:rsidP="00B5695D">
      <w:pPr>
        <w:pStyle w:val="Bullet"/>
      </w:pPr>
      <w:r>
        <w:t>payment for induction training time</w:t>
      </w:r>
    </w:p>
    <w:p w14:paraId="3AF584DA" w14:textId="77777777" w:rsidR="00B5695D" w:rsidRDefault="00B5695D" w:rsidP="00B5695D">
      <w:pPr>
        <w:pStyle w:val="Bullet"/>
      </w:pPr>
      <w:r>
        <w:t>managing ordinary hours and overtime payments</w:t>
      </w:r>
    </w:p>
    <w:p w14:paraId="77F68266" w14:textId="77777777" w:rsidR="00B5695D" w:rsidRDefault="003714A1" w:rsidP="00B5695D">
      <w:pPr>
        <w:pStyle w:val="Bullet"/>
      </w:pPr>
      <w:r>
        <w:t>incomplete termination and new employee records</w:t>
      </w:r>
    </w:p>
    <w:p w14:paraId="46F56FC7" w14:textId="77777777" w:rsidR="00333004" w:rsidRDefault="00333004" w:rsidP="00B5695D">
      <w:pPr>
        <w:pStyle w:val="Bullet"/>
      </w:pPr>
      <w:r>
        <w:t>missing employment contracts</w:t>
      </w:r>
    </w:p>
    <w:p w14:paraId="50CDEE59" w14:textId="1BCA60D6" w:rsidR="00B5695D" w:rsidRDefault="00B5695D" w:rsidP="00B5695D">
      <w:pPr>
        <w:pStyle w:val="Bullet"/>
      </w:pPr>
      <w:r>
        <w:lastRenderedPageBreak/>
        <w:t>roster system functionality to ensure</w:t>
      </w:r>
      <w:r w:rsidR="003714A1">
        <w:t xml:space="preserve"> </w:t>
      </w:r>
      <w:r>
        <w:t xml:space="preserve">student visa restrictions </w:t>
      </w:r>
      <w:r w:rsidR="009F416F">
        <w:t xml:space="preserve">were </w:t>
      </w:r>
      <w:r>
        <w:t>met</w:t>
      </w:r>
    </w:p>
    <w:p w14:paraId="073DA9FF" w14:textId="77777777" w:rsidR="00B5695D" w:rsidRDefault="00B5695D" w:rsidP="00B5695D">
      <w:pPr>
        <w:pStyle w:val="Bullet"/>
      </w:pPr>
      <w:r>
        <w:t>payroll system functionality to prevent manual edits by store managers / franchisee owners.</w:t>
      </w:r>
    </w:p>
    <w:p w14:paraId="63AF510F" w14:textId="77777777" w:rsidR="005F3548" w:rsidRDefault="009330F3" w:rsidP="00B5695D">
      <w:r>
        <w:t>These</w:t>
      </w:r>
      <w:r w:rsidR="00B5695D">
        <w:t xml:space="preserve"> </w:t>
      </w:r>
      <w:r w:rsidR="003714A1">
        <w:t xml:space="preserve">were reported to 7-Eleven and resolved, mostly through </w:t>
      </w:r>
      <w:r w:rsidR="00B5695D">
        <w:t xml:space="preserve">the implementation of new systems and </w:t>
      </w:r>
      <w:r>
        <w:t>system updates.</w:t>
      </w:r>
    </w:p>
    <w:p w14:paraId="0E65D619" w14:textId="2799446A" w:rsidR="00333004" w:rsidRPr="00611696" w:rsidRDefault="00333004" w:rsidP="0079462D">
      <w:pPr>
        <w:pStyle w:val="Heading2"/>
      </w:pPr>
      <w:r w:rsidRPr="00611696">
        <w:t>Reporting to the FWO</w:t>
      </w:r>
    </w:p>
    <w:p w14:paraId="73D32DC8" w14:textId="78193B9F" w:rsidR="00333004" w:rsidRPr="00611696" w:rsidRDefault="00333004" w:rsidP="00333004">
      <w:r>
        <w:t xml:space="preserve">7-Eleven </w:t>
      </w:r>
      <w:r w:rsidRPr="00611696">
        <w:t xml:space="preserve">satisfied its obligation to </w:t>
      </w:r>
      <w:r>
        <w:t xml:space="preserve">share reports </w:t>
      </w:r>
      <w:r w:rsidRPr="00611696">
        <w:t>on h</w:t>
      </w:r>
      <w:r>
        <w:t>elpline</w:t>
      </w:r>
      <w:r w:rsidRPr="00611696">
        <w:t xml:space="preserve"> enquiries</w:t>
      </w:r>
      <w:r>
        <w:t>,</w:t>
      </w:r>
      <w:r w:rsidRPr="00611696">
        <w:t xml:space="preserve"> </w:t>
      </w:r>
      <w:r>
        <w:t xml:space="preserve">independent audit results and to </w:t>
      </w:r>
      <w:r w:rsidRPr="00611696">
        <w:t>provide three annual progress reports</w:t>
      </w:r>
      <w:r>
        <w:t xml:space="preserve"> </w:t>
      </w:r>
      <w:r w:rsidR="002E2201">
        <w:t xml:space="preserve">to the FWO </w:t>
      </w:r>
      <w:r>
        <w:t xml:space="preserve">(Clause </w:t>
      </w:r>
      <w:r w:rsidRPr="007C50B0">
        <w:t>13</w:t>
      </w:r>
      <w:r w:rsidR="009F416F">
        <w:t xml:space="preserve"> of the PCD</w:t>
      </w:r>
      <w:r>
        <w:t>), describing:</w:t>
      </w:r>
    </w:p>
    <w:p w14:paraId="07905469" w14:textId="77777777" w:rsidR="00333004" w:rsidRPr="00FD37D2" w:rsidRDefault="00333004" w:rsidP="00333004">
      <w:pPr>
        <w:pStyle w:val="Bullet"/>
        <w:numPr>
          <w:ilvl w:val="0"/>
          <w:numId w:val="3"/>
        </w:numPr>
        <w:spacing w:line="320" w:lineRule="exact"/>
        <w:ind w:left="641" w:right="284" w:hanging="357"/>
        <w:contextualSpacing/>
      </w:pPr>
      <w:r w:rsidRPr="00FD37D2">
        <w:t xml:space="preserve">actions taken to address the requirements of the </w:t>
      </w:r>
      <w:proofErr w:type="gramStart"/>
      <w:r w:rsidRPr="00FD37D2">
        <w:t>PCD</w:t>
      </w:r>
      <w:proofErr w:type="gramEnd"/>
      <w:r>
        <w:t xml:space="preserve"> and workplace issues encountered</w:t>
      </w:r>
    </w:p>
    <w:p w14:paraId="4702F245" w14:textId="77777777" w:rsidR="00333004" w:rsidRPr="00FD37D2" w:rsidRDefault="00333004" w:rsidP="00333004">
      <w:pPr>
        <w:pStyle w:val="Bullet"/>
        <w:numPr>
          <w:ilvl w:val="0"/>
          <w:numId w:val="3"/>
        </w:numPr>
        <w:spacing w:line="320" w:lineRule="exact"/>
        <w:ind w:left="641" w:right="284" w:hanging="357"/>
        <w:contextualSpacing/>
      </w:pPr>
      <w:r w:rsidRPr="00FD37D2">
        <w:t xml:space="preserve">outcomes </w:t>
      </w:r>
      <w:r>
        <w:t xml:space="preserve">of </w:t>
      </w:r>
      <w:r w:rsidRPr="00FD37D2">
        <w:t xml:space="preserve">requests for assistance referred by the FWO </w:t>
      </w:r>
    </w:p>
    <w:p w14:paraId="57152EC3" w14:textId="77777777" w:rsidR="00333004" w:rsidRPr="00FD37D2" w:rsidRDefault="00333004" w:rsidP="00333004">
      <w:pPr>
        <w:pStyle w:val="Bullet"/>
        <w:numPr>
          <w:ilvl w:val="0"/>
          <w:numId w:val="3"/>
        </w:numPr>
        <w:spacing w:line="320" w:lineRule="exact"/>
        <w:ind w:left="641" w:right="284" w:hanging="357"/>
        <w:contextualSpacing/>
      </w:pPr>
      <w:r w:rsidRPr="00FD37D2">
        <w:t>compliance systems and processes</w:t>
      </w:r>
    </w:p>
    <w:p w14:paraId="62AFC5AE" w14:textId="77777777" w:rsidR="00333004" w:rsidRPr="00FD37D2" w:rsidRDefault="00333004" w:rsidP="00333004">
      <w:pPr>
        <w:pStyle w:val="Bullet"/>
        <w:numPr>
          <w:ilvl w:val="0"/>
          <w:numId w:val="3"/>
        </w:numPr>
        <w:spacing w:line="320" w:lineRule="exact"/>
        <w:ind w:left="641" w:right="284" w:hanging="357"/>
        <w:contextualSpacing/>
      </w:pPr>
      <w:r w:rsidRPr="00FD37D2">
        <w:t>workplace relations training undertaken</w:t>
      </w:r>
    </w:p>
    <w:p w14:paraId="6D524A3D" w14:textId="430A1577" w:rsidR="00D34DEC" w:rsidRPr="00B00937" w:rsidRDefault="00333004" w:rsidP="00B00937">
      <w:pPr>
        <w:pStyle w:val="Bullet"/>
        <w:numPr>
          <w:ilvl w:val="0"/>
          <w:numId w:val="3"/>
        </w:numPr>
        <w:tabs>
          <w:tab w:val="left" w:pos="1320"/>
        </w:tabs>
        <w:spacing w:line="320" w:lineRule="exact"/>
        <w:ind w:left="641" w:right="284" w:hanging="357"/>
        <w:contextualSpacing/>
        <w:rPr>
          <w:rFonts w:ascii="Calibri" w:hAnsi="Calibri" w:cs="Calibri"/>
          <w:sz w:val="23"/>
        </w:rPr>
      </w:pPr>
      <w:r w:rsidRPr="00FD37D2">
        <w:t>benefits or learnings from the compliance partnership.</w:t>
      </w:r>
    </w:p>
    <w:p w14:paraId="7D0B8B0A" w14:textId="77777777" w:rsidR="00F71FFA" w:rsidRDefault="00D34DEC" w:rsidP="0079462D">
      <w:pPr>
        <w:pStyle w:val="Heading2"/>
      </w:pPr>
      <w:r>
        <w:t>Conclusion</w:t>
      </w:r>
    </w:p>
    <w:p w14:paraId="2EE229EA" w14:textId="70083E8D" w:rsidR="00F71FFA" w:rsidRDefault="00F71FFA" w:rsidP="00580692">
      <w:r>
        <w:t xml:space="preserve">The FWO </w:t>
      </w:r>
      <w:r w:rsidR="00580692">
        <w:t xml:space="preserve">recognises the improvements made by 7-Eleven in its compliance management and governance arrangements, including the </w:t>
      </w:r>
      <w:r>
        <w:t>repayment of over $170 million in wages</w:t>
      </w:r>
      <w:r w:rsidR="00580692">
        <w:t xml:space="preserve"> through its </w:t>
      </w:r>
      <w:r w:rsidR="00320205">
        <w:t>w</w:t>
      </w:r>
      <w:r w:rsidR="00580692">
        <w:t xml:space="preserve">age </w:t>
      </w:r>
      <w:r w:rsidR="00320205">
        <w:t>r</w:t>
      </w:r>
      <w:r w:rsidR="00580692">
        <w:t xml:space="preserve">epayment </w:t>
      </w:r>
      <w:r w:rsidR="00320205">
        <w:t>p</w:t>
      </w:r>
      <w:r w:rsidR="00580692">
        <w:t>rogram</w:t>
      </w:r>
      <w:r w:rsidR="00320205">
        <w:t>s</w:t>
      </w:r>
      <w:r w:rsidR="00580692">
        <w:t>.</w:t>
      </w:r>
    </w:p>
    <w:p w14:paraId="0BE91F23" w14:textId="48739872" w:rsidR="00580692" w:rsidRDefault="00981412" w:rsidP="00F71FFA">
      <w:r>
        <w:t>It is vital that</w:t>
      </w:r>
      <w:r w:rsidR="00580692">
        <w:t xml:space="preserve"> 7-Eleven continue</w:t>
      </w:r>
      <w:r>
        <w:t>s to invest</w:t>
      </w:r>
      <w:r w:rsidR="00580692">
        <w:t xml:space="preserve"> in </w:t>
      </w:r>
      <w:r>
        <w:t>ensuring</w:t>
      </w:r>
      <w:r w:rsidR="00127701">
        <w:t xml:space="preserve"> compliance </w:t>
      </w:r>
      <w:r>
        <w:t xml:space="preserve">with workplace laws </w:t>
      </w:r>
      <w:r w:rsidR="00127701">
        <w:t xml:space="preserve">across its </w:t>
      </w:r>
      <w:r>
        <w:t xml:space="preserve">Australian </w:t>
      </w:r>
      <w:r w:rsidR="00127701">
        <w:t>network</w:t>
      </w:r>
      <w:r w:rsidR="00580692">
        <w:t xml:space="preserve">. </w:t>
      </w:r>
    </w:p>
    <w:p w14:paraId="4016C151" w14:textId="101FFA69" w:rsidR="00580692" w:rsidRDefault="00127701" w:rsidP="00F71FFA">
      <w:r>
        <w:t>The FWO will continue to monitor compliance with workplace laws in 7-Eleven outlets.</w:t>
      </w:r>
    </w:p>
    <w:p w14:paraId="6CD9AF62" w14:textId="5C480E41" w:rsidR="00F71FFA" w:rsidRPr="00911D3B" w:rsidRDefault="00504C43" w:rsidP="00127701">
      <w:r>
        <w:t xml:space="preserve">The FWO encourages 7-Eleven to consider entering into </w:t>
      </w:r>
      <w:r w:rsidR="00127701">
        <w:t>a second compliance partnership</w:t>
      </w:r>
      <w:r>
        <w:t xml:space="preserve"> </w:t>
      </w:r>
      <w:r w:rsidR="00E36FF5">
        <w:t xml:space="preserve">to </w:t>
      </w:r>
      <w:r>
        <w:t>ensure a transparent and accountable</w:t>
      </w:r>
      <w:r w:rsidR="00127701">
        <w:t xml:space="preserve"> framework </w:t>
      </w:r>
      <w:r w:rsidR="002E2201">
        <w:t xml:space="preserve">is maintained </w:t>
      </w:r>
      <w:r w:rsidR="00127701">
        <w:t xml:space="preserve">for </w:t>
      </w:r>
      <w:r>
        <w:t xml:space="preserve">ongoing and </w:t>
      </w:r>
      <w:r w:rsidR="00127701">
        <w:t>sustainable compliance</w:t>
      </w:r>
      <w:r>
        <w:t>.</w:t>
      </w:r>
    </w:p>
    <w:p w14:paraId="5EF14656" w14:textId="39D6B5DC" w:rsidR="00035CD2" w:rsidRDefault="00035CD2">
      <w:pPr>
        <w:spacing w:after="0" w:line="240" w:lineRule="auto"/>
        <w:rPr>
          <w:rFonts w:ascii="Calibri" w:eastAsiaTheme="minorHAnsi" w:hAnsi="Calibri" w:cs="Calibri"/>
          <w:sz w:val="23"/>
          <w:szCs w:val="22"/>
          <w:lang w:eastAsia="en-AU"/>
        </w:rPr>
      </w:pPr>
      <w:r>
        <w:rPr>
          <w:rFonts w:ascii="Calibri" w:hAnsi="Calibri" w:cs="Calibri"/>
          <w:sz w:val="23"/>
        </w:rPr>
        <w:br w:type="page"/>
      </w:r>
    </w:p>
    <w:p w14:paraId="788E9517" w14:textId="0E7F8CDD" w:rsidR="00035CD2" w:rsidRDefault="00035CD2" w:rsidP="0079462D">
      <w:pPr>
        <w:pStyle w:val="Heading2"/>
      </w:pPr>
      <w:r>
        <w:lastRenderedPageBreak/>
        <w:t>Appendix – litigations</w:t>
      </w:r>
    </w:p>
    <w:p w14:paraId="38639953" w14:textId="77777777" w:rsidR="009F416F" w:rsidRPr="00035CD2" w:rsidRDefault="009F416F" w:rsidP="009F416F"/>
    <w:tbl>
      <w:tblPr>
        <w:tblStyle w:val="TableGrid1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447"/>
        <w:gridCol w:w="1701"/>
        <w:gridCol w:w="4252"/>
      </w:tblGrid>
      <w:tr w:rsidR="009F416F" w:rsidRPr="00035CD2" w14:paraId="616140CA" w14:textId="77777777" w:rsidTr="00F95B2D">
        <w:tc>
          <w:tcPr>
            <w:tcW w:w="1843" w:type="dxa"/>
            <w:hideMark/>
          </w:tcPr>
          <w:p w14:paraId="5FFDDDB7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b/>
                <w:szCs w:val="22"/>
              </w:rPr>
            </w:pPr>
            <w:r w:rsidRPr="00035CD2">
              <w:rPr>
                <w:rFonts w:cstheme="minorHAnsi"/>
                <w:b/>
                <w:szCs w:val="22"/>
              </w:rPr>
              <w:t>Matter</w:t>
            </w:r>
          </w:p>
        </w:tc>
        <w:tc>
          <w:tcPr>
            <w:tcW w:w="1447" w:type="dxa"/>
            <w:hideMark/>
          </w:tcPr>
          <w:p w14:paraId="292FAA25" w14:textId="77777777" w:rsidR="009F416F" w:rsidRPr="00035CD2" w:rsidRDefault="009F416F" w:rsidP="00F95B2D">
            <w:pPr>
              <w:spacing w:line="240" w:lineRule="auto"/>
              <w:jc w:val="center"/>
              <w:rPr>
                <w:rFonts w:cstheme="minorHAnsi"/>
                <w:b/>
                <w:szCs w:val="22"/>
              </w:rPr>
            </w:pPr>
            <w:r w:rsidRPr="00035CD2">
              <w:rPr>
                <w:rFonts w:cstheme="minorHAnsi"/>
                <w:b/>
                <w:szCs w:val="22"/>
              </w:rPr>
              <w:t>Filed</w:t>
            </w:r>
          </w:p>
        </w:tc>
        <w:tc>
          <w:tcPr>
            <w:tcW w:w="1701" w:type="dxa"/>
            <w:hideMark/>
          </w:tcPr>
          <w:p w14:paraId="249F202A" w14:textId="77777777" w:rsidR="009F416F" w:rsidRPr="00035CD2" w:rsidRDefault="009F416F" w:rsidP="00F95B2D">
            <w:pPr>
              <w:spacing w:line="240" w:lineRule="auto"/>
              <w:jc w:val="center"/>
              <w:rPr>
                <w:rFonts w:cstheme="minorHAnsi"/>
                <w:b/>
                <w:szCs w:val="22"/>
              </w:rPr>
            </w:pPr>
            <w:r w:rsidRPr="00035CD2">
              <w:rPr>
                <w:rFonts w:cstheme="minorHAnsi"/>
                <w:b/>
                <w:szCs w:val="22"/>
              </w:rPr>
              <w:t>Employees &amp; underpayments</w:t>
            </w:r>
          </w:p>
        </w:tc>
        <w:tc>
          <w:tcPr>
            <w:tcW w:w="4252" w:type="dxa"/>
            <w:hideMark/>
          </w:tcPr>
          <w:p w14:paraId="07A1B31E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b/>
                <w:szCs w:val="22"/>
              </w:rPr>
            </w:pPr>
            <w:r w:rsidRPr="00035CD2">
              <w:rPr>
                <w:rFonts w:cstheme="minorHAnsi"/>
                <w:b/>
                <w:szCs w:val="22"/>
              </w:rPr>
              <w:t>Status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035CD2">
              <w:rPr>
                <w:rFonts w:cstheme="minorHAnsi"/>
                <w:b/>
                <w:szCs w:val="22"/>
              </w:rPr>
              <w:t>/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035CD2">
              <w:rPr>
                <w:rFonts w:cstheme="minorHAnsi"/>
                <w:b/>
                <w:szCs w:val="22"/>
              </w:rPr>
              <w:t>Outcome</w:t>
            </w:r>
          </w:p>
        </w:tc>
      </w:tr>
      <w:tr w:rsidR="009F416F" w14:paraId="097C0884" w14:textId="77777777" w:rsidTr="00F95B2D">
        <w:tc>
          <w:tcPr>
            <w:tcW w:w="1843" w:type="dxa"/>
            <w:hideMark/>
          </w:tcPr>
          <w:p w14:paraId="5226EC03" w14:textId="77777777" w:rsidR="009F416F" w:rsidRPr="00787A39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proofErr w:type="spellStart"/>
            <w:r w:rsidRPr="00787A39">
              <w:rPr>
                <w:rFonts w:cstheme="minorHAnsi"/>
                <w:szCs w:val="22"/>
              </w:rPr>
              <w:t>Amritsaria</w:t>
            </w:r>
            <w:proofErr w:type="spellEnd"/>
            <w:r w:rsidRPr="00787A39">
              <w:rPr>
                <w:rFonts w:cstheme="minorHAnsi"/>
                <w:szCs w:val="22"/>
              </w:rPr>
              <w:t xml:space="preserve"> Four Pty Ltd and </w:t>
            </w:r>
            <w:proofErr w:type="spellStart"/>
            <w:r w:rsidRPr="00787A39">
              <w:rPr>
                <w:rFonts w:cstheme="minorHAnsi"/>
                <w:szCs w:val="22"/>
              </w:rPr>
              <w:t>Harmandeep</w:t>
            </w:r>
            <w:proofErr w:type="spellEnd"/>
            <w:r w:rsidRPr="00787A39">
              <w:rPr>
                <w:rFonts w:cstheme="minorHAnsi"/>
                <w:szCs w:val="22"/>
              </w:rPr>
              <w:t xml:space="preserve"> Singh </w:t>
            </w:r>
            <w:proofErr w:type="spellStart"/>
            <w:r w:rsidRPr="00787A39">
              <w:rPr>
                <w:rFonts w:cstheme="minorHAnsi"/>
                <w:szCs w:val="22"/>
              </w:rPr>
              <w:t>Sarkaria</w:t>
            </w:r>
            <w:proofErr w:type="spellEnd"/>
            <w:r w:rsidRPr="00787A39">
              <w:rPr>
                <w:rStyle w:val="FootnoteReference"/>
                <w:szCs w:val="22"/>
              </w:rPr>
              <w:footnoteReference w:id="9"/>
            </w:r>
          </w:p>
        </w:tc>
        <w:tc>
          <w:tcPr>
            <w:tcW w:w="1447" w:type="dxa"/>
          </w:tcPr>
          <w:p w14:paraId="3A390B2D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 Jun 2015</w:t>
            </w:r>
          </w:p>
          <w:p w14:paraId="396EA041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01" w:type="dxa"/>
            <w:hideMark/>
          </w:tcPr>
          <w:p w14:paraId="6406AE76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 Employees</w:t>
            </w:r>
          </w:p>
          <w:p w14:paraId="6F5FBE54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$49,426</w:t>
            </w:r>
          </w:p>
        </w:tc>
        <w:tc>
          <w:tcPr>
            <w:tcW w:w="4252" w:type="dxa"/>
            <w:hideMark/>
          </w:tcPr>
          <w:p w14:paraId="47159813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Penalty decision </w:t>
            </w:r>
            <w:r>
              <w:rPr>
                <w:rFonts w:cstheme="minorHAnsi"/>
                <w:szCs w:val="22"/>
              </w:rPr>
              <w:t>29 April 2016</w:t>
            </w:r>
          </w:p>
          <w:p w14:paraId="6ABDABFD" w14:textId="04CB368E" w:rsidR="009F416F" w:rsidRPr="009F416F" w:rsidRDefault="009F416F" w:rsidP="009F416F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 xml:space="preserve">$214,200 </w:t>
            </w:r>
            <w:r w:rsidRPr="00035CD2">
              <w:rPr>
                <w:rFonts w:cstheme="minorHAnsi"/>
                <w:szCs w:val="22"/>
              </w:rPr>
              <w:t>(</w:t>
            </w:r>
            <w:r w:rsidRPr="00035CD2">
              <w:rPr>
                <w:rFonts w:cstheme="minorHAnsi"/>
                <w:b/>
                <w:szCs w:val="22"/>
              </w:rPr>
              <w:t xml:space="preserve">$178,500 </w:t>
            </w:r>
            <w:r w:rsidRPr="00035CD2">
              <w:rPr>
                <w:rFonts w:cstheme="minorHAnsi"/>
                <w:szCs w:val="22"/>
              </w:rPr>
              <w:t xml:space="preserve">against </w:t>
            </w:r>
            <w:r>
              <w:rPr>
                <w:rFonts w:cstheme="minorHAnsi"/>
                <w:szCs w:val="22"/>
              </w:rPr>
              <w:t>C</w:t>
            </w:r>
            <w:r w:rsidRPr="00035CD2">
              <w:rPr>
                <w:rFonts w:cstheme="minorHAnsi"/>
                <w:szCs w:val="22"/>
              </w:rPr>
              <w:t xml:space="preserve">ompany and </w:t>
            </w:r>
            <w:r w:rsidRPr="00035CD2">
              <w:rPr>
                <w:rFonts w:cstheme="minorHAnsi"/>
                <w:b/>
                <w:szCs w:val="22"/>
              </w:rPr>
              <w:t xml:space="preserve">$35,700 </w:t>
            </w:r>
            <w:r w:rsidRPr="00035CD2">
              <w:rPr>
                <w:rFonts w:cstheme="minorHAnsi"/>
                <w:szCs w:val="22"/>
              </w:rPr>
              <w:t xml:space="preserve">against </w:t>
            </w:r>
            <w:r>
              <w:rPr>
                <w:rFonts w:cstheme="minorHAnsi"/>
                <w:szCs w:val="22"/>
              </w:rPr>
              <w:t>the</w:t>
            </w:r>
            <w:r w:rsidRPr="00035CD2" w:rsidDel="0041643C">
              <w:rPr>
                <w:rFonts w:cstheme="minorHAnsi"/>
                <w:szCs w:val="22"/>
              </w:rPr>
              <w:t xml:space="preserve"> </w:t>
            </w:r>
            <w:r w:rsidRPr="00035CD2">
              <w:rPr>
                <w:rFonts w:cstheme="minorHAnsi"/>
                <w:szCs w:val="22"/>
              </w:rPr>
              <w:t>Director)</w:t>
            </w:r>
          </w:p>
        </w:tc>
      </w:tr>
      <w:tr w:rsidR="009F416F" w14:paraId="655C5B45" w14:textId="77777777" w:rsidTr="00F95B2D">
        <w:tc>
          <w:tcPr>
            <w:tcW w:w="1843" w:type="dxa"/>
          </w:tcPr>
          <w:p w14:paraId="00BA0AA6" w14:textId="3F2CB35D" w:rsidR="009F416F" w:rsidRPr="00787A39" w:rsidRDefault="009F416F" w:rsidP="00F95B2D">
            <w:pPr>
              <w:spacing w:line="240" w:lineRule="auto"/>
              <w:rPr>
                <w:rFonts w:cstheme="minorHAnsi"/>
              </w:rPr>
            </w:pPr>
            <w:r w:rsidRPr="00787A39">
              <w:rPr>
                <w:rFonts w:cstheme="minorHAnsi"/>
              </w:rPr>
              <w:t xml:space="preserve">Balaji </w:t>
            </w:r>
            <w:r>
              <w:rPr>
                <w:rFonts w:cstheme="minorHAnsi"/>
              </w:rPr>
              <w:t xml:space="preserve">Australia </w:t>
            </w:r>
            <w:r w:rsidRPr="00787A39">
              <w:rPr>
                <w:rFonts w:cstheme="minorHAnsi"/>
              </w:rPr>
              <w:t xml:space="preserve">Pty Ltd and Madhav </w:t>
            </w:r>
            <w:proofErr w:type="spellStart"/>
            <w:r w:rsidRPr="00787A39">
              <w:rPr>
                <w:rFonts w:cstheme="minorHAnsi"/>
              </w:rPr>
              <w:t>Ponnada</w:t>
            </w:r>
            <w:proofErr w:type="spellEnd"/>
            <w:r w:rsidR="00CF5ACA">
              <w:rPr>
                <w:rStyle w:val="FootnoteReference"/>
              </w:rPr>
              <w:footnoteReference w:id="10"/>
            </w:r>
          </w:p>
        </w:tc>
        <w:tc>
          <w:tcPr>
            <w:tcW w:w="1447" w:type="dxa"/>
          </w:tcPr>
          <w:p w14:paraId="7C373926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26 Sep 2017</w:t>
            </w:r>
          </w:p>
        </w:tc>
        <w:tc>
          <w:tcPr>
            <w:tcW w:w="1701" w:type="dxa"/>
          </w:tcPr>
          <w:p w14:paraId="6D986582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 employee</w:t>
            </w:r>
          </w:p>
          <w:p w14:paraId="0A7B179A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No underpayment assessed.</w:t>
            </w:r>
          </w:p>
        </w:tc>
        <w:tc>
          <w:tcPr>
            <w:tcW w:w="4252" w:type="dxa"/>
          </w:tcPr>
          <w:p w14:paraId="2F452DA9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Penalty decision handed down 29 June 2018</w:t>
            </w:r>
          </w:p>
          <w:p w14:paraId="0BF58783" w14:textId="77777777" w:rsidR="009F416F" w:rsidRPr="00035CD2" w:rsidDel="00922678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>$1</w:t>
            </w:r>
            <w:r>
              <w:rPr>
                <w:rFonts w:cstheme="minorHAnsi"/>
                <w:b/>
                <w:szCs w:val="22"/>
              </w:rPr>
              <w:t>56</w:t>
            </w:r>
            <w:r w:rsidRPr="00035CD2">
              <w:rPr>
                <w:rFonts w:cstheme="minorHAnsi"/>
                <w:b/>
                <w:szCs w:val="22"/>
              </w:rPr>
              <w:t>,</w:t>
            </w:r>
            <w:r>
              <w:rPr>
                <w:rFonts w:cstheme="minorHAnsi"/>
                <w:b/>
                <w:szCs w:val="22"/>
              </w:rPr>
              <w:t>6</w:t>
            </w:r>
            <w:r w:rsidRPr="00035CD2">
              <w:rPr>
                <w:rFonts w:cstheme="minorHAnsi"/>
                <w:b/>
                <w:szCs w:val="22"/>
              </w:rPr>
              <w:t xml:space="preserve">00 </w:t>
            </w:r>
            <w:r w:rsidRPr="00035CD2">
              <w:rPr>
                <w:rFonts w:cstheme="minorHAnsi"/>
                <w:szCs w:val="22"/>
              </w:rPr>
              <w:t>(</w:t>
            </w:r>
            <w:r w:rsidRPr="00035CD2">
              <w:rPr>
                <w:rFonts w:cstheme="minorHAnsi"/>
                <w:b/>
                <w:szCs w:val="22"/>
              </w:rPr>
              <w:t>$153,000</w:t>
            </w:r>
            <w:r w:rsidRPr="00035CD2">
              <w:rPr>
                <w:rFonts w:cstheme="minorHAnsi"/>
                <w:szCs w:val="22"/>
              </w:rPr>
              <w:t xml:space="preserve"> against the </w:t>
            </w:r>
            <w:r>
              <w:rPr>
                <w:rFonts w:cstheme="minorHAnsi"/>
                <w:szCs w:val="22"/>
              </w:rPr>
              <w:t>C</w:t>
            </w:r>
            <w:r w:rsidRPr="00035CD2">
              <w:rPr>
                <w:rFonts w:cstheme="minorHAnsi"/>
                <w:szCs w:val="22"/>
              </w:rPr>
              <w:t xml:space="preserve">ompany and </w:t>
            </w:r>
            <w:r w:rsidRPr="00035CD2">
              <w:rPr>
                <w:rFonts w:cstheme="minorHAnsi"/>
                <w:b/>
                <w:szCs w:val="22"/>
              </w:rPr>
              <w:t>$</w:t>
            </w:r>
            <w:r>
              <w:rPr>
                <w:rFonts w:cstheme="minorHAnsi"/>
                <w:b/>
                <w:szCs w:val="22"/>
              </w:rPr>
              <w:t>3,600</w:t>
            </w:r>
            <w:r w:rsidRPr="00035CD2">
              <w:rPr>
                <w:rFonts w:cstheme="minorHAnsi"/>
                <w:szCs w:val="22"/>
              </w:rPr>
              <w:t xml:space="preserve"> against a Manager)</w:t>
            </w:r>
          </w:p>
        </w:tc>
      </w:tr>
      <w:tr w:rsidR="009F416F" w14:paraId="42894025" w14:textId="77777777" w:rsidTr="00F95B2D">
        <w:tc>
          <w:tcPr>
            <w:tcW w:w="1843" w:type="dxa"/>
            <w:hideMark/>
          </w:tcPr>
          <w:p w14:paraId="0916A302" w14:textId="77777777" w:rsidR="009F416F" w:rsidRPr="00787A39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proofErr w:type="spellStart"/>
            <w:r w:rsidRPr="00787A39">
              <w:rPr>
                <w:rFonts w:cstheme="minorHAnsi"/>
                <w:szCs w:val="22"/>
              </w:rPr>
              <w:t>B</w:t>
            </w:r>
            <w:r>
              <w:rPr>
                <w:rFonts w:cstheme="minorHAnsi"/>
                <w:szCs w:val="22"/>
              </w:rPr>
              <w:t>osen</w:t>
            </w:r>
            <w:proofErr w:type="spellEnd"/>
            <w:r>
              <w:rPr>
                <w:rFonts w:cstheme="minorHAnsi"/>
                <w:szCs w:val="22"/>
              </w:rPr>
              <w:t xml:space="preserve"> </w:t>
            </w:r>
            <w:r w:rsidRPr="00787A39">
              <w:rPr>
                <w:rFonts w:cstheme="minorHAnsi"/>
                <w:szCs w:val="22"/>
              </w:rPr>
              <w:t>P</w:t>
            </w:r>
            <w:r>
              <w:rPr>
                <w:rFonts w:cstheme="minorHAnsi"/>
                <w:szCs w:val="22"/>
              </w:rPr>
              <w:t>ty</w:t>
            </w:r>
            <w:r w:rsidRPr="00787A39">
              <w:rPr>
                <w:rFonts w:cstheme="minorHAnsi"/>
                <w:szCs w:val="22"/>
              </w:rPr>
              <w:t xml:space="preserve"> L</w:t>
            </w:r>
            <w:r>
              <w:rPr>
                <w:rFonts w:cstheme="minorHAnsi"/>
                <w:szCs w:val="22"/>
              </w:rPr>
              <w:t xml:space="preserve">td, </w:t>
            </w:r>
            <w:r w:rsidRPr="00787A39">
              <w:rPr>
                <w:rFonts w:cstheme="minorHAnsi"/>
                <w:szCs w:val="22"/>
              </w:rPr>
              <w:t>H</w:t>
            </w:r>
            <w:r>
              <w:rPr>
                <w:rFonts w:cstheme="minorHAnsi"/>
                <w:szCs w:val="22"/>
              </w:rPr>
              <w:t>ao</w:t>
            </w:r>
            <w:r w:rsidRPr="00787A39">
              <w:rPr>
                <w:rFonts w:cstheme="minorHAnsi"/>
                <w:szCs w:val="22"/>
              </w:rPr>
              <w:t xml:space="preserve"> C</w:t>
            </w:r>
            <w:r>
              <w:rPr>
                <w:rFonts w:cstheme="minorHAnsi"/>
                <w:szCs w:val="22"/>
              </w:rPr>
              <w:t>hen</w:t>
            </w:r>
            <w:r w:rsidRPr="00787A39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&amp;</w:t>
            </w:r>
            <w:r w:rsidRPr="00787A39">
              <w:rPr>
                <w:rFonts w:cstheme="minorHAnsi"/>
                <w:szCs w:val="22"/>
              </w:rPr>
              <w:t xml:space="preserve"> </w:t>
            </w:r>
            <w:proofErr w:type="spellStart"/>
            <w:r w:rsidRPr="00787A39">
              <w:rPr>
                <w:rFonts w:cstheme="minorHAnsi"/>
                <w:szCs w:val="22"/>
              </w:rPr>
              <w:t>X</w:t>
            </w:r>
            <w:r>
              <w:rPr>
                <w:rFonts w:cstheme="minorHAnsi"/>
                <w:szCs w:val="22"/>
              </w:rPr>
              <w:t>ue</w:t>
            </w:r>
            <w:proofErr w:type="spellEnd"/>
            <w:r w:rsidRPr="00787A39">
              <w:rPr>
                <w:rFonts w:cstheme="minorHAnsi"/>
                <w:szCs w:val="22"/>
              </w:rPr>
              <w:t xml:space="preserve"> J</w:t>
            </w:r>
            <w:r>
              <w:rPr>
                <w:rFonts w:cstheme="minorHAnsi"/>
                <w:szCs w:val="22"/>
              </w:rPr>
              <w:t>ing</w:t>
            </w:r>
            <w:r w:rsidRPr="00787A39">
              <w:rPr>
                <w:rStyle w:val="FootnoteReference"/>
                <w:szCs w:val="22"/>
              </w:rPr>
              <w:footnoteReference w:id="11"/>
            </w:r>
          </w:p>
        </w:tc>
        <w:tc>
          <w:tcPr>
            <w:tcW w:w="1447" w:type="dxa"/>
            <w:hideMark/>
          </w:tcPr>
          <w:p w14:paraId="44783734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22 Dec 2009</w:t>
            </w:r>
          </w:p>
        </w:tc>
        <w:tc>
          <w:tcPr>
            <w:tcW w:w="1701" w:type="dxa"/>
            <w:hideMark/>
          </w:tcPr>
          <w:p w14:paraId="52EA9790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 Employees</w:t>
            </w:r>
          </w:p>
          <w:p w14:paraId="0CC548B5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>
              <w:t>100,068</w:t>
            </w:r>
          </w:p>
        </w:tc>
        <w:tc>
          <w:tcPr>
            <w:tcW w:w="4252" w:type="dxa"/>
            <w:hideMark/>
          </w:tcPr>
          <w:p w14:paraId="0782EF9F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Penalty decision handed down 21 April 2011</w:t>
            </w:r>
          </w:p>
          <w:p w14:paraId="452F4C27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>$150,000</w:t>
            </w:r>
            <w:r w:rsidRPr="00035CD2">
              <w:rPr>
                <w:rFonts w:cstheme="minorHAnsi"/>
                <w:szCs w:val="22"/>
              </w:rPr>
              <w:t xml:space="preserve"> (</w:t>
            </w:r>
            <w:r w:rsidRPr="00035CD2">
              <w:rPr>
                <w:rFonts w:cstheme="minorHAnsi"/>
                <w:b/>
                <w:szCs w:val="22"/>
              </w:rPr>
              <w:t xml:space="preserve">$120,000 </w:t>
            </w:r>
            <w:r w:rsidRPr="00035CD2">
              <w:rPr>
                <w:rFonts w:cstheme="minorHAnsi"/>
                <w:szCs w:val="22"/>
              </w:rPr>
              <w:t xml:space="preserve">against the </w:t>
            </w:r>
            <w:r>
              <w:rPr>
                <w:rFonts w:cstheme="minorHAnsi"/>
                <w:szCs w:val="22"/>
              </w:rPr>
              <w:t>C</w:t>
            </w:r>
            <w:r w:rsidRPr="00035CD2">
              <w:rPr>
                <w:rFonts w:cstheme="minorHAnsi"/>
                <w:szCs w:val="22"/>
              </w:rPr>
              <w:t xml:space="preserve">ompany and </w:t>
            </w:r>
            <w:r>
              <w:rPr>
                <w:rFonts w:cstheme="minorHAnsi"/>
                <w:szCs w:val="22"/>
              </w:rPr>
              <w:t xml:space="preserve">combined total of </w:t>
            </w:r>
            <w:r w:rsidRPr="00035CD2">
              <w:rPr>
                <w:rFonts w:cstheme="minorHAnsi"/>
                <w:b/>
                <w:szCs w:val="22"/>
              </w:rPr>
              <w:t>$30,000</w:t>
            </w:r>
            <w:r w:rsidRPr="00035CD2">
              <w:rPr>
                <w:rFonts w:cstheme="minorHAnsi"/>
                <w:szCs w:val="22"/>
              </w:rPr>
              <w:t xml:space="preserve"> against two Directors)</w:t>
            </w:r>
          </w:p>
        </w:tc>
      </w:tr>
      <w:tr w:rsidR="009F416F" w14:paraId="579DA84D" w14:textId="77777777" w:rsidTr="00F95B2D">
        <w:tc>
          <w:tcPr>
            <w:tcW w:w="1843" w:type="dxa"/>
            <w:hideMark/>
          </w:tcPr>
          <w:p w14:paraId="10C93C25" w14:textId="77777777" w:rsidR="009F416F" w:rsidRPr="00787A39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787A39">
              <w:rPr>
                <w:rFonts w:cstheme="minorHAnsi"/>
                <w:szCs w:val="22"/>
              </w:rPr>
              <w:t xml:space="preserve">Haider </w:t>
            </w:r>
            <w:r>
              <w:rPr>
                <w:rFonts w:cstheme="minorHAnsi"/>
                <w:szCs w:val="22"/>
              </w:rPr>
              <w:t>Pty Ltd</w:t>
            </w:r>
            <w:r w:rsidRPr="00787A39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&amp;</w:t>
            </w:r>
            <w:r w:rsidRPr="00787A39">
              <w:rPr>
                <w:rFonts w:cstheme="minorHAnsi"/>
                <w:szCs w:val="22"/>
              </w:rPr>
              <w:t xml:space="preserve"> </w:t>
            </w:r>
            <w:proofErr w:type="spellStart"/>
            <w:r w:rsidRPr="00787A39">
              <w:rPr>
                <w:rFonts w:cstheme="minorHAnsi"/>
                <w:szCs w:val="22"/>
              </w:rPr>
              <w:t>Mubin</w:t>
            </w:r>
            <w:proofErr w:type="spellEnd"/>
            <w:r w:rsidRPr="00787A39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Al</w:t>
            </w:r>
            <w:r w:rsidRPr="00787A39">
              <w:rPr>
                <w:rFonts w:cstheme="minorHAnsi"/>
                <w:szCs w:val="22"/>
              </w:rPr>
              <w:t xml:space="preserve"> Haider</w:t>
            </w:r>
            <w:r w:rsidRPr="00787A39">
              <w:rPr>
                <w:rStyle w:val="FootnoteReference"/>
                <w:szCs w:val="22"/>
              </w:rPr>
              <w:footnoteReference w:id="12"/>
            </w:r>
            <w:r w:rsidRPr="00787A39">
              <w:rPr>
                <w:rFonts w:cstheme="minorHAnsi"/>
                <w:szCs w:val="22"/>
              </w:rPr>
              <w:t xml:space="preserve"> </w:t>
            </w:r>
          </w:p>
          <w:p w14:paraId="13151124" w14:textId="77777777" w:rsidR="009F416F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</w:p>
        </w:tc>
        <w:tc>
          <w:tcPr>
            <w:tcW w:w="1447" w:type="dxa"/>
            <w:hideMark/>
          </w:tcPr>
          <w:p w14:paraId="2A3F404F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 Dec 2014</w:t>
            </w:r>
          </w:p>
        </w:tc>
        <w:tc>
          <w:tcPr>
            <w:tcW w:w="1701" w:type="dxa"/>
            <w:hideMark/>
          </w:tcPr>
          <w:p w14:paraId="5792F34F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 Employee</w:t>
            </w:r>
          </w:p>
          <w:p w14:paraId="3B8D0B05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$21,298</w:t>
            </w:r>
          </w:p>
        </w:tc>
        <w:tc>
          <w:tcPr>
            <w:tcW w:w="4252" w:type="dxa"/>
            <w:hideMark/>
          </w:tcPr>
          <w:p w14:paraId="2CEC992E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Penalty decision handed down 30 July 2015</w:t>
            </w:r>
          </w:p>
          <w:p w14:paraId="0BBD55CD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b/>
                <w:szCs w:val="22"/>
              </w:rPr>
              <w:t>$6,</w:t>
            </w:r>
            <w:r>
              <w:rPr>
                <w:rFonts w:cstheme="minorHAnsi"/>
                <w:b/>
                <w:szCs w:val="22"/>
              </w:rPr>
              <w:t>790</w:t>
            </w:r>
            <w:r w:rsidRPr="00035CD2">
              <w:rPr>
                <w:rFonts w:cstheme="minorHAnsi"/>
                <w:szCs w:val="22"/>
              </w:rPr>
              <w:t xml:space="preserve"> penalty ordered against </w:t>
            </w:r>
            <w:r>
              <w:rPr>
                <w:rFonts w:cstheme="minorHAnsi"/>
                <w:szCs w:val="22"/>
              </w:rPr>
              <w:t>the Director</w:t>
            </w:r>
          </w:p>
          <w:p w14:paraId="79915603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No orders were made against the Company as it was placed into liquidation prior to the hearing</w:t>
            </w:r>
          </w:p>
        </w:tc>
      </w:tr>
      <w:tr w:rsidR="009F416F" w14:paraId="613C2EC3" w14:textId="77777777" w:rsidTr="00F95B2D">
        <w:tc>
          <w:tcPr>
            <w:tcW w:w="1843" w:type="dxa"/>
            <w:hideMark/>
          </w:tcPr>
          <w:p w14:paraId="539D2731" w14:textId="77777777" w:rsidR="009F416F" w:rsidRPr="00787A39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proofErr w:type="spellStart"/>
            <w:r w:rsidRPr="00787A39">
              <w:rPr>
                <w:rFonts w:cstheme="minorHAnsi"/>
                <w:bCs/>
                <w:szCs w:val="22"/>
              </w:rPr>
              <w:t>Hiyi</w:t>
            </w:r>
            <w:proofErr w:type="spellEnd"/>
            <w:r w:rsidRPr="00787A39">
              <w:rPr>
                <w:rFonts w:cstheme="minorHAnsi"/>
                <w:bCs/>
                <w:szCs w:val="22"/>
              </w:rPr>
              <w:t xml:space="preserve"> Pty Ltd, </w:t>
            </w:r>
            <w:proofErr w:type="spellStart"/>
            <w:r w:rsidRPr="00787A39">
              <w:rPr>
                <w:rFonts w:cstheme="minorHAnsi"/>
                <w:bCs/>
                <w:szCs w:val="22"/>
              </w:rPr>
              <w:t>Haiyao</w:t>
            </w:r>
            <w:proofErr w:type="spellEnd"/>
            <w:r w:rsidRPr="00787A39">
              <w:rPr>
                <w:rFonts w:cstheme="minorHAnsi"/>
                <w:bCs/>
                <w:szCs w:val="22"/>
              </w:rPr>
              <w:t xml:space="preserve"> Xu </w:t>
            </w:r>
            <w:r>
              <w:rPr>
                <w:rFonts w:cstheme="minorHAnsi"/>
                <w:bCs/>
                <w:szCs w:val="22"/>
              </w:rPr>
              <w:t xml:space="preserve">and </w:t>
            </w:r>
            <w:proofErr w:type="spellStart"/>
            <w:r w:rsidRPr="00787A39">
              <w:rPr>
                <w:rFonts w:cstheme="minorHAnsi"/>
                <w:bCs/>
                <w:szCs w:val="22"/>
              </w:rPr>
              <w:t>Yiran</w:t>
            </w:r>
            <w:proofErr w:type="spellEnd"/>
            <w:r w:rsidRPr="00787A39">
              <w:rPr>
                <w:rFonts w:cstheme="minorHAnsi"/>
                <w:bCs/>
                <w:szCs w:val="22"/>
              </w:rPr>
              <w:t xml:space="preserve"> Gu</w:t>
            </w:r>
            <w:r w:rsidRPr="00787A39">
              <w:rPr>
                <w:rStyle w:val="FootnoteReference"/>
                <w:bCs/>
                <w:szCs w:val="22"/>
              </w:rPr>
              <w:footnoteReference w:id="13"/>
            </w:r>
          </w:p>
        </w:tc>
        <w:tc>
          <w:tcPr>
            <w:tcW w:w="1447" w:type="dxa"/>
            <w:hideMark/>
          </w:tcPr>
          <w:p w14:paraId="4EF5597E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 Oct 2015</w:t>
            </w:r>
          </w:p>
        </w:tc>
        <w:tc>
          <w:tcPr>
            <w:tcW w:w="1701" w:type="dxa"/>
            <w:hideMark/>
          </w:tcPr>
          <w:p w14:paraId="357716AF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 Employees</w:t>
            </w:r>
          </w:p>
          <w:p w14:paraId="34ADFE3C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$84,047</w:t>
            </w:r>
          </w:p>
        </w:tc>
        <w:tc>
          <w:tcPr>
            <w:tcW w:w="4252" w:type="dxa"/>
            <w:hideMark/>
          </w:tcPr>
          <w:p w14:paraId="11FF024A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Penalty decision handed down </w:t>
            </w:r>
            <w:r>
              <w:rPr>
                <w:rFonts w:cstheme="minorHAnsi"/>
                <w:szCs w:val="22"/>
              </w:rPr>
              <w:t>1</w:t>
            </w:r>
            <w:r w:rsidRPr="00035CD2">
              <w:rPr>
                <w:rFonts w:cstheme="minorHAnsi"/>
                <w:szCs w:val="22"/>
              </w:rPr>
              <w:t xml:space="preserve"> July 2016</w:t>
            </w:r>
          </w:p>
          <w:p w14:paraId="7F079716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Penalties of</w:t>
            </w:r>
            <w:r w:rsidRPr="00035CD2">
              <w:rPr>
                <w:rFonts w:cstheme="minorHAnsi"/>
                <w:b/>
                <w:szCs w:val="22"/>
              </w:rPr>
              <w:t xml:space="preserve"> $150,000 </w:t>
            </w:r>
            <w:r w:rsidRPr="00035CD2">
              <w:rPr>
                <w:rFonts w:cstheme="minorHAnsi"/>
                <w:szCs w:val="22"/>
              </w:rPr>
              <w:t>(</w:t>
            </w:r>
            <w:r w:rsidRPr="00035CD2">
              <w:rPr>
                <w:rFonts w:cstheme="minorHAnsi"/>
                <w:b/>
                <w:szCs w:val="22"/>
              </w:rPr>
              <w:t>$110,000</w:t>
            </w:r>
            <w:r w:rsidRPr="00035CD2">
              <w:rPr>
                <w:rFonts w:cstheme="minorHAnsi"/>
                <w:szCs w:val="22"/>
              </w:rPr>
              <w:t xml:space="preserve"> ordered against </w:t>
            </w:r>
            <w:r>
              <w:rPr>
                <w:rFonts w:cstheme="minorHAnsi"/>
                <w:szCs w:val="22"/>
              </w:rPr>
              <w:t>the C</w:t>
            </w:r>
            <w:r w:rsidRPr="00035CD2">
              <w:rPr>
                <w:rFonts w:cstheme="minorHAnsi"/>
                <w:szCs w:val="22"/>
              </w:rPr>
              <w:t xml:space="preserve">ompany and </w:t>
            </w:r>
            <w:r>
              <w:rPr>
                <w:rFonts w:cstheme="minorHAnsi"/>
                <w:szCs w:val="22"/>
              </w:rPr>
              <w:t xml:space="preserve">a combined total of </w:t>
            </w:r>
            <w:r w:rsidRPr="00035CD2">
              <w:rPr>
                <w:rFonts w:cstheme="minorHAnsi"/>
                <w:b/>
                <w:szCs w:val="22"/>
              </w:rPr>
              <w:t>$</w:t>
            </w:r>
            <w:r>
              <w:rPr>
                <w:rFonts w:cstheme="minorHAnsi"/>
                <w:b/>
                <w:szCs w:val="22"/>
              </w:rPr>
              <w:t>4</w:t>
            </w:r>
            <w:r w:rsidRPr="00035CD2">
              <w:rPr>
                <w:rFonts w:cstheme="minorHAnsi"/>
                <w:b/>
                <w:szCs w:val="22"/>
              </w:rPr>
              <w:t>0,000</w:t>
            </w:r>
            <w:r w:rsidRPr="00035CD2">
              <w:rPr>
                <w:rFonts w:cstheme="minorHAnsi"/>
                <w:szCs w:val="22"/>
              </w:rPr>
              <w:t xml:space="preserve"> against two Directors)</w:t>
            </w:r>
          </w:p>
        </w:tc>
      </w:tr>
      <w:tr w:rsidR="009F416F" w14:paraId="1989E2FB" w14:textId="77777777" w:rsidTr="00F95B2D">
        <w:tc>
          <w:tcPr>
            <w:tcW w:w="1843" w:type="dxa"/>
          </w:tcPr>
          <w:p w14:paraId="1EECE7C4" w14:textId="77777777" w:rsidR="009F416F" w:rsidRPr="00787A39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787A39">
              <w:rPr>
                <w:rFonts w:cstheme="minorHAnsi"/>
                <w:szCs w:val="22"/>
              </w:rPr>
              <w:t xml:space="preserve">JS Top Pty Ltd and Jim </w:t>
            </w:r>
            <w:proofErr w:type="spellStart"/>
            <w:r w:rsidRPr="00787A39">
              <w:rPr>
                <w:rFonts w:cstheme="minorHAnsi"/>
                <w:szCs w:val="22"/>
              </w:rPr>
              <w:t>Chien</w:t>
            </w:r>
            <w:proofErr w:type="spellEnd"/>
            <w:r w:rsidRPr="00787A39">
              <w:rPr>
                <w:rFonts w:cstheme="minorHAnsi"/>
                <w:szCs w:val="22"/>
              </w:rPr>
              <w:t xml:space="preserve"> Ching Chang</w:t>
            </w:r>
            <w:r w:rsidRPr="00787A39">
              <w:rPr>
                <w:rStyle w:val="FootnoteReference"/>
                <w:szCs w:val="22"/>
              </w:rPr>
              <w:footnoteReference w:id="14"/>
            </w:r>
          </w:p>
        </w:tc>
        <w:tc>
          <w:tcPr>
            <w:tcW w:w="1447" w:type="dxa"/>
          </w:tcPr>
          <w:p w14:paraId="01840600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 April 2016</w:t>
            </w:r>
          </w:p>
        </w:tc>
        <w:tc>
          <w:tcPr>
            <w:tcW w:w="1701" w:type="dxa"/>
          </w:tcPr>
          <w:p w14:paraId="40E6DF87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 Employees</w:t>
            </w:r>
          </w:p>
          <w:p w14:paraId="741A1A5A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$19,397.15</w:t>
            </w:r>
          </w:p>
        </w:tc>
        <w:tc>
          <w:tcPr>
            <w:tcW w:w="4252" w:type="dxa"/>
          </w:tcPr>
          <w:p w14:paraId="2871F1F9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Penalty decision handed down 21 July 2017</w:t>
            </w:r>
          </w:p>
          <w:p w14:paraId="365C99ED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>$168,000</w:t>
            </w:r>
            <w:r w:rsidRPr="00035CD2">
              <w:rPr>
                <w:rFonts w:cstheme="minorHAnsi"/>
                <w:szCs w:val="22"/>
              </w:rPr>
              <w:t xml:space="preserve"> (</w:t>
            </w:r>
            <w:r w:rsidRPr="00035CD2">
              <w:rPr>
                <w:rFonts w:cstheme="minorHAnsi"/>
                <w:b/>
                <w:szCs w:val="22"/>
              </w:rPr>
              <w:t>$140,000</w:t>
            </w:r>
            <w:r w:rsidRPr="00035CD2">
              <w:rPr>
                <w:rFonts w:cstheme="minorHAnsi"/>
                <w:szCs w:val="22"/>
              </w:rPr>
              <w:t xml:space="preserve"> against the </w:t>
            </w:r>
            <w:r>
              <w:rPr>
                <w:rFonts w:cstheme="minorHAnsi"/>
                <w:szCs w:val="22"/>
              </w:rPr>
              <w:t>C</w:t>
            </w:r>
            <w:r w:rsidRPr="00035CD2">
              <w:rPr>
                <w:rFonts w:cstheme="minorHAnsi"/>
                <w:szCs w:val="22"/>
              </w:rPr>
              <w:t xml:space="preserve">ompany and </w:t>
            </w:r>
            <w:r w:rsidRPr="00035CD2">
              <w:rPr>
                <w:rFonts w:cstheme="minorHAnsi"/>
                <w:b/>
                <w:szCs w:val="22"/>
              </w:rPr>
              <w:t>$28,000</w:t>
            </w:r>
            <w:r w:rsidRPr="00035CD2">
              <w:rPr>
                <w:rFonts w:cstheme="minorHAnsi"/>
                <w:szCs w:val="22"/>
              </w:rPr>
              <w:t xml:space="preserve"> against the Director)</w:t>
            </w:r>
          </w:p>
        </w:tc>
      </w:tr>
      <w:tr w:rsidR="009F416F" w14:paraId="2296EE99" w14:textId="77777777" w:rsidTr="00F95B2D">
        <w:tc>
          <w:tcPr>
            <w:tcW w:w="1843" w:type="dxa"/>
            <w:hideMark/>
          </w:tcPr>
          <w:p w14:paraId="7946D7E1" w14:textId="77777777" w:rsidR="009F416F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787A39">
              <w:rPr>
                <w:rFonts w:cstheme="minorHAnsi"/>
                <w:szCs w:val="22"/>
              </w:rPr>
              <w:t>Mai Pty Ltd and Sheng-</w:t>
            </w:r>
            <w:proofErr w:type="spellStart"/>
            <w:r w:rsidRPr="00787A39">
              <w:rPr>
                <w:rFonts w:cstheme="minorHAnsi"/>
                <w:szCs w:val="22"/>
              </w:rPr>
              <w:t>Chieh</w:t>
            </w:r>
            <w:proofErr w:type="spellEnd"/>
            <w:r w:rsidRPr="00787A39">
              <w:rPr>
                <w:rFonts w:cstheme="minorHAnsi"/>
                <w:szCs w:val="22"/>
              </w:rPr>
              <w:t xml:space="preserve"> Lo</w:t>
            </w:r>
            <w:r w:rsidRPr="00787A39">
              <w:rPr>
                <w:rStyle w:val="FootnoteReference"/>
                <w:szCs w:val="22"/>
              </w:rPr>
              <w:footnoteReference w:id="15"/>
            </w:r>
            <w:r w:rsidRPr="00787A39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447" w:type="dxa"/>
            <w:hideMark/>
          </w:tcPr>
          <w:p w14:paraId="2DD4CADA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 Dec 2015</w:t>
            </w:r>
          </w:p>
        </w:tc>
        <w:tc>
          <w:tcPr>
            <w:tcW w:w="1701" w:type="dxa"/>
            <w:hideMark/>
          </w:tcPr>
          <w:p w14:paraId="5776C743" w14:textId="77777777" w:rsidR="009F416F" w:rsidRPr="00F35AB0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F35AB0">
              <w:rPr>
                <w:rFonts w:cstheme="minorHAnsi"/>
                <w:szCs w:val="22"/>
              </w:rPr>
              <w:t>12 Employees</w:t>
            </w:r>
          </w:p>
          <w:p w14:paraId="02C74CC8" w14:textId="77777777" w:rsidR="009F416F" w:rsidRPr="00F35AB0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F35AB0">
              <w:rPr>
                <w:rFonts w:cstheme="minorHAnsi"/>
                <w:szCs w:val="22"/>
              </w:rPr>
              <w:t>$82,661</w:t>
            </w:r>
          </w:p>
        </w:tc>
        <w:tc>
          <w:tcPr>
            <w:tcW w:w="4252" w:type="dxa"/>
            <w:hideMark/>
          </w:tcPr>
          <w:p w14:paraId="32D9364D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Penalty decision handed down </w:t>
            </w:r>
            <w:r>
              <w:rPr>
                <w:rFonts w:cstheme="minorHAnsi"/>
                <w:szCs w:val="22"/>
              </w:rPr>
              <w:t>17</w:t>
            </w:r>
            <w:r w:rsidRPr="00035CD2">
              <w:rPr>
                <w:rFonts w:cstheme="minorHAnsi"/>
                <w:szCs w:val="22"/>
              </w:rPr>
              <w:t xml:space="preserve"> June 2016</w:t>
            </w:r>
            <w:r>
              <w:rPr>
                <w:rFonts w:cstheme="minorHAnsi"/>
                <w:szCs w:val="22"/>
              </w:rPr>
              <w:t xml:space="preserve"> </w:t>
            </w:r>
          </w:p>
          <w:p w14:paraId="5204F0CE" w14:textId="77777777" w:rsidR="009F416F" w:rsidRPr="00035CD2" w:rsidRDefault="009F416F" w:rsidP="00F95B2D">
            <w:pPr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lastRenderedPageBreak/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>$408,348</w:t>
            </w:r>
            <w:r w:rsidRPr="00035CD2">
              <w:rPr>
                <w:rFonts w:cstheme="minorHAnsi"/>
                <w:szCs w:val="22"/>
              </w:rPr>
              <w:t xml:space="preserve"> (</w:t>
            </w:r>
            <w:r w:rsidRPr="00035CD2">
              <w:rPr>
                <w:rFonts w:cstheme="minorHAnsi"/>
                <w:b/>
                <w:szCs w:val="22"/>
              </w:rPr>
              <w:t xml:space="preserve">$340,290 </w:t>
            </w:r>
            <w:r w:rsidRPr="00035CD2">
              <w:rPr>
                <w:rFonts w:cstheme="minorHAnsi"/>
                <w:szCs w:val="22"/>
              </w:rPr>
              <w:t xml:space="preserve">against </w:t>
            </w:r>
            <w:r>
              <w:rPr>
                <w:rFonts w:cstheme="minorHAnsi"/>
                <w:szCs w:val="22"/>
              </w:rPr>
              <w:t>the C</w:t>
            </w:r>
            <w:r w:rsidRPr="00035CD2">
              <w:rPr>
                <w:rFonts w:cstheme="minorHAnsi"/>
                <w:szCs w:val="22"/>
              </w:rPr>
              <w:t xml:space="preserve">ompany and </w:t>
            </w:r>
            <w:r w:rsidRPr="00035CD2">
              <w:rPr>
                <w:rFonts w:cstheme="minorHAnsi"/>
                <w:b/>
                <w:szCs w:val="22"/>
              </w:rPr>
              <w:t>$68,058</w:t>
            </w:r>
            <w:r w:rsidRPr="00035CD2">
              <w:rPr>
                <w:rFonts w:cstheme="minorHAnsi"/>
                <w:szCs w:val="22"/>
              </w:rPr>
              <w:t xml:space="preserve"> against</w:t>
            </w:r>
            <w:r>
              <w:rPr>
                <w:rFonts w:cstheme="minorHAnsi"/>
                <w:szCs w:val="22"/>
              </w:rPr>
              <w:t xml:space="preserve"> the </w:t>
            </w:r>
            <w:r w:rsidRPr="00035CD2">
              <w:rPr>
                <w:rFonts w:cstheme="minorHAnsi"/>
                <w:szCs w:val="22"/>
              </w:rPr>
              <w:t>Director</w:t>
            </w:r>
            <w:r>
              <w:rPr>
                <w:rFonts w:cstheme="minorHAnsi"/>
                <w:szCs w:val="22"/>
              </w:rPr>
              <w:t>)</w:t>
            </w:r>
          </w:p>
        </w:tc>
      </w:tr>
      <w:tr w:rsidR="009F416F" w14:paraId="399DB086" w14:textId="77777777" w:rsidTr="00F95B2D">
        <w:tc>
          <w:tcPr>
            <w:tcW w:w="1843" w:type="dxa"/>
          </w:tcPr>
          <w:p w14:paraId="4FC1CD3B" w14:textId="77777777" w:rsidR="009F416F" w:rsidRPr="00787A39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787A39">
              <w:rPr>
                <w:rFonts w:cstheme="minorHAnsi"/>
                <w:szCs w:val="22"/>
              </w:rPr>
              <w:lastRenderedPageBreak/>
              <w:t xml:space="preserve">S &amp; A Enterprises (Qld) Pty Ltd and Mr </w:t>
            </w:r>
            <w:proofErr w:type="spellStart"/>
            <w:r w:rsidRPr="00787A39">
              <w:rPr>
                <w:rFonts w:cstheme="minorHAnsi"/>
                <w:szCs w:val="22"/>
              </w:rPr>
              <w:t>Avinash</w:t>
            </w:r>
            <w:proofErr w:type="spellEnd"/>
            <w:r w:rsidRPr="00787A39">
              <w:rPr>
                <w:rFonts w:cstheme="minorHAnsi"/>
                <w:szCs w:val="22"/>
              </w:rPr>
              <w:t xml:space="preserve"> Singh</w:t>
            </w:r>
            <w:r w:rsidRPr="00787A39">
              <w:rPr>
                <w:rStyle w:val="FootnoteReference"/>
                <w:szCs w:val="22"/>
              </w:rPr>
              <w:footnoteReference w:id="16"/>
            </w:r>
          </w:p>
          <w:p w14:paraId="58EB1E5C" w14:textId="77777777" w:rsidR="009F416F" w:rsidRDefault="009F416F" w:rsidP="00F95B2D">
            <w:pPr>
              <w:spacing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447" w:type="dxa"/>
          </w:tcPr>
          <w:p w14:paraId="4EF885AA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 Nov 2016</w:t>
            </w:r>
          </w:p>
        </w:tc>
        <w:tc>
          <w:tcPr>
            <w:tcW w:w="1701" w:type="dxa"/>
          </w:tcPr>
          <w:p w14:paraId="2F2CA738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 Employees</w:t>
            </w:r>
          </w:p>
          <w:p w14:paraId="5F17EEBA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$5,593.15</w:t>
            </w:r>
          </w:p>
        </w:tc>
        <w:tc>
          <w:tcPr>
            <w:tcW w:w="4252" w:type="dxa"/>
          </w:tcPr>
          <w:p w14:paraId="342E382D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Penalty decision handed down 11 December 2017</w:t>
            </w:r>
          </w:p>
          <w:p w14:paraId="6C2DF1AF" w14:textId="66046CE9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>$192,78</w:t>
            </w:r>
            <w:r w:rsidR="00CF5ACA">
              <w:rPr>
                <w:rFonts w:cstheme="minorHAnsi"/>
                <w:b/>
                <w:szCs w:val="22"/>
              </w:rPr>
              <w:t>3</w:t>
            </w:r>
            <w:r w:rsidRPr="00035CD2">
              <w:rPr>
                <w:rFonts w:cstheme="minorHAnsi"/>
                <w:szCs w:val="22"/>
              </w:rPr>
              <w:t xml:space="preserve"> (</w:t>
            </w:r>
            <w:r w:rsidRPr="00035CD2">
              <w:rPr>
                <w:rFonts w:cstheme="minorHAnsi"/>
                <w:b/>
                <w:szCs w:val="22"/>
              </w:rPr>
              <w:t xml:space="preserve">$160,650 </w:t>
            </w:r>
            <w:r w:rsidRPr="00035CD2">
              <w:rPr>
                <w:rFonts w:cstheme="minorHAnsi"/>
                <w:szCs w:val="22"/>
              </w:rPr>
              <w:t xml:space="preserve">against </w:t>
            </w:r>
            <w:r>
              <w:rPr>
                <w:rFonts w:cstheme="minorHAnsi"/>
                <w:szCs w:val="22"/>
              </w:rPr>
              <w:t>C</w:t>
            </w:r>
            <w:r w:rsidRPr="00035CD2">
              <w:rPr>
                <w:rFonts w:cstheme="minorHAnsi"/>
                <w:szCs w:val="22"/>
              </w:rPr>
              <w:t>ompany</w:t>
            </w:r>
            <w:r w:rsidRPr="00035CD2">
              <w:rPr>
                <w:rFonts w:cstheme="minorHAnsi"/>
                <w:b/>
                <w:szCs w:val="22"/>
              </w:rPr>
              <w:t xml:space="preserve"> </w:t>
            </w:r>
            <w:r w:rsidRPr="00035CD2">
              <w:rPr>
                <w:rFonts w:cstheme="minorHAnsi"/>
                <w:szCs w:val="22"/>
              </w:rPr>
              <w:t xml:space="preserve">and </w:t>
            </w:r>
            <w:r w:rsidRPr="00035CD2">
              <w:rPr>
                <w:rFonts w:cstheme="minorHAnsi"/>
                <w:b/>
                <w:szCs w:val="22"/>
              </w:rPr>
              <w:t>$32,13</w:t>
            </w:r>
            <w:r>
              <w:rPr>
                <w:rFonts w:cstheme="minorHAnsi"/>
                <w:b/>
                <w:szCs w:val="22"/>
              </w:rPr>
              <w:t>0</w:t>
            </w:r>
            <w:r w:rsidRPr="00035CD2">
              <w:rPr>
                <w:rFonts w:cstheme="minorHAnsi"/>
                <w:b/>
                <w:szCs w:val="22"/>
              </w:rPr>
              <w:t xml:space="preserve"> </w:t>
            </w:r>
            <w:r w:rsidRPr="00035CD2">
              <w:rPr>
                <w:rFonts w:cstheme="minorHAnsi"/>
                <w:szCs w:val="22"/>
              </w:rPr>
              <w:t xml:space="preserve">against </w:t>
            </w:r>
            <w:r>
              <w:rPr>
                <w:rFonts w:cstheme="minorHAnsi"/>
                <w:szCs w:val="22"/>
              </w:rPr>
              <w:t>a</w:t>
            </w:r>
            <w:r w:rsidRPr="00035CD2">
              <w:rPr>
                <w:rFonts w:cstheme="minorHAnsi"/>
                <w:szCs w:val="22"/>
              </w:rPr>
              <w:t xml:space="preserve"> Director)</w:t>
            </w:r>
          </w:p>
        </w:tc>
      </w:tr>
      <w:tr w:rsidR="009F416F" w14:paraId="0D6A5039" w14:textId="77777777" w:rsidTr="00F95B2D">
        <w:tc>
          <w:tcPr>
            <w:tcW w:w="1843" w:type="dxa"/>
          </w:tcPr>
          <w:p w14:paraId="0C1121A3" w14:textId="77777777" w:rsidR="009F416F" w:rsidRDefault="009F416F" w:rsidP="00F95B2D">
            <w:pPr>
              <w:spacing w:line="240" w:lineRule="auto"/>
              <w:rPr>
                <w:rFonts w:cstheme="minorHAnsi"/>
                <w:b/>
                <w:szCs w:val="22"/>
              </w:rPr>
            </w:pPr>
            <w:proofErr w:type="spellStart"/>
            <w:r w:rsidRPr="00787A39">
              <w:rPr>
                <w:rFonts w:cstheme="minorHAnsi"/>
                <w:bCs/>
                <w:szCs w:val="22"/>
              </w:rPr>
              <w:t>Viplus</w:t>
            </w:r>
            <w:proofErr w:type="spellEnd"/>
            <w:r w:rsidRPr="00787A39">
              <w:rPr>
                <w:rFonts w:cstheme="minorHAnsi"/>
                <w:bCs/>
                <w:szCs w:val="22"/>
              </w:rPr>
              <w:t xml:space="preserve"> Pty Ltd and Jason Yuan</w:t>
            </w:r>
            <w:r w:rsidRPr="00787A39">
              <w:rPr>
                <w:rStyle w:val="FootnoteReference"/>
                <w:bCs/>
                <w:szCs w:val="22"/>
              </w:rPr>
              <w:footnoteReference w:id="17"/>
            </w:r>
          </w:p>
        </w:tc>
        <w:tc>
          <w:tcPr>
            <w:tcW w:w="1447" w:type="dxa"/>
          </w:tcPr>
          <w:p w14:paraId="08442D6E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 Nov 2015</w:t>
            </w:r>
          </w:p>
        </w:tc>
        <w:tc>
          <w:tcPr>
            <w:tcW w:w="1701" w:type="dxa"/>
          </w:tcPr>
          <w:p w14:paraId="3A8F85D1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 Employees</w:t>
            </w:r>
          </w:p>
          <w:p w14:paraId="2F0D66E3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$19,125</w:t>
            </w:r>
          </w:p>
        </w:tc>
        <w:tc>
          <w:tcPr>
            <w:tcW w:w="4252" w:type="dxa"/>
          </w:tcPr>
          <w:p w14:paraId="3030E2A4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Penalty decision handed down 29 March 2018</w:t>
            </w:r>
          </w:p>
          <w:p w14:paraId="5E736EB0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 xml:space="preserve">$108,742 </w:t>
            </w:r>
            <w:r w:rsidRPr="00035CD2">
              <w:rPr>
                <w:rFonts w:cstheme="minorHAnsi"/>
                <w:szCs w:val="22"/>
              </w:rPr>
              <w:t>(</w:t>
            </w:r>
            <w:r w:rsidRPr="00035CD2">
              <w:rPr>
                <w:rFonts w:cstheme="minorHAnsi"/>
                <w:b/>
                <w:szCs w:val="22"/>
              </w:rPr>
              <w:t xml:space="preserve">$88,140 </w:t>
            </w:r>
            <w:r w:rsidRPr="00035CD2">
              <w:rPr>
                <w:rFonts w:cstheme="minorHAnsi"/>
                <w:szCs w:val="22"/>
              </w:rPr>
              <w:t xml:space="preserve">against the </w:t>
            </w:r>
            <w:r>
              <w:rPr>
                <w:rFonts w:cstheme="minorHAnsi"/>
                <w:szCs w:val="22"/>
              </w:rPr>
              <w:t>C</w:t>
            </w:r>
            <w:r w:rsidRPr="00035CD2">
              <w:rPr>
                <w:rFonts w:cstheme="minorHAnsi"/>
                <w:szCs w:val="22"/>
              </w:rPr>
              <w:t>ompany</w:t>
            </w:r>
            <w:r w:rsidRPr="00035CD2">
              <w:rPr>
                <w:rFonts w:cstheme="minorHAnsi"/>
                <w:b/>
                <w:szCs w:val="22"/>
              </w:rPr>
              <w:t xml:space="preserve"> </w:t>
            </w:r>
            <w:r w:rsidRPr="00035CD2">
              <w:rPr>
                <w:rFonts w:cstheme="minorHAnsi"/>
                <w:szCs w:val="22"/>
              </w:rPr>
              <w:t xml:space="preserve">and </w:t>
            </w:r>
            <w:r w:rsidRPr="00035CD2">
              <w:rPr>
                <w:rFonts w:cstheme="minorHAnsi"/>
                <w:b/>
                <w:szCs w:val="22"/>
              </w:rPr>
              <w:t xml:space="preserve">$20,602 </w:t>
            </w:r>
            <w:r w:rsidRPr="00035CD2">
              <w:rPr>
                <w:rFonts w:cstheme="minorHAnsi"/>
                <w:szCs w:val="22"/>
              </w:rPr>
              <w:t xml:space="preserve">against </w:t>
            </w:r>
            <w:r>
              <w:rPr>
                <w:rFonts w:cstheme="minorHAnsi"/>
                <w:szCs w:val="22"/>
              </w:rPr>
              <w:t xml:space="preserve">a </w:t>
            </w:r>
            <w:r w:rsidRPr="00035CD2">
              <w:rPr>
                <w:rFonts w:cstheme="minorHAnsi"/>
                <w:szCs w:val="22"/>
              </w:rPr>
              <w:t>Director)</w:t>
            </w:r>
          </w:p>
        </w:tc>
      </w:tr>
      <w:tr w:rsidR="009F416F" w14:paraId="7067FD6E" w14:textId="77777777" w:rsidTr="00F95B2D">
        <w:tc>
          <w:tcPr>
            <w:tcW w:w="1843" w:type="dxa"/>
          </w:tcPr>
          <w:p w14:paraId="42945EF8" w14:textId="77777777" w:rsidR="009F416F" w:rsidRPr="00787A39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proofErr w:type="spellStart"/>
            <w:r w:rsidRPr="00787A39">
              <w:rPr>
                <w:rFonts w:cstheme="minorHAnsi"/>
                <w:szCs w:val="22"/>
              </w:rPr>
              <w:t>Vipper</w:t>
            </w:r>
            <w:proofErr w:type="spellEnd"/>
            <w:r w:rsidRPr="00787A39">
              <w:rPr>
                <w:rFonts w:cstheme="minorHAnsi"/>
                <w:szCs w:val="22"/>
              </w:rPr>
              <w:t xml:space="preserve"> Pty Ltd and Jason Yuan</w:t>
            </w:r>
            <w:r w:rsidRPr="00787A39">
              <w:rPr>
                <w:rStyle w:val="FootnoteReference"/>
                <w:bCs/>
                <w:szCs w:val="22"/>
              </w:rPr>
              <w:footnoteReference w:id="18"/>
            </w:r>
          </w:p>
        </w:tc>
        <w:tc>
          <w:tcPr>
            <w:tcW w:w="1447" w:type="dxa"/>
          </w:tcPr>
          <w:p w14:paraId="510C15C7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 Nov 2015</w:t>
            </w:r>
          </w:p>
        </w:tc>
        <w:tc>
          <w:tcPr>
            <w:tcW w:w="1701" w:type="dxa"/>
          </w:tcPr>
          <w:p w14:paraId="57AC4A49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 Employees</w:t>
            </w:r>
          </w:p>
          <w:p w14:paraId="07AAA7F1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$12,381</w:t>
            </w:r>
          </w:p>
        </w:tc>
        <w:tc>
          <w:tcPr>
            <w:tcW w:w="4252" w:type="dxa"/>
          </w:tcPr>
          <w:p w14:paraId="38F97EBA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Penalty decision handed down 29 March 2018</w:t>
            </w:r>
          </w:p>
          <w:p w14:paraId="567F658F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 xml:space="preserve">$84,219 </w:t>
            </w:r>
            <w:r w:rsidRPr="00035CD2">
              <w:rPr>
                <w:rFonts w:cstheme="minorHAnsi"/>
                <w:szCs w:val="22"/>
              </w:rPr>
              <w:t>(</w:t>
            </w:r>
            <w:r w:rsidRPr="00035CD2">
              <w:rPr>
                <w:rFonts w:cstheme="minorHAnsi"/>
                <w:b/>
                <w:szCs w:val="22"/>
              </w:rPr>
              <w:t xml:space="preserve">$68,262 </w:t>
            </w:r>
            <w:r w:rsidRPr="00035CD2">
              <w:rPr>
                <w:rFonts w:cstheme="minorHAnsi"/>
                <w:szCs w:val="22"/>
              </w:rPr>
              <w:t xml:space="preserve">against the </w:t>
            </w:r>
            <w:r>
              <w:rPr>
                <w:rFonts w:cstheme="minorHAnsi"/>
                <w:szCs w:val="22"/>
              </w:rPr>
              <w:t>C</w:t>
            </w:r>
            <w:r w:rsidRPr="00035CD2">
              <w:rPr>
                <w:rFonts w:cstheme="minorHAnsi"/>
                <w:szCs w:val="22"/>
              </w:rPr>
              <w:t>ompany</w:t>
            </w:r>
            <w:r w:rsidRPr="00035CD2">
              <w:rPr>
                <w:rFonts w:cstheme="minorHAnsi"/>
                <w:b/>
                <w:szCs w:val="22"/>
              </w:rPr>
              <w:t xml:space="preserve"> </w:t>
            </w:r>
            <w:r w:rsidRPr="00035CD2">
              <w:rPr>
                <w:rFonts w:cstheme="minorHAnsi"/>
                <w:szCs w:val="22"/>
              </w:rPr>
              <w:t xml:space="preserve">and </w:t>
            </w:r>
            <w:r w:rsidRPr="00035CD2">
              <w:rPr>
                <w:rFonts w:cstheme="minorHAnsi"/>
                <w:b/>
                <w:szCs w:val="22"/>
              </w:rPr>
              <w:t xml:space="preserve">$15,957 </w:t>
            </w:r>
            <w:r w:rsidRPr="00035CD2">
              <w:rPr>
                <w:rFonts w:cstheme="minorHAnsi"/>
                <w:szCs w:val="22"/>
              </w:rPr>
              <w:t xml:space="preserve">against </w:t>
            </w:r>
            <w:r>
              <w:rPr>
                <w:rFonts w:cstheme="minorHAnsi"/>
                <w:szCs w:val="22"/>
              </w:rPr>
              <w:t xml:space="preserve">a </w:t>
            </w:r>
            <w:r w:rsidRPr="00035CD2">
              <w:rPr>
                <w:rFonts w:cstheme="minorHAnsi"/>
                <w:szCs w:val="22"/>
              </w:rPr>
              <w:t>Director)</w:t>
            </w:r>
          </w:p>
        </w:tc>
      </w:tr>
      <w:tr w:rsidR="009F416F" w14:paraId="6B71F59D" w14:textId="77777777" w:rsidTr="00F95B2D">
        <w:tc>
          <w:tcPr>
            <w:tcW w:w="1843" w:type="dxa"/>
            <w:hideMark/>
          </w:tcPr>
          <w:p w14:paraId="580AA8DF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bCs/>
                <w:color w:val="000000"/>
                <w:szCs w:val="22"/>
              </w:rPr>
            </w:pPr>
            <w:r w:rsidRPr="00035CD2">
              <w:rPr>
                <w:rFonts w:cstheme="minorHAnsi"/>
              </w:rPr>
              <w:t>Xia Jing Qi Pty Ltd</w:t>
            </w:r>
            <w:r>
              <w:rPr>
                <w:rFonts w:cstheme="minorHAnsi"/>
              </w:rPr>
              <w:t xml:space="preserve"> &amp; Ai Ling Lin</w:t>
            </w:r>
            <w:r w:rsidRPr="00035CD2">
              <w:rPr>
                <w:rStyle w:val="FootnoteReference"/>
              </w:rPr>
              <w:footnoteReference w:id="19"/>
            </w:r>
          </w:p>
        </w:tc>
        <w:tc>
          <w:tcPr>
            <w:tcW w:w="1447" w:type="dxa"/>
            <w:hideMark/>
          </w:tcPr>
          <w:p w14:paraId="2BFD5039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 Dec 2017</w:t>
            </w:r>
          </w:p>
        </w:tc>
        <w:tc>
          <w:tcPr>
            <w:tcW w:w="1701" w:type="dxa"/>
            <w:hideMark/>
          </w:tcPr>
          <w:p w14:paraId="2FFB730C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 employees</w:t>
            </w:r>
          </w:p>
          <w:p w14:paraId="5C79731E" w14:textId="77777777" w:rsidR="009F416F" w:rsidRDefault="009F416F" w:rsidP="00F95B2D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$6,674</w:t>
            </w:r>
          </w:p>
        </w:tc>
        <w:tc>
          <w:tcPr>
            <w:tcW w:w="4252" w:type="dxa"/>
            <w:hideMark/>
          </w:tcPr>
          <w:p w14:paraId="3A4224FC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>Penalty decision handed down 18 January 2019</w:t>
            </w:r>
          </w:p>
          <w:p w14:paraId="16919E48" w14:textId="77777777" w:rsidR="009F416F" w:rsidRPr="00035CD2" w:rsidRDefault="009F416F" w:rsidP="00F95B2D">
            <w:pPr>
              <w:spacing w:line="240" w:lineRule="auto"/>
              <w:rPr>
                <w:rFonts w:cstheme="minorHAnsi"/>
                <w:szCs w:val="22"/>
              </w:rPr>
            </w:pPr>
            <w:r w:rsidRPr="00035CD2">
              <w:rPr>
                <w:rFonts w:cstheme="minorHAnsi"/>
                <w:szCs w:val="22"/>
              </w:rPr>
              <w:t xml:space="preserve">Penalties of </w:t>
            </w:r>
            <w:r w:rsidRPr="00035CD2">
              <w:rPr>
                <w:rFonts w:cstheme="minorHAnsi"/>
                <w:b/>
                <w:szCs w:val="22"/>
              </w:rPr>
              <w:t xml:space="preserve">$163,815 </w:t>
            </w:r>
            <w:r w:rsidRPr="00035CD2">
              <w:rPr>
                <w:rFonts w:cstheme="minorHAnsi"/>
                <w:szCs w:val="22"/>
              </w:rPr>
              <w:t>(</w:t>
            </w:r>
            <w:r w:rsidRPr="00035CD2">
              <w:rPr>
                <w:rFonts w:cstheme="minorHAnsi"/>
                <w:b/>
                <w:szCs w:val="22"/>
              </w:rPr>
              <w:t xml:space="preserve">$154,225 </w:t>
            </w:r>
            <w:r w:rsidRPr="00035CD2">
              <w:rPr>
                <w:rFonts w:cstheme="minorHAnsi"/>
                <w:szCs w:val="22"/>
              </w:rPr>
              <w:t xml:space="preserve">against the Company and </w:t>
            </w:r>
            <w:r w:rsidRPr="00035CD2">
              <w:rPr>
                <w:rFonts w:cstheme="minorHAnsi"/>
                <w:b/>
                <w:szCs w:val="22"/>
              </w:rPr>
              <w:t>$9,590</w:t>
            </w:r>
            <w:r w:rsidRPr="00035CD2">
              <w:rPr>
                <w:rFonts w:cstheme="minorHAnsi"/>
                <w:szCs w:val="22"/>
              </w:rPr>
              <w:t xml:space="preserve"> to a </w:t>
            </w:r>
            <w:r>
              <w:rPr>
                <w:rFonts w:cstheme="minorHAnsi"/>
                <w:szCs w:val="22"/>
              </w:rPr>
              <w:t>M</w:t>
            </w:r>
            <w:r w:rsidRPr="00035CD2">
              <w:rPr>
                <w:rFonts w:cstheme="minorHAnsi"/>
                <w:szCs w:val="22"/>
              </w:rPr>
              <w:t>anager)</w:t>
            </w:r>
          </w:p>
        </w:tc>
      </w:tr>
    </w:tbl>
    <w:p w14:paraId="1F9ED341" w14:textId="77777777" w:rsidR="009F416F" w:rsidRPr="00035CD2" w:rsidRDefault="009F416F" w:rsidP="009F416F"/>
    <w:sectPr w:rsidR="009F416F" w:rsidRPr="00035CD2" w:rsidSect="00DA1A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62D90" w14:textId="77777777" w:rsidR="00473B5C" w:rsidRDefault="00473B5C" w:rsidP="00AB465A">
      <w:pPr>
        <w:spacing w:after="0" w:line="240" w:lineRule="auto"/>
      </w:pPr>
      <w:r>
        <w:separator/>
      </w:r>
    </w:p>
  </w:endnote>
  <w:endnote w:type="continuationSeparator" w:id="0">
    <w:p w14:paraId="20905790" w14:textId="77777777" w:rsidR="00473B5C" w:rsidRDefault="00473B5C" w:rsidP="00AB465A">
      <w:pPr>
        <w:spacing w:after="0" w:line="240" w:lineRule="auto"/>
      </w:pPr>
      <w:r>
        <w:continuationSeparator/>
      </w:r>
    </w:p>
  </w:endnote>
  <w:endnote w:type="continuationNotice" w:id="1">
    <w:p w14:paraId="19983B76" w14:textId="77777777" w:rsidR="00473B5C" w:rsidRDefault="00473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Helvetica Neue Ligh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1227" w14:textId="4BD46049" w:rsidR="00AD66F6" w:rsidRPr="00520458" w:rsidRDefault="00AD66F6" w:rsidP="00DA1AD1">
    <w:pPr>
      <w:pStyle w:val="Header"/>
      <w:rPr>
        <w:rFonts w:cstheme="minorHAnsi"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DOCPROPERTY "mvRef" \* MERGEFORMAT </w:instrText>
    </w:r>
    <w:r>
      <w:rPr>
        <w:sz w:val="18"/>
        <w:szCs w:val="18"/>
      </w:rPr>
      <w:fldChar w:fldCharType="separate"/>
    </w:r>
    <w:r w:rsidR="00683A87">
      <w:rPr>
        <w:sz w:val="18"/>
        <w:szCs w:val="18"/>
      </w:rPr>
      <w:t>Compliance activity reports:DB-1430884/1.0</w:t>
    </w:r>
    <w:r>
      <w:rPr>
        <w:sz w:val="18"/>
        <w:szCs w:val="18"/>
      </w:rPr>
      <w:fldChar w:fldCharType="end"/>
    </w:r>
    <w:r>
      <w:rPr>
        <w:sz w:val="18"/>
        <w:szCs w:val="18"/>
      </w:rPr>
      <w:t>7-Eleven compliance partnership report</w:t>
    </w:r>
    <w:r w:rsidRPr="00D171E3">
      <w:rPr>
        <w:rFonts w:ascii="Arial" w:hAnsi="Arial"/>
        <w:noProof/>
        <w:sz w:val="18"/>
        <w:szCs w:val="18"/>
        <w:lang w:eastAsia="en-AU"/>
      </w:rPr>
      <w:t xml:space="preserve"> </w: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EBCE257" wp14:editId="2E16D3F5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16C45" id="Straight Connector 8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155AE05" wp14:editId="3CCE29AF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391B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2" o:spid="_x0000_s1026" type="#_x0000_t6" style="position:absolute;margin-left:525.85pt;margin-top:771.15pt;width:69.45pt;height:69.45pt;flip:x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48673ABC" w14:textId="6A375701" w:rsidR="00AD66F6" w:rsidRDefault="00AD66F6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B450C99" w14:textId="77777777" w:rsidR="00AD66F6" w:rsidRPr="00DA1AD1" w:rsidRDefault="00AD66F6" w:rsidP="00DA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2C1D1" w14:textId="77777777" w:rsidR="00AD66F6" w:rsidRPr="00D171E3" w:rsidRDefault="00AD66F6" w:rsidP="00DA1AD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>7-Eleven compliance partnership report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w:t xml:space="preserve"> 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3F9399D" wp14:editId="5985DC7F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9DB310" id="Straight Connector 39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" strokecolor="#ffb81c" strokeweight="1pt">
                  <w10:wrap anchorx="margin" anchory="page"/>
                </v:line>
              </w:pict>
            </mc:Fallback>
          </mc:AlternateContent>
        </w:r>
        <w:bookmarkStart w:id="4" w:name="_GoBack"/>
        <w:r w:rsidRPr="00D171E3">
          <w:rPr>
            <w:rFonts w:cstheme="minorHAnsi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4656" behindDoc="1" locked="0" layoutInCell="1" allowOverlap="1" wp14:anchorId="7F3D6883" wp14:editId="7F68CD4C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71D127C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bookmarkEnd w:id="4"/>
      </w:p>
      <w:p w14:paraId="7CE23BE0" w14:textId="23B9BDF3" w:rsidR="00AD66F6" w:rsidRDefault="00AD66F6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0E1FEF1F" w14:textId="0F82DABD" w:rsidR="00AD66F6" w:rsidRPr="00DA1AD1" w:rsidRDefault="00473B5C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7F70" w14:textId="77777777" w:rsidR="00473B5C" w:rsidRDefault="00473B5C" w:rsidP="00AB465A">
      <w:pPr>
        <w:spacing w:after="0" w:line="240" w:lineRule="auto"/>
      </w:pPr>
      <w:r>
        <w:separator/>
      </w:r>
    </w:p>
  </w:footnote>
  <w:footnote w:type="continuationSeparator" w:id="0">
    <w:p w14:paraId="60B4DBF6" w14:textId="77777777" w:rsidR="00473B5C" w:rsidRDefault="00473B5C" w:rsidP="00AB465A">
      <w:pPr>
        <w:spacing w:after="0" w:line="240" w:lineRule="auto"/>
      </w:pPr>
      <w:r>
        <w:continuationSeparator/>
      </w:r>
    </w:p>
  </w:footnote>
  <w:footnote w:type="continuationNotice" w:id="1">
    <w:p w14:paraId="35B55429" w14:textId="77777777" w:rsidR="00473B5C" w:rsidRDefault="00473B5C">
      <w:pPr>
        <w:spacing w:after="0" w:line="240" w:lineRule="auto"/>
      </w:pPr>
    </w:p>
  </w:footnote>
  <w:footnote w:id="2">
    <w:p w14:paraId="24884FDF" w14:textId="77777777" w:rsidR="00AD66F6" w:rsidRPr="00A40DEB" w:rsidRDefault="00AD66F6" w:rsidP="005D1BC1">
      <w:pPr>
        <w:pStyle w:val="Footnotes"/>
        <w:rPr>
          <w:rFonts w:asciiTheme="minorHAnsi" w:hAnsiTheme="minorHAnsi" w:cstheme="minorHAnsi"/>
          <w:sz w:val="18"/>
          <w:szCs w:val="18"/>
        </w:rPr>
      </w:pPr>
      <w:r w:rsidRPr="00A40DE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40DEB">
        <w:rPr>
          <w:rFonts w:asciiTheme="minorHAnsi" w:hAnsiTheme="minorHAnsi" w:cstheme="minorHAnsi"/>
          <w:sz w:val="18"/>
          <w:szCs w:val="18"/>
        </w:rPr>
        <w:t xml:space="preserve"> 7-Eleven website: </w:t>
      </w:r>
      <w:hyperlink r:id="rId1" w:history="1">
        <w:r w:rsidRPr="00A40DEB">
          <w:rPr>
            <w:rStyle w:val="Hyperlink"/>
            <w:rFonts w:asciiTheme="minorHAnsi" w:hAnsiTheme="minorHAnsi" w:cstheme="minorHAnsi"/>
            <w:sz w:val="18"/>
            <w:szCs w:val="18"/>
          </w:rPr>
          <w:t>https://www.7eleven.com.au/get-to-know-us/about-us.html</w:t>
        </w:r>
      </w:hyperlink>
    </w:p>
  </w:footnote>
  <w:footnote w:id="3">
    <w:p w14:paraId="1C6CEC77" w14:textId="77777777" w:rsidR="00AD66F6" w:rsidRPr="00A40DEB" w:rsidRDefault="00AD66F6" w:rsidP="0038650F">
      <w:pPr>
        <w:pStyle w:val="FootnoteText"/>
        <w:spacing w:before="0" w:line="276" w:lineRule="auto"/>
        <w:rPr>
          <w:rFonts w:asciiTheme="minorHAnsi" w:hAnsiTheme="minorHAnsi" w:cstheme="minorHAnsi"/>
          <w:sz w:val="18"/>
          <w:szCs w:val="18"/>
        </w:rPr>
      </w:pPr>
      <w:r w:rsidRPr="00A40DE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40DEB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A40DEB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https://www.fairwork.gov.au/about-us/news-and-media-releases/archived-media-releases/2016-media-releases/april-2016/20160409-7-eleven-presser</w:t>
        </w:r>
      </w:hyperlink>
      <w:r w:rsidRPr="00A40DE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B84B87" w14:textId="77777777" w:rsidR="00AD66F6" w:rsidRPr="00A40DEB" w:rsidRDefault="00AD66F6" w:rsidP="0038650F">
      <w:pPr>
        <w:pStyle w:val="FootnoteText"/>
        <w:spacing w:before="0" w:line="276" w:lineRule="auto"/>
        <w:rPr>
          <w:rFonts w:asciiTheme="minorHAnsi" w:hAnsiTheme="minorHAnsi" w:cstheme="minorHAnsi"/>
          <w:sz w:val="18"/>
          <w:szCs w:val="18"/>
        </w:rPr>
      </w:pPr>
      <w:r w:rsidRPr="00A40DEB">
        <w:rPr>
          <w:rFonts w:asciiTheme="minorHAnsi" w:hAnsiTheme="minorHAnsi" w:cstheme="minorHAnsi"/>
          <w:i/>
          <w:sz w:val="18"/>
          <w:szCs w:val="18"/>
        </w:rPr>
        <w:t>A Report of the Fair Work Ombudsman’s Inquiry into 7-Eleven</w:t>
      </w:r>
      <w:r w:rsidRPr="00A40DEB">
        <w:rPr>
          <w:rFonts w:asciiTheme="minorHAnsi" w:hAnsiTheme="minorHAnsi" w:cstheme="minorHAnsi"/>
          <w:sz w:val="18"/>
          <w:szCs w:val="18"/>
        </w:rPr>
        <w:t xml:space="preserve">: </w:t>
      </w:r>
      <w:hyperlink r:id="rId3" w:anchor="7-11" w:history="1">
        <w:r w:rsidRPr="00A40DEB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https://www.fairwork.gov.au/about-us/access-accountability-and-reporting/inquiry-reports#7-11</w:t>
        </w:r>
      </w:hyperlink>
    </w:p>
  </w:footnote>
  <w:footnote w:id="4">
    <w:p w14:paraId="4E3639A8" w14:textId="77777777" w:rsidR="00AD66F6" w:rsidRPr="009A381E" w:rsidRDefault="00AD66F6" w:rsidP="0038650F">
      <w:pPr>
        <w:pStyle w:val="FootnoteText"/>
        <w:spacing w:before="0" w:line="276" w:lineRule="auto"/>
        <w:rPr>
          <w:sz w:val="16"/>
          <w:szCs w:val="16"/>
        </w:rPr>
      </w:pPr>
      <w:r w:rsidRPr="00A40DE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40DEB">
        <w:rPr>
          <w:rFonts w:asciiTheme="minorHAnsi" w:hAnsiTheme="minorHAnsi" w:cstheme="minorHAnsi"/>
          <w:sz w:val="18"/>
          <w:szCs w:val="18"/>
        </w:rPr>
        <w:t xml:space="preserve"> Proactive Compliance Deed: </w:t>
      </w:r>
      <w:hyperlink r:id="rId4" w:history="1">
        <w:r w:rsidRPr="00A40DEB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https://www.fairwork.gov.au/ArticleDocuments/762/7-eleven-pcd.pdf.aspx</w:t>
        </w:r>
      </w:hyperlink>
    </w:p>
  </w:footnote>
  <w:footnote w:id="5">
    <w:p w14:paraId="114EC40A" w14:textId="77777777" w:rsidR="00AD66F6" w:rsidRPr="00A40DEB" w:rsidRDefault="00AD66F6" w:rsidP="007C5894">
      <w:pPr>
        <w:pStyle w:val="Footnotes"/>
        <w:rPr>
          <w:rFonts w:asciiTheme="minorHAnsi" w:hAnsiTheme="minorHAnsi" w:cstheme="minorHAnsi"/>
          <w:sz w:val="18"/>
          <w:szCs w:val="18"/>
        </w:rPr>
      </w:pPr>
      <w:r w:rsidRPr="00A40DE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40DEB">
        <w:rPr>
          <w:rFonts w:asciiTheme="minorHAnsi" w:hAnsiTheme="minorHAnsi" w:cstheme="minorHAnsi"/>
          <w:sz w:val="18"/>
          <w:szCs w:val="18"/>
        </w:rPr>
        <w:t xml:space="preserve"> FWO media release: </w:t>
      </w:r>
      <w:hyperlink r:id="rId5" w:history="1">
        <w:r w:rsidRPr="00A40DEB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https://www.fairwork.gov.au/abto out-us/news-and-media-releases/archived-media-releases/2016-media-releases/december-2016/20161207-7-11-pcdmediarelease</w:t>
        </w:r>
      </w:hyperlink>
      <w:r w:rsidRPr="00A40DEB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14:paraId="46F40A6D" w14:textId="4F4362FD" w:rsidR="00AD66F6" w:rsidRPr="00594634" w:rsidRDefault="00AD66F6">
      <w:pPr>
        <w:pStyle w:val="FootnoteText"/>
        <w:rPr>
          <w:rFonts w:asciiTheme="minorHAnsi" w:hAnsiTheme="minorHAnsi" w:cstheme="minorHAnsi"/>
          <w:sz w:val="18"/>
          <w:szCs w:val="20"/>
        </w:rPr>
      </w:pPr>
      <w:r w:rsidRPr="00594634">
        <w:rPr>
          <w:rStyle w:val="FootnoteReference"/>
          <w:rFonts w:asciiTheme="minorHAnsi" w:hAnsiTheme="minorHAnsi" w:cstheme="minorHAnsi"/>
          <w:sz w:val="18"/>
          <w:szCs w:val="20"/>
        </w:rPr>
        <w:footnoteRef/>
      </w:r>
      <w:r w:rsidRPr="00594634">
        <w:rPr>
          <w:rFonts w:asciiTheme="minorHAnsi" w:hAnsiTheme="minorHAnsi" w:cstheme="minorHAnsi"/>
          <w:sz w:val="18"/>
          <w:szCs w:val="20"/>
        </w:rPr>
        <w:t xml:space="preserve"> Case study provided by 7-Eleven</w:t>
      </w:r>
    </w:p>
  </w:footnote>
  <w:footnote w:id="7">
    <w:p w14:paraId="012BA239" w14:textId="77777777" w:rsidR="00AD66F6" w:rsidRDefault="00AD66F6" w:rsidP="0007056F">
      <w:pPr>
        <w:pStyle w:val="FootnoteText"/>
        <w:spacing w:before="0" w:line="240" w:lineRule="auto"/>
      </w:pPr>
    </w:p>
  </w:footnote>
  <w:footnote w:id="8">
    <w:p w14:paraId="07B5C80D" w14:textId="77777777" w:rsidR="00AD66F6" w:rsidRDefault="00AD66F6" w:rsidP="004303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5A36F1">
          <w:rPr>
            <w:rStyle w:val="Hyperlink"/>
            <w:sz w:val="16"/>
            <w:szCs w:val="16"/>
          </w:rPr>
          <w:t>https://www.auasb.gov.au/admin/file/content102/c3/ASAE_3100_Compliance_Engagements.pdf</w:t>
        </w:r>
      </w:hyperlink>
      <w:r>
        <w:rPr>
          <w:sz w:val="16"/>
          <w:szCs w:val="16"/>
        </w:rPr>
        <w:t xml:space="preserve"> </w:t>
      </w:r>
    </w:p>
  </w:footnote>
  <w:footnote w:id="9">
    <w:p w14:paraId="765F703D" w14:textId="77777777" w:rsidR="00AD66F6" w:rsidRPr="00A40DEB" w:rsidRDefault="00AD66F6" w:rsidP="009F416F">
      <w:pPr>
        <w:pStyle w:val="Footnote"/>
        <w:rPr>
          <w:rFonts w:cstheme="minorHAnsi"/>
        </w:rPr>
      </w:pPr>
      <w:r w:rsidRPr="00A40DEB">
        <w:rPr>
          <w:rStyle w:val="FootnoteReference"/>
          <w:rFonts w:cstheme="minorHAnsi"/>
        </w:rPr>
        <w:footnoteRef/>
      </w:r>
      <w:r w:rsidRPr="00A40DEB">
        <w:rPr>
          <w:rFonts w:cstheme="minorHAnsi"/>
        </w:rPr>
        <w:t xml:space="preserve"> </w:t>
      </w:r>
      <w:hyperlink r:id="rId7" w:history="1">
        <w:r w:rsidRPr="00A40DEB">
          <w:rPr>
            <w:rStyle w:val="Hyperlink"/>
            <w:rFonts w:asciiTheme="minorHAnsi" w:hAnsiTheme="minorHAnsi" w:cstheme="minorHAnsi"/>
          </w:rPr>
          <w:t>http://www.austlii.edu.au/cgi-bin/viewdoc/au/cases/cth/FCCA/2016/968.html</w:t>
        </w:r>
      </w:hyperlink>
    </w:p>
  </w:footnote>
  <w:footnote w:id="10">
    <w:p w14:paraId="49209B44" w14:textId="446CE579" w:rsidR="00AD66F6" w:rsidRPr="00A40DEB" w:rsidRDefault="00AD66F6" w:rsidP="00CF5ACA">
      <w:pPr>
        <w:pStyle w:val="Footnote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A40DE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40DEB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A40DEB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https://www.fairwork.gov.au/about-us/news-and-media-releases/2017-media-releases/october-2017/20171018-balaji-litigation-mr</w:t>
        </w:r>
      </w:hyperlink>
    </w:p>
  </w:footnote>
  <w:footnote w:id="11">
    <w:p w14:paraId="266EAC53" w14:textId="30CB749A" w:rsidR="00AD66F6" w:rsidRPr="00A40DEB" w:rsidRDefault="00AD66F6" w:rsidP="009F416F">
      <w:pPr>
        <w:pStyle w:val="Footnote"/>
        <w:rPr>
          <w:rFonts w:cstheme="minorHAnsi"/>
        </w:rPr>
      </w:pPr>
      <w:r w:rsidRPr="00A40DEB">
        <w:rPr>
          <w:rStyle w:val="FootnoteReference"/>
          <w:rFonts w:cstheme="minorHAnsi"/>
        </w:rPr>
        <w:footnoteRef/>
      </w:r>
      <w:r w:rsidRPr="00A40DEB">
        <w:rPr>
          <w:rFonts w:cstheme="minorHAnsi"/>
        </w:rPr>
        <w:t xml:space="preserve"> </w:t>
      </w:r>
      <w:hyperlink r:id="rId9" w:history="1">
        <w:r w:rsidRPr="00A40DEB">
          <w:rPr>
            <w:rStyle w:val="Hyperlink"/>
            <w:rFonts w:asciiTheme="minorHAnsi" w:hAnsiTheme="minorHAnsi" w:cstheme="minorHAnsi"/>
          </w:rPr>
          <w:t>http://www.austlii.edu.au/au/cases/vic/VMC/2011/81.pdf</w:t>
        </w:r>
      </w:hyperlink>
    </w:p>
  </w:footnote>
  <w:footnote w:id="12">
    <w:p w14:paraId="564E6B83" w14:textId="77777777" w:rsidR="00AD66F6" w:rsidRPr="00A40DEB" w:rsidRDefault="00AD66F6" w:rsidP="009F416F">
      <w:pPr>
        <w:pStyle w:val="Footnote"/>
        <w:rPr>
          <w:rFonts w:cstheme="minorHAnsi"/>
        </w:rPr>
      </w:pPr>
      <w:r w:rsidRPr="00A40DEB">
        <w:rPr>
          <w:rStyle w:val="FootnoteReference"/>
          <w:rFonts w:cstheme="minorHAnsi"/>
        </w:rPr>
        <w:footnoteRef/>
      </w:r>
      <w:r w:rsidRPr="00A40DEB">
        <w:rPr>
          <w:rFonts w:cstheme="minorHAnsi"/>
        </w:rPr>
        <w:t xml:space="preserve"> </w:t>
      </w:r>
      <w:hyperlink r:id="rId10" w:history="1">
        <w:r w:rsidRPr="00A40DEB">
          <w:rPr>
            <w:rStyle w:val="Hyperlink"/>
            <w:rFonts w:asciiTheme="minorHAnsi" w:hAnsiTheme="minorHAnsi" w:cstheme="minorHAnsi"/>
          </w:rPr>
          <w:t>http://www.austlii.edu.au/cgi-bin/viewdoc/au/cases/cth/FCCA/2015/2113.html</w:t>
        </w:r>
      </w:hyperlink>
    </w:p>
  </w:footnote>
  <w:footnote w:id="13">
    <w:p w14:paraId="5CDACDC6" w14:textId="77777777" w:rsidR="00AD66F6" w:rsidRPr="00A40DEB" w:rsidRDefault="00AD66F6" w:rsidP="009F416F">
      <w:pPr>
        <w:pStyle w:val="Footnote"/>
        <w:rPr>
          <w:rFonts w:cstheme="minorHAnsi"/>
        </w:rPr>
      </w:pPr>
      <w:r w:rsidRPr="00A40DEB">
        <w:rPr>
          <w:rStyle w:val="FootnoteReference"/>
          <w:rFonts w:cstheme="minorHAnsi"/>
        </w:rPr>
        <w:footnoteRef/>
      </w:r>
      <w:r w:rsidRPr="00A40DEB">
        <w:rPr>
          <w:rFonts w:cstheme="minorHAnsi"/>
        </w:rPr>
        <w:t xml:space="preserve"> </w:t>
      </w:r>
      <w:hyperlink r:id="rId11" w:history="1">
        <w:r w:rsidRPr="00A40DEB">
          <w:rPr>
            <w:rStyle w:val="Hyperlink"/>
            <w:rFonts w:asciiTheme="minorHAnsi" w:hAnsiTheme="minorHAnsi" w:cstheme="minorHAnsi"/>
          </w:rPr>
          <w:t>http://www.austlii.edu.au/cgi-bin/viewdoc/au/cases/cth/FCCA/2016/1634.html</w:t>
        </w:r>
      </w:hyperlink>
    </w:p>
  </w:footnote>
  <w:footnote w:id="14">
    <w:p w14:paraId="59D56E68" w14:textId="77777777" w:rsidR="00AD66F6" w:rsidRPr="00A40DEB" w:rsidRDefault="00AD66F6" w:rsidP="009F416F">
      <w:pPr>
        <w:pStyle w:val="Footnote"/>
        <w:rPr>
          <w:rFonts w:cstheme="minorHAnsi"/>
        </w:rPr>
      </w:pPr>
      <w:r w:rsidRPr="00A40DEB">
        <w:rPr>
          <w:rStyle w:val="FootnoteReference"/>
          <w:rFonts w:cstheme="minorHAnsi"/>
        </w:rPr>
        <w:footnoteRef/>
      </w:r>
      <w:r w:rsidRPr="00A40DEB">
        <w:rPr>
          <w:rFonts w:cstheme="minorHAnsi"/>
        </w:rPr>
        <w:t xml:space="preserve"> </w:t>
      </w:r>
      <w:hyperlink r:id="rId12" w:history="1">
        <w:r w:rsidRPr="00A40DEB">
          <w:rPr>
            <w:rStyle w:val="Hyperlink"/>
            <w:rFonts w:asciiTheme="minorHAnsi" w:hAnsiTheme="minorHAnsi" w:cstheme="minorHAnsi"/>
          </w:rPr>
          <w:t>http://www.austlii.edu.au/cgi-bin/viewdoc/au/cases/cth/FCCA/2017/1689.html</w:t>
        </w:r>
      </w:hyperlink>
    </w:p>
  </w:footnote>
  <w:footnote w:id="15">
    <w:p w14:paraId="134C1C4E" w14:textId="77777777" w:rsidR="00AD66F6" w:rsidRDefault="00AD66F6" w:rsidP="009F416F">
      <w:pPr>
        <w:pStyle w:val="Footnote"/>
      </w:pPr>
      <w:r w:rsidRPr="00A40DEB">
        <w:rPr>
          <w:rStyle w:val="FootnoteReference"/>
          <w:rFonts w:cstheme="minorHAnsi"/>
        </w:rPr>
        <w:footnoteRef/>
      </w:r>
      <w:r w:rsidRPr="00A40DEB">
        <w:rPr>
          <w:rFonts w:cstheme="minorHAnsi"/>
        </w:rPr>
        <w:t xml:space="preserve"> </w:t>
      </w:r>
      <w:hyperlink r:id="rId13" w:history="1">
        <w:r w:rsidRPr="00A40DEB">
          <w:rPr>
            <w:rStyle w:val="Hyperlink"/>
            <w:rFonts w:asciiTheme="minorHAnsi" w:hAnsiTheme="minorHAnsi" w:cstheme="minorHAnsi"/>
          </w:rPr>
          <w:t>http://www.austlii.edu.au/cgi-bin/viewdoc/au/cases/cth/FCCA/2016/1481.html</w:t>
        </w:r>
      </w:hyperlink>
    </w:p>
  </w:footnote>
  <w:footnote w:id="16">
    <w:p w14:paraId="7189D886" w14:textId="77777777" w:rsidR="00AD66F6" w:rsidRDefault="00AD66F6" w:rsidP="009F416F">
      <w:pPr>
        <w:pStyle w:val="Footnote"/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Pr="00656697">
          <w:rPr>
            <w:rStyle w:val="Hyperlink"/>
            <w:rFonts w:asciiTheme="minorHAnsi" w:hAnsiTheme="minorHAnsi" w:cs="Arial"/>
          </w:rPr>
          <w:t>http://classic.austlii.edu.au/cgi-bin/sinodisp/au/cases/cth/FCCA/2017/3332.html</w:t>
        </w:r>
      </w:hyperlink>
    </w:p>
  </w:footnote>
  <w:footnote w:id="17">
    <w:p w14:paraId="1BF7996B" w14:textId="6187D747" w:rsidR="00AD66F6" w:rsidRDefault="00AD66F6" w:rsidP="009F416F">
      <w:pPr>
        <w:pStyle w:val="Footnote"/>
      </w:pPr>
      <w:r>
        <w:rPr>
          <w:rStyle w:val="FootnoteReference"/>
        </w:rPr>
        <w:footnoteRef/>
      </w:r>
      <w:r>
        <w:t xml:space="preserve"> </w:t>
      </w:r>
      <w:hyperlink r:id="rId15" w:history="1">
        <w:r w:rsidRPr="00656697">
          <w:rPr>
            <w:rStyle w:val="Hyperlink"/>
            <w:rFonts w:asciiTheme="minorHAnsi" w:hAnsiTheme="minorHAnsi" w:cs="Arial"/>
          </w:rPr>
          <w:t>https://www.austlii.edu.au/cgi-bin/viewdoc/au/cases/cth/FCCA/2018/741.html</w:t>
        </w:r>
      </w:hyperlink>
    </w:p>
  </w:footnote>
  <w:footnote w:id="18">
    <w:p w14:paraId="3872AFEF" w14:textId="0B5C4345" w:rsidR="00AD66F6" w:rsidRDefault="00AD66F6" w:rsidP="009F416F">
      <w:pPr>
        <w:pStyle w:val="Footnote"/>
      </w:pPr>
      <w:r>
        <w:rPr>
          <w:rStyle w:val="FootnoteReference"/>
        </w:rPr>
        <w:footnoteRef/>
      </w:r>
      <w:r>
        <w:t xml:space="preserve"> </w:t>
      </w:r>
      <w:hyperlink r:id="rId16" w:history="1">
        <w:r w:rsidRPr="00656697">
          <w:rPr>
            <w:rStyle w:val="Hyperlink"/>
            <w:rFonts w:asciiTheme="minorHAnsi" w:hAnsiTheme="minorHAnsi" w:cs="Arial"/>
          </w:rPr>
          <w:t>https://www.austlii.edu.au/cgi-bin/viewdoc/au/cases/cth/FCCA/2018/741.html</w:t>
        </w:r>
      </w:hyperlink>
    </w:p>
  </w:footnote>
  <w:footnote w:id="19">
    <w:p w14:paraId="0DE8707D" w14:textId="77777777" w:rsidR="00AD66F6" w:rsidRDefault="00AD66F6" w:rsidP="009F416F">
      <w:pPr>
        <w:pStyle w:val="Footnote"/>
      </w:pPr>
      <w:r>
        <w:rPr>
          <w:rStyle w:val="FootnoteReference"/>
        </w:rPr>
        <w:footnoteRef/>
      </w:r>
      <w:r>
        <w:t xml:space="preserve"> </w:t>
      </w:r>
      <w:hyperlink r:id="rId17" w:history="1">
        <w:r w:rsidRPr="00EB177B">
          <w:rPr>
            <w:rStyle w:val="Hyperlink"/>
            <w:rFonts w:asciiTheme="minorHAnsi" w:hAnsiTheme="minorHAnsi" w:cs="Arial"/>
          </w:rPr>
          <w:t>http://www.austlii.edu.au/cgi-bin/viewdoc/au/cases/cth/FCCA/2019/83.html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BA24" w14:textId="77777777" w:rsidR="00AD66F6" w:rsidRDefault="00AD66F6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9776" behindDoc="0" locked="0" layoutInCell="1" allowOverlap="1" wp14:anchorId="6354B32D" wp14:editId="66BAFA07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A431" w14:textId="77777777" w:rsidR="00AD66F6" w:rsidRPr="00583EDF" w:rsidRDefault="00AD66F6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752" behindDoc="0" locked="0" layoutInCell="1" allowOverlap="1" wp14:anchorId="62715E3F" wp14:editId="4C21E395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FF2636" wp14:editId="4B24B022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9EBCE0" id="Rectangle 1" o:spid="_x0000_s1026" style="position:absolute;margin-left:-65.2pt;margin-top:.8pt;width:594.4pt;height:81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288CDB8E"/>
    <w:lvl w:ilvl="0" w:tplc="957E9EC0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3225F"/>
    <w:multiLevelType w:val="hybridMultilevel"/>
    <w:tmpl w:val="4F76D0BE"/>
    <w:lvl w:ilvl="0" w:tplc="8EE21EC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471B2"/>
    <w:multiLevelType w:val="hybridMultilevel"/>
    <w:tmpl w:val="05B68088"/>
    <w:lvl w:ilvl="0" w:tplc="0D68BDA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4627"/>
    <w:multiLevelType w:val="hybridMultilevel"/>
    <w:tmpl w:val="CDE667AE"/>
    <w:lvl w:ilvl="0" w:tplc="0D68BDA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217FD"/>
    <w:multiLevelType w:val="multilevel"/>
    <w:tmpl w:val="0B4E3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·"/>
      <w:lvlJc w:val="left"/>
      <w:pPr>
        <w:ind w:left="2520" w:hanging="1080"/>
      </w:pPr>
      <w:rPr>
        <w:rFonts w:asciiTheme="minorHAnsi" w:eastAsiaTheme="minorHAnsi" w:hAnsiTheme="minorHAnsi" w:cstheme="minorHAnsi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06451A"/>
    <w:multiLevelType w:val="hybridMultilevel"/>
    <w:tmpl w:val="14E04106"/>
    <w:lvl w:ilvl="0" w:tplc="0D68BDA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20BBB"/>
    <w:multiLevelType w:val="hybridMultilevel"/>
    <w:tmpl w:val="5FA82C30"/>
    <w:lvl w:ilvl="0" w:tplc="0D68BDA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EF58AC"/>
    <w:multiLevelType w:val="hybridMultilevel"/>
    <w:tmpl w:val="F7A06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8E2936"/>
    <w:multiLevelType w:val="hybridMultilevel"/>
    <w:tmpl w:val="D48206B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42685"/>
    <w:multiLevelType w:val="hybridMultilevel"/>
    <w:tmpl w:val="C8782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37124"/>
    <w:multiLevelType w:val="hybridMultilevel"/>
    <w:tmpl w:val="6018F4F6"/>
    <w:lvl w:ilvl="0" w:tplc="2AB84E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C6DE0"/>
    <w:multiLevelType w:val="hybridMultilevel"/>
    <w:tmpl w:val="E4D8F4E6"/>
    <w:lvl w:ilvl="0" w:tplc="0D68BDA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26CEB"/>
    <w:multiLevelType w:val="hybridMultilevel"/>
    <w:tmpl w:val="76B2FAEC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5698B"/>
    <w:multiLevelType w:val="hybridMultilevel"/>
    <w:tmpl w:val="A31E5FC2"/>
    <w:lvl w:ilvl="0" w:tplc="4D34420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51B4D"/>
    <w:multiLevelType w:val="hybridMultilevel"/>
    <w:tmpl w:val="1466F69A"/>
    <w:lvl w:ilvl="0" w:tplc="0D68BDA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635D1F"/>
    <w:multiLevelType w:val="hybridMultilevel"/>
    <w:tmpl w:val="CD468A1A"/>
    <w:lvl w:ilvl="0" w:tplc="1EAA9F78">
      <w:start w:val="1"/>
      <w:numFmt w:val="decimal"/>
      <w:lvlText w:val="%1."/>
      <w:lvlJc w:val="left"/>
      <w:pPr>
        <w:ind w:left="720" w:hanging="360"/>
      </w:pPr>
      <w:rPr>
        <w:color w:val="333399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76A68"/>
    <w:multiLevelType w:val="hybridMultilevel"/>
    <w:tmpl w:val="F162D1EA"/>
    <w:lvl w:ilvl="0" w:tplc="0D68BDA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34"/>
  </w:num>
  <w:num w:numId="7">
    <w:abstractNumId w:val="9"/>
  </w:num>
  <w:num w:numId="8">
    <w:abstractNumId w:val="21"/>
  </w:num>
  <w:num w:numId="9">
    <w:abstractNumId w:val="37"/>
  </w:num>
  <w:num w:numId="10">
    <w:abstractNumId w:val="35"/>
  </w:num>
  <w:num w:numId="11">
    <w:abstractNumId w:val="29"/>
  </w:num>
  <w:num w:numId="12">
    <w:abstractNumId w:val="38"/>
  </w:num>
  <w:num w:numId="13">
    <w:abstractNumId w:val="41"/>
  </w:num>
  <w:num w:numId="14">
    <w:abstractNumId w:val="0"/>
  </w:num>
  <w:num w:numId="15">
    <w:abstractNumId w:val="14"/>
  </w:num>
  <w:num w:numId="16">
    <w:abstractNumId w:val="40"/>
  </w:num>
  <w:num w:numId="17">
    <w:abstractNumId w:val="10"/>
  </w:num>
  <w:num w:numId="18">
    <w:abstractNumId w:val="1"/>
  </w:num>
  <w:num w:numId="19">
    <w:abstractNumId w:val="17"/>
  </w:num>
  <w:num w:numId="20">
    <w:abstractNumId w:val="5"/>
  </w:num>
  <w:num w:numId="21">
    <w:abstractNumId w:val="42"/>
  </w:num>
  <w:num w:numId="22">
    <w:abstractNumId w:val="2"/>
  </w:num>
  <w:num w:numId="23">
    <w:abstractNumId w:val="39"/>
  </w:num>
  <w:num w:numId="24">
    <w:abstractNumId w:val="11"/>
  </w:num>
  <w:num w:numId="25">
    <w:abstractNumId w:val="6"/>
  </w:num>
  <w:num w:numId="26">
    <w:abstractNumId w:val="26"/>
  </w:num>
  <w:num w:numId="27">
    <w:abstractNumId w:val="33"/>
  </w:num>
  <w:num w:numId="28">
    <w:abstractNumId w:val="27"/>
  </w:num>
  <w:num w:numId="29">
    <w:abstractNumId w:val="28"/>
  </w:num>
  <w:num w:numId="30">
    <w:abstractNumId w:val="12"/>
  </w:num>
  <w:num w:numId="31">
    <w:abstractNumId w:val="31"/>
  </w:num>
  <w:num w:numId="32">
    <w:abstractNumId w:val="24"/>
  </w:num>
  <w:num w:numId="33">
    <w:abstractNumId w:val="8"/>
  </w:num>
  <w:num w:numId="34">
    <w:abstractNumId w:val="16"/>
  </w:num>
  <w:num w:numId="35">
    <w:abstractNumId w:val="7"/>
  </w:num>
  <w:num w:numId="36">
    <w:abstractNumId w:val="19"/>
  </w:num>
  <w:num w:numId="37">
    <w:abstractNumId w:val="36"/>
  </w:num>
  <w:num w:numId="38">
    <w:abstractNumId w:val="18"/>
  </w:num>
  <w:num w:numId="39">
    <w:abstractNumId w:val="30"/>
  </w:num>
  <w:num w:numId="40">
    <w:abstractNumId w:val="15"/>
  </w:num>
  <w:num w:numId="41">
    <w:abstractNumId w:val="13"/>
  </w:num>
  <w:num w:numId="42">
    <w:abstractNumId w:val="22"/>
  </w:num>
  <w:num w:numId="43">
    <w:abstractNumId w:val="23"/>
  </w:num>
  <w:num w:numId="44">
    <w:abstractNumId w:val="2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0F"/>
    <w:rsid w:val="00011400"/>
    <w:rsid w:val="00013275"/>
    <w:rsid w:val="00014C04"/>
    <w:rsid w:val="000318D5"/>
    <w:rsid w:val="00033E9B"/>
    <w:rsid w:val="00035CD2"/>
    <w:rsid w:val="00053693"/>
    <w:rsid w:val="00063E28"/>
    <w:rsid w:val="000647E7"/>
    <w:rsid w:val="0007056F"/>
    <w:rsid w:val="000732BA"/>
    <w:rsid w:val="00073418"/>
    <w:rsid w:val="0007401F"/>
    <w:rsid w:val="000800C4"/>
    <w:rsid w:val="00093049"/>
    <w:rsid w:val="000A0BB1"/>
    <w:rsid w:val="000A1BB0"/>
    <w:rsid w:val="000A45F4"/>
    <w:rsid w:val="000A7821"/>
    <w:rsid w:val="000B0091"/>
    <w:rsid w:val="000B2A24"/>
    <w:rsid w:val="000B7D1C"/>
    <w:rsid w:val="000C0DF8"/>
    <w:rsid w:val="000C2CD2"/>
    <w:rsid w:val="000D46B8"/>
    <w:rsid w:val="000E08E8"/>
    <w:rsid w:val="000E3C54"/>
    <w:rsid w:val="00100FA4"/>
    <w:rsid w:val="00127701"/>
    <w:rsid w:val="00133548"/>
    <w:rsid w:val="00140AAD"/>
    <w:rsid w:val="0014201D"/>
    <w:rsid w:val="00144392"/>
    <w:rsid w:val="00166274"/>
    <w:rsid w:val="001739D9"/>
    <w:rsid w:val="00174429"/>
    <w:rsid w:val="0018384F"/>
    <w:rsid w:val="001914B4"/>
    <w:rsid w:val="001A27FB"/>
    <w:rsid w:val="001B224F"/>
    <w:rsid w:val="001C47EA"/>
    <w:rsid w:val="001C7CFE"/>
    <w:rsid w:val="001D3234"/>
    <w:rsid w:val="001D3773"/>
    <w:rsid w:val="001E0C0E"/>
    <w:rsid w:val="001F69CA"/>
    <w:rsid w:val="001F69F8"/>
    <w:rsid w:val="0021239B"/>
    <w:rsid w:val="00217072"/>
    <w:rsid w:val="00217E6B"/>
    <w:rsid w:val="00232CA4"/>
    <w:rsid w:val="002424D0"/>
    <w:rsid w:val="0024571D"/>
    <w:rsid w:val="002666D5"/>
    <w:rsid w:val="0026797B"/>
    <w:rsid w:val="00277BAA"/>
    <w:rsid w:val="00297A72"/>
    <w:rsid w:val="002A5A4D"/>
    <w:rsid w:val="002A65CC"/>
    <w:rsid w:val="002E0BB0"/>
    <w:rsid w:val="002E0DB1"/>
    <w:rsid w:val="002E2201"/>
    <w:rsid w:val="002E28E8"/>
    <w:rsid w:val="002E78A5"/>
    <w:rsid w:val="00303461"/>
    <w:rsid w:val="00305921"/>
    <w:rsid w:val="00320205"/>
    <w:rsid w:val="00331519"/>
    <w:rsid w:val="00333004"/>
    <w:rsid w:val="00333193"/>
    <w:rsid w:val="0035400D"/>
    <w:rsid w:val="00356139"/>
    <w:rsid w:val="00363037"/>
    <w:rsid w:val="00364732"/>
    <w:rsid w:val="00371024"/>
    <w:rsid w:val="003714A1"/>
    <w:rsid w:val="00377962"/>
    <w:rsid w:val="0038650F"/>
    <w:rsid w:val="00393CAF"/>
    <w:rsid w:val="00394804"/>
    <w:rsid w:val="003B2611"/>
    <w:rsid w:val="003B31C0"/>
    <w:rsid w:val="003B39E2"/>
    <w:rsid w:val="003B5656"/>
    <w:rsid w:val="003C1227"/>
    <w:rsid w:val="003C36DA"/>
    <w:rsid w:val="003D3891"/>
    <w:rsid w:val="0042094F"/>
    <w:rsid w:val="00430393"/>
    <w:rsid w:val="00435AD2"/>
    <w:rsid w:val="00440DF5"/>
    <w:rsid w:val="00456006"/>
    <w:rsid w:val="004654FA"/>
    <w:rsid w:val="00465E7E"/>
    <w:rsid w:val="00470388"/>
    <w:rsid w:val="00473B5C"/>
    <w:rsid w:val="00474667"/>
    <w:rsid w:val="00483507"/>
    <w:rsid w:val="00486F77"/>
    <w:rsid w:val="004874D2"/>
    <w:rsid w:val="004A1A32"/>
    <w:rsid w:val="004B5A5C"/>
    <w:rsid w:val="004B5F95"/>
    <w:rsid w:val="004C1847"/>
    <w:rsid w:val="004D0A9E"/>
    <w:rsid w:val="004D223B"/>
    <w:rsid w:val="004E1430"/>
    <w:rsid w:val="004F0A17"/>
    <w:rsid w:val="00504C43"/>
    <w:rsid w:val="00514A18"/>
    <w:rsid w:val="00520458"/>
    <w:rsid w:val="005261A5"/>
    <w:rsid w:val="00580692"/>
    <w:rsid w:val="00591A0E"/>
    <w:rsid w:val="00593BFB"/>
    <w:rsid w:val="00594634"/>
    <w:rsid w:val="005D1BC1"/>
    <w:rsid w:val="005D5A92"/>
    <w:rsid w:val="005D750B"/>
    <w:rsid w:val="005F3548"/>
    <w:rsid w:val="006059E9"/>
    <w:rsid w:val="00612470"/>
    <w:rsid w:val="006139FB"/>
    <w:rsid w:val="0062168C"/>
    <w:rsid w:val="0062768F"/>
    <w:rsid w:val="00643C4B"/>
    <w:rsid w:val="00647D11"/>
    <w:rsid w:val="00666EA6"/>
    <w:rsid w:val="00671BDC"/>
    <w:rsid w:val="0067580B"/>
    <w:rsid w:val="00683A87"/>
    <w:rsid w:val="006903D3"/>
    <w:rsid w:val="0069223F"/>
    <w:rsid w:val="0069313C"/>
    <w:rsid w:val="00694033"/>
    <w:rsid w:val="006B1080"/>
    <w:rsid w:val="006B5871"/>
    <w:rsid w:val="006B59F9"/>
    <w:rsid w:val="006C46AC"/>
    <w:rsid w:val="006D19EE"/>
    <w:rsid w:val="006D4A6F"/>
    <w:rsid w:val="006E54F5"/>
    <w:rsid w:val="006F4DA6"/>
    <w:rsid w:val="006F60A7"/>
    <w:rsid w:val="00702B9D"/>
    <w:rsid w:val="00703886"/>
    <w:rsid w:val="00711718"/>
    <w:rsid w:val="00714AAC"/>
    <w:rsid w:val="00714F27"/>
    <w:rsid w:val="0072110A"/>
    <w:rsid w:val="007255D8"/>
    <w:rsid w:val="00727206"/>
    <w:rsid w:val="00727B17"/>
    <w:rsid w:val="00730BA6"/>
    <w:rsid w:val="00732D91"/>
    <w:rsid w:val="0074026B"/>
    <w:rsid w:val="00743DBC"/>
    <w:rsid w:val="007479AD"/>
    <w:rsid w:val="00750DF7"/>
    <w:rsid w:val="00752E5E"/>
    <w:rsid w:val="00753483"/>
    <w:rsid w:val="00763A33"/>
    <w:rsid w:val="007670B4"/>
    <w:rsid w:val="007729B7"/>
    <w:rsid w:val="00772CE6"/>
    <w:rsid w:val="00786E3C"/>
    <w:rsid w:val="0078757D"/>
    <w:rsid w:val="00787A39"/>
    <w:rsid w:val="007900FB"/>
    <w:rsid w:val="00791AB0"/>
    <w:rsid w:val="00792CEC"/>
    <w:rsid w:val="0079462D"/>
    <w:rsid w:val="007A0B86"/>
    <w:rsid w:val="007A1508"/>
    <w:rsid w:val="007A6811"/>
    <w:rsid w:val="007A6D98"/>
    <w:rsid w:val="007A6F39"/>
    <w:rsid w:val="007A7296"/>
    <w:rsid w:val="007B043E"/>
    <w:rsid w:val="007B050D"/>
    <w:rsid w:val="007B5C9B"/>
    <w:rsid w:val="007B6AC8"/>
    <w:rsid w:val="007C01BA"/>
    <w:rsid w:val="007C0AAB"/>
    <w:rsid w:val="007C2DA0"/>
    <w:rsid w:val="007C507C"/>
    <w:rsid w:val="007C50B0"/>
    <w:rsid w:val="007C5894"/>
    <w:rsid w:val="007D19A1"/>
    <w:rsid w:val="007D2B23"/>
    <w:rsid w:val="007D774E"/>
    <w:rsid w:val="007E16D5"/>
    <w:rsid w:val="007E1836"/>
    <w:rsid w:val="007E571D"/>
    <w:rsid w:val="007E5FAD"/>
    <w:rsid w:val="007F0545"/>
    <w:rsid w:val="00803A9A"/>
    <w:rsid w:val="00804D07"/>
    <w:rsid w:val="00810E0C"/>
    <w:rsid w:val="008114FB"/>
    <w:rsid w:val="008252CD"/>
    <w:rsid w:val="008258AC"/>
    <w:rsid w:val="008362E3"/>
    <w:rsid w:val="0083679C"/>
    <w:rsid w:val="00840520"/>
    <w:rsid w:val="00851086"/>
    <w:rsid w:val="00856542"/>
    <w:rsid w:val="00865B18"/>
    <w:rsid w:val="00876D03"/>
    <w:rsid w:val="008A1058"/>
    <w:rsid w:val="008A2053"/>
    <w:rsid w:val="008C2607"/>
    <w:rsid w:val="0090062C"/>
    <w:rsid w:val="009060B0"/>
    <w:rsid w:val="00906409"/>
    <w:rsid w:val="009071FB"/>
    <w:rsid w:val="00907C87"/>
    <w:rsid w:val="009147FE"/>
    <w:rsid w:val="009202D5"/>
    <w:rsid w:val="00932C9C"/>
    <w:rsid w:val="009330F3"/>
    <w:rsid w:val="009470A4"/>
    <w:rsid w:val="00950049"/>
    <w:rsid w:val="00981412"/>
    <w:rsid w:val="00982E90"/>
    <w:rsid w:val="009830B4"/>
    <w:rsid w:val="00993703"/>
    <w:rsid w:val="009946F6"/>
    <w:rsid w:val="00995EBE"/>
    <w:rsid w:val="00997DD8"/>
    <w:rsid w:val="009A294E"/>
    <w:rsid w:val="009C0C7F"/>
    <w:rsid w:val="009C5760"/>
    <w:rsid w:val="009C61A2"/>
    <w:rsid w:val="009E29E9"/>
    <w:rsid w:val="009E2EF8"/>
    <w:rsid w:val="009E5D7B"/>
    <w:rsid w:val="009F416F"/>
    <w:rsid w:val="009F4608"/>
    <w:rsid w:val="009F64F6"/>
    <w:rsid w:val="00A01C38"/>
    <w:rsid w:val="00A04703"/>
    <w:rsid w:val="00A1044D"/>
    <w:rsid w:val="00A20273"/>
    <w:rsid w:val="00A25A80"/>
    <w:rsid w:val="00A267BA"/>
    <w:rsid w:val="00A31966"/>
    <w:rsid w:val="00A40DEB"/>
    <w:rsid w:val="00A41C93"/>
    <w:rsid w:val="00A53467"/>
    <w:rsid w:val="00A7006D"/>
    <w:rsid w:val="00A72350"/>
    <w:rsid w:val="00A80561"/>
    <w:rsid w:val="00A841DA"/>
    <w:rsid w:val="00A97F48"/>
    <w:rsid w:val="00AA0244"/>
    <w:rsid w:val="00AA1953"/>
    <w:rsid w:val="00AB465A"/>
    <w:rsid w:val="00AB5511"/>
    <w:rsid w:val="00AC2DF7"/>
    <w:rsid w:val="00AC746D"/>
    <w:rsid w:val="00AD2C05"/>
    <w:rsid w:val="00AD4CF6"/>
    <w:rsid w:val="00AD66F6"/>
    <w:rsid w:val="00AE4954"/>
    <w:rsid w:val="00AF0EAF"/>
    <w:rsid w:val="00AF74D9"/>
    <w:rsid w:val="00B00937"/>
    <w:rsid w:val="00B02B68"/>
    <w:rsid w:val="00B03B2B"/>
    <w:rsid w:val="00B165E1"/>
    <w:rsid w:val="00B30A99"/>
    <w:rsid w:val="00B44779"/>
    <w:rsid w:val="00B474FA"/>
    <w:rsid w:val="00B478AD"/>
    <w:rsid w:val="00B50641"/>
    <w:rsid w:val="00B53065"/>
    <w:rsid w:val="00B5695D"/>
    <w:rsid w:val="00B56C5A"/>
    <w:rsid w:val="00B7115C"/>
    <w:rsid w:val="00B746E5"/>
    <w:rsid w:val="00B77037"/>
    <w:rsid w:val="00B775C1"/>
    <w:rsid w:val="00B8128F"/>
    <w:rsid w:val="00B83AC4"/>
    <w:rsid w:val="00B91121"/>
    <w:rsid w:val="00BA5269"/>
    <w:rsid w:val="00BA59D7"/>
    <w:rsid w:val="00BA68A3"/>
    <w:rsid w:val="00BB53D7"/>
    <w:rsid w:val="00BB613F"/>
    <w:rsid w:val="00BC0303"/>
    <w:rsid w:val="00BC2504"/>
    <w:rsid w:val="00BC78E2"/>
    <w:rsid w:val="00BC7D91"/>
    <w:rsid w:val="00BE2C8C"/>
    <w:rsid w:val="00BE65FA"/>
    <w:rsid w:val="00BF4304"/>
    <w:rsid w:val="00BF66C0"/>
    <w:rsid w:val="00C03DF8"/>
    <w:rsid w:val="00C079AD"/>
    <w:rsid w:val="00C208A3"/>
    <w:rsid w:val="00C2373C"/>
    <w:rsid w:val="00C30565"/>
    <w:rsid w:val="00C346A5"/>
    <w:rsid w:val="00C43B6D"/>
    <w:rsid w:val="00C46F79"/>
    <w:rsid w:val="00C72594"/>
    <w:rsid w:val="00C731C3"/>
    <w:rsid w:val="00C93B8D"/>
    <w:rsid w:val="00C94F81"/>
    <w:rsid w:val="00CA2D3E"/>
    <w:rsid w:val="00CA3551"/>
    <w:rsid w:val="00CA39F1"/>
    <w:rsid w:val="00CD049C"/>
    <w:rsid w:val="00CD1F53"/>
    <w:rsid w:val="00CD32AC"/>
    <w:rsid w:val="00CE6055"/>
    <w:rsid w:val="00CE6883"/>
    <w:rsid w:val="00CE72FC"/>
    <w:rsid w:val="00CE7A1A"/>
    <w:rsid w:val="00CE7CD4"/>
    <w:rsid w:val="00CF1D15"/>
    <w:rsid w:val="00CF4D36"/>
    <w:rsid w:val="00CF5ACA"/>
    <w:rsid w:val="00CF5AFE"/>
    <w:rsid w:val="00CF5C75"/>
    <w:rsid w:val="00CF633D"/>
    <w:rsid w:val="00D11BC7"/>
    <w:rsid w:val="00D171E3"/>
    <w:rsid w:val="00D17674"/>
    <w:rsid w:val="00D20453"/>
    <w:rsid w:val="00D2094E"/>
    <w:rsid w:val="00D316FC"/>
    <w:rsid w:val="00D333E0"/>
    <w:rsid w:val="00D34DEC"/>
    <w:rsid w:val="00D51254"/>
    <w:rsid w:val="00D57946"/>
    <w:rsid w:val="00D64968"/>
    <w:rsid w:val="00D654CA"/>
    <w:rsid w:val="00D778C0"/>
    <w:rsid w:val="00D803E6"/>
    <w:rsid w:val="00D828C6"/>
    <w:rsid w:val="00D8571C"/>
    <w:rsid w:val="00D95B26"/>
    <w:rsid w:val="00D960E2"/>
    <w:rsid w:val="00DA1AD1"/>
    <w:rsid w:val="00DA7095"/>
    <w:rsid w:val="00DB083C"/>
    <w:rsid w:val="00DB315E"/>
    <w:rsid w:val="00DB4559"/>
    <w:rsid w:val="00DD3A3F"/>
    <w:rsid w:val="00E11EC3"/>
    <w:rsid w:val="00E13A01"/>
    <w:rsid w:val="00E23B88"/>
    <w:rsid w:val="00E31A99"/>
    <w:rsid w:val="00E3299B"/>
    <w:rsid w:val="00E36FF5"/>
    <w:rsid w:val="00E37AD3"/>
    <w:rsid w:val="00E47482"/>
    <w:rsid w:val="00E501FD"/>
    <w:rsid w:val="00E507A8"/>
    <w:rsid w:val="00E52830"/>
    <w:rsid w:val="00E62AC7"/>
    <w:rsid w:val="00E65A3D"/>
    <w:rsid w:val="00E70539"/>
    <w:rsid w:val="00E80136"/>
    <w:rsid w:val="00E83691"/>
    <w:rsid w:val="00E85A5F"/>
    <w:rsid w:val="00E91B45"/>
    <w:rsid w:val="00EA6B05"/>
    <w:rsid w:val="00EB6998"/>
    <w:rsid w:val="00EC654D"/>
    <w:rsid w:val="00EC6D6B"/>
    <w:rsid w:val="00ED18CC"/>
    <w:rsid w:val="00ED5190"/>
    <w:rsid w:val="00EE6873"/>
    <w:rsid w:val="00EE6F1A"/>
    <w:rsid w:val="00EF0D4B"/>
    <w:rsid w:val="00EF5847"/>
    <w:rsid w:val="00F0379D"/>
    <w:rsid w:val="00F0649C"/>
    <w:rsid w:val="00F11539"/>
    <w:rsid w:val="00F16C10"/>
    <w:rsid w:val="00F210A5"/>
    <w:rsid w:val="00F2468C"/>
    <w:rsid w:val="00F25090"/>
    <w:rsid w:val="00F35B98"/>
    <w:rsid w:val="00F53BF8"/>
    <w:rsid w:val="00F626B0"/>
    <w:rsid w:val="00F639B7"/>
    <w:rsid w:val="00F63E75"/>
    <w:rsid w:val="00F652F1"/>
    <w:rsid w:val="00F71CE1"/>
    <w:rsid w:val="00F71FFA"/>
    <w:rsid w:val="00F8077E"/>
    <w:rsid w:val="00F83193"/>
    <w:rsid w:val="00F87CD3"/>
    <w:rsid w:val="00F87D75"/>
    <w:rsid w:val="00F941BF"/>
    <w:rsid w:val="00F94C5E"/>
    <w:rsid w:val="00F95B2D"/>
    <w:rsid w:val="00FA147F"/>
    <w:rsid w:val="00FB30A9"/>
    <w:rsid w:val="00FB711F"/>
    <w:rsid w:val="00FC3CB8"/>
    <w:rsid w:val="00FC4D86"/>
    <w:rsid w:val="00FC7929"/>
    <w:rsid w:val="00FC7B74"/>
    <w:rsid w:val="00FD7C4E"/>
    <w:rsid w:val="00FE3F8D"/>
    <w:rsid w:val="00FE67F4"/>
    <w:rsid w:val="00FE7BDD"/>
    <w:rsid w:val="00FF05C8"/>
    <w:rsid w:val="00FF47ED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78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462D"/>
    <w:pPr>
      <w:keepNext/>
      <w:keepLines/>
      <w:spacing w:before="480" w:after="48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21239B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727B17"/>
    <w:pPr>
      <w:numPr>
        <w:numId w:val="4"/>
      </w:numPr>
      <w:spacing w:before="120" w:after="240" w:line="240" w:lineRule="auto"/>
    </w:pPr>
    <w:rPr>
      <w:rFonts w:eastAsiaTheme="minorHAnsi"/>
      <w:szCs w:val="22"/>
      <w:lang w:eastAsia="en-AU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5D750B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5D750B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9462D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1239B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paragraph" w:customStyle="1" w:styleId="Footnotes">
    <w:name w:val="Footnotes"/>
    <w:basedOn w:val="Normal"/>
    <w:qFormat/>
    <w:rsid w:val="0038650F"/>
    <w:pPr>
      <w:spacing w:after="0" w:line="240" w:lineRule="auto"/>
    </w:pPr>
    <w:rPr>
      <w:rFonts w:ascii="Arial" w:hAnsi="Arial"/>
      <w:sz w:val="16"/>
    </w:rPr>
  </w:style>
  <w:style w:type="paragraph" w:customStyle="1" w:styleId="Footnote">
    <w:name w:val="Footnote"/>
    <w:basedOn w:val="FootnoteText"/>
    <w:qFormat/>
    <w:rsid w:val="00714AAC"/>
    <w:pPr>
      <w:spacing w:before="0" w:after="120" w:line="240" w:lineRule="auto"/>
    </w:pPr>
    <w:rPr>
      <w:rFonts w:asciiTheme="minorHAnsi" w:hAnsiTheme="minorHAnsi"/>
      <w:sz w:val="18"/>
      <w:szCs w:val="18"/>
    </w:rPr>
  </w:style>
  <w:style w:type="paragraph" w:customStyle="1" w:styleId="Default">
    <w:name w:val="Default"/>
    <w:rsid w:val="00743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lloutboxbullets">
    <w:name w:val="Callout box bullets"/>
    <w:basedOn w:val="Calloutbox"/>
    <w:qFormat/>
    <w:rsid w:val="00333004"/>
    <w:pPr>
      <w:numPr>
        <w:numId w:val="41"/>
      </w:numPr>
      <w:spacing w:before="120" w:after="240"/>
      <w:ind w:left="641" w:hanging="357"/>
    </w:pPr>
    <w:rPr>
      <w:lang w:eastAsia="en-AU"/>
    </w:rPr>
  </w:style>
  <w:style w:type="table" w:customStyle="1" w:styleId="TableGrid1">
    <w:name w:val="Table Grid1"/>
    <w:basedOn w:val="TableNormal"/>
    <w:rsid w:val="00035CD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239B"/>
    <w:rPr>
      <w:rFonts w:asciiTheme="minorHAnsi" w:hAnsiTheme="minorHAnsi" w:cs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4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49913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42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2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45101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00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about-us/news-and-media-releases/2017-media-releases/october-2017/20171018-balaji-litigation-mr" TargetMode="External"/><Relationship Id="rId13" Type="http://schemas.openxmlformats.org/officeDocument/2006/relationships/hyperlink" Target="http://www.austlii.edu.au/cgi-bin/viewdoc/au/cases/cth/FCCA/2016/1481.html" TargetMode="External"/><Relationship Id="rId3" Type="http://schemas.openxmlformats.org/officeDocument/2006/relationships/hyperlink" Target="https://www.fairwork.gov.au/about-us/access-accountability-and-reporting/inquiry-reports" TargetMode="External"/><Relationship Id="rId7" Type="http://schemas.openxmlformats.org/officeDocument/2006/relationships/hyperlink" Target="http://www.austlii.edu.au/cgi-bin/viewdoc/au/cases/cth/FCCA/2016/968.html" TargetMode="External"/><Relationship Id="rId12" Type="http://schemas.openxmlformats.org/officeDocument/2006/relationships/hyperlink" Target="http://www.austlii.edu.au/cgi-bin/viewdoc/au/cases/cth/FCCA/2017/1689.html" TargetMode="External"/><Relationship Id="rId17" Type="http://schemas.openxmlformats.org/officeDocument/2006/relationships/hyperlink" Target="http://www.austlii.edu.au/cgi-bin/viewdoc/au/cases/cth/FCCA/2019/83.html" TargetMode="External"/><Relationship Id="rId2" Type="http://schemas.openxmlformats.org/officeDocument/2006/relationships/hyperlink" Target="https://www.fairwork.gov.au/about-us/news-and-media-releases/archived-media-releases/2016-media-releases/april-2016/20160409-7-eleven-presser" TargetMode="External"/><Relationship Id="rId16" Type="http://schemas.openxmlformats.org/officeDocument/2006/relationships/hyperlink" Target="https://www.austlii.edu.au/cgi-bin/viewdoc/au/cases/cth/FCCA/2018/741.html" TargetMode="External"/><Relationship Id="rId1" Type="http://schemas.openxmlformats.org/officeDocument/2006/relationships/hyperlink" Target="https://www.7eleven.com.au/get-to-know-us/about-us.html" TargetMode="External"/><Relationship Id="rId6" Type="http://schemas.openxmlformats.org/officeDocument/2006/relationships/hyperlink" Target="https://www.auasb.gov.au/admin/file/content102/c3/ASAE_3100_Compliance_Engagements.pdf" TargetMode="External"/><Relationship Id="rId11" Type="http://schemas.openxmlformats.org/officeDocument/2006/relationships/hyperlink" Target="http://www.austlii.edu.au/cgi-bin/viewdoc/au/cases/cth/FCCA/2016/1634.html" TargetMode="External"/><Relationship Id="rId5" Type="http://schemas.openxmlformats.org/officeDocument/2006/relationships/hyperlink" Target="https://www.fairwork.gov.au/abto%20out-us/news-and-media-releases/archived-media-releases/2016-media-releases/december-2016/20161207-7-11-pcdmediarelease" TargetMode="External"/><Relationship Id="rId15" Type="http://schemas.openxmlformats.org/officeDocument/2006/relationships/hyperlink" Target="https://www.austlii.edu.au/cgi-bin/viewdoc/au/cases/cth/FCCA/2018/741.html" TargetMode="External"/><Relationship Id="rId10" Type="http://schemas.openxmlformats.org/officeDocument/2006/relationships/hyperlink" Target="http://www.austlii.edu.au/cgi-bin/viewdoc/au/cases/cth/FCCA/2015/2113.html" TargetMode="External"/><Relationship Id="rId4" Type="http://schemas.openxmlformats.org/officeDocument/2006/relationships/hyperlink" Target="https://www.fairwork.gov.au/ArticleDocuments/762/7-eleven-pcd.pdf.aspx" TargetMode="External"/><Relationship Id="rId9" Type="http://schemas.openxmlformats.org/officeDocument/2006/relationships/hyperlink" Target="http://www.austlii.edu.au/au/cases/vic/VMC/2011/81.pdf" TargetMode="External"/><Relationship Id="rId14" Type="http://schemas.openxmlformats.org/officeDocument/2006/relationships/hyperlink" Target="http://classic.austlii.edu.au/cgi-bin/sinodisp/au/cases/cth/FCCA/2017/333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D9D5-40A1-46E1-98AD-65203B4E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7-Eleven compliance partnership report</vt:lpstr>
    </vt:vector>
  </TitlesOfParts>
  <Company/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7-Eleven compliance partnership report</dc:title>
  <dc:subject>7-Eleven compliance partnership report</dc:subject>
  <dc:creator/>
  <cp:keywords>7-Eleven compliance partnership report</cp:keywords>
  <cp:lastModifiedBy/>
  <cp:revision>1</cp:revision>
  <dcterms:created xsi:type="dcterms:W3CDTF">2020-10-29T06:49:00Z</dcterms:created>
  <dcterms:modified xsi:type="dcterms:W3CDTF">2020-10-29T06:51:00Z</dcterms:modified>
</cp:coreProperties>
</file>