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7613E" w14:textId="180BB768" w:rsidR="00205DBE" w:rsidRPr="00AB091F" w:rsidRDefault="00CE1838" w:rsidP="00AB091F">
      <w:pPr>
        <w:pStyle w:val="CoverReportTitle"/>
      </w:pPr>
      <w:r>
        <w:t>Retail Zoo Group Pty Ltd</w:t>
      </w:r>
      <w:r w:rsidR="00D714F1">
        <w:t xml:space="preserve"> Compliance P</w:t>
      </w:r>
      <w:r w:rsidR="001D7547">
        <w:t>artnership</w:t>
      </w:r>
      <w:r w:rsidR="00D714F1">
        <w:t xml:space="preserve"> report</w:t>
      </w:r>
    </w:p>
    <w:p w14:paraId="5FBA3933" w14:textId="3262BB93" w:rsidR="003952ED" w:rsidRDefault="00C51F73" w:rsidP="00602CBE">
      <w:pPr>
        <w:pStyle w:val="CoverReportSubTitle"/>
      </w:pPr>
      <w:r>
        <w:t xml:space="preserve">Final </w:t>
      </w:r>
      <w:r w:rsidR="00CE1838">
        <w:t>report</w:t>
      </w:r>
    </w:p>
    <w:p w14:paraId="5F2C1D97" w14:textId="77777777" w:rsidR="0086281F" w:rsidRPr="0086281F" w:rsidRDefault="0086281F" w:rsidP="0086281F"/>
    <w:p w14:paraId="2B01F280" w14:textId="2A4D7791" w:rsidR="00BF0029" w:rsidRPr="00BF0029" w:rsidRDefault="0086281F" w:rsidP="00BF0029">
      <w:r>
        <w:t xml:space="preserve"> </w:t>
      </w:r>
      <w:r w:rsidR="00042BC7">
        <w:t xml:space="preserve">November </w:t>
      </w:r>
      <w:r w:rsidR="00CE1838">
        <w:t>2018</w:t>
      </w:r>
    </w:p>
    <w:p w14:paraId="04C0DDBD" w14:textId="0D934CA6" w:rsidR="001F20C3" w:rsidRPr="006A412C" w:rsidRDefault="009629F3" w:rsidP="006A412C">
      <w:r w:rsidRPr="0045600E">
        <w:t>©</w:t>
      </w:r>
      <w:r w:rsidR="00CC7FFE" w:rsidRPr="0045600E">
        <w:t xml:space="preserve"> </w:t>
      </w:r>
      <w:r w:rsidRPr="0045600E">
        <w:t xml:space="preserve">Commonwealth of Australia, </w:t>
      </w:r>
      <w:r w:rsidR="0086281F">
        <w:t>2018</w:t>
      </w:r>
      <w:r w:rsidR="001F20C3">
        <w:br w:type="page"/>
      </w:r>
    </w:p>
    <w:p w14:paraId="34AEA236" w14:textId="77777777" w:rsidR="00BF0029" w:rsidRDefault="001E7995" w:rsidP="001E7995">
      <w:pPr>
        <w:pStyle w:val="Heading1"/>
      </w:pPr>
      <w:r>
        <w:lastRenderedPageBreak/>
        <w:t>Table of c</w:t>
      </w:r>
      <w:r w:rsidR="00BF0029">
        <w:t>ontents</w:t>
      </w:r>
    </w:p>
    <w:p w14:paraId="2A91C131" w14:textId="77777777" w:rsidR="00BF0029" w:rsidRDefault="00BF0029" w:rsidP="00BF0029"/>
    <w:p w14:paraId="34AD4AE5" w14:textId="152C0EBB" w:rsidR="00BF0029" w:rsidRPr="00142043" w:rsidRDefault="00BF0029" w:rsidP="00BF0029"/>
    <w:p w14:paraId="2CE0C839" w14:textId="6F9774EA" w:rsidR="0086281F" w:rsidRPr="00143785" w:rsidRDefault="0086281F" w:rsidP="0086281F">
      <w:pPr>
        <w:pStyle w:val="TOC1"/>
        <w:rPr>
          <w:rFonts w:eastAsiaTheme="minorEastAsia"/>
          <w:noProof/>
          <w:spacing w:val="0"/>
          <w:szCs w:val="22"/>
          <w:lang w:eastAsia="en-AU"/>
        </w:rPr>
      </w:pPr>
      <w:r w:rsidRPr="00143785">
        <w:rPr>
          <w:rStyle w:val="Hyperlink"/>
          <w:rFonts w:cs="Arial"/>
          <w:noProof/>
          <w:color w:val="auto"/>
          <w:u w:val="none"/>
        </w:rPr>
        <w:t>Summary</w:t>
      </w:r>
      <w:r w:rsidRPr="00143785">
        <w:rPr>
          <w:noProof/>
          <w:webHidden/>
        </w:rPr>
        <w:tab/>
      </w:r>
      <w:r w:rsidRPr="00143785">
        <w:rPr>
          <w:noProof/>
          <w:webHidden/>
        </w:rPr>
        <w:fldChar w:fldCharType="begin"/>
      </w:r>
      <w:r w:rsidRPr="00143785">
        <w:rPr>
          <w:noProof/>
          <w:webHidden/>
        </w:rPr>
        <w:instrText xml:space="preserve"> PAGEREF _Toc520118950 \h </w:instrText>
      </w:r>
      <w:r w:rsidRPr="00143785">
        <w:rPr>
          <w:noProof/>
          <w:webHidden/>
        </w:rPr>
      </w:r>
      <w:r w:rsidRPr="00143785">
        <w:rPr>
          <w:noProof/>
          <w:webHidden/>
        </w:rPr>
        <w:fldChar w:fldCharType="separate"/>
      </w:r>
      <w:r w:rsidRPr="00143785">
        <w:rPr>
          <w:noProof/>
          <w:webHidden/>
        </w:rPr>
        <w:t>4</w:t>
      </w:r>
      <w:r w:rsidRPr="00143785">
        <w:rPr>
          <w:noProof/>
          <w:webHidden/>
        </w:rPr>
        <w:fldChar w:fldCharType="end"/>
      </w:r>
    </w:p>
    <w:p w14:paraId="466E0D72" w14:textId="61075BA7" w:rsidR="0086281F" w:rsidRPr="00143785" w:rsidRDefault="0086281F" w:rsidP="0086281F">
      <w:pPr>
        <w:pStyle w:val="TOC1"/>
        <w:rPr>
          <w:rFonts w:eastAsiaTheme="minorEastAsia"/>
          <w:noProof/>
          <w:spacing w:val="0"/>
          <w:szCs w:val="22"/>
          <w:lang w:eastAsia="en-AU"/>
        </w:rPr>
      </w:pPr>
      <w:r w:rsidRPr="00143785">
        <w:rPr>
          <w:rStyle w:val="Hyperlink"/>
          <w:rFonts w:cs="Arial"/>
          <w:noProof/>
          <w:color w:val="auto"/>
          <w:u w:val="none"/>
        </w:rPr>
        <w:t>Background</w:t>
      </w:r>
      <w:r w:rsidRPr="00143785">
        <w:rPr>
          <w:noProof/>
          <w:webHidden/>
        </w:rPr>
        <w:tab/>
      </w:r>
      <w:r w:rsidRPr="00143785">
        <w:rPr>
          <w:noProof/>
          <w:webHidden/>
        </w:rPr>
        <w:fldChar w:fldCharType="begin"/>
      </w:r>
      <w:r w:rsidRPr="00143785">
        <w:rPr>
          <w:noProof/>
          <w:webHidden/>
        </w:rPr>
        <w:instrText xml:space="preserve"> PAGEREF _Toc520118951 \h </w:instrText>
      </w:r>
      <w:r w:rsidRPr="00143785">
        <w:rPr>
          <w:noProof/>
          <w:webHidden/>
        </w:rPr>
      </w:r>
      <w:r w:rsidRPr="00143785">
        <w:rPr>
          <w:noProof/>
          <w:webHidden/>
        </w:rPr>
        <w:fldChar w:fldCharType="separate"/>
      </w:r>
      <w:r w:rsidRPr="00143785">
        <w:rPr>
          <w:noProof/>
          <w:webHidden/>
        </w:rPr>
        <w:t>6</w:t>
      </w:r>
      <w:r w:rsidRPr="00143785">
        <w:rPr>
          <w:noProof/>
          <w:webHidden/>
        </w:rPr>
        <w:fldChar w:fldCharType="end"/>
      </w:r>
    </w:p>
    <w:p w14:paraId="0706A6FC" w14:textId="180C94C5" w:rsidR="0086281F" w:rsidRPr="00143785" w:rsidRDefault="0086281F" w:rsidP="0086281F">
      <w:pPr>
        <w:pStyle w:val="TOC1"/>
        <w:rPr>
          <w:rFonts w:eastAsiaTheme="minorEastAsia"/>
          <w:noProof/>
          <w:spacing w:val="0"/>
          <w:szCs w:val="22"/>
          <w:lang w:eastAsia="en-AU"/>
        </w:rPr>
      </w:pPr>
      <w:r w:rsidRPr="00143785">
        <w:rPr>
          <w:rStyle w:val="Hyperlink"/>
          <w:rFonts w:cs="Arial"/>
          <w:noProof/>
          <w:color w:val="auto"/>
          <w:u w:val="none"/>
        </w:rPr>
        <w:t>Workplace relations settings</w:t>
      </w:r>
      <w:r w:rsidRPr="00143785">
        <w:rPr>
          <w:noProof/>
          <w:webHidden/>
        </w:rPr>
        <w:tab/>
      </w:r>
      <w:r w:rsidRPr="00143785">
        <w:rPr>
          <w:noProof/>
          <w:webHidden/>
        </w:rPr>
        <w:fldChar w:fldCharType="begin"/>
      </w:r>
      <w:r w:rsidRPr="00143785">
        <w:rPr>
          <w:noProof/>
          <w:webHidden/>
        </w:rPr>
        <w:instrText xml:space="preserve"> PAGEREF _Toc520118952 \h </w:instrText>
      </w:r>
      <w:r w:rsidRPr="00143785">
        <w:rPr>
          <w:noProof/>
          <w:webHidden/>
        </w:rPr>
      </w:r>
      <w:r w:rsidRPr="00143785">
        <w:rPr>
          <w:noProof/>
          <w:webHidden/>
        </w:rPr>
        <w:fldChar w:fldCharType="separate"/>
      </w:r>
      <w:r w:rsidRPr="00143785">
        <w:rPr>
          <w:noProof/>
          <w:webHidden/>
        </w:rPr>
        <w:t>7</w:t>
      </w:r>
      <w:r w:rsidRPr="00143785">
        <w:rPr>
          <w:noProof/>
          <w:webHidden/>
        </w:rPr>
        <w:fldChar w:fldCharType="end"/>
      </w:r>
    </w:p>
    <w:p w14:paraId="2540B97C" w14:textId="10515ED6" w:rsidR="0086281F" w:rsidRPr="00143785" w:rsidRDefault="0086281F" w:rsidP="0086281F">
      <w:pPr>
        <w:pStyle w:val="TOC1"/>
        <w:rPr>
          <w:rFonts w:eastAsiaTheme="minorEastAsia"/>
          <w:noProof/>
          <w:spacing w:val="0"/>
          <w:szCs w:val="22"/>
          <w:lang w:eastAsia="en-AU"/>
        </w:rPr>
      </w:pPr>
      <w:r w:rsidRPr="00143785">
        <w:rPr>
          <w:rStyle w:val="Hyperlink"/>
          <w:rFonts w:cs="Arial"/>
          <w:noProof/>
          <w:color w:val="auto"/>
          <w:u w:val="none"/>
        </w:rPr>
        <w:t>Communication</w:t>
      </w:r>
      <w:r w:rsidRPr="00143785">
        <w:rPr>
          <w:noProof/>
          <w:webHidden/>
        </w:rPr>
        <w:tab/>
      </w:r>
      <w:r w:rsidRPr="00143785">
        <w:rPr>
          <w:noProof/>
          <w:webHidden/>
        </w:rPr>
        <w:fldChar w:fldCharType="begin"/>
      </w:r>
      <w:r w:rsidRPr="00143785">
        <w:rPr>
          <w:noProof/>
          <w:webHidden/>
        </w:rPr>
        <w:instrText xml:space="preserve"> PAGEREF _Toc520118953 \h </w:instrText>
      </w:r>
      <w:r w:rsidRPr="00143785">
        <w:rPr>
          <w:noProof/>
          <w:webHidden/>
        </w:rPr>
      </w:r>
      <w:r w:rsidRPr="00143785">
        <w:rPr>
          <w:noProof/>
          <w:webHidden/>
        </w:rPr>
        <w:fldChar w:fldCharType="separate"/>
      </w:r>
      <w:r w:rsidRPr="00143785">
        <w:rPr>
          <w:noProof/>
          <w:webHidden/>
        </w:rPr>
        <w:t>9</w:t>
      </w:r>
      <w:r w:rsidRPr="00143785">
        <w:rPr>
          <w:noProof/>
          <w:webHidden/>
        </w:rPr>
        <w:fldChar w:fldCharType="end"/>
      </w:r>
    </w:p>
    <w:p w14:paraId="3F189CC5" w14:textId="511BDDEC" w:rsidR="0086281F" w:rsidRPr="00143785" w:rsidRDefault="0086281F" w:rsidP="0086281F">
      <w:pPr>
        <w:pStyle w:val="TOC1"/>
        <w:rPr>
          <w:rFonts w:eastAsiaTheme="minorEastAsia"/>
          <w:noProof/>
          <w:spacing w:val="0"/>
          <w:szCs w:val="22"/>
          <w:lang w:eastAsia="en-AU"/>
        </w:rPr>
      </w:pPr>
      <w:r w:rsidRPr="00143785">
        <w:rPr>
          <w:rStyle w:val="Hyperlink"/>
          <w:rFonts w:cs="Arial"/>
          <w:noProof/>
          <w:color w:val="auto"/>
          <w:u w:val="none"/>
        </w:rPr>
        <w:t>Systems and processes</w:t>
      </w:r>
      <w:r w:rsidRPr="00143785">
        <w:rPr>
          <w:noProof/>
          <w:webHidden/>
        </w:rPr>
        <w:tab/>
      </w:r>
      <w:r w:rsidRPr="00143785">
        <w:rPr>
          <w:noProof/>
          <w:webHidden/>
        </w:rPr>
        <w:fldChar w:fldCharType="begin"/>
      </w:r>
      <w:r w:rsidRPr="00143785">
        <w:rPr>
          <w:noProof/>
          <w:webHidden/>
        </w:rPr>
        <w:instrText xml:space="preserve"> PAGEREF _Toc520118954 \h </w:instrText>
      </w:r>
      <w:r w:rsidRPr="00143785">
        <w:rPr>
          <w:noProof/>
          <w:webHidden/>
        </w:rPr>
      </w:r>
      <w:r w:rsidRPr="00143785">
        <w:rPr>
          <w:noProof/>
          <w:webHidden/>
        </w:rPr>
        <w:fldChar w:fldCharType="separate"/>
      </w:r>
      <w:r w:rsidRPr="00143785">
        <w:rPr>
          <w:noProof/>
          <w:webHidden/>
        </w:rPr>
        <w:t>10</w:t>
      </w:r>
      <w:r w:rsidRPr="00143785">
        <w:rPr>
          <w:noProof/>
          <w:webHidden/>
        </w:rPr>
        <w:fldChar w:fldCharType="end"/>
      </w:r>
    </w:p>
    <w:p w14:paraId="2E42F96D" w14:textId="57A9975E" w:rsidR="0086281F" w:rsidRPr="00143785" w:rsidRDefault="0086281F" w:rsidP="0086281F">
      <w:pPr>
        <w:pStyle w:val="TOC1"/>
        <w:rPr>
          <w:rFonts w:eastAsiaTheme="minorEastAsia"/>
          <w:noProof/>
          <w:spacing w:val="0"/>
          <w:szCs w:val="22"/>
          <w:lang w:eastAsia="en-AU"/>
        </w:rPr>
      </w:pPr>
      <w:r w:rsidRPr="00143785">
        <w:rPr>
          <w:rStyle w:val="Hyperlink"/>
          <w:rFonts w:cs="Arial"/>
          <w:noProof/>
          <w:color w:val="auto"/>
          <w:u w:val="none"/>
        </w:rPr>
        <w:t>Self-resolution of requests for assistance</w:t>
      </w:r>
      <w:r w:rsidRPr="00143785">
        <w:rPr>
          <w:noProof/>
          <w:webHidden/>
        </w:rPr>
        <w:tab/>
      </w:r>
      <w:r w:rsidRPr="00143785">
        <w:rPr>
          <w:noProof/>
          <w:webHidden/>
        </w:rPr>
        <w:fldChar w:fldCharType="begin"/>
      </w:r>
      <w:r w:rsidRPr="00143785">
        <w:rPr>
          <w:noProof/>
          <w:webHidden/>
        </w:rPr>
        <w:instrText xml:space="preserve"> PAGEREF _Toc520118955 \h </w:instrText>
      </w:r>
      <w:r w:rsidRPr="00143785">
        <w:rPr>
          <w:noProof/>
          <w:webHidden/>
        </w:rPr>
      </w:r>
      <w:r w:rsidRPr="00143785">
        <w:rPr>
          <w:noProof/>
          <w:webHidden/>
        </w:rPr>
        <w:fldChar w:fldCharType="separate"/>
      </w:r>
      <w:r w:rsidRPr="00143785">
        <w:rPr>
          <w:noProof/>
          <w:webHidden/>
        </w:rPr>
        <w:t>11</w:t>
      </w:r>
      <w:r w:rsidRPr="00143785">
        <w:rPr>
          <w:noProof/>
          <w:webHidden/>
        </w:rPr>
        <w:fldChar w:fldCharType="end"/>
      </w:r>
    </w:p>
    <w:p w14:paraId="5A67857D" w14:textId="6AEACF11" w:rsidR="0086281F" w:rsidRPr="00143785" w:rsidRDefault="0086281F" w:rsidP="0086281F">
      <w:pPr>
        <w:pStyle w:val="TOC1"/>
        <w:rPr>
          <w:rFonts w:eastAsiaTheme="minorEastAsia"/>
          <w:noProof/>
          <w:spacing w:val="0"/>
          <w:szCs w:val="22"/>
          <w:lang w:eastAsia="en-AU"/>
        </w:rPr>
      </w:pPr>
      <w:r w:rsidRPr="00143785">
        <w:rPr>
          <w:rStyle w:val="Hyperlink"/>
          <w:rFonts w:cs="Arial"/>
          <w:noProof/>
          <w:color w:val="auto"/>
          <w:u w:val="none"/>
        </w:rPr>
        <w:t>Self-Audits</w:t>
      </w:r>
      <w:r w:rsidRPr="00143785">
        <w:rPr>
          <w:noProof/>
          <w:webHidden/>
        </w:rPr>
        <w:tab/>
      </w:r>
      <w:r w:rsidRPr="00143785">
        <w:rPr>
          <w:noProof/>
          <w:webHidden/>
        </w:rPr>
        <w:fldChar w:fldCharType="begin"/>
      </w:r>
      <w:r w:rsidRPr="00143785">
        <w:rPr>
          <w:noProof/>
          <w:webHidden/>
        </w:rPr>
        <w:instrText xml:space="preserve"> PAGEREF _Toc520118956 \h </w:instrText>
      </w:r>
      <w:r w:rsidRPr="00143785">
        <w:rPr>
          <w:noProof/>
          <w:webHidden/>
        </w:rPr>
      </w:r>
      <w:r w:rsidRPr="00143785">
        <w:rPr>
          <w:noProof/>
          <w:webHidden/>
        </w:rPr>
        <w:fldChar w:fldCharType="separate"/>
      </w:r>
      <w:r w:rsidRPr="00143785">
        <w:rPr>
          <w:noProof/>
          <w:webHidden/>
        </w:rPr>
        <w:t>13</w:t>
      </w:r>
      <w:r w:rsidRPr="00143785">
        <w:rPr>
          <w:noProof/>
          <w:webHidden/>
        </w:rPr>
        <w:fldChar w:fldCharType="end"/>
      </w:r>
    </w:p>
    <w:p w14:paraId="507903C5" w14:textId="030A0428" w:rsidR="0086281F" w:rsidRPr="00143785" w:rsidRDefault="0086281F" w:rsidP="0086281F">
      <w:pPr>
        <w:pStyle w:val="TOC1"/>
        <w:rPr>
          <w:rFonts w:eastAsiaTheme="minorEastAsia"/>
          <w:noProof/>
          <w:spacing w:val="0"/>
          <w:szCs w:val="22"/>
          <w:lang w:eastAsia="en-AU"/>
        </w:rPr>
      </w:pPr>
      <w:r w:rsidRPr="00143785">
        <w:rPr>
          <w:rStyle w:val="Hyperlink"/>
          <w:rFonts w:cs="Arial"/>
          <w:noProof/>
          <w:color w:val="auto"/>
          <w:u w:val="none"/>
        </w:rPr>
        <w:t>Reporting to the FWO</w:t>
      </w:r>
      <w:r w:rsidRPr="00143785">
        <w:rPr>
          <w:noProof/>
          <w:webHidden/>
        </w:rPr>
        <w:tab/>
      </w:r>
      <w:r w:rsidRPr="00143785">
        <w:rPr>
          <w:noProof/>
          <w:webHidden/>
        </w:rPr>
        <w:fldChar w:fldCharType="begin"/>
      </w:r>
      <w:r w:rsidRPr="00143785">
        <w:rPr>
          <w:noProof/>
          <w:webHidden/>
        </w:rPr>
        <w:instrText xml:space="preserve"> PAGEREF _Toc520118957 \h </w:instrText>
      </w:r>
      <w:r w:rsidRPr="00143785">
        <w:rPr>
          <w:noProof/>
          <w:webHidden/>
        </w:rPr>
      </w:r>
      <w:r w:rsidRPr="00143785">
        <w:rPr>
          <w:noProof/>
          <w:webHidden/>
        </w:rPr>
        <w:fldChar w:fldCharType="separate"/>
      </w:r>
      <w:r w:rsidRPr="00143785">
        <w:rPr>
          <w:noProof/>
          <w:webHidden/>
        </w:rPr>
        <w:t>17</w:t>
      </w:r>
      <w:r w:rsidRPr="00143785">
        <w:rPr>
          <w:noProof/>
          <w:webHidden/>
        </w:rPr>
        <w:fldChar w:fldCharType="end"/>
      </w:r>
    </w:p>
    <w:p w14:paraId="4D9283F8" w14:textId="774FDF08" w:rsidR="0086281F" w:rsidRPr="00143785" w:rsidRDefault="0086281F" w:rsidP="0086281F">
      <w:pPr>
        <w:pStyle w:val="TOC1"/>
        <w:rPr>
          <w:rFonts w:eastAsiaTheme="minorEastAsia"/>
          <w:noProof/>
          <w:spacing w:val="0"/>
          <w:szCs w:val="22"/>
          <w:lang w:eastAsia="en-AU"/>
        </w:rPr>
      </w:pPr>
      <w:r w:rsidRPr="00143785">
        <w:rPr>
          <w:rStyle w:val="Hyperlink"/>
          <w:rFonts w:cs="Arial"/>
          <w:noProof/>
          <w:color w:val="auto"/>
          <w:u w:val="none"/>
        </w:rPr>
        <w:t>Conclusion</w:t>
      </w:r>
      <w:r w:rsidRPr="00143785">
        <w:rPr>
          <w:noProof/>
          <w:webHidden/>
        </w:rPr>
        <w:tab/>
      </w:r>
      <w:r w:rsidRPr="00143785">
        <w:rPr>
          <w:noProof/>
          <w:webHidden/>
        </w:rPr>
        <w:fldChar w:fldCharType="begin"/>
      </w:r>
      <w:r w:rsidRPr="00143785">
        <w:rPr>
          <w:noProof/>
          <w:webHidden/>
        </w:rPr>
        <w:instrText xml:space="preserve"> PAGEREF _Toc520118958 \h </w:instrText>
      </w:r>
      <w:r w:rsidRPr="00143785">
        <w:rPr>
          <w:noProof/>
          <w:webHidden/>
        </w:rPr>
      </w:r>
      <w:r w:rsidRPr="00143785">
        <w:rPr>
          <w:noProof/>
          <w:webHidden/>
        </w:rPr>
        <w:fldChar w:fldCharType="separate"/>
      </w:r>
      <w:r w:rsidRPr="00143785">
        <w:rPr>
          <w:noProof/>
          <w:webHidden/>
        </w:rPr>
        <w:t>18</w:t>
      </w:r>
      <w:r w:rsidRPr="00143785">
        <w:rPr>
          <w:noProof/>
          <w:webHidden/>
        </w:rPr>
        <w:fldChar w:fldCharType="end"/>
      </w:r>
    </w:p>
    <w:p w14:paraId="771F01B7" w14:textId="15315882" w:rsidR="00BF0029" w:rsidRDefault="00BF0029" w:rsidP="00BF0029">
      <w:pPr>
        <w:pStyle w:val="TOC1"/>
        <w:rPr>
          <w:rFonts w:ascii="Times New Roman" w:hAnsi="Times New Roman"/>
          <w:noProof/>
          <w:spacing w:val="0"/>
          <w:sz w:val="24"/>
          <w:lang w:eastAsia="en-AU"/>
        </w:rPr>
      </w:pPr>
      <w:r>
        <w:rPr>
          <w:b/>
        </w:rPr>
        <w:fldChar w:fldCharType="begin"/>
      </w:r>
      <w:r>
        <w:rPr>
          <w:b/>
        </w:rPr>
        <w:instrText xml:space="preserve"> TOC \o "1-2" \h \z \u </w:instrText>
      </w:r>
      <w:r>
        <w:rPr>
          <w:b/>
        </w:rPr>
        <w:fldChar w:fldCharType="separate"/>
      </w:r>
      <w:hyperlink w:anchor="_Toc262131404" w:history="1"/>
    </w:p>
    <w:p w14:paraId="7B91B11A" w14:textId="77777777" w:rsidR="00BF0029" w:rsidRPr="00181475" w:rsidRDefault="00BF0029" w:rsidP="00BF0029">
      <w:r>
        <w:fldChar w:fldCharType="end"/>
      </w:r>
    </w:p>
    <w:p w14:paraId="1F443ABE" w14:textId="77777777" w:rsidR="00BF0029" w:rsidRDefault="00BF0029">
      <w:pPr>
        <w:spacing w:line="240" w:lineRule="auto"/>
        <w:rPr>
          <w:rFonts w:eastAsiaTheme="minorHAnsi" w:cs="Times New Roman"/>
          <w:szCs w:val="22"/>
          <w:lang w:eastAsia="en-AU"/>
        </w:rPr>
      </w:pPr>
      <w:r>
        <w:rPr>
          <w:lang w:eastAsia="en-AU"/>
        </w:rPr>
        <w:br w:type="page"/>
      </w:r>
    </w:p>
    <w:p w14:paraId="3197F80E" w14:textId="77777777" w:rsidR="0086281F" w:rsidRPr="005130F2" w:rsidRDefault="0086281F" w:rsidP="0086281F">
      <w:pPr>
        <w:pStyle w:val="Heading1"/>
      </w:pPr>
      <w:bookmarkStart w:id="0" w:name="_Toc519776315"/>
      <w:bookmarkStart w:id="1" w:name="_Toc520118950"/>
      <w:r w:rsidRPr="005130F2">
        <w:lastRenderedPageBreak/>
        <w:t>Summary</w:t>
      </w:r>
      <w:bookmarkEnd w:id="0"/>
      <w:bookmarkEnd w:id="1"/>
      <w:r w:rsidRPr="005130F2">
        <w:t xml:space="preserve"> </w:t>
      </w:r>
      <w:r w:rsidRPr="005130F2">
        <w:tab/>
      </w:r>
    </w:p>
    <w:p w14:paraId="2F3728D7" w14:textId="77777777" w:rsidR="000D6B5F" w:rsidRDefault="0086281F" w:rsidP="00293753">
      <w:pPr>
        <w:spacing w:before="240" w:after="120"/>
      </w:pPr>
      <w:r w:rsidRPr="005130F2">
        <w:t>Retail Zoo Pty Ltd (Retail Zoo Group) [</w:t>
      </w:r>
      <w:r>
        <w:t>ACN:</w:t>
      </w:r>
      <w:r w:rsidRPr="005130F2">
        <w:t xml:space="preserve"> 141 218 206] is a leading Australian retail food franchisor. </w:t>
      </w:r>
    </w:p>
    <w:p w14:paraId="46086AB7" w14:textId="26EEB8E0" w:rsidR="00042BC7" w:rsidRDefault="0086281F" w:rsidP="00293753">
      <w:pPr>
        <w:spacing w:before="240" w:after="120"/>
      </w:pPr>
      <w:r w:rsidRPr="005130F2">
        <w:t xml:space="preserve">The company’s </w:t>
      </w:r>
      <w:r w:rsidR="00BB6048">
        <w:t xml:space="preserve">service </w:t>
      </w:r>
      <w:r w:rsidRPr="005130F2">
        <w:t xml:space="preserve">network includes the brands Boost Juice, Salsas Fresh Mex Grill (Salsa’s) and </w:t>
      </w:r>
      <w:proofErr w:type="spellStart"/>
      <w:r w:rsidRPr="005130F2">
        <w:t>Cibo</w:t>
      </w:r>
      <w:proofErr w:type="spellEnd"/>
      <w:r w:rsidRPr="005130F2">
        <w:t xml:space="preserve"> Espresso, with the majority of stores franchised. </w:t>
      </w:r>
    </w:p>
    <w:p w14:paraId="4DE086B7" w14:textId="276BFE7F" w:rsidR="0086281F" w:rsidRPr="005130F2" w:rsidRDefault="0086281F" w:rsidP="00293753">
      <w:pPr>
        <w:spacing w:before="0" w:after="120"/>
      </w:pPr>
      <w:r w:rsidRPr="005130F2">
        <w:t xml:space="preserve">In March 2014, Retail Zoo Group expressed an interest in working </w:t>
      </w:r>
      <w:r w:rsidR="00D714F1">
        <w:t xml:space="preserve">collaboratively </w:t>
      </w:r>
      <w:r w:rsidRPr="005130F2">
        <w:t>with the F</w:t>
      </w:r>
      <w:r w:rsidR="00042BC7">
        <w:t>air Work Ombudsman (F</w:t>
      </w:r>
      <w:r w:rsidRPr="005130F2">
        <w:t>WO</w:t>
      </w:r>
      <w:r w:rsidR="00042BC7">
        <w:t>)</w:t>
      </w:r>
      <w:r w:rsidRPr="005130F2">
        <w:t xml:space="preserve"> to promote compliance with Austra</w:t>
      </w:r>
      <w:r w:rsidR="00042BC7">
        <w:t>lian workplace laws throughout its</w:t>
      </w:r>
      <w:r w:rsidRPr="005130F2">
        <w:t xml:space="preserve"> network</w:t>
      </w:r>
      <w:r w:rsidR="00042BC7">
        <w:t xml:space="preserve"> of fast-food outlets</w:t>
      </w:r>
      <w:r>
        <w:t>, and</w:t>
      </w:r>
      <w:r w:rsidRPr="005130F2">
        <w:t xml:space="preserve"> to improve </w:t>
      </w:r>
      <w:r w:rsidR="00BB6048">
        <w:t>its</w:t>
      </w:r>
      <w:r w:rsidRPr="005130F2">
        <w:t xml:space="preserve"> reputation as an employer of choice. </w:t>
      </w:r>
    </w:p>
    <w:p w14:paraId="3E1AE339" w14:textId="6C653CAE" w:rsidR="00BB6048" w:rsidRDefault="000D6B5F" w:rsidP="00293753">
      <w:pPr>
        <w:spacing w:before="0" w:after="120"/>
      </w:pPr>
      <w:r>
        <w:t>On 5 August 2014, t</w:t>
      </w:r>
      <w:r w:rsidR="0086281F" w:rsidRPr="005130F2">
        <w:t>he company entered into a three-year compliance partnershi</w:t>
      </w:r>
      <w:r w:rsidR="00BB6048">
        <w:t>p with the FWO underpinned by a</w:t>
      </w:r>
      <w:r w:rsidR="0086281F" w:rsidRPr="005130F2">
        <w:t xml:space="preserve"> Proactive Compliance Deed (PCD)</w:t>
      </w:r>
      <w:r w:rsidR="0086281F" w:rsidRPr="005130F2">
        <w:rPr>
          <w:rStyle w:val="FootnoteReference"/>
          <w:rFonts w:cs="Arial"/>
          <w:szCs w:val="22"/>
        </w:rPr>
        <w:footnoteReference w:id="2"/>
      </w:r>
      <w:r w:rsidR="0086281F">
        <w:t xml:space="preserve"> </w:t>
      </w:r>
      <w:r w:rsidR="00BB6048">
        <w:t>containing</w:t>
      </w:r>
      <w:r w:rsidR="0086281F" w:rsidRPr="005130F2">
        <w:t xml:space="preserve"> a number of commitments from both parties</w:t>
      </w:r>
      <w:r w:rsidR="00BB6048">
        <w:t>.</w:t>
      </w:r>
    </w:p>
    <w:p w14:paraId="775D3165" w14:textId="5066A35D" w:rsidR="0086281F" w:rsidRPr="005130F2" w:rsidRDefault="00BB6048" w:rsidP="00293753">
      <w:pPr>
        <w:spacing w:before="0" w:after="120"/>
      </w:pPr>
      <w:r>
        <w:t xml:space="preserve">The compliance partnership resulted in the </w:t>
      </w:r>
      <w:r w:rsidR="008128D0">
        <w:t>strengthen</w:t>
      </w:r>
      <w:r>
        <w:t xml:space="preserve">ing of the company’s </w:t>
      </w:r>
      <w:r w:rsidR="008128D0">
        <w:t>systems and processes including</w:t>
      </w:r>
      <w:r w:rsidR="0086281F" w:rsidRPr="005130F2">
        <w:t>:</w:t>
      </w:r>
    </w:p>
    <w:p w14:paraId="4D3CE2A2" w14:textId="4A3A7972" w:rsidR="0086281F" w:rsidRPr="005130F2" w:rsidRDefault="0086281F" w:rsidP="00042BC7">
      <w:pPr>
        <w:pStyle w:val="Bullet"/>
        <w:numPr>
          <w:ilvl w:val="0"/>
          <w:numId w:val="7"/>
        </w:numPr>
        <w:spacing w:after="120"/>
        <w:jc w:val="both"/>
      </w:pPr>
      <w:r w:rsidRPr="005130F2">
        <w:t xml:space="preserve">greater </w:t>
      </w:r>
      <w:r>
        <w:t>human resources (HR)</w:t>
      </w:r>
      <w:r w:rsidRPr="005130F2">
        <w:t xml:space="preserve"> </w:t>
      </w:r>
      <w:r w:rsidR="003751AF">
        <w:t>oversight</w:t>
      </w:r>
      <w:r w:rsidR="003751AF" w:rsidRPr="005130F2">
        <w:t xml:space="preserve"> </w:t>
      </w:r>
      <w:r w:rsidRPr="005130F2">
        <w:t xml:space="preserve">in educating </w:t>
      </w:r>
      <w:r w:rsidR="00BB6048">
        <w:t xml:space="preserve">and communicating with </w:t>
      </w:r>
      <w:r w:rsidRPr="005130F2">
        <w:t>franchise</w:t>
      </w:r>
      <w:r w:rsidR="00BB6048">
        <w:t>es</w:t>
      </w:r>
      <w:r w:rsidRPr="005130F2">
        <w:t xml:space="preserve"> on workplace entitlements </w:t>
      </w:r>
    </w:p>
    <w:p w14:paraId="2DFA81C5" w14:textId="62996E95" w:rsidR="0086281F" w:rsidRDefault="0086281F" w:rsidP="00042BC7">
      <w:pPr>
        <w:pStyle w:val="Bullet"/>
        <w:numPr>
          <w:ilvl w:val="0"/>
          <w:numId w:val="7"/>
        </w:numPr>
        <w:spacing w:after="120"/>
        <w:jc w:val="both"/>
      </w:pPr>
      <w:r w:rsidRPr="005130F2">
        <w:t>improved HR monitoring of recruitment processes</w:t>
      </w:r>
    </w:p>
    <w:p w14:paraId="33342FBC" w14:textId="68104198" w:rsidR="00BB6048" w:rsidRDefault="00BB6048" w:rsidP="00042BC7">
      <w:pPr>
        <w:pStyle w:val="Bullet"/>
        <w:numPr>
          <w:ilvl w:val="0"/>
          <w:numId w:val="7"/>
        </w:numPr>
        <w:spacing w:after="120"/>
        <w:jc w:val="both"/>
      </w:pPr>
      <w:r>
        <w:t xml:space="preserve">annual audits of its franchisees </w:t>
      </w:r>
    </w:p>
    <w:p w14:paraId="52B15BCE" w14:textId="391662FA" w:rsidR="00BB6048" w:rsidRDefault="00BB6048" w:rsidP="00042BC7">
      <w:pPr>
        <w:pStyle w:val="Bullet"/>
        <w:numPr>
          <w:ilvl w:val="0"/>
          <w:numId w:val="7"/>
        </w:numPr>
        <w:spacing w:after="120"/>
        <w:jc w:val="both"/>
      </w:pPr>
      <w:r>
        <w:t xml:space="preserve">resolution of employee </w:t>
      </w:r>
      <w:r w:rsidR="000D6B5F">
        <w:t xml:space="preserve">concerns </w:t>
      </w:r>
    </w:p>
    <w:p w14:paraId="4FB92BEE" w14:textId="1A8D63E8" w:rsidR="00BB6048" w:rsidRDefault="00BB6048" w:rsidP="00BB6048">
      <w:pPr>
        <w:pStyle w:val="Bullet"/>
        <w:numPr>
          <w:ilvl w:val="0"/>
          <w:numId w:val="7"/>
        </w:numPr>
        <w:spacing w:after="120"/>
        <w:jc w:val="both"/>
      </w:pPr>
      <w:r>
        <w:t>the rectification of $45 562.47 in underpayments</w:t>
      </w:r>
      <w:r w:rsidR="00AE6F3C">
        <w:t xml:space="preserve">, and </w:t>
      </w:r>
    </w:p>
    <w:p w14:paraId="6D946295" w14:textId="4D8FE8FF" w:rsidR="00BB6048" w:rsidRDefault="00BB6048" w:rsidP="00BB6048">
      <w:pPr>
        <w:pStyle w:val="Bullet"/>
        <w:numPr>
          <w:ilvl w:val="0"/>
          <w:numId w:val="7"/>
        </w:numPr>
        <w:spacing w:after="120"/>
        <w:jc w:val="both"/>
      </w:pPr>
      <w:proofErr w:type="gramStart"/>
      <w:r>
        <w:t>the</w:t>
      </w:r>
      <w:proofErr w:type="gramEnd"/>
      <w:r>
        <w:t xml:space="preserve"> creation of an </w:t>
      </w:r>
      <w:r w:rsidRPr="005130F2">
        <w:t xml:space="preserve">HR hotline for employees to raise </w:t>
      </w:r>
      <w:r>
        <w:t xml:space="preserve">employment </w:t>
      </w:r>
      <w:r w:rsidRPr="005130F2">
        <w:t>issues directly with the franchisor.</w:t>
      </w:r>
    </w:p>
    <w:p w14:paraId="7570A84F" w14:textId="727B22BF" w:rsidR="00C60ABA" w:rsidRDefault="000D6B5F" w:rsidP="00293753">
      <w:pPr>
        <w:spacing w:before="0" w:after="120"/>
      </w:pPr>
      <w:r>
        <w:t>In each succeeding year of the partnership, t</w:t>
      </w:r>
      <w:r w:rsidR="0086281F" w:rsidRPr="005130F2">
        <w:t xml:space="preserve">he FWO </w:t>
      </w:r>
      <w:r>
        <w:t>received</w:t>
      </w:r>
      <w:r w:rsidR="0086281F" w:rsidRPr="005130F2">
        <w:t xml:space="preserve"> </w:t>
      </w:r>
      <w:r w:rsidR="0086281F">
        <w:t xml:space="preserve">progressively </w:t>
      </w:r>
      <w:r>
        <w:t>fewer requests for assistance from</w:t>
      </w:r>
      <w:r w:rsidR="0086281F" w:rsidRPr="005130F2">
        <w:t xml:space="preserve"> Retail Zoo Group employees</w:t>
      </w:r>
      <w:r w:rsidR="007214E3">
        <w:t>, from 1</w:t>
      </w:r>
      <w:r w:rsidR="00E32697">
        <w:t>1</w:t>
      </w:r>
      <w:r w:rsidR="007214E3">
        <w:t xml:space="preserve"> in the first year</w:t>
      </w:r>
      <w:r w:rsidR="00E32697">
        <w:t xml:space="preserve">, 2 in the second year and </w:t>
      </w:r>
      <w:r w:rsidR="007214E3">
        <w:t>one i</w:t>
      </w:r>
      <w:r w:rsidR="00E32697">
        <w:t>n the final</w:t>
      </w:r>
      <w:r w:rsidR="007214E3">
        <w:t xml:space="preserve"> year</w:t>
      </w:r>
      <w:r w:rsidR="0086281F" w:rsidRPr="005130F2">
        <w:t xml:space="preserve">. </w:t>
      </w:r>
    </w:p>
    <w:p w14:paraId="07CEF618" w14:textId="7E145789" w:rsidR="0086281F" w:rsidRPr="005130F2" w:rsidRDefault="0086281F" w:rsidP="00293753">
      <w:r w:rsidRPr="005130F2">
        <w:t xml:space="preserve">This report </w:t>
      </w:r>
      <w:r w:rsidR="007214E3">
        <w:t>details the</w:t>
      </w:r>
      <w:r w:rsidRPr="005130F2">
        <w:t xml:space="preserve"> background to </w:t>
      </w:r>
      <w:r w:rsidR="007214E3">
        <w:t>and</w:t>
      </w:r>
      <w:r w:rsidRPr="005130F2">
        <w:t xml:space="preserve"> </w:t>
      </w:r>
      <w:r w:rsidR="00D224A4">
        <w:t xml:space="preserve">outcomes of the </w:t>
      </w:r>
      <w:r w:rsidRPr="005130F2">
        <w:t>partnership.</w:t>
      </w:r>
    </w:p>
    <w:p w14:paraId="58C5E850" w14:textId="64EE368A" w:rsidR="0086281F" w:rsidRDefault="0086281F" w:rsidP="00042BC7">
      <w:pPr>
        <w:jc w:val="both"/>
      </w:pPr>
      <w:r>
        <w:br w:type="page"/>
      </w:r>
    </w:p>
    <w:p w14:paraId="6EC2C30F" w14:textId="77777777" w:rsidR="0086281F" w:rsidRPr="005130F2" w:rsidRDefault="0086281F" w:rsidP="0086281F">
      <w:pPr>
        <w:pStyle w:val="Heading1"/>
      </w:pPr>
      <w:bookmarkStart w:id="2" w:name="_Toc519776316"/>
      <w:bookmarkStart w:id="3" w:name="_Toc520118951"/>
      <w:r w:rsidRPr="005130F2">
        <w:lastRenderedPageBreak/>
        <w:t>Background</w:t>
      </w:r>
      <w:bookmarkEnd w:id="2"/>
      <w:bookmarkEnd w:id="3"/>
      <w:r w:rsidRPr="005130F2">
        <w:t xml:space="preserve"> </w:t>
      </w:r>
    </w:p>
    <w:p w14:paraId="40C20771" w14:textId="694124AF" w:rsidR="0086281F" w:rsidRPr="005130F2" w:rsidRDefault="0086281F" w:rsidP="003751AF">
      <w:pPr>
        <w:spacing w:before="240"/>
      </w:pPr>
      <w:r w:rsidRPr="005130F2">
        <w:t>Boost Juice (ACN: 092 165 681) was established in 2000 by Janine and Jeff Allis, and shortly after, Retail Zoo Group</w:t>
      </w:r>
      <w:r w:rsidR="000E154C">
        <w:t xml:space="preserve"> Pty Ltd</w:t>
      </w:r>
      <w:r w:rsidRPr="005130F2">
        <w:t xml:space="preserve"> (ACN: 141 218 206) </w:t>
      </w:r>
      <w:r w:rsidR="001C5F4E">
        <w:t xml:space="preserve">was constituted </w:t>
      </w:r>
      <w:r w:rsidRPr="005130F2">
        <w:t xml:space="preserve">as the parent company. </w:t>
      </w:r>
    </w:p>
    <w:p w14:paraId="6EA45097" w14:textId="0D38AF82" w:rsidR="0086281F" w:rsidRPr="005130F2" w:rsidRDefault="00AE6F3C" w:rsidP="0086281F">
      <w:r>
        <w:t xml:space="preserve">In 2010, </w:t>
      </w:r>
      <w:r w:rsidR="0086281F" w:rsidRPr="005130F2">
        <w:t>Retail Zoo Group acquired Salsa’s Fresh Mex Grill (ACN: 129 061 543)</w:t>
      </w:r>
      <w:r>
        <w:t xml:space="preserve">, a </w:t>
      </w:r>
      <w:r w:rsidR="0086281F" w:rsidRPr="005130F2">
        <w:t>chain founded in Sydney in 2007</w:t>
      </w:r>
      <w:r w:rsidR="0086281F">
        <w:t xml:space="preserve"> </w:t>
      </w:r>
      <w:r>
        <w:t>that</w:t>
      </w:r>
      <w:r w:rsidR="0086281F">
        <w:t xml:space="preserve"> s</w:t>
      </w:r>
      <w:r w:rsidR="0086281F" w:rsidRPr="005130F2">
        <w:t>pecialis</w:t>
      </w:r>
      <w:r w:rsidR="0086281F">
        <w:t>es</w:t>
      </w:r>
      <w:r w:rsidR="0086281F" w:rsidRPr="005130F2">
        <w:t xml:space="preserve"> in Mexican cuisine from the Baja California region.</w:t>
      </w:r>
    </w:p>
    <w:p w14:paraId="30B4A931" w14:textId="7EF061E4" w:rsidR="0086281F" w:rsidRDefault="001C5F4E" w:rsidP="0086281F">
      <w:r>
        <w:t xml:space="preserve">Also in 2010, </w:t>
      </w:r>
      <w:r w:rsidR="0086281F" w:rsidRPr="005130F2">
        <w:t xml:space="preserve">The Riverside Company, a US-based private equity firm, invested in Retail Zoo Group. </w:t>
      </w:r>
    </w:p>
    <w:p w14:paraId="1DCB8BDA" w14:textId="258AABD1" w:rsidR="0086281F" w:rsidRDefault="0086281F" w:rsidP="0086281F">
      <w:r w:rsidRPr="005130F2">
        <w:t xml:space="preserve">At the end of 2012, </w:t>
      </w:r>
      <w:r>
        <w:t xml:space="preserve">Retail Zoo Group </w:t>
      </w:r>
      <w:r w:rsidRPr="005130F2">
        <w:t xml:space="preserve">acquired Adelaide-based coffee chain </w:t>
      </w:r>
      <w:proofErr w:type="spellStart"/>
      <w:r w:rsidRPr="005130F2">
        <w:t>C</w:t>
      </w:r>
      <w:r w:rsidR="00AE6F3C">
        <w:t>ibo</w:t>
      </w:r>
      <w:proofErr w:type="spellEnd"/>
      <w:r w:rsidR="00AE6F3C">
        <w:t xml:space="preserve"> Espresso (ACN: 100 507 819), that had been</w:t>
      </w:r>
      <w:r w:rsidRPr="005130F2">
        <w:t xml:space="preserve"> established in 2000</w:t>
      </w:r>
      <w:r>
        <w:t>.</w:t>
      </w:r>
    </w:p>
    <w:p w14:paraId="24C0F5E0" w14:textId="2BBBA289" w:rsidR="0086281F" w:rsidRPr="005130F2" w:rsidRDefault="001C5F4E" w:rsidP="0086281F">
      <w:r>
        <w:t xml:space="preserve">In May 2014, </w:t>
      </w:r>
      <w:r w:rsidR="0086281F" w:rsidRPr="005130F2">
        <w:t xml:space="preserve">Bain Capital, a US-based global alternative investment company, acquired a 70% stake in the Retail Zoo Group for around </w:t>
      </w:r>
      <w:r w:rsidR="0086281F">
        <w:t>$</w:t>
      </w:r>
      <w:r w:rsidR="0086281F" w:rsidRPr="005130F2">
        <w:t>185 million</w:t>
      </w:r>
      <w:r w:rsidR="00AD5EBA">
        <w:rPr>
          <w:rStyle w:val="FootnoteReference"/>
        </w:rPr>
        <w:footnoteReference w:id="3"/>
      </w:r>
      <w:r w:rsidR="0086281F" w:rsidRPr="005130F2">
        <w:t>.</w:t>
      </w:r>
      <w:r w:rsidR="000E154C">
        <w:t xml:space="preserve"> Headquartered in Chadstone, Victoria, Retail Zoo Group Pty Ltd is</w:t>
      </w:r>
      <w:r w:rsidR="00826049">
        <w:t xml:space="preserve"> wholly</w:t>
      </w:r>
      <w:r w:rsidR="000E154C">
        <w:t xml:space="preserve"> </w:t>
      </w:r>
      <w:r w:rsidR="00ED26FF">
        <w:t xml:space="preserve">owned by </w:t>
      </w:r>
      <w:r w:rsidR="00AD5EBA">
        <w:t xml:space="preserve">parent company </w:t>
      </w:r>
      <w:r w:rsidR="00ED26FF">
        <w:t xml:space="preserve">Roar </w:t>
      </w:r>
      <w:proofErr w:type="spellStart"/>
      <w:r w:rsidR="00ED26FF">
        <w:t>Bidco</w:t>
      </w:r>
      <w:proofErr w:type="spellEnd"/>
      <w:r w:rsidR="00ED26FF">
        <w:t xml:space="preserve"> Pty Ltd</w:t>
      </w:r>
      <w:r w:rsidR="00AD5EBA">
        <w:t xml:space="preserve">, which in turn </w:t>
      </w:r>
      <w:r w:rsidR="00826049">
        <w:t xml:space="preserve">is </w:t>
      </w:r>
      <w:r w:rsidR="00AD5EBA">
        <w:t>wholly owned by Bain Capital.</w:t>
      </w:r>
      <w:r w:rsidR="000E154C">
        <w:t xml:space="preserve"> </w:t>
      </w:r>
      <w:r w:rsidR="0086281F" w:rsidRPr="005130F2">
        <w:t>Jan</w:t>
      </w:r>
      <w:r w:rsidR="00826049">
        <w:t>in</w:t>
      </w:r>
      <w:r w:rsidR="0086281F" w:rsidRPr="005130F2">
        <w:t xml:space="preserve">e and Jeff Allis </w:t>
      </w:r>
      <w:r w:rsidR="00EF6A1D">
        <w:t>remain</w:t>
      </w:r>
      <w:r w:rsidR="00CA396F">
        <w:t xml:space="preserve"> </w:t>
      </w:r>
      <w:r w:rsidR="00A65341">
        <w:t>on the Board of Directors for</w:t>
      </w:r>
      <w:r w:rsidR="00AD5EBA">
        <w:t xml:space="preserve"> </w:t>
      </w:r>
      <w:r w:rsidR="00CA396F">
        <w:t xml:space="preserve">Retail Zoo </w:t>
      </w:r>
      <w:r w:rsidR="00826049">
        <w:t xml:space="preserve">Pty Ltd. </w:t>
      </w:r>
      <w:r w:rsidR="00CA396F">
        <w:t>Jef</w:t>
      </w:r>
      <w:r w:rsidR="00826049">
        <w:t xml:space="preserve">f Allis is Chairman while </w:t>
      </w:r>
      <w:r w:rsidR="00CA396F">
        <w:t xml:space="preserve">Scott </w:t>
      </w:r>
      <w:proofErr w:type="spellStart"/>
      <w:r w:rsidR="00CA396F">
        <w:t>Meneilly</w:t>
      </w:r>
      <w:proofErr w:type="spellEnd"/>
      <w:r w:rsidR="00826049">
        <w:t xml:space="preserve"> is the Chief Executive Officer. Other Board members at the time of </w:t>
      </w:r>
      <w:r w:rsidR="00EF6A1D">
        <w:t>publication of this Report</w:t>
      </w:r>
      <w:r w:rsidR="00826049">
        <w:t xml:space="preserve"> are </w:t>
      </w:r>
      <w:r w:rsidR="00826049" w:rsidRPr="00826049">
        <w:t>Andrew Wilson</w:t>
      </w:r>
      <w:r w:rsidR="00826049">
        <w:t xml:space="preserve">, </w:t>
      </w:r>
      <w:r w:rsidR="00826049" w:rsidRPr="00826049">
        <w:t>Craig Boyce</w:t>
      </w:r>
      <w:r w:rsidR="00826049">
        <w:t xml:space="preserve">, </w:t>
      </w:r>
      <w:r w:rsidR="00826049" w:rsidRPr="00826049">
        <w:t>Warren Valdmanis</w:t>
      </w:r>
      <w:r w:rsidR="00826049">
        <w:t>, David Gross-</w:t>
      </w:r>
      <w:proofErr w:type="spellStart"/>
      <w:r w:rsidR="00826049">
        <w:t>Loh</w:t>
      </w:r>
      <w:proofErr w:type="spellEnd"/>
      <w:r w:rsidR="00826049">
        <w:t xml:space="preserve"> and </w:t>
      </w:r>
      <w:r w:rsidR="00826049" w:rsidRPr="00826049">
        <w:t xml:space="preserve">Neil </w:t>
      </w:r>
      <w:proofErr w:type="spellStart"/>
      <w:r w:rsidR="00826049" w:rsidRPr="00826049">
        <w:t>Kalvelage</w:t>
      </w:r>
      <w:proofErr w:type="spellEnd"/>
      <w:r w:rsidR="00826049">
        <w:rPr>
          <w:rStyle w:val="FootnoteReference"/>
        </w:rPr>
        <w:footnoteReference w:id="4"/>
      </w:r>
      <w:r w:rsidR="00826049" w:rsidRPr="00826049">
        <w:t>.</w:t>
      </w:r>
    </w:p>
    <w:p w14:paraId="19A55763" w14:textId="17647023" w:rsidR="0086281F" w:rsidRPr="005130F2" w:rsidRDefault="0086281F" w:rsidP="0086281F">
      <w:pPr>
        <w:rPr>
          <w:rStyle w:val="CommentReference"/>
          <w:rFonts w:cs="Arial"/>
        </w:rPr>
      </w:pPr>
      <w:r w:rsidRPr="005130F2">
        <w:t xml:space="preserve">Boost Juice rapidly grew within Australia and has now expanded to overseas markets. Retail Zoo Group currently has 260 Boost Juice stores operating in Australia and </w:t>
      </w:r>
      <w:r>
        <w:t xml:space="preserve">a further </w:t>
      </w:r>
      <w:r w:rsidRPr="005130F2">
        <w:t xml:space="preserve">215 stores internationally. The company also has 51 Salsa’s outlets and 30 </w:t>
      </w:r>
      <w:proofErr w:type="spellStart"/>
      <w:r w:rsidRPr="005130F2">
        <w:t>Cibo</w:t>
      </w:r>
      <w:proofErr w:type="spellEnd"/>
      <w:r w:rsidRPr="005130F2">
        <w:t xml:space="preserve"> sites in Australia. The vast majority of these businesses are franchise owned stores (at the end of the </w:t>
      </w:r>
      <w:r w:rsidR="00AE6F3C">
        <w:t>partnership</w:t>
      </w:r>
      <w:r w:rsidRPr="005130F2">
        <w:t>, 94% of businesses were franchised)</w:t>
      </w:r>
      <w:r w:rsidRPr="005130F2">
        <w:rPr>
          <w:rStyle w:val="CommentReference"/>
          <w:rFonts w:cs="Arial"/>
        </w:rPr>
        <w:t xml:space="preserve">. </w:t>
      </w:r>
    </w:p>
    <w:p w14:paraId="77162F9A" w14:textId="5F430043" w:rsidR="0086281F" w:rsidRPr="005130F2" w:rsidRDefault="0086281F" w:rsidP="0086281F">
      <w:pPr>
        <w:rPr>
          <w:szCs w:val="22"/>
        </w:rPr>
      </w:pPr>
      <w:r w:rsidRPr="005130F2">
        <w:rPr>
          <w:rStyle w:val="CommentReference"/>
          <w:rFonts w:cs="Arial"/>
          <w:sz w:val="22"/>
          <w:szCs w:val="22"/>
        </w:rPr>
        <w:t>Bo</w:t>
      </w:r>
      <w:r w:rsidRPr="005130F2">
        <w:rPr>
          <w:szCs w:val="22"/>
        </w:rPr>
        <w:t xml:space="preserve">ost Juice stores are the majority brand in the Retail Zoo Group network within Australia. Since the beginning of the partnership </w:t>
      </w:r>
      <w:r w:rsidR="00AE6F3C">
        <w:rPr>
          <w:szCs w:val="22"/>
        </w:rPr>
        <w:t xml:space="preserve">with FWO </w:t>
      </w:r>
      <w:r w:rsidRPr="005130F2">
        <w:rPr>
          <w:szCs w:val="22"/>
        </w:rPr>
        <w:t xml:space="preserve">in 2014, 43 new Boost Juice stores have opened. </w:t>
      </w:r>
    </w:p>
    <w:p w14:paraId="21AF41B3" w14:textId="6F3E608A" w:rsidR="0086281F" w:rsidRDefault="0086281F" w:rsidP="00AB091F">
      <w:r>
        <w:br w:type="page"/>
      </w:r>
    </w:p>
    <w:p w14:paraId="627F08F4" w14:textId="77777777" w:rsidR="0086281F" w:rsidRPr="005130F2" w:rsidRDefault="0086281F" w:rsidP="0086281F">
      <w:pPr>
        <w:pStyle w:val="Heading1"/>
      </w:pPr>
      <w:bookmarkStart w:id="4" w:name="_Toc520118952"/>
      <w:r w:rsidRPr="005130F2">
        <w:lastRenderedPageBreak/>
        <w:t>Workplace relations settings</w:t>
      </w:r>
      <w:bookmarkEnd w:id="4"/>
    </w:p>
    <w:p w14:paraId="3E8771CD" w14:textId="77777777" w:rsidR="0086281F" w:rsidRPr="005130F2" w:rsidRDefault="0086281F" w:rsidP="003751AF">
      <w:pPr>
        <w:widowControl w:val="0"/>
        <w:snapToGrid w:val="0"/>
        <w:spacing w:before="240" w:after="120"/>
      </w:pPr>
      <w:r w:rsidRPr="005130F2">
        <w:t xml:space="preserve">Across the Retail Zoo Group network, two awards cover </w:t>
      </w:r>
      <w:r>
        <w:t xml:space="preserve">the majority of </w:t>
      </w:r>
      <w:r w:rsidRPr="005130F2">
        <w:t>employees depending on the primary nature of the business:</w:t>
      </w:r>
    </w:p>
    <w:p w14:paraId="6D25944B" w14:textId="77777777" w:rsidR="0086281F" w:rsidRPr="005130F2" w:rsidRDefault="0086281F" w:rsidP="003751AF">
      <w:pPr>
        <w:pStyle w:val="Bullet"/>
        <w:numPr>
          <w:ilvl w:val="0"/>
          <w:numId w:val="20"/>
        </w:numPr>
        <w:spacing w:after="120"/>
      </w:pPr>
      <w:r w:rsidRPr="00996853">
        <w:t>Restaurant Industry Award 2010</w:t>
      </w:r>
      <w:r w:rsidRPr="005130F2">
        <w:t xml:space="preserve"> </w:t>
      </w:r>
      <w:r w:rsidRPr="00996853">
        <w:t>(Restaurant Award)</w:t>
      </w:r>
    </w:p>
    <w:p w14:paraId="55B704BF" w14:textId="77777777" w:rsidR="0086281F" w:rsidRPr="005130F2" w:rsidRDefault="0086281F" w:rsidP="003751AF">
      <w:pPr>
        <w:pStyle w:val="Bullet"/>
        <w:numPr>
          <w:ilvl w:val="0"/>
          <w:numId w:val="20"/>
        </w:numPr>
        <w:spacing w:after="120"/>
      </w:pPr>
      <w:r w:rsidRPr="00996853">
        <w:t>Fast Food Industry Award 2010</w:t>
      </w:r>
      <w:r w:rsidRPr="005130F2">
        <w:t xml:space="preserve"> </w:t>
      </w:r>
      <w:r w:rsidRPr="00996853">
        <w:t>(Fast Food Award)</w:t>
      </w:r>
      <w:r>
        <w:t>.</w:t>
      </w:r>
      <w:r w:rsidRPr="005130F2">
        <w:t xml:space="preserve"> </w:t>
      </w:r>
    </w:p>
    <w:p w14:paraId="693DE4D5" w14:textId="4ED476CE" w:rsidR="0086281F" w:rsidRPr="005130F2" w:rsidRDefault="001620A4" w:rsidP="003751AF">
      <w:pPr>
        <w:widowControl w:val="0"/>
        <w:snapToGrid w:val="0"/>
        <w:spacing w:before="0" w:after="120"/>
      </w:pPr>
      <w:r>
        <w:t xml:space="preserve">A </w:t>
      </w:r>
      <w:r w:rsidR="00EF6A1D">
        <w:t xml:space="preserve">low </w:t>
      </w:r>
      <w:r>
        <w:t xml:space="preserve">number of individual franchisees across the Retail Zoo Group network had enterprise agreements in place. </w:t>
      </w:r>
      <w:r w:rsidR="0086281F">
        <w:t xml:space="preserve">If an enterprise agreement applies to a business, the </w:t>
      </w:r>
      <w:r w:rsidR="0086281F" w:rsidRPr="005130F2">
        <w:t xml:space="preserve">minimum base rates </w:t>
      </w:r>
      <w:r w:rsidR="0086281F">
        <w:t>of pay cannot fall</w:t>
      </w:r>
      <w:r w:rsidR="008221ED">
        <w:t xml:space="preserve"> below</w:t>
      </w:r>
      <w:r w:rsidR="0086281F">
        <w:t xml:space="preserve"> the relevant award rate</w:t>
      </w:r>
      <w:r w:rsidR="0086281F" w:rsidRPr="005130F2">
        <w:t xml:space="preserve"> and the National Employment Standards</w:t>
      </w:r>
      <w:r w:rsidR="0086281F" w:rsidRPr="005130F2">
        <w:rPr>
          <w:rStyle w:val="FootnoteReference"/>
          <w:rFonts w:cs="Arial"/>
        </w:rPr>
        <w:footnoteReference w:id="5"/>
      </w:r>
      <w:r w:rsidR="0086281F">
        <w:t xml:space="preserve"> will apply.</w:t>
      </w:r>
      <w:r w:rsidR="0086281F" w:rsidRPr="005130F2">
        <w:t xml:space="preserve"> All other terms and conditions come from </w:t>
      </w:r>
      <w:r w:rsidR="003751AF">
        <w:t>the</w:t>
      </w:r>
      <w:r w:rsidR="003751AF" w:rsidRPr="005130F2">
        <w:t xml:space="preserve"> </w:t>
      </w:r>
      <w:r w:rsidR="0086281F" w:rsidRPr="005130F2">
        <w:t>enterprise agreement.</w:t>
      </w:r>
    </w:p>
    <w:p w14:paraId="0680AA3B" w14:textId="77777777" w:rsidR="0086281F" w:rsidRPr="0086281F" w:rsidRDefault="0086281F" w:rsidP="0086281F">
      <w:pPr>
        <w:pStyle w:val="Heading1"/>
      </w:pPr>
      <w:r w:rsidRPr="0086281F">
        <w:t>Restaurant Industry Award 2010</w:t>
      </w:r>
    </w:p>
    <w:p w14:paraId="110F4DA9" w14:textId="77777777" w:rsidR="0086281F" w:rsidRPr="005130F2" w:rsidRDefault="0086281F" w:rsidP="003751AF">
      <w:pPr>
        <w:widowControl w:val="0"/>
        <w:snapToGrid w:val="0"/>
        <w:spacing w:before="240" w:after="120"/>
      </w:pPr>
      <w:r w:rsidRPr="005130F2">
        <w:t xml:space="preserve">The </w:t>
      </w:r>
      <w:r>
        <w:t>R</w:t>
      </w:r>
      <w:r w:rsidRPr="005130F2">
        <w:t xml:space="preserve">estaurant </w:t>
      </w:r>
      <w:r>
        <w:t>A</w:t>
      </w:r>
      <w:r w:rsidRPr="005130F2">
        <w:t xml:space="preserve">ward covers employees in the restaurant industry. This includes restaurants, reception centres, night clubs, cafes and roadhouses as well as any tea room, café, and catering by a restaurant business. Employees covered by the </w:t>
      </w:r>
      <w:r>
        <w:t>A</w:t>
      </w:r>
      <w:r w:rsidRPr="005130F2">
        <w:t>ward include those working as food and beverage attendants, kitchen and cooking staff, administrative and clerical staff, and store persons.</w:t>
      </w:r>
    </w:p>
    <w:p w14:paraId="13231707" w14:textId="77777777" w:rsidR="0086281F" w:rsidRPr="005130F2" w:rsidRDefault="0086281F" w:rsidP="003751AF">
      <w:pPr>
        <w:widowControl w:val="0"/>
        <w:snapToGrid w:val="0"/>
        <w:spacing w:before="0" w:after="120"/>
      </w:pPr>
      <w:r w:rsidRPr="005130F2">
        <w:t xml:space="preserve">As of 1 July 2018, the rates of pay for a permanent part-time or full-time adult Level 1 employee are $19.47 per hour and $20.22 per hour for a Level 2 employee. </w:t>
      </w:r>
    </w:p>
    <w:p w14:paraId="443717B9" w14:textId="77777777" w:rsidR="0086281F" w:rsidRPr="005130F2" w:rsidRDefault="0086281F" w:rsidP="003751AF">
      <w:pPr>
        <w:widowControl w:val="0"/>
        <w:snapToGrid w:val="0"/>
        <w:spacing w:before="0" w:after="120"/>
      </w:pPr>
      <w:r w:rsidRPr="005130F2">
        <w:t>Junior rates of pay vary depending on the age of the individual, for example:</w:t>
      </w:r>
    </w:p>
    <w:p w14:paraId="1095E62F" w14:textId="77777777" w:rsidR="0086281F" w:rsidRPr="005130F2" w:rsidRDefault="0086281F" w:rsidP="003751AF">
      <w:pPr>
        <w:pStyle w:val="Bullet"/>
        <w:numPr>
          <w:ilvl w:val="0"/>
          <w:numId w:val="21"/>
        </w:numPr>
        <w:spacing w:after="120"/>
      </w:pPr>
      <w:r w:rsidRPr="005130F2">
        <w:t>$9.74 per hour (Level 1) and a rate of $10.11 (Level 2) for a 16-year-old</w:t>
      </w:r>
    </w:p>
    <w:p w14:paraId="61AC419C" w14:textId="77777777" w:rsidR="0086281F" w:rsidRPr="005130F2" w:rsidRDefault="0086281F" w:rsidP="003751AF">
      <w:pPr>
        <w:pStyle w:val="Bullet"/>
        <w:numPr>
          <w:ilvl w:val="0"/>
          <w:numId w:val="21"/>
        </w:numPr>
        <w:spacing w:after="120"/>
      </w:pPr>
      <w:r w:rsidRPr="005130F2">
        <w:t>$16.55 per hour (Level 1) and a rate of $17.19 per hour (Level 20 for a 19-year-old).</w:t>
      </w:r>
    </w:p>
    <w:p w14:paraId="285DE1C7" w14:textId="77777777" w:rsidR="0086281F" w:rsidRPr="005130F2" w:rsidRDefault="0086281F" w:rsidP="003751AF">
      <w:pPr>
        <w:widowControl w:val="0"/>
        <w:snapToGrid w:val="0"/>
        <w:spacing w:before="0" w:after="120"/>
      </w:pPr>
      <w:r w:rsidRPr="005130F2">
        <w:t>Casual employees are entitled to a 25% casual loading on top of these base rates of pay.</w:t>
      </w:r>
    </w:p>
    <w:p w14:paraId="34AB5C8C" w14:textId="77777777" w:rsidR="0086281F" w:rsidRPr="005130F2" w:rsidRDefault="0086281F" w:rsidP="003751AF">
      <w:pPr>
        <w:widowControl w:val="0"/>
        <w:snapToGrid w:val="0"/>
        <w:spacing w:before="0" w:after="120"/>
      </w:pPr>
      <w:r w:rsidRPr="005130F2">
        <w:t>A range of penalty rates apply:</w:t>
      </w:r>
    </w:p>
    <w:p w14:paraId="2D0A24C0" w14:textId="77777777" w:rsidR="0086281F" w:rsidRPr="005130F2" w:rsidRDefault="0086281F" w:rsidP="003751AF">
      <w:pPr>
        <w:pStyle w:val="Bullet"/>
        <w:numPr>
          <w:ilvl w:val="0"/>
          <w:numId w:val="22"/>
        </w:numPr>
        <w:spacing w:after="120"/>
      </w:pPr>
      <w:r w:rsidRPr="005130F2">
        <w:t>casual employees are entitled to a 25% casual loading on top of these base rates of pay</w:t>
      </w:r>
    </w:p>
    <w:p w14:paraId="7930B4EF" w14:textId="77777777" w:rsidR="0086281F" w:rsidRPr="005130F2" w:rsidRDefault="0086281F" w:rsidP="003751AF">
      <w:pPr>
        <w:pStyle w:val="Bullet"/>
        <w:numPr>
          <w:ilvl w:val="0"/>
          <w:numId w:val="22"/>
        </w:numPr>
        <w:spacing w:after="120"/>
      </w:pPr>
      <w:r w:rsidRPr="005130F2">
        <w:t xml:space="preserve">Saturday rates of pay incur a 25% penalty loading </w:t>
      </w:r>
    </w:p>
    <w:p w14:paraId="5C9A3733" w14:textId="77777777" w:rsidR="0086281F" w:rsidRPr="005130F2" w:rsidRDefault="0086281F" w:rsidP="003751AF">
      <w:pPr>
        <w:pStyle w:val="Bullet"/>
        <w:numPr>
          <w:ilvl w:val="0"/>
          <w:numId w:val="22"/>
        </w:numPr>
        <w:spacing w:after="120"/>
      </w:pPr>
      <w:r w:rsidRPr="005130F2">
        <w:t xml:space="preserve">Sunday rates incur a 50% loading. </w:t>
      </w:r>
    </w:p>
    <w:p w14:paraId="23447B77" w14:textId="77777777" w:rsidR="0086281F" w:rsidRPr="005130F2" w:rsidRDefault="0086281F" w:rsidP="003751AF">
      <w:pPr>
        <w:pStyle w:val="Bullet"/>
        <w:numPr>
          <w:ilvl w:val="0"/>
          <w:numId w:val="22"/>
        </w:numPr>
        <w:spacing w:after="120"/>
      </w:pPr>
      <w:proofErr w:type="gramStart"/>
      <w:r w:rsidRPr="005130F2">
        <w:t>public</w:t>
      </w:r>
      <w:proofErr w:type="gramEnd"/>
      <w:r w:rsidRPr="005130F2">
        <w:t xml:space="preserve"> holidays incur a 125% loading.</w:t>
      </w:r>
    </w:p>
    <w:p w14:paraId="15415934" w14:textId="63C0AB99" w:rsidR="0086281F" w:rsidRDefault="0086281F" w:rsidP="003751AF">
      <w:pPr>
        <w:spacing w:before="0" w:after="120"/>
        <w:rPr>
          <w:szCs w:val="22"/>
          <w:lang w:val="en-US"/>
        </w:rPr>
      </w:pPr>
      <w:r w:rsidRPr="005130F2">
        <w:rPr>
          <w:szCs w:val="22"/>
          <w:lang w:val="en-US"/>
        </w:rPr>
        <w:t>Overtime rates can apply at various times during the course of the week depending on the time and number of hours an employee works, and can be up to double time.</w:t>
      </w:r>
    </w:p>
    <w:p w14:paraId="064C58FA" w14:textId="0A4AAF03" w:rsidR="0086281F" w:rsidRPr="0086281F" w:rsidRDefault="0086281F" w:rsidP="0086281F">
      <w:pPr>
        <w:pStyle w:val="Heading1"/>
      </w:pPr>
      <w:r w:rsidRPr="0086281F">
        <w:lastRenderedPageBreak/>
        <w:t>Fast Food Award 2010</w:t>
      </w:r>
    </w:p>
    <w:p w14:paraId="39FE1B1B" w14:textId="7821CD60" w:rsidR="0086281F" w:rsidRPr="005130F2" w:rsidRDefault="0086281F" w:rsidP="003751AF">
      <w:pPr>
        <w:spacing w:before="240" w:after="120"/>
      </w:pPr>
      <w:r w:rsidRPr="005130F2">
        <w:t xml:space="preserve">The </w:t>
      </w:r>
      <w:r>
        <w:t>F</w:t>
      </w:r>
      <w:r w:rsidRPr="005130F2">
        <w:t xml:space="preserve">ast </w:t>
      </w:r>
      <w:r>
        <w:t>F</w:t>
      </w:r>
      <w:r w:rsidRPr="005130F2">
        <w:t xml:space="preserve">ood </w:t>
      </w:r>
      <w:r>
        <w:t>A</w:t>
      </w:r>
      <w:r w:rsidRPr="005130F2">
        <w:t>ward covers employees in the fast food industry. This includes businesses that sell meals, snacks and/or beverages primarily consumed away from the point</w:t>
      </w:r>
      <w:r>
        <w:t>–</w:t>
      </w:r>
      <w:r w:rsidRPr="005130F2">
        <w:t>of</w:t>
      </w:r>
      <w:r>
        <w:t>-</w:t>
      </w:r>
      <w:r w:rsidRPr="005130F2">
        <w:t>sale. Businesses in food courts, shopping centres and retail complexes (that sell food primarily for consumption away from the point</w:t>
      </w:r>
      <w:r>
        <w:t>-</w:t>
      </w:r>
      <w:r w:rsidRPr="005130F2">
        <w:t>of</w:t>
      </w:r>
      <w:r>
        <w:t>-</w:t>
      </w:r>
      <w:r w:rsidRPr="005130F2">
        <w:t>sale) are also covered.</w:t>
      </w:r>
    </w:p>
    <w:p w14:paraId="6462A731" w14:textId="77777777" w:rsidR="0086281F" w:rsidRPr="005130F2" w:rsidRDefault="0086281F" w:rsidP="003751AF">
      <w:pPr>
        <w:widowControl w:val="0"/>
        <w:snapToGrid w:val="0"/>
        <w:spacing w:before="0" w:after="120"/>
      </w:pPr>
      <w:r w:rsidRPr="005130F2">
        <w:t xml:space="preserve">As of 1 July 2018, under the fast food award, the rates of pay for a permanent part-time or full-time adult Level 1 employee are $20.79 per hour and $22.04 per hour for a Level 2 employee. </w:t>
      </w:r>
    </w:p>
    <w:p w14:paraId="37B4EF39" w14:textId="77777777" w:rsidR="0086281F" w:rsidRPr="005130F2" w:rsidRDefault="0086281F" w:rsidP="003751AF">
      <w:pPr>
        <w:widowControl w:val="0"/>
        <w:snapToGrid w:val="0"/>
        <w:spacing w:before="0" w:after="120"/>
      </w:pPr>
      <w:r w:rsidRPr="005130F2">
        <w:t xml:space="preserve">Junior rates of pay vary depending on the age of the individual, for example: </w:t>
      </w:r>
    </w:p>
    <w:p w14:paraId="334A312E" w14:textId="77777777" w:rsidR="0086281F" w:rsidRPr="005130F2" w:rsidRDefault="0086281F" w:rsidP="003751AF">
      <w:pPr>
        <w:pStyle w:val="Bullet"/>
        <w:numPr>
          <w:ilvl w:val="0"/>
          <w:numId w:val="11"/>
        </w:numPr>
        <w:spacing w:after="120"/>
      </w:pPr>
      <w:r w:rsidRPr="005130F2">
        <w:t xml:space="preserve">$10.40 per hour (Level 1) and $11.02 (Level 2) for a 16 year old. </w:t>
      </w:r>
    </w:p>
    <w:p w14:paraId="404D7286" w14:textId="77777777" w:rsidR="0086281F" w:rsidRPr="005130F2" w:rsidRDefault="0086281F" w:rsidP="003751AF">
      <w:pPr>
        <w:pStyle w:val="Bullet"/>
        <w:numPr>
          <w:ilvl w:val="0"/>
          <w:numId w:val="11"/>
        </w:numPr>
        <w:spacing w:after="120"/>
      </w:pPr>
      <w:r w:rsidRPr="005130F2">
        <w:t>$16.63 per hour (Level 1) and $17.62 (Level 2) for a 19-year-old.</w:t>
      </w:r>
    </w:p>
    <w:p w14:paraId="762F5D16" w14:textId="77777777" w:rsidR="0086281F" w:rsidRPr="005130F2" w:rsidRDefault="0086281F" w:rsidP="003751AF">
      <w:pPr>
        <w:widowControl w:val="0"/>
        <w:snapToGrid w:val="0"/>
        <w:spacing w:before="0" w:after="120"/>
      </w:pPr>
      <w:r w:rsidRPr="005130F2">
        <w:t>A range of penalty rates and loadings apply:</w:t>
      </w:r>
    </w:p>
    <w:p w14:paraId="1213101A" w14:textId="77777777" w:rsidR="0086281F" w:rsidRPr="005130F2" w:rsidRDefault="0086281F" w:rsidP="003751AF">
      <w:pPr>
        <w:pStyle w:val="Bullet"/>
        <w:numPr>
          <w:ilvl w:val="0"/>
          <w:numId w:val="10"/>
        </w:numPr>
        <w:spacing w:after="120"/>
      </w:pPr>
      <w:proofErr w:type="gramStart"/>
      <w:r w:rsidRPr="005130F2">
        <w:t>casual</w:t>
      </w:r>
      <w:proofErr w:type="gramEnd"/>
      <w:r w:rsidRPr="005130F2">
        <w:t xml:space="preserve"> employees are entitled to a 25% casual loading on top of these base rates of pay.</w:t>
      </w:r>
    </w:p>
    <w:p w14:paraId="005D79B6" w14:textId="77777777" w:rsidR="0086281F" w:rsidRPr="005130F2" w:rsidRDefault="0086281F" w:rsidP="003751AF">
      <w:pPr>
        <w:pStyle w:val="Bullet"/>
        <w:numPr>
          <w:ilvl w:val="0"/>
          <w:numId w:val="10"/>
        </w:numPr>
        <w:spacing w:after="120"/>
      </w:pPr>
      <w:r w:rsidRPr="005130F2">
        <w:t xml:space="preserve">Saturday rates of pay incur a 25% penalty loading for permanent full-time and part time employees, while a 50% loading will apply to casuals.  </w:t>
      </w:r>
    </w:p>
    <w:p w14:paraId="1D12DA71" w14:textId="77777777" w:rsidR="0086281F" w:rsidRPr="005130F2" w:rsidRDefault="0086281F" w:rsidP="003751AF">
      <w:pPr>
        <w:pStyle w:val="Bullet"/>
        <w:numPr>
          <w:ilvl w:val="0"/>
          <w:numId w:val="10"/>
        </w:numPr>
        <w:spacing w:after="120"/>
      </w:pPr>
      <w:r w:rsidRPr="005130F2">
        <w:t>Sunday rates from 1 July 2018 until 30 June 2019 incur a 35% loading for permanent full-time and part-time employees (60% for casuals)</w:t>
      </w:r>
      <w:r w:rsidRPr="00370C38">
        <w:rPr>
          <w:rStyle w:val="FootnoteReference"/>
          <w:rFonts w:cs="Arial"/>
        </w:rPr>
        <w:t xml:space="preserve"> </w:t>
      </w:r>
      <w:r w:rsidRPr="005130F2">
        <w:rPr>
          <w:rStyle w:val="FootnoteReference"/>
          <w:rFonts w:cs="Arial"/>
        </w:rPr>
        <w:footnoteReference w:id="6"/>
      </w:r>
      <w:r w:rsidRPr="005130F2">
        <w:t xml:space="preserve"> </w:t>
      </w:r>
    </w:p>
    <w:p w14:paraId="7752D1AD" w14:textId="77777777" w:rsidR="0086281F" w:rsidRPr="005130F2" w:rsidRDefault="0086281F" w:rsidP="003751AF">
      <w:pPr>
        <w:pStyle w:val="Bullet"/>
        <w:numPr>
          <w:ilvl w:val="0"/>
          <w:numId w:val="10"/>
        </w:numPr>
        <w:spacing w:after="120"/>
      </w:pPr>
      <w:proofErr w:type="gramStart"/>
      <w:r w:rsidRPr="005130F2">
        <w:t>public</w:t>
      </w:r>
      <w:proofErr w:type="gramEnd"/>
      <w:r w:rsidRPr="005130F2">
        <w:t xml:space="preserve"> holidays incur a 225% loading for permanent full-time and part-time employees (250% for casuals)</w:t>
      </w:r>
      <w:r>
        <w:t>.</w:t>
      </w:r>
    </w:p>
    <w:p w14:paraId="3F42E404" w14:textId="77777777" w:rsidR="0086281F" w:rsidRPr="005130F2" w:rsidRDefault="0086281F" w:rsidP="003751AF">
      <w:pPr>
        <w:spacing w:before="0" w:after="120"/>
      </w:pPr>
      <w:r w:rsidRPr="005130F2">
        <w:rPr>
          <w:szCs w:val="22"/>
          <w:lang w:val="en-US"/>
        </w:rPr>
        <w:t>Overtime rates can apply at various times during the course of the week depending on the time and number of hours an employee works, and can be up to double time.</w:t>
      </w:r>
    </w:p>
    <w:p w14:paraId="7183FE05" w14:textId="77777777" w:rsidR="0086281F" w:rsidRPr="005130F2" w:rsidRDefault="0086281F" w:rsidP="0086281F"/>
    <w:p w14:paraId="470A93A8" w14:textId="0D3B56C9" w:rsidR="0086281F" w:rsidRDefault="0086281F" w:rsidP="00AB091F">
      <w:r>
        <w:br w:type="page"/>
      </w:r>
    </w:p>
    <w:p w14:paraId="01806977" w14:textId="77777777" w:rsidR="0086281F" w:rsidRPr="005130F2" w:rsidRDefault="0086281F" w:rsidP="0086281F">
      <w:pPr>
        <w:pStyle w:val="Heading1"/>
      </w:pPr>
      <w:bookmarkStart w:id="5" w:name="_Toc515347199"/>
      <w:bookmarkStart w:id="6" w:name="_Toc519776318"/>
      <w:bookmarkStart w:id="7" w:name="_Toc520118953"/>
      <w:r w:rsidRPr="005130F2">
        <w:lastRenderedPageBreak/>
        <w:t>Communication</w:t>
      </w:r>
      <w:bookmarkEnd w:id="5"/>
      <w:bookmarkEnd w:id="6"/>
      <w:bookmarkEnd w:id="7"/>
      <w:r w:rsidRPr="005130F2">
        <w:t xml:space="preserve"> </w:t>
      </w:r>
    </w:p>
    <w:p w14:paraId="365AAD42" w14:textId="77777777" w:rsidR="0086281F" w:rsidRPr="005130F2" w:rsidRDefault="0086281F" w:rsidP="003751AF">
      <w:pPr>
        <w:spacing w:before="240" w:after="120"/>
      </w:pPr>
      <w:bookmarkStart w:id="8" w:name="_Toc515347200"/>
      <w:bookmarkStart w:id="9" w:name="_Toc519776319"/>
      <w:r w:rsidRPr="005130F2">
        <w:t xml:space="preserve">Retail Zoo Group informed staff in its network that it had entered into a compliance partnership </w:t>
      </w:r>
      <w:r>
        <w:t xml:space="preserve">in accordance with </w:t>
      </w:r>
      <w:r w:rsidRPr="005130F2">
        <w:t>clauses 1-7 of the PC</w:t>
      </w:r>
      <w:r>
        <w:t>D</w:t>
      </w:r>
      <w:r w:rsidRPr="005130F2">
        <w:t xml:space="preserve">. </w:t>
      </w:r>
    </w:p>
    <w:p w14:paraId="4FB58B34" w14:textId="77777777" w:rsidR="0086281F" w:rsidRPr="005130F2" w:rsidRDefault="0086281F" w:rsidP="003751AF">
      <w:pPr>
        <w:spacing w:before="0" w:after="120"/>
      </w:pPr>
      <w:r w:rsidRPr="005130F2">
        <w:t xml:space="preserve">The company communicated the existence of the compliance partnership to its franchisees, company stores and their employees, through: </w:t>
      </w:r>
    </w:p>
    <w:p w14:paraId="02AA211C" w14:textId="77777777" w:rsidR="0086281F" w:rsidRPr="005130F2" w:rsidRDefault="0086281F" w:rsidP="003751AF">
      <w:pPr>
        <w:pStyle w:val="Bullet"/>
        <w:numPr>
          <w:ilvl w:val="0"/>
          <w:numId w:val="9"/>
        </w:numPr>
        <w:spacing w:after="120"/>
      </w:pPr>
      <w:r w:rsidRPr="005130F2">
        <w:t xml:space="preserve">emails </w:t>
      </w:r>
    </w:p>
    <w:p w14:paraId="53C4F322" w14:textId="77777777" w:rsidR="0086281F" w:rsidRPr="005130F2" w:rsidRDefault="0086281F" w:rsidP="003751AF">
      <w:pPr>
        <w:pStyle w:val="Bullet"/>
        <w:numPr>
          <w:ilvl w:val="0"/>
          <w:numId w:val="9"/>
        </w:numPr>
        <w:spacing w:after="120"/>
      </w:pPr>
      <w:r w:rsidRPr="005130F2">
        <w:t>online notices</w:t>
      </w:r>
    </w:p>
    <w:p w14:paraId="45B02F87" w14:textId="77777777" w:rsidR="0086281F" w:rsidRPr="005130F2" w:rsidRDefault="0086281F" w:rsidP="003751AF">
      <w:pPr>
        <w:pStyle w:val="Bullet"/>
        <w:numPr>
          <w:ilvl w:val="0"/>
          <w:numId w:val="9"/>
        </w:numPr>
        <w:spacing w:after="120"/>
      </w:pPr>
      <w:proofErr w:type="gramStart"/>
      <w:r w:rsidRPr="005130F2">
        <w:t>face-to-face</w:t>
      </w:r>
      <w:proofErr w:type="gramEnd"/>
      <w:r w:rsidRPr="005130F2">
        <w:t xml:space="preserve"> meetings. </w:t>
      </w:r>
    </w:p>
    <w:p w14:paraId="131C2629" w14:textId="77777777" w:rsidR="0086281F" w:rsidRPr="005130F2" w:rsidRDefault="0086281F" w:rsidP="003751AF">
      <w:pPr>
        <w:spacing w:before="0" w:after="120"/>
      </w:pPr>
      <w:r w:rsidRPr="005130F2">
        <w:t xml:space="preserve">The information conveyed </w:t>
      </w:r>
      <w:r>
        <w:t xml:space="preserve">to its network </w:t>
      </w:r>
      <w:r w:rsidRPr="005130F2">
        <w:t xml:space="preserve">included: </w:t>
      </w:r>
    </w:p>
    <w:p w14:paraId="39F0BDC0" w14:textId="77777777" w:rsidR="0086281F" w:rsidRPr="005130F2" w:rsidRDefault="0086281F" w:rsidP="003751AF">
      <w:pPr>
        <w:pStyle w:val="Bullet"/>
        <w:numPr>
          <w:ilvl w:val="0"/>
          <w:numId w:val="8"/>
        </w:numPr>
        <w:spacing w:after="120"/>
      </w:pPr>
      <w:r w:rsidRPr="005130F2">
        <w:t xml:space="preserve">the implementation of the PCD </w:t>
      </w:r>
    </w:p>
    <w:p w14:paraId="63AC33D5" w14:textId="77777777" w:rsidR="0086281F" w:rsidRPr="005130F2" w:rsidRDefault="0086281F" w:rsidP="003751AF">
      <w:pPr>
        <w:pStyle w:val="Bullet"/>
        <w:numPr>
          <w:ilvl w:val="0"/>
          <w:numId w:val="8"/>
        </w:numPr>
        <w:spacing w:after="120"/>
      </w:pPr>
      <w:r w:rsidRPr="005130F2">
        <w:t xml:space="preserve">the process for employee enquiries </w:t>
      </w:r>
    </w:p>
    <w:p w14:paraId="604D5E59" w14:textId="77777777" w:rsidR="0086281F" w:rsidRPr="005130F2" w:rsidRDefault="0086281F" w:rsidP="003751AF">
      <w:pPr>
        <w:pStyle w:val="Bullet"/>
        <w:numPr>
          <w:ilvl w:val="0"/>
          <w:numId w:val="8"/>
        </w:numPr>
        <w:spacing w:after="120"/>
      </w:pPr>
      <w:r w:rsidRPr="005130F2">
        <w:t xml:space="preserve">the self-audit process </w:t>
      </w:r>
    </w:p>
    <w:p w14:paraId="132972B9" w14:textId="77777777" w:rsidR="0086281F" w:rsidRPr="005130F2" w:rsidRDefault="0086281F" w:rsidP="003751AF">
      <w:pPr>
        <w:pStyle w:val="Bullet"/>
        <w:numPr>
          <w:ilvl w:val="0"/>
          <w:numId w:val="8"/>
        </w:numPr>
        <w:spacing w:after="120"/>
      </w:pPr>
      <w:proofErr w:type="gramStart"/>
      <w:r w:rsidRPr="005130F2">
        <w:t>contact</w:t>
      </w:r>
      <w:proofErr w:type="gramEnd"/>
      <w:r w:rsidRPr="005130F2">
        <w:t xml:space="preserve"> details for the nominated employee liaison officers.</w:t>
      </w:r>
    </w:p>
    <w:p w14:paraId="3822D662" w14:textId="3F5EA03B" w:rsidR="0086281F" w:rsidRPr="005130F2" w:rsidRDefault="0086281F" w:rsidP="003751AF">
      <w:pPr>
        <w:spacing w:before="0" w:after="120"/>
      </w:pPr>
      <w:r w:rsidRPr="005130F2">
        <w:t xml:space="preserve">The FWO posted a notice on its intranet, informing staff of the compliance partnership. It advised staff to refer all enquiries related to Retail Zoo Group to the team managing the partnership. It also issued a </w:t>
      </w:r>
      <w:r w:rsidRPr="005130F2">
        <w:rPr>
          <w:rStyle w:val="Hyperlink"/>
          <w:rFonts w:cs="Arial"/>
          <w:color w:val="auto"/>
          <w:u w:val="none"/>
        </w:rPr>
        <w:t>media release</w:t>
      </w:r>
      <w:r w:rsidRPr="005130F2">
        <w:rPr>
          <w:rStyle w:val="FootnoteReference"/>
          <w:rFonts w:cs="Arial"/>
        </w:rPr>
        <w:footnoteReference w:id="7"/>
      </w:r>
      <w:r w:rsidRPr="005130F2">
        <w:t xml:space="preserve"> on 8 September 2014, publicly announcing the </w:t>
      </w:r>
      <w:r w:rsidR="00467880">
        <w:t>compliance partnership</w:t>
      </w:r>
      <w:r w:rsidRPr="005130F2">
        <w:t>.</w:t>
      </w:r>
    </w:p>
    <w:p w14:paraId="50175AD4" w14:textId="77777777" w:rsidR="0086281F" w:rsidRDefault="0086281F" w:rsidP="0086281F">
      <w:pPr>
        <w:rPr>
          <w:szCs w:val="22"/>
        </w:rPr>
      </w:pPr>
      <w:r>
        <w:rPr>
          <w:szCs w:val="22"/>
        </w:rPr>
        <w:br w:type="page"/>
      </w:r>
    </w:p>
    <w:p w14:paraId="224A7412" w14:textId="77777777" w:rsidR="0086281F" w:rsidRPr="005130F2" w:rsidRDefault="0086281F" w:rsidP="0086281F">
      <w:pPr>
        <w:pStyle w:val="Heading1"/>
      </w:pPr>
      <w:bookmarkStart w:id="11" w:name="_Toc515347201"/>
      <w:bookmarkStart w:id="12" w:name="_Toc519776320"/>
      <w:bookmarkStart w:id="13" w:name="_Toc520118954"/>
      <w:r w:rsidRPr="005130F2">
        <w:lastRenderedPageBreak/>
        <w:t>Systems and processes</w:t>
      </w:r>
      <w:bookmarkEnd w:id="11"/>
      <w:bookmarkEnd w:id="12"/>
      <w:bookmarkEnd w:id="13"/>
    </w:p>
    <w:p w14:paraId="1D53A464" w14:textId="77777777" w:rsidR="0086281F" w:rsidRDefault="0086281F" w:rsidP="003751AF">
      <w:pPr>
        <w:spacing w:before="240" w:after="120"/>
      </w:pPr>
      <w:r w:rsidRPr="005130F2">
        <w:t>Retail Zoo Group develop</w:t>
      </w:r>
      <w:r>
        <w:t>ed</w:t>
      </w:r>
      <w:r w:rsidRPr="005130F2">
        <w:t xml:space="preserve"> and implemen</w:t>
      </w:r>
      <w:r>
        <w:t>ted</w:t>
      </w:r>
      <w:r w:rsidRPr="005130F2">
        <w:t xml:space="preserve"> effective systems and processes</w:t>
      </w:r>
      <w:r>
        <w:t xml:space="preserve"> </w:t>
      </w:r>
      <w:r w:rsidRPr="005130F2">
        <w:t>to provide assistance</w:t>
      </w:r>
      <w:r>
        <w:t xml:space="preserve"> to its network </w:t>
      </w:r>
      <w:r w:rsidRPr="005130F2">
        <w:t xml:space="preserve">in ensuring ongoing workplace relations compliance </w:t>
      </w:r>
      <w:r>
        <w:t xml:space="preserve">in accordance with </w:t>
      </w:r>
      <w:r w:rsidRPr="005130F2">
        <w:t>clause 8 of the PCD.</w:t>
      </w:r>
      <w:r>
        <w:t xml:space="preserve"> </w:t>
      </w:r>
    </w:p>
    <w:p w14:paraId="2CD65F9B" w14:textId="77777777" w:rsidR="0086281F" w:rsidRPr="005130F2" w:rsidRDefault="0086281F" w:rsidP="003751AF">
      <w:pPr>
        <w:spacing w:before="0" w:after="120"/>
      </w:pPr>
      <w:r w:rsidRPr="005130F2">
        <w:t xml:space="preserve">The company outlined </w:t>
      </w:r>
      <w:r>
        <w:t xml:space="preserve">to the FWO </w:t>
      </w:r>
      <w:r w:rsidRPr="005130F2">
        <w:t>the various systems and processes it</w:t>
      </w:r>
      <w:r>
        <w:t xml:space="preserve"> implemented and had in place early in the partnership. </w:t>
      </w:r>
      <w:r w:rsidRPr="005130F2">
        <w:t>The FWO was satisfied that these processes met the objectives and requirements of the PCD.</w:t>
      </w:r>
    </w:p>
    <w:p w14:paraId="371E7787" w14:textId="77777777" w:rsidR="0086281F" w:rsidRPr="005130F2" w:rsidRDefault="0086281F" w:rsidP="003751AF">
      <w:pPr>
        <w:spacing w:before="0" w:after="120"/>
      </w:pPr>
      <w:r>
        <w:t xml:space="preserve">As a result of internal audit findings and requests for assistance referred by FWO, the </w:t>
      </w:r>
      <w:r w:rsidRPr="005130F2">
        <w:t>company ma</w:t>
      </w:r>
      <w:r>
        <w:t>de</w:t>
      </w:r>
      <w:r w:rsidRPr="005130F2">
        <w:t xml:space="preserve"> </w:t>
      </w:r>
      <w:r>
        <w:t xml:space="preserve">further </w:t>
      </w:r>
      <w:r w:rsidRPr="005130F2">
        <w:t>improvements</w:t>
      </w:r>
      <w:r>
        <w:t>, including</w:t>
      </w:r>
      <w:r w:rsidRPr="005130F2">
        <w:t>:</w:t>
      </w:r>
    </w:p>
    <w:p w14:paraId="26DC550E" w14:textId="77777777" w:rsidR="0086281F" w:rsidRPr="005130F2" w:rsidRDefault="0086281F" w:rsidP="003751AF">
      <w:pPr>
        <w:pStyle w:val="Bullet"/>
        <w:numPr>
          <w:ilvl w:val="0"/>
          <w:numId w:val="12"/>
        </w:numPr>
        <w:spacing w:after="120"/>
        <w:rPr>
          <w:lang w:eastAsia="en-AU"/>
        </w:rPr>
      </w:pPr>
      <w:r>
        <w:t xml:space="preserve">improved education of new </w:t>
      </w:r>
      <w:r w:rsidRPr="005130F2">
        <w:rPr>
          <w:lang w:eastAsia="en-AU"/>
        </w:rPr>
        <w:t>franchise partners</w:t>
      </w:r>
    </w:p>
    <w:p w14:paraId="6DB7B9D9" w14:textId="77777777" w:rsidR="0086281F" w:rsidRPr="005130F2" w:rsidRDefault="0086281F" w:rsidP="003751AF">
      <w:pPr>
        <w:pStyle w:val="Bullet"/>
        <w:numPr>
          <w:ilvl w:val="0"/>
          <w:numId w:val="12"/>
        </w:numPr>
        <w:spacing w:after="120"/>
        <w:rPr>
          <w:lang w:eastAsia="en-AU"/>
        </w:rPr>
      </w:pPr>
      <w:r>
        <w:rPr>
          <w:lang w:eastAsia="en-AU"/>
        </w:rPr>
        <w:t>i</w:t>
      </w:r>
      <w:r w:rsidRPr="005130F2">
        <w:rPr>
          <w:lang w:eastAsia="en-AU"/>
        </w:rPr>
        <w:t>ncrease</w:t>
      </w:r>
      <w:r>
        <w:rPr>
          <w:lang w:eastAsia="en-AU"/>
        </w:rPr>
        <w:t>d</w:t>
      </w:r>
      <w:r w:rsidRPr="005130F2">
        <w:rPr>
          <w:lang w:eastAsia="en-AU"/>
        </w:rPr>
        <w:t xml:space="preserve"> communication and education </w:t>
      </w:r>
      <w:r>
        <w:rPr>
          <w:lang w:eastAsia="en-AU"/>
        </w:rPr>
        <w:t>of</w:t>
      </w:r>
      <w:r w:rsidRPr="005130F2">
        <w:rPr>
          <w:lang w:eastAsia="en-AU"/>
        </w:rPr>
        <w:t xml:space="preserve"> franchisees </w:t>
      </w:r>
      <w:r>
        <w:rPr>
          <w:lang w:eastAsia="en-AU"/>
        </w:rPr>
        <w:t xml:space="preserve">through </w:t>
      </w:r>
      <w:r w:rsidRPr="005130F2">
        <w:rPr>
          <w:lang w:eastAsia="en-AU"/>
        </w:rPr>
        <w:t>HR newsletter</w:t>
      </w:r>
      <w:r>
        <w:rPr>
          <w:lang w:eastAsia="en-AU"/>
        </w:rPr>
        <w:t>s,</w:t>
      </w:r>
      <w:r w:rsidRPr="009407AD">
        <w:t xml:space="preserve"> </w:t>
      </w:r>
      <w:r>
        <w:t xml:space="preserve">covering topics such as </w:t>
      </w:r>
      <w:r w:rsidRPr="00D303D4">
        <w:t>foreign workers</w:t>
      </w:r>
      <w:r>
        <w:t>, b</w:t>
      </w:r>
      <w:r w:rsidRPr="00D303D4">
        <w:t>reaks</w:t>
      </w:r>
      <w:r>
        <w:t xml:space="preserve">, </w:t>
      </w:r>
      <w:r w:rsidRPr="00D303D4">
        <w:t>minimum engagement</w:t>
      </w:r>
      <w:r>
        <w:t>, l</w:t>
      </w:r>
      <w:r w:rsidRPr="00D303D4">
        <w:t>eave</w:t>
      </w:r>
      <w:r>
        <w:t xml:space="preserve"> and casual employment</w:t>
      </w:r>
    </w:p>
    <w:p w14:paraId="3C61A9C7" w14:textId="77777777" w:rsidR="0086281F" w:rsidRPr="005130F2" w:rsidRDefault="0086281F" w:rsidP="003751AF">
      <w:pPr>
        <w:pStyle w:val="Bullet"/>
        <w:numPr>
          <w:ilvl w:val="0"/>
          <w:numId w:val="12"/>
        </w:numPr>
        <w:spacing w:after="120"/>
        <w:rPr>
          <w:lang w:eastAsia="en-AU"/>
        </w:rPr>
      </w:pPr>
      <w:r>
        <w:rPr>
          <w:lang w:eastAsia="en-AU"/>
        </w:rPr>
        <w:t>r</w:t>
      </w:r>
      <w:r w:rsidRPr="005130F2">
        <w:rPr>
          <w:lang w:eastAsia="en-AU"/>
        </w:rPr>
        <w:t>ecruitment processes to be monitored by HR</w:t>
      </w:r>
    </w:p>
    <w:p w14:paraId="09BAF929" w14:textId="77777777" w:rsidR="0086281F" w:rsidRPr="005130F2" w:rsidRDefault="0086281F" w:rsidP="003751AF">
      <w:pPr>
        <w:pStyle w:val="Bullet"/>
        <w:numPr>
          <w:ilvl w:val="0"/>
          <w:numId w:val="12"/>
        </w:numPr>
        <w:spacing w:after="120"/>
        <w:rPr>
          <w:lang w:eastAsia="en-AU"/>
        </w:rPr>
      </w:pPr>
      <w:r>
        <w:rPr>
          <w:lang w:eastAsia="en-AU"/>
        </w:rPr>
        <w:t>p</w:t>
      </w:r>
      <w:r w:rsidRPr="005130F2">
        <w:rPr>
          <w:lang w:eastAsia="en-AU"/>
        </w:rPr>
        <w:t xml:space="preserve">eriodic communication to franchisees </w:t>
      </w:r>
      <w:r>
        <w:rPr>
          <w:lang w:eastAsia="en-AU"/>
        </w:rPr>
        <w:t xml:space="preserve">with Award updates </w:t>
      </w:r>
    </w:p>
    <w:p w14:paraId="64F54068" w14:textId="77777777" w:rsidR="0086281F" w:rsidRPr="005130F2" w:rsidRDefault="0086281F" w:rsidP="003751AF">
      <w:pPr>
        <w:pStyle w:val="Bullet"/>
        <w:numPr>
          <w:ilvl w:val="0"/>
          <w:numId w:val="12"/>
        </w:numPr>
        <w:spacing w:after="120"/>
        <w:rPr>
          <w:lang w:eastAsia="en-AU"/>
        </w:rPr>
      </w:pPr>
      <w:r>
        <w:rPr>
          <w:lang w:eastAsia="en-AU"/>
        </w:rPr>
        <w:t>i</w:t>
      </w:r>
      <w:r w:rsidRPr="005130F2">
        <w:rPr>
          <w:lang w:eastAsia="en-AU"/>
        </w:rPr>
        <w:t xml:space="preserve">ncreasing the number of self-audits from </w:t>
      </w:r>
      <w:r>
        <w:rPr>
          <w:lang w:eastAsia="en-AU"/>
        </w:rPr>
        <w:t>during the PCD</w:t>
      </w:r>
    </w:p>
    <w:p w14:paraId="2FB4BD8F" w14:textId="64431FB6" w:rsidR="0086281F" w:rsidRDefault="0086281F" w:rsidP="003751AF">
      <w:pPr>
        <w:pStyle w:val="Bullet"/>
        <w:numPr>
          <w:ilvl w:val="0"/>
          <w:numId w:val="12"/>
        </w:numPr>
        <w:spacing w:after="120"/>
        <w:rPr>
          <w:lang w:eastAsia="en-AU"/>
        </w:rPr>
      </w:pPr>
      <w:r>
        <w:rPr>
          <w:lang w:eastAsia="en-AU"/>
        </w:rPr>
        <w:t>o</w:t>
      </w:r>
      <w:r w:rsidRPr="005130F2">
        <w:rPr>
          <w:lang w:eastAsia="en-AU"/>
        </w:rPr>
        <w:t>nsite ‘p</w:t>
      </w:r>
      <w:r>
        <w:rPr>
          <w:lang w:eastAsia="en-AU"/>
        </w:rPr>
        <w:t xml:space="preserve">ayroll blitz’ across all brands </w:t>
      </w:r>
    </w:p>
    <w:p w14:paraId="5FFB6283" w14:textId="7AAA5A4F" w:rsidR="0086281F" w:rsidRDefault="0086281F" w:rsidP="003751AF">
      <w:pPr>
        <w:pStyle w:val="Bullet"/>
        <w:numPr>
          <w:ilvl w:val="0"/>
          <w:numId w:val="12"/>
        </w:numPr>
        <w:spacing w:after="120"/>
        <w:rPr>
          <w:lang w:eastAsia="en-AU"/>
        </w:rPr>
      </w:pPr>
      <w:proofErr w:type="gramStart"/>
      <w:r w:rsidRPr="005130F2">
        <w:t>employee</w:t>
      </w:r>
      <w:proofErr w:type="gramEnd"/>
      <w:r w:rsidRPr="005130F2">
        <w:t xml:space="preserve"> </w:t>
      </w:r>
      <w:r>
        <w:t xml:space="preserve">hotline </w:t>
      </w:r>
      <w:r w:rsidRPr="005130F2">
        <w:t>and direct onli</w:t>
      </w:r>
      <w:r>
        <w:t>ne access to a HR Hotline email</w:t>
      </w:r>
      <w:r w:rsidR="003751AF">
        <w:t>.</w:t>
      </w:r>
    </w:p>
    <w:p w14:paraId="6F7C6C2F" w14:textId="77777777" w:rsidR="0086281F" w:rsidRDefault="0086281F" w:rsidP="0086281F">
      <w:pPr>
        <w:pStyle w:val="Bullet"/>
      </w:pPr>
    </w:p>
    <w:p w14:paraId="237E94DF" w14:textId="77777777" w:rsidR="0086281F" w:rsidRDefault="0086281F" w:rsidP="0086281F">
      <w:pPr>
        <w:pStyle w:val="Bullet"/>
      </w:pPr>
      <w:r>
        <w:br w:type="page"/>
      </w:r>
    </w:p>
    <w:p w14:paraId="7094E64C" w14:textId="77777777" w:rsidR="0086281F" w:rsidRPr="005130F2" w:rsidRDefault="0086281F" w:rsidP="0086281F">
      <w:pPr>
        <w:pStyle w:val="Heading1"/>
      </w:pPr>
      <w:bookmarkStart w:id="14" w:name="_Toc519776321"/>
      <w:bookmarkStart w:id="15" w:name="_Toc520118955"/>
      <w:r w:rsidRPr="005130F2">
        <w:lastRenderedPageBreak/>
        <w:t xml:space="preserve">Self-resolution of </w:t>
      </w:r>
      <w:bookmarkEnd w:id="14"/>
      <w:r w:rsidRPr="005130F2">
        <w:t>requests for assistance</w:t>
      </w:r>
      <w:bookmarkEnd w:id="15"/>
      <w:r w:rsidRPr="005130F2">
        <w:t xml:space="preserve"> </w:t>
      </w:r>
    </w:p>
    <w:p w14:paraId="1B53E826" w14:textId="66F350F6" w:rsidR="0086281F" w:rsidRPr="005130F2" w:rsidRDefault="0086281F" w:rsidP="00F119BB">
      <w:pPr>
        <w:spacing w:before="240" w:after="120"/>
        <w:jc w:val="both"/>
        <w:rPr>
          <w:szCs w:val="22"/>
        </w:rPr>
      </w:pPr>
      <w:r w:rsidRPr="005130F2">
        <w:rPr>
          <w:szCs w:val="22"/>
        </w:rPr>
        <w:t xml:space="preserve">Retail Zoo Group </w:t>
      </w:r>
      <w:r w:rsidRPr="005130F2">
        <w:t>resolved requests for assistance referred by the FWO regarding employees in the company’s franchise network (clauses 12-22 of the PCD).</w:t>
      </w:r>
      <w:r w:rsidR="00467880">
        <w:t xml:space="preserve">  In accord with the terms of the PCD, none of these requests for assistance involved allegations of serious non-compliance</w:t>
      </w:r>
    </w:p>
    <w:p w14:paraId="7CFDBB10" w14:textId="77777777" w:rsidR="0086281F" w:rsidRPr="005130F2" w:rsidRDefault="0086281F" w:rsidP="00F119BB">
      <w:pPr>
        <w:spacing w:before="0" w:after="120"/>
        <w:jc w:val="both"/>
      </w:pPr>
      <w:r w:rsidRPr="005130F2">
        <w:t xml:space="preserve">During the three-year partnership, the FWO referred 14 requests for assistance to Retail Zoo Group. Eleven were referred in the first year, two in the second and one in the final year of the PCD. The FWO attributes the reduction in numbers to the company educating franchisees to help them achieve sustained compliance after investigating and resolving each request for assistance. </w:t>
      </w:r>
    </w:p>
    <w:p w14:paraId="2CFE5D09" w14:textId="77777777" w:rsidR="0086281F" w:rsidRPr="005130F2" w:rsidRDefault="0086281F" w:rsidP="00F119BB">
      <w:pPr>
        <w:spacing w:before="0" w:after="120"/>
        <w:jc w:val="both"/>
      </w:pPr>
      <w:r w:rsidRPr="005130F2">
        <w:t>The issues identified in requests for assistance referred to Retail Zoo Group included:</w:t>
      </w:r>
    </w:p>
    <w:p w14:paraId="3543DE70" w14:textId="77777777" w:rsidR="0086281F" w:rsidRPr="005130F2" w:rsidRDefault="0086281F" w:rsidP="00F119BB">
      <w:pPr>
        <w:pStyle w:val="Bullet"/>
        <w:numPr>
          <w:ilvl w:val="0"/>
          <w:numId w:val="13"/>
        </w:numPr>
        <w:spacing w:after="120"/>
        <w:jc w:val="both"/>
      </w:pPr>
      <w:r w:rsidRPr="005130F2">
        <w:t>underpayment of wages</w:t>
      </w:r>
    </w:p>
    <w:p w14:paraId="07B9430F" w14:textId="77777777" w:rsidR="0086281F" w:rsidRPr="005130F2" w:rsidRDefault="0086281F" w:rsidP="00F119BB">
      <w:pPr>
        <w:pStyle w:val="Bullet"/>
        <w:numPr>
          <w:ilvl w:val="0"/>
          <w:numId w:val="13"/>
        </w:numPr>
        <w:spacing w:after="120"/>
        <w:jc w:val="both"/>
      </w:pPr>
      <w:r w:rsidRPr="005130F2">
        <w:t xml:space="preserve">unpaid team meetings </w:t>
      </w:r>
    </w:p>
    <w:p w14:paraId="694E5E27" w14:textId="77777777" w:rsidR="0086281F" w:rsidRPr="005130F2" w:rsidRDefault="0086281F" w:rsidP="00F119BB">
      <w:pPr>
        <w:pStyle w:val="Bullet"/>
        <w:numPr>
          <w:ilvl w:val="0"/>
          <w:numId w:val="13"/>
        </w:numPr>
        <w:spacing w:after="120"/>
        <w:jc w:val="both"/>
      </w:pPr>
      <w:proofErr w:type="gramStart"/>
      <w:r w:rsidRPr="005130F2">
        <w:t>incorrect</w:t>
      </w:r>
      <w:proofErr w:type="gramEnd"/>
      <w:r w:rsidRPr="005130F2">
        <w:t xml:space="preserve"> penalty rates applied.</w:t>
      </w:r>
    </w:p>
    <w:p w14:paraId="7E7EF7D9" w14:textId="68BBBCE5" w:rsidR="0086281F" w:rsidRDefault="0086281F" w:rsidP="00F119BB">
      <w:pPr>
        <w:spacing w:before="0" w:after="120"/>
        <w:jc w:val="both"/>
      </w:pPr>
      <w:r w:rsidRPr="005130F2">
        <w:rPr>
          <w:szCs w:val="22"/>
        </w:rPr>
        <w:t>In the 2014-15 period,</w:t>
      </w:r>
      <w:r w:rsidRPr="005130F2">
        <w:rPr>
          <w:szCs w:val="22"/>
          <w:lang w:eastAsia="en-AU"/>
        </w:rPr>
        <w:t xml:space="preserve"> </w:t>
      </w:r>
      <w:r>
        <w:rPr>
          <w:szCs w:val="22"/>
          <w:lang w:eastAsia="en-AU"/>
        </w:rPr>
        <w:t xml:space="preserve">the company </w:t>
      </w:r>
      <w:r w:rsidRPr="005130F2">
        <w:rPr>
          <w:szCs w:val="22"/>
          <w:lang w:eastAsia="en-AU"/>
        </w:rPr>
        <w:t xml:space="preserve">resolved </w:t>
      </w:r>
      <w:r>
        <w:rPr>
          <w:szCs w:val="22"/>
          <w:lang w:eastAsia="en-AU"/>
        </w:rPr>
        <w:t xml:space="preserve">11 </w:t>
      </w:r>
      <w:r w:rsidR="000C1E3A">
        <w:rPr>
          <w:szCs w:val="22"/>
          <w:lang w:eastAsia="en-AU"/>
        </w:rPr>
        <w:t>disputes</w:t>
      </w:r>
      <w:r w:rsidRPr="005130F2">
        <w:rPr>
          <w:szCs w:val="22"/>
          <w:lang w:eastAsia="en-AU"/>
        </w:rPr>
        <w:t xml:space="preserve"> </w:t>
      </w:r>
      <w:r>
        <w:rPr>
          <w:szCs w:val="22"/>
          <w:lang w:eastAsia="en-AU"/>
        </w:rPr>
        <w:t xml:space="preserve">within an average period of </w:t>
      </w:r>
      <w:r w:rsidRPr="005130F2">
        <w:rPr>
          <w:szCs w:val="22"/>
          <w:lang w:eastAsia="en-AU"/>
        </w:rPr>
        <w:t>36 days</w:t>
      </w:r>
      <w:r>
        <w:rPr>
          <w:szCs w:val="22"/>
          <w:lang w:eastAsia="en-AU"/>
        </w:rPr>
        <w:t>.</w:t>
      </w:r>
      <w:r w:rsidRPr="005130F2">
        <w:rPr>
          <w:szCs w:val="22"/>
          <w:lang w:eastAsia="en-AU"/>
        </w:rPr>
        <w:t xml:space="preserve"> </w:t>
      </w:r>
      <w:r>
        <w:rPr>
          <w:szCs w:val="22"/>
          <w:lang w:eastAsia="en-AU"/>
        </w:rPr>
        <w:t>I</w:t>
      </w:r>
      <w:r w:rsidRPr="005130F2">
        <w:rPr>
          <w:szCs w:val="22"/>
          <w:lang w:eastAsia="en-AU"/>
        </w:rPr>
        <w:t xml:space="preserve">n the 2015-16 period, </w:t>
      </w:r>
      <w:r>
        <w:rPr>
          <w:szCs w:val="22"/>
          <w:lang w:eastAsia="en-AU"/>
        </w:rPr>
        <w:t xml:space="preserve">the company resolved </w:t>
      </w:r>
      <w:r w:rsidR="000E3C34">
        <w:rPr>
          <w:szCs w:val="22"/>
          <w:lang w:eastAsia="en-AU"/>
        </w:rPr>
        <w:t>two</w:t>
      </w:r>
      <w:r w:rsidRPr="005130F2">
        <w:rPr>
          <w:szCs w:val="22"/>
          <w:lang w:eastAsia="en-AU"/>
        </w:rPr>
        <w:t xml:space="preserve"> </w:t>
      </w:r>
      <w:r w:rsidR="000C1E3A">
        <w:rPr>
          <w:szCs w:val="22"/>
          <w:lang w:eastAsia="en-AU"/>
        </w:rPr>
        <w:t>disputes</w:t>
      </w:r>
      <w:r w:rsidRPr="005130F2">
        <w:rPr>
          <w:szCs w:val="22"/>
          <w:lang w:eastAsia="en-AU"/>
        </w:rPr>
        <w:t xml:space="preserve"> </w:t>
      </w:r>
      <w:r>
        <w:rPr>
          <w:szCs w:val="22"/>
          <w:lang w:eastAsia="en-AU"/>
        </w:rPr>
        <w:t>within an average period of 18 days</w:t>
      </w:r>
      <w:r w:rsidRPr="005130F2">
        <w:rPr>
          <w:szCs w:val="22"/>
          <w:lang w:eastAsia="en-AU"/>
        </w:rPr>
        <w:t xml:space="preserve">. Boost Juice stores accounted for 11 </w:t>
      </w:r>
      <w:r w:rsidR="000C1E3A">
        <w:rPr>
          <w:szCs w:val="22"/>
          <w:lang w:eastAsia="en-AU"/>
        </w:rPr>
        <w:t>disputes</w:t>
      </w:r>
      <w:r w:rsidRPr="005130F2">
        <w:rPr>
          <w:szCs w:val="22"/>
          <w:lang w:eastAsia="en-AU"/>
        </w:rPr>
        <w:t xml:space="preserve"> and Salsa’s Fresh Mex Grill two </w:t>
      </w:r>
      <w:r w:rsidR="000C1E3A">
        <w:rPr>
          <w:szCs w:val="22"/>
          <w:lang w:eastAsia="en-AU"/>
        </w:rPr>
        <w:t>disputes</w:t>
      </w:r>
      <w:r w:rsidRPr="005130F2">
        <w:rPr>
          <w:szCs w:val="22"/>
          <w:lang w:eastAsia="en-AU"/>
        </w:rPr>
        <w:t>.</w:t>
      </w:r>
      <w:r w:rsidRPr="005130F2">
        <w:t xml:space="preserve"> </w:t>
      </w:r>
    </w:p>
    <w:p w14:paraId="67F73F6F" w14:textId="7B56AD2C" w:rsidR="0086281F" w:rsidRDefault="0086281F" w:rsidP="00F119BB">
      <w:pPr>
        <w:spacing w:before="0" w:after="120"/>
        <w:jc w:val="both"/>
      </w:pPr>
      <w:r w:rsidRPr="005130F2">
        <w:t>In the 2016-17</w:t>
      </w:r>
      <w:r>
        <w:t xml:space="preserve"> period,</w:t>
      </w:r>
      <w:r w:rsidRPr="005130F2">
        <w:t xml:space="preserve"> the FWO referred one </w:t>
      </w:r>
      <w:r w:rsidR="00F119BB">
        <w:t>request for assistance</w:t>
      </w:r>
      <w:r w:rsidRPr="005130F2">
        <w:t xml:space="preserve">. The matter was in relation to incorrect application of penalty rates for an employee of a Salsas Fresh Mex Grill franchisee. </w:t>
      </w:r>
    </w:p>
    <w:p w14:paraId="13496C0E" w14:textId="506106CC" w:rsidR="0086281F" w:rsidRDefault="00F119BB" w:rsidP="00F119BB">
      <w:pPr>
        <w:spacing w:before="0" w:after="120"/>
        <w:jc w:val="both"/>
      </w:pPr>
      <w:r>
        <w:t xml:space="preserve">The combined quantum of </w:t>
      </w:r>
      <w:r w:rsidR="00692C63">
        <w:t>underpayments</w:t>
      </w:r>
      <w:r>
        <w:t xml:space="preserve"> identified and rectified for nine employees was </w:t>
      </w:r>
      <w:r w:rsidR="00692C63">
        <w:t>$16 337.59.</w:t>
      </w:r>
    </w:p>
    <w:p w14:paraId="02C309B1" w14:textId="4BDF6F8C" w:rsidR="0086281F" w:rsidRDefault="0086281F" w:rsidP="00F119BB">
      <w:pPr>
        <w:spacing w:before="0" w:after="120"/>
        <w:jc w:val="both"/>
      </w:pPr>
      <w:r>
        <w:t>Retail Zoo Group reported that the self-resolution</w:t>
      </w:r>
      <w:r w:rsidR="00F119BB">
        <w:t xml:space="preserve"> process</w:t>
      </w:r>
      <w:r w:rsidRPr="005130F2">
        <w:t xml:space="preserve"> </w:t>
      </w:r>
      <w:r>
        <w:t>created</w:t>
      </w:r>
      <w:r w:rsidRPr="005130F2">
        <w:t xml:space="preserve"> an opportunity to educate </w:t>
      </w:r>
      <w:r>
        <w:t>franchisees and</w:t>
      </w:r>
      <w:r w:rsidRPr="005130F2">
        <w:t xml:space="preserve"> ensure all were aware of their obligations to employees.</w:t>
      </w:r>
    </w:p>
    <w:p w14:paraId="361BCD65" w14:textId="77777777" w:rsidR="0086281F" w:rsidRDefault="0086281F" w:rsidP="0086281F">
      <w:pPr>
        <w:pStyle w:val="Bullet"/>
      </w:pPr>
      <w:r>
        <w:br w:type="page"/>
      </w:r>
    </w:p>
    <w:p w14:paraId="4DB4502C" w14:textId="51DD20F3" w:rsidR="0086281F" w:rsidRPr="005130F2" w:rsidRDefault="0086281F" w:rsidP="0086281F">
      <w:pPr>
        <w:pStyle w:val="Heading1"/>
      </w:pPr>
      <w:bookmarkStart w:id="16" w:name="_Toc512334111"/>
      <w:bookmarkStart w:id="17" w:name="_Toc519776322"/>
      <w:bookmarkStart w:id="18" w:name="_Toc520118956"/>
      <w:r w:rsidRPr="005130F2">
        <w:lastRenderedPageBreak/>
        <w:t>Self-</w:t>
      </w:r>
      <w:r>
        <w:t>a</w:t>
      </w:r>
      <w:r w:rsidRPr="005130F2">
        <w:t>udit</w:t>
      </w:r>
      <w:bookmarkEnd w:id="16"/>
      <w:bookmarkEnd w:id="17"/>
      <w:bookmarkEnd w:id="18"/>
    </w:p>
    <w:p w14:paraId="197494B5" w14:textId="79A371A0" w:rsidR="0086281F" w:rsidRDefault="0086281F" w:rsidP="00F166F1">
      <w:pPr>
        <w:spacing w:before="240" w:after="120"/>
      </w:pPr>
      <w:r w:rsidRPr="005130F2">
        <w:t>Retail Zoo Group w</w:t>
      </w:r>
      <w:r w:rsidR="00F16D7B">
        <w:t>as</w:t>
      </w:r>
      <w:r w:rsidRPr="005130F2">
        <w:t xml:space="preserve"> required to self-audit a sample of 10% of its company and franchisee stores during the first year (clauses 23-24 of the PCD).</w:t>
      </w:r>
      <w:r>
        <w:t xml:space="preserve"> T</w:t>
      </w:r>
      <w:r w:rsidRPr="005130F2">
        <w:t xml:space="preserve">he self-audit sought to identify any </w:t>
      </w:r>
      <w:r w:rsidR="00F16D7B">
        <w:t>breache</w:t>
      </w:r>
      <w:r w:rsidRPr="005130F2">
        <w:t xml:space="preserve">s of </w:t>
      </w:r>
      <w:r>
        <w:t>Australian</w:t>
      </w:r>
      <w:r w:rsidRPr="005130F2">
        <w:t xml:space="preserve"> workplace laws</w:t>
      </w:r>
      <w:r>
        <w:t xml:space="preserve"> (wages, </w:t>
      </w:r>
      <w:r w:rsidRPr="005130F2">
        <w:t>loadings</w:t>
      </w:r>
      <w:r>
        <w:t xml:space="preserve">, allowances and penalties). </w:t>
      </w:r>
      <w:r w:rsidRPr="005130F2">
        <w:t xml:space="preserve">The company </w:t>
      </w:r>
      <w:r>
        <w:t>opted to double the sample in the first year to 20% and</w:t>
      </w:r>
      <w:r w:rsidRPr="005130F2">
        <w:t xml:space="preserve"> carried out two extra self-audits in the second and third year of the partnership</w:t>
      </w:r>
      <w:r>
        <w:t xml:space="preserve">. This exceeded </w:t>
      </w:r>
      <w:r w:rsidRPr="005130F2">
        <w:t>the requirements of the PCD</w:t>
      </w:r>
      <w:r>
        <w:t xml:space="preserve">. </w:t>
      </w:r>
    </w:p>
    <w:p w14:paraId="2879ACBC" w14:textId="0F2CA48A" w:rsidR="0086281F" w:rsidRDefault="0086281F" w:rsidP="00F166F1">
      <w:pPr>
        <w:spacing w:before="0" w:after="120"/>
      </w:pPr>
      <w:r>
        <w:t xml:space="preserve">The audit involved </w:t>
      </w:r>
      <w:r w:rsidRPr="005130F2">
        <w:t>60 stores,</w:t>
      </w:r>
      <w:r>
        <w:t xml:space="preserve"> with</w:t>
      </w:r>
      <w:r w:rsidRPr="005130F2">
        <w:t xml:space="preserve"> Boost Juice </w:t>
      </w:r>
      <w:r>
        <w:t xml:space="preserve">stores </w:t>
      </w:r>
      <w:r w:rsidRPr="005130F2">
        <w:t xml:space="preserve">accounting for 39 of these. A total of 196 employees were part of the self-audit. The company found 19 </w:t>
      </w:r>
      <w:r w:rsidR="00F16D7B">
        <w:t>breaches</w:t>
      </w:r>
      <w:r w:rsidRPr="005130F2">
        <w:t xml:space="preserve">, with 15 of these occurring at Boost Juice stores, two at Salsa’s and two at </w:t>
      </w:r>
      <w:proofErr w:type="spellStart"/>
      <w:r w:rsidRPr="005130F2">
        <w:t>Cibo</w:t>
      </w:r>
      <w:proofErr w:type="spellEnd"/>
      <w:r w:rsidRPr="005130F2">
        <w:t xml:space="preserve"> Espresso. The company identified total underpayments of $29 224.88</w:t>
      </w:r>
      <w:r>
        <w:t>.</w:t>
      </w:r>
    </w:p>
    <w:p w14:paraId="5EE47EFD" w14:textId="77777777" w:rsidR="0086281F" w:rsidRDefault="0086281F" w:rsidP="00F166F1">
      <w:pPr>
        <w:spacing w:before="0" w:after="120"/>
      </w:pPr>
      <w:r>
        <w:t>The matters were related to:</w:t>
      </w:r>
    </w:p>
    <w:p w14:paraId="7EE88FD1" w14:textId="77777777" w:rsidR="0086281F" w:rsidRDefault="0086281F" w:rsidP="00F166F1">
      <w:pPr>
        <w:pStyle w:val="ListParagraph"/>
        <w:numPr>
          <w:ilvl w:val="0"/>
          <w:numId w:val="14"/>
        </w:numPr>
        <w:spacing w:before="0" w:after="120"/>
        <w:contextualSpacing w:val="0"/>
      </w:pPr>
      <w:r>
        <w:t>incorrect weekend loadings</w:t>
      </w:r>
    </w:p>
    <w:p w14:paraId="3AE231F2" w14:textId="77777777" w:rsidR="0086281F" w:rsidRDefault="0086281F" w:rsidP="00F166F1">
      <w:pPr>
        <w:pStyle w:val="ListParagraph"/>
        <w:numPr>
          <w:ilvl w:val="0"/>
          <w:numId w:val="14"/>
        </w:numPr>
        <w:spacing w:before="0" w:after="120"/>
        <w:contextualSpacing w:val="0"/>
      </w:pPr>
      <w:r>
        <w:t>incorrect casual loadings</w:t>
      </w:r>
    </w:p>
    <w:p w14:paraId="12A2F5D8" w14:textId="77777777" w:rsidR="0086281F" w:rsidRDefault="0086281F" w:rsidP="00F166F1">
      <w:pPr>
        <w:pStyle w:val="ListParagraph"/>
        <w:numPr>
          <w:ilvl w:val="0"/>
          <w:numId w:val="14"/>
        </w:numPr>
        <w:spacing w:before="0" w:after="120"/>
        <w:contextualSpacing w:val="0"/>
      </w:pPr>
      <w:proofErr w:type="gramStart"/>
      <w:r>
        <w:t>no</w:t>
      </w:r>
      <w:proofErr w:type="gramEnd"/>
      <w:r>
        <w:t xml:space="preserve"> laundry allowance paid.</w:t>
      </w:r>
    </w:p>
    <w:p w14:paraId="0A61F471" w14:textId="2AA54653" w:rsidR="000451A5" w:rsidRDefault="0086281F" w:rsidP="00F166F1">
      <w:pPr>
        <w:spacing w:before="0" w:after="120"/>
      </w:pPr>
      <w:r>
        <w:t xml:space="preserve">As the compliance partnership progressed, Retail Zoo Group took the initiative to conduct further audits of its network, which was not a requirement under the PCD. The company increased the size of these audits as the partnership progressed. </w:t>
      </w:r>
    </w:p>
    <w:p w14:paraId="10BE2CA6" w14:textId="37D53BC0" w:rsidR="0086281F" w:rsidRDefault="0086281F" w:rsidP="00F166F1">
      <w:pPr>
        <w:spacing w:before="0" w:after="120"/>
      </w:pPr>
      <w:r>
        <w:t>The voluntary self-audits found further instances of non-compliance with:</w:t>
      </w:r>
    </w:p>
    <w:p w14:paraId="6AC3933A" w14:textId="77777777" w:rsidR="0086281F" w:rsidRDefault="0086281F" w:rsidP="00F166F1">
      <w:pPr>
        <w:pStyle w:val="ListParagraph"/>
        <w:numPr>
          <w:ilvl w:val="0"/>
          <w:numId w:val="15"/>
        </w:numPr>
        <w:spacing w:before="0" w:after="120"/>
        <w:contextualSpacing w:val="0"/>
      </w:pPr>
      <w:r>
        <w:t>incorrect weekend loadings</w:t>
      </w:r>
    </w:p>
    <w:p w14:paraId="6BF3F760" w14:textId="77777777" w:rsidR="0086281F" w:rsidRDefault="0086281F" w:rsidP="00F166F1">
      <w:pPr>
        <w:pStyle w:val="ListParagraph"/>
        <w:numPr>
          <w:ilvl w:val="0"/>
          <w:numId w:val="15"/>
        </w:numPr>
        <w:spacing w:before="0" w:after="120"/>
        <w:contextualSpacing w:val="0"/>
      </w:pPr>
      <w:r>
        <w:t>no laundry allowance paid</w:t>
      </w:r>
    </w:p>
    <w:p w14:paraId="09661FE1" w14:textId="77777777" w:rsidR="0086281F" w:rsidRDefault="0086281F" w:rsidP="00F166F1">
      <w:pPr>
        <w:pStyle w:val="ListParagraph"/>
        <w:numPr>
          <w:ilvl w:val="0"/>
          <w:numId w:val="15"/>
        </w:numPr>
        <w:spacing w:before="0" w:after="120"/>
        <w:contextualSpacing w:val="0"/>
      </w:pPr>
      <w:r w:rsidRPr="005130F2">
        <w:t>penalt</w:t>
      </w:r>
      <w:r>
        <w:t>y</w:t>
      </w:r>
      <w:r w:rsidRPr="005130F2">
        <w:t xml:space="preserve"> rates being incorrectly applied</w:t>
      </w:r>
    </w:p>
    <w:p w14:paraId="2DE1B3E9" w14:textId="77777777" w:rsidR="0086281F" w:rsidRDefault="0086281F" w:rsidP="00F166F1">
      <w:pPr>
        <w:pStyle w:val="ListParagraph"/>
        <w:numPr>
          <w:ilvl w:val="0"/>
          <w:numId w:val="15"/>
        </w:numPr>
        <w:spacing w:before="0" w:after="120"/>
        <w:contextualSpacing w:val="0"/>
      </w:pPr>
      <w:r w:rsidRPr="005130F2">
        <w:t>casual loadings being incorrectly applied</w:t>
      </w:r>
    </w:p>
    <w:p w14:paraId="46BFBBD3" w14:textId="77777777" w:rsidR="0086281F" w:rsidRDefault="0086281F" w:rsidP="00F166F1">
      <w:pPr>
        <w:pStyle w:val="ListParagraph"/>
        <w:numPr>
          <w:ilvl w:val="0"/>
          <w:numId w:val="15"/>
        </w:numPr>
        <w:spacing w:before="0" w:after="120"/>
        <w:contextualSpacing w:val="0"/>
      </w:pPr>
      <w:r w:rsidRPr="005130F2">
        <w:t xml:space="preserve">incorrect employee classification under the </w:t>
      </w:r>
      <w:r>
        <w:t>A</w:t>
      </w:r>
      <w:r w:rsidRPr="005130F2">
        <w:t>wards</w:t>
      </w:r>
    </w:p>
    <w:p w14:paraId="449560BF" w14:textId="77777777" w:rsidR="0086281F" w:rsidRDefault="0086281F" w:rsidP="00F166F1">
      <w:pPr>
        <w:pStyle w:val="ListParagraph"/>
        <w:numPr>
          <w:ilvl w:val="0"/>
          <w:numId w:val="15"/>
        </w:numPr>
        <w:spacing w:before="0" w:after="120"/>
        <w:contextualSpacing w:val="0"/>
      </w:pPr>
      <w:r w:rsidRPr="005130F2">
        <w:t>evening rates not being applied</w:t>
      </w:r>
    </w:p>
    <w:p w14:paraId="31AD6A16" w14:textId="77777777" w:rsidR="0086281F" w:rsidRPr="005130F2" w:rsidRDefault="0086281F" w:rsidP="00F166F1">
      <w:pPr>
        <w:pStyle w:val="ListParagraph"/>
        <w:numPr>
          <w:ilvl w:val="0"/>
          <w:numId w:val="15"/>
        </w:numPr>
        <w:spacing w:before="0" w:after="120"/>
        <w:contextualSpacing w:val="0"/>
      </w:pPr>
      <w:proofErr w:type="gramStart"/>
      <w:r w:rsidRPr="005130F2">
        <w:t>pay</w:t>
      </w:r>
      <w:proofErr w:type="gramEnd"/>
      <w:r>
        <w:t xml:space="preserve"> </w:t>
      </w:r>
      <w:r w:rsidRPr="005130F2">
        <w:t>slips not conforming to legislative requirements.</w:t>
      </w:r>
    </w:p>
    <w:p w14:paraId="6160DEF0" w14:textId="77777777" w:rsidR="0086281F" w:rsidRDefault="0086281F" w:rsidP="0086281F">
      <w:pPr>
        <w:pStyle w:val="Bullet"/>
      </w:pPr>
      <w:r>
        <w:br w:type="page"/>
      </w:r>
    </w:p>
    <w:p w14:paraId="2D962329" w14:textId="77777777" w:rsidR="0086281F" w:rsidRPr="005130F2" w:rsidRDefault="0086281F" w:rsidP="0086281F">
      <w:pPr>
        <w:pStyle w:val="Heading1"/>
      </w:pPr>
      <w:bookmarkStart w:id="19" w:name="_Toc520118957"/>
      <w:r w:rsidRPr="005130F2">
        <w:lastRenderedPageBreak/>
        <w:t>Reporting to the FWO</w:t>
      </w:r>
      <w:bookmarkEnd w:id="19"/>
      <w:r w:rsidRPr="005130F2">
        <w:t xml:space="preserve"> </w:t>
      </w:r>
    </w:p>
    <w:p w14:paraId="73CFAF5D" w14:textId="77777777" w:rsidR="0086281F" w:rsidRPr="005130F2" w:rsidRDefault="0086281F" w:rsidP="00F166F1">
      <w:pPr>
        <w:spacing w:before="240" w:after="120"/>
      </w:pPr>
      <w:r w:rsidRPr="005130F2">
        <w:t>Retail Zoo Group provided an annual report to the FWO at the end of each year (clauses 30-37 of the PCD). The reports advised the FWO on:</w:t>
      </w:r>
    </w:p>
    <w:p w14:paraId="018769F7" w14:textId="77777777" w:rsidR="0086281F" w:rsidRPr="005130F2" w:rsidRDefault="0086281F" w:rsidP="00F166F1">
      <w:pPr>
        <w:pStyle w:val="ListParagraph"/>
        <w:numPr>
          <w:ilvl w:val="0"/>
          <w:numId w:val="16"/>
        </w:numPr>
        <w:spacing w:before="0" w:after="120"/>
        <w:contextualSpacing w:val="0"/>
      </w:pPr>
      <w:r w:rsidRPr="005130F2">
        <w:t>actions taken to address the requirements of the PCD</w:t>
      </w:r>
    </w:p>
    <w:p w14:paraId="42F8E0DA" w14:textId="77777777" w:rsidR="0086281F" w:rsidRPr="005130F2" w:rsidRDefault="0086281F" w:rsidP="00F166F1">
      <w:pPr>
        <w:pStyle w:val="ListParagraph"/>
        <w:numPr>
          <w:ilvl w:val="0"/>
          <w:numId w:val="16"/>
        </w:numPr>
        <w:spacing w:before="0" w:after="120"/>
        <w:contextualSpacing w:val="0"/>
      </w:pPr>
      <w:r w:rsidRPr="005130F2">
        <w:t>reporting on the self-audit results</w:t>
      </w:r>
    </w:p>
    <w:p w14:paraId="60D6E6E8" w14:textId="77777777" w:rsidR="0086281F" w:rsidRPr="005130F2" w:rsidRDefault="0086281F" w:rsidP="00F166F1">
      <w:pPr>
        <w:pStyle w:val="ListParagraph"/>
        <w:numPr>
          <w:ilvl w:val="0"/>
          <w:numId w:val="16"/>
        </w:numPr>
        <w:spacing w:before="0" w:after="120"/>
        <w:contextualSpacing w:val="0"/>
      </w:pPr>
      <w:r w:rsidRPr="005130F2">
        <w:t>numbers of requests for assistance referred</w:t>
      </w:r>
    </w:p>
    <w:p w14:paraId="2F65442C" w14:textId="77777777" w:rsidR="0086281F" w:rsidRPr="005130F2" w:rsidRDefault="0086281F" w:rsidP="00F166F1">
      <w:pPr>
        <w:pStyle w:val="ListParagraph"/>
        <w:numPr>
          <w:ilvl w:val="0"/>
          <w:numId w:val="16"/>
        </w:numPr>
        <w:spacing w:before="0" w:after="120"/>
        <w:contextualSpacing w:val="0"/>
      </w:pPr>
      <w:r w:rsidRPr="005130F2">
        <w:t>number of requests for assistance resolved</w:t>
      </w:r>
    </w:p>
    <w:p w14:paraId="5AF5296B" w14:textId="77777777" w:rsidR="0086281F" w:rsidRPr="005130F2" w:rsidRDefault="0086281F" w:rsidP="00F166F1">
      <w:pPr>
        <w:pStyle w:val="ListParagraph"/>
        <w:numPr>
          <w:ilvl w:val="0"/>
          <w:numId w:val="16"/>
        </w:numPr>
        <w:spacing w:before="0" w:after="120"/>
        <w:contextualSpacing w:val="0"/>
      </w:pPr>
      <w:r w:rsidRPr="005130F2">
        <w:t>average time taken to resolve</w:t>
      </w:r>
    </w:p>
    <w:p w14:paraId="0A42DB1F" w14:textId="62CBBE47" w:rsidR="0086281F" w:rsidRDefault="0086281F" w:rsidP="00F166F1">
      <w:pPr>
        <w:pStyle w:val="ListParagraph"/>
        <w:numPr>
          <w:ilvl w:val="0"/>
          <w:numId w:val="16"/>
        </w:numPr>
        <w:spacing w:before="0" w:after="120"/>
        <w:contextualSpacing w:val="0"/>
      </w:pPr>
      <w:proofErr w:type="gramStart"/>
      <w:r w:rsidRPr="005130F2">
        <w:t>average</w:t>
      </w:r>
      <w:proofErr w:type="gramEnd"/>
      <w:r w:rsidRPr="005130F2">
        <w:t xml:space="preserve"> amount of the underpayments.</w:t>
      </w:r>
    </w:p>
    <w:p w14:paraId="3D4F9EFB" w14:textId="77777777" w:rsidR="0086281F" w:rsidRPr="005130F2" w:rsidRDefault="0086281F" w:rsidP="0086281F">
      <w:pPr>
        <w:spacing w:before="0" w:after="120"/>
      </w:pPr>
    </w:p>
    <w:p w14:paraId="3A4D9A7D" w14:textId="77777777" w:rsidR="0086281F" w:rsidRPr="005130F2" w:rsidRDefault="0086281F" w:rsidP="0086281F">
      <w:pPr>
        <w:pStyle w:val="Heading1"/>
      </w:pPr>
      <w:r w:rsidRPr="0086281F">
        <w:br w:type="page"/>
      </w:r>
      <w:bookmarkStart w:id="20" w:name="_Toc515347204"/>
      <w:bookmarkStart w:id="21" w:name="_Toc519776324"/>
      <w:bookmarkStart w:id="22" w:name="_Toc520118958"/>
      <w:r w:rsidRPr="005130F2">
        <w:lastRenderedPageBreak/>
        <w:t>Conclusion</w:t>
      </w:r>
      <w:bookmarkEnd w:id="20"/>
      <w:bookmarkEnd w:id="21"/>
      <w:bookmarkEnd w:id="22"/>
    </w:p>
    <w:p w14:paraId="4E2C92F0" w14:textId="73984AFA" w:rsidR="0086281F" w:rsidRPr="005130F2" w:rsidRDefault="003820DB" w:rsidP="00F166F1">
      <w:pPr>
        <w:spacing w:before="240" w:after="120"/>
      </w:pPr>
      <w:r>
        <w:t xml:space="preserve">In 2014, </w:t>
      </w:r>
      <w:r w:rsidR="0086281F" w:rsidRPr="005130F2">
        <w:t xml:space="preserve">Retail Zoo Group </w:t>
      </w:r>
      <w:r w:rsidR="00F16D7B">
        <w:t xml:space="preserve">initiated </w:t>
      </w:r>
      <w:r w:rsidR="00E15930">
        <w:t xml:space="preserve">contact with </w:t>
      </w:r>
      <w:r w:rsidR="0086281F" w:rsidRPr="005130F2">
        <w:t>the FWO</w:t>
      </w:r>
      <w:r w:rsidR="00E15930">
        <w:t xml:space="preserve"> to discuss the prospect of working collaboratively</w:t>
      </w:r>
      <w:r w:rsidR="0086281F" w:rsidRPr="005130F2">
        <w:t xml:space="preserve"> in a compliance partnership</w:t>
      </w:r>
      <w:r w:rsidR="00BA12F9">
        <w:t>.  The Group was keen</w:t>
      </w:r>
      <w:r w:rsidR="00F16D7B">
        <w:t xml:space="preserve"> to improve its network’s </w:t>
      </w:r>
      <w:r w:rsidR="0086281F" w:rsidRPr="005130F2">
        <w:t>compliance with Australian workplace laws</w:t>
      </w:r>
      <w:r w:rsidR="0086281F">
        <w:t xml:space="preserve"> and</w:t>
      </w:r>
      <w:r w:rsidR="0086281F" w:rsidRPr="005130F2">
        <w:t xml:space="preserve"> enhance </w:t>
      </w:r>
      <w:r w:rsidR="00F16D7B">
        <w:t>its</w:t>
      </w:r>
      <w:r w:rsidR="0086281F" w:rsidRPr="005130F2">
        <w:t xml:space="preserve"> brands as </w:t>
      </w:r>
      <w:r w:rsidR="00F16D7B">
        <w:t xml:space="preserve">employers </w:t>
      </w:r>
      <w:r w:rsidR="0086281F" w:rsidRPr="005130F2">
        <w:t>of choice.</w:t>
      </w:r>
    </w:p>
    <w:p w14:paraId="68A32995" w14:textId="206E337A" w:rsidR="00F16D7B" w:rsidRDefault="00BA12F9" w:rsidP="00F166F1">
      <w:pPr>
        <w:spacing w:before="0" w:after="120"/>
      </w:pPr>
      <w:r>
        <w:t>Over the course of the</w:t>
      </w:r>
      <w:r w:rsidR="0086281F" w:rsidRPr="005130F2">
        <w:t xml:space="preserve"> </w:t>
      </w:r>
      <w:r w:rsidR="00F16D7B">
        <w:t>partnership</w:t>
      </w:r>
      <w:r w:rsidR="0086281F" w:rsidRPr="005130F2">
        <w:t xml:space="preserve">, the number of requests for assistance the FWO referred to Retail Zoo Group </w:t>
      </w:r>
      <w:r>
        <w:t>declined dramatically, from 11 to one.</w:t>
      </w:r>
    </w:p>
    <w:p w14:paraId="724D8511" w14:textId="6D71D3C7" w:rsidR="0086281F" w:rsidRPr="005130F2" w:rsidRDefault="0086281F" w:rsidP="00F166F1">
      <w:pPr>
        <w:spacing w:before="0" w:after="120"/>
      </w:pPr>
      <w:r w:rsidRPr="005130F2">
        <w:t xml:space="preserve">The company conducted </w:t>
      </w:r>
      <w:r>
        <w:t>more self-audits than required under the</w:t>
      </w:r>
      <w:r w:rsidR="000714EF">
        <w:t xml:space="preserve"> terms of the</w:t>
      </w:r>
      <w:r>
        <w:t xml:space="preserve"> PCD, </w:t>
      </w:r>
      <w:r w:rsidR="00F16D7B">
        <w:t>demonstrating</w:t>
      </w:r>
      <w:r w:rsidRPr="005130F2">
        <w:t xml:space="preserve"> </w:t>
      </w:r>
      <w:r>
        <w:t xml:space="preserve">a </w:t>
      </w:r>
      <w:r w:rsidRPr="005130F2">
        <w:t>commitment to the wellbeing of employees and workplace compliance. In each year of the partnership, the company r</w:t>
      </w:r>
      <w:r w:rsidR="00F16D7B">
        <w:t>eported that the percentage of breache</w:t>
      </w:r>
      <w:r w:rsidRPr="005130F2">
        <w:t xml:space="preserve">s found in each self-audit decreased. </w:t>
      </w:r>
    </w:p>
    <w:p w14:paraId="22F6BF7C" w14:textId="788FF2DA" w:rsidR="0086281F" w:rsidRDefault="0086281F" w:rsidP="00F166F1">
      <w:pPr>
        <w:spacing w:before="0" w:after="120"/>
      </w:pPr>
      <w:r w:rsidRPr="005130F2">
        <w:t>Retail Zoo Group report</w:t>
      </w:r>
      <w:r w:rsidR="00F16D7B">
        <w:t>ed to the FWO</w:t>
      </w:r>
      <w:r w:rsidRPr="005130F2">
        <w:t xml:space="preserve"> that the </w:t>
      </w:r>
      <w:r w:rsidR="000714EF">
        <w:t>self-audit findings</w:t>
      </w:r>
      <w:r w:rsidRPr="005130F2">
        <w:t xml:space="preserve"> </w:t>
      </w:r>
      <w:r w:rsidR="000714EF">
        <w:t>enabled f</w:t>
      </w:r>
      <w:r>
        <w:t>urther</w:t>
      </w:r>
      <w:r w:rsidR="000714EF">
        <w:t xml:space="preserve"> improvements to its </w:t>
      </w:r>
      <w:r w:rsidRPr="005130F2">
        <w:t xml:space="preserve">systems and processes in order to increase workplace relations compliance. </w:t>
      </w:r>
      <w:r>
        <w:t>I</w:t>
      </w:r>
      <w:r w:rsidRPr="005130F2">
        <w:t xml:space="preserve">mprovements included greater HR involvement and communication with franchisees, the rollout of an employee hotline and larger </w:t>
      </w:r>
      <w:r>
        <w:t xml:space="preserve">audit </w:t>
      </w:r>
      <w:r w:rsidRPr="005130F2">
        <w:t xml:space="preserve">sample sizes </w:t>
      </w:r>
      <w:r>
        <w:t xml:space="preserve">in </w:t>
      </w:r>
      <w:r w:rsidRPr="005130F2">
        <w:t>each year of the PCD.</w:t>
      </w:r>
    </w:p>
    <w:p w14:paraId="6F1CB782" w14:textId="2B88B35C" w:rsidR="0086281F" w:rsidRPr="005130F2" w:rsidRDefault="00F16D7B" w:rsidP="00F166F1">
      <w:pPr>
        <w:spacing w:before="0" w:after="120"/>
      </w:pPr>
      <w:r>
        <w:t>The breache</w:t>
      </w:r>
      <w:r w:rsidR="0086281F">
        <w:t>s uncovered by Retail Zoo were not serious in nature (resulting from error rather than deliberate non-compliance</w:t>
      </w:r>
      <w:r w:rsidR="00EB579E">
        <w:t xml:space="preserve">), and were rectified quickly. </w:t>
      </w:r>
      <w:r w:rsidR="00CB69DC">
        <w:t>At the expiration of the partnership, t</w:t>
      </w:r>
      <w:r w:rsidR="0086281F">
        <w:t xml:space="preserve">he FWO </w:t>
      </w:r>
      <w:r w:rsidR="00CB69DC">
        <w:t xml:space="preserve">assessed the company’s </w:t>
      </w:r>
      <w:r w:rsidR="0086281F">
        <w:t xml:space="preserve">systems and processes </w:t>
      </w:r>
      <w:r w:rsidR="00CB69DC">
        <w:t>had enhanced compliance</w:t>
      </w:r>
      <w:r w:rsidR="0086281F">
        <w:t>.</w:t>
      </w:r>
    </w:p>
    <w:p w14:paraId="3BB8F0A9" w14:textId="73CAD85D" w:rsidR="0086281F" w:rsidRDefault="0086281F" w:rsidP="00F166F1">
      <w:pPr>
        <w:spacing w:before="0" w:after="120"/>
      </w:pPr>
      <w:r w:rsidRPr="005130F2">
        <w:t xml:space="preserve">Throughout the life of the </w:t>
      </w:r>
      <w:r w:rsidR="00CB69DC">
        <w:t xml:space="preserve">partnership, </w:t>
      </w:r>
      <w:r w:rsidRPr="005130F2">
        <w:t xml:space="preserve">Retail Zoo Group demonstrated a willingness to work with the FWO to foster compliance throughout its network. </w:t>
      </w:r>
      <w:r>
        <w:t>By conducting additional audits outside of the requirements of the PCD, the</w:t>
      </w:r>
      <w:r w:rsidRPr="005130F2">
        <w:t xml:space="preserve"> company </w:t>
      </w:r>
      <w:r>
        <w:t>demonstrated a proactive stance on monitoring compliance.</w:t>
      </w:r>
    </w:p>
    <w:p w14:paraId="43741034" w14:textId="5C81B4A3" w:rsidR="00EF6A1D" w:rsidRDefault="00EF6A1D" w:rsidP="00F166F1">
      <w:pPr>
        <w:spacing w:before="0" w:after="120"/>
      </w:pPr>
    </w:p>
    <w:p w14:paraId="43F1AB10" w14:textId="77777777" w:rsidR="00CB69DC" w:rsidRDefault="00CB69DC" w:rsidP="00F166F1">
      <w:pPr>
        <w:spacing w:before="0" w:after="120"/>
      </w:pPr>
    </w:p>
    <w:p w14:paraId="36C7C6FC" w14:textId="52EB5685" w:rsidR="00E30050" w:rsidRDefault="00E30050" w:rsidP="00F166F1">
      <w:pPr>
        <w:spacing w:before="0" w:after="120"/>
      </w:pPr>
      <w:r>
        <w:br w:type="page"/>
      </w:r>
    </w:p>
    <w:p w14:paraId="0D895A06" w14:textId="77777777" w:rsidR="00E30050" w:rsidRPr="005130F2" w:rsidRDefault="00E30050" w:rsidP="00E30050">
      <w:pPr>
        <w:pStyle w:val="Heading1"/>
      </w:pPr>
      <w:r w:rsidRPr="005130F2">
        <w:lastRenderedPageBreak/>
        <w:t xml:space="preserve">About the Fair Work Ombudsman </w:t>
      </w:r>
    </w:p>
    <w:p w14:paraId="694F5758" w14:textId="331144E7" w:rsidR="00E30050" w:rsidRPr="005130F2" w:rsidRDefault="00E30050" w:rsidP="00FD4CCF">
      <w:pPr>
        <w:spacing w:before="240" w:after="120"/>
      </w:pPr>
      <w:r w:rsidRPr="005130F2">
        <w:t xml:space="preserve">The FWO is an independent agency created by the </w:t>
      </w:r>
      <w:r w:rsidRPr="005130F2">
        <w:rPr>
          <w:i/>
        </w:rPr>
        <w:t>Fair Work Act 2009</w:t>
      </w:r>
      <w:r w:rsidRPr="005130F2">
        <w:t xml:space="preserve"> on 1 July 2009. </w:t>
      </w:r>
      <w:r w:rsidR="00EF6A1D">
        <w:t>Its</w:t>
      </w:r>
      <w:r w:rsidRPr="005130F2">
        <w:t xml:space="preserve"> main role is to promote harmonious, productive and cooperative workplace</w:t>
      </w:r>
      <w:r w:rsidR="00EF6A1D">
        <w:t>s and ensure compliance with Australian workplace laws</w:t>
      </w:r>
      <w:r w:rsidRPr="005130F2">
        <w:t>.</w:t>
      </w:r>
    </w:p>
    <w:p w14:paraId="23D6A988" w14:textId="77777777" w:rsidR="00E30050" w:rsidRPr="005130F2" w:rsidRDefault="00E30050" w:rsidP="00FD4CCF">
      <w:pPr>
        <w:spacing w:before="0" w:after="120"/>
      </w:pPr>
      <w:r w:rsidRPr="005130F2">
        <w:t xml:space="preserve">The FWO employs a number of strategies to achieve compliance with national workplace laws.  This includes entering into proactive compliance deeds with employers in the form of a compliance partnership. A compliance partnership is an opportunity for businesses to work with the FWO in a positive and constructive manner and achieve sustainable self-monitoring arrangements in order to demonstrate commitment to ‘fair Australian workplaces’.  </w:t>
      </w:r>
    </w:p>
    <w:p w14:paraId="7D3282B8" w14:textId="77777777" w:rsidR="00E30050" w:rsidRPr="005130F2" w:rsidRDefault="00E30050" w:rsidP="00FD4CCF">
      <w:pPr>
        <w:spacing w:before="0" w:after="120"/>
      </w:pPr>
      <w:r w:rsidRPr="005130F2">
        <w:t>Employers may seek to enter into a compliance partnership with the FWO for a variety of reasons.  Some of these reasons include:</w:t>
      </w:r>
    </w:p>
    <w:p w14:paraId="15CDD584" w14:textId="77777777" w:rsidR="00E30050" w:rsidRPr="005130F2" w:rsidRDefault="00E30050" w:rsidP="00FD4CCF">
      <w:pPr>
        <w:pStyle w:val="Bullet"/>
        <w:numPr>
          <w:ilvl w:val="0"/>
          <w:numId w:val="18"/>
        </w:numPr>
        <w:spacing w:after="120"/>
      </w:pPr>
      <w:r w:rsidRPr="005130F2">
        <w:t xml:space="preserve">ensuring its obligations under the Act are being met </w:t>
      </w:r>
    </w:p>
    <w:p w14:paraId="1484E86C" w14:textId="77777777" w:rsidR="00E30050" w:rsidRPr="005130F2" w:rsidRDefault="00E30050" w:rsidP="00FD4CCF">
      <w:pPr>
        <w:pStyle w:val="Bullet"/>
        <w:numPr>
          <w:ilvl w:val="0"/>
          <w:numId w:val="18"/>
        </w:numPr>
        <w:spacing w:after="120"/>
      </w:pPr>
      <w:r w:rsidRPr="005130F2">
        <w:t xml:space="preserve">a method of identifying and minimising business risks with respect to its employees </w:t>
      </w:r>
    </w:p>
    <w:p w14:paraId="49D524F1" w14:textId="77777777" w:rsidR="00E30050" w:rsidRPr="005130F2" w:rsidRDefault="00E30050" w:rsidP="00FD4CCF">
      <w:pPr>
        <w:pStyle w:val="Bullet"/>
        <w:numPr>
          <w:ilvl w:val="0"/>
          <w:numId w:val="18"/>
        </w:numPr>
        <w:spacing w:after="120"/>
      </w:pPr>
      <w:r w:rsidRPr="005130F2">
        <w:t>to demonstrate that it is a fair Australian workplace and potentially an employer of choice</w:t>
      </w:r>
    </w:p>
    <w:p w14:paraId="10F703C0" w14:textId="77777777" w:rsidR="00E30050" w:rsidRPr="005130F2" w:rsidRDefault="00E30050" w:rsidP="00FD4CCF">
      <w:pPr>
        <w:pStyle w:val="Bullet"/>
        <w:numPr>
          <w:ilvl w:val="0"/>
          <w:numId w:val="18"/>
        </w:numPr>
        <w:spacing w:after="120"/>
      </w:pPr>
      <w:proofErr w:type="gramStart"/>
      <w:r w:rsidRPr="005130F2">
        <w:t>to</w:t>
      </w:r>
      <w:proofErr w:type="gramEnd"/>
      <w:r w:rsidRPr="005130F2">
        <w:t xml:space="preserve"> address potential areas of non-compliance with the Act. </w:t>
      </w:r>
    </w:p>
    <w:p w14:paraId="6F579A30" w14:textId="77777777" w:rsidR="00E30050" w:rsidRPr="005130F2" w:rsidRDefault="00E30050" w:rsidP="00FD4CCF">
      <w:pPr>
        <w:spacing w:before="0" w:after="120"/>
      </w:pPr>
      <w:r w:rsidRPr="005130F2">
        <w:t>A range of activities can be utilised to assist the business meet the intended outcomes of the compliance partnership, for example, self-auditing of wages and record keeping, initiatives to engage with employees to improve compliance, and mutually beneficial improvements to employment and business outcomes by focussing on supply chain, brand and franchise relationships.</w:t>
      </w:r>
    </w:p>
    <w:p w14:paraId="0EC3218C" w14:textId="77777777" w:rsidR="00E30050" w:rsidRPr="005130F2" w:rsidRDefault="00E30050" w:rsidP="00FD4CCF">
      <w:pPr>
        <w:spacing w:before="0" w:after="120"/>
      </w:pPr>
      <w:r w:rsidRPr="005130F2">
        <w:t>The FWO assigns a dedicated Fair Work Officer to any business that enters into a partnership. The officer provides support and assistance to the business to ensure they are able to meet the terms of the proactive compliance deed. The FWO publishes a report about the results of the partnership following its conclusion.</w:t>
      </w:r>
    </w:p>
    <w:p w14:paraId="6EEA9FF2" w14:textId="77777777" w:rsidR="00E30050" w:rsidRPr="005130F2" w:rsidRDefault="00E30050" w:rsidP="00FD4CCF">
      <w:pPr>
        <w:spacing w:before="0" w:after="120"/>
      </w:pPr>
      <w:r w:rsidRPr="005130F2">
        <w:t>For further information and media enquiries please contact FWO media (</w:t>
      </w:r>
      <w:hyperlink r:id="rId8" w:history="1">
        <w:r w:rsidRPr="005130F2">
          <w:rPr>
            <w:rStyle w:val="Hyperlink"/>
            <w:rFonts w:eastAsiaTheme="minorEastAsia" w:cs="Arial"/>
          </w:rPr>
          <w:t>media@fwo.gov.au</w:t>
        </w:r>
      </w:hyperlink>
      <w:r w:rsidRPr="005130F2">
        <w:t xml:space="preserve">). </w:t>
      </w:r>
    </w:p>
    <w:p w14:paraId="3A06E792" w14:textId="77777777" w:rsidR="00E30050" w:rsidRPr="005130F2" w:rsidRDefault="00E30050" w:rsidP="00FD4CCF">
      <w:pPr>
        <w:spacing w:before="0" w:after="120"/>
      </w:pPr>
      <w:r w:rsidRPr="005130F2">
        <w:t xml:space="preserve">If you would like further information about compliance partnerships please contact Steven </w:t>
      </w:r>
      <w:proofErr w:type="spellStart"/>
      <w:r w:rsidRPr="005130F2">
        <w:t>Ronson</w:t>
      </w:r>
      <w:proofErr w:type="spellEnd"/>
      <w:r w:rsidRPr="005130F2">
        <w:t>, Executive Director – Communications (</w:t>
      </w:r>
      <w:hyperlink r:id="rId9" w:history="1">
        <w:r w:rsidRPr="005130F2">
          <w:rPr>
            <w:rStyle w:val="Hyperlink"/>
            <w:rFonts w:eastAsiaTheme="minorEastAsia" w:cs="Arial"/>
          </w:rPr>
          <w:t>steven.ronson@fwo.gov.au</w:t>
        </w:r>
      </w:hyperlink>
      <w:r w:rsidRPr="005130F2">
        <w:t>).</w:t>
      </w:r>
    </w:p>
    <w:p w14:paraId="29631E49" w14:textId="77777777" w:rsidR="00E30050" w:rsidRDefault="00E30050" w:rsidP="0086281F"/>
    <w:bookmarkEnd w:id="8"/>
    <w:bookmarkEnd w:id="9"/>
    <w:p w14:paraId="387D2793" w14:textId="604595AF" w:rsidR="000A2527" w:rsidRDefault="000A2527" w:rsidP="00FD4CCF"/>
    <w:sectPr w:rsidR="000A2527" w:rsidSect="003751AF">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013"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D4DD3" w14:textId="77777777" w:rsidR="00437BF2" w:rsidRDefault="00437BF2" w:rsidP="00AB27F9">
      <w:r>
        <w:separator/>
      </w:r>
    </w:p>
  </w:endnote>
  <w:endnote w:type="continuationSeparator" w:id="0">
    <w:p w14:paraId="6117C6A7" w14:textId="77777777" w:rsidR="00437BF2" w:rsidRDefault="00437BF2" w:rsidP="00AB27F9">
      <w:r>
        <w:continuationSeparator/>
      </w:r>
    </w:p>
  </w:endnote>
  <w:endnote w:type="continuationNotice" w:id="1">
    <w:p w14:paraId="1ACFD955" w14:textId="77777777" w:rsidR="00693585" w:rsidRDefault="0069358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98AE" w14:textId="77777777" w:rsidR="00437BF2" w:rsidRDefault="00437BF2" w:rsidP="00AB27F9">
    <w:r>
      <w:fldChar w:fldCharType="begin"/>
    </w:r>
    <w:r>
      <w:instrText xml:space="preserve">PAGE  </w:instrText>
    </w:r>
    <w:r>
      <w:fldChar w:fldCharType="separate"/>
    </w:r>
    <w:r>
      <w:rPr>
        <w:noProof/>
      </w:rPr>
      <w:t>2</w:t>
    </w:r>
    <w:r>
      <w:fldChar w:fldCharType="end"/>
    </w:r>
  </w:p>
  <w:p w14:paraId="788F1251" w14:textId="77777777" w:rsidR="00437BF2" w:rsidRDefault="00437BF2" w:rsidP="00AB27F9"/>
  <w:p w14:paraId="23BE95BA" w14:textId="77777777" w:rsidR="00437BF2" w:rsidRDefault="00437BF2"/>
  <w:p w14:paraId="6182D46A" w14:textId="77777777" w:rsidR="00437BF2" w:rsidRDefault="00437BF2"/>
  <w:p w14:paraId="731BCA29" w14:textId="77777777" w:rsidR="00437BF2" w:rsidRDefault="00437BF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F7781" w14:textId="57CB3FF7" w:rsidR="00437BF2" w:rsidRPr="0045600E" w:rsidRDefault="00437BF2" w:rsidP="00782BC5">
    <w:pPr>
      <w:pStyle w:val="Footer"/>
      <w:rPr>
        <w:color w:val="FFFFFF" w:themeColor="background1"/>
      </w:rPr>
    </w:pPr>
    <w:r>
      <w:rPr>
        <w:szCs w:val="18"/>
      </w:rPr>
      <w:t>Retail Zoo Group Pty Ltd compliance partnership: final report</w:t>
    </w:r>
    <w:r w:rsidRPr="0045600E">
      <w:rPr>
        <w:color w:val="FFFFFF" w:themeColor="background1"/>
        <w:szCs w:val="18"/>
      </w:rPr>
      <w:tab/>
    </w:r>
    <w:r>
      <w:rPr>
        <w:color w:val="FFFFFF" w:themeColor="background1"/>
        <w:szCs w:val="18"/>
      </w:rPr>
      <w:tab/>
    </w:r>
    <w:r>
      <w:rPr>
        <w:color w:val="FFFFFF" w:themeColor="background1"/>
        <w:szCs w:val="18"/>
      </w:rPr>
      <w:tab/>
    </w:r>
    <w:sdt>
      <w:sdtPr>
        <w:id w:val="-382567266"/>
        <w:docPartObj>
          <w:docPartGallery w:val="Page Numbers (Bottom of Page)"/>
          <w:docPartUnique/>
        </w:docPartObj>
      </w:sdtPr>
      <w:sdtEndPr>
        <w:rPr>
          <w:noProof/>
          <w:color w:val="FFFFFF" w:themeColor="background1"/>
        </w:rPr>
      </w:sdtEndPr>
      <w:sdtContent>
        <w:r w:rsidRPr="00BF0029">
          <w:rPr>
            <w:sz w:val="20"/>
            <w:szCs w:val="20"/>
          </w:rPr>
          <w:fldChar w:fldCharType="begin"/>
        </w:r>
        <w:r w:rsidRPr="00BF0029">
          <w:rPr>
            <w:sz w:val="20"/>
            <w:szCs w:val="20"/>
          </w:rPr>
          <w:instrText xml:space="preserve"> PAGE   \* MERGEFORMAT </w:instrText>
        </w:r>
        <w:r w:rsidRPr="00BF0029">
          <w:rPr>
            <w:sz w:val="20"/>
            <w:szCs w:val="20"/>
          </w:rPr>
          <w:fldChar w:fldCharType="separate"/>
        </w:r>
        <w:r w:rsidR="00F6751B">
          <w:rPr>
            <w:noProof/>
            <w:sz w:val="20"/>
            <w:szCs w:val="20"/>
          </w:rPr>
          <w:t>8</w:t>
        </w:r>
        <w:r w:rsidRPr="00BF0029">
          <w:rPr>
            <w:noProof/>
            <w:sz w:val="20"/>
            <w:szCs w:val="20"/>
          </w:rPr>
          <w:fldChar w:fldCharType="end"/>
        </w:r>
      </w:sdtContent>
    </w:sdt>
  </w:p>
  <w:p w14:paraId="29686FC6" w14:textId="77777777" w:rsidR="00437BF2" w:rsidRDefault="00437BF2" w:rsidP="004B2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8CE0D" w14:textId="77777777" w:rsidR="00FD77B8" w:rsidRDefault="00FD7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F9BD2" w14:textId="77777777" w:rsidR="00437BF2" w:rsidRDefault="00437BF2" w:rsidP="00AB27F9">
      <w:r>
        <w:separator/>
      </w:r>
    </w:p>
  </w:footnote>
  <w:footnote w:type="continuationSeparator" w:id="0">
    <w:p w14:paraId="0224B390" w14:textId="77777777" w:rsidR="00437BF2" w:rsidRDefault="00437BF2" w:rsidP="00AB27F9">
      <w:r>
        <w:continuationSeparator/>
      </w:r>
    </w:p>
  </w:footnote>
  <w:footnote w:type="continuationNotice" w:id="1">
    <w:p w14:paraId="603D5746" w14:textId="77777777" w:rsidR="00693585" w:rsidRDefault="00693585">
      <w:pPr>
        <w:spacing w:before="0" w:line="240" w:lineRule="auto"/>
      </w:pPr>
    </w:p>
  </w:footnote>
  <w:footnote w:id="2">
    <w:p w14:paraId="4F1D3015" w14:textId="1F455B5B" w:rsidR="00437BF2" w:rsidRPr="00CE1838" w:rsidRDefault="00437BF2" w:rsidP="00CE1838">
      <w:pPr>
        <w:pStyle w:val="Footnotes"/>
      </w:pPr>
      <w:r w:rsidRPr="003751AF">
        <w:rPr>
          <w:rStyle w:val="FootnoteReference"/>
          <w:sz w:val="22"/>
        </w:rPr>
        <w:footnoteRef/>
      </w:r>
      <w:r w:rsidRPr="003751AF">
        <w:rPr>
          <w:rStyle w:val="FootnoteReference"/>
          <w:sz w:val="22"/>
        </w:rPr>
        <w:t xml:space="preserve"> </w:t>
      </w:r>
      <w:r w:rsidRPr="00CE1838">
        <w:t xml:space="preserve">A copy of the Proactive Compliance Deed can be accessed at: </w:t>
      </w:r>
      <w:hyperlink r:id="rId1" w:tooltip="Proactive Compliance Deed" w:history="1">
        <w:r w:rsidRPr="00CE1838">
          <w:rPr>
            <w:rStyle w:val="Hyperlink"/>
            <w:rFonts w:cs="Arial"/>
            <w:color w:val="auto"/>
            <w:u w:val="none"/>
          </w:rPr>
          <w:t>https://www.fairwork.gov.au/ArticleDocuments/762/retail-zoo-pcd.pdf.aspx</w:t>
        </w:r>
      </w:hyperlink>
      <w:r w:rsidRPr="00CE1838">
        <w:t xml:space="preserve"> </w:t>
      </w:r>
    </w:p>
  </w:footnote>
  <w:footnote w:id="3">
    <w:p w14:paraId="672C4BD3" w14:textId="4A4BBB42" w:rsidR="00AD5EBA" w:rsidRDefault="00AD5EBA">
      <w:pPr>
        <w:pStyle w:val="FootnoteText"/>
      </w:pPr>
      <w:r>
        <w:rPr>
          <w:rStyle w:val="FootnoteReference"/>
        </w:rPr>
        <w:footnoteRef/>
      </w:r>
      <w:r>
        <w:t xml:space="preserve"> </w:t>
      </w:r>
      <w:r w:rsidRPr="00EF6A1D">
        <w:rPr>
          <w:sz w:val="16"/>
        </w:rPr>
        <w:t>IBISWorld Company Report – Retail Zoo Pty Ltd</w:t>
      </w:r>
      <w:r>
        <w:rPr>
          <w:sz w:val="16"/>
        </w:rPr>
        <w:t>,</w:t>
      </w:r>
      <w:r w:rsidRPr="00EF6A1D">
        <w:rPr>
          <w:sz w:val="16"/>
        </w:rPr>
        <w:t xml:space="preserve"> June 2013 (2130293559</w:t>
      </w:r>
      <w:r>
        <w:rPr>
          <w:sz w:val="16"/>
        </w:rPr>
        <w:t>)</w:t>
      </w:r>
      <w:r w:rsidRPr="00EF6A1D">
        <w:rPr>
          <w:sz w:val="16"/>
        </w:rPr>
        <w:t>, extracted 1/11/18)</w:t>
      </w:r>
    </w:p>
  </w:footnote>
  <w:footnote w:id="4">
    <w:p w14:paraId="447E4F44" w14:textId="2D61D1B4" w:rsidR="00826049" w:rsidRDefault="00826049">
      <w:pPr>
        <w:pStyle w:val="FootnoteText"/>
      </w:pPr>
      <w:r>
        <w:rPr>
          <w:rStyle w:val="FootnoteReference"/>
        </w:rPr>
        <w:footnoteRef/>
      </w:r>
      <w:r>
        <w:t xml:space="preserve"> </w:t>
      </w:r>
      <w:r w:rsidRPr="00EF6A1D">
        <w:rPr>
          <w:sz w:val="16"/>
          <w:szCs w:val="16"/>
        </w:rPr>
        <w:t>S&amp;P Global Market Intelligence via Bloomberg</w:t>
      </w:r>
      <w:hyperlink r:id="rId2" w:tooltip="S&amp;P Global Market Intelligence via Bloomberg" w:history="1">
        <w:r w:rsidRPr="00F6751B">
          <w:rPr>
            <w:rStyle w:val="Hyperlink"/>
            <w:rFonts w:cs="Arial"/>
            <w:sz w:val="16"/>
            <w:szCs w:val="16"/>
          </w:rPr>
          <w:t>: https://www.bloomberg.com/research/stocks/private/board.asp?privcapId=264119707</w:t>
        </w:r>
      </w:hyperlink>
      <w:r>
        <w:t xml:space="preserve"> </w:t>
      </w:r>
    </w:p>
  </w:footnote>
  <w:footnote w:id="5">
    <w:p w14:paraId="13F4AA69" w14:textId="6F82D9C5" w:rsidR="00437BF2" w:rsidRPr="00CE1838" w:rsidRDefault="00437BF2" w:rsidP="00CE1838">
      <w:pPr>
        <w:pStyle w:val="Footnotes"/>
      </w:pPr>
      <w:r w:rsidRPr="003751AF">
        <w:rPr>
          <w:rStyle w:val="FootnoteReference"/>
        </w:rPr>
        <w:footnoteRef/>
      </w:r>
      <w:r w:rsidRPr="003751AF">
        <w:rPr>
          <w:rStyle w:val="FootnoteReference"/>
        </w:rPr>
        <w:t xml:space="preserve"> </w:t>
      </w:r>
      <w:hyperlink r:id="rId3" w:tooltip="National Employment Standards" w:history="1">
        <w:r w:rsidRPr="00CE1838">
          <w:rPr>
            <w:rStyle w:val="Hyperlink"/>
            <w:rFonts w:cs="Arial"/>
            <w:color w:val="auto"/>
            <w:u w:val="none"/>
          </w:rPr>
          <w:t>http://www.fairwork.gov.au/employee-entitlements/national-employment-standards</w:t>
        </w:r>
      </w:hyperlink>
      <w:r>
        <w:rPr>
          <w:rStyle w:val="Hyperlink"/>
          <w:rFonts w:cs="Arial"/>
          <w:color w:val="auto"/>
          <w:u w:val="none"/>
        </w:rPr>
        <w:t xml:space="preserve"> </w:t>
      </w:r>
      <w:r w:rsidRPr="00CE1838">
        <w:t xml:space="preserve"> </w:t>
      </w:r>
    </w:p>
  </w:footnote>
  <w:footnote w:id="6">
    <w:p w14:paraId="04324533" w14:textId="77777777" w:rsidR="00437BF2" w:rsidRPr="00030EC2" w:rsidRDefault="00437BF2" w:rsidP="00CE1838">
      <w:pPr>
        <w:pStyle w:val="Footnotes"/>
      </w:pPr>
      <w:r w:rsidRPr="00030EC2">
        <w:rPr>
          <w:rStyle w:val="FootnoteReference"/>
          <w:rFonts w:cs="Arial"/>
          <w:sz w:val="18"/>
          <w:szCs w:val="18"/>
        </w:rPr>
        <w:footnoteRef/>
      </w:r>
      <w:r w:rsidRPr="00030EC2">
        <w:t xml:space="preserve"> Penalty rates for Sunday work under the Award will decrease on 1 July each year, following the </w:t>
      </w:r>
      <w:hyperlink r:id="rId4" w:history="1">
        <w:r w:rsidRPr="00030EC2">
          <w:t>penalty rates decision</w:t>
        </w:r>
      </w:hyperlink>
      <w:r w:rsidRPr="00030EC2">
        <w:t xml:space="preserve"> by the Fair Work Commission in 2017</w:t>
      </w:r>
      <w:r>
        <w:t>.</w:t>
      </w:r>
    </w:p>
  </w:footnote>
  <w:footnote w:id="7">
    <w:p w14:paraId="0025A7B8" w14:textId="0062489B" w:rsidR="00437BF2" w:rsidRPr="00CE1838" w:rsidRDefault="00437BF2" w:rsidP="00CE1838">
      <w:pPr>
        <w:pStyle w:val="Footnotes"/>
      </w:pPr>
      <w:r w:rsidRPr="003751AF">
        <w:rPr>
          <w:rStyle w:val="FootnoteReference"/>
          <w:rFonts w:cs="Arial"/>
          <w:sz w:val="18"/>
          <w:szCs w:val="18"/>
        </w:rPr>
        <w:footnoteRef/>
      </w:r>
      <w:r w:rsidRPr="003751AF">
        <w:rPr>
          <w:rStyle w:val="FootnoteReference"/>
          <w:rFonts w:cs="Arial"/>
          <w:sz w:val="18"/>
          <w:szCs w:val="18"/>
        </w:rPr>
        <w:t xml:space="preserve"> </w:t>
      </w:r>
      <w:r w:rsidRPr="00CE1838">
        <w:t xml:space="preserve">FWO media release: </w:t>
      </w:r>
      <w:hyperlink r:id="rId5" w:tooltip="FWO media release announcing Compliance Partnership" w:history="1">
        <w:r w:rsidRPr="00CE1838">
          <w:rPr>
            <w:rStyle w:val="Hyperlink"/>
            <w:rFonts w:cs="Arial"/>
            <w:color w:val="auto"/>
            <w:u w:val="none"/>
          </w:rPr>
          <w:t>http://www.fairwork.gov.au/about-us/news-and-media-releases/2014-media-releases/september-2014/retail-zoo-presser</w:t>
        </w:r>
      </w:hyperlink>
      <w:bookmarkStart w:id="10" w:name="_GoBack"/>
      <w:bookmarkEnd w:id="10"/>
      <w:r>
        <w:rPr>
          <w:rStyle w:val="Hyperlink"/>
          <w:rFonts w:cs="Arial"/>
          <w:color w:val="auto"/>
          <w:u w:val="none"/>
        </w:rPr>
        <w:t xml:space="preserve"> </w:t>
      </w:r>
      <w:r w:rsidRPr="00CE183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5470" w14:textId="77777777" w:rsidR="00FD77B8" w:rsidRDefault="00FD7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69368" w14:textId="77777777" w:rsidR="00FD77B8" w:rsidRDefault="00FD7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F059" w14:textId="77777777" w:rsidR="00437BF2" w:rsidRPr="003952ED" w:rsidRDefault="00437BF2" w:rsidP="00AB27F9">
    <w:pPr>
      <w:rPr>
        <w:u w:val="single"/>
      </w:rPr>
    </w:pPr>
    <w:r w:rsidRPr="003952ED">
      <w:rPr>
        <w:noProof/>
        <w:u w:val="single"/>
        <w:lang w:eastAsia="en-AU"/>
      </w:rPr>
      <w:drawing>
        <wp:anchor distT="0" distB="0" distL="114300" distR="114300" simplePos="0" relativeHeight="251658240" behindDoc="1" locked="0" layoutInCell="1" allowOverlap="1" wp14:anchorId="55592C11" wp14:editId="7316BB9D">
          <wp:simplePos x="0" y="0"/>
          <wp:positionH relativeFrom="margin">
            <wp:posOffset>-794063</wp:posOffset>
          </wp:positionH>
          <wp:positionV relativeFrom="paragraph">
            <wp:posOffset>0</wp:posOffset>
          </wp:positionV>
          <wp:extent cx="7598603" cy="10681822"/>
          <wp:effectExtent l="0" t="0" r="2540" b="5715"/>
          <wp:wrapNone/>
          <wp:docPr id="2" name="Picture 3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8603" cy="106818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0C3F771F"/>
    <w:multiLevelType w:val="hybridMultilevel"/>
    <w:tmpl w:val="4CF83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2A74C5"/>
    <w:multiLevelType w:val="hybridMultilevel"/>
    <w:tmpl w:val="F1781F9C"/>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09C273F"/>
    <w:multiLevelType w:val="hybridMultilevel"/>
    <w:tmpl w:val="8C840908"/>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EB0DA0"/>
    <w:multiLevelType w:val="hybridMultilevel"/>
    <w:tmpl w:val="A4DABF56"/>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6" w15:restartNumberingAfterBreak="0">
    <w:nsid w:val="29770076"/>
    <w:multiLevelType w:val="hybridMultilevel"/>
    <w:tmpl w:val="BBE0248E"/>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F53E15"/>
    <w:multiLevelType w:val="hybridMultilevel"/>
    <w:tmpl w:val="CF8494E4"/>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E56E1F"/>
    <w:multiLevelType w:val="hybridMultilevel"/>
    <w:tmpl w:val="F030E2B0"/>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15594C"/>
    <w:multiLevelType w:val="hybridMultilevel"/>
    <w:tmpl w:val="03CAC534"/>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896741"/>
    <w:multiLevelType w:val="hybridMultilevel"/>
    <w:tmpl w:val="0DCA6708"/>
    <w:lvl w:ilvl="0" w:tplc="56603A6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483FC3"/>
    <w:multiLevelType w:val="hybridMultilevel"/>
    <w:tmpl w:val="B3A0AF48"/>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234FAF"/>
    <w:multiLevelType w:val="hybridMultilevel"/>
    <w:tmpl w:val="49C8F004"/>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916261"/>
    <w:multiLevelType w:val="hybridMultilevel"/>
    <w:tmpl w:val="8B1652FA"/>
    <w:lvl w:ilvl="0" w:tplc="9D52DBC4">
      <w:start w:val="418"/>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15:restartNumberingAfterBreak="0">
    <w:nsid w:val="59887D09"/>
    <w:multiLevelType w:val="hybridMultilevel"/>
    <w:tmpl w:val="3DFE9238"/>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CC10F19"/>
    <w:multiLevelType w:val="hybridMultilevel"/>
    <w:tmpl w:val="CC42978E"/>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7"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D952E09"/>
    <w:multiLevelType w:val="hybridMultilevel"/>
    <w:tmpl w:val="B9BA9E88"/>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C6B4D"/>
    <w:multiLevelType w:val="hybridMultilevel"/>
    <w:tmpl w:val="6B620706"/>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F483115"/>
    <w:multiLevelType w:val="hybridMultilevel"/>
    <w:tmpl w:val="7B3077CA"/>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FC04639"/>
    <w:multiLevelType w:val="hybridMultilevel"/>
    <w:tmpl w:val="502C4236"/>
    <w:lvl w:ilvl="0" w:tplc="A85A31C8">
      <w:start w:val="1"/>
      <w:numFmt w:val="bullet"/>
      <w:pStyle w:val="CalloutBullet"/>
      <w:lvlText w:val="­"/>
      <w:lvlJc w:val="left"/>
      <w:pPr>
        <w:ind w:left="644" w:hanging="360"/>
      </w:pPr>
      <w:rPr>
        <w:rFonts w:ascii="Arial" w:hAnsi="Aria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num w:numId="1">
    <w:abstractNumId w:val="19"/>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5"/>
  </w:num>
  <w:num w:numId="4">
    <w:abstractNumId w:val="16"/>
  </w:num>
  <w:num w:numId="5">
    <w:abstractNumId w:val="17"/>
  </w:num>
  <w:num w:numId="6">
    <w:abstractNumId w:val="22"/>
  </w:num>
  <w:num w:numId="7">
    <w:abstractNumId w:val="15"/>
  </w:num>
  <w:num w:numId="8">
    <w:abstractNumId w:val="11"/>
  </w:num>
  <w:num w:numId="9">
    <w:abstractNumId w:val="8"/>
  </w:num>
  <w:num w:numId="10">
    <w:abstractNumId w:val="21"/>
  </w:num>
  <w:num w:numId="11">
    <w:abstractNumId w:val="4"/>
  </w:num>
  <w:num w:numId="12">
    <w:abstractNumId w:val="20"/>
  </w:num>
  <w:num w:numId="13">
    <w:abstractNumId w:val="9"/>
  </w:num>
  <w:num w:numId="14">
    <w:abstractNumId w:val="14"/>
  </w:num>
  <w:num w:numId="15">
    <w:abstractNumId w:val="3"/>
  </w:num>
  <w:num w:numId="16">
    <w:abstractNumId w:val="2"/>
  </w:num>
  <w:num w:numId="17">
    <w:abstractNumId w:val="13"/>
  </w:num>
  <w:num w:numId="18">
    <w:abstractNumId w:val="18"/>
  </w:num>
  <w:num w:numId="19">
    <w:abstractNumId w:val="1"/>
  </w:num>
  <w:num w:numId="20">
    <w:abstractNumId w:val="12"/>
  </w:num>
  <w:num w:numId="21">
    <w:abstractNumId w:val="6"/>
  </w:num>
  <w:num w:numId="22">
    <w:abstractNumId w:val="7"/>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63"/>
    <w:rsid w:val="0000366A"/>
    <w:rsid w:val="00003FF8"/>
    <w:rsid w:val="00006D48"/>
    <w:rsid w:val="00020ED9"/>
    <w:rsid w:val="0004041E"/>
    <w:rsid w:val="00042BC7"/>
    <w:rsid w:val="00043D63"/>
    <w:rsid w:val="00044A07"/>
    <w:rsid w:val="000451A5"/>
    <w:rsid w:val="00057AE4"/>
    <w:rsid w:val="00064562"/>
    <w:rsid w:val="000652ED"/>
    <w:rsid w:val="00067031"/>
    <w:rsid w:val="00070178"/>
    <w:rsid w:val="000714EF"/>
    <w:rsid w:val="000810FE"/>
    <w:rsid w:val="00090047"/>
    <w:rsid w:val="0009727F"/>
    <w:rsid w:val="000A2527"/>
    <w:rsid w:val="000A5FE4"/>
    <w:rsid w:val="000B04DA"/>
    <w:rsid w:val="000C1DF4"/>
    <w:rsid w:val="000C1E3A"/>
    <w:rsid w:val="000C359C"/>
    <w:rsid w:val="000C63F1"/>
    <w:rsid w:val="000C6A5F"/>
    <w:rsid w:val="000D29E1"/>
    <w:rsid w:val="000D6B5F"/>
    <w:rsid w:val="000E08E4"/>
    <w:rsid w:val="000E154C"/>
    <w:rsid w:val="000E2601"/>
    <w:rsid w:val="000E362E"/>
    <w:rsid w:val="000E37AC"/>
    <w:rsid w:val="000E3C34"/>
    <w:rsid w:val="000F0FBA"/>
    <w:rsid w:val="000F2720"/>
    <w:rsid w:val="000F4B5B"/>
    <w:rsid w:val="000F5307"/>
    <w:rsid w:val="001014A0"/>
    <w:rsid w:val="00105CEF"/>
    <w:rsid w:val="00106B77"/>
    <w:rsid w:val="00111949"/>
    <w:rsid w:val="00125A38"/>
    <w:rsid w:val="0012611D"/>
    <w:rsid w:val="00127C72"/>
    <w:rsid w:val="00133B21"/>
    <w:rsid w:val="0013580F"/>
    <w:rsid w:val="00142043"/>
    <w:rsid w:val="00143785"/>
    <w:rsid w:val="001506E4"/>
    <w:rsid w:val="001607FB"/>
    <w:rsid w:val="0016101D"/>
    <w:rsid w:val="001620A4"/>
    <w:rsid w:val="0016465A"/>
    <w:rsid w:val="001676B6"/>
    <w:rsid w:val="00181475"/>
    <w:rsid w:val="001850B4"/>
    <w:rsid w:val="00190392"/>
    <w:rsid w:val="0019080C"/>
    <w:rsid w:val="00194A0D"/>
    <w:rsid w:val="001A398E"/>
    <w:rsid w:val="001A4525"/>
    <w:rsid w:val="001B2781"/>
    <w:rsid w:val="001B2A68"/>
    <w:rsid w:val="001C5F4E"/>
    <w:rsid w:val="001D6D36"/>
    <w:rsid w:val="001D7547"/>
    <w:rsid w:val="001D75B0"/>
    <w:rsid w:val="001E47B4"/>
    <w:rsid w:val="001E7995"/>
    <w:rsid w:val="001F20C3"/>
    <w:rsid w:val="001F3149"/>
    <w:rsid w:val="001F3169"/>
    <w:rsid w:val="00202975"/>
    <w:rsid w:val="00202E5C"/>
    <w:rsid w:val="00205DBE"/>
    <w:rsid w:val="00214011"/>
    <w:rsid w:val="00244EEE"/>
    <w:rsid w:val="002450DA"/>
    <w:rsid w:val="00252709"/>
    <w:rsid w:val="002533F0"/>
    <w:rsid w:val="0025534A"/>
    <w:rsid w:val="00274039"/>
    <w:rsid w:val="00274AEF"/>
    <w:rsid w:val="0028208F"/>
    <w:rsid w:val="00285319"/>
    <w:rsid w:val="00292AAB"/>
    <w:rsid w:val="00293753"/>
    <w:rsid w:val="002958C4"/>
    <w:rsid w:val="002A4276"/>
    <w:rsid w:val="002B03C2"/>
    <w:rsid w:val="002B5FAD"/>
    <w:rsid w:val="002B621B"/>
    <w:rsid w:val="002C4986"/>
    <w:rsid w:val="002C769D"/>
    <w:rsid w:val="002D4156"/>
    <w:rsid w:val="002D7B33"/>
    <w:rsid w:val="002E23E2"/>
    <w:rsid w:val="002E6E0C"/>
    <w:rsid w:val="002F0D40"/>
    <w:rsid w:val="002F0DF6"/>
    <w:rsid w:val="002F61D0"/>
    <w:rsid w:val="00315AB8"/>
    <w:rsid w:val="0032006D"/>
    <w:rsid w:val="003215C7"/>
    <w:rsid w:val="00330F14"/>
    <w:rsid w:val="00332317"/>
    <w:rsid w:val="0033684C"/>
    <w:rsid w:val="00340E0D"/>
    <w:rsid w:val="003412BC"/>
    <w:rsid w:val="00341A80"/>
    <w:rsid w:val="0034403B"/>
    <w:rsid w:val="00345AD1"/>
    <w:rsid w:val="00357D51"/>
    <w:rsid w:val="00371258"/>
    <w:rsid w:val="003749B1"/>
    <w:rsid w:val="00374EF9"/>
    <w:rsid w:val="003751AF"/>
    <w:rsid w:val="003820DB"/>
    <w:rsid w:val="0038439E"/>
    <w:rsid w:val="003861B5"/>
    <w:rsid w:val="003952ED"/>
    <w:rsid w:val="003B121D"/>
    <w:rsid w:val="003B1C62"/>
    <w:rsid w:val="003B2808"/>
    <w:rsid w:val="003B35B1"/>
    <w:rsid w:val="003B62FE"/>
    <w:rsid w:val="003C493F"/>
    <w:rsid w:val="003C6D5B"/>
    <w:rsid w:val="003D18E2"/>
    <w:rsid w:val="003D2933"/>
    <w:rsid w:val="003E0FDA"/>
    <w:rsid w:val="003E2FB5"/>
    <w:rsid w:val="00400743"/>
    <w:rsid w:val="0040294F"/>
    <w:rsid w:val="00403015"/>
    <w:rsid w:val="004033BF"/>
    <w:rsid w:val="004044C1"/>
    <w:rsid w:val="004046AC"/>
    <w:rsid w:val="0040543F"/>
    <w:rsid w:val="00405844"/>
    <w:rsid w:val="00410018"/>
    <w:rsid w:val="00411988"/>
    <w:rsid w:val="004171B5"/>
    <w:rsid w:val="00433812"/>
    <w:rsid w:val="00436CD6"/>
    <w:rsid w:val="00437BF2"/>
    <w:rsid w:val="00451633"/>
    <w:rsid w:val="00451CB0"/>
    <w:rsid w:val="0045285F"/>
    <w:rsid w:val="0045600E"/>
    <w:rsid w:val="00463F3A"/>
    <w:rsid w:val="004650C3"/>
    <w:rsid w:val="00467880"/>
    <w:rsid w:val="00467B47"/>
    <w:rsid w:val="00475F07"/>
    <w:rsid w:val="004947D1"/>
    <w:rsid w:val="00494BAC"/>
    <w:rsid w:val="00495DA8"/>
    <w:rsid w:val="00497F76"/>
    <w:rsid w:val="004A29A2"/>
    <w:rsid w:val="004B2104"/>
    <w:rsid w:val="004B22F3"/>
    <w:rsid w:val="004C0B58"/>
    <w:rsid w:val="004C33F0"/>
    <w:rsid w:val="004C6B22"/>
    <w:rsid w:val="004D111F"/>
    <w:rsid w:val="004E2431"/>
    <w:rsid w:val="004E3470"/>
    <w:rsid w:val="004E36F6"/>
    <w:rsid w:val="004E7102"/>
    <w:rsid w:val="004E7C5C"/>
    <w:rsid w:val="004F15FA"/>
    <w:rsid w:val="004F3284"/>
    <w:rsid w:val="004F4518"/>
    <w:rsid w:val="00501D43"/>
    <w:rsid w:val="00502485"/>
    <w:rsid w:val="00503E04"/>
    <w:rsid w:val="005103EE"/>
    <w:rsid w:val="005117BB"/>
    <w:rsid w:val="00512B40"/>
    <w:rsid w:val="00523F90"/>
    <w:rsid w:val="00524C21"/>
    <w:rsid w:val="00533528"/>
    <w:rsid w:val="0054474D"/>
    <w:rsid w:val="00546C2E"/>
    <w:rsid w:val="00551512"/>
    <w:rsid w:val="00587007"/>
    <w:rsid w:val="00587A9D"/>
    <w:rsid w:val="00591DB7"/>
    <w:rsid w:val="00592A13"/>
    <w:rsid w:val="00593E35"/>
    <w:rsid w:val="00596447"/>
    <w:rsid w:val="00596451"/>
    <w:rsid w:val="005B3334"/>
    <w:rsid w:val="005B3A17"/>
    <w:rsid w:val="005B513C"/>
    <w:rsid w:val="005C390A"/>
    <w:rsid w:val="005C6829"/>
    <w:rsid w:val="005D0903"/>
    <w:rsid w:val="005D107E"/>
    <w:rsid w:val="005E3ED5"/>
    <w:rsid w:val="00602CBE"/>
    <w:rsid w:val="0060649A"/>
    <w:rsid w:val="00607993"/>
    <w:rsid w:val="00612257"/>
    <w:rsid w:val="00616148"/>
    <w:rsid w:val="00624A88"/>
    <w:rsid w:val="0062705E"/>
    <w:rsid w:val="00631685"/>
    <w:rsid w:val="00635BD6"/>
    <w:rsid w:val="00637381"/>
    <w:rsid w:val="00637D93"/>
    <w:rsid w:val="006615E0"/>
    <w:rsid w:val="0066279B"/>
    <w:rsid w:val="00663F9B"/>
    <w:rsid w:val="00666A7E"/>
    <w:rsid w:val="00666FD1"/>
    <w:rsid w:val="006728DF"/>
    <w:rsid w:val="00681844"/>
    <w:rsid w:val="006824E7"/>
    <w:rsid w:val="006836FC"/>
    <w:rsid w:val="006878B3"/>
    <w:rsid w:val="00692C63"/>
    <w:rsid w:val="00693585"/>
    <w:rsid w:val="0069564F"/>
    <w:rsid w:val="006A3313"/>
    <w:rsid w:val="006A4099"/>
    <w:rsid w:val="006A412C"/>
    <w:rsid w:val="006A5EF4"/>
    <w:rsid w:val="006B4C9B"/>
    <w:rsid w:val="006B7D36"/>
    <w:rsid w:val="006C2BEE"/>
    <w:rsid w:val="006D080D"/>
    <w:rsid w:val="006E34AE"/>
    <w:rsid w:val="006E4D7E"/>
    <w:rsid w:val="006E7D24"/>
    <w:rsid w:val="007013DD"/>
    <w:rsid w:val="00717C75"/>
    <w:rsid w:val="007214E3"/>
    <w:rsid w:val="00736C10"/>
    <w:rsid w:val="00743B2F"/>
    <w:rsid w:val="00757220"/>
    <w:rsid w:val="00774166"/>
    <w:rsid w:val="00782BC5"/>
    <w:rsid w:val="00791818"/>
    <w:rsid w:val="007A2082"/>
    <w:rsid w:val="007A2D49"/>
    <w:rsid w:val="007A594D"/>
    <w:rsid w:val="007A6309"/>
    <w:rsid w:val="007A7B71"/>
    <w:rsid w:val="007B16EE"/>
    <w:rsid w:val="007D66FA"/>
    <w:rsid w:val="007E1B5B"/>
    <w:rsid w:val="007E3190"/>
    <w:rsid w:val="007E4C63"/>
    <w:rsid w:val="007E6493"/>
    <w:rsid w:val="008128D0"/>
    <w:rsid w:val="00813552"/>
    <w:rsid w:val="008205AC"/>
    <w:rsid w:val="008217E4"/>
    <w:rsid w:val="008221ED"/>
    <w:rsid w:val="00826049"/>
    <w:rsid w:val="008324C6"/>
    <w:rsid w:val="008340F6"/>
    <w:rsid w:val="00840399"/>
    <w:rsid w:val="00856E98"/>
    <w:rsid w:val="00860091"/>
    <w:rsid w:val="0086281F"/>
    <w:rsid w:val="00872779"/>
    <w:rsid w:val="008770CF"/>
    <w:rsid w:val="00877300"/>
    <w:rsid w:val="008850A2"/>
    <w:rsid w:val="0088737E"/>
    <w:rsid w:val="00891A87"/>
    <w:rsid w:val="00892902"/>
    <w:rsid w:val="008967E4"/>
    <w:rsid w:val="008979FD"/>
    <w:rsid w:val="008A6906"/>
    <w:rsid w:val="008B4B17"/>
    <w:rsid w:val="008B64FB"/>
    <w:rsid w:val="008B7934"/>
    <w:rsid w:val="008C494F"/>
    <w:rsid w:val="008C68B5"/>
    <w:rsid w:val="008D7319"/>
    <w:rsid w:val="008E46F0"/>
    <w:rsid w:val="008E5CCA"/>
    <w:rsid w:val="008F22E5"/>
    <w:rsid w:val="008F2CC1"/>
    <w:rsid w:val="008F5354"/>
    <w:rsid w:val="008F5E6D"/>
    <w:rsid w:val="008F7AFC"/>
    <w:rsid w:val="00911CB2"/>
    <w:rsid w:val="00911D94"/>
    <w:rsid w:val="0091246E"/>
    <w:rsid w:val="009137A7"/>
    <w:rsid w:val="00924E8B"/>
    <w:rsid w:val="00925B42"/>
    <w:rsid w:val="009344C6"/>
    <w:rsid w:val="0093542C"/>
    <w:rsid w:val="00936511"/>
    <w:rsid w:val="009401AC"/>
    <w:rsid w:val="009407C7"/>
    <w:rsid w:val="00960B57"/>
    <w:rsid w:val="009629F3"/>
    <w:rsid w:val="00972C87"/>
    <w:rsid w:val="00973C4D"/>
    <w:rsid w:val="009742D2"/>
    <w:rsid w:val="009943AB"/>
    <w:rsid w:val="009B0B6A"/>
    <w:rsid w:val="009C10C3"/>
    <w:rsid w:val="009C14E2"/>
    <w:rsid w:val="009D2725"/>
    <w:rsid w:val="009D7631"/>
    <w:rsid w:val="009E226F"/>
    <w:rsid w:val="009F0C25"/>
    <w:rsid w:val="00A05A24"/>
    <w:rsid w:val="00A07A1B"/>
    <w:rsid w:val="00A12742"/>
    <w:rsid w:val="00A15574"/>
    <w:rsid w:val="00A31EED"/>
    <w:rsid w:val="00A32E18"/>
    <w:rsid w:val="00A40015"/>
    <w:rsid w:val="00A46F23"/>
    <w:rsid w:val="00A50448"/>
    <w:rsid w:val="00A65341"/>
    <w:rsid w:val="00A7186B"/>
    <w:rsid w:val="00A71FA8"/>
    <w:rsid w:val="00A73C8E"/>
    <w:rsid w:val="00A82E86"/>
    <w:rsid w:val="00A9000B"/>
    <w:rsid w:val="00A946A9"/>
    <w:rsid w:val="00A95312"/>
    <w:rsid w:val="00AA0A3E"/>
    <w:rsid w:val="00AB091F"/>
    <w:rsid w:val="00AB098D"/>
    <w:rsid w:val="00AB27F9"/>
    <w:rsid w:val="00AC17ED"/>
    <w:rsid w:val="00AC229B"/>
    <w:rsid w:val="00AC7EC8"/>
    <w:rsid w:val="00AD0B0A"/>
    <w:rsid w:val="00AD3FD7"/>
    <w:rsid w:val="00AD5EBA"/>
    <w:rsid w:val="00AD5F7F"/>
    <w:rsid w:val="00AD7ACB"/>
    <w:rsid w:val="00AE0C8C"/>
    <w:rsid w:val="00AE6F3C"/>
    <w:rsid w:val="00AF0936"/>
    <w:rsid w:val="00B0049B"/>
    <w:rsid w:val="00B00BC8"/>
    <w:rsid w:val="00B0742B"/>
    <w:rsid w:val="00B11DDC"/>
    <w:rsid w:val="00B13C89"/>
    <w:rsid w:val="00B148E4"/>
    <w:rsid w:val="00B14AD9"/>
    <w:rsid w:val="00B206C4"/>
    <w:rsid w:val="00B26E4B"/>
    <w:rsid w:val="00B33C57"/>
    <w:rsid w:val="00B42289"/>
    <w:rsid w:val="00B6709E"/>
    <w:rsid w:val="00B67D04"/>
    <w:rsid w:val="00B842F5"/>
    <w:rsid w:val="00B8655E"/>
    <w:rsid w:val="00B87C8D"/>
    <w:rsid w:val="00B90991"/>
    <w:rsid w:val="00B92D97"/>
    <w:rsid w:val="00B9339B"/>
    <w:rsid w:val="00B94A6B"/>
    <w:rsid w:val="00B97961"/>
    <w:rsid w:val="00B97BA0"/>
    <w:rsid w:val="00BA12F9"/>
    <w:rsid w:val="00BA1ACC"/>
    <w:rsid w:val="00BA4FF9"/>
    <w:rsid w:val="00BA602C"/>
    <w:rsid w:val="00BB25C4"/>
    <w:rsid w:val="00BB26EF"/>
    <w:rsid w:val="00BB59AA"/>
    <w:rsid w:val="00BB6048"/>
    <w:rsid w:val="00BC0280"/>
    <w:rsid w:val="00BD0563"/>
    <w:rsid w:val="00BD79E5"/>
    <w:rsid w:val="00BE15EC"/>
    <w:rsid w:val="00BF0029"/>
    <w:rsid w:val="00C00C46"/>
    <w:rsid w:val="00C02BFF"/>
    <w:rsid w:val="00C11D0C"/>
    <w:rsid w:val="00C14135"/>
    <w:rsid w:val="00C22466"/>
    <w:rsid w:val="00C2298B"/>
    <w:rsid w:val="00C24A7A"/>
    <w:rsid w:val="00C36E87"/>
    <w:rsid w:val="00C423F4"/>
    <w:rsid w:val="00C46495"/>
    <w:rsid w:val="00C46A9A"/>
    <w:rsid w:val="00C51199"/>
    <w:rsid w:val="00C51F73"/>
    <w:rsid w:val="00C538CC"/>
    <w:rsid w:val="00C56962"/>
    <w:rsid w:val="00C60ABA"/>
    <w:rsid w:val="00C62ACD"/>
    <w:rsid w:val="00C6446B"/>
    <w:rsid w:val="00C72D97"/>
    <w:rsid w:val="00C73942"/>
    <w:rsid w:val="00C81AF7"/>
    <w:rsid w:val="00C85191"/>
    <w:rsid w:val="00C9231F"/>
    <w:rsid w:val="00CA1DFA"/>
    <w:rsid w:val="00CA396F"/>
    <w:rsid w:val="00CB69DC"/>
    <w:rsid w:val="00CC3FFC"/>
    <w:rsid w:val="00CC7FFE"/>
    <w:rsid w:val="00CD1415"/>
    <w:rsid w:val="00CD404B"/>
    <w:rsid w:val="00CD6F15"/>
    <w:rsid w:val="00CE1838"/>
    <w:rsid w:val="00CE3D01"/>
    <w:rsid w:val="00CE60A1"/>
    <w:rsid w:val="00CE63BE"/>
    <w:rsid w:val="00CF1056"/>
    <w:rsid w:val="00CF3B06"/>
    <w:rsid w:val="00D048A5"/>
    <w:rsid w:val="00D13A87"/>
    <w:rsid w:val="00D142BC"/>
    <w:rsid w:val="00D224A4"/>
    <w:rsid w:val="00D27F43"/>
    <w:rsid w:val="00D32399"/>
    <w:rsid w:val="00D3277B"/>
    <w:rsid w:val="00D363DC"/>
    <w:rsid w:val="00D6528F"/>
    <w:rsid w:val="00D714F1"/>
    <w:rsid w:val="00D7342F"/>
    <w:rsid w:val="00D7578E"/>
    <w:rsid w:val="00D8198B"/>
    <w:rsid w:val="00D964E9"/>
    <w:rsid w:val="00DA0189"/>
    <w:rsid w:val="00DA096D"/>
    <w:rsid w:val="00DA11B0"/>
    <w:rsid w:val="00DA57D3"/>
    <w:rsid w:val="00DA7E1A"/>
    <w:rsid w:val="00DB2A3D"/>
    <w:rsid w:val="00DB5915"/>
    <w:rsid w:val="00DC0961"/>
    <w:rsid w:val="00DC1F8D"/>
    <w:rsid w:val="00DC5A09"/>
    <w:rsid w:val="00DC6E83"/>
    <w:rsid w:val="00DC7AC2"/>
    <w:rsid w:val="00DE7C28"/>
    <w:rsid w:val="00DF0F0C"/>
    <w:rsid w:val="00DF4831"/>
    <w:rsid w:val="00DF6D17"/>
    <w:rsid w:val="00E10583"/>
    <w:rsid w:val="00E151A0"/>
    <w:rsid w:val="00E15930"/>
    <w:rsid w:val="00E22203"/>
    <w:rsid w:val="00E2399E"/>
    <w:rsid w:val="00E30050"/>
    <w:rsid w:val="00E32352"/>
    <w:rsid w:val="00E32697"/>
    <w:rsid w:val="00E402C2"/>
    <w:rsid w:val="00E403BA"/>
    <w:rsid w:val="00E460A0"/>
    <w:rsid w:val="00E46CCA"/>
    <w:rsid w:val="00E47350"/>
    <w:rsid w:val="00E601F8"/>
    <w:rsid w:val="00E64EE0"/>
    <w:rsid w:val="00E65E59"/>
    <w:rsid w:val="00E71869"/>
    <w:rsid w:val="00E73829"/>
    <w:rsid w:val="00E8678A"/>
    <w:rsid w:val="00E944DC"/>
    <w:rsid w:val="00E974A6"/>
    <w:rsid w:val="00EA5329"/>
    <w:rsid w:val="00EA6181"/>
    <w:rsid w:val="00EB1522"/>
    <w:rsid w:val="00EB2C3E"/>
    <w:rsid w:val="00EB579E"/>
    <w:rsid w:val="00EC55E6"/>
    <w:rsid w:val="00ED0D64"/>
    <w:rsid w:val="00ED1801"/>
    <w:rsid w:val="00ED26FF"/>
    <w:rsid w:val="00ED295F"/>
    <w:rsid w:val="00ED4AEB"/>
    <w:rsid w:val="00ED60EC"/>
    <w:rsid w:val="00EE2EF8"/>
    <w:rsid w:val="00EE3963"/>
    <w:rsid w:val="00EE3A19"/>
    <w:rsid w:val="00EE573C"/>
    <w:rsid w:val="00EF394B"/>
    <w:rsid w:val="00EF6A1D"/>
    <w:rsid w:val="00EF6D72"/>
    <w:rsid w:val="00EF72C9"/>
    <w:rsid w:val="00F105AC"/>
    <w:rsid w:val="00F119BB"/>
    <w:rsid w:val="00F166F1"/>
    <w:rsid w:val="00F16D7B"/>
    <w:rsid w:val="00F23488"/>
    <w:rsid w:val="00F2588C"/>
    <w:rsid w:val="00F26590"/>
    <w:rsid w:val="00F31E30"/>
    <w:rsid w:val="00F32CF2"/>
    <w:rsid w:val="00F51A80"/>
    <w:rsid w:val="00F55653"/>
    <w:rsid w:val="00F557CB"/>
    <w:rsid w:val="00F573B5"/>
    <w:rsid w:val="00F66106"/>
    <w:rsid w:val="00F6751B"/>
    <w:rsid w:val="00F77208"/>
    <w:rsid w:val="00F77D9C"/>
    <w:rsid w:val="00F8218D"/>
    <w:rsid w:val="00F94F7D"/>
    <w:rsid w:val="00FA1039"/>
    <w:rsid w:val="00FA137B"/>
    <w:rsid w:val="00FA37A8"/>
    <w:rsid w:val="00FA64BA"/>
    <w:rsid w:val="00FB1516"/>
    <w:rsid w:val="00FB48B9"/>
    <w:rsid w:val="00FC11E0"/>
    <w:rsid w:val="00FD21CA"/>
    <w:rsid w:val="00FD4CCF"/>
    <w:rsid w:val="00FD77B8"/>
    <w:rsid w:val="00FE2A0E"/>
    <w:rsid w:val="00FE638A"/>
    <w:rsid w:val="00FF55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1875C0E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3C493F"/>
    <w:pPr>
      <w:spacing w:before="120" w:line="360" w:lineRule="auto"/>
    </w:pPr>
    <w:rPr>
      <w:rFonts w:ascii="Arial" w:hAnsi="Arial" w:cs="Arial"/>
      <w:sz w:val="22"/>
      <w:szCs w:val="24"/>
      <w:lang w:eastAsia="en-US"/>
    </w:rPr>
  </w:style>
  <w:style w:type="paragraph" w:styleId="Heading1">
    <w:name w:val="heading 1"/>
    <w:next w:val="Normal"/>
    <w:link w:val="Heading1Char"/>
    <w:autoRedefine/>
    <w:uiPriority w:val="9"/>
    <w:qFormat/>
    <w:rsid w:val="00B97BA0"/>
    <w:pPr>
      <w:keepNext/>
      <w:keepLines/>
      <w:spacing w:before="240" w:after="60"/>
      <w:outlineLvl w:val="0"/>
    </w:pPr>
    <w:rPr>
      <w:rFonts w:ascii="Arial" w:hAnsi="Arial" w:cs="Arial"/>
      <w:color w:val="41273B"/>
      <w:sz w:val="44"/>
      <w:szCs w:val="26"/>
      <w:lang w:eastAsia="en-US"/>
    </w:rPr>
  </w:style>
  <w:style w:type="paragraph" w:styleId="Heading2">
    <w:name w:val="heading 2"/>
    <w:basedOn w:val="Heading1"/>
    <w:next w:val="Normal"/>
    <w:link w:val="Heading2Char"/>
    <w:autoRedefine/>
    <w:uiPriority w:val="9"/>
    <w:qFormat/>
    <w:rsid w:val="000810FE"/>
    <w:pPr>
      <w:numPr>
        <w:ilvl w:val="1"/>
      </w:numPr>
      <w:spacing w:before="180" w:line="360" w:lineRule="auto"/>
      <w:outlineLvl w:val="1"/>
    </w:pPr>
    <w:rPr>
      <w:rFonts w:ascii="Helvetica" w:hAnsi="Helvetica"/>
      <w:sz w:val="40"/>
      <w:szCs w:val="24"/>
    </w:rPr>
  </w:style>
  <w:style w:type="paragraph" w:styleId="Heading3">
    <w:name w:val="heading 3"/>
    <w:basedOn w:val="Heading2"/>
    <w:next w:val="Normal"/>
    <w:link w:val="Heading3Char"/>
    <w:autoRedefine/>
    <w:uiPriority w:val="9"/>
    <w:qFormat/>
    <w:rsid w:val="005117BB"/>
    <w:pPr>
      <w:numPr>
        <w:ilvl w:val="2"/>
      </w:numPr>
      <w:spacing w:before="120" w:after="0"/>
      <w:outlineLvl w:val="2"/>
    </w:pPr>
    <w:rPr>
      <w:sz w:val="28"/>
      <w:szCs w:val="20"/>
    </w:rPr>
  </w:style>
  <w:style w:type="paragraph" w:styleId="Heading4">
    <w:name w:val="heading 4"/>
    <w:basedOn w:val="Heading3"/>
    <w:next w:val="Normal"/>
    <w:link w:val="Heading4Char"/>
    <w:uiPriority w:val="9"/>
    <w:qFormat/>
    <w:rsid w:val="005117BB"/>
    <w:pPr>
      <w:numPr>
        <w:ilvl w:val="0"/>
      </w:numPr>
      <w:outlineLvl w:val="3"/>
    </w:pPr>
    <w:rPr>
      <w:sz w:val="24"/>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97BA0"/>
    <w:rPr>
      <w:rFonts w:ascii="Arial" w:hAnsi="Arial" w:cs="Arial"/>
      <w:color w:val="41273B"/>
      <w:sz w:val="44"/>
      <w:szCs w:val="26"/>
      <w:lang w:eastAsia="en-US"/>
    </w:rPr>
  </w:style>
  <w:style w:type="character" w:customStyle="1" w:styleId="Heading2Char">
    <w:name w:val="Heading 2 Char"/>
    <w:basedOn w:val="DefaultParagraphFont"/>
    <w:link w:val="Heading2"/>
    <w:uiPriority w:val="9"/>
    <w:locked/>
    <w:rsid w:val="000810FE"/>
    <w:rPr>
      <w:rFonts w:ascii="Helvetica" w:hAnsi="Helvetica" w:cs="Arial"/>
      <w:color w:val="41273B"/>
      <w:sz w:val="40"/>
      <w:szCs w:val="24"/>
      <w:lang w:eastAsia="en-US"/>
    </w:rPr>
  </w:style>
  <w:style w:type="character" w:customStyle="1" w:styleId="Heading3Char">
    <w:name w:val="Heading 3 Char"/>
    <w:basedOn w:val="DefaultParagraphFont"/>
    <w:link w:val="Heading3"/>
    <w:uiPriority w:val="9"/>
    <w:locked/>
    <w:rsid w:val="005117BB"/>
    <w:rPr>
      <w:rFonts w:ascii="Helvetica" w:hAnsi="Helvetica" w:cs="Arial"/>
      <w:color w:val="0194A6"/>
      <w:sz w:val="28"/>
      <w:lang w:eastAsia="en-US"/>
    </w:rPr>
  </w:style>
  <w:style w:type="character" w:customStyle="1" w:styleId="Heading4Char">
    <w:name w:val="Heading 4 Char"/>
    <w:basedOn w:val="DefaultParagraphFont"/>
    <w:link w:val="Heading4"/>
    <w:uiPriority w:val="9"/>
    <w:locked/>
    <w:rsid w:val="005117BB"/>
    <w:rPr>
      <w:rFonts w:ascii="Helvetica" w:hAnsi="Helvetica" w:cs="Arial"/>
      <w:color w:val="0194A6"/>
      <w:sz w:val="24"/>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5117BB"/>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5117BB"/>
    <w:pPr>
      <w:tabs>
        <w:tab w:val="left" w:pos="1560"/>
        <w:tab w:val="right" w:leader="dot" w:pos="8789"/>
      </w:tabs>
      <w:ind w:left="851" w:right="814"/>
    </w:pPr>
    <w:rPr>
      <w:spacing w:val="-4"/>
    </w:rPr>
  </w:style>
  <w:style w:type="paragraph" w:styleId="TOC2">
    <w:name w:val="toc 2"/>
    <w:basedOn w:val="Normal"/>
    <w:autoRedefine/>
    <w:uiPriority w:val="39"/>
    <w:rsid w:val="005117BB"/>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5117BB"/>
    <w:pPr>
      <w:tabs>
        <w:tab w:val="center" w:pos="4153"/>
        <w:tab w:val="right" w:pos="8306"/>
      </w:tabs>
    </w:pPr>
    <w:rPr>
      <w:sz w:val="18"/>
    </w:rPr>
  </w:style>
  <w:style w:type="character" w:customStyle="1" w:styleId="FooterChar">
    <w:name w:val="Footer Char"/>
    <w:basedOn w:val="DefaultParagraphFont"/>
    <w:link w:val="Footer"/>
    <w:uiPriority w:val="99"/>
    <w:locked/>
    <w:rsid w:val="005117BB"/>
    <w:rPr>
      <w:rFonts w:ascii="Arial" w:hAnsi="Arial" w:cs="Arial"/>
      <w:sz w:val="18"/>
      <w:szCs w:val="24"/>
      <w:lang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01D2C"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aliases w:val="List Paragraph1,List Paragraph11,Recommendation,Brief List Paragraph 1,DDM Gen Text"/>
    <w:basedOn w:val="Normal"/>
    <w:link w:val="ListParagraphChar"/>
    <w:uiPriority w:val="34"/>
    <w:qFormat/>
    <w:rsid w:val="005117BB"/>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A36695"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A36695" w:themeColor="text2" w:themeTint="99"/>
      <w:sz w:val="56"/>
      <w:szCs w:val="26"/>
      <w:lang w:eastAsia="en-US"/>
    </w:rPr>
  </w:style>
  <w:style w:type="paragraph" w:customStyle="1" w:styleId="Casestudytext">
    <w:name w:val="Case study text"/>
    <w:basedOn w:val="Normal"/>
    <w:link w:val="CasestudytextChar"/>
    <w:qFormat/>
    <w:rsid w:val="005117BB"/>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5117BB"/>
    <w:rPr>
      <w:rFonts w:ascii="Arial" w:hAnsi="Arial" w:cs="Arial"/>
      <w:sz w:val="22"/>
      <w:szCs w:val="24"/>
      <w:lang w:eastAsia="en-US"/>
    </w:rPr>
  </w:style>
  <w:style w:type="paragraph" w:customStyle="1" w:styleId="CoverReportTitle">
    <w:name w:val="Cover Report Title"/>
    <w:autoRedefine/>
    <w:qFormat/>
    <w:rsid w:val="00411988"/>
    <w:pPr>
      <w:spacing w:before="4440" w:after="2400" w:line="480" w:lineRule="auto"/>
    </w:pPr>
    <w:rPr>
      <w:rFonts w:ascii="Helvetica" w:eastAsiaTheme="minorHAnsi" w:hAnsi="Helvetica"/>
      <w:color w:val="41273B"/>
      <w:sz w:val="60"/>
      <w:szCs w:val="22"/>
      <w:lang w:eastAsia="en-US"/>
    </w:rPr>
  </w:style>
  <w:style w:type="paragraph" w:customStyle="1" w:styleId="CoverReportSubTitle">
    <w:name w:val="Cover Report Sub Title"/>
    <w:basedOn w:val="CoverReportTitle"/>
    <w:next w:val="Normal"/>
    <w:autoRedefine/>
    <w:qFormat/>
    <w:rsid w:val="005117BB"/>
    <w:pPr>
      <w:spacing w:before="113" w:after="57" w:line="400" w:lineRule="exact"/>
    </w:pPr>
    <w:rPr>
      <w:color w:val="auto"/>
      <w:sz w:val="36"/>
    </w:rPr>
  </w:style>
  <w:style w:type="paragraph" w:customStyle="1" w:styleId="Bullet">
    <w:name w:val="Bullet"/>
    <w:basedOn w:val="Normal"/>
    <w:autoRedefine/>
    <w:qFormat/>
    <w:rsid w:val="0086281F"/>
    <w:pPr>
      <w:spacing w:before="0" w:after="28"/>
    </w:pPr>
    <w:rPr>
      <w:rFonts w:eastAsiaTheme="minorHAnsi" w:cs="Times New Roman"/>
      <w:szCs w:val="22"/>
    </w:rPr>
  </w:style>
  <w:style w:type="paragraph" w:customStyle="1" w:styleId="Calloutbox">
    <w:name w:val="Callout box"/>
    <w:basedOn w:val="Normal"/>
    <w:next w:val="Normal"/>
    <w:link w:val="CalloutboxChar"/>
    <w:autoRedefine/>
    <w:qFormat/>
    <w:rsid w:val="00FF55AE"/>
    <w:pPr>
      <w:pBdr>
        <w:top w:val="single" w:sz="48" w:space="3" w:color="41273B"/>
        <w:left w:val="single" w:sz="48" w:space="8" w:color="41273B"/>
        <w:bottom w:val="single" w:sz="48" w:space="6" w:color="41273B"/>
        <w:right w:val="single" w:sz="48" w:space="8" w:color="41273B"/>
      </w:pBdr>
      <w:spacing w:before="240" w:after="113" w:line="320" w:lineRule="exact"/>
      <w:ind w:left="284" w:right="284"/>
      <w:contextualSpacing/>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rsid w:val="00A46F23"/>
    <w:pPr>
      <w:pBdr>
        <w:top w:val="single" w:sz="48" w:space="1" w:color="BFBFBF" w:themeColor="background1" w:themeShade="BF"/>
      </w:pBdr>
      <w:shd w:val="clear" w:color="auto" w:fill="FFFFFF" w:themeFill="background1"/>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rsid w:val="00CF3B06"/>
    <w:pPr>
      <w:keepNext/>
      <w:keepLines/>
      <w:widowControl w:val="0"/>
      <w:spacing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1273B"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1273B"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FF55AE"/>
    <w:rPr>
      <w:rFonts w:ascii="Arial" w:eastAsiaTheme="minorHAnsi" w:hAnsi="Arial"/>
      <w:sz w:val="22"/>
      <w:szCs w:val="22"/>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rsid w:val="005117BB"/>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contextualSpacing/>
      <w:jc w:val="center"/>
      <w:textboxTightWrap w:val="allLines"/>
    </w:pPr>
    <w:rPr>
      <w:rFonts w:eastAsiaTheme="minorHAnsi" w:cs="Times New Roman"/>
      <w:color w:val="10C9DE"/>
      <w:spacing w:val="-10"/>
      <w:sz w:val="56"/>
      <w:szCs w:val="22"/>
    </w:rPr>
  </w:style>
  <w:style w:type="paragraph" w:customStyle="1" w:styleId="StyleCentered">
    <w:name w:val="Style Centered"/>
    <w:basedOn w:val="Normal"/>
    <w:rsid w:val="005117BB"/>
    <w:pPr>
      <w:jc w:val="center"/>
    </w:pPr>
    <w:rPr>
      <w:rFonts w:cs="Times New Roman"/>
      <w:szCs w:val="20"/>
    </w:rPr>
  </w:style>
  <w:style w:type="paragraph" w:customStyle="1" w:styleId="CalloutItalic">
    <w:name w:val="Callout Italic"/>
    <w:basedOn w:val="CalloutBoxHeading"/>
    <w:link w:val="CalloutItalicChar"/>
    <w:qFormat/>
    <w:rsid w:val="000A2527"/>
    <w:rPr>
      <w:b w:val="0"/>
      <w:i/>
      <w:color w:val="000000" w:themeColor="text1"/>
    </w:rPr>
  </w:style>
  <w:style w:type="paragraph" w:customStyle="1" w:styleId="CalloutBullet">
    <w:name w:val="Callout Bullet"/>
    <w:basedOn w:val="Calloutbox"/>
    <w:link w:val="CalloutBulletChar"/>
    <w:qFormat/>
    <w:rsid w:val="00B6709E"/>
    <w:pPr>
      <w:numPr>
        <w:numId w:val="6"/>
      </w:numPr>
    </w:pPr>
  </w:style>
  <w:style w:type="character" w:customStyle="1" w:styleId="CalloutItalicChar">
    <w:name w:val="Callout Italic Char"/>
    <w:basedOn w:val="CalloutBoxHeadingChar"/>
    <w:link w:val="CalloutItalic"/>
    <w:rsid w:val="000A2527"/>
    <w:rPr>
      <w:rFonts w:ascii="Arial" w:eastAsiaTheme="minorHAnsi" w:hAnsi="Arial"/>
      <w:b w:val="0"/>
      <w:i/>
      <w:color w:val="000000" w:themeColor="text1"/>
      <w:sz w:val="24"/>
      <w:szCs w:val="22"/>
      <w:shd w:val="clear" w:color="auto" w:fill="DDDDDD"/>
      <w:lang w:eastAsia="en-US"/>
    </w:rPr>
  </w:style>
  <w:style w:type="character" w:customStyle="1" w:styleId="CalloutBulletChar">
    <w:name w:val="Callout Bullet Char"/>
    <w:basedOn w:val="DefaultParagraphFont"/>
    <w:link w:val="CalloutBullet"/>
    <w:rsid w:val="00FF55AE"/>
    <w:rPr>
      <w:rFonts w:ascii="Arial" w:eastAsiaTheme="minorHAnsi" w:hAnsi="Arial"/>
      <w:sz w:val="22"/>
      <w:szCs w:val="22"/>
      <w:lang w:eastAsia="en-US"/>
    </w:rPr>
  </w:style>
  <w:style w:type="paragraph" w:customStyle="1" w:styleId="Footnotes">
    <w:name w:val="Footnotes"/>
    <w:basedOn w:val="Normal"/>
    <w:qFormat/>
    <w:rsid w:val="009407C7"/>
    <w:pPr>
      <w:spacing w:before="0" w:line="240" w:lineRule="auto"/>
    </w:pPr>
    <w:rPr>
      <w:sz w:val="16"/>
    </w:rPr>
  </w:style>
  <w:style w:type="character" w:customStyle="1" w:styleId="ListParagraphChar">
    <w:name w:val="List Paragraph Char"/>
    <w:aliases w:val="List Paragraph1 Char,List Paragraph11 Char,Recommendation Char,Brief List Paragraph 1 Char,DDM Gen Text Char"/>
    <w:basedOn w:val="DefaultParagraphFont"/>
    <w:link w:val="ListParagraph"/>
    <w:uiPriority w:val="34"/>
    <w:locked/>
    <w:rsid w:val="000810FE"/>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36535">
      <w:bodyDiv w:val="1"/>
      <w:marLeft w:val="0"/>
      <w:marRight w:val="0"/>
      <w:marTop w:val="0"/>
      <w:marBottom w:val="0"/>
      <w:divBdr>
        <w:top w:val="none" w:sz="0" w:space="0" w:color="auto"/>
        <w:left w:val="none" w:sz="0" w:space="0" w:color="auto"/>
        <w:bottom w:val="none" w:sz="0" w:space="0" w:color="auto"/>
        <w:right w:val="none" w:sz="0" w:space="0" w:color="auto"/>
      </w:divBdr>
    </w:div>
    <w:div w:id="1357461915">
      <w:bodyDiv w:val="1"/>
      <w:marLeft w:val="0"/>
      <w:marRight w:val="0"/>
      <w:marTop w:val="0"/>
      <w:marBottom w:val="0"/>
      <w:divBdr>
        <w:top w:val="none" w:sz="0" w:space="0" w:color="auto"/>
        <w:left w:val="none" w:sz="0" w:space="0" w:color="auto"/>
        <w:bottom w:val="none" w:sz="0" w:space="0" w:color="auto"/>
        <w:right w:val="none" w:sz="0" w:space="0" w:color="auto"/>
      </w:divBdr>
    </w:div>
    <w:div w:id="14919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W0748/AppData/Local/Microsoft/Windows/Temporary%20Internet%20Files/Content.Outlook/RSB4E09Q/media@fwo.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ven.ronson@fwo.gov.a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fairwork.gov.au/employee-entitlements/national-employment-standards" TargetMode="External"/><Relationship Id="rId2" Type="http://schemas.openxmlformats.org/officeDocument/2006/relationships/hyperlink" Target="https://www.bloomberg.com/research/stocks/private/board.asp?privcapId=264119707" TargetMode="External"/><Relationship Id="rId1" Type="http://schemas.openxmlformats.org/officeDocument/2006/relationships/hyperlink" Target="https://www.fairwork.gov.au/ArticleDocuments/762/retail-zoo-pcd.pdf.aspx" TargetMode="External"/><Relationship Id="rId5" Type="http://schemas.openxmlformats.org/officeDocument/2006/relationships/hyperlink" Target="http://www.fairwork.gov.au/about-us/news-and-media-releases/2014-media-releases/september-2014/retail-zoo-presser" TargetMode="External"/><Relationship Id="rId4" Type="http://schemas.openxmlformats.org/officeDocument/2006/relationships/hyperlink" Target="https://www.fairwork.gov.au/pay/penalty-rates-and-allowances/penalty-rates-changes-201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CD_EU report theme">
      <a:dk1>
        <a:sysClr val="windowText" lastClr="000000"/>
      </a:dk1>
      <a:lt1>
        <a:sysClr val="window" lastClr="FFFFFF"/>
      </a:lt1>
      <a:dk2>
        <a:srgbClr val="41273B"/>
      </a:dk2>
      <a:lt2>
        <a:srgbClr val="EEECE1"/>
      </a:lt2>
      <a:accent1>
        <a:srgbClr val="41273B"/>
      </a:accent1>
      <a:accent2>
        <a:srgbClr val="F1B434"/>
      </a:accent2>
      <a:accent3>
        <a:srgbClr val="CD5443"/>
      </a:accent3>
      <a:accent4>
        <a:srgbClr val="263746"/>
      </a:accent4>
      <a:accent5>
        <a:srgbClr val="0094A6"/>
      </a:accent5>
      <a:accent6>
        <a:srgbClr val="654D5E"/>
      </a:accent6>
      <a:hlink>
        <a:srgbClr val="848A89"/>
      </a:hlink>
      <a:folHlink>
        <a:srgbClr val="FAC2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8AC8D-770F-4B25-A5DC-8A35DE46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1D41815A.dotm</Template>
  <TotalTime>0</TotalTime>
  <Pages>13</Pages>
  <Words>2584</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2018-11-07T22:53:00Z</dcterms:created>
  <dcterms:modified xsi:type="dcterms:W3CDTF">2018-11-07T23:08:00Z</dcterms:modified>
</cp:coreProperties>
</file>