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29" w:rsidRDefault="006619BE" w:rsidP="002A65CC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7D39BA1" wp14:editId="10F7FCE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6733" cy="10730354"/>
            <wp:effectExtent l="0" t="0" r="0" b="0"/>
            <wp:wrapTight wrapText="bothSides">
              <wp:wrapPolygon edited="0">
                <wp:start x="0" y="0"/>
                <wp:lineTo x="0" y="21551"/>
                <wp:lineTo x="21533" y="21551"/>
                <wp:lineTo x="215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place basics infograph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733" cy="1073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050" w:rsidRPr="009C4EEF" w:rsidRDefault="007E4050" w:rsidP="007E4050">
      <w:pPr>
        <w:pStyle w:val="Heading1"/>
      </w:pPr>
      <w:r>
        <w:lastRenderedPageBreak/>
        <w:t xml:space="preserve">Workplace Basics </w:t>
      </w:r>
      <w:r w:rsidR="00531B75">
        <w:t>C</w:t>
      </w:r>
      <w:r>
        <w:t xml:space="preserve">ampaign </w:t>
      </w:r>
      <w:r w:rsidR="00531B75">
        <w:t>R</w:t>
      </w:r>
      <w:r>
        <w:t>eport</w:t>
      </w:r>
      <w:r w:rsidRPr="009C4EEF">
        <w:tab/>
      </w:r>
    </w:p>
    <w:p w:rsidR="007E4050" w:rsidRDefault="007E4050" w:rsidP="007E4050">
      <w:pPr>
        <w:pStyle w:val="Heading2"/>
      </w:pPr>
      <w:r>
        <w:t>What we did and why</w:t>
      </w:r>
    </w:p>
    <w:p w:rsidR="0085757C" w:rsidRDefault="007E4050" w:rsidP="007E4050">
      <w:r w:rsidRPr="009F40FD">
        <w:t xml:space="preserve">The Fair Work Ombudsman (FWO) audited over 1200 businesses </w:t>
      </w:r>
      <w:r>
        <w:t>across Australia as part of the Workplace Basics c</w:t>
      </w:r>
      <w:r w:rsidRPr="009F40FD">
        <w:t>ampaign</w:t>
      </w:r>
      <w:r w:rsidR="00875E77">
        <w:t>,</w:t>
      </w:r>
      <w:r w:rsidR="0085757C">
        <w:t xml:space="preserve"> which is a rolling campaign that tests compliance with the ‘basics’, such as pay, record-keeping and pay slips.</w:t>
      </w:r>
      <w:r w:rsidR="0085757C">
        <w:rPr>
          <w:rStyle w:val="FootnoteReference"/>
        </w:rPr>
        <w:footnoteReference w:id="2"/>
      </w:r>
    </w:p>
    <w:p w:rsidR="007E4050" w:rsidRPr="009F40FD" w:rsidRDefault="00044B7D" w:rsidP="007E4050">
      <w:r>
        <w:t>The campaign commenced in April 2018.</w:t>
      </w:r>
      <w:r>
        <w:rPr>
          <w:rStyle w:val="FootnoteReference"/>
        </w:rPr>
        <w:footnoteReference w:id="3"/>
      </w:r>
      <w:r>
        <w:t xml:space="preserve"> </w:t>
      </w:r>
      <w:r w:rsidR="00EC4120">
        <w:t xml:space="preserve">We </w:t>
      </w:r>
      <w:r w:rsidR="00DB4FE3">
        <w:t>targeted common breaches of ‘basic</w:t>
      </w:r>
      <w:r w:rsidR="007E4050" w:rsidRPr="009F40FD">
        <w:t xml:space="preserve">’ </w:t>
      </w:r>
      <w:r w:rsidR="00DB4FE3">
        <w:t>workplace relations obligations</w:t>
      </w:r>
      <w:r w:rsidR="007E4050">
        <w:t xml:space="preserve">: </w:t>
      </w:r>
    </w:p>
    <w:p w:rsidR="007E4050" w:rsidRPr="009F40FD" w:rsidRDefault="007E4050" w:rsidP="00A8501C">
      <w:pPr>
        <w:pStyle w:val="Bullet"/>
      </w:pPr>
      <w:r>
        <w:t>b</w:t>
      </w:r>
      <w:r w:rsidRPr="009F40FD">
        <w:t>ase hourly rates</w:t>
      </w:r>
    </w:p>
    <w:p w:rsidR="007E4050" w:rsidRPr="009F40FD" w:rsidRDefault="007E4050" w:rsidP="00A8501C">
      <w:pPr>
        <w:pStyle w:val="Bullet"/>
      </w:pPr>
      <w:r>
        <w:t>p</w:t>
      </w:r>
      <w:r w:rsidRPr="009F40FD">
        <w:t>enalty rates</w:t>
      </w:r>
    </w:p>
    <w:p w:rsidR="007E4050" w:rsidRPr="009F40FD" w:rsidRDefault="007E4050" w:rsidP="00A8501C">
      <w:pPr>
        <w:pStyle w:val="Bullet"/>
      </w:pPr>
      <w:r>
        <w:t>o</w:t>
      </w:r>
      <w:r w:rsidRPr="009F40FD">
        <w:t>vertime</w:t>
      </w:r>
    </w:p>
    <w:p w:rsidR="00A8501C" w:rsidRDefault="007E4050" w:rsidP="00A8501C">
      <w:pPr>
        <w:pStyle w:val="Bullet"/>
      </w:pPr>
      <w:r>
        <w:t>r</w:t>
      </w:r>
      <w:r w:rsidR="00EC4120">
        <w:t>ecord-</w:t>
      </w:r>
      <w:r w:rsidRPr="009F40FD">
        <w:t xml:space="preserve">keeping requirements </w:t>
      </w:r>
    </w:p>
    <w:p w:rsidR="00A8501C" w:rsidRDefault="00EC4120" w:rsidP="00A8501C">
      <w:pPr>
        <w:pStyle w:val="Bullet"/>
      </w:pPr>
      <w:proofErr w:type="gramStart"/>
      <w:r>
        <w:t>p</w:t>
      </w:r>
      <w:r w:rsidR="007E4050" w:rsidRPr="009F40FD">
        <w:t>ay</w:t>
      </w:r>
      <w:proofErr w:type="gramEnd"/>
      <w:r>
        <w:t xml:space="preserve"> </w:t>
      </w:r>
      <w:r w:rsidR="007E4050" w:rsidRPr="009F40FD">
        <w:t>slip requirements</w:t>
      </w:r>
      <w:r w:rsidR="00A8501C">
        <w:t>.</w:t>
      </w:r>
    </w:p>
    <w:p w:rsidR="007E4050" w:rsidRDefault="00EC4120" w:rsidP="00A8501C">
      <w:r>
        <w:t>B</w:t>
      </w:r>
      <w:r w:rsidR="007E4050" w:rsidRPr="009F40FD">
        <w:t xml:space="preserve">usinesses in key industries </w:t>
      </w:r>
      <w:r>
        <w:t xml:space="preserve">and </w:t>
      </w:r>
      <w:r w:rsidR="007E4050" w:rsidRPr="009F40FD">
        <w:t xml:space="preserve">locations </w:t>
      </w:r>
      <w:r>
        <w:t xml:space="preserve">that </w:t>
      </w:r>
      <w:r w:rsidR="007E4050" w:rsidRPr="009F40FD">
        <w:t>engage casual, student and/or migrant workers</w:t>
      </w:r>
      <w:r>
        <w:t xml:space="preserve"> </w:t>
      </w:r>
      <w:proofErr w:type="gramStart"/>
      <w:r>
        <w:t>were targeted</w:t>
      </w:r>
      <w:proofErr w:type="gramEnd"/>
      <w:r w:rsidR="00563CB9">
        <w:t>.</w:t>
      </w:r>
    </w:p>
    <w:p w:rsidR="007D35B5" w:rsidRPr="00C31C02" w:rsidRDefault="001E09AD" w:rsidP="00C31C02">
      <w:r w:rsidRPr="006813BF">
        <w:t xml:space="preserve">Fair Work Inspectors assessed records against the </w:t>
      </w:r>
      <w:r w:rsidRPr="006813BF">
        <w:rPr>
          <w:i/>
        </w:rPr>
        <w:t>Fair Work Act 2009</w:t>
      </w:r>
      <w:r w:rsidRPr="006813BF">
        <w:t xml:space="preserve"> (the Act), the </w:t>
      </w:r>
      <w:r w:rsidRPr="006813BF">
        <w:rPr>
          <w:i/>
        </w:rPr>
        <w:t>Fair Work Regulations 2009</w:t>
      </w:r>
      <w:r w:rsidRPr="006813BF">
        <w:t xml:space="preserve"> (the Regulations) and applicable modern awards and enterprise agreements. </w:t>
      </w:r>
      <w:r w:rsidR="006813BF" w:rsidRPr="006813BF">
        <w:t xml:space="preserve">Employers </w:t>
      </w:r>
      <w:proofErr w:type="gramStart"/>
      <w:r w:rsidR="006813BF" w:rsidRPr="006813BF">
        <w:t>were made</w:t>
      </w:r>
      <w:proofErr w:type="gramEnd"/>
      <w:r w:rsidR="006813BF" w:rsidRPr="006813BF">
        <w:t xml:space="preserve"> aware of their obligations and the consequences of non-compliance, including increased penalties </w:t>
      </w:r>
      <w:r w:rsidR="006813BF">
        <w:t xml:space="preserve">under </w:t>
      </w:r>
      <w:r w:rsidR="006813BF" w:rsidRPr="006813BF">
        <w:t xml:space="preserve">the </w:t>
      </w:r>
      <w:r w:rsidR="006813BF" w:rsidRPr="006813BF">
        <w:rPr>
          <w:i/>
        </w:rPr>
        <w:t>Protecting Vulnerable Workers Act 2017</w:t>
      </w:r>
      <w:r w:rsidR="006813BF" w:rsidRPr="006813BF">
        <w:t>.</w:t>
      </w:r>
      <w:r w:rsidR="006813BF" w:rsidRPr="006813BF">
        <w:rPr>
          <w:rFonts w:cs="Times New Roman"/>
          <w:vertAlign w:val="superscript"/>
        </w:rPr>
        <w:footnoteReference w:id="4"/>
      </w:r>
      <w:r w:rsidR="00C31C02">
        <w:t xml:space="preserve"> </w:t>
      </w:r>
    </w:p>
    <w:p w:rsidR="007E4050" w:rsidRDefault="007E4050" w:rsidP="007E4050">
      <w:pPr>
        <w:pStyle w:val="Heading2"/>
      </w:pPr>
      <w:r>
        <w:t>Our findings</w:t>
      </w:r>
    </w:p>
    <w:p w:rsidR="001E09AD" w:rsidRDefault="007E4050" w:rsidP="001E09AD">
      <w:r w:rsidRPr="009F40FD">
        <w:t>Fair Work Inspectors audited 1217 businesses and found 583 (48%) were in breach of workplace laws</w:t>
      </w:r>
      <w:r w:rsidR="00F3451A">
        <w:t>:</w:t>
      </w:r>
    </w:p>
    <w:p w:rsidR="007E4050" w:rsidRPr="009F40FD" w:rsidRDefault="006E4F11" w:rsidP="00A8501C">
      <w:pPr>
        <w:pStyle w:val="Bullet"/>
      </w:pPr>
      <w:r>
        <w:t xml:space="preserve">284 (23%) </w:t>
      </w:r>
      <w:proofErr w:type="gramStart"/>
      <w:r>
        <w:t>weren’</w:t>
      </w:r>
      <w:r w:rsidR="001E09AD">
        <w:t>t</w:t>
      </w:r>
      <w:proofErr w:type="gramEnd"/>
      <w:r w:rsidR="001E09AD">
        <w:t xml:space="preserve"> paying employees correctly</w:t>
      </w:r>
      <w:r w:rsidR="00F3451A">
        <w:t>.</w:t>
      </w:r>
    </w:p>
    <w:p w:rsidR="007E4050" w:rsidRPr="009F40FD" w:rsidRDefault="007E4050" w:rsidP="00A8501C">
      <w:pPr>
        <w:pStyle w:val="Bullet"/>
      </w:pPr>
      <w:proofErr w:type="gramStart"/>
      <w:r w:rsidRPr="009F40FD">
        <w:t>175</w:t>
      </w:r>
      <w:proofErr w:type="gramEnd"/>
      <w:r w:rsidRPr="009F40FD">
        <w:t xml:space="preserve"> (14%) were non-compliant with pay</w:t>
      </w:r>
      <w:r w:rsidR="001E09AD">
        <w:t xml:space="preserve"> </w:t>
      </w:r>
      <w:r w:rsidRPr="009F40FD">
        <w:t>slip and record-keeping requirements</w:t>
      </w:r>
      <w:r w:rsidR="00F3451A">
        <w:t>.</w:t>
      </w:r>
    </w:p>
    <w:p w:rsidR="007E4050" w:rsidRPr="00AF149D" w:rsidRDefault="007E4050" w:rsidP="00A8501C">
      <w:pPr>
        <w:pStyle w:val="Bullet"/>
      </w:pPr>
      <w:proofErr w:type="gramStart"/>
      <w:r w:rsidRPr="009F40FD">
        <w:t>124</w:t>
      </w:r>
      <w:proofErr w:type="gramEnd"/>
      <w:r w:rsidRPr="009F40FD">
        <w:t xml:space="preserve"> (10%) breach</w:t>
      </w:r>
      <w:r w:rsidR="006E4F11">
        <w:t xml:space="preserve">ed </w:t>
      </w:r>
      <w:r w:rsidRPr="009F40FD">
        <w:t>both their monetary and non-monetary obligations.</w:t>
      </w:r>
      <w:r w:rsidR="00F3451A">
        <w:rPr>
          <w:rStyle w:val="FootnoteReference"/>
        </w:rPr>
        <w:footnoteReference w:id="5"/>
      </w:r>
    </w:p>
    <w:p w:rsidR="00044B7D" w:rsidRDefault="00044B7D">
      <w:pPr>
        <w:spacing w:after="0" w:line="240" w:lineRule="auto"/>
      </w:pPr>
      <w:r>
        <w:br w:type="page"/>
      </w:r>
    </w:p>
    <w:p w:rsidR="007E4050" w:rsidRPr="00FE6066" w:rsidRDefault="007E4050" w:rsidP="00753DD6">
      <w:r w:rsidRPr="00FE6066">
        <w:lastRenderedPageBreak/>
        <w:t>The most common breaches were:</w:t>
      </w:r>
    </w:p>
    <w:p w:rsidR="007E4050" w:rsidRPr="00FE6066" w:rsidRDefault="007E4050" w:rsidP="00A8501C">
      <w:pPr>
        <w:pStyle w:val="Bullet"/>
      </w:pPr>
      <w:proofErr w:type="gramStart"/>
      <w:r w:rsidRPr="00FE6066">
        <w:t>underpayment</w:t>
      </w:r>
      <w:proofErr w:type="gramEnd"/>
      <w:r w:rsidRPr="00FE6066">
        <w:t xml:space="preserve"> of the</w:t>
      </w:r>
      <w:r>
        <w:t xml:space="preserve"> minimum hourly rate (28</w:t>
      </w:r>
      <w:r w:rsidRPr="00FE6066">
        <w:t>%</w:t>
      </w:r>
      <w:r>
        <w:t>)</w:t>
      </w:r>
    </w:p>
    <w:p w:rsidR="007E4050" w:rsidRPr="00FE6066" w:rsidRDefault="007E4050" w:rsidP="00A8501C">
      <w:pPr>
        <w:pStyle w:val="Bullet"/>
      </w:pPr>
      <w:proofErr w:type="gramStart"/>
      <w:r w:rsidRPr="00FE6066">
        <w:t>non-compliance</w:t>
      </w:r>
      <w:proofErr w:type="gramEnd"/>
      <w:r w:rsidRPr="00FE6066">
        <w:t xml:space="preserve"> with pay slip obligations as set out by the Act and Regulations (</w:t>
      </w:r>
      <w:r>
        <w:t>23</w:t>
      </w:r>
      <w:r w:rsidRPr="00FE6066">
        <w:t xml:space="preserve">%) </w:t>
      </w:r>
    </w:p>
    <w:p w:rsidR="007E4050" w:rsidRPr="00FE6066" w:rsidRDefault="007E4050" w:rsidP="00A8501C">
      <w:pPr>
        <w:pStyle w:val="Bullet"/>
      </w:pPr>
      <w:proofErr w:type="gramStart"/>
      <w:r w:rsidRPr="00FE6066">
        <w:t>non-payment</w:t>
      </w:r>
      <w:proofErr w:type="gramEnd"/>
      <w:r w:rsidRPr="00FE6066">
        <w:t xml:space="preserve"> of weekend penalty rates (</w:t>
      </w:r>
      <w:r>
        <w:t>8</w:t>
      </w:r>
      <w:r w:rsidR="00E01D3E">
        <w:t>%).</w:t>
      </w:r>
    </w:p>
    <w:p w:rsidR="007E4050" w:rsidRPr="00984CA5" w:rsidRDefault="007E4050" w:rsidP="00C01733">
      <w:pPr>
        <w:spacing w:after="0" w:line="240" w:lineRule="auto"/>
      </w:pPr>
      <w:r w:rsidRPr="00984CA5">
        <w:t>Reasons for non-compliance given by employers included:</w:t>
      </w:r>
    </w:p>
    <w:p w:rsidR="007E4050" w:rsidRPr="00753DD6" w:rsidRDefault="00E01D3E" w:rsidP="00A8501C">
      <w:pPr>
        <w:pStyle w:val="Bullet"/>
      </w:pPr>
      <w:proofErr w:type="gramStart"/>
      <w:r w:rsidRPr="00753DD6">
        <w:t>being</w:t>
      </w:r>
      <w:proofErr w:type="gramEnd"/>
      <w:r w:rsidRPr="00753DD6">
        <w:t xml:space="preserve"> unaware </w:t>
      </w:r>
      <w:r w:rsidR="007E4050" w:rsidRPr="00753DD6">
        <w:t xml:space="preserve">of applicable workplace relations obligations (74%) </w:t>
      </w:r>
    </w:p>
    <w:p w:rsidR="007E4050" w:rsidRPr="00753DD6" w:rsidRDefault="007E4050" w:rsidP="00A8501C">
      <w:pPr>
        <w:pStyle w:val="Bullet"/>
      </w:pPr>
      <w:proofErr w:type="gramStart"/>
      <w:r w:rsidRPr="00753DD6">
        <w:t>misinterpreting</w:t>
      </w:r>
      <w:proofErr w:type="gramEnd"/>
      <w:r w:rsidRPr="00753DD6">
        <w:t xml:space="preserve"> award requirements (8%)</w:t>
      </w:r>
    </w:p>
    <w:p w:rsidR="007E4050" w:rsidRPr="00753DD6" w:rsidRDefault="007E4050" w:rsidP="00A8501C">
      <w:pPr>
        <w:pStyle w:val="Bullet"/>
      </w:pPr>
      <w:proofErr w:type="gramStart"/>
      <w:r w:rsidRPr="00753DD6">
        <w:t>making</w:t>
      </w:r>
      <w:proofErr w:type="gramEnd"/>
      <w:r w:rsidRPr="00753DD6">
        <w:t xml:space="preserve"> a business decision that led to non-compliance, such as paying flat hourly rates in lieu of weekend penalties (5%)</w:t>
      </w:r>
    </w:p>
    <w:p w:rsidR="00753DD6" w:rsidRDefault="00E01D3E" w:rsidP="00A8501C">
      <w:pPr>
        <w:pStyle w:val="Bullet"/>
      </w:pPr>
      <w:proofErr w:type="gramStart"/>
      <w:r w:rsidRPr="00753DD6">
        <w:t>missing</w:t>
      </w:r>
      <w:proofErr w:type="gramEnd"/>
      <w:r w:rsidRPr="00753DD6">
        <w:t xml:space="preserve"> </w:t>
      </w:r>
      <w:r w:rsidR="007E4050" w:rsidRPr="00753DD6">
        <w:t>the July annual wage increase (4%)</w:t>
      </w:r>
      <w:r w:rsidRPr="00753DD6">
        <w:t>.</w:t>
      </w:r>
    </w:p>
    <w:p w:rsidR="00753DD6" w:rsidRDefault="00753DD6" w:rsidP="00753DD6">
      <w:r>
        <w:t>H</w:t>
      </w:r>
      <w:r w:rsidRPr="00AF149D">
        <w:t xml:space="preserve">ospitality </w:t>
      </w:r>
      <w:r>
        <w:t xml:space="preserve">was the least </w:t>
      </w:r>
      <w:r w:rsidRPr="00AF149D">
        <w:t>compliant</w:t>
      </w:r>
      <w:r>
        <w:t xml:space="preserve"> industry</w:t>
      </w:r>
      <w:r w:rsidR="006E4F11">
        <w:t xml:space="preserve"> (</w:t>
      </w:r>
      <w:r w:rsidRPr="00AF149D">
        <w:t xml:space="preserve">61% </w:t>
      </w:r>
      <w:r w:rsidR="006E4F11">
        <w:t>non-compliant)</w:t>
      </w:r>
      <w:r w:rsidRPr="00AF149D">
        <w:t xml:space="preserve">. This is consistent </w:t>
      </w:r>
      <w:r>
        <w:t xml:space="preserve">with other </w:t>
      </w:r>
      <w:r w:rsidR="006E4F11">
        <w:t>audit findings</w:t>
      </w:r>
      <w:r w:rsidR="007D35B5">
        <w:t xml:space="preserve">, </w:t>
      </w:r>
      <w:r w:rsidRPr="00AF149D">
        <w:t xml:space="preserve">and </w:t>
      </w:r>
      <w:r>
        <w:t xml:space="preserve">supports our </w:t>
      </w:r>
      <w:r w:rsidRPr="00AF149D">
        <w:t xml:space="preserve">focus on </w:t>
      </w:r>
      <w:r>
        <w:t xml:space="preserve">the </w:t>
      </w:r>
      <w:r w:rsidRPr="00AF149D">
        <w:t xml:space="preserve">Fast Food, Restaurant and </w:t>
      </w:r>
      <w:r>
        <w:t>Cafés</w:t>
      </w:r>
      <w:r w:rsidRPr="00CC7123">
        <w:t xml:space="preserve"> (FRAC)</w:t>
      </w:r>
      <w:r>
        <w:t xml:space="preserve"> sector</w:t>
      </w:r>
      <w:r w:rsidRPr="00CC7123">
        <w:t>.</w:t>
      </w:r>
      <w:r w:rsidR="00563CB9">
        <w:rPr>
          <w:rStyle w:val="FootnoteReference"/>
        </w:rPr>
        <w:footnoteReference w:id="6"/>
      </w:r>
    </w:p>
    <w:p w:rsidR="007E4050" w:rsidRPr="00AF149D" w:rsidRDefault="007E4050" w:rsidP="007E4050">
      <w:pPr>
        <w:pStyle w:val="Heading2"/>
        <w:rPr>
          <w:sz w:val="24"/>
        </w:rPr>
      </w:pPr>
      <w:r w:rsidRPr="00AF149D">
        <w:rPr>
          <w:sz w:val="24"/>
        </w:rPr>
        <w:t xml:space="preserve">Table 1: Compliance results </w:t>
      </w:r>
      <w:r w:rsidR="00563CB9">
        <w:rPr>
          <w:sz w:val="24"/>
        </w:rPr>
        <w:t>by</w:t>
      </w:r>
      <w:r w:rsidRPr="00AF149D">
        <w:rPr>
          <w:sz w:val="24"/>
        </w:rPr>
        <w:t xml:space="preserve"> </w:t>
      </w:r>
      <w:r w:rsidR="00563CB9">
        <w:rPr>
          <w:sz w:val="24"/>
        </w:rPr>
        <w:t>sector</w:t>
      </w:r>
      <w:r w:rsidR="00A52284" w:rsidRPr="00563CB9">
        <w:rPr>
          <w:rStyle w:val="FootnoteReference"/>
          <w:b w:val="0"/>
          <w:sz w:val="24"/>
        </w:rPr>
        <w:footnoteReference w:id="7"/>
      </w:r>
    </w:p>
    <w:tbl>
      <w:tblPr>
        <w:tblStyle w:val="TableGrid"/>
        <w:tblpPr w:leftFromText="180" w:rightFromText="180" w:vertAnchor="text" w:horzAnchor="margin" w:tblpXSpec="center" w:tblpY="193"/>
        <w:tblW w:w="8278" w:type="dxa"/>
        <w:tblLook w:val="04A0" w:firstRow="1" w:lastRow="0" w:firstColumn="1" w:lastColumn="0" w:noHBand="0" w:noVBand="1"/>
        <w:tblCaption w:val="Compliance results based on industry"/>
      </w:tblPr>
      <w:tblGrid>
        <w:gridCol w:w="3686"/>
        <w:gridCol w:w="2268"/>
        <w:gridCol w:w="2324"/>
      </w:tblGrid>
      <w:tr w:rsidR="00563CB9" w:rsidRPr="00856A80" w:rsidTr="00563CB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B9" w:rsidRPr="00A46CE5" w:rsidRDefault="00563CB9" w:rsidP="00310019">
            <w:pPr>
              <w:spacing w:line="240" w:lineRule="auto"/>
              <w:rPr>
                <w:rFonts w:cstheme="minorHAnsi"/>
                <w:b/>
                <w:szCs w:val="22"/>
              </w:rPr>
            </w:pPr>
            <w:r w:rsidRPr="009D69F6">
              <w:rPr>
                <w:rFonts w:cstheme="minorHAnsi"/>
                <w:b/>
                <w:szCs w:val="22"/>
              </w:rPr>
              <w:t>Industry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b/>
                <w:szCs w:val="22"/>
              </w:rPr>
            </w:pPr>
            <w:r w:rsidRPr="009D69F6">
              <w:rPr>
                <w:rFonts w:cstheme="minorHAnsi"/>
                <w:b/>
                <w:szCs w:val="22"/>
              </w:rPr>
              <w:t>Businesses a</w:t>
            </w:r>
            <w:r w:rsidRPr="00A46CE5">
              <w:rPr>
                <w:rFonts w:cstheme="minorHAnsi"/>
                <w:b/>
                <w:szCs w:val="22"/>
              </w:rPr>
              <w:t>udited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b/>
                <w:szCs w:val="22"/>
              </w:rPr>
            </w:pPr>
            <w:r w:rsidRPr="009D69F6">
              <w:rPr>
                <w:rFonts w:cstheme="minorHAnsi"/>
                <w:b/>
                <w:szCs w:val="22"/>
              </w:rPr>
              <w:t>Non-compliance r</w:t>
            </w:r>
            <w:r w:rsidRPr="00A46CE5">
              <w:rPr>
                <w:rFonts w:cstheme="minorHAnsi"/>
                <w:b/>
                <w:szCs w:val="22"/>
              </w:rPr>
              <w:t>ate</w:t>
            </w:r>
          </w:p>
        </w:tc>
      </w:tr>
      <w:tr w:rsidR="00563CB9" w:rsidRPr="00856A80" w:rsidTr="00563CB9">
        <w:trPr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9D69F6" w:rsidRDefault="00563CB9" w:rsidP="00310019">
            <w:pPr>
              <w:spacing w:line="240" w:lineRule="auto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Accommodation and Food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272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61%</w:t>
            </w:r>
          </w:p>
        </w:tc>
      </w:tr>
      <w:tr w:rsidR="00563CB9" w:rsidRPr="00856A80" w:rsidTr="00563CB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9D69F6" w:rsidRDefault="00563CB9" w:rsidP="00310019">
            <w:pPr>
              <w:spacing w:line="240" w:lineRule="auto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Retail Trade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208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47%</w:t>
            </w:r>
          </w:p>
        </w:tc>
      </w:tr>
      <w:tr w:rsidR="00563CB9" w:rsidRPr="00856A80" w:rsidTr="00563CB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9D69F6" w:rsidRDefault="00563CB9" w:rsidP="00563CB9">
            <w:pPr>
              <w:spacing w:line="240" w:lineRule="auto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Administration and Support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9D69F6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140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47%</w:t>
            </w:r>
          </w:p>
        </w:tc>
      </w:tr>
      <w:tr w:rsidR="00563CB9" w:rsidRPr="00856A80" w:rsidTr="00563CB9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9D69F6" w:rsidRDefault="00563CB9" w:rsidP="00563CB9">
            <w:pPr>
              <w:spacing w:line="240" w:lineRule="auto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Manufacturing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196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39%</w:t>
            </w:r>
          </w:p>
        </w:tc>
      </w:tr>
      <w:tr w:rsidR="00563CB9" w:rsidRPr="00856A80" w:rsidTr="00563CB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9D69F6" w:rsidRDefault="00563CB9" w:rsidP="00563CB9">
            <w:pPr>
              <w:spacing w:line="240" w:lineRule="auto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Public Administration and Safety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46CE5">
              <w:rPr>
                <w:rFonts w:cstheme="minorHAnsi"/>
                <w:szCs w:val="22"/>
              </w:rPr>
              <w:t>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36%</w:t>
            </w:r>
          </w:p>
        </w:tc>
      </w:tr>
      <w:tr w:rsidR="00563CB9" w:rsidRPr="00856A80" w:rsidTr="00563CB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9D69F6" w:rsidRDefault="00C03CF8" w:rsidP="00C03CF8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Domestic c</w:t>
            </w:r>
            <w:r w:rsidR="00563CB9" w:rsidRPr="009D69F6">
              <w:rPr>
                <w:rFonts w:cstheme="minorHAnsi"/>
                <w:szCs w:val="22"/>
              </w:rPr>
              <w:t>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A46CE5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9D69F6">
              <w:rPr>
                <w:rFonts w:cstheme="minorHAnsi"/>
                <w:szCs w:val="22"/>
              </w:rPr>
              <w:t>139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B9" w:rsidRPr="00AF149D" w:rsidRDefault="00563CB9" w:rsidP="00563CB9">
            <w:pPr>
              <w:spacing w:line="240" w:lineRule="auto"/>
              <w:jc w:val="center"/>
              <w:rPr>
                <w:rFonts w:cstheme="minorHAnsi"/>
                <w:szCs w:val="22"/>
              </w:rPr>
            </w:pPr>
            <w:r w:rsidRPr="00AF149D">
              <w:rPr>
                <w:rFonts w:cstheme="minorHAnsi"/>
                <w:szCs w:val="22"/>
              </w:rPr>
              <w:t>33%</w:t>
            </w:r>
          </w:p>
        </w:tc>
      </w:tr>
    </w:tbl>
    <w:p w:rsidR="00044B7D" w:rsidRDefault="00044B7D" w:rsidP="00A52284">
      <w:pPr>
        <w:pStyle w:val="Heading2"/>
      </w:pPr>
    </w:p>
    <w:p w:rsidR="00044B7D" w:rsidRDefault="00044B7D" w:rsidP="00044B7D">
      <w:pPr>
        <w:rPr>
          <w:color w:val="1B365D"/>
          <w:sz w:val="32"/>
        </w:rPr>
      </w:pPr>
      <w:r>
        <w:br w:type="page"/>
      </w:r>
    </w:p>
    <w:p w:rsidR="00A52284" w:rsidRPr="00A52284" w:rsidRDefault="007E4050" w:rsidP="00A52284">
      <w:pPr>
        <w:pStyle w:val="Heading2"/>
      </w:pPr>
      <w:r>
        <w:lastRenderedPageBreak/>
        <w:t>Action taken and next steps</w:t>
      </w:r>
    </w:p>
    <w:p w:rsidR="007E4050" w:rsidRDefault="00DB4FE3" w:rsidP="007E4050">
      <w:r>
        <w:t>A</w:t>
      </w:r>
      <w:r w:rsidR="007E4050">
        <w:t xml:space="preserve"> total of </w:t>
      </w:r>
      <w:r w:rsidR="007E4050" w:rsidRPr="009F40FD">
        <w:t>$1,32</w:t>
      </w:r>
      <w:r w:rsidR="007E4050">
        <w:t xml:space="preserve">6,125 </w:t>
      </w:r>
      <w:proofErr w:type="gramStart"/>
      <w:r>
        <w:t>was recovered</w:t>
      </w:r>
      <w:proofErr w:type="gramEnd"/>
      <w:r>
        <w:t xml:space="preserve"> </w:t>
      </w:r>
      <w:r w:rsidR="007E4050">
        <w:t>from 296 businesses for 1</w:t>
      </w:r>
      <w:r w:rsidR="007E4050" w:rsidRPr="009F40FD">
        <w:t xml:space="preserve">736 employees.  </w:t>
      </w:r>
    </w:p>
    <w:p w:rsidR="007E4050" w:rsidRPr="009F40FD" w:rsidRDefault="007E4050" w:rsidP="007E4050">
      <w:r w:rsidRPr="00B65921">
        <w:t xml:space="preserve">Employers were required to rectify any non-compliance </w:t>
      </w:r>
      <w:r>
        <w:t>identified</w:t>
      </w:r>
      <w:r w:rsidRPr="00B65921">
        <w:t xml:space="preserve">, and to provide evidence of </w:t>
      </w:r>
      <w:r>
        <w:t xml:space="preserve">the </w:t>
      </w:r>
      <w:r w:rsidRPr="00B65921">
        <w:t>action</w:t>
      </w:r>
      <w:r>
        <w:t xml:space="preserve"> taken</w:t>
      </w:r>
      <w:r w:rsidRPr="00B65921">
        <w:t>, such as proof of payment of outstanding employee entitlements.</w:t>
      </w:r>
      <w:r w:rsidRPr="009F40FD">
        <w:t xml:space="preserve"> </w:t>
      </w:r>
    </w:p>
    <w:p w:rsidR="007E4050" w:rsidRDefault="007E4050" w:rsidP="007E4050">
      <w:pPr>
        <w:jc w:val="both"/>
      </w:pPr>
      <w:r>
        <w:rPr>
          <w:szCs w:val="22"/>
        </w:rPr>
        <w:t>I</w:t>
      </w:r>
      <w:r w:rsidRPr="00856A80">
        <w:rPr>
          <w:szCs w:val="22"/>
        </w:rPr>
        <w:t xml:space="preserve">nspectors </w:t>
      </w:r>
      <w:r>
        <w:rPr>
          <w:szCs w:val="22"/>
        </w:rPr>
        <w:t>issued:</w:t>
      </w:r>
    </w:p>
    <w:p w:rsidR="007E4050" w:rsidRPr="007D35B5" w:rsidRDefault="007E4050" w:rsidP="00A8501C">
      <w:pPr>
        <w:pStyle w:val="Bullet"/>
      </w:pPr>
      <w:r w:rsidRPr="007D35B5">
        <w:t xml:space="preserve">457 contravention letters </w:t>
      </w:r>
    </w:p>
    <w:p w:rsidR="007E4050" w:rsidRPr="007D35B5" w:rsidRDefault="007E4050" w:rsidP="00A8501C">
      <w:pPr>
        <w:pStyle w:val="Bullet"/>
      </w:pPr>
      <w:r w:rsidRPr="007D35B5">
        <w:t xml:space="preserve">56 formal cautions </w:t>
      </w:r>
    </w:p>
    <w:p w:rsidR="00811C42" w:rsidRDefault="00811C42" w:rsidP="00A8501C">
      <w:pPr>
        <w:pStyle w:val="Bullet"/>
      </w:pPr>
      <w:r w:rsidRPr="007D35B5">
        <w:t>24 infringement notices ($32,980 in penalties</w:t>
      </w:r>
      <w:r>
        <w:t>)</w:t>
      </w:r>
    </w:p>
    <w:p w:rsidR="007D35B5" w:rsidRDefault="007E4050" w:rsidP="00811C42">
      <w:pPr>
        <w:pStyle w:val="Bullet"/>
      </w:pPr>
      <w:proofErr w:type="gramStart"/>
      <w:r w:rsidRPr="007D35B5">
        <w:t>47</w:t>
      </w:r>
      <w:proofErr w:type="gramEnd"/>
      <w:r w:rsidRPr="007D35B5">
        <w:t xml:space="preserve"> compliance notices ($469,390 for 530 employees)</w:t>
      </w:r>
      <w:r w:rsidR="007D35B5">
        <w:t>.</w:t>
      </w:r>
    </w:p>
    <w:p w:rsidR="00DB4FE3" w:rsidRDefault="007E4050" w:rsidP="007D35B5">
      <w:r w:rsidRPr="00A46CE5">
        <w:t xml:space="preserve">The FWO also entered into an Enforceable Undertaking (EU) with Super Max Coffee Pty Ltd (trading as </w:t>
      </w:r>
      <w:proofErr w:type="spellStart"/>
      <w:r w:rsidRPr="00A46CE5">
        <w:t>Mitte</w:t>
      </w:r>
      <w:proofErr w:type="spellEnd"/>
      <w:r w:rsidRPr="00A46CE5">
        <w:t xml:space="preserve"> Café). The</w:t>
      </w:r>
      <w:r w:rsidRPr="00AF149D">
        <w:t xml:space="preserve"> employer is required to back pay $37,520 to 32 employees and engage an external professional to conduct audits of employee entitlements.</w:t>
      </w:r>
      <w:r w:rsidRPr="00DB4FE3">
        <w:rPr>
          <w:vertAlign w:val="superscript"/>
        </w:rPr>
        <w:footnoteReference w:id="8"/>
      </w:r>
    </w:p>
    <w:p w:rsidR="007D35B5" w:rsidRDefault="00887053" w:rsidP="007D35B5">
      <w:r>
        <w:t>Eight</w:t>
      </w:r>
      <w:r w:rsidR="007D35B5" w:rsidRPr="00F80CC5">
        <w:t xml:space="preserve"> </w:t>
      </w:r>
      <w:r w:rsidR="007D35B5">
        <w:t>employers</w:t>
      </w:r>
      <w:r w:rsidR="007D35B5" w:rsidRPr="00F80CC5">
        <w:t xml:space="preserve"> remain </w:t>
      </w:r>
      <w:r w:rsidR="007D35B5">
        <w:t>under</w:t>
      </w:r>
      <w:r w:rsidR="007D35B5" w:rsidRPr="00F80CC5">
        <w:t xml:space="preserve"> investigation</w:t>
      </w:r>
      <w:r w:rsidR="007D35B5">
        <w:t xml:space="preserve"> for</w:t>
      </w:r>
      <w:r w:rsidR="007D35B5" w:rsidRPr="00F80CC5">
        <w:t xml:space="preserve"> se</w:t>
      </w:r>
      <w:r w:rsidR="007D35B5" w:rsidRPr="00347833">
        <w:t>rious non-compliance.</w:t>
      </w:r>
      <w:r w:rsidR="007D35B5">
        <w:t xml:space="preserve"> </w:t>
      </w:r>
      <w:r w:rsidR="007D35B5" w:rsidRPr="00347833">
        <w:t>The FWO</w:t>
      </w:r>
      <w:r w:rsidR="007D35B5" w:rsidRPr="00F80CC5">
        <w:t xml:space="preserve"> is considering appropriate compliance and enforcement responses in these matters</w:t>
      </w:r>
      <w:r w:rsidR="007D35B5">
        <w:t>,</w:t>
      </w:r>
      <w:r w:rsidR="007D35B5" w:rsidRPr="00F80CC5">
        <w:t xml:space="preserve"> </w:t>
      </w:r>
      <w:r w:rsidR="007D35B5">
        <w:t xml:space="preserve">which may see us commence legal </w:t>
      </w:r>
      <w:r w:rsidR="007D35B5" w:rsidRPr="00F80CC5">
        <w:t>proceedings</w:t>
      </w:r>
      <w:r w:rsidR="007D35B5">
        <w:t xml:space="preserve"> seeking the imposition of </w:t>
      </w:r>
      <w:r w:rsidR="007D35B5" w:rsidRPr="00F80CC5">
        <w:t>significant penalties</w:t>
      </w:r>
      <w:r w:rsidR="007D35B5">
        <w:t xml:space="preserve"> on the businesses and individuals involved.</w:t>
      </w:r>
    </w:p>
    <w:p w:rsidR="001648CC" w:rsidRDefault="007E4050" w:rsidP="007E4050">
      <w:r w:rsidRPr="00440AAF">
        <w:t xml:space="preserve">The FWO </w:t>
      </w:r>
      <w:r w:rsidRPr="00AF149D">
        <w:t>expects employers to comply with all basic</w:t>
      </w:r>
      <w:r w:rsidRPr="00CC7123">
        <w:t xml:space="preserve"> workplace relations obligations</w:t>
      </w:r>
      <w:r w:rsidRPr="00AF149D">
        <w:t xml:space="preserve"> and </w:t>
      </w:r>
      <w:r w:rsidRPr="00440AAF">
        <w:t xml:space="preserve">utilise </w:t>
      </w:r>
      <w:r w:rsidR="00DB4FE3">
        <w:t xml:space="preserve">our </w:t>
      </w:r>
      <w:r w:rsidR="00D52CB7">
        <w:t>free tools and resources, including:</w:t>
      </w:r>
      <w:r w:rsidRPr="00440AAF">
        <w:t xml:space="preserve"> </w:t>
      </w:r>
    </w:p>
    <w:p w:rsidR="007E4050" w:rsidRPr="004E07A7" w:rsidRDefault="007E4050" w:rsidP="00A8501C">
      <w:pPr>
        <w:pStyle w:val="Bullet"/>
      </w:pPr>
      <w:r w:rsidRPr="004E07A7">
        <w:t>PACT</w:t>
      </w:r>
      <w:r>
        <w:t xml:space="preserve"> </w:t>
      </w:r>
      <w:r w:rsidRPr="004E07A7">
        <w:t>- calculates employee entitlements, including award pay rates, leave entitlements and termination pa</w:t>
      </w:r>
      <w:r>
        <w:t>y</w:t>
      </w:r>
      <w:r w:rsidR="00F3451A">
        <w:t>.</w:t>
      </w:r>
      <w:r w:rsidRPr="00AF149D">
        <w:rPr>
          <w:vertAlign w:val="superscript"/>
        </w:rPr>
        <w:footnoteReference w:id="9"/>
      </w:r>
    </w:p>
    <w:p w:rsidR="007E4050" w:rsidRPr="004E07A7" w:rsidRDefault="007E4050" w:rsidP="00A8501C">
      <w:pPr>
        <w:pStyle w:val="Bullet"/>
      </w:pPr>
      <w:r w:rsidRPr="004E07A7">
        <w:t>My account - interactive service where employers receive tailored information and updates</w:t>
      </w:r>
      <w:r w:rsidR="00F3451A">
        <w:t>.</w:t>
      </w:r>
      <w:r w:rsidRPr="00AF149D">
        <w:rPr>
          <w:vertAlign w:val="superscript"/>
        </w:rPr>
        <w:footnoteReference w:id="10"/>
      </w:r>
    </w:p>
    <w:p w:rsidR="007E4050" w:rsidRPr="004E07A7" w:rsidRDefault="007E4050" w:rsidP="00A8501C">
      <w:pPr>
        <w:pStyle w:val="Bullet"/>
      </w:pPr>
      <w:r w:rsidRPr="004E07A7">
        <w:t>Online learning centre - award-winning videos on key subjects like hiring employees, managing performance and record-keeping and pay slip obligations</w:t>
      </w:r>
      <w:r w:rsidR="00F3451A">
        <w:t>.</w:t>
      </w:r>
      <w:r w:rsidRPr="00AF149D">
        <w:rPr>
          <w:vertAlign w:val="superscript"/>
        </w:rPr>
        <w:footnoteReference w:id="11"/>
      </w:r>
      <w:r w:rsidRPr="00CC7123">
        <w:rPr>
          <w:vertAlign w:val="superscript"/>
        </w:rPr>
        <w:t xml:space="preserve"> </w:t>
      </w:r>
    </w:p>
    <w:p w:rsidR="007D35B5" w:rsidRDefault="007E4050" w:rsidP="00A8501C">
      <w:pPr>
        <w:pStyle w:val="Bullet"/>
      </w:pPr>
      <w:r w:rsidRPr="004E07A7">
        <w:t>Templates and guides - tools and resources specifically designed to assist businesses with their payslips and record keeping obligations.</w:t>
      </w:r>
      <w:r w:rsidRPr="00AF149D">
        <w:rPr>
          <w:vertAlign w:val="superscript"/>
        </w:rPr>
        <w:footnoteReference w:id="12"/>
      </w:r>
    </w:p>
    <w:p w:rsidR="00AF74D9" w:rsidRPr="00887053" w:rsidRDefault="00D52CB7" w:rsidP="00A543F2">
      <w:pPr>
        <w:pStyle w:val="Bullet"/>
        <w:numPr>
          <w:ilvl w:val="0"/>
          <w:numId w:val="0"/>
        </w:numPr>
      </w:pPr>
      <w:r>
        <w:t xml:space="preserve">The FWO considers employers who </w:t>
      </w:r>
      <w:proofErr w:type="gramStart"/>
      <w:r>
        <w:t>don’t</w:t>
      </w:r>
      <w:proofErr w:type="gramEnd"/>
      <w:r>
        <w:t xml:space="preserve"> take advantage of these free tools and resources to be negligent. A lack of awareness of obligations under the </w:t>
      </w:r>
      <w:r w:rsidRPr="0014201D">
        <w:rPr>
          <w:i/>
        </w:rPr>
        <w:t>Fair Work Act 2009</w:t>
      </w:r>
      <w:r>
        <w:t xml:space="preserve"> is not a valid reason for non-compliance in the workplace.</w:t>
      </w:r>
    </w:p>
    <w:sectPr w:rsidR="00AF74D9" w:rsidRPr="00887053" w:rsidSect="00887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25" w:bottom="1135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95" w:rsidRDefault="00CE3D95" w:rsidP="00AB465A">
      <w:pPr>
        <w:spacing w:after="0" w:line="240" w:lineRule="auto"/>
      </w:pPr>
      <w:r>
        <w:separator/>
      </w:r>
    </w:p>
  </w:endnote>
  <w:endnote w:type="continuationSeparator" w:id="0">
    <w:p w:rsidR="00CE3D95" w:rsidRDefault="00CE3D95" w:rsidP="00AB465A">
      <w:pPr>
        <w:spacing w:after="0" w:line="240" w:lineRule="auto"/>
      </w:pPr>
      <w:r>
        <w:continuationSeparator/>
      </w:r>
    </w:p>
  </w:endnote>
  <w:endnote w:type="continuationNotice" w:id="1">
    <w:p w:rsidR="00CE3D95" w:rsidRDefault="00CE3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E" w:rsidRDefault="00A22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89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CB7" w:rsidRPr="00DA1AD1" w:rsidRDefault="00D52CB7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33498FC5" wp14:editId="281D48AB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A5E48E8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06798245" wp14:editId="7E8742B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69C1BEC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Workplace Basics Campaign</w:t>
        </w:r>
        <w:r w:rsidRPr="002A65CC">
          <w:rPr>
            <w:color w:val="1B365D"/>
            <w:sz w:val="20"/>
            <w:szCs w:val="20"/>
          </w:rPr>
          <w:t xml:space="preserve"> Report</w:t>
        </w:r>
      </w:p>
      <w:p w:rsidR="00D52CB7" w:rsidRDefault="00D52CB7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0F7">
          <w:rPr>
            <w:noProof/>
          </w:rPr>
          <w:t>4</w:t>
        </w:r>
        <w:r>
          <w:rPr>
            <w:noProof/>
          </w:rPr>
          <w:fldChar w:fldCharType="end"/>
        </w:r>
      </w:p>
      <w:p w:rsidR="00D52CB7" w:rsidRPr="00DA1AD1" w:rsidRDefault="000410F7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B7" w:rsidRDefault="000410F7" w:rsidP="00DA1AD1">
    <w:pPr>
      <w:pStyle w:val="Header"/>
    </w:pPr>
    <w:r>
      <w:fldChar w:fldCharType="begin"/>
    </w:r>
    <w:r>
      <w:instrText xml:space="preserve"> DOCPROPERTY "mvRef"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CB7" w:rsidRPr="00DA1AD1" w:rsidRDefault="00D52CB7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42619473" wp14:editId="2C924875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06E2AFF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026A448E" wp14:editId="41D4B2CF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DC4364A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Workplace Basics Campaign Report</w:t>
        </w:r>
      </w:p>
      <w:p w:rsidR="00D52CB7" w:rsidRDefault="00D52CB7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0F7">
          <w:rPr>
            <w:noProof/>
          </w:rPr>
          <w:t>1</w:t>
        </w:r>
        <w:r>
          <w:rPr>
            <w:noProof/>
          </w:rPr>
          <w:fldChar w:fldCharType="end"/>
        </w:r>
      </w:p>
      <w:p w:rsidR="00D52CB7" w:rsidRPr="00DA1AD1" w:rsidRDefault="000410F7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95" w:rsidRDefault="00CE3D95" w:rsidP="00AB465A">
      <w:pPr>
        <w:spacing w:after="0" w:line="240" w:lineRule="auto"/>
      </w:pPr>
      <w:r>
        <w:separator/>
      </w:r>
    </w:p>
  </w:footnote>
  <w:footnote w:type="continuationSeparator" w:id="0">
    <w:p w:rsidR="00CE3D95" w:rsidRDefault="00CE3D95" w:rsidP="00AB465A">
      <w:pPr>
        <w:spacing w:after="0" w:line="240" w:lineRule="auto"/>
      </w:pPr>
      <w:r>
        <w:continuationSeparator/>
      </w:r>
    </w:p>
  </w:footnote>
  <w:footnote w:type="continuationNotice" w:id="1">
    <w:p w:rsidR="00CE3D95" w:rsidRDefault="00CE3D95">
      <w:pPr>
        <w:spacing w:after="0" w:line="240" w:lineRule="auto"/>
      </w:pPr>
    </w:p>
  </w:footnote>
  <w:footnote w:id="2">
    <w:p w:rsidR="00D52CB7" w:rsidRPr="0085757C" w:rsidRDefault="00D52CB7" w:rsidP="0085757C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575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5757C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47CA0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https://www.fairwork.gov.au/how-we-will-help/helping-the-community/campaigns/national-campaigns/workplace-basics-campaign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:rsidR="00D52CB7" w:rsidRPr="000757F4" w:rsidRDefault="00D52CB7" w:rsidP="0085757C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0757F4">
        <w:rPr>
          <w:rStyle w:val="FootnoteReference"/>
          <w:rFonts w:asciiTheme="minorHAnsi" w:hAnsiTheme="minorHAnsi" w:cstheme="minorHAnsi"/>
          <w:sz w:val="18"/>
        </w:rPr>
        <w:footnoteRef/>
      </w:r>
      <w:r w:rsidRPr="000757F4">
        <w:rPr>
          <w:rFonts w:asciiTheme="minorHAnsi" w:hAnsiTheme="minorHAnsi" w:cstheme="minorHAnsi"/>
          <w:sz w:val="18"/>
        </w:rPr>
        <w:t xml:space="preserve"> FWO media release: </w:t>
      </w:r>
      <w:hyperlink r:id="rId2" w:history="1">
        <w:r w:rsidRPr="00347CA0">
          <w:rPr>
            <w:rStyle w:val="Hyperlink"/>
            <w:rFonts w:asciiTheme="minorHAnsi" w:hAnsiTheme="minorHAnsi" w:cstheme="minorHAnsi"/>
            <w:sz w:val="18"/>
          </w:rPr>
          <w:t>https://www.fairwork.gov.au/about-us/news-and-media-releases/2018-media-releases/april-2018/20180411-workplace-basics-campaign-mr</w:t>
        </w:r>
      </w:hyperlink>
      <w:r>
        <w:rPr>
          <w:rFonts w:asciiTheme="minorHAnsi" w:hAnsiTheme="minorHAnsi" w:cstheme="minorHAnsi"/>
          <w:sz w:val="18"/>
        </w:rPr>
        <w:t xml:space="preserve"> </w:t>
      </w:r>
    </w:p>
  </w:footnote>
  <w:footnote w:id="4">
    <w:p w:rsidR="00D52CB7" w:rsidRPr="000757F4" w:rsidRDefault="00D52CB7" w:rsidP="0085757C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0757F4">
        <w:rPr>
          <w:rStyle w:val="FootnoteReference"/>
          <w:rFonts w:asciiTheme="minorHAnsi" w:hAnsiTheme="minorHAnsi" w:cstheme="minorHAnsi"/>
        </w:rPr>
        <w:footnoteRef/>
      </w:r>
      <w:r w:rsidRPr="000757F4">
        <w:rPr>
          <w:rFonts w:asciiTheme="minorHAnsi" w:hAnsiTheme="minorHAnsi" w:cstheme="minorHAnsi"/>
        </w:rPr>
        <w:t xml:space="preserve"> </w:t>
      </w:r>
      <w:hyperlink r:id="rId3" w:history="1">
        <w:r w:rsidRPr="000757F4">
          <w:rPr>
            <w:rStyle w:val="Hyperlink"/>
            <w:rFonts w:asciiTheme="minorHAnsi" w:hAnsiTheme="minorHAnsi" w:cstheme="minorHAnsi"/>
            <w:sz w:val="18"/>
          </w:rPr>
          <w:t>https://www.fairwork.gov.au/about-us/legislation/the-fair-work-system/protecting-vulnerable-workers-reform</w:t>
        </w:r>
      </w:hyperlink>
    </w:p>
  </w:footnote>
  <w:footnote w:id="5">
    <w:p w:rsidR="00D52CB7" w:rsidRPr="00D041E0" w:rsidRDefault="00D52CB7" w:rsidP="0085757C">
      <w:pPr>
        <w:pStyle w:val="FootnoteText"/>
        <w:spacing w:before="0" w:line="240" w:lineRule="auto"/>
        <w:rPr>
          <w:rFonts w:asciiTheme="minorHAnsi" w:hAnsiTheme="minorHAnsi"/>
          <w:sz w:val="18"/>
        </w:rPr>
      </w:pPr>
      <w:r w:rsidRPr="000757F4">
        <w:rPr>
          <w:rStyle w:val="FootnoteReference"/>
          <w:rFonts w:asciiTheme="minorHAnsi" w:hAnsiTheme="minorHAnsi" w:cstheme="minorHAnsi"/>
          <w:sz w:val="18"/>
        </w:rPr>
        <w:footnoteRef/>
      </w:r>
      <w:r w:rsidRPr="000757F4">
        <w:rPr>
          <w:rFonts w:asciiTheme="minorHAnsi" w:hAnsiTheme="minorHAnsi" w:cstheme="minorHAnsi"/>
          <w:sz w:val="18"/>
        </w:rPr>
        <w:t xml:space="preserve"> Percentages have been rounded to the nearest whole number</w:t>
      </w:r>
    </w:p>
  </w:footnote>
  <w:footnote w:id="6">
    <w:p w:rsidR="00D52CB7" w:rsidRPr="007E4050" w:rsidRDefault="00D52CB7" w:rsidP="000757F4">
      <w:pPr>
        <w:pStyle w:val="FootnoteText"/>
        <w:spacing w:before="0" w:line="240" w:lineRule="auto"/>
        <w:rPr>
          <w:rFonts w:asciiTheme="minorHAnsi" w:hAnsiTheme="minorHAnsi" w:cstheme="minorHAnsi"/>
          <w:color w:val="0000FF"/>
          <w:sz w:val="18"/>
          <w:szCs w:val="18"/>
          <w:u w:val="single"/>
        </w:rPr>
      </w:pPr>
      <w:r w:rsidRPr="007E405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7E4050">
        <w:rPr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D26BD1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https://www.fairwork.gov.au/about-us/our-purpose/our-priorities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7">
    <w:p w:rsidR="00D52CB7" w:rsidRPr="00A52284" w:rsidRDefault="00D52CB7" w:rsidP="000757F4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5228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52284">
        <w:rPr>
          <w:rFonts w:asciiTheme="minorHAnsi" w:hAnsiTheme="minorHAnsi" w:cstheme="minorHAnsi"/>
          <w:sz w:val="18"/>
          <w:szCs w:val="18"/>
        </w:rPr>
        <w:t xml:space="preserve"> Industries with more than 50 businesses audited are included in the table. Other businesses not categorised by these industries </w:t>
      </w:r>
      <w:proofErr w:type="gramStart"/>
      <w:r w:rsidRPr="00A52284">
        <w:rPr>
          <w:rFonts w:asciiTheme="minorHAnsi" w:hAnsiTheme="minorHAnsi" w:cstheme="minorHAnsi"/>
          <w:sz w:val="18"/>
          <w:szCs w:val="18"/>
        </w:rPr>
        <w:t>were audited and included in overall compliance data</w:t>
      </w:r>
      <w:proofErr w:type="gramEnd"/>
      <w:r w:rsidRPr="00A52284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8">
    <w:p w:rsidR="00D52CB7" w:rsidRPr="007E4050" w:rsidRDefault="00D52CB7" w:rsidP="007E405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E405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7E4050">
        <w:rPr>
          <w:rFonts w:asciiTheme="minorHAnsi" w:hAnsiTheme="minorHAnsi" w:cstheme="minorHAnsi"/>
          <w:sz w:val="18"/>
          <w:szCs w:val="18"/>
        </w:rPr>
        <w:t xml:space="preserve"> </w:t>
      </w:r>
      <w:r w:rsidRPr="007E4050">
        <w:rPr>
          <w:rStyle w:val="Hyperlink"/>
          <w:rFonts w:asciiTheme="minorHAnsi" w:hAnsiTheme="minorHAnsi" w:cstheme="minorHAnsi"/>
          <w:sz w:val="18"/>
          <w:szCs w:val="18"/>
        </w:rPr>
        <w:t>https://www.fairwork.gov.au/about-us/news-and-media-releases/2019-media-releases/may-2019/20190522-super-max-coffee-eu-media-release</w:t>
      </w:r>
    </w:p>
  </w:footnote>
  <w:footnote w:id="9">
    <w:p w:rsidR="00D52CB7" w:rsidRPr="00CC7123" w:rsidRDefault="00D52CB7" w:rsidP="007E405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C712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CC7123">
          <w:rPr>
            <w:rStyle w:val="Hyperlink"/>
            <w:rFonts w:asciiTheme="minorHAnsi" w:hAnsiTheme="minorHAnsi" w:cstheme="minorHAnsi"/>
            <w:sz w:val="18"/>
            <w:szCs w:val="18"/>
          </w:rPr>
          <w:t>https://calculate.fairwork.gov.au/</w:t>
        </w:r>
      </w:hyperlink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0">
    <w:p w:rsidR="00D52CB7" w:rsidRPr="00CC7123" w:rsidRDefault="00D52CB7" w:rsidP="007E405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C712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Pr="00CC7123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https://www.fairwork.gov.au/my-account/registerpage.aspx</w:t>
        </w:r>
      </w:hyperlink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1">
    <w:p w:rsidR="00D52CB7" w:rsidRPr="00CC7123" w:rsidRDefault="00D52CB7" w:rsidP="007E405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C712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440AAF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https://www.fairwork.gov.au/how-we-will-help/online-training/online-learning-centre</w:t>
        </w:r>
      </w:hyperlink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2">
    <w:p w:rsidR="00D52CB7" w:rsidRPr="001246F4" w:rsidRDefault="00D52CB7" w:rsidP="007E405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C712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C7123">
        <w:rPr>
          <w:rFonts w:asciiTheme="minorHAnsi" w:hAnsiTheme="minorHAnsi" w:cstheme="minorHAnsi"/>
          <w:sz w:val="18"/>
          <w:szCs w:val="18"/>
        </w:rPr>
        <w:t xml:space="preserve"> </w:t>
      </w:r>
      <w:r w:rsidRPr="00CC7123">
        <w:rPr>
          <w:rStyle w:val="Hyperlink"/>
          <w:rFonts w:asciiTheme="minorHAnsi" w:hAnsiTheme="minorHAnsi" w:cstheme="minorHAnsi"/>
          <w:sz w:val="18"/>
          <w:szCs w:val="18"/>
        </w:rPr>
        <w:t>https://www.fairwork.gov.au/how-we-will-help/templates-and-guides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E" w:rsidRDefault="00A22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AE" w:rsidRDefault="00A22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B7" w:rsidRPr="00583EDF" w:rsidRDefault="00D52CB7" w:rsidP="00310019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bookmarkStart w:id="0" w:name="_GoBack"/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3D9F1D84" wp14:editId="1C3C2540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5" name="Picture 5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6DC8FD" wp14:editId="70C46959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C56FB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D31"/>
    <w:multiLevelType w:val="hybridMultilevel"/>
    <w:tmpl w:val="E8CC9B2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430" w:hanging="360"/>
      </w:pPr>
    </w:lvl>
    <w:lvl w:ilvl="2" w:tplc="0C09001B">
      <w:start w:val="1"/>
      <w:numFmt w:val="lowerRoman"/>
      <w:lvlText w:val="%3."/>
      <w:lvlJc w:val="right"/>
      <w:pPr>
        <w:ind w:left="3150" w:hanging="180"/>
      </w:pPr>
    </w:lvl>
    <w:lvl w:ilvl="3" w:tplc="0C09000F">
      <w:start w:val="1"/>
      <w:numFmt w:val="decimal"/>
      <w:lvlText w:val="%4."/>
      <w:lvlJc w:val="left"/>
      <w:pPr>
        <w:ind w:left="3870" w:hanging="360"/>
      </w:pPr>
    </w:lvl>
    <w:lvl w:ilvl="4" w:tplc="0C090019">
      <w:start w:val="1"/>
      <w:numFmt w:val="lowerLetter"/>
      <w:lvlText w:val="%5."/>
      <w:lvlJc w:val="left"/>
      <w:pPr>
        <w:ind w:left="4590" w:hanging="360"/>
      </w:pPr>
    </w:lvl>
    <w:lvl w:ilvl="5" w:tplc="0C09001B">
      <w:start w:val="1"/>
      <w:numFmt w:val="lowerRoman"/>
      <w:lvlText w:val="%6."/>
      <w:lvlJc w:val="right"/>
      <w:pPr>
        <w:ind w:left="5310" w:hanging="180"/>
      </w:pPr>
    </w:lvl>
    <w:lvl w:ilvl="6" w:tplc="0C09000F">
      <w:start w:val="1"/>
      <w:numFmt w:val="decimal"/>
      <w:lvlText w:val="%7."/>
      <w:lvlJc w:val="left"/>
      <w:pPr>
        <w:ind w:left="6030" w:hanging="360"/>
      </w:pPr>
    </w:lvl>
    <w:lvl w:ilvl="7" w:tplc="0C090019">
      <w:start w:val="1"/>
      <w:numFmt w:val="lowerLetter"/>
      <w:lvlText w:val="%8."/>
      <w:lvlJc w:val="left"/>
      <w:pPr>
        <w:ind w:left="6750" w:hanging="360"/>
      </w:pPr>
    </w:lvl>
    <w:lvl w:ilvl="8" w:tplc="0C09001B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D5F"/>
    <w:multiLevelType w:val="hybridMultilevel"/>
    <w:tmpl w:val="1938CA54"/>
    <w:lvl w:ilvl="0" w:tplc="9A10DE24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50"/>
    <w:rsid w:val="00011400"/>
    <w:rsid w:val="000410F7"/>
    <w:rsid w:val="00044B7D"/>
    <w:rsid w:val="000757F4"/>
    <w:rsid w:val="00093049"/>
    <w:rsid w:val="000D46B8"/>
    <w:rsid w:val="000E4A87"/>
    <w:rsid w:val="001648CC"/>
    <w:rsid w:val="00174429"/>
    <w:rsid w:val="001B2E24"/>
    <w:rsid w:val="001E09AD"/>
    <w:rsid w:val="00232CA4"/>
    <w:rsid w:val="002666D5"/>
    <w:rsid w:val="0026797B"/>
    <w:rsid w:val="002A65CC"/>
    <w:rsid w:val="002C7862"/>
    <w:rsid w:val="002E28E8"/>
    <w:rsid w:val="002E78A5"/>
    <w:rsid w:val="00305AEA"/>
    <w:rsid w:val="00310019"/>
    <w:rsid w:val="003D3891"/>
    <w:rsid w:val="003E41BB"/>
    <w:rsid w:val="003F0182"/>
    <w:rsid w:val="00465E7E"/>
    <w:rsid w:val="00472687"/>
    <w:rsid w:val="00473FBE"/>
    <w:rsid w:val="00483507"/>
    <w:rsid w:val="00486F77"/>
    <w:rsid w:val="004874D2"/>
    <w:rsid w:val="005261A5"/>
    <w:rsid w:val="00531B75"/>
    <w:rsid w:val="00563CB9"/>
    <w:rsid w:val="00630961"/>
    <w:rsid w:val="00647F1F"/>
    <w:rsid w:val="006619BE"/>
    <w:rsid w:val="006813BF"/>
    <w:rsid w:val="00684170"/>
    <w:rsid w:val="006E4F11"/>
    <w:rsid w:val="00703886"/>
    <w:rsid w:val="00727206"/>
    <w:rsid w:val="00753DD6"/>
    <w:rsid w:val="00786E3C"/>
    <w:rsid w:val="007A6811"/>
    <w:rsid w:val="007B6AC8"/>
    <w:rsid w:val="007D19A1"/>
    <w:rsid w:val="007D35B5"/>
    <w:rsid w:val="007E3B50"/>
    <w:rsid w:val="007E4050"/>
    <w:rsid w:val="007E5FAD"/>
    <w:rsid w:val="00803A9A"/>
    <w:rsid w:val="00811C42"/>
    <w:rsid w:val="00840520"/>
    <w:rsid w:val="00856542"/>
    <w:rsid w:val="0085757C"/>
    <w:rsid w:val="008637CA"/>
    <w:rsid w:val="00875E77"/>
    <w:rsid w:val="00887053"/>
    <w:rsid w:val="009470A4"/>
    <w:rsid w:val="009946F6"/>
    <w:rsid w:val="00995EBE"/>
    <w:rsid w:val="009D3BCF"/>
    <w:rsid w:val="00A22BAE"/>
    <w:rsid w:val="00A25A80"/>
    <w:rsid w:val="00A267BA"/>
    <w:rsid w:val="00A34397"/>
    <w:rsid w:val="00A42AEA"/>
    <w:rsid w:val="00A52284"/>
    <w:rsid w:val="00A543F2"/>
    <w:rsid w:val="00A841DA"/>
    <w:rsid w:val="00A8501C"/>
    <w:rsid w:val="00A97F48"/>
    <w:rsid w:val="00AA0244"/>
    <w:rsid w:val="00AA1953"/>
    <w:rsid w:val="00AB465A"/>
    <w:rsid w:val="00AB5511"/>
    <w:rsid w:val="00AF74D9"/>
    <w:rsid w:val="00B02B68"/>
    <w:rsid w:val="00B478AD"/>
    <w:rsid w:val="00B56C5A"/>
    <w:rsid w:val="00B7248B"/>
    <w:rsid w:val="00BA5269"/>
    <w:rsid w:val="00BB53D7"/>
    <w:rsid w:val="00BC0303"/>
    <w:rsid w:val="00C01733"/>
    <w:rsid w:val="00C03CF8"/>
    <w:rsid w:val="00C079AD"/>
    <w:rsid w:val="00C31C02"/>
    <w:rsid w:val="00C4028B"/>
    <w:rsid w:val="00C72594"/>
    <w:rsid w:val="00CA39F1"/>
    <w:rsid w:val="00CE3D95"/>
    <w:rsid w:val="00CE6055"/>
    <w:rsid w:val="00D041E0"/>
    <w:rsid w:val="00D11BC7"/>
    <w:rsid w:val="00D20453"/>
    <w:rsid w:val="00D316FC"/>
    <w:rsid w:val="00D52CB7"/>
    <w:rsid w:val="00D95B26"/>
    <w:rsid w:val="00D960E2"/>
    <w:rsid w:val="00DA1AD1"/>
    <w:rsid w:val="00DA7095"/>
    <w:rsid w:val="00DB0038"/>
    <w:rsid w:val="00DB083C"/>
    <w:rsid w:val="00DB4FE3"/>
    <w:rsid w:val="00DB7EDD"/>
    <w:rsid w:val="00E01D3E"/>
    <w:rsid w:val="00E13A01"/>
    <w:rsid w:val="00E62AC7"/>
    <w:rsid w:val="00E80136"/>
    <w:rsid w:val="00EA6B05"/>
    <w:rsid w:val="00EC4120"/>
    <w:rsid w:val="00EF26DC"/>
    <w:rsid w:val="00EF79AE"/>
    <w:rsid w:val="00F210A5"/>
    <w:rsid w:val="00F3451A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7E4050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A8501C"/>
    <w:pPr>
      <w:numPr>
        <w:numId w:val="4"/>
      </w:numPr>
      <w:spacing w:before="120" w:after="240" w:line="240" w:lineRule="auto"/>
      <w:ind w:left="714" w:hanging="357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7E4050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7E4050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563CB9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563CB9"/>
    <w:rPr>
      <w:rFonts w:ascii="Arial" w:hAnsi="Arial" w:cs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EA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EA"/>
    <w:rPr>
      <w:rFonts w:asciiTheme="minorHAnsi" w:hAnsiTheme="minorHAnsi" w:cs="Arial"/>
      <w:b/>
      <w:bCs/>
      <w:sz w:val="22"/>
      <w:szCs w:val="24"/>
    </w:rPr>
  </w:style>
  <w:style w:type="paragraph" w:styleId="Revision">
    <w:name w:val="Revision"/>
    <w:hidden/>
    <w:uiPriority w:val="99"/>
    <w:semiHidden/>
    <w:rsid w:val="00C31C02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about-us/legislation/the-fair-work-system/protecting-vulnerable-workers-reform" TargetMode="External"/><Relationship Id="rId7" Type="http://schemas.openxmlformats.org/officeDocument/2006/relationships/hyperlink" Target="https://www.fairwork.gov.au/how-we-will-help/online-training/online-learning-centre" TargetMode="External"/><Relationship Id="rId2" Type="http://schemas.openxmlformats.org/officeDocument/2006/relationships/hyperlink" Target="https://www.fairwork.gov.au/about-us/news-and-media-releases/2018-media-releases/april-2018/20180411-workplace-basics-campaign-mr" TargetMode="External"/><Relationship Id="rId1" Type="http://schemas.openxmlformats.org/officeDocument/2006/relationships/hyperlink" Target="https://www.fairwork.gov.au/how-we-will-help/helping-the-community/campaigns/national-campaigns/workplace-basics-campaign" TargetMode="External"/><Relationship Id="rId6" Type="http://schemas.openxmlformats.org/officeDocument/2006/relationships/hyperlink" Target="https://www.fairwork.gov.au/my-account/registerpage.aspx" TargetMode="External"/><Relationship Id="rId5" Type="http://schemas.openxmlformats.org/officeDocument/2006/relationships/hyperlink" Target="https://calculate.fairwork.gov.au/" TargetMode="External"/><Relationship Id="rId4" Type="http://schemas.openxmlformats.org/officeDocument/2006/relationships/hyperlink" Target="https://www.fairwork.gov.au/about-us/our-purpose/our-prioriti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5D50-E542-4C7B-8852-A38E41B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C537B0C8.dotm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Basics Campaign Report</vt:lpstr>
    </vt:vector>
  </TitlesOfParts>
  <Manager/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Basics Campaign Report</dc:title>
  <dc:subject>Workplace Basics Campaign Report</dc:subject>
  <dc:creator/>
  <cp:keywords>Workplace Basics Campaign Report</cp:keywords>
  <cp:lastModifiedBy/>
  <cp:revision>1</cp:revision>
  <dcterms:created xsi:type="dcterms:W3CDTF">2020-03-10T05:11:00Z</dcterms:created>
  <dcterms:modified xsi:type="dcterms:W3CDTF">2020-03-10T05:24:00Z</dcterms:modified>
</cp:coreProperties>
</file>