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B8B74" w14:textId="04E9DE93" w:rsidR="0092566E" w:rsidRPr="0092566E" w:rsidRDefault="00225001" w:rsidP="0092566E">
      <w:pPr>
        <w:pStyle w:val="Coverheading"/>
      </w:pPr>
      <w:r>
        <w:t xml:space="preserve">Findings of compliance activity </w:t>
      </w:r>
      <w:r w:rsidRPr="00574470">
        <w:rPr>
          <w:rFonts w:cs="Helvetica"/>
        </w:rPr>
        <w:t>involving sushi enterprises</w:t>
      </w:r>
      <w:r>
        <w:t xml:space="preserve"> </w:t>
      </w:r>
    </w:p>
    <w:p w14:paraId="49E681CA" w14:textId="0C63C29E" w:rsidR="00225001" w:rsidRDefault="00225001" w:rsidP="00BF0029"/>
    <w:p w14:paraId="6A2DCE95" w14:textId="77777777" w:rsidR="00844B1D" w:rsidRDefault="00844B1D" w:rsidP="00BF0029"/>
    <w:p w14:paraId="036D4483" w14:textId="77777777" w:rsidR="00225001" w:rsidRDefault="00225001" w:rsidP="00BF0029"/>
    <w:p w14:paraId="280FD025" w14:textId="292D3B2F" w:rsidR="00BF0029" w:rsidRPr="00BF0029" w:rsidRDefault="00225001" w:rsidP="00BF0029">
      <w:r>
        <w:t>October 2018</w:t>
      </w:r>
    </w:p>
    <w:p w14:paraId="01B0DD75" w14:textId="5D5CF49A" w:rsidR="001F20C3" w:rsidRPr="006A412C" w:rsidRDefault="009629F3" w:rsidP="006A412C">
      <w:r w:rsidRPr="0045600E">
        <w:t>©</w:t>
      </w:r>
      <w:r w:rsidR="00CC7FFE" w:rsidRPr="0045600E">
        <w:t xml:space="preserve"> </w:t>
      </w:r>
      <w:r w:rsidRPr="0045600E">
        <w:t xml:space="preserve">Commonwealth of </w:t>
      </w:r>
      <w:r w:rsidRPr="00225001">
        <w:t>Australia, 201</w:t>
      </w:r>
      <w:r w:rsidR="00225001" w:rsidRPr="00225001">
        <w:t>8</w:t>
      </w:r>
      <w:r w:rsidR="001F20C3">
        <w:br w:type="page"/>
      </w:r>
    </w:p>
    <w:p w14:paraId="5B1D6D41" w14:textId="320F96B3" w:rsidR="00BF0029" w:rsidRDefault="007E73B0" w:rsidP="00225001">
      <w:pPr>
        <w:pStyle w:val="Header"/>
        <w:rPr>
          <w:rFonts w:eastAsiaTheme="minorHAnsi" w:cs="Times New Roman"/>
          <w:szCs w:val="22"/>
          <w:lang w:eastAsia="en-AU"/>
        </w:rPr>
      </w:pPr>
      <w:r>
        <w:rPr>
          <w:noProof/>
          <w:lang w:eastAsia="en-AU"/>
        </w:rPr>
        <w:lastRenderedPageBreak/>
        <w:drawing>
          <wp:anchor distT="0" distB="0" distL="114300" distR="114300" simplePos="0" relativeHeight="251658240" behindDoc="0" locked="0" layoutInCell="1" allowOverlap="1" wp14:anchorId="5A393A24" wp14:editId="3085D59A">
            <wp:simplePos x="0" y="0"/>
            <wp:positionH relativeFrom="page">
              <wp:posOffset>0</wp:posOffset>
            </wp:positionH>
            <wp:positionV relativeFrom="paragraph">
              <wp:posOffset>-1219390</wp:posOffset>
            </wp:positionV>
            <wp:extent cx="7540831" cy="10662199"/>
            <wp:effectExtent l="0" t="0" r="3175" b="6350"/>
            <wp:wrapNone/>
            <wp:docPr id="3" name="Picture 3" descr="Infographic of compliance activity outcomes" title="Infographic of compliance activity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shi-infographic4-v2.png"/>
                    <pic:cNvPicPr/>
                  </pic:nvPicPr>
                  <pic:blipFill rotWithShape="1">
                    <a:blip r:embed="rId8">
                      <a:extLst>
                        <a:ext uri="{28A0092B-C50C-407E-A947-70E740481C1C}">
                          <a14:useLocalDpi xmlns:a14="http://schemas.microsoft.com/office/drawing/2010/main" val="0"/>
                        </a:ext>
                      </a:extLst>
                    </a:blip>
                    <a:srcRect r="9200"/>
                    <a:stretch/>
                  </pic:blipFill>
                  <pic:spPr bwMode="auto">
                    <a:xfrm>
                      <a:off x="0" y="0"/>
                      <a:ext cx="7540831" cy="106621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0029">
        <w:tab/>
      </w:r>
    </w:p>
    <w:p w14:paraId="62DDA8FC" w14:textId="77777777" w:rsidR="002B02C7" w:rsidRDefault="002B02C7">
      <w:pPr>
        <w:spacing w:before="0" w:line="240" w:lineRule="auto"/>
        <w:rPr>
          <w:rFonts w:ascii="Helvetica" w:hAnsi="Helvetica"/>
          <w:color w:val="263746"/>
          <w:sz w:val="44"/>
          <w:szCs w:val="26"/>
        </w:rPr>
      </w:pPr>
    </w:p>
    <w:p w14:paraId="6CA8B053" w14:textId="77777777" w:rsidR="002B02C7" w:rsidRDefault="002B02C7">
      <w:pPr>
        <w:spacing w:before="0" w:line="240" w:lineRule="auto"/>
        <w:rPr>
          <w:rFonts w:ascii="Helvetica" w:hAnsi="Helvetica"/>
          <w:color w:val="263746"/>
          <w:sz w:val="44"/>
          <w:szCs w:val="26"/>
        </w:rPr>
      </w:pPr>
      <w:r>
        <w:br w:type="page"/>
      </w:r>
    </w:p>
    <w:p w14:paraId="1E8145C2" w14:textId="77777777" w:rsidR="00BF0029" w:rsidRDefault="002B02C7" w:rsidP="00100935">
      <w:pPr>
        <w:pStyle w:val="Heading1"/>
      </w:pPr>
      <w:bookmarkStart w:id="0" w:name="_Toc524505410"/>
      <w:bookmarkStart w:id="1" w:name="_Toc526760088"/>
      <w:bookmarkStart w:id="2" w:name="_Toc526774845"/>
      <w:r>
        <w:lastRenderedPageBreak/>
        <w:t>Table of c</w:t>
      </w:r>
      <w:r w:rsidR="00BF0029">
        <w:t>ontents</w:t>
      </w:r>
      <w:bookmarkEnd w:id="0"/>
      <w:bookmarkEnd w:id="1"/>
      <w:bookmarkEnd w:id="2"/>
    </w:p>
    <w:p w14:paraId="687B6DFF" w14:textId="2C7B86BB" w:rsidR="00AF2241" w:rsidRDefault="004D2F74" w:rsidP="00AF2241">
      <w:pPr>
        <w:pStyle w:val="TOC1"/>
        <w:rPr>
          <w:rFonts w:asciiTheme="minorHAnsi" w:eastAsiaTheme="minorEastAsia" w:hAnsiTheme="minorHAnsi" w:cstheme="minorBidi"/>
          <w:noProof/>
          <w:spacing w:val="0"/>
          <w:szCs w:val="22"/>
          <w:lang w:eastAsia="en-AU"/>
        </w:rPr>
      </w:pPr>
      <w:r>
        <w:rPr>
          <w:b/>
        </w:rPr>
        <w:fldChar w:fldCharType="begin"/>
      </w:r>
      <w:r>
        <w:rPr>
          <w:b/>
        </w:rPr>
        <w:instrText xml:space="preserve"> TOC \o "1-2" \h \z \u </w:instrText>
      </w:r>
      <w:r>
        <w:rPr>
          <w:b/>
        </w:rPr>
        <w:fldChar w:fldCharType="separate"/>
      </w:r>
      <w:hyperlink w:anchor="_Toc526774845" w:history="1"/>
      <w:hyperlink w:anchor="_Toc526774846" w:history="1">
        <w:r w:rsidR="00AF2241" w:rsidRPr="00276227">
          <w:rPr>
            <w:rStyle w:val="Hyperlink"/>
            <w:noProof/>
          </w:rPr>
          <w:t>Summary</w:t>
        </w:r>
        <w:r w:rsidR="00AF2241">
          <w:rPr>
            <w:noProof/>
            <w:webHidden/>
          </w:rPr>
          <w:tab/>
        </w:r>
        <w:r w:rsidR="00AF2241">
          <w:rPr>
            <w:noProof/>
            <w:webHidden/>
          </w:rPr>
          <w:fldChar w:fldCharType="begin"/>
        </w:r>
        <w:r w:rsidR="00AF2241">
          <w:rPr>
            <w:noProof/>
            <w:webHidden/>
          </w:rPr>
          <w:instrText xml:space="preserve"> PAGEREF _Toc526774846 \h </w:instrText>
        </w:r>
        <w:r w:rsidR="00AF2241">
          <w:rPr>
            <w:noProof/>
            <w:webHidden/>
          </w:rPr>
        </w:r>
        <w:r w:rsidR="00AF2241">
          <w:rPr>
            <w:noProof/>
            <w:webHidden/>
          </w:rPr>
          <w:fldChar w:fldCharType="separate"/>
        </w:r>
        <w:r w:rsidR="00AF2241">
          <w:rPr>
            <w:noProof/>
            <w:webHidden/>
          </w:rPr>
          <w:t>4</w:t>
        </w:r>
        <w:r w:rsidR="00AF2241">
          <w:rPr>
            <w:noProof/>
            <w:webHidden/>
          </w:rPr>
          <w:fldChar w:fldCharType="end"/>
        </w:r>
      </w:hyperlink>
    </w:p>
    <w:p w14:paraId="6237B636" w14:textId="6D466F7B" w:rsidR="00AF2241" w:rsidRDefault="00A46F92">
      <w:pPr>
        <w:pStyle w:val="TOC1"/>
        <w:rPr>
          <w:rFonts w:asciiTheme="minorHAnsi" w:eastAsiaTheme="minorEastAsia" w:hAnsiTheme="minorHAnsi" w:cstheme="minorBidi"/>
          <w:noProof/>
          <w:spacing w:val="0"/>
          <w:szCs w:val="22"/>
          <w:lang w:eastAsia="en-AU"/>
        </w:rPr>
      </w:pPr>
      <w:hyperlink w:anchor="_Toc526774847" w:history="1">
        <w:r w:rsidR="00AF2241" w:rsidRPr="00276227">
          <w:rPr>
            <w:rStyle w:val="Hyperlink"/>
            <w:noProof/>
          </w:rPr>
          <w:t>Background</w:t>
        </w:r>
        <w:r w:rsidR="00AF2241">
          <w:rPr>
            <w:noProof/>
            <w:webHidden/>
          </w:rPr>
          <w:tab/>
        </w:r>
        <w:r w:rsidR="00AF2241">
          <w:rPr>
            <w:noProof/>
            <w:webHidden/>
          </w:rPr>
          <w:fldChar w:fldCharType="begin"/>
        </w:r>
        <w:r w:rsidR="00AF2241">
          <w:rPr>
            <w:noProof/>
            <w:webHidden/>
          </w:rPr>
          <w:instrText xml:space="preserve"> PAGEREF _Toc526774847 \h </w:instrText>
        </w:r>
        <w:r w:rsidR="00AF2241">
          <w:rPr>
            <w:noProof/>
            <w:webHidden/>
          </w:rPr>
        </w:r>
        <w:r w:rsidR="00AF2241">
          <w:rPr>
            <w:noProof/>
            <w:webHidden/>
          </w:rPr>
          <w:fldChar w:fldCharType="separate"/>
        </w:r>
        <w:r w:rsidR="00AF2241">
          <w:rPr>
            <w:noProof/>
            <w:webHidden/>
          </w:rPr>
          <w:t>5</w:t>
        </w:r>
        <w:r w:rsidR="00AF2241">
          <w:rPr>
            <w:noProof/>
            <w:webHidden/>
          </w:rPr>
          <w:fldChar w:fldCharType="end"/>
        </w:r>
      </w:hyperlink>
    </w:p>
    <w:p w14:paraId="0E562903" w14:textId="69A5A8CD" w:rsidR="00AF2241" w:rsidRDefault="00A46F92">
      <w:pPr>
        <w:pStyle w:val="TOC1"/>
        <w:rPr>
          <w:rFonts w:asciiTheme="minorHAnsi" w:eastAsiaTheme="minorEastAsia" w:hAnsiTheme="minorHAnsi" w:cstheme="minorBidi"/>
          <w:noProof/>
          <w:spacing w:val="0"/>
          <w:szCs w:val="22"/>
          <w:lang w:eastAsia="en-AU"/>
        </w:rPr>
      </w:pPr>
      <w:hyperlink w:anchor="_Toc526774848" w:history="1">
        <w:r w:rsidR="00AF2241" w:rsidRPr="00276227">
          <w:rPr>
            <w:rStyle w:val="Hyperlink"/>
            <w:noProof/>
          </w:rPr>
          <w:t>Methodology</w:t>
        </w:r>
        <w:r w:rsidR="00AF2241">
          <w:rPr>
            <w:noProof/>
            <w:webHidden/>
          </w:rPr>
          <w:tab/>
        </w:r>
        <w:r w:rsidR="00AF2241">
          <w:rPr>
            <w:noProof/>
            <w:webHidden/>
          </w:rPr>
          <w:fldChar w:fldCharType="begin"/>
        </w:r>
        <w:r w:rsidR="00AF2241">
          <w:rPr>
            <w:noProof/>
            <w:webHidden/>
          </w:rPr>
          <w:instrText xml:space="preserve"> PAGEREF _Toc526774848 \h </w:instrText>
        </w:r>
        <w:r w:rsidR="00AF2241">
          <w:rPr>
            <w:noProof/>
            <w:webHidden/>
          </w:rPr>
        </w:r>
        <w:r w:rsidR="00AF2241">
          <w:rPr>
            <w:noProof/>
            <w:webHidden/>
          </w:rPr>
          <w:fldChar w:fldCharType="separate"/>
        </w:r>
        <w:r w:rsidR="00AF2241">
          <w:rPr>
            <w:noProof/>
            <w:webHidden/>
          </w:rPr>
          <w:t>6</w:t>
        </w:r>
        <w:r w:rsidR="00AF2241">
          <w:rPr>
            <w:noProof/>
            <w:webHidden/>
          </w:rPr>
          <w:fldChar w:fldCharType="end"/>
        </w:r>
      </w:hyperlink>
    </w:p>
    <w:p w14:paraId="1A700114" w14:textId="38BD1D46" w:rsidR="00AF2241" w:rsidRDefault="00A46F92">
      <w:pPr>
        <w:pStyle w:val="TOC1"/>
        <w:rPr>
          <w:rFonts w:asciiTheme="minorHAnsi" w:eastAsiaTheme="minorEastAsia" w:hAnsiTheme="minorHAnsi" w:cstheme="minorBidi"/>
          <w:noProof/>
          <w:spacing w:val="0"/>
          <w:szCs w:val="22"/>
          <w:lang w:eastAsia="en-AU"/>
        </w:rPr>
      </w:pPr>
      <w:hyperlink w:anchor="_Toc526774849" w:history="1">
        <w:r w:rsidR="00AF2241" w:rsidRPr="00276227">
          <w:rPr>
            <w:rStyle w:val="Hyperlink"/>
            <w:noProof/>
          </w:rPr>
          <w:t>Key findings</w:t>
        </w:r>
        <w:r w:rsidR="00AF2241">
          <w:rPr>
            <w:noProof/>
            <w:webHidden/>
          </w:rPr>
          <w:tab/>
        </w:r>
        <w:r w:rsidR="00AF2241">
          <w:rPr>
            <w:noProof/>
            <w:webHidden/>
          </w:rPr>
          <w:fldChar w:fldCharType="begin"/>
        </w:r>
        <w:r w:rsidR="00AF2241">
          <w:rPr>
            <w:noProof/>
            <w:webHidden/>
          </w:rPr>
          <w:instrText xml:space="preserve"> PAGEREF _Toc526774849 \h </w:instrText>
        </w:r>
        <w:r w:rsidR="00AF2241">
          <w:rPr>
            <w:noProof/>
            <w:webHidden/>
          </w:rPr>
        </w:r>
        <w:r w:rsidR="00AF2241">
          <w:rPr>
            <w:noProof/>
            <w:webHidden/>
          </w:rPr>
          <w:fldChar w:fldCharType="separate"/>
        </w:r>
        <w:r w:rsidR="00AF2241">
          <w:rPr>
            <w:noProof/>
            <w:webHidden/>
          </w:rPr>
          <w:t>7</w:t>
        </w:r>
        <w:r w:rsidR="00AF2241">
          <w:rPr>
            <w:noProof/>
            <w:webHidden/>
          </w:rPr>
          <w:fldChar w:fldCharType="end"/>
        </w:r>
      </w:hyperlink>
    </w:p>
    <w:p w14:paraId="55E61D74" w14:textId="63F4F1B0" w:rsidR="00AF2241" w:rsidRDefault="00A46F92">
      <w:pPr>
        <w:pStyle w:val="TOC2"/>
        <w:rPr>
          <w:rFonts w:asciiTheme="minorHAnsi" w:eastAsiaTheme="minorEastAsia" w:hAnsiTheme="minorHAnsi" w:cstheme="minorBidi"/>
          <w:noProof/>
          <w:szCs w:val="22"/>
          <w:lang w:eastAsia="en-AU"/>
        </w:rPr>
      </w:pPr>
      <w:hyperlink w:anchor="_Toc526774850" w:history="1">
        <w:r w:rsidR="00AF2241" w:rsidRPr="00276227">
          <w:rPr>
            <w:rStyle w:val="Hyperlink"/>
            <w:noProof/>
          </w:rPr>
          <w:t>Record-keeping</w:t>
        </w:r>
        <w:r w:rsidR="00AF2241">
          <w:rPr>
            <w:noProof/>
            <w:webHidden/>
          </w:rPr>
          <w:tab/>
        </w:r>
        <w:r w:rsidR="00AF2241">
          <w:rPr>
            <w:noProof/>
            <w:webHidden/>
          </w:rPr>
          <w:fldChar w:fldCharType="begin"/>
        </w:r>
        <w:r w:rsidR="00AF2241">
          <w:rPr>
            <w:noProof/>
            <w:webHidden/>
          </w:rPr>
          <w:instrText xml:space="preserve"> PAGEREF _Toc526774850 \h </w:instrText>
        </w:r>
        <w:r w:rsidR="00AF2241">
          <w:rPr>
            <w:noProof/>
            <w:webHidden/>
          </w:rPr>
        </w:r>
        <w:r w:rsidR="00AF2241">
          <w:rPr>
            <w:noProof/>
            <w:webHidden/>
          </w:rPr>
          <w:fldChar w:fldCharType="separate"/>
        </w:r>
        <w:r w:rsidR="00AF2241">
          <w:rPr>
            <w:noProof/>
            <w:webHidden/>
          </w:rPr>
          <w:t>7</w:t>
        </w:r>
        <w:r w:rsidR="00AF2241">
          <w:rPr>
            <w:noProof/>
            <w:webHidden/>
          </w:rPr>
          <w:fldChar w:fldCharType="end"/>
        </w:r>
      </w:hyperlink>
    </w:p>
    <w:p w14:paraId="7804C607" w14:textId="7157A0EC" w:rsidR="00AF2241" w:rsidRDefault="00A46F92">
      <w:pPr>
        <w:pStyle w:val="TOC2"/>
        <w:rPr>
          <w:rFonts w:asciiTheme="minorHAnsi" w:eastAsiaTheme="minorEastAsia" w:hAnsiTheme="minorHAnsi" w:cstheme="minorBidi"/>
          <w:noProof/>
          <w:szCs w:val="22"/>
          <w:lang w:eastAsia="en-AU"/>
        </w:rPr>
      </w:pPr>
      <w:hyperlink w:anchor="_Toc526774851" w:history="1">
        <w:r w:rsidR="00AF2241" w:rsidRPr="00276227">
          <w:rPr>
            <w:rStyle w:val="Hyperlink"/>
            <w:noProof/>
          </w:rPr>
          <w:t>Award entitlements and the NES</w:t>
        </w:r>
        <w:r w:rsidR="00AF2241">
          <w:rPr>
            <w:noProof/>
            <w:webHidden/>
          </w:rPr>
          <w:tab/>
        </w:r>
        <w:r w:rsidR="00AF2241">
          <w:rPr>
            <w:noProof/>
            <w:webHidden/>
          </w:rPr>
          <w:fldChar w:fldCharType="begin"/>
        </w:r>
        <w:r w:rsidR="00AF2241">
          <w:rPr>
            <w:noProof/>
            <w:webHidden/>
          </w:rPr>
          <w:instrText xml:space="preserve"> PAGEREF _Toc526774851 \h </w:instrText>
        </w:r>
        <w:r w:rsidR="00AF2241">
          <w:rPr>
            <w:noProof/>
            <w:webHidden/>
          </w:rPr>
        </w:r>
        <w:r w:rsidR="00AF2241">
          <w:rPr>
            <w:noProof/>
            <w:webHidden/>
          </w:rPr>
          <w:fldChar w:fldCharType="separate"/>
        </w:r>
        <w:r w:rsidR="00AF2241">
          <w:rPr>
            <w:noProof/>
            <w:webHidden/>
          </w:rPr>
          <w:t>7</w:t>
        </w:r>
        <w:r w:rsidR="00AF2241">
          <w:rPr>
            <w:noProof/>
            <w:webHidden/>
          </w:rPr>
          <w:fldChar w:fldCharType="end"/>
        </w:r>
      </w:hyperlink>
    </w:p>
    <w:p w14:paraId="6A2DE10B" w14:textId="41CD2BF7" w:rsidR="00AF2241" w:rsidRDefault="00A46F92">
      <w:pPr>
        <w:pStyle w:val="TOC2"/>
        <w:rPr>
          <w:rFonts w:asciiTheme="minorHAnsi" w:eastAsiaTheme="minorEastAsia" w:hAnsiTheme="minorHAnsi" w:cstheme="minorBidi"/>
          <w:noProof/>
          <w:szCs w:val="22"/>
          <w:lang w:eastAsia="en-AU"/>
        </w:rPr>
      </w:pPr>
      <w:hyperlink w:anchor="_Toc526774852" w:history="1">
        <w:r w:rsidR="00AF2241" w:rsidRPr="00276227">
          <w:rPr>
            <w:rStyle w:val="Hyperlink"/>
            <w:noProof/>
          </w:rPr>
          <w:t>Cash economy</w:t>
        </w:r>
        <w:r w:rsidR="00AF2241">
          <w:rPr>
            <w:noProof/>
            <w:webHidden/>
          </w:rPr>
          <w:tab/>
        </w:r>
        <w:r w:rsidR="00AF2241">
          <w:rPr>
            <w:noProof/>
            <w:webHidden/>
          </w:rPr>
          <w:fldChar w:fldCharType="begin"/>
        </w:r>
        <w:r w:rsidR="00AF2241">
          <w:rPr>
            <w:noProof/>
            <w:webHidden/>
          </w:rPr>
          <w:instrText xml:space="preserve"> PAGEREF _Toc526774852 \h </w:instrText>
        </w:r>
        <w:r w:rsidR="00AF2241">
          <w:rPr>
            <w:noProof/>
            <w:webHidden/>
          </w:rPr>
        </w:r>
        <w:r w:rsidR="00AF2241">
          <w:rPr>
            <w:noProof/>
            <w:webHidden/>
          </w:rPr>
          <w:fldChar w:fldCharType="separate"/>
        </w:r>
        <w:r w:rsidR="00AF2241">
          <w:rPr>
            <w:noProof/>
            <w:webHidden/>
          </w:rPr>
          <w:t>7</w:t>
        </w:r>
        <w:r w:rsidR="00AF2241">
          <w:rPr>
            <w:noProof/>
            <w:webHidden/>
          </w:rPr>
          <w:fldChar w:fldCharType="end"/>
        </w:r>
      </w:hyperlink>
    </w:p>
    <w:p w14:paraId="7D1F4F6A" w14:textId="68A59B66" w:rsidR="00AF2241" w:rsidRDefault="00A46F92">
      <w:pPr>
        <w:pStyle w:val="TOC1"/>
        <w:rPr>
          <w:rFonts w:asciiTheme="minorHAnsi" w:eastAsiaTheme="minorEastAsia" w:hAnsiTheme="minorHAnsi" w:cstheme="minorBidi"/>
          <w:noProof/>
          <w:spacing w:val="0"/>
          <w:szCs w:val="22"/>
          <w:lang w:eastAsia="en-AU"/>
        </w:rPr>
      </w:pPr>
      <w:hyperlink w:anchor="_Toc526774853" w:history="1">
        <w:r w:rsidR="00AF2241" w:rsidRPr="00276227">
          <w:rPr>
            <w:rStyle w:val="Hyperlink"/>
            <w:noProof/>
          </w:rPr>
          <w:t>Compliance and enforcement outcomes</w:t>
        </w:r>
        <w:r w:rsidR="00AF2241">
          <w:rPr>
            <w:noProof/>
            <w:webHidden/>
          </w:rPr>
          <w:tab/>
        </w:r>
        <w:r w:rsidR="00AF2241">
          <w:rPr>
            <w:noProof/>
            <w:webHidden/>
          </w:rPr>
          <w:fldChar w:fldCharType="begin"/>
        </w:r>
        <w:r w:rsidR="00AF2241">
          <w:rPr>
            <w:noProof/>
            <w:webHidden/>
          </w:rPr>
          <w:instrText xml:space="preserve"> PAGEREF _Toc526774853 \h </w:instrText>
        </w:r>
        <w:r w:rsidR="00AF2241">
          <w:rPr>
            <w:noProof/>
            <w:webHidden/>
          </w:rPr>
        </w:r>
        <w:r w:rsidR="00AF2241">
          <w:rPr>
            <w:noProof/>
            <w:webHidden/>
          </w:rPr>
          <w:fldChar w:fldCharType="separate"/>
        </w:r>
        <w:r w:rsidR="00AF2241">
          <w:rPr>
            <w:noProof/>
            <w:webHidden/>
          </w:rPr>
          <w:t>9</w:t>
        </w:r>
        <w:r w:rsidR="00AF2241">
          <w:rPr>
            <w:noProof/>
            <w:webHidden/>
          </w:rPr>
          <w:fldChar w:fldCharType="end"/>
        </w:r>
      </w:hyperlink>
    </w:p>
    <w:p w14:paraId="35368F58" w14:textId="161BFD39" w:rsidR="00AF2241" w:rsidRDefault="00A46F92">
      <w:pPr>
        <w:pStyle w:val="TOC2"/>
        <w:rPr>
          <w:rFonts w:asciiTheme="minorHAnsi" w:eastAsiaTheme="minorEastAsia" w:hAnsiTheme="minorHAnsi" w:cstheme="minorBidi"/>
          <w:noProof/>
          <w:szCs w:val="22"/>
          <w:lang w:eastAsia="en-AU"/>
        </w:rPr>
      </w:pPr>
      <w:hyperlink w:anchor="_Toc526774854" w:history="1">
        <w:r w:rsidR="00AF2241" w:rsidRPr="00276227">
          <w:rPr>
            <w:rStyle w:val="Hyperlink"/>
            <w:noProof/>
          </w:rPr>
          <w:t>Litigation</w:t>
        </w:r>
        <w:r w:rsidR="00AF2241">
          <w:rPr>
            <w:noProof/>
            <w:webHidden/>
          </w:rPr>
          <w:tab/>
        </w:r>
        <w:r w:rsidR="00AF2241">
          <w:rPr>
            <w:noProof/>
            <w:webHidden/>
          </w:rPr>
          <w:fldChar w:fldCharType="begin"/>
        </w:r>
        <w:r w:rsidR="00AF2241">
          <w:rPr>
            <w:noProof/>
            <w:webHidden/>
          </w:rPr>
          <w:instrText xml:space="preserve"> PAGEREF _Toc526774854 \h </w:instrText>
        </w:r>
        <w:r w:rsidR="00AF2241">
          <w:rPr>
            <w:noProof/>
            <w:webHidden/>
          </w:rPr>
        </w:r>
        <w:r w:rsidR="00AF2241">
          <w:rPr>
            <w:noProof/>
            <w:webHidden/>
          </w:rPr>
          <w:fldChar w:fldCharType="separate"/>
        </w:r>
        <w:r w:rsidR="00AF2241">
          <w:rPr>
            <w:noProof/>
            <w:webHidden/>
          </w:rPr>
          <w:t>9</w:t>
        </w:r>
        <w:r w:rsidR="00AF2241">
          <w:rPr>
            <w:noProof/>
            <w:webHidden/>
          </w:rPr>
          <w:fldChar w:fldCharType="end"/>
        </w:r>
      </w:hyperlink>
    </w:p>
    <w:p w14:paraId="0925E3EF" w14:textId="79B6E08E" w:rsidR="00AF2241" w:rsidRDefault="00A46F92">
      <w:pPr>
        <w:pStyle w:val="TOC2"/>
        <w:rPr>
          <w:rFonts w:asciiTheme="minorHAnsi" w:eastAsiaTheme="minorEastAsia" w:hAnsiTheme="minorHAnsi" w:cstheme="minorBidi"/>
          <w:noProof/>
          <w:szCs w:val="22"/>
          <w:lang w:eastAsia="en-AU"/>
        </w:rPr>
      </w:pPr>
      <w:hyperlink w:anchor="_Toc526774855" w:history="1">
        <w:r w:rsidR="00AF2241" w:rsidRPr="00276227">
          <w:rPr>
            <w:rStyle w:val="Hyperlink"/>
            <w:noProof/>
          </w:rPr>
          <w:t>Enforceable undertakings</w:t>
        </w:r>
        <w:r w:rsidR="00AF2241">
          <w:rPr>
            <w:noProof/>
            <w:webHidden/>
          </w:rPr>
          <w:tab/>
        </w:r>
        <w:r w:rsidR="00AF2241">
          <w:rPr>
            <w:noProof/>
            <w:webHidden/>
          </w:rPr>
          <w:fldChar w:fldCharType="begin"/>
        </w:r>
        <w:r w:rsidR="00AF2241">
          <w:rPr>
            <w:noProof/>
            <w:webHidden/>
          </w:rPr>
          <w:instrText xml:space="preserve"> PAGEREF _Toc526774855 \h </w:instrText>
        </w:r>
        <w:r w:rsidR="00AF2241">
          <w:rPr>
            <w:noProof/>
            <w:webHidden/>
          </w:rPr>
        </w:r>
        <w:r w:rsidR="00AF2241">
          <w:rPr>
            <w:noProof/>
            <w:webHidden/>
          </w:rPr>
          <w:fldChar w:fldCharType="separate"/>
        </w:r>
        <w:r w:rsidR="00AF2241">
          <w:rPr>
            <w:noProof/>
            <w:webHidden/>
          </w:rPr>
          <w:t>10</w:t>
        </w:r>
        <w:r w:rsidR="00AF2241">
          <w:rPr>
            <w:noProof/>
            <w:webHidden/>
          </w:rPr>
          <w:fldChar w:fldCharType="end"/>
        </w:r>
      </w:hyperlink>
    </w:p>
    <w:p w14:paraId="0DA60DD0" w14:textId="7DE48459" w:rsidR="00AF2241" w:rsidRDefault="00A46F92">
      <w:pPr>
        <w:pStyle w:val="TOC2"/>
        <w:rPr>
          <w:rFonts w:asciiTheme="minorHAnsi" w:eastAsiaTheme="minorEastAsia" w:hAnsiTheme="minorHAnsi" w:cstheme="minorBidi"/>
          <w:noProof/>
          <w:szCs w:val="22"/>
          <w:lang w:eastAsia="en-AU"/>
        </w:rPr>
      </w:pPr>
      <w:hyperlink w:anchor="_Toc526774856" w:history="1">
        <w:r w:rsidR="00AF2241" w:rsidRPr="00276227">
          <w:rPr>
            <w:rStyle w:val="Hyperlink"/>
            <w:noProof/>
          </w:rPr>
          <w:t>Other compliance and enforcement outcomes</w:t>
        </w:r>
        <w:r w:rsidR="00AF2241">
          <w:rPr>
            <w:noProof/>
            <w:webHidden/>
          </w:rPr>
          <w:tab/>
        </w:r>
        <w:r w:rsidR="00AF2241">
          <w:rPr>
            <w:noProof/>
            <w:webHidden/>
          </w:rPr>
          <w:fldChar w:fldCharType="begin"/>
        </w:r>
        <w:r w:rsidR="00AF2241">
          <w:rPr>
            <w:noProof/>
            <w:webHidden/>
          </w:rPr>
          <w:instrText xml:space="preserve"> PAGEREF _Toc526774856 \h </w:instrText>
        </w:r>
        <w:r w:rsidR="00AF2241">
          <w:rPr>
            <w:noProof/>
            <w:webHidden/>
          </w:rPr>
        </w:r>
        <w:r w:rsidR="00AF2241">
          <w:rPr>
            <w:noProof/>
            <w:webHidden/>
          </w:rPr>
          <w:fldChar w:fldCharType="separate"/>
        </w:r>
        <w:r w:rsidR="00AF2241">
          <w:rPr>
            <w:noProof/>
            <w:webHidden/>
          </w:rPr>
          <w:t>11</w:t>
        </w:r>
        <w:r w:rsidR="00AF2241">
          <w:rPr>
            <w:noProof/>
            <w:webHidden/>
          </w:rPr>
          <w:fldChar w:fldCharType="end"/>
        </w:r>
      </w:hyperlink>
    </w:p>
    <w:p w14:paraId="366C8AB4" w14:textId="6C86C5AC" w:rsidR="00AF2241" w:rsidRDefault="00A46F92">
      <w:pPr>
        <w:pStyle w:val="TOC1"/>
        <w:rPr>
          <w:rFonts w:asciiTheme="minorHAnsi" w:eastAsiaTheme="minorEastAsia" w:hAnsiTheme="minorHAnsi" w:cstheme="minorBidi"/>
          <w:noProof/>
          <w:spacing w:val="0"/>
          <w:szCs w:val="22"/>
          <w:lang w:eastAsia="en-AU"/>
        </w:rPr>
      </w:pPr>
      <w:hyperlink w:anchor="_Toc526774857" w:history="1">
        <w:r w:rsidR="00AF2241" w:rsidRPr="00276227">
          <w:rPr>
            <w:rStyle w:val="Hyperlink"/>
            <w:noProof/>
          </w:rPr>
          <w:t>Conclusion</w:t>
        </w:r>
        <w:r w:rsidR="00AF2241">
          <w:rPr>
            <w:noProof/>
            <w:webHidden/>
          </w:rPr>
          <w:tab/>
        </w:r>
        <w:r w:rsidR="00AF2241">
          <w:rPr>
            <w:noProof/>
            <w:webHidden/>
          </w:rPr>
          <w:fldChar w:fldCharType="begin"/>
        </w:r>
        <w:r w:rsidR="00AF2241">
          <w:rPr>
            <w:noProof/>
            <w:webHidden/>
          </w:rPr>
          <w:instrText xml:space="preserve"> PAGEREF _Toc526774857 \h </w:instrText>
        </w:r>
        <w:r w:rsidR="00AF2241">
          <w:rPr>
            <w:noProof/>
            <w:webHidden/>
          </w:rPr>
        </w:r>
        <w:r w:rsidR="00AF2241">
          <w:rPr>
            <w:noProof/>
            <w:webHidden/>
          </w:rPr>
          <w:fldChar w:fldCharType="separate"/>
        </w:r>
        <w:r w:rsidR="00AF2241">
          <w:rPr>
            <w:noProof/>
            <w:webHidden/>
          </w:rPr>
          <w:t>12</w:t>
        </w:r>
        <w:r w:rsidR="00AF2241">
          <w:rPr>
            <w:noProof/>
            <w:webHidden/>
          </w:rPr>
          <w:fldChar w:fldCharType="end"/>
        </w:r>
      </w:hyperlink>
    </w:p>
    <w:p w14:paraId="7D11E052" w14:textId="5A852143" w:rsidR="00AF2241" w:rsidRDefault="00A46F92">
      <w:pPr>
        <w:pStyle w:val="TOC1"/>
        <w:rPr>
          <w:rFonts w:asciiTheme="minorHAnsi" w:eastAsiaTheme="minorEastAsia" w:hAnsiTheme="minorHAnsi" w:cstheme="minorBidi"/>
          <w:noProof/>
          <w:spacing w:val="0"/>
          <w:szCs w:val="22"/>
          <w:lang w:eastAsia="en-AU"/>
        </w:rPr>
      </w:pPr>
      <w:hyperlink w:anchor="_Toc526774858" w:history="1">
        <w:r w:rsidR="00AF2241" w:rsidRPr="00276227">
          <w:rPr>
            <w:rStyle w:val="Hyperlink"/>
            <w:noProof/>
          </w:rPr>
          <w:t>About the Fair Work Ombudsman</w:t>
        </w:r>
        <w:r w:rsidR="00AF2241">
          <w:rPr>
            <w:noProof/>
            <w:webHidden/>
          </w:rPr>
          <w:tab/>
        </w:r>
        <w:r w:rsidR="00AF2241">
          <w:rPr>
            <w:noProof/>
            <w:webHidden/>
          </w:rPr>
          <w:fldChar w:fldCharType="begin"/>
        </w:r>
        <w:r w:rsidR="00AF2241">
          <w:rPr>
            <w:noProof/>
            <w:webHidden/>
          </w:rPr>
          <w:instrText xml:space="preserve"> PAGEREF _Toc526774858 \h </w:instrText>
        </w:r>
        <w:r w:rsidR="00AF2241">
          <w:rPr>
            <w:noProof/>
            <w:webHidden/>
          </w:rPr>
        </w:r>
        <w:r w:rsidR="00AF2241">
          <w:rPr>
            <w:noProof/>
            <w:webHidden/>
          </w:rPr>
          <w:fldChar w:fldCharType="separate"/>
        </w:r>
        <w:r w:rsidR="00AF2241">
          <w:rPr>
            <w:noProof/>
            <w:webHidden/>
          </w:rPr>
          <w:t>13</w:t>
        </w:r>
        <w:r w:rsidR="00AF2241">
          <w:rPr>
            <w:noProof/>
            <w:webHidden/>
          </w:rPr>
          <w:fldChar w:fldCharType="end"/>
        </w:r>
      </w:hyperlink>
    </w:p>
    <w:p w14:paraId="31D7AE30" w14:textId="3FEFFE3B" w:rsidR="00AF2241" w:rsidRDefault="00A46F92">
      <w:pPr>
        <w:pStyle w:val="TOC1"/>
        <w:rPr>
          <w:rFonts w:asciiTheme="minorHAnsi" w:eastAsiaTheme="minorEastAsia" w:hAnsiTheme="minorHAnsi" w:cstheme="minorBidi"/>
          <w:noProof/>
          <w:spacing w:val="0"/>
          <w:szCs w:val="22"/>
          <w:lang w:eastAsia="en-AU"/>
        </w:rPr>
      </w:pPr>
      <w:hyperlink w:anchor="_Toc526774859" w:history="1">
        <w:r w:rsidR="00AF2241" w:rsidRPr="00276227">
          <w:rPr>
            <w:rStyle w:val="Hyperlink"/>
            <w:rFonts w:eastAsiaTheme="minorHAnsi"/>
            <w:noProof/>
          </w:rPr>
          <w:t>Appendix A – Litigations</w:t>
        </w:r>
        <w:r w:rsidR="00AF2241">
          <w:rPr>
            <w:noProof/>
            <w:webHidden/>
          </w:rPr>
          <w:tab/>
        </w:r>
        <w:r w:rsidR="00AF2241">
          <w:rPr>
            <w:noProof/>
            <w:webHidden/>
          </w:rPr>
          <w:fldChar w:fldCharType="begin"/>
        </w:r>
        <w:r w:rsidR="00AF2241">
          <w:rPr>
            <w:noProof/>
            <w:webHidden/>
          </w:rPr>
          <w:instrText xml:space="preserve"> PAGEREF _Toc526774859 \h </w:instrText>
        </w:r>
        <w:r w:rsidR="00AF2241">
          <w:rPr>
            <w:noProof/>
            <w:webHidden/>
          </w:rPr>
        </w:r>
        <w:r w:rsidR="00AF2241">
          <w:rPr>
            <w:noProof/>
            <w:webHidden/>
          </w:rPr>
          <w:fldChar w:fldCharType="separate"/>
        </w:r>
        <w:r w:rsidR="00AF2241">
          <w:rPr>
            <w:noProof/>
            <w:webHidden/>
          </w:rPr>
          <w:t>14</w:t>
        </w:r>
        <w:r w:rsidR="00AF2241">
          <w:rPr>
            <w:noProof/>
            <w:webHidden/>
          </w:rPr>
          <w:fldChar w:fldCharType="end"/>
        </w:r>
      </w:hyperlink>
    </w:p>
    <w:p w14:paraId="258DEE00" w14:textId="14F192C2" w:rsidR="00BF0029" w:rsidRPr="00181475" w:rsidRDefault="004D2F74" w:rsidP="004D2F74">
      <w:r>
        <w:fldChar w:fldCharType="end"/>
      </w:r>
    </w:p>
    <w:p w14:paraId="50F03577" w14:textId="77777777" w:rsidR="00BF0029" w:rsidRDefault="00BF0029">
      <w:pPr>
        <w:spacing w:line="240" w:lineRule="auto"/>
        <w:rPr>
          <w:rFonts w:eastAsiaTheme="minorHAnsi" w:cs="Times New Roman"/>
          <w:szCs w:val="22"/>
          <w:lang w:eastAsia="en-AU"/>
        </w:rPr>
      </w:pPr>
      <w:r>
        <w:rPr>
          <w:lang w:eastAsia="en-AU"/>
        </w:rPr>
        <w:br w:type="page"/>
      </w:r>
    </w:p>
    <w:p w14:paraId="30BD11EA" w14:textId="7C83064E" w:rsidR="005F4B44" w:rsidRPr="005F4B44" w:rsidRDefault="005F4B44" w:rsidP="00100935">
      <w:pPr>
        <w:pStyle w:val="Heading1"/>
      </w:pPr>
      <w:bookmarkStart w:id="3" w:name="_Toc526774846"/>
      <w:bookmarkStart w:id="4" w:name="_Toc524505411"/>
      <w:bookmarkStart w:id="5" w:name="_Toc410822213"/>
      <w:bookmarkStart w:id="6" w:name="_Toc410822926"/>
      <w:r w:rsidRPr="005F4B44">
        <w:lastRenderedPageBreak/>
        <w:t>Summary</w:t>
      </w:r>
      <w:bookmarkEnd w:id="3"/>
    </w:p>
    <w:p w14:paraId="7A8E9AC3" w14:textId="77777777" w:rsidR="005F4B44" w:rsidRPr="005F4B44" w:rsidRDefault="005F4B44" w:rsidP="00C12BCB">
      <w:pPr>
        <w:spacing w:before="0" w:after="120"/>
      </w:pPr>
      <w:r w:rsidRPr="005F4B44">
        <w:t>Due to the high number of requests for assistance from vulnerable workers in regional sushi eateries, the Fair Work Ombudsman [FWO] commenced a compliance activity examining 45 sushi businesses in the following regions:</w:t>
      </w:r>
    </w:p>
    <w:p w14:paraId="4BD41862" w14:textId="77777777" w:rsidR="005F4B44" w:rsidRPr="005F4B44" w:rsidRDefault="005F4B44" w:rsidP="00C12BCB">
      <w:pPr>
        <w:pStyle w:val="Bullet"/>
        <w:spacing w:before="0" w:after="120" w:line="360" w:lineRule="auto"/>
      </w:pPr>
      <w:r w:rsidRPr="005F4B44">
        <w:t>Newcastle (NSW)</w:t>
      </w:r>
    </w:p>
    <w:p w14:paraId="22B85706" w14:textId="77777777" w:rsidR="005F4B44" w:rsidRPr="005F4B44" w:rsidRDefault="005F4B44" w:rsidP="00C12BCB">
      <w:pPr>
        <w:pStyle w:val="Bullet"/>
        <w:spacing w:before="0" w:after="120" w:line="360" w:lineRule="auto"/>
      </w:pPr>
      <w:r w:rsidRPr="005F4B44">
        <w:t>Hunter / Central Coast (NSW)</w:t>
      </w:r>
    </w:p>
    <w:p w14:paraId="14EF387B" w14:textId="77777777" w:rsidR="005F4B44" w:rsidRPr="005F4B44" w:rsidRDefault="005F4B44" w:rsidP="00C12BCB">
      <w:pPr>
        <w:pStyle w:val="Bullet"/>
        <w:spacing w:before="0" w:after="120" w:line="360" w:lineRule="auto"/>
      </w:pPr>
      <w:r w:rsidRPr="005F4B44">
        <w:t>Coffs Harbour (NSW)</w:t>
      </w:r>
    </w:p>
    <w:p w14:paraId="38567C1C" w14:textId="77777777" w:rsidR="005F4B44" w:rsidRPr="005F4B44" w:rsidRDefault="005F4B44" w:rsidP="00C12BCB">
      <w:pPr>
        <w:pStyle w:val="Bullet"/>
        <w:spacing w:before="0" w:after="120" w:line="360" w:lineRule="auto"/>
      </w:pPr>
      <w:r w:rsidRPr="005F4B44">
        <w:t>North Coast (NSW)</w:t>
      </w:r>
    </w:p>
    <w:p w14:paraId="68E40534" w14:textId="77777777" w:rsidR="005F4B44" w:rsidRPr="005F4B44" w:rsidRDefault="005F4B44" w:rsidP="00C12BCB">
      <w:pPr>
        <w:pStyle w:val="Bullet"/>
        <w:spacing w:before="0" w:after="120" w:line="360" w:lineRule="auto"/>
      </w:pPr>
      <w:r w:rsidRPr="005F4B44">
        <w:rPr>
          <w:color w:val="000000" w:themeColor="text1"/>
        </w:rPr>
        <w:t>Canberra (ACT)</w:t>
      </w:r>
    </w:p>
    <w:p w14:paraId="0EA87D3A" w14:textId="77777777" w:rsidR="005F4B44" w:rsidRPr="005F4B44" w:rsidRDefault="005F4B44" w:rsidP="00C12BCB">
      <w:pPr>
        <w:pStyle w:val="Bullet"/>
        <w:spacing w:before="0" w:after="120" w:line="360" w:lineRule="auto"/>
      </w:pPr>
      <w:r w:rsidRPr="005F4B44">
        <w:rPr>
          <w:color w:val="000000" w:themeColor="text1"/>
        </w:rPr>
        <w:t>Gold Coast (QLD).</w:t>
      </w:r>
    </w:p>
    <w:p w14:paraId="70D8CBAC" w14:textId="77777777" w:rsidR="005F4B44" w:rsidRPr="005F4B44" w:rsidRDefault="005F4B44" w:rsidP="00C12BCB">
      <w:pPr>
        <w:spacing w:before="0" w:after="120"/>
      </w:pPr>
      <w:r w:rsidRPr="005F4B44">
        <w:t>Fair Work Inspectors found an 87% non-compliance rate and recovered $797 063 for 406 employees. The activity identified the following items of concern:</w:t>
      </w:r>
    </w:p>
    <w:p w14:paraId="480A68C4" w14:textId="77777777" w:rsidR="005F4B44" w:rsidRPr="005F4B44" w:rsidRDefault="005F4B44" w:rsidP="00C12BCB">
      <w:pPr>
        <w:pStyle w:val="Bullet"/>
        <w:spacing w:before="0" w:after="120" w:line="360" w:lineRule="auto"/>
      </w:pPr>
      <w:r w:rsidRPr="005F4B44">
        <w:t>widespread use of false records</w:t>
      </w:r>
    </w:p>
    <w:p w14:paraId="5261F49A" w14:textId="77777777" w:rsidR="005F4B44" w:rsidRPr="005F4B44" w:rsidRDefault="005F4B44" w:rsidP="00C12BCB">
      <w:pPr>
        <w:pStyle w:val="Bullet"/>
        <w:spacing w:before="0" w:after="120" w:line="360" w:lineRule="auto"/>
      </w:pPr>
      <w:r w:rsidRPr="005F4B44">
        <w:t>non-issue of pay slips</w:t>
      </w:r>
    </w:p>
    <w:p w14:paraId="12F1AA24" w14:textId="77777777" w:rsidR="005F4B44" w:rsidRPr="005F4B44" w:rsidRDefault="005F4B44" w:rsidP="00C12BCB">
      <w:pPr>
        <w:pStyle w:val="Bullet"/>
        <w:spacing w:before="0" w:after="120" w:line="360" w:lineRule="auto"/>
      </w:pPr>
      <w:r w:rsidRPr="005F4B44">
        <w:t>excessive unpaid or underpaid hours</w:t>
      </w:r>
    </w:p>
    <w:p w14:paraId="5C18D3A9" w14:textId="77777777" w:rsidR="005F4B44" w:rsidRPr="005F4B44" w:rsidRDefault="005F4B44" w:rsidP="00C12BCB">
      <w:pPr>
        <w:pStyle w:val="Bullet"/>
        <w:spacing w:before="0" w:after="120" w:line="360" w:lineRule="auto"/>
      </w:pPr>
      <w:proofErr w:type="gramStart"/>
      <w:r w:rsidRPr="005F4B44">
        <w:t>a</w:t>
      </w:r>
      <w:proofErr w:type="gramEnd"/>
      <w:r w:rsidRPr="005F4B44">
        <w:t xml:space="preserve"> reliance on vulnerable workers (young, migrant, non-English speaking background).</w:t>
      </w:r>
    </w:p>
    <w:p w14:paraId="3F7CD728" w14:textId="77777777" w:rsidR="005F4B44" w:rsidRPr="005F4B44" w:rsidRDefault="005F4B44" w:rsidP="00C12BCB">
      <w:pPr>
        <w:spacing w:before="0" w:after="120"/>
      </w:pPr>
      <w:r w:rsidRPr="005F4B44">
        <w:t>The activity resulted in the following compliance and enforcement outcomes:</w:t>
      </w:r>
    </w:p>
    <w:p w14:paraId="3356EE6D" w14:textId="77777777" w:rsidR="005F4B44" w:rsidRPr="005F4B44" w:rsidRDefault="005F4B44" w:rsidP="00C12BCB">
      <w:pPr>
        <w:pStyle w:val="Bullet"/>
        <w:spacing w:before="0" w:after="120" w:line="360" w:lineRule="auto"/>
      </w:pPr>
      <w:r w:rsidRPr="005F4B44">
        <w:t>six legal proceedings (with 3 additional litigations likely)</w:t>
      </w:r>
    </w:p>
    <w:p w14:paraId="29059DB9" w14:textId="77777777" w:rsidR="005F4B44" w:rsidRPr="005F4B44" w:rsidRDefault="005F4B44" w:rsidP="00C12BCB">
      <w:pPr>
        <w:pStyle w:val="Bullet"/>
        <w:spacing w:before="0" w:after="120" w:line="360" w:lineRule="auto"/>
      </w:pPr>
      <w:r w:rsidRPr="005F4B44">
        <w:t>one Enforceable Undertaking</w:t>
      </w:r>
    </w:p>
    <w:p w14:paraId="578078AE" w14:textId="77777777" w:rsidR="005F4B44" w:rsidRPr="005F4B44" w:rsidRDefault="005F4B44" w:rsidP="00C12BCB">
      <w:pPr>
        <w:pStyle w:val="Bullet"/>
        <w:spacing w:before="0" w:after="120" w:line="360" w:lineRule="auto"/>
      </w:pPr>
      <w:r w:rsidRPr="005F4B44">
        <w:t>six Compliance Notices</w:t>
      </w:r>
    </w:p>
    <w:p w14:paraId="76A28712" w14:textId="77777777" w:rsidR="005F4B44" w:rsidRPr="005F4B44" w:rsidRDefault="005F4B44" w:rsidP="00C12BCB">
      <w:pPr>
        <w:pStyle w:val="Bullet"/>
        <w:spacing w:before="0" w:after="120" w:line="360" w:lineRule="auto"/>
      </w:pPr>
      <w:r w:rsidRPr="005F4B44">
        <w:t>nine Infringement Notices</w:t>
      </w:r>
    </w:p>
    <w:p w14:paraId="5424B1E7" w14:textId="77777777" w:rsidR="005F4B44" w:rsidRPr="005F4B44" w:rsidRDefault="005F4B44" w:rsidP="00C12BCB">
      <w:pPr>
        <w:pStyle w:val="Bullet"/>
        <w:spacing w:before="0" w:after="120" w:line="360" w:lineRule="auto"/>
      </w:pPr>
      <w:proofErr w:type="gramStart"/>
      <w:r w:rsidRPr="005F4B44">
        <w:t>fifteen</w:t>
      </w:r>
      <w:proofErr w:type="gramEnd"/>
      <w:r w:rsidRPr="005F4B44">
        <w:t xml:space="preserve"> Formal Cautions. </w:t>
      </w:r>
    </w:p>
    <w:p w14:paraId="788B4616" w14:textId="1EC9C835" w:rsidR="005F4B44" w:rsidRDefault="005F4B44" w:rsidP="00C12BCB">
      <w:pPr>
        <w:spacing w:before="0" w:after="120"/>
      </w:pPr>
      <w:r w:rsidRPr="005F4B44">
        <w:t>To date, three of the six legal matters have been finalised, resulting in court ordered penalties of $172 250.</w:t>
      </w:r>
    </w:p>
    <w:p w14:paraId="0132C069" w14:textId="77777777" w:rsidR="005F4B44" w:rsidRDefault="005F4B44" w:rsidP="00C12BCB">
      <w:pPr>
        <w:spacing w:before="0" w:after="120"/>
        <w:rPr>
          <w:rFonts w:ascii="Helvetica" w:hAnsi="Helvetica"/>
          <w:color w:val="263746"/>
          <w:sz w:val="44"/>
          <w:szCs w:val="26"/>
        </w:rPr>
      </w:pPr>
      <w:r>
        <w:br w:type="page"/>
      </w:r>
    </w:p>
    <w:p w14:paraId="2E9247E2" w14:textId="77777777" w:rsidR="005F4B44" w:rsidRPr="00391E93" w:rsidRDefault="005F4B44" w:rsidP="00100935">
      <w:pPr>
        <w:pStyle w:val="Heading1"/>
      </w:pPr>
      <w:bookmarkStart w:id="7" w:name="_Toc526774847"/>
      <w:bookmarkStart w:id="8" w:name="_Toc524505421"/>
      <w:bookmarkEnd w:id="4"/>
      <w:bookmarkEnd w:id="5"/>
      <w:bookmarkEnd w:id="6"/>
      <w:r w:rsidRPr="00391E93">
        <w:lastRenderedPageBreak/>
        <w:t>Background</w:t>
      </w:r>
      <w:bookmarkEnd w:id="7"/>
    </w:p>
    <w:p w14:paraId="3CDC6844" w14:textId="617A42CC" w:rsidR="005F4B44" w:rsidRPr="00574470" w:rsidRDefault="005F4B44" w:rsidP="00C12BCB">
      <w:pPr>
        <w:spacing w:before="0" w:after="120"/>
      </w:pPr>
      <w:r w:rsidRPr="00574470">
        <w:t>The popularity of sushi in the Australian fast food market has grown</w:t>
      </w:r>
      <w:r>
        <w:t xml:space="preserve"> considerably in recent years</w:t>
      </w:r>
      <w:r w:rsidRPr="00574470">
        <w:t>, as reflected by the sector’s strong profit growth</w:t>
      </w:r>
      <w:r w:rsidRPr="00574470">
        <w:rPr>
          <w:rStyle w:val="FootnoteReference"/>
          <w:rFonts w:cs="Helvetica"/>
          <w:szCs w:val="22"/>
        </w:rPr>
        <w:footnoteReference w:id="1"/>
      </w:r>
      <w:r w:rsidRPr="00574470">
        <w:t xml:space="preserve"> and consumer taste research.</w:t>
      </w:r>
      <w:r w:rsidRPr="00574470">
        <w:rPr>
          <w:rStyle w:val="FootnoteReference"/>
          <w:rFonts w:cs="Helvetica"/>
          <w:szCs w:val="22"/>
        </w:rPr>
        <w:footnoteReference w:id="2"/>
      </w:r>
    </w:p>
    <w:p w14:paraId="6E98D743" w14:textId="77777777" w:rsidR="005F4B44" w:rsidRDefault="005F4B44" w:rsidP="00C12BCB">
      <w:pPr>
        <w:spacing w:before="0" w:after="120"/>
      </w:pPr>
      <w:r w:rsidRPr="00574470">
        <w:t xml:space="preserve">From July 2013 to June 2017, the FWO resolved 11,826 disputes involving businesses in the Food and Beverage Services sector. These </w:t>
      </w:r>
      <w:r>
        <w:t xml:space="preserve">workplace </w:t>
      </w:r>
      <w:r w:rsidRPr="00574470">
        <w:t xml:space="preserve">disputes accounted for 14% of all those resolved by FWO in the period, making it the highest industry sector of FWO completed disputes. </w:t>
      </w:r>
    </w:p>
    <w:p w14:paraId="78870804" w14:textId="77777777" w:rsidR="005F4B44" w:rsidRPr="00574470" w:rsidRDefault="005F4B44" w:rsidP="00C12BCB">
      <w:pPr>
        <w:spacing w:before="0" w:after="120"/>
      </w:pPr>
      <w:r w:rsidRPr="00574470">
        <w:t>From July 2013 to June 2017, 54% of dispute lodgements from sushi eateries involved a visa holder and 39% involved a young worker.</w:t>
      </w:r>
    </w:p>
    <w:p w14:paraId="6F4B8A32" w14:textId="77777777" w:rsidR="005F4B44" w:rsidRPr="00574470" w:rsidRDefault="005F4B44" w:rsidP="00C12BCB">
      <w:pPr>
        <w:spacing w:before="0" w:after="120"/>
      </w:pPr>
      <w:r w:rsidRPr="00574470">
        <w:t xml:space="preserve">Since the launch of the FWO anonymous report tool in 2016 the number of sushi-related reports has increased from 15 in 2016, to 60 in 2017 and 169 in 2018. </w:t>
      </w:r>
    </w:p>
    <w:p w14:paraId="40018D09" w14:textId="77777777" w:rsidR="005F4B44" w:rsidRPr="00574470" w:rsidRDefault="005F4B44" w:rsidP="00C12BCB">
      <w:pPr>
        <w:spacing w:before="0" w:after="120"/>
      </w:pPr>
      <w:r>
        <w:t xml:space="preserve">The </w:t>
      </w:r>
      <w:r w:rsidRPr="00574470">
        <w:t xml:space="preserve">FWO commenced a compliance activity to </w:t>
      </w:r>
      <w:r>
        <w:t>assess compliance at a sample of sushi businesses in six regions</w:t>
      </w:r>
      <w:r w:rsidRPr="00574470">
        <w:t>.</w:t>
      </w:r>
    </w:p>
    <w:p w14:paraId="4688E03B" w14:textId="77777777" w:rsidR="001F6234" w:rsidRDefault="001F6234">
      <w:pPr>
        <w:spacing w:before="0" w:line="240" w:lineRule="auto"/>
        <w:rPr>
          <w:rFonts w:ascii="Helvetica" w:hAnsi="Helvetica"/>
          <w:color w:val="263746"/>
          <w:sz w:val="44"/>
          <w:szCs w:val="26"/>
        </w:rPr>
      </w:pPr>
      <w:r>
        <w:br w:type="page"/>
      </w:r>
    </w:p>
    <w:p w14:paraId="168C6944" w14:textId="49EA8F51" w:rsidR="005F4B44" w:rsidRPr="00515A11" w:rsidRDefault="00FB0D2B" w:rsidP="00100935">
      <w:pPr>
        <w:pStyle w:val="Heading1"/>
      </w:pPr>
      <w:bookmarkStart w:id="9" w:name="_Toc526774848"/>
      <w:r>
        <w:lastRenderedPageBreak/>
        <w:t>Methodology</w:t>
      </w:r>
      <w:bookmarkEnd w:id="9"/>
    </w:p>
    <w:p w14:paraId="23AF04C3" w14:textId="62C5DD12" w:rsidR="005F4B44" w:rsidRPr="00574470" w:rsidRDefault="005F4B44" w:rsidP="00C12BCB">
      <w:pPr>
        <w:spacing w:before="0" w:after="120"/>
        <w:rPr>
          <w:rFonts w:cs="Helvetica"/>
        </w:rPr>
      </w:pPr>
      <w:r w:rsidRPr="00574470">
        <w:rPr>
          <w:rFonts w:cs="Helvetica"/>
        </w:rPr>
        <w:t xml:space="preserve">The compliance activity focussed on assessing compliance </w:t>
      </w:r>
      <w:r>
        <w:rPr>
          <w:rFonts w:cs="Helvetica"/>
        </w:rPr>
        <w:t xml:space="preserve">in six locations </w:t>
      </w:r>
      <w:r w:rsidRPr="00574470">
        <w:rPr>
          <w:rFonts w:cs="Helvetica"/>
        </w:rPr>
        <w:t xml:space="preserve">with the following provisions of the </w:t>
      </w:r>
      <w:r w:rsidRPr="00574470">
        <w:rPr>
          <w:rFonts w:cs="Helvetica"/>
          <w:i/>
        </w:rPr>
        <w:t xml:space="preserve">Fair Work Act 2009 </w:t>
      </w:r>
      <w:r w:rsidRPr="00574470">
        <w:rPr>
          <w:rFonts w:cs="Helvetica"/>
        </w:rPr>
        <w:t>(</w:t>
      </w:r>
      <w:r w:rsidR="002D458F">
        <w:rPr>
          <w:rFonts w:cs="Helvetica"/>
        </w:rPr>
        <w:t>the</w:t>
      </w:r>
      <w:r w:rsidRPr="00574470">
        <w:rPr>
          <w:rFonts w:cs="Helvetica"/>
        </w:rPr>
        <w:t xml:space="preserve"> Act):</w:t>
      </w:r>
    </w:p>
    <w:p w14:paraId="0C566304" w14:textId="77777777" w:rsidR="005F4B44" w:rsidRPr="005F4B44" w:rsidRDefault="005F4B44" w:rsidP="00C12BCB">
      <w:pPr>
        <w:pStyle w:val="Bullet"/>
        <w:spacing w:before="0" w:after="120" w:line="360" w:lineRule="auto"/>
      </w:pPr>
      <w:r w:rsidRPr="005F4B44">
        <w:t>Section 44 – Contravening the National Employment Standards (NES)</w:t>
      </w:r>
    </w:p>
    <w:p w14:paraId="69215071" w14:textId="77777777" w:rsidR="005F4B44" w:rsidRPr="005F4B44" w:rsidRDefault="005F4B44" w:rsidP="00C12BCB">
      <w:pPr>
        <w:pStyle w:val="Bullet"/>
        <w:spacing w:before="0" w:after="120" w:line="360" w:lineRule="auto"/>
      </w:pPr>
      <w:r w:rsidRPr="005F4B44">
        <w:t>Section 45 – Contravening a Modern Award</w:t>
      </w:r>
    </w:p>
    <w:p w14:paraId="3E17DD89" w14:textId="77777777" w:rsidR="005F4B44" w:rsidRPr="005F4B44" w:rsidRDefault="005F4B44" w:rsidP="00C12BCB">
      <w:pPr>
        <w:pStyle w:val="Bullet"/>
        <w:spacing w:before="0" w:after="120" w:line="360" w:lineRule="auto"/>
      </w:pPr>
      <w:r w:rsidRPr="005F4B44">
        <w:t>Section 535 – Employer obligations in relation to employee records</w:t>
      </w:r>
    </w:p>
    <w:p w14:paraId="349AAC7C" w14:textId="77777777" w:rsidR="005F4B44" w:rsidRPr="005F4B44" w:rsidRDefault="005F4B44" w:rsidP="00C12BCB">
      <w:pPr>
        <w:pStyle w:val="Bullet"/>
        <w:spacing w:before="0" w:after="120" w:line="360" w:lineRule="auto"/>
      </w:pPr>
      <w:r w:rsidRPr="005F4B44">
        <w:t>Section 536 – Employer obligations in relation to pay slips.</w:t>
      </w:r>
    </w:p>
    <w:p w14:paraId="2CD7D11D" w14:textId="328A09E5" w:rsidR="005F4B44" w:rsidRPr="00C163A1" w:rsidRDefault="005F4B44" w:rsidP="00C12BCB">
      <w:pPr>
        <w:spacing w:before="0" w:after="120"/>
        <w:rPr>
          <w:rFonts w:cs="Helvetica"/>
          <w:color w:val="000000" w:themeColor="text1"/>
          <w:szCs w:val="22"/>
        </w:rPr>
      </w:pPr>
      <w:r w:rsidRPr="00C163A1">
        <w:rPr>
          <w:rFonts w:cs="Helvetica"/>
          <w:color w:val="000000" w:themeColor="text1"/>
          <w:szCs w:val="22"/>
        </w:rPr>
        <w:t xml:space="preserve">Fair Work Inspectors visited sushi </w:t>
      </w:r>
      <w:r>
        <w:rPr>
          <w:rFonts w:cs="Helvetica"/>
          <w:color w:val="000000" w:themeColor="text1"/>
          <w:szCs w:val="22"/>
        </w:rPr>
        <w:t>businesses</w:t>
      </w:r>
      <w:r w:rsidRPr="00C163A1">
        <w:rPr>
          <w:rFonts w:cs="Helvetica"/>
          <w:color w:val="000000" w:themeColor="text1"/>
          <w:szCs w:val="22"/>
        </w:rPr>
        <w:t xml:space="preserve"> in Canberra (7), the Hunter / Central Coast regions in NSW (20), the Coffs Harbour and North Coast region in NSW (13) and </w:t>
      </w:r>
      <w:r>
        <w:rPr>
          <w:rFonts w:cs="Helvetica"/>
          <w:color w:val="000000" w:themeColor="text1"/>
          <w:szCs w:val="22"/>
        </w:rPr>
        <w:t>South East</w:t>
      </w:r>
      <w:r w:rsidRPr="00C163A1">
        <w:rPr>
          <w:rFonts w:cs="Helvetica"/>
          <w:color w:val="000000" w:themeColor="text1"/>
          <w:szCs w:val="22"/>
        </w:rPr>
        <w:t xml:space="preserve"> Queensland (5).</w:t>
      </w:r>
      <w:r w:rsidRPr="00C163A1">
        <w:rPr>
          <w:rStyle w:val="FootnoteReference"/>
          <w:rFonts w:eastAsiaTheme="minorEastAsia" w:cs="Helvetica"/>
          <w:color w:val="000000" w:themeColor="text1"/>
        </w:rPr>
        <w:footnoteReference w:id="3"/>
      </w:r>
    </w:p>
    <w:p w14:paraId="6E7E049F" w14:textId="77777777" w:rsidR="005F4B44" w:rsidRPr="00C163A1" w:rsidRDefault="005F4B44" w:rsidP="00C12BCB">
      <w:pPr>
        <w:spacing w:before="0" w:after="120"/>
      </w:pPr>
      <w:r>
        <w:rPr>
          <w:rFonts w:cs="Helvetica"/>
          <w:color w:val="000000" w:themeColor="text1"/>
          <w:szCs w:val="22"/>
        </w:rPr>
        <w:t>The</w:t>
      </w:r>
      <w:r w:rsidRPr="00C163A1">
        <w:rPr>
          <w:rFonts w:cs="Helvetica"/>
          <w:color w:val="000000" w:themeColor="text1"/>
          <w:szCs w:val="22"/>
        </w:rPr>
        <w:t xml:space="preserve"> majority of the </w:t>
      </w:r>
      <w:r>
        <w:rPr>
          <w:rFonts w:cs="Helvetica"/>
          <w:color w:val="000000" w:themeColor="text1"/>
          <w:szCs w:val="22"/>
        </w:rPr>
        <w:t>businesses</w:t>
      </w:r>
      <w:r w:rsidRPr="00C163A1">
        <w:rPr>
          <w:rFonts w:cs="Helvetica"/>
          <w:color w:val="000000" w:themeColor="text1"/>
          <w:szCs w:val="22"/>
        </w:rPr>
        <w:t xml:space="preserve"> were selected randomly</w:t>
      </w:r>
      <w:r>
        <w:rPr>
          <w:rFonts w:cs="Helvetica"/>
          <w:color w:val="000000" w:themeColor="text1"/>
          <w:szCs w:val="22"/>
        </w:rPr>
        <w:t xml:space="preserve">, with </w:t>
      </w:r>
      <w:r w:rsidRPr="00C163A1">
        <w:rPr>
          <w:rFonts w:cs="Helvetica"/>
          <w:color w:val="000000" w:themeColor="text1"/>
          <w:szCs w:val="22"/>
        </w:rPr>
        <w:t>a</w:t>
      </w:r>
      <w:r w:rsidRPr="00C163A1">
        <w:t xml:space="preserve">pproximately 15% targeted </w:t>
      </w:r>
      <w:r>
        <w:t xml:space="preserve">due to either requests for assistance or </w:t>
      </w:r>
      <w:r w:rsidRPr="00C163A1">
        <w:t xml:space="preserve">intelligence held by the FWO </w:t>
      </w:r>
      <w:r>
        <w:t>alleging</w:t>
      </w:r>
      <w:r w:rsidRPr="00C163A1">
        <w:t xml:space="preserve"> non-compliance.</w:t>
      </w:r>
    </w:p>
    <w:p w14:paraId="738445B7" w14:textId="77777777" w:rsidR="005F4B44" w:rsidRDefault="005F4B44" w:rsidP="00C12BCB">
      <w:pPr>
        <w:spacing w:before="0" w:after="120"/>
        <w:rPr>
          <w:rFonts w:ascii="Calibri" w:hAnsi="Calibri" w:cs="Calibri"/>
          <w:szCs w:val="22"/>
        </w:rPr>
      </w:pPr>
      <w:r w:rsidRPr="00C163A1">
        <w:t xml:space="preserve">The </w:t>
      </w:r>
      <w:r>
        <w:t xml:space="preserve">locations selected </w:t>
      </w:r>
      <w:r w:rsidRPr="00C163A1">
        <w:t>cover</w:t>
      </w:r>
      <w:r>
        <w:t>ed</w:t>
      </w:r>
      <w:r w:rsidRPr="00C163A1">
        <w:t xml:space="preserve"> </w:t>
      </w:r>
      <w:r>
        <w:t xml:space="preserve">both </w:t>
      </w:r>
      <w:r w:rsidRPr="00C163A1">
        <w:t xml:space="preserve">regional and metropolitan </w:t>
      </w:r>
      <w:r>
        <w:t>businesses</w:t>
      </w:r>
      <w:r w:rsidRPr="00C163A1">
        <w:t>.</w:t>
      </w:r>
    </w:p>
    <w:p w14:paraId="3473645C" w14:textId="77777777" w:rsidR="005F4B44" w:rsidRPr="00574470" w:rsidRDefault="005F4B44" w:rsidP="00C12BCB">
      <w:pPr>
        <w:spacing w:before="0" w:after="120"/>
        <w:rPr>
          <w:rFonts w:cs="Helvetica"/>
          <w:color w:val="000000" w:themeColor="text1"/>
          <w:szCs w:val="22"/>
        </w:rPr>
      </w:pPr>
      <w:r>
        <w:rPr>
          <w:rFonts w:cs="Helvetica"/>
          <w:color w:val="000000" w:themeColor="text1"/>
          <w:szCs w:val="22"/>
        </w:rPr>
        <w:t>During the site</w:t>
      </w:r>
      <w:r w:rsidRPr="00574470">
        <w:rPr>
          <w:rFonts w:cs="Helvetica"/>
          <w:color w:val="000000" w:themeColor="text1"/>
          <w:szCs w:val="22"/>
        </w:rPr>
        <w:t xml:space="preserve"> visits, Inspectors spoke with employees about their employment experiences</w:t>
      </w:r>
      <w:r>
        <w:rPr>
          <w:rFonts w:cs="Helvetica"/>
          <w:color w:val="000000" w:themeColor="text1"/>
          <w:szCs w:val="22"/>
        </w:rPr>
        <w:t xml:space="preserve">, </w:t>
      </w:r>
      <w:proofErr w:type="gramStart"/>
      <w:r>
        <w:rPr>
          <w:rFonts w:cs="Helvetica"/>
          <w:color w:val="000000" w:themeColor="text1"/>
          <w:szCs w:val="22"/>
        </w:rPr>
        <w:t>including</w:t>
      </w:r>
      <w:proofErr w:type="gramEnd"/>
      <w:r>
        <w:rPr>
          <w:rFonts w:cs="Helvetica"/>
          <w:color w:val="000000" w:themeColor="text1"/>
          <w:szCs w:val="22"/>
        </w:rPr>
        <w:t xml:space="preserve"> </w:t>
      </w:r>
      <w:r w:rsidRPr="00574470">
        <w:rPr>
          <w:rFonts w:cs="Helvetica"/>
          <w:color w:val="000000" w:themeColor="text1"/>
          <w:szCs w:val="22"/>
        </w:rPr>
        <w:t xml:space="preserve">hours of work, rates of pay, availability of leave and their employer’s practices </w:t>
      </w:r>
      <w:r>
        <w:rPr>
          <w:rFonts w:cs="Helvetica"/>
          <w:color w:val="000000" w:themeColor="text1"/>
          <w:szCs w:val="22"/>
        </w:rPr>
        <w:t>of</w:t>
      </w:r>
      <w:r w:rsidRPr="00574470">
        <w:rPr>
          <w:rFonts w:cs="Helvetica"/>
          <w:color w:val="000000" w:themeColor="text1"/>
          <w:szCs w:val="22"/>
        </w:rPr>
        <w:t xml:space="preserve"> recording hours of work and providing pay slips.</w:t>
      </w:r>
    </w:p>
    <w:p w14:paraId="49DDE008" w14:textId="3E6BF982" w:rsidR="005F4B44" w:rsidRPr="00574470" w:rsidRDefault="005F4B44" w:rsidP="00C12BCB">
      <w:pPr>
        <w:spacing w:before="0" w:after="120"/>
        <w:rPr>
          <w:rFonts w:cs="Helvetica"/>
          <w:color w:val="000000" w:themeColor="text1"/>
          <w:szCs w:val="22"/>
        </w:rPr>
      </w:pPr>
      <w:r w:rsidRPr="00574470">
        <w:rPr>
          <w:rFonts w:cs="Helvetica"/>
          <w:color w:val="000000" w:themeColor="text1"/>
          <w:szCs w:val="22"/>
        </w:rPr>
        <w:t xml:space="preserve">Inspectors also spoke with </w:t>
      </w:r>
      <w:r>
        <w:rPr>
          <w:rFonts w:cs="Helvetica"/>
          <w:color w:val="000000" w:themeColor="text1"/>
          <w:szCs w:val="22"/>
        </w:rPr>
        <w:t>employers and (where relevant) employer</w:t>
      </w:r>
      <w:r w:rsidRPr="00574470">
        <w:rPr>
          <w:rFonts w:cs="Helvetica"/>
          <w:color w:val="000000" w:themeColor="text1"/>
          <w:szCs w:val="22"/>
        </w:rPr>
        <w:t xml:space="preserve"> representatives about their obligations under the Act and were required to make time and wage records available for inspection.</w:t>
      </w:r>
    </w:p>
    <w:p w14:paraId="5FE87F1A" w14:textId="35FE9BE6" w:rsidR="005F4B44" w:rsidRPr="00574470" w:rsidRDefault="005F4B44" w:rsidP="00C12BCB">
      <w:pPr>
        <w:spacing w:before="0" w:after="120"/>
        <w:rPr>
          <w:rFonts w:cs="Helvetica"/>
          <w:color w:val="000000" w:themeColor="text1"/>
          <w:szCs w:val="22"/>
        </w:rPr>
      </w:pPr>
      <w:r w:rsidRPr="00574470">
        <w:rPr>
          <w:rFonts w:cs="Helvetica"/>
          <w:color w:val="000000" w:themeColor="text1"/>
          <w:szCs w:val="22"/>
        </w:rPr>
        <w:t xml:space="preserve">Following the visits Inspectors assessed the information </w:t>
      </w:r>
      <w:r>
        <w:rPr>
          <w:rFonts w:cs="Helvetica"/>
          <w:color w:val="000000" w:themeColor="text1"/>
          <w:szCs w:val="22"/>
        </w:rPr>
        <w:t>and found non-compliance at</w:t>
      </w:r>
      <w:r w:rsidR="00111823">
        <w:rPr>
          <w:rFonts w:cs="Helvetica"/>
          <w:color w:val="000000" w:themeColor="text1"/>
          <w:szCs w:val="22"/>
        </w:rPr>
        <w:t xml:space="preserve"> 39 of the</w:t>
      </w:r>
      <w:r w:rsidRPr="00574470">
        <w:rPr>
          <w:rFonts w:cs="Helvetica"/>
          <w:color w:val="000000" w:themeColor="text1"/>
          <w:szCs w:val="22"/>
        </w:rPr>
        <w:t xml:space="preserve"> 4</w:t>
      </w:r>
      <w:r>
        <w:rPr>
          <w:rFonts w:cs="Helvetica"/>
          <w:color w:val="000000" w:themeColor="text1"/>
          <w:szCs w:val="22"/>
        </w:rPr>
        <w:t xml:space="preserve">5 businesses visited.  </w:t>
      </w:r>
    </w:p>
    <w:p w14:paraId="73218EA9" w14:textId="026C94EA" w:rsidR="0080244F" w:rsidRDefault="0080244F">
      <w:pPr>
        <w:spacing w:before="0" w:line="240" w:lineRule="auto"/>
        <w:rPr>
          <w:rFonts w:ascii="Helvetica" w:hAnsi="Helvetica"/>
          <w:color w:val="263746"/>
          <w:sz w:val="44"/>
          <w:szCs w:val="26"/>
        </w:rPr>
      </w:pPr>
      <w:r>
        <w:br w:type="page"/>
      </w:r>
    </w:p>
    <w:p w14:paraId="7560ED5F" w14:textId="30CF1E0E" w:rsidR="005F4B44" w:rsidRDefault="0080244F" w:rsidP="00100935">
      <w:pPr>
        <w:pStyle w:val="Heading1"/>
      </w:pPr>
      <w:bookmarkStart w:id="10" w:name="_Toc526774849"/>
      <w:r>
        <w:lastRenderedPageBreak/>
        <w:t>Key f</w:t>
      </w:r>
      <w:r w:rsidR="005F4B44" w:rsidRPr="00515A11">
        <w:t>indings</w:t>
      </w:r>
      <w:bookmarkEnd w:id="10"/>
    </w:p>
    <w:p w14:paraId="227F490E" w14:textId="6271845A" w:rsidR="005F4B44" w:rsidRPr="009D757B" w:rsidRDefault="005F4B44" w:rsidP="00100935">
      <w:pPr>
        <w:pStyle w:val="Heading4"/>
      </w:pPr>
      <w:r w:rsidRPr="009D757B">
        <w:t xml:space="preserve">Figure 1: Non-compliant businesses and monies recovered </w:t>
      </w:r>
    </w:p>
    <w:p w14:paraId="08225529" w14:textId="77777777" w:rsidR="005F4B44" w:rsidRDefault="005F4B44" w:rsidP="00C12BCB">
      <w:pPr>
        <w:spacing w:before="0" w:after="120"/>
        <w:jc w:val="center"/>
        <w:rPr>
          <w:rFonts w:asciiTheme="minorHAnsi" w:hAnsiTheme="minorHAnsi" w:cstheme="minorHAnsi"/>
        </w:rPr>
      </w:pPr>
      <w:r>
        <w:rPr>
          <w:rFonts w:asciiTheme="minorHAnsi" w:hAnsiTheme="minorHAnsi" w:cstheme="minorHAnsi"/>
          <w:noProof/>
          <w:lang w:eastAsia="en-AU"/>
        </w:rPr>
        <w:drawing>
          <wp:inline distT="0" distB="0" distL="0" distR="0" wp14:anchorId="0D740E36" wp14:editId="313565D0">
            <wp:extent cx="6120765" cy="1343660"/>
            <wp:effectExtent l="0" t="0" r="0" b="8890"/>
            <wp:docPr id="4" name="Picture 4" descr="Figure 1: Image summarising the number of non-compliant businesses and monies recovered." title="Figure 1: Non-compliant businesses and monies reco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shi-infographic-findings3.png"/>
                    <pic:cNvPicPr/>
                  </pic:nvPicPr>
                  <pic:blipFill>
                    <a:blip r:embed="rId9">
                      <a:extLst>
                        <a:ext uri="{28A0092B-C50C-407E-A947-70E740481C1C}">
                          <a14:useLocalDpi xmlns:a14="http://schemas.microsoft.com/office/drawing/2010/main" val="0"/>
                        </a:ext>
                      </a:extLst>
                    </a:blip>
                    <a:stretch>
                      <a:fillRect/>
                    </a:stretch>
                  </pic:blipFill>
                  <pic:spPr>
                    <a:xfrm>
                      <a:off x="0" y="0"/>
                      <a:ext cx="6120765" cy="1343660"/>
                    </a:xfrm>
                    <a:prstGeom prst="rect">
                      <a:avLst/>
                    </a:prstGeom>
                  </pic:spPr>
                </pic:pic>
              </a:graphicData>
            </a:graphic>
          </wp:inline>
        </w:drawing>
      </w:r>
    </w:p>
    <w:p w14:paraId="2829CCC7" w14:textId="2EE537F0" w:rsidR="005F4B44" w:rsidRPr="00574470" w:rsidRDefault="005F4B44" w:rsidP="00C12BCB">
      <w:pPr>
        <w:spacing w:before="0" w:after="240"/>
        <w:rPr>
          <w:rFonts w:cs="Helvetica"/>
        </w:rPr>
      </w:pPr>
      <w:r w:rsidRPr="00574470">
        <w:rPr>
          <w:rFonts w:cs="Helvetica"/>
        </w:rPr>
        <w:t xml:space="preserve">Thirty-nine of the 45 </w:t>
      </w:r>
      <w:r>
        <w:rPr>
          <w:rFonts w:cs="Helvetica"/>
        </w:rPr>
        <w:t>businesses audited</w:t>
      </w:r>
      <w:r w:rsidRPr="00574470">
        <w:rPr>
          <w:rFonts w:cs="Helvetica"/>
        </w:rPr>
        <w:t xml:space="preserve"> were non-compliant</w:t>
      </w:r>
      <w:r>
        <w:rPr>
          <w:rFonts w:cs="Helvetica"/>
        </w:rPr>
        <w:t xml:space="preserve"> with workplace relations legal obligations</w:t>
      </w:r>
      <w:r w:rsidRPr="00574470">
        <w:rPr>
          <w:rFonts w:cs="Helvetica"/>
        </w:rPr>
        <w:t xml:space="preserve">. The non-compliance primarily related to </w:t>
      </w:r>
      <w:r>
        <w:rPr>
          <w:rFonts w:cs="Helvetica"/>
        </w:rPr>
        <w:t xml:space="preserve">breaches of the </w:t>
      </w:r>
      <w:r w:rsidR="001F6234">
        <w:rPr>
          <w:rFonts w:cs="Helvetica"/>
        </w:rPr>
        <w:t>record-</w:t>
      </w:r>
      <w:r w:rsidRPr="00574470">
        <w:rPr>
          <w:rFonts w:cs="Helvetica"/>
        </w:rPr>
        <w:t xml:space="preserve">keeping, award and NES </w:t>
      </w:r>
      <w:r>
        <w:rPr>
          <w:rFonts w:cs="Helvetica"/>
        </w:rPr>
        <w:t>provisions.</w:t>
      </w:r>
    </w:p>
    <w:p w14:paraId="66A1C1B0" w14:textId="04987D6E" w:rsidR="005F4B44" w:rsidRPr="00574470" w:rsidRDefault="005F4B44" w:rsidP="00100935">
      <w:pPr>
        <w:pStyle w:val="Heading2"/>
      </w:pPr>
      <w:bookmarkStart w:id="11" w:name="_Toc526774850"/>
      <w:r w:rsidRPr="00574470">
        <w:t>Record-keeping</w:t>
      </w:r>
      <w:bookmarkEnd w:id="11"/>
    </w:p>
    <w:p w14:paraId="66905D25" w14:textId="37656DCE" w:rsidR="005F4B44" w:rsidRPr="00574470" w:rsidRDefault="005F4B44" w:rsidP="00C12BCB">
      <w:pPr>
        <w:spacing w:before="0" w:after="120"/>
        <w:rPr>
          <w:rFonts w:cs="Helvetica"/>
        </w:rPr>
      </w:pPr>
      <w:r w:rsidRPr="00574470">
        <w:rPr>
          <w:rFonts w:cs="Helvetica"/>
        </w:rPr>
        <w:t xml:space="preserve">Of the 39 non-compliant </w:t>
      </w:r>
      <w:r>
        <w:rPr>
          <w:rFonts w:cs="Helvetica"/>
        </w:rPr>
        <w:t>businesse</w:t>
      </w:r>
      <w:r w:rsidRPr="00574470">
        <w:rPr>
          <w:rFonts w:cs="Helvetica"/>
        </w:rPr>
        <w:t>s, 29 (</w:t>
      </w:r>
      <w:r w:rsidR="001F6234">
        <w:rPr>
          <w:rFonts w:cs="Helvetica"/>
        </w:rPr>
        <w:t>64%) had contravened the record-</w:t>
      </w:r>
      <w:r w:rsidRPr="00574470">
        <w:rPr>
          <w:rFonts w:cs="Helvetica"/>
        </w:rPr>
        <w:t xml:space="preserve">keeping and / or pay slip provisions of the Act and the </w:t>
      </w:r>
      <w:r w:rsidRPr="00574470">
        <w:rPr>
          <w:rFonts w:cs="Helvetica"/>
          <w:i/>
        </w:rPr>
        <w:t xml:space="preserve">Fair Work Regulations 2009 </w:t>
      </w:r>
      <w:r w:rsidRPr="00574470">
        <w:rPr>
          <w:rFonts w:cs="Helvetica"/>
        </w:rPr>
        <w:t>(</w:t>
      </w:r>
      <w:r w:rsidR="00B32AD2">
        <w:rPr>
          <w:rFonts w:cs="Helvetica"/>
        </w:rPr>
        <w:t>the</w:t>
      </w:r>
      <w:r w:rsidRPr="00574470">
        <w:rPr>
          <w:rFonts w:cs="Helvetica"/>
        </w:rPr>
        <w:t xml:space="preserve"> Reg</w:t>
      </w:r>
      <w:r>
        <w:rPr>
          <w:rFonts w:cs="Helvetica"/>
        </w:rPr>
        <w:t>ulation</w:t>
      </w:r>
      <w:r w:rsidRPr="00574470">
        <w:rPr>
          <w:rFonts w:cs="Helvetica"/>
        </w:rPr>
        <w:t xml:space="preserve">s). </w:t>
      </w:r>
    </w:p>
    <w:p w14:paraId="4B5236F9" w14:textId="77777777" w:rsidR="005F4B44" w:rsidRPr="00574470" w:rsidRDefault="005F4B44" w:rsidP="00C12BCB">
      <w:pPr>
        <w:spacing w:before="0" w:after="240"/>
        <w:rPr>
          <w:rFonts w:cs="Helvetica"/>
        </w:rPr>
      </w:pPr>
      <w:r w:rsidRPr="00574470">
        <w:rPr>
          <w:rFonts w:cs="Helvetica"/>
        </w:rPr>
        <w:t xml:space="preserve">Nine </w:t>
      </w:r>
      <w:r>
        <w:rPr>
          <w:rFonts w:cs="Helvetica"/>
        </w:rPr>
        <w:t>businesses</w:t>
      </w:r>
      <w:r w:rsidRPr="00574470">
        <w:rPr>
          <w:rFonts w:cs="Helvetica"/>
        </w:rPr>
        <w:t xml:space="preserve"> knowingly provided false or misleading employee records to Inspectors, with four doing so</w:t>
      </w:r>
      <w:r>
        <w:rPr>
          <w:rFonts w:cs="Helvetica"/>
        </w:rPr>
        <w:t xml:space="preserve"> </w:t>
      </w:r>
      <w:r w:rsidRPr="00574470">
        <w:rPr>
          <w:rFonts w:cs="Helvetica"/>
        </w:rPr>
        <w:t xml:space="preserve">on multiple occasions. </w:t>
      </w:r>
    </w:p>
    <w:p w14:paraId="2C13C2D4" w14:textId="36DD5787" w:rsidR="005F4B44" w:rsidRPr="00574470" w:rsidRDefault="0080244F" w:rsidP="00100935">
      <w:pPr>
        <w:pStyle w:val="Heading2"/>
      </w:pPr>
      <w:bookmarkStart w:id="12" w:name="_Toc526774851"/>
      <w:r>
        <w:t>Award e</w:t>
      </w:r>
      <w:r w:rsidR="005F4B44" w:rsidRPr="00574470">
        <w:t>ntitlements and the NES</w:t>
      </w:r>
      <w:bookmarkEnd w:id="12"/>
    </w:p>
    <w:p w14:paraId="0D2606BA" w14:textId="356B1F63" w:rsidR="005F4B44" w:rsidRPr="00574470" w:rsidRDefault="005F4B44" w:rsidP="00C12BCB">
      <w:pPr>
        <w:spacing w:before="0" w:after="120"/>
        <w:rPr>
          <w:rFonts w:cs="Helvetica"/>
        </w:rPr>
      </w:pPr>
      <w:r w:rsidRPr="00574470">
        <w:rPr>
          <w:rFonts w:cs="Helvetica"/>
        </w:rPr>
        <w:t xml:space="preserve">Inspectors determined that 37 </w:t>
      </w:r>
      <w:r>
        <w:rPr>
          <w:rFonts w:cs="Helvetica"/>
        </w:rPr>
        <w:t>businesse</w:t>
      </w:r>
      <w:r w:rsidRPr="00574470">
        <w:rPr>
          <w:rFonts w:cs="Helvetica"/>
        </w:rPr>
        <w:t>s had breached the applicable modern award</w:t>
      </w:r>
      <w:r w:rsidRPr="00574470">
        <w:rPr>
          <w:rStyle w:val="FootnoteReference"/>
          <w:rFonts w:eastAsiaTheme="minorEastAsia" w:cs="Helvetica"/>
        </w:rPr>
        <w:footnoteReference w:id="4"/>
      </w:r>
      <w:r w:rsidRPr="00574470">
        <w:rPr>
          <w:rFonts w:cs="Helvetica"/>
        </w:rPr>
        <w:t xml:space="preserve"> and/or the </w:t>
      </w:r>
      <w:r>
        <w:rPr>
          <w:rFonts w:cs="Helvetica"/>
        </w:rPr>
        <w:t>N</w:t>
      </w:r>
      <w:r w:rsidRPr="00574470">
        <w:rPr>
          <w:rFonts w:cs="Helvetica"/>
        </w:rPr>
        <w:t>ES.</w:t>
      </w:r>
      <w:r w:rsidRPr="00574470">
        <w:rPr>
          <w:rStyle w:val="FootnoteReference"/>
          <w:rFonts w:eastAsiaTheme="minorEastAsia" w:cs="Helvetica"/>
        </w:rPr>
        <w:footnoteReference w:id="5"/>
      </w:r>
      <w:r w:rsidRPr="00574470">
        <w:rPr>
          <w:rFonts w:cs="Helvetica"/>
        </w:rPr>
        <w:t xml:space="preserve"> </w:t>
      </w:r>
    </w:p>
    <w:p w14:paraId="06DCBA88" w14:textId="7BF66B97" w:rsidR="005F4B44" w:rsidRPr="00574470" w:rsidRDefault="005F4B44" w:rsidP="00C12BCB">
      <w:pPr>
        <w:spacing w:before="0" w:after="120"/>
        <w:rPr>
          <w:rFonts w:cs="Helvetica"/>
        </w:rPr>
      </w:pPr>
      <w:r w:rsidRPr="00574470">
        <w:rPr>
          <w:rFonts w:cs="Helvetica"/>
        </w:rPr>
        <w:t>The FWO recovered $</w:t>
      </w:r>
      <w:r>
        <w:rPr>
          <w:rFonts w:cs="Helvetica"/>
        </w:rPr>
        <w:t>797 063</w:t>
      </w:r>
      <w:r w:rsidRPr="00574470">
        <w:rPr>
          <w:rFonts w:cs="Helvetica"/>
        </w:rPr>
        <w:t xml:space="preserve"> owed to </w:t>
      </w:r>
      <w:r>
        <w:rPr>
          <w:rFonts w:cs="Helvetica"/>
        </w:rPr>
        <w:t>406</w:t>
      </w:r>
      <w:r w:rsidRPr="00574470">
        <w:rPr>
          <w:rFonts w:cs="Helvetica"/>
        </w:rPr>
        <w:t xml:space="preserve"> employees from </w:t>
      </w:r>
      <w:r>
        <w:rPr>
          <w:rFonts w:cs="Helvetica"/>
        </w:rPr>
        <w:t>31</w:t>
      </w:r>
      <w:r w:rsidRPr="00574470">
        <w:rPr>
          <w:rFonts w:cs="Helvetica"/>
        </w:rPr>
        <w:t xml:space="preserve"> </w:t>
      </w:r>
      <w:r>
        <w:rPr>
          <w:rFonts w:cs="Helvetica"/>
        </w:rPr>
        <w:t>businesse</w:t>
      </w:r>
      <w:r w:rsidRPr="00574470">
        <w:rPr>
          <w:rFonts w:cs="Helvetica"/>
        </w:rPr>
        <w:t>s. The underpayments were predominantly for underpayments of minimum hourly rates, casual loading, penalty rates and overtime.</w:t>
      </w:r>
    </w:p>
    <w:p w14:paraId="5CECA648" w14:textId="0A93670A" w:rsidR="005F4B44" w:rsidRPr="00574470" w:rsidRDefault="00844B1D" w:rsidP="00100935">
      <w:pPr>
        <w:pStyle w:val="Heading2"/>
      </w:pPr>
      <w:bookmarkStart w:id="13" w:name="_Toc526774852"/>
      <w:r>
        <w:t>Cash e</w:t>
      </w:r>
      <w:r w:rsidR="005F4B44" w:rsidRPr="00574470">
        <w:t>conomy</w:t>
      </w:r>
      <w:bookmarkEnd w:id="13"/>
    </w:p>
    <w:p w14:paraId="7DB3FECE" w14:textId="65B6EC79" w:rsidR="005F4B44" w:rsidRDefault="005F4B44" w:rsidP="00C12BCB">
      <w:pPr>
        <w:spacing w:before="0" w:after="120"/>
        <w:rPr>
          <w:rFonts w:cs="Helvetica"/>
        </w:rPr>
      </w:pPr>
      <w:r>
        <w:rPr>
          <w:rFonts w:cs="Helvetica"/>
        </w:rPr>
        <w:t xml:space="preserve">In the case of five businesses, </w:t>
      </w:r>
      <w:r w:rsidRPr="00574470">
        <w:rPr>
          <w:rFonts w:cs="Helvetica"/>
        </w:rPr>
        <w:t>cash wage payments</w:t>
      </w:r>
      <w:r>
        <w:rPr>
          <w:rFonts w:cs="Helvetica"/>
        </w:rPr>
        <w:t xml:space="preserve">, coupled </w:t>
      </w:r>
      <w:r w:rsidR="001F6234">
        <w:rPr>
          <w:rFonts w:cs="Helvetica"/>
        </w:rPr>
        <w:t>with serious record-</w:t>
      </w:r>
      <w:r w:rsidRPr="00574470">
        <w:rPr>
          <w:rFonts w:cs="Helvetica"/>
        </w:rPr>
        <w:t xml:space="preserve">keeping breaches meant that the Inspectors were unable to determine </w:t>
      </w:r>
      <w:r>
        <w:rPr>
          <w:rFonts w:cs="Helvetica"/>
        </w:rPr>
        <w:t xml:space="preserve">the full extent of </w:t>
      </w:r>
      <w:r w:rsidRPr="00574470">
        <w:rPr>
          <w:rFonts w:cs="Helvetica"/>
        </w:rPr>
        <w:t xml:space="preserve">employees’ entitlements. </w:t>
      </w:r>
    </w:p>
    <w:p w14:paraId="2B4FD2CD" w14:textId="31BFAF00" w:rsidR="005F4B44" w:rsidRDefault="005F4B44" w:rsidP="00100935">
      <w:pPr>
        <w:spacing w:before="0" w:after="120"/>
        <w:rPr>
          <w:rFonts w:ascii="Helvetica" w:hAnsi="Helvetica"/>
          <w:color w:val="263746"/>
          <w:sz w:val="44"/>
          <w:szCs w:val="26"/>
        </w:rPr>
      </w:pPr>
      <w:r w:rsidRPr="00574470">
        <w:rPr>
          <w:rFonts w:cs="Helvetica"/>
        </w:rPr>
        <w:lastRenderedPageBreak/>
        <w:t xml:space="preserve">As the </w:t>
      </w:r>
      <w:r>
        <w:rPr>
          <w:rFonts w:cs="Helvetica"/>
        </w:rPr>
        <w:t xml:space="preserve">audits occurred </w:t>
      </w:r>
      <w:r w:rsidRPr="00574470">
        <w:rPr>
          <w:rFonts w:cs="Helvetica"/>
        </w:rPr>
        <w:t xml:space="preserve">prior to the introduction of the </w:t>
      </w:r>
      <w:r w:rsidRPr="00574470">
        <w:rPr>
          <w:rFonts w:cs="Helvetica"/>
          <w:i/>
        </w:rPr>
        <w:t>Fair Work Amendment (Protecting Vulnerable Workers) Act 2017</w:t>
      </w:r>
      <w:r w:rsidRPr="00574470">
        <w:rPr>
          <w:rFonts w:cs="Helvetica"/>
        </w:rPr>
        <w:t xml:space="preserve"> the reverse onus of proof provisions were</w:t>
      </w:r>
      <w:r>
        <w:rPr>
          <w:rFonts w:cs="Helvetica"/>
        </w:rPr>
        <w:t xml:space="preserve"> not available.</w:t>
      </w:r>
      <w:r w:rsidRPr="00574470">
        <w:rPr>
          <w:rFonts w:cs="Helvetica"/>
        </w:rPr>
        <w:t xml:space="preserve"> However, should Inspectors identif</w:t>
      </w:r>
      <w:r>
        <w:rPr>
          <w:rFonts w:cs="Helvetica"/>
        </w:rPr>
        <w:t>y that these practices continue in future,</w:t>
      </w:r>
      <w:r w:rsidRPr="00574470">
        <w:rPr>
          <w:rFonts w:cs="Helvetica"/>
        </w:rPr>
        <w:t xml:space="preserve"> the employers may be required to </w:t>
      </w:r>
      <w:r>
        <w:rPr>
          <w:rFonts w:cs="Helvetica"/>
        </w:rPr>
        <w:t xml:space="preserve">provide proof that they did not underpay their workers </w:t>
      </w:r>
      <w:r w:rsidRPr="00574470">
        <w:rPr>
          <w:rFonts w:cs="Helvetica"/>
        </w:rPr>
        <w:t>and</w:t>
      </w:r>
      <w:r>
        <w:rPr>
          <w:rFonts w:cs="Helvetica"/>
        </w:rPr>
        <w:t xml:space="preserve"> they could</w:t>
      </w:r>
      <w:r w:rsidRPr="00574470">
        <w:rPr>
          <w:rFonts w:cs="Helvetica"/>
        </w:rPr>
        <w:t xml:space="preserve"> face significantly higher penalties for serious record-kee</w:t>
      </w:r>
      <w:r>
        <w:rPr>
          <w:rFonts w:cs="Helvetica"/>
        </w:rPr>
        <w:t>ping breaches</w:t>
      </w:r>
      <w:r w:rsidRPr="00574470">
        <w:rPr>
          <w:rFonts w:cs="Helvetica"/>
        </w:rPr>
        <w:t>.</w:t>
      </w:r>
    </w:p>
    <w:p w14:paraId="13108C78" w14:textId="1EC94D23" w:rsidR="005F4B44" w:rsidRDefault="005F4B44" w:rsidP="00100935">
      <w:pPr>
        <w:pStyle w:val="Heading1"/>
      </w:pPr>
      <w:bookmarkStart w:id="14" w:name="_Toc526774853"/>
      <w:r>
        <w:t>Compliance and enforcement outcomes</w:t>
      </w:r>
      <w:bookmarkEnd w:id="14"/>
    </w:p>
    <w:p w14:paraId="7CE9A032" w14:textId="3A700600" w:rsidR="005F4B44" w:rsidRDefault="005F4B44" w:rsidP="00C12BCB">
      <w:pPr>
        <w:spacing w:before="0" w:after="120"/>
        <w:rPr>
          <w:rFonts w:cs="Helvetica"/>
        </w:rPr>
      </w:pPr>
      <w:r w:rsidRPr="00574470">
        <w:rPr>
          <w:rFonts w:cs="Helvetica"/>
        </w:rPr>
        <w:t xml:space="preserve">To date, </w:t>
      </w:r>
      <w:r w:rsidR="002D458F">
        <w:rPr>
          <w:rFonts w:cs="Helvetica"/>
        </w:rPr>
        <w:t xml:space="preserve">the </w:t>
      </w:r>
      <w:r>
        <w:rPr>
          <w:rFonts w:cs="Helvetica"/>
        </w:rPr>
        <w:t xml:space="preserve">FWO has taken </w:t>
      </w:r>
      <w:r w:rsidRPr="00574470">
        <w:rPr>
          <w:rFonts w:cs="Helvetica"/>
        </w:rPr>
        <w:t>the following enforcement actions</w:t>
      </w:r>
      <w:r>
        <w:rPr>
          <w:rFonts w:cs="Helvetica"/>
        </w:rPr>
        <w:t xml:space="preserve">. </w:t>
      </w:r>
    </w:p>
    <w:p w14:paraId="29B39EBE" w14:textId="48EFA1C6" w:rsidR="005F4B44" w:rsidRPr="009E127C" w:rsidRDefault="005F4B44" w:rsidP="00100935">
      <w:pPr>
        <w:pStyle w:val="Heading4"/>
      </w:pPr>
      <w:r>
        <w:t xml:space="preserve">Figure 2: Enforcement outcomes </w:t>
      </w:r>
    </w:p>
    <w:p w14:paraId="55495C22" w14:textId="52E5C88F" w:rsidR="005F4B44" w:rsidRDefault="00634020" w:rsidP="00C12BCB">
      <w:pPr>
        <w:spacing w:before="0" w:after="120"/>
        <w:jc w:val="center"/>
        <w:rPr>
          <w:rFonts w:asciiTheme="minorHAnsi" w:hAnsiTheme="minorHAnsi" w:cstheme="minorHAnsi"/>
        </w:rPr>
      </w:pPr>
      <w:r>
        <w:rPr>
          <w:rFonts w:asciiTheme="minorHAnsi" w:hAnsiTheme="minorHAnsi" w:cstheme="minorHAnsi"/>
          <w:noProof/>
          <w:lang w:eastAsia="en-AU"/>
        </w:rPr>
        <w:drawing>
          <wp:inline distT="0" distB="0" distL="0" distR="0" wp14:anchorId="544BFE53" wp14:editId="6271F4B4">
            <wp:extent cx="5782068" cy="1554483"/>
            <wp:effectExtent l="0" t="0" r="9525" b="7620"/>
            <wp:docPr id="2" name="Picture 2" descr="Figure 2: Infographic of enforcement outcomes" title="Figure 2: Infographic of enforcement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shi-infographic-actions3.png"/>
                    <pic:cNvPicPr/>
                  </pic:nvPicPr>
                  <pic:blipFill>
                    <a:blip r:embed="rId10">
                      <a:extLst>
                        <a:ext uri="{28A0092B-C50C-407E-A947-70E740481C1C}">
                          <a14:useLocalDpi xmlns:a14="http://schemas.microsoft.com/office/drawing/2010/main" val="0"/>
                        </a:ext>
                      </a:extLst>
                    </a:blip>
                    <a:stretch>
                      <a:fillRect/>
                    </a:stretch>
                  </pic:blipFill>
                  <pic:spPr>
                    <a:xfrm>
                      <a:off x="0" y="0"/>
                      <a:ext cx="5782068" cy="1554483"/>
                    </a:xfrm>
                    <a:prstGeom prst="rect">
                      <a:avLst/>
                    </a:prstGeom>
                  </pic:spPr>
                </pic:pic>
              </a:graphicData>
            </a:graphic>
          </wp:inline>
        </w:drawing>
      </w:r>
    </w:p>
    <w:p w14:paraId="7A605499" w14:textId="77777777" w:rsidR="005F4B44" w:rsidRPr="00574470" w:rsidRDefault="005F4B44" w:rsidP="00100935">
      <w:pPr>
        <w:pStyle w:val="Heading2"/>
      </w:pPr>
      <w:bookmarkStart w:id="15" w:name="_Toc526774854"/>
      <w:r w:rsidRPr="00574470">
        <w:t>Litigation</w:t>
      </w:r>
      <w:bookmarkEnd w:id="15"/>
    </w:p>
    <w:p w14:paraId="5C9A6006" w14:textId="0E59839B" w:rsidR="005F4B44" w:rsidRPr="00574470" w:rsidRDefault="005F4B44" w:rsidP="00C12BCB">
      <w:pPr>
        <w:spacing w:before="0" w:after="120"/>
        <w:rPr>
          <w:rFonts w:cs="Helvetica"/>
        </w:rPr>
      </w:pPr>
      <w:r>
        <w:rPr>
          <w:rFonts w:cs="Helvetica"/>
        </w:rPr>
        <w:t>Legal proceedings have</w:t>
      </w:r>
      <w:r w:rsidRPr="00574470">
        <w:rPr>
          <w:rFonts w:cs="Helvetica"/>
        </w:rPr>
        <w:t xml:space="preserve"> </w:t>
      </w:r>
      <w:r w:rsidR="00AD41BF">
        <w:rPr>
          <w:rFonts w:cs="Helvetica"/>
        </w:rPr>
        <w:t>commenced against six employers</w:t>
      </w:r>
      <w:r w:rsidRPr="00574470">
        <w:rPr>
          <w:rFonts w:cs="Helvetica"/>
        </w:rPr>
        <w:t xml:space="preserve"> </w:t>
      </w:r>
      <w:r w:rsidR="00AD41BF">
        <w:rPr>
          <w:rFonts w:cs="Helvetica"/>
        </w:rPr>
        <w:t>and</w:t>
      </w:r>
      <w:r w:rsidRPr="00574470">
        <w:rPr>
          <w:rFonts w:cs="Helvetica"/>
        </w:rPr>
        <w:t xml:space="preserve"> </w:t>
      </w:r>
      <w:r w:rsidR="00AD41BF">
        <w:rPr>
          <w:rFonts w:cs="Helvetica"/>
        </w:rPr>
        <w:t xml:space="preserve">the </w:t>
      </w:r>
      <w:r w:rsidRPr="00574470">
        <w:rPr>
          <w:rFonts w:cs="Helvetica"/>
        </w:rPr>
        <w:t xml:space="preserve">FWO </w:t>
      </w:r>
      <w:r w:rsidR="00AD41BF">
        <w:rPr>
          <w:rFonts w:cs="Helvetica"/>
        </w:rPr>
        <w:t xml:space="preserve">is </w:t>
      </w:r>
      <w:r w:rsidRPr="00574470">
        <w:rPr>
          <w:rFonts w:cs="Helvetica"/>
        </w:rPr>
        <w:t>considering commencing proceedings against another three. To date three of the six matters have been finalised, resulting in court ordered penalties of $172 250.</w:t>
      </w:r>
    </w:p>
    <w:p w14:paraId="6169E54B" w14:textId="0E7B87A3" w:rsidR="002D458F" w:rsidRDefault="005F4B44" w:rsidP="00C12BCB">
      <w:pPr>
        <w:spacing w:before="0" w:after="120"/>
        <w:rPr>
          <w:rStyle w:val="Hyperlink"/>
          <w:rFonts w:ascii="Helvetica" w:hAnsi="Helvetica" w:cs="Helvetica"/>
        </w:rPr>
      </w:pPr>
      <w:r w:rsidRPr="00574470">
        <w:rPr>
          <w:rFonts w:cs="Helvetica"/>
        </w:rPr>
        <w:t xml:space="preserve">Information about the six litigation matters </w:t>
      </w:r>
      <w:r w:rsidR="00FB0D2B">
        <w:rPr>
          <w:rFonts w:cs="Helvetica"/>
        </w:rPr>
        <w:t xml:space="preserve">the </w:t>
      </w:r>
      <w:r w:rsidRPr="00574470">
        <w:rPr>
          <w:rFonts w:cs="Helvetica"/>
        </w:rPr>
        <w:t xml:space="preserve">FWO has commenced </w:t>
      </w:r>
      <w:r>
        <w:rPr>
          <w:rFonts w:cs="Helvetica"/>
        </w:rPr>
        <w:t>is contained</w:t>
      </w:r>
      <w:r w:rsidRPr="00574470">
        <w:rPr>
          <w:rFonts w:cs="Helvetica"/>
        </w:rPr>
        <w:t xml:space="preserve"> in </w:t>
      </w:r>
      <w:hyperlink w:anchor="_Appendix_A_–" w:history="1">
        <w:r w:rsidRPr="00574470">
          <w:rPr>
            <w:rStyle w:val="Hyperlink"/>
            <w:rFonts w:ascii="Helvetica" w:hAnsi="Helvetica" w:cs="Helvetica"/>
          </w:rPr>
          <w:t>Appendix A</w:t>
        </w:r>
      </w:hyperlink>
      <w:r w:rsidRPr="00574470">
        <w:rPr>
          <w:rStyle w:val="Hyperlink"/>
          <w:rFonts w:ascii="Helvetica" w:hAnsi="Helvetica" w:cs="Helvetica"/>
        </w:rPr>
        <w:t>.</w:t>
      </w:r>
    </w:p>
    <w:p w14:paraId="425EC6A7" w14:textId="7EBCF745" w:rsidR="002D458F" w:rsidRPr="002D458F" w:rsidRDefault="002D458F" w:rsidP="00100935">
      <w:pPr>
        <w:pStyle w:val="Calloutbox2bold"/>
        <w:pBdr>
          <w:bottom w:val="single" w:sz="48" w:space="1" w:color="33C1D7"/>
        </w:pBdr>
        <w:rPr>
          <w:b/>
        </w:rPr>
      </w:pPr>
      <w:r w:rsidRPr="002D458F">
        <w:rPr>
          <w:b/>
        </w:rPr>
        <w:t xml:space="preserve">Case </w:t>
      </w:r>
      <w:r w:rsidR="00844B1D">
        <w:rPr>
          <w:b/>
        </w:rPr>
        <w:t>s</w:t>
      </w:r>
      <w:r w:rsidRPr="002D458F">
        <w:rPr>
          <w:b/>
        </w:rPr>
        <w:t>tudy</w:t>
      </w:r>
      <w:r w:rsidR="00844B1D">
        <w:rPr>
          <w:b/>
        </w:rPr>
        <w:t>:</w:t>
      </w:r>
      <w:r w:rsidRPr="002D458F">
        <w:rPr>
          <w:b/>
        </w:rPr>
        <w:t xml:space="preserve"> Sushi </w:t>
      </w:r>
      <w:proofErr w:type="spellStart"/>
      <w:r w:rsidRPr="002D458F">
        <w:rPr>
          <w:b/>
        </w:rPr>
        <w:t>Kuni</w:t>
      </w:r>
      <w:proofErr w:type="spellEnd"/>
      <w:r w:rsidRPr="002D458F">
        <w:rPr>
          <w:b/>
        </w:rPr>
        <w:t>, Ballina</w:t>
      </w:r>
      <w:r w:rsidR="00844B1D">
        <w:rPr>
          <w:b/>
        </w:rPr>
        <w:t xml:space="preserve"> </w:t>
      </w:r>
      <w:r w:rsidRPr="002D458F">
        <w:rPr>
          <w:b/>
        </w:rPr>
        <w:t>NSW</w:t>
      </w:r>
    </w:p>
    <w:p w14:paraId="48F7CF55" w14:textId="77777777" w:rsidR="002D458F" w:rsidRPr="005F4B44" w:rsidRDefault="002D458F" w:rsidP="00100935">
      <w:pPr>
        <w:pStyle w:val="Calloutbox2"/>
        <w:pBdr>
          <w:bottom w:val="single" w:sz="48" w:space="1" w:color="33C1D7"/>
        </w:pBdr>
      </w:pPr>
      <w:r w:rsidRPr="005F4B44">
        <w:t>Fair Work Inspectors attended Ballina One (</w:t>
      </w:r>
      <w:r>
        <w:t xml:space="preserve">trading </w:t>
      </w:r>
      <w:r w:rsidRPr="005F4B44">
        <w:t xml:space="preserve">as Sushi </w:t>
      </w:r>
      <w:proofErr w:type="spellStart"/>
      <w:r w:rsidRPr="005F4B44">
        <w:t>Kuni</w:t>
      </w:r>
      <w:proofErr w:type="spellEnd"/>
      <w:r w:rsidRPr="005F4B44">
        <w:t xml:space="preserve"> in Ballina, New South Wales) and spoke to the operator Mr Dai </w:t>
      </w:r>
      <w:proofErr w:type="gramStart"/>
      <w:r w:rsidRPr="005F4B44">
        <w:t>Il</w:t>
      </w:r>
      <w:proofErr w:type="gramEnd"/>
      <w:r w:rsidRPr="005F4B44">
        <w:t xml:space="preserve"> Kang about his business’s award obligations as well as requesting time and wage records. Mr Kang told Inspectors that the records were not on the premises and asked them to call back the next day to collect them. The Inspectors agreed to return the next day and cautioned Mr Kang not to create or falsify records overnight.</w:t>
      </w:r>
    </w:p>
    <w:p w14:paraId="65D9C179" w14:textId="77777777" w:rsidR="002D458F" w:rsidRPr="005F4B44" w:rsidRDefault="002D458F" w:rsidP="00100935">
      <w:pPr>
        <w:pStyle w:val="Calloutbox2"/>
        <w:pBdr>
          <w:bottom w:val="single" w:sz="48" w:space="1" w:color="33C1D7"/>
        </w:pBdr>
      </w:pPr>
      <w:r w:rsidRPr="005F4B44">
        <w:t xml:space="preserve">Following an audit of the records, the FWO had concerns that the documents provided by Mr Kang were false and that the recorded number of hours worked by employees had reduced in order to make it appear their hourly rates of pay were higher than they were. The FWO </w:t>
      </w:r>
      <w:r w:rsidRPr="005F4B44">
        <w:lastRenderedPageBreak/>
        <w:t>was also aware of allegations that Mr Kang had required employees to sign false records indicating lawful rates of pay.</w:t>
      </w:r>
    </w:p>
    <w:p w14:paraId="46453139" w14:textId="77777777" w:rsidR="002D458F" w:rsidRPr="005F4B44" w:rsidRDefault="002D458F" w:rsidP="002D458F">
      <w:pPr>
        <w:pStyle w:val="Calloutbox2"/>
      </w:pPr>
      <w:r w:rsidRPr="005F4B44">
        <w:t xml:space="preserve">Several months after Inspectors commenced the investigation of Ballina One, two requests for assistance were received from employees of EJ Group working at Sushi </w:t>
      </w:r>
      <w:proofErr w:type="spellStart"/>
      <w:r w:rsidRPr="005F4B44">
        <w:t>Kuni</w:t>
      </w:r>
      <w:proofErr w:type="spellEnd"/>
      <w:r w:rsidRPr="005F4B44">
        <w:t xml:space="preserve"> in Redcliffe, Queensland. Mr Kang was the sole Director and shareholder of both Ballina One and EJ Group.</w:t>
      </w:r>
    </w:p>
    <w:p w14:paraId="1B5F1615" w14:textId="551C8E84" w:rsidR="005F4B44" w:rsidRPr="005F4B44" w:rsidRDefault="005F4B44" w:rsidP="005F4B44">
      <w:pPr>
        <w:pStyle w:val="Calloutbox2"/>
      </w:pPr>
      <w:r w:rsidRPr="005F4B44">
        <w:t>Although Inspectors had given Mr Kang information about minimum pay rates as part of the audit of Ballina One, employees of EJ Group, the FWO found evidence that they were paid unlawfully low flat rates of pay between $120 and $160 for 10 to 12 hour shifts.</w:t>
      </w:r>
    </w:p>
    <w:p w14:paraId="29DEF36E" w14:textId="77777777" w:rsidR="005F4B44" w:rsidRPr="005F4B44" w:rsidRDefault="005F4B44" w:rsidP="005F4B44">
      <w:pPr>
        <w:pStyle w:val="Calloutbox2"/>
      </w:pPr>
      <w:r w:rsidRPr="005F4B44">
        <w:t>Given the nature of the breaches, the vulnerability of employees and the provision of false records, the FWO commenced legal proceedings against both Ballina One and EJ Group. Ballina One entered into liquidation prior to litigation commencing. As a result, proceedings were commenced against Mr Kang personally for his involvement in the Ballina One breaches and EJ Group and Mr Kang for the Redcliffe breaches.</w:t>
      </w:r>
    </w:p>
    <w:p w14:paraId="692D8798" w14:textId="77777777" w:rsidR="005F4B44" w:rsidRPr="005F4B44" w:rsidRDefault="005F4B44" w:rsidP="005F4B44">
      <w:pPr>
        <w:pStyle w:val="Calloutbox2"/>
      </w:pPr>
      <w:r w:rsidRPr="005F4B44">
        <w:t>The Court ordered Mr Kang pay a penalty of $20 000 for his involvement in the breaches at Ballina and for him to pay $8 328 to employees for underpayments.</w:t>
      </w:r>
    </w:p>
    <w:p w14:paraId="12B7BABF" w14:textId="77777777" w:rsidR="005F4B44" w:rsidRPr="005F4B44" w:rsidRDefault="005F4B44" w:rsidP="005F4B44">
      <w:pPr>
        <w:pStyle w:val="Calloutbox2"/>
      </w:pPr>
      <w:r w:rsidRPr="005F4B44">
        <w:t>The EJ Group investigation was the subject of separate proceedings where the court ordered over $116 000 in penalties.</w:t>
      </w:r>
    </w:p>
    <w:p w14:paraId="2D83F3C6" w14:textId="3FF945FA" w:rsidR="005F4B44" w:rsidRPr="005F4B44" w:rsidRDefault="005F4B44" w:rsidP="005F4B44">
      <w:pPr>
        <w:pStyle w:val="Calloutbox2"/>
      </w:pPr>
      <w:r w:rsidRPr="005F4B44">
        <w:t>Further information about the matter is contained on the FWO’s website.</w:t>
      </w:r>
      <w:r w:rsidR="002D458F" w:rsidRPr="002D458F">
        <w:rPr>
          <w:rStyle w:val="FootnoteReference"/>
          <w:rFonts w:ascii="Arial" w:eastAsiaTheme="minorEastAsia" w:hAnsi="Arial" w:cs="Helvetica"/>
          <w:szCs w:val="24"/>
        </w:rPr>
        <w:footnoteReference w:id="6"/>
      </w:r>
    </w:p>
    <w:p w14:paraId="3CF9B7A3" w14:textId="465B008F" w:rsidR="005F4B44" w:rsidRPr="00574470" w:rsidRDefault="005F4B44" w:rsidP="00100935">
      <w:pPr>
        <w:pStyle w:val="Heading2"/>
      </w:pPr>
      <w:bookmarkStart w:id="16" w:name="_Toc526774855"/>
      <w:r>
        <w:t>Enforceable u</w:t>
      </w:r>
      <w:r w:rsidRPr="00574470">
        <w:t>ndertakings</w:t>
      </w:r>
      <w:bookmarkEnd w:id="16"/>
    </w:p>
    <w:p w14:paraId="5306B444" w14:textId="4AEE5DA5" w:rsidR="005F4B44" w:rsidRDefault="005F4B44" w:rsidP="005F4B44">
      <w:pPr>
        <w:rPr>
          <w:rFonts w:cs="Helvetica"/>
        </w:rPr>
      </w:pPr>
      <w:r w:rsidRPr="00574470">
        <w:rPr>
          <w:rFonts w:cs="Helvetica"/>
        </w:rPr>
        <w:t xml:space="preserve">The FWO can </w:t>
      </w:r>
      <w:r>
        <w:rPr>
          <w:rFonts w:cs="Helvetica"/>
        </w:rPr>
        <w:t xml:space="preserve">provide an employer with the option to </w:t>
      </w:r>
      <w:r w:rsidRPr="00574470">
        <w:rPr>
          <w:rFonts w:cs="Helvetica"/>
        </w:rPr>
        <w:t xml:space="preserve">enter into </w:t>
      </w:r>
      <w:r>
        <w:rPr>
          <w:rFonts w:cs="Helvetica"/>
        </w:rPr>
        <w:t>an Enforceable Undertaking as an alternative to the commencement of legal proceedings</w:t>
      </w:r>
      <w:r w:rsidRPr="00574470">
        <w:rPr>
          <w:rFonts w:cs="Helvetica"/>
        </w:rPr>
        <w:t xml:space="preserve">. </w:t>
      </w:r>
    </w:p>
    <w:p w14:paraId="433E7C8E" w14:textId="2FC4F8A4" w:rsidR="005F4B44" w:rsidRDefault="005F4B44" w:rsidP="005F4B44">
      <w:pPr>
        <w:rPr>
          <w:rFonts w:cs="Helvetica"/>
        </w:rPr>
      </w:pPr>
      <w:r>
        <w:rPr>
          <w:rFonts w:cs="Helvetica"/>
        </w:rPr>
        <w:t>In exercising this option, the FWO considers a number of factors, including whether the undertakings sought through an Enforceable Undertaking would result in a superior outcome compared to litigation.</w:t>
      </w:r>
      <w:r w:rsidR="00FB0D2B">
        <w:rPr>
          <w:rStyle w:val="FootnoteReference"/>
        </w:rPr>
        <w:footnoteReference w:id="7"/>
      </w:r>
    </w:p>
    <w:p w14:paraId="4F3D23FC" w14:textId="77777777" w:rsidR="005F4B44" w:rsidRPr="007078F8" w:rsidRDefault="005F4B44" w:rsidP="005F4B44">
      <w:pPr>
        <w:rPr>
          <w:rFonts w:cs="Helvetica"/>
        </w:rPr>
      </w:pPr>
      <w:r>
        <w:rPr>
          <w:rFonts w:cs="Helvetica"/>
        </w:rPr>
        <w:t>If the employer does not comply with the terms of an Enforceable Undertaking, the FWO can take legal action to enforce them, as well as seek other orders the court considers appropriate.</w:t>
      </w:r>
    </w:p>
    <w:p w14:paraId="779A5090" w14:textId="43641FC9" w:rsidR="005F4B44" w:rsidRPr="00574470" w:rsidRDefault="005F4B44" w:rsidP="005F4B44">
      <w:pPr>
        <w:rPr>
          <w:rFonts w:cs="Helvetica"/>
        </w:rPr>
      </w:pPr>
      <w:r w:rsidRPr="00574470">
        <w:rPr>
          <w:rFonts w:cs="Helvetica"/>
        </w:rPr>
        <w:t>Generally</w:t>
      </w:r>
      <w:r>
        <w:rPr>
          <w:rFonts w:cs="Helvetica"/>
        </w:rPr>
        <w:t>,</w:t>
      </w:r>
      <w:r w:rsidRPr="00574470">
        <w:rPr>
          <w:rFonts w:cs="Helvetica"/>
        </w:rPr>
        <w:t xml:space="preserve"> </w:t>
      </w:r>
      <w:r w:rsidR="00FB0D2B">
        <w:rPr>
          <w:rFonts w:cs="Helvetica"/>
        </w:rPr>
        <w:t xml:space="preserve">the </w:t>
      </w:r>
      <w:r w:rsidRPr="00574470">
        <w:rPr>
          <w:rFonts w:cs="Helvetica"/>
        </w:rPr>
        <w:t>FWO enters into Enforceable Undertakings with employers where:</w:t>
      </w:r>
    </w:p>
    <w:p w14:paraId="7611923B" w14:textId="77777777" w:rsidR="005F4B44" w:rsidRPr="00574470" w:rsidRDefault="005F4B44" w:rsidP="005F4B44">
      <w:pPr>
        <w:pStyle w:val="Bullet"/>
      </w:pPr>
      <w:r>
        <w:t>the breaches have been admitted</w:t>
      </w:r>
    </w:p>
    <w:p w14:paraId="1B23CD42" w14:textId="77777777" w:rsidR="005F4B44" w:rsidRPr="00574470" w:rsidRDefault="005F4B44" w:rsidP="005F4B44">
      <w:pPr>
        <w:pStyle w:val="Bullet"/>
      </w:pPr>
      <w:r>
        <w:t xml:space="preserve">rectification of harm is assured </w:t>
      </w:r>
    </w:p>
    <w:p w14:paraId="47861F23" w14:textId="77777777" w:rsidR="005F4B44" w:rsidRDefault="005F4B44" w:rsidP="005F4B44">
      <w:pPr>
        <w:pStyle w:val="Bullet"/>
      </w:pPr>
      <w:proofErr w:type="gramStart"/>
      <w:r>
        <w:lastRenderedPageBreak/>
        <w:t>contrition</w:t>
      </w:r>
      <w:proofErr w:type="gramEnd"/>
      <w:r>
        <w:t xml:space="preserve"> is evidenced.</w:t>
      </w:r>
    </w:p>
    <w:p w14:paraId="7F656A76" w14:textId="50D4A4E5" w:rsidR="005F4B44" w:rsidRDefault="005F4B44" w:rsidP="005F4B44">
      <w:pPr>
        <w:rPr>
          <w:rFonts w:cs="Helvetica"/>
        </w:rPr>
      </w:pPr>
      <w:r>
        <w:rPr>
          <w:rFonts w:cs="Helvetica"/>
        </w:rPr>
        <w:t xml:space="preserve">Enforceable Undertakings are formalised in agreements provided for by the Act and published on the FWO website. </w:t>
      </w:r>
    </w:p>
    <w:p w14:paraId="4F759381" w14:textId="2EBC5D4B" w:rsidR="00D74581" w:rsidRPr="00FB0D2B" w:rsidRDefault="005F4B44" w:rsidP="00FB0D2B">
      <w:pPr>
        <w:rPr>
          <w:rFonts w:cs="Helvetica"/>
          <w:szCs w:val="22"/>
        </w:rPr>
      </w:pPr>
      <w:r>
        <w:rPr>
          <w:rFonts w:cs="Helvetica"/>
          <w:szCs w:val="22"/>
        </w:rPr>
        <w:t>The</w:t>
      </w:r>
      <w:r w:rsidRPr="00574470">
        <w:rPr>
          <w:rFonts w:cs="Helvetica"/>
          <w:szCs w:val="22"/>
        </w:rPr>
        <w:t xml:space="preserve"> FWO </w:t>
      </w:r>
      <w:r w:rsidRPr="00FB0D2B">
        <w:t xml:space="preserve">entered </w:t>
      </w:r>
      <w:r w:rsidR="00AD41BF">
        <w:t xml:space="preserve">into </w:t>
      </w:r>
      <w:r w:rsidRPr="00FB0D2B">
        <w:t xml:space="preserve">an </w:t>
      </w:r>
      <w:r w:rsidR="0008172C" w:rsidRPr="0008172C">
        <w:t>Enforceable Undertaking</w:t>
      </w:r>
      <w:r w:rsidRPr="0008172C">
        <w:t xml:space="preserve"> with </w:t>
      </w:r>
      <w:proofErr w:type="spellStart"/>
      <w:r w:rsidRPr="0008172C">
        <w:t>Shinobu</w:t>
      </w:r>
      <w:proofErr w:type="spellEnd"/>
      <w:r w:rsidRPr="00574470">
        <w:rPr>
          <w:rFonts w:cs="Helvetica"/>
          <w:szCs w:val="22"/>
        </w:rPr>
        <w:t xml:space="preserve"> Sushi Bar Pty Ltd [ABN 53 164 665 730].</w:t>
      </w:r>
      <w:r w:rsidR="00FB0D2B">
        <w:rPr>
          <w:rStyle w:val="FootnoteReference"/>
          <w:szCs w:val="22"/>
        </w:rPr>
        <w:footnoteReference w:id="8"/>
      </w:r>
      <w:r w:rsidRPr="00574470">
        <w:rPr>
          <w:rFonts w:cs="Helvetica"/>
          <w:szCs w:val="22"/>
        </w:rPr>
        <w:t xml:space="preserve"> The </w:t>
      </w:r>
      <w:r>
        <w:rPr>
          <w:rFonts w:cs="Helvetica"/>
          <w:szCs w:val="22"/>
        </w:rPr>
        <w:t xml:space="preserve">Undertaking </w:t>
      </w:r>
      <w:r w:rsidRPr="00574470">
        <w:rPr>
          <w:rFonts w:cs="Helvetica"/>
          <w:szCs w:val="22"/>
        </w:rPr>
        <w:t xml:space="preserve">was entered into after Inspectors identified the employer had failed to make and </w:t>
      </w:r>
      <w:r w:rsidR="00AD41BF">
        <w:rPr>
          <w:rFonts w:cs="Helvetica"/>
          <w:szCs w:val="22"/>
        </w:rPr>
        <w:t>keep accurate employee records.</w:t>
      </w:r>
      <w:r w:rsidRPr="00574470">
        <w:rPr>
          <w:rFonts w:cs="Helvetica"/>
          <w:szCs w:val="22"/>
        </w:rPr>
        <w:t xml:space="preserve"> </w:t>
      </w:r>
      <w:r>
        <w:rPr>
          <w:rFonts w:cs="Helvetica"/>
          <w:szCs w:val="22"/>
        </w:rPr>
        <w:t xml:space="preserve">Under the terms of </w:t>
      </w:r>
      <w:r w:rsidRPr="00574470">
        <w:rPr>
          <w:rFonts w:cs="Helvetica"/>
          <w:szCs w:val="22"/>
        </w:rPr>
        <w:t xml:space="preserve">the </w:t>
      </w:r>
      <w:r>
        <w:rPr>
          <w:rFonts w:cs="Helvetica"/>
          <w:szCs w:val="22"/>
        </w:rPr>
        <w:t>Enforceable U</w:t>
      </w:r>
      <w:r w:rsidRPr="00574470">
        <w:rPr>
          <w:rFonts w:cs="Helvetica"/>
          <w:szCs w:val="22"/>
        </w:rPr>
        <w:t>ndertaking</w:t>
      </w:r>
      <w:r>
        <w:rPr>
          <w:rFonts w:cs="Helvetica"/>
          <w:szCs w:val="22"/>
        </w:rPr>
        <w:t>,</w:t>
      </w:r>
      <w:r w:rsidRPr="00574470">
        <w:rPr>
          <w:rFonts w:cs="Helvetica"/>
          <w:szCs w:val="22"/>
        </w:rPr>
        <w:t xml:space="preserve"> the employer participated in workplace relations training and engaged in an external compliance audit</w:t>
      </w:r>
      <w:r>
        <w:rPr>
          <w:rFonts w:cs="Helvetica"/>
          <w:szCs w:val="22"/>
        </w:rPr>
        <w:t xml:space="preserve"> for a full financial year</w:t>
      </w:r>
      <w:r w:rsidRPr="00574470">
        <w:rPr>
          <w:rFonts w:cs="Helvetica"/>
          <w:szCs w:val="22"/>
        </w:rPr>
        <w:t xml:space="preserve">. The audit did not detect </w:t>
      </w:r>
      <w:r>
        <w:rPr>
          <w:rFonts w:cs="Helvetica"/>
          <w:szCs w:val="22"/>
        </w:rPr>
        <w:t xml:space="preserve">further </w:t>
      </w:r>
      <w:r w:rsidRPr="00574470">
        <w:rPr>
          <w:rFonts w:cs="Helvetica"/>
          <w:szCs w:val="22"/>
        </w:rPr>
        <w:t xml:space="preserve">underpayment of employee wages. </w:t>
      </w:r>
    </w:p>
    <w:p w14:paraId="310E2DAC" w14:textId="4EB9F840" w:rsidR="005F4B44" w:rsidRPr="00574470" w:rsidRDefault="005F4B44" w:rsidP="00100935">
      <w:pPr>
        <w:pStyle w:val="Heading2"/>
      </w:pPr>
      <w:bookmarkStart w:id="17" w:name="_Toc526774856"/>
      <w:r w:rsidRPr="00574470">
        <w:t xml:space="preserve">Other </w:t>
      </w:r>
      <w:r>
        <w:t xml:space="preserve">compliance and </w:t>
      </w:r>
      <w:r w:rsidRPr="00574470">
        <w:t>enforcement outcomes</w:t>
      </w:r>
      <w:bookmarkEnd w:id="17"/>
    </w:p>
    <w:p w14:paraId="07FAE3E6" w14:textId="3AF3045B" w:rsidR="005F4B44" w:rsidRPr="00574470" w:rsidRDefault="00AD41BF" w:rsidP="005F4B44">
      <w:pPr>
        <w:rPr>
          <w:rFonts w:cs="Helvetica"/>
        </w:rPr>
      </w:pPr>
      <w:r>
        <w:rPr>
          <w:rFonts w:cs="Helvetica"/>
        </w:rPr>
        <w:t>Six C</w:t>
      </w:r>
      <w:r w:rsidR="005F4B44" w:rsidRPr="00574470">
        <w:rPr>
          <w:rFonts w:cs="Helvetica"/>
        </w:rPr>
        <w:t xml:space="preserve">ompliance </w:t>
      </w:r>
      <w:r>
        <w:rPr>
          <w:rFonts w:cs="Helvetica"/>
        </w:rPr>
        <w:t>N</w:t>
      </w:r>
      <w:r w:rsidR="005F4B44" w:rsidRPr="00574470">
        <w:rPr>
          <w:rFonts w:cs="Helvetica"/>
        </w:rPr>
        <w:t xml:space="preserve">otices </w:t>
      </w:r>
      <w:r w:rsidR="005F4B44">
        <w:rPr>
          <w:rFonts w:cs="Helvetica"/>
        </w:rPr>
        <w:t xml:space="preserve">were </w:t>
      </w:r>
      <w:r w:rsidR="005F4B44" w:rsidRPr="00574470">
        <w:rPr>
          <w:rFonts w:cs="Helvetica"/>
        </w:rPr>
        <w:t>issued</w:t>
      </w:r>
      <w:r w:rsidR="005F4B44">
        <w:rPr>
          <w:rFonts w:cs="Helvetica"/>
        </w:rPr>
        <w:t>,</w:t>
      </w:r>
      <w:r w:rsidR="005F4B44" w:rsidRPr="00574470">
        <w:rPr>
          <w:rFonts w:cs="Helvetica"/>
        </w:rPr>
        <w:t xml:space="preserve"> result</w:t>
      </w:r>
      <w:r w:rsidR="005F4B44">
        <w:rPr>
          <w:rFonts w:cs="Helvetica"/>
        </w:rPr>
        <w:t xml:space="preserve">ing in </w:t>
      </w:r>
      <w:r w:rsidR="005F4B44" w:rsidRPr="00574470">
        <w:rPr>
          <w:rFonts w:cs="Helvetica"/>
        </w:rPr>
        <w:t>$72 612</w:t>
      </w:r>
      <w:r w:rsidR="005F4B44">
        <w:rPr>
          <w:rFonts w:cs="Helvetica"/>
        </w:rPr>
        <w:t xml:space="preserve"> being paid to </w:t>
      </w:r>
      <w:r w:rsidR="005F4B44" w:rsidRPr="00574470">
        <w:rPr>
          <w:rFonts w:cs="Helvetica"/>
        </w:rPr>
        <w:t xml:space="preserve">20 employees. </w:t>
      </w:r>
    </w:p>
    <w:p w14:paraId="7D9BE5A7" w14:textId="77777777" w:rsidR="00AD41BF" w:rsidRDefault="005F4B44" w:rsidP="005F4B44">
      <w:pPr>
        <w:rPr>
          <w:rFonts w:cs="Helvetica"/>
        </w:rPr>
      </w:pPr>
      <w:r w:rsidRPr="00574470">
        <w:rPr>
          <w:rFonts w:cs="Helvetica"/>
        </w:rPr>
        <w:t xml:space="preserve">Nine Infringement Notices (totalling $17 850) were issued to four </w:t>
      </w:r>
      <w:r>
        <w:rPr>
          <w:rFonts w:cs="Helvetica"/>
        </w:rPr>
        <w:t>businesse</w:t>
      </w:r>
      <w:r w:rsidRPr="00574470">
        <w:rPr>
          <w:rFonts w:cs="Helvetica"/>
        </w:rPr>
        <w:t xml:space="preserve">s for a range of record making and record-keeping </w:t>
      </w:r>
      <w:r w:rsidR="00AD41BF">
        <w:rPr>
          <w:rFonts w:cs="Helvetica"/>
        </w:rPr>
        <w:t>breaches, including:</w:t>
      </w:r>
    </w:p>
    <w:p w14:paraId="177B2FE3" w14:textId="77777777" w:rsidR="00AD41BF" w:rsidRDefault="00AD41BF" w:rsidP="00AD41BF">
      <w:pPr>
        <w:pStyle w:val="Bullet"/>
      </w:pPr>
      <w:r>
        <w:t>failure to issue pay slips</w:t>
      </w:r>
    </w:p>
    <w:p w14:paraId="62E750CC" w14:textId="77777777" w:rsidR="00AD41BF" w:rsidRDefault="005F4B44" w:rsidP="00AD41BF">
      <w:pPr>
        <w:pStyle w:val="Bullet"/>
      </w:pPr>
      <w:r w:rsidRPr="00574470">
        <w:t xml:space="preserve">pay slips not </w:t>
      </w:r>
      <w:r>
        <w:t xml:space="preserve">being </w:t>
      </w:r>
      <w:r w:rsidRPr="00574470">
        <w:t>provided in the prescribed fo</w:t>
      </w:r>
      <w:r w:rsidR="00AD41BF">
        <w:t>rm</w:t>
      </w:r>
    </w:p>
    <w:p w14:paraId="4FC5D00B" w14:textId="77777777" w:rsidR="00AD41BF" w:rsidRDefault="005F4B44" w:rsidP="00AD41BF">
      <w:pPr>
        <w:pStyle w:val="Bullet"/>
      </w:pPr>
      <w:r w:rsidRPr="00574470">
        <w:t>failure to record em</w:t>
      </w:r>
      <w:r w:rsidR="00AD41BF">
        <w:t>ployees’ start and finish times</w:t>
      </w:r>
    </w:p>
    <w:p w14:paraId="3F059BD0" w14:textId="0B9543BC" w:rsidR="005F4B44" w:rsidRPr="00574470" w:rsidRDefault="005F4B44" w:rsidP="00AD41BF">
      <w:pPr>
        <w:pStyle w:val="Bullet"/>
      </w:pPr>
      <w:proofErr w:type="gramStart"/>
      <w:r w:rsidRPr="00574470">
        <w:t>failure</w:t>
      </w:r>
      <w:proofErr w:type="gramEnd"/>
      <w:r w:rsidRPr="00574470">
        <w:t xml:space="preserve"> to make and or keep records.</w:t>
      </w:r>
    </w:p>
    <w:p w14:paraId="55374950" w14:textId="4A6584B5" w:rsidR="005F4B44" w:rsidRDefault="005F4B44" w:rsidP="005F4B44">
      <w:pPr>
        <w:rPr>
          <w:rFonts w:cs="Helvetica"/>
        </w:rPr>
      </w:pPr>
      <w:r w:rsidRPr="00574470">
        <w:rPr>
          <w:rFonts w:cs="Helvetica"/>
        </w:rPr>
        <w:t xml:space="preserve">Fifteen </w:t>
      </w:r>
      <w:r>
        <w:rPr>
          <w:rFonts w:cs="Helvetica"/>
        </w:rPr>
        <w:t>Formal</w:t>
      </w:r>
      <w:r w:rsidRPr="00574470">
        <w:rPr>
          <w:rFonts w:cs="Helvetica"/>
        </w:rPr>
        <w:t xml:space="preserve"> Caution</w:t>
      </w:r>
      <w:r>
        <w:rPr>
          <w:rFonts w:cs="Helvetica"/>
        </w:rPr>
        <w:t>s</w:t>
      </w:r>
      <w:r w:rsidRPr="00574470">
        <w:rPr>
          <w:rFonts w:cs="Helvetica"/>
        </w:rPr>
        <w:t xml:space="preserve"> </w:t>
      </w:r>
      <w:r>
        <w:rPr>
          <w:rFonts w:cs="Helvetica"/>
        </w:rPr>
        <w:t xml:space="preserve">were </w:t>
      </w:r>
      <w:r w:rsidRPr="00574470">
        <w:rPr>
          <w:rFonts w:cs="Helvetica"/>
        </w:rPr>
        <w:t xml:space="preserve">issued to </w:t>
      </w:r>
      <w:r>
        <w:rPr>
          <w:rFonts w:cs="Helvetica"/>
        </w:rPr>
        <w:t>businesses</w:t>
      </w:r>
      <w:r w:rsidRPr="00574470">
        <w:rPr>
          <w:rFonts w:cs="Helvetica"/>
        </w:rPr>
        <w:t xml:space="preserve"> for a range of breaches of workplace laws.  These letters placed the </w:t>
      </w:r>
      <w:r>
        <w:rPr>
          <w:rFonts w:cs="Helvetica"/>
        </w:rPr>
        <w:t>businesse</w:t>
      </w:r>
      <w:r w:rsidRPr="00574470">
        <w:rPr>
          <w:rFonts w:cs="Helvetica"/>
        </w:rPr>
        <w:t>s on notice that any future breaches may result in the commencement of legal proceedings</w:t>
      </w:r>
      <w:r>
        <w:rPr>
          <w:rFonts w:cs="Helvetica"/>
        </w:rPr>
        <w:t xml:space="preserve"> by the FWO</w:t>
      </w:r>
      <w:r w:rsidRPr="00574470">
        <w:rPr>
          <w:rFonts w:cs="Helvetica"/>
        </w:rPr>
        <w:t>.</w:t>
      </w:r>
    </w:p>
    <w:p w14:paraId="0CD0DD77" w14:textId="77777777" w:rsidR="00FB0D2B" w:rsidRDefault="00FB0D2B">
      <w:pPr>
        <w:spacing w:before="0" w:line="240" w:lineRule="auto"/>
        <w:rPr>
          <w:rFonts w:ascii="Helvetica" w:hAnsi="Helvetica"/>
          <w:color w:val="263746"/>
          <w:sz w:val="44"/>
          <w:szCs w:val="26"/>
        </w:rPr>
      </w:pPr>
      <w:r>
        <w:br w:type="page"/>
      </w:r>
    </w:p>
    <w:p w14:paraId="4504583B" w14:textId="729308E5" w:rsidR="005F4B44" w:rsidRPr="00574470" w:rsidRDefault="00FB0D2B" w:rsidP="00100935">
      <w:pPr>
        <w:pStyle w:val="Heading1"/>
      </w:pPr>
      <w:bookmarkStart w:id="18" w:name="_Toc526774857"/>
      <w:r>
        <w:lastRenderedPageBreak/>
        <w:t>Conclusion</w:t>
      </w:r>
      <w:bookmarkEnd w:id="18"/>
      <w:r w:rsidR="005F4B44" w:rsidRPr="00574470">
        <w:t xml:space="preserve"> </w:t>
      </w:r>
    </w:p>
    <w:p w14:paraId="52B9A4ED" w14:textId="05F8416F" w:rsidR="005F4B44" w:rsidRPr="00574470" w:rsidRDefault="005F4B44" w:rsidP="005F4B44">
      <w:pPr>
        <w:rPr>
          <w:rFonts w:cs="Helvetica"/>
          <w:szCs w:val="22"/>
        </w:rPr>
      </w:pPr>
      <w:r>
        <w:rPr>
          <w:rFonts w:cs="Helvetica"/>
          <w:szCs w:val="22"/>
        </w:rPr>
        <w:t xml:space="preserve">The FWO considers the fast food, restaurant and café subsectors to be a compliance priority and the </w:t>
      </w:r>
      <w:r w:rsidRPr="00574470">
        <w:rPr>
          <w:rFonts w:cs="Helvetica"/>
          <w:szCs w:val="22"/>
        </w:rPr>
        <w:t xml:space="preserve">non-compliant </w:t>
      </w:r>
      <w:r>
        <w:rPr>
          <w:rFonts w:cs="Helvetica"/>
          <w:szCs w:val="22"/>
        </w:rPr>
        <w:t xml:space="preserve">businesses </w:t>
      </w:r>
      <w:r w:rsidRPr="00574470">
        <w:rPr>
          <w:rFonts w:cs="Helvetica"/>
          <w:szCs w:val="22"/>
        </w:rPr>
        <w:t xml:space="preserve">identified during the activity </w:t>
      </w:r>
      <w:r>
        <w:rPr>
          <w:rFonts w:cs="Helvetica"/>
          <w:szCs w:val="22"/>
        </w:rPr>
        <w:t>will be subject t</w:t>
      </w:r>
      <w:r w:rsidR="00D74581">
        <w:rPr>
          <w:rFonts w:cs="Helvetica"/>
          <w:szCs w:val="22"/>
        </w:rPr>
        <w:t>o follow up compliance checks.</w:t>
      </w:r>
    </w:p>
    <w:p w14:paraId="36F8FB9A" w14:textId="77777777" w:rsidR="005F4B44" w:rsidRDefault="005F4B44" w:rsidP="005F4B44">
      <w:pPr>
        <w:rPr>
          <w:rFonts w:cs="Helvetica"/>
          <w:szCs w:val="22"/>
        </w:rPr>
      </w:pPr>
      <w:r w:rsidRPr="00574470">
        <w:rPr>
          <w:rFonts w:cs="Helvetica"/>
          <w:szCs w:val="22"/>
        </w:rPr>
        <w:t>The findings of t</w:t>
      </w:r>
      <w:r>
        <w:rPr>
          <w:rFonts w:cs="Helvetica"/>
          <w:szCs w:val="22"/>
        </w:rPr>
        <w:t xml:space="preserve">his </w:t>
      </w:r>
      <w:r w:rsidRPr="00574470">
        <w:rPr>
          <w:rFonts w:cs="Helvetica"/>
          <w:szCs w:val="22"/>
        </w:rPr>
        <w:t xml:space="preserve">Activity will inform the design and development of FWO’s </w:t>
      </w:r>
      <w:r>
        <w:rPr>
          <w:rFonts w:cs="Helvetica"/>
          <w:szCs w:val="22"/>
        </w:rPr>
        <w:t xml:space="preserve">future </w:t>
      </w:r>
      <w:r w:rsidRPr="00574470">
        <w:rPr>
          <w:rFonts w:cs="Helvetica"/>
          <w:szCs w:val="22"/>
        </w:rPr>
        <w:t xml:space="preserve">activities in the hospitality sector. </w:t>
      </w:r>
    </w:p>
    <w:p w14:paraId="68AD10C3" w14:textId="388C7D74" w:rsidR="005F4B44" w:rsidRDefault="005F4B44" w:rsidP="00100935">
      <w:pPr>
        <w:rPr>
          <w:rFonts w:ascii="Helvetica" w:hAnsi="Helvetica"/>
          <w:color w:val="263746"/>
          <w:sz w:val="44"/>
          <w:szCs w:val="26"/>
        </w:rPr>
      </w:pPr>
      <w:r>
        <w:rPr>
          <w:rFonts w:cs="Helvetica"/>
          <w:szCs w:val="22"/>
        </w:rPr>
        <w:t>I</w:t>
      </w:r>
      <w:r w:rsidRPr="00574470">
        <w:rPr>
          <w:rFonts w:cs="Helvetica"/>
          <w:szCs w:val="22"/>
        </w:rPr>
        <w:t>ndividuals with compliance concerns about a sushi eatery are encouraged to report the matter to the FWO</w:t>
      </w:r>
      <w:r>
        <w:rPr>
          <w:rFonts w:cs="Helvetica"/>
          <w:szCs w:val="22"/>
        </w:rPr>
        <w:t>, including via the anonymous</w:t>
      </w:r>
      <w:r w:rsidR="00FB0D2B">
        <w:rPr>
          <w:rFonts w:cs="Helvetica"/>
          <w:szCs w:val="22"/>
        </w:rPr>
        <w:t xml:space="preserve"> tip-off form available at</w:t>
      </w:r>
      <w:r w:rsidRPr="00574470">
        <w:rPr>
          <w:rFonts w:cs="Helvetica"/>
          <w:szCs w:val="22"/>
        </w:rPr>
        <w:t xml:space="preserve"> </w:t>
      </w:r>
      <w:hyperlink r:id="rId11" w:tooltip="Make an anonymous report" w:history="1">
        <w:r w:rsidR="0008172C" w:rsidRPr="00E5694C">
          <w:rPr>
            <w:rStyle w:val="Hyperlink"/>
            <w:rFonts w:cs="Arial"/>
          </w:rPr>
          <w:t>www.fairwork.gov.au/tipoff</w:t>
        </w:r>
      </w:hyperlink>
      <w:r w:rsidR="0008172C">
        <w:rPr>
          <w:rFonts w:cs="Helvetica"/>
          <w:szCs w:val="22"/>
        </w:rPr>
        <w:t xml:space="preserve">. </w:t>
      </w:r>
      <w:r w:rsidRPr="00574470">
        <w:rPr>
          <w:rFonts w:cs="Helvetica"/>
          <w:szCs w:val="22"/>
        </w:rPr>
        <w:t xml:space="preserve"> </w:t>
      </w:r>
    </w:p>
    <w:p w14:paraId="44387320" w14:textId="61178712" w:rsidR="000E0DD6" w:rsidRDefault="000E0DD6" w:rsidP="00100935">
      <w:pPr>
        <w:pStyle w:val="Heading1"/>
        <w:spacing w:before="360"/>
      </w:pPr>
      <w:bookmarkStart w:id="19" w:name="_Toc526774858"/>
      <w:r>
        <w:t>About the Fair Work Ombudsman</w:t>
      </w:r>
      <w:bookmarkEnd w:id="8"/>
      <w:bookmarkEnd w:id="19"/>
    </w:p>
    <w:p w14:paraId="574ACDC5" w14:textId="77777777" w:rsidR="00207215" w:rsidRDefault="00207215" w:rsidP="00C12BCB">
      <w:pPr>
        <w:spacing w:before="0" w:after="120"/>
      </w:pPr>
      <w:r>
        <w:t xml:space="preserve">The FWO is an independent agency created by the Fair Work Act 2009 on 1 July 2009. </w:t>
      </w:r>
    </w:p>
    <w:p w14:paraId="6BC4DFBF" w14:textId="77777777" w:rsidR="00207215" w:rsidRDefault="00207215" w:rsidP="00C12BCB">
      <w:pPr>
        <w:spacing w:before="0" w:after="120"/>
      </w:pPr>
      <w:r>
        <w:t xml:space="preserve">Our main role is to promote harmonious, productive and cooperative workplace relations. </w:t>
      </w:r>
    </w:p>
    <w:p w14:paraId="7AC892C7" w14:textId="6199F334" w:rsidR="00207215" w:rsidRDefault="00207215" w:rsidP="00C12BCB">
      <w:pPr>
        <w:spacing w:before="0" w:after="120"/>
      </w:pPr>
      <w:r>
        <w:t>The FWO supports compliance with Australian workplace laws by:</w:t>
      </w:r>
    </w:p>
    <w:p w14:paraId="7BB3C7D0" w14:textId="0B071A37" w:rsidR="00207215" w:rsidRPr="002B52B9" w:rsidRDefault="00C62FE9" w:rsidP="00C12BCB">
      <w:pPr>
        <w:pStyle w:val="Bullet"/>
        <w:spacing w:before="0" w:after="120" w:line="360" w:lineRule="auto"/>
        <w:rPr>
          <w:lang w:val="en" w:eastAsia="en-AU"/>
        </w:rPr>
      </w:pPr>
      <w:r>
        <w:rPr>
          <w:lang w:val="en" w:eastAsia="en-AU"/>
        </w:rPr>
        <w:t xml:space="preserve">offering </w:t>
      </w:r>
      <w:r w:rsidR="00207215" w:rsidRPr="002B52B9">
        <w:rPr>
          <w:lang w:val="en" w:eastAsia="en-AU"/>
        </w:rPr>
        <w:t>a single point of contact for reliable and timely information about Australia's workplace relations system</w:t>
      </w:r>
    </w:p>
    <w:p w14:paraId="3B056994" w14:textId="77777777" w:rsidR="00207215" w:rsidRPr="002B52B9" w:rsidRDefault="00207215" w:rsidP="00C12BCB">
      <w:pPr>
        <w:pStyle w:val="Bullet"/>
        <w:spacing w:before="0" w:after="120" w:line="360" w:lineRule="auto"/>
        <w:rPr>
          <w:lang w:val="en" w:eastAsia="en-AU"/>
        </w:rPr>
      </w:pPr>
      <w:r w:rsidRPr="002B52B9">
        <w:rPr>
          <w:lang w:val="en" w:eastAsia="en-AU"/>
        </w:rPr>
        <w:t>educating people working in Australia about fair work practices, rights and obligations</w:t>
      </w:r>
    </w:p>
    <w:p w14:paraId="59B025B6" w14:textId="77777777" w:rsidR="00207215" w:rsidRPr="002B52B9" w:rsidRDefault="00207215" w:rsidP="00C12BCB">
      <w:pPr>
        <w:pStyle w:val="Bullet"/>
        <w:spacing w:before="0" w:after="120" w:line="360" w:lineRule="auto"/>
        <w:rPr>
          <w:lang w:val="en" w:eastAsia="en-AU"/>
        </w:rPr>
      </w:pPr>
      <w:r w:rsidRPr="002B52B9">
        <w:rPr>
          <w:lang w:val="en" w:eastAsia="en-AU"/>
        </w:rPr>
        <w:t>assessing complaints or suspected breaches of workplace laws, awards and registered agreements and some Fair Work Commission orders</w:t>
      </w:r>
    </w:p>
    <w:p w14:paraId="55A393E1" w14:textId="77777777" w:rsidR="00207215" w:rsidRPr="002B52B9" w:rsidRDefault="00207215" w:rsidP="00C12BCB">
      <w:pPr>
        <w:pStyle w:val="Bullet"/>
        <w:spacing w:before="0" w:after="120" w:line="360" w:lineRule="auto"/>
        <w:rPr>
          <w:lang w:val="en" w:eastAsia="en-AU"/>
        </w:rPr>
      </w:pPr>
      <w:r w:rsidRPr="002B52B9">
        <w:rPr>
          <w:lang w:val="en" w:eastAsia="en-AU"/>
        </w:rPr>
        <w:t>litigating in some circumstances to enforce workplace laws and deter people from doing wrong in the community</w:t>
      </w:r>
    </w:p>
    <w:p w14:paraId="7F6CF3A1" w14:textId="77777777" w:rsidR="00207215" w:rsidRPr="002B52B9" w:rsidRDefault="00207215" w:rsidP="00C12BCB">
      <w:pPr>
        <w:pStyle w:val="Bullet"/>
        <w:spacing w:before="0" w:after="120" w:line="360" w:lineRule="auto"/>
        <w:rPr>
          <w:lang w:val="en" w:eastAsia="en-AU"/>
        </w:rPr>
      </w:pPr>
      <w:proofErr w:type="gramStart"/>
      <w:r w:rsidRPr="002B52B9">
        <w:rPr>
          <w:lang w:val="en" w:eastAsia="en-AU"/>
        </w:rPr>
        <w:t>building</w:t>
      </w:r>
      <w:proofErr w:type="gramEnd"/>
      <w:r w:rsidRPr="002B52B9">
        <w:rPr>
          <w:lang w:val="en" w:eastAsia="en-AU"/>
        </w:rPr>
        <w:t xml:space="preserve"> strong and effective relationships with industry, unions and other stakeholders.</w:t>
      </w:r>
    </w:p>
    <w:p w14:paraId="1B12604D" w14:textId="46F0A62A" w:rsidR="0008172C" w:rsidRPr="005867C3" w:rsidRDefault="0008172C" w:rsidP="00C12BCB">
      <w:pPr>
        <w:spacing w:before="0" w:after="120"/>
      </w:pPr>
      <w:bookmarkStart w:id="20" w:name="_Toc524505423"/>
      <w:r w:rsidRPr="005867C3">
        <w:t xml:space="preserve">The FWO has a range of resources and publications for employers and employees on our website at </w:t>
      </w:r>
      <w:hyperlink r:id="rId12" w:tooltip="Fair Work Ombudsman website" w:history="1">
        <w:r w:rsidRPr="005867C3">
          <w:rPr>
            <w:color w:val="0000FF"/>
            <w:u w:val="single"/>
          </w:rPr>
          <w:t>www.fairwork.gov.au</w:t>
        </w:r>
      </w:hyperlink>
      <w:r w:rsidRPr="005867C3">
        <w:t xml:space="preserve">, including our </w:t>
      </w:r>
      <w:hyperlink r:id="rId13" w:history="1">
        <w:r w:rsidRPr="005867C3">
          <w:rPr>
            <w:color w:val="0000FF"/>
            <w:u w:val="single"/>
          </w:rPr>
          <w:t>Strategic Intent</w:t>
        </w:r>
      </w:hyperlink>
      <w:r w:rsidRPr="005867C3">
        <w:t xml:space="preserve"> and </w:t>
      </w:r>
      <w:hyperlink r:id="rId14" w:history="1">
        <w:r w:rsidRPr="005867C3">
          <w:rPr>
            <w:color w:val="0000FF"/>
            <w:u w:val="single"/>
          </w:rPr>
          <w:t>Compliance and Enforcement Policy</w:t>
        </w:r>
      </w:hyperlink>
      <w:r w:rsidRPr="005867C3">
        <w:t xml:space="preserve"> </w:t>
      </w:r>
      <w:r>
        <w:t xml:space="preserve">that </w:t>
      </w:r>
      <w:r w:rsidRPr="005867C3">
        <w:t>explains how we approach fulfilling our role.</w:t>
      </w:r>
    </w:p>
    <w:p w14:paraId="2B0524CB" w14:textId="77777777" w:rsidR="0008172C" w:rsidRPr="005867C3" w:rsidRDefault="0008172C" w:rsidP="00C12BCB">
      <w:pPr>
        <w:spacing w:before="0" w:after="120"/>
      </w:pPr>
      <w:r w:rsidRPr="005867C3">
        <w:t xml:space="preserve">For more information about this report or our current compliance and enforcement activities, please </w:t>
      </w:r>
      <w:r>
        <w:t>contact</w:t>
      </w:r>
      <w:r w:rsidRPr="005867C3">
        <w:t xml:space="preserve"> Lynda </w:t>
      </w:r>
      <w:proofErr w:type="spellStart"/>
      <w:r w:rsidRPr="005867C3">
        <w:t>McAlary</w:t>
      </w:r>
      <w:proofErr w:type="spellEnd"/>
      <w:r w:rsidRPr="005867C3">
        <w:t xml:space="preserve">-Smith, Executive Director Compliance and Enforcement, at </w:t>
      </w:r>
    </w:p>
    <w:p w14:paraId="7F6149C6" w14:textId="77777777" w:rsidR="0008172C" w:rsidRPr="005867C3" w:rsidRDefault="00A46F92" w:rsidP="00C12BCB">
      <w:pPr>
        <w:spacing w:before="0" w:after="120"/>
      </w:pPr>
      <w:hyperlink r:id="rId15" w:history="1">
        <w:r w:rsidR="0008172C" w:rsidRPr="005867C3">
          <w:rPr>
            <w:color w:val="0000FF"/>
            <w:u w:val="single"/>
          </w:rPr>
          <w:t>lynda.mcalary-smith@fwo.gov.au</w:t>
        </w:r>
      </w:hyperlink>
      <w:r w:rsidR="0008172C" w:rsidRPr="005867C3">
        <w:t>.</w:t>
      </w:r>
    </w:p>
    <w:p w14:paraId="6DA0A5B5" w14:textId="551B8035" w:rsidR="00121824" w:rsidRDefault="00121824" w:rsidP="0008172C">
      <w:pPr>
        <w:rPr>
          <w:rFonts w:ascii="Helvetica" w:hAnsi="Helvetica"/>
          <w:color w:val="263746"/>
          <w:sz w:val="44"/>
          <w:szCs w:val="26"/>
        </w:rPr>
      </w:pPr>
      <w:r>
        <w:br w:type="page"/>
      </w:r>
    </w:p>
    <w:p w14:paraId="016BF701" w14:textId="65C07C74" w:rsidR="00FB0D2B" w:rsidRPr="00574470" w:rsidRDefault="00B32AD2" w:rsidP="00100935">
      <w:pPr>
        <w:pStyle w:val="Heading1"/>
        <w:rPr>
          <w:rFonts w:eastAsiaTheme="minorHAnsi"/>
        </w:rPr>
      </w:pPr>
      <w:bookmarkStart w:id="21" w:name="_Toc526774859"/>
      <w:r>
        <w:rPr>
          <w:rFonts w:eastAsiaTheme="minorHAnsi"/>
        </w:rPr>
        <w:lastRenderedPageBreak/>
        <w:t xml:space="preserve">Appendix </w:t>
      </w:r>
      <w:proofErr w:type="gramStart"/>
      <w:r>
        <w:rPr>
          <w:rFonts w:eastAsiaTheme="minorHAnsi"/>
        </w:rPr>
        <w:t>A</w:t>
      </w:r>
      <w:proofErr w:type="gramEnd"/>
      <w:r>
        <w:rPr>
          <w:rFonts w:eastAsiaTheme="minorHAnsi"/>
        </w:rPr>
        <w:t xml:space="preserve"> – Litigations</w:t>
      </w:r>
      <w:bookmarkEnd w:id="21"/>
    </w:p>
    <w:p w14:paraId="25EF857B" w14:textId="77777777" w:rsidR="00FB0D2B" w:rsidRPr="00574470" w:rsidRDefault="00FB0D2B" w:rsidP="00100935">
      <w:pPr>
        <w:pStyle w:val="Heading3"/>
      </w:pPr>
      <w:r w:rsidRPr="00574470">
        <w:t>Fair Work Ombudsman v Kang [2017] FCCA 1010 (finalised)</w:t>
      </w:r>
    </w:p>
    <w:p w14:paraId="70E0884A" w14:textId="77777777" w:rsidR="00FB0D2B" w:rsidRPr="00574470" w:rsidRDefault="00FB0D2B" w:rsidP="00C12BCB">
      <w:pPr>
        <w:spacing w:before="0" w:after="120"/>
        <w:rPr>
          <w:highlight w:val="yellow"/>
        </w:rPr>
      </w:pPr>
      <w:r w:rsidRPr="00574470">
        <w:t xml:space="preserve">As a result of these proceedings, the Court ordered Mr Da </w:t>
      </w:r>
      <w:r>
        <w:t>Il</w:t>
      </w:r>
      <w:r w:rsidRPr="00574470">
        <w:t xml:space="preserve"> Kang sole Director and shareholder of Ballina One Sushi Pty Ltd (in liquidation) pay a penalty of $20 000 due to </w:t>
      </w:r>
      <w:r>
        <w:t xml:space="preserve">a range of workplace relations </w:t>
      </w:r>
      <w:r w:rsidRPr="00574470">
        <w:t xml:space="preserve">breaches: </w:t>
      </w:r>
    </w:p>
    <w:p w14:paraId="70D96498" w14:textId="6B5DC249" w:rsidR="00FB0D2B" w:rsidRDefault="00D466BD" w:rsidP="00C12BCB">
      <w:pPr>
        <w:pStyle w:val="Bullet"/>
        <w:spacing w:before="0" w:after="120" w:line="360" w:lineRule="auto"/>
      </w:pPr>
      <w:r>
        <w:t>S</w:t>
      </w:r>
      <w:r w:rsidR="00B32AD2">
        <w:t xml:space="preserve">ection </w:t>
      </w:r>
      <w:r w:rsidR="00FB0D2B" w:rsidRPr="00574470">
        <w:t xml:space="preserve">44 </w:t>
      </w:r>
      <w:r w:rsidR="00FB0D2B">
        <w:t xml:space="preserve">of the Act </w:t>
      </w:r>
      <w:r w:rsidR="00FB0D2B" w:rsidRPr="00574470">
        <w:t>for contravention of the National Employment Standards</w:t>
      </w:r>
      <w:r w:rsidR="00FB0D2B">
        <w:t>:</w:t>
      </w:r>
    </w:p>
    <w:p w14:paraId="5EF51E6B" w14:textId="39708A57" w:rsidR="00FB0D2B" w:rsidRPr="00456583" w:rsidRDefault="00D466BD" w:rsidP="00C12BCB">
      <w:pPr>
        <w:pStyle w:val="Bullet"/>
        <w:numPr>
          <w:ilvl w:val="1"/>
          <w:numId w:val="23"/>
        </w:numPr>
        <w:spacing w:before="0" w:after="120" w:line="360" w:lineRule="auto"/>
      </w:pPr>
      <w:r>
        <w:t>S</w:t>
      </w:r>
      <w:r w:rsidR="00B32AD2">
        <w:t xml:space="preserve">ection </w:t>
      </w:r>
      <w:r w:rsidR="00FB0D2B" w:rsidRPr="00456583">
        <w:t xml:space="preserve">90 </w:t>
      </w:r>
      <w:r w:rsidR="00B32AD2">
        <w:t xml:space="preserve">of the Act </w:t>
      </w:r>
      <w:r w:rsidR="00FB0D2B" w:rsidRPr="00456583">
        <w:t>for failure to pay annual leave on termination</w:t>
      </w:r>
    </w:p>
    <w:p w14:paraId="7C9CCACE" w14:textId="2F4614CC" w:rsidR="00FB0D2B" w:rsidRPr="00574470" w:rsidRDefault="00D466BD" w:rsidP="00C12BCB">
      <w:pPr>
        <w:pStyle w:val="Bullet"/>
        <w:spacing w:before="0" w:after="120" w:line="360" w:lineRule="auto"/>
      </w:pPr>
      <w:r>
        <w:t>S</w:t>
      </w:r>
      <w:r w:rsidR="00B32AD2">
        <w:t xml:space="preserve">ection </w:t>
      </w:r>
      <w:r w:rsidR="00FB0D2B" w:rsidRPr="00574470">
        <w:t xml:space="preserve">45 </w:t>
      </w:r>
      <w:r w:rsidR="00B32AD2">
        <w:t xml:space="preserve">of the </w:t>
      </w:r>
      <w:r w:rsidR="00FB0D2B" w:rsidRPr="00574470">
        <w:t>Act for contraventions of a Modern Award</w:t>
      </w:r>
      <w:r w:rsidR="00FB0D2B">
        <w:t>:</w:t>
      </w:r>
    </w:p>
    <w:p w14:paraId="261D3C2B" w14:textId="2EFFA061" w:rsidR="00FB0D2B" w:rsidRPr="00574470" w:rsidRDefault="00FB0D2B" w:rsidP="00C12BCB">
      <w:pPr>
        <w:pStyle w:val="Bullet"/>
        <w:numPr>
          <w:ilvl w:val="1"/>
          <w:numId w:val="23"/>
        </w:numPr>
        <w:spacing w:before="0" w:after="120" w:line="360" w:lineRule="auto"/>
      </w:pPr>
      <w:r w:rsidRPr="00574470">
        <w:t xml:space="preserve">Clause 20 of the </w:t>
      </w:r>
      <w:r w:rsidRPr="00574470">
        <w:rPr>
          <w:i/>
        </w:rPr>
        <w:t>Restaurant Industry Award</w:t>
      </w:r>
      <w:r w:rsidRPr="00574470">
        <w:t xml:space="preserve"> </w:t>
      </w:r>
      <w:r w:rsidRPr="00574470">
        <w:rPr>
          <w:i/>
        </w:rPr>
        <w:t xml:space="preserve">2010 </w:t>
      </w:r>
      <w:r w:rsidR="00B32AD2" w:rsidRPr="00B32AD2">
        <w:t>(</w:t>
      </w:r>
      <w:r w:rsidR="00B32AD2">
        <w:t xml:space="preserve">Restaurant Award) </w:t>
      </w:r>
      <w:r w:rsidRPr="00574470">
        <w:t>for failure to pay minimum wage entitlements</w:t>
      </w:r>
    </w:p>
    <w:p w14:paraId="4A9A16DC" w14:textId="7B22CB93" w:rsidR="00FB0D2B" w:rsidRPr="00574470" w:rsidRDefault="00FB0D2B" w:rsidP="00C12BCB">
      <w:pPr>
        <w:pStyle w:val="Bullet"/>
        <w:numPr>
          <w:ilvl w:val="1"/>
          <w:numId w:val="23"/>
        </w:numPr>
        <w:spacing w:before="0" w:after="120" w:line="360" w:lineRule="auto"/>
      </w:pPr>
      <w:r w:rsidRPr="00574470">
        <w:t xml:space="preserve">Clause 33.2 of the </w:t>
      </w:r>
      <w:r w:rsidR="00B32AD2" w:rsidRPr="00B32AD2">
        <w:t xml:space="preserve">Restaurant Award </w:t>
      </w:r>
      <w:r w:rsidRPr="00574470">
        <w:t>for failure to pay minimum entitlements for overtime worked</w:t>
      </w:r>
    </w:p>
    <w:p w14:paraId="146BDC94" w14:textId="2FA4D5CE" w:rsidR="00FB0D2B" w:rsidRPr="00574470" w:rsidRDefault="00FB0D2B" w:rsidP="00C12BCB">
      <w:pPr>
        <w:pStyle w:val="Bullet"/>
        <w:numPr>
          <w:ilvl w:val="1"/>
          <w:numId w:val="23"/>
        </w:numPr>
        <w:spacing w:before="0" w:after="120" w:line="360" w:lineRule="auto"/>
      </w:pPr>
      <w:r w:rsidRPr="00574470">
        <w:t xml:space="preserve">Clause 34.1 of the </w:t>
      </w:r>
      <w:r w:rsidR="00B32AD2" w:rsidRPr="00B32AD2">
        <w:t xml:space="preserve">Restaurant Award </w:t>
      </w:r>
      <w:r w:rsidRPr="00574470">
        <w:t>for failure to pay minimum entitlements for work on Saturdays and Sundays</w:t>
      </w:r>
    </w:p>
    <w:p w14:paraId="08F9C767" w14:textId="24306C5E" w:rsidR="00FB0D2B" w:rsidRPr="00456583" w:rsidRDefault="00FB0D2B" w:rsidP="00C12BCB">
      <w:pPr>
        <w:pStyle w:val="Bullet"/>
        <w:numPr>
          <w:ilvl w:val="1"/>
          <w:numId w:val="23"/>
        </w:numPr>
        <w:spacing w:before="0" w:after="120" w:line="360" w:lineRule="auto"/>
      </w:pPr>
      <w:r w:rsidRPr="00574470">
        <w:t xml:space="preserve">Clause 35.2 of the </w:t>
      </w:r>
      <w:r w:rsidR="00B32AD2" w:rsidRPr="00B32AD2">
        <w:t xml:space="preserve">Restaurant Award </w:t>
      </w:r>
      <w:r w:rsidRPr="00574470">
        <w:t>for failure to pay the required annual leave loading</w:t>
      </w:r>
    </w:p>
    <w:p w14:paraId="71635F48" w14:textId="0895A5C6" w:rsidR="00FB0D2B" w:rsidRPr="00574470" w:rsidRDefault="00D466BD" w:rsidP="00C12BCB">
      <w:pPr>
        <w:pStyle w:val="Bullet"/>
        <w:spacing w:before="0" w:after="120" w:line="360" w:lineRule="auto"/>
      </w:pPr>
      <w:r>
        <w:t>S</w:t>
      </w:r>
      <w:r w:rsidR="00B32AD2">
        <w:t>ection</w:t>
      </w:r>
      <w:r w:rsidR="00FB0D2B" w:rsidRPr="00574470">
        <w:t xml:space="preserve"> 535 </w:t>
      </w:r>
      <w:r w:rsidR="00B32AD2">
        <w:t xml:space="preserve">of the </w:t>
      </w:r>
      <w:r w:rsidR="00FB0D2B" w:rsidRPr="00574470">
        <w:t>Act for failure to make and keep employee records</w:t>
      </w:r>
    </w:p>
    <w:p w14:paraId="0C4B3516" w14:textId="61CAD5BF" w:rsidR="00FB0D2B" w:rsidRPr="00574470" w:rsidRDefault="00D466BD" w:rsidP="00C12BCB">
      <w:pPr>
        <w:pStyle w:val="Bullet"/>
        <w:spacing w:before="0" w:after="120" w:line="360" w:lineRule="auto"/>
      </w:pPr>
      <w:r>
        <w:t>R</w:t>
      </w:r>
      <w:r w:rsidR="00FB0D2B" w:rsidRPr="00574470">
        <w:t>eg</w:t>
      </w:r>
      <w:r w:rsidR="00B32AD2">
        <w:t>ulation</w:t>
      </w:r>
      <w:r w:rsidR="00FB0D2B" w:rsidRPr="00574470">
        <w:t xml:space="preserve"> 3.44(1) of the </w:t>
      </w:r>
      <w:r w:rsidR="00FB0D2B" w:rsidRPr="00B32AD2">
        <w:t>Regulations</w:t>
      </w:r>
      <w:r w:rsidR="00FB0D2B" w:rsidRPr="00574470">
        <w:rPr>
          <w:i/>
        </w:rPr>
        <w:t xml:space="preserve"> </w:t>
      </w:r>
      <w:r w:rsidR="00FB0D2B" w:rsidRPr="00574470">
        <w:t>for failing to ensure that employee records were not false or misleading to his knowledge</w:t>
      </w:r>
    </w:p>
    <w:p w14:paraId="3C403E12" w14:textId="4EBBC8D7" w:rsidR="00FB0D2B" w:rsidRPr="00574470" w:rsidRDefault="00D466BD" w:rsidP="00C12BCB">
      <w:pPr>
        <w:pStyle w:val="Bullet"/>
        <w:spacing w:before="0" w:after="120" w:line="360" w:lineRule="auto"/>
      </w:pPr>
      <w:r>
        <w:t>R</w:t>
      </w:r>
      <w:r w:rsidR="00FB0D2B" w:rsidRPr="00574470">
        <w:t>eg</w:t>
      </w:r>
      <w:r w:rsidR="00B32AD2">
        <w:t>ulation</w:t>
      </w:r>
      <w:r w:rsidR="00FB0D2B" w:rsidRPr="00574470">
        <w:t xml:space="preserve"> 3.44(6) for making use of entries in employee records knowing those records were false or misleading</w:t>
      </w:r>
      <w:r w:rsidR="00C12BCB">
        <w:t>.</w:t>
      </w:r>
    </w:p>
    <w:p w14:paraId="443B3F6C" w14:textId="489EE10A" w:rsidR="00FB0D2B" w:rsidRDefault="00FB0D2B" w:rsidP="00C12BCB">
      <w:pPr>
        <w:spacing w:before="0" w:after="120"/>
      </w:pPr>
      <w:r w:rsidRPr="00574470">
        <w:t xml:space="preserve">Additional information about the matter </w:t>
      </w:r>
      <w:r>
        <w:t>in our media release.</w:t>
      </w:r>
      <w:r>
        <w:rPr>
          <w:rStyle w:val="FootnoteReference"/>
        </w:rPr>
        <w:footnoteReference w:id="9"/>
      </w:r>
      <w:r w:rsidR="00B32AD2">
        <w:t xml:space="preserve"> </w:t>
      </w:r>
    </w:p>
    <w:p w14:paraId="0E8DCA90" w14:textId="77777777" w:rsidR="00B32AD2" w:rsidRDefault="00B32AD2">
      <w:pPr>
        <w:spacing w:before="0" w:line="240" w:lineRule="auto"/>
        <w:rPr>
          <w:rFonts w:ascii="Helvetica" w:hAnsi="Helvetica"/>
          <w:color w:val="263746"/>
          <w:sz w:val="28"/>
          <w:szCs w:val="20"/>
        </w:rPr>
      </w:pPr>
      <w:r>
        <w:br w:type="page"/>
      </w:r>
    </w:p>
    <w:p w14:paraId="71001C5C" w14:textId="653071E2" w:rsidR="00B32AD2" w:rsidRPr="00574470" w:rsidRDefault="00B32AD2" w:rsidP="00100935">
      <w:pPr>
        <w:pStyle w:val="Heading3"/>
      </w:pPr>
      <w:r w:rsidRPr="00574470">
        <w:lastRenderedPageBreak/>
        <w:t>Fair Work Ombudsman v EJ Group International Pty Ltd &amp; Anor [2017] FCCA 997 (finalised)</w:t>
      </w:r>
    </w:p>
    <w:p w14:paraId="2C4CD748" w14:textId="77777777" w:rsidR="00B32AD2" w:rsidRPr="00574470" w:rsidRDefault="00B32AD2" w:rsidP="00B32AD2">
      <w:pPr>
        <w:rPr>
          <w:rFonts w:cs="Helvetica"/>
        </w:rPr>
      </w:pPr>
      <w:r w:rsidRPr="00574470">
        <w:rPr>
          <w:rFonts w:cs="Helvetica"/>
        </w:rPr>
        <w:t xml:space="preserve">As a result of these proceedings, the Court ordered EJ Group International Pty Ltd pay a penalty of $100 000 and Mr Da </w:t>
      </w:r>
      <w:r>
        <w:rPr>
          <w:rFonts w:cs="Helvetica"/>
        </w:rPr>
        <w:t>Il</w:t>
      </w:r>
      <w:r w:rsidRPr="00574470">
        <w:rPr>
          <w:rFonts w:cs="Helvetica"/>
        </w:rPr>
        <w:t xml:space="preserve"> Kang Director of EJ Group International Pty Ltd pay a penalty of $16 250 due to the following breaches:</w:t>
      </w:r>
    </w:p>
    <w:p w14:paraId="1AEBA154" w14:textId="07A02B59" w:rsidR="00B32AD2" w:rsidRPr="00574470" w:rsidRDefault="00D466BD" w:rsidP="00B32AD2">
      <w:pPr>
        <w:pStyle w:val="Bullet"/>
      </w:pPr>
      <w:r>
        <w:t>S</w:t>
      </w:r>
      <w:r w:rsidR="00B32AD2">
        <w:t>ection</w:t>
      </w:r>
      <w:r w:rsidR="00B32AD2" w:rsidRPr="00574470">
        <w:t xml:space="preserve"> 45 </w:t>
      </w:r>
      <w:r w:rsidR="00B32AD2">
        <w:t xml:space="preserve">of the </w:t>
      </w:r>
      <w:r w:rsidR="00B32AD2" w:rsidRPr="00574470">
        <w:t>Act for contraventions of a Modern Award</w:t>
      </w:r>
      <w:r w:rsidR="00B32AD2">
        <w:t>:</w:t>
      </w:r>
    </w:p>
    <w:p w14:paraId="5C98C185" w14:textId="1F3163CA" w:rsidR="00B32AD2" w:rsidRPr="00574470" w:rsidRDefault="00B32AD2" w:rsidP="00B32AD2">
      <w:pPr>
        <w:pStyle w:val="Bullet"/>
        <w:numPr>
          <w:ilvl w:val="1"/>
          <w:numId w:val="23"/>
        </w:numPr>
      </w:pPr>
      <w:r w:rsidRPr="00574470">
        <w:t xml:space="preserve">Clause 13.1 of the </w:t>
      </w:r>
      <w:r w:rsidRPr="00B32AD2">
        <w:t xml:space="preserve">Restaurant Award </w:t>
      </w:r>
      <w:r w:rsidRPr="00574470">
        <w:t>for failure to pay casual loading</w:t>
      </w:r>
    </w:p>
    <w:p w14:paraId="6B44F962" w14:textId="534EB780" w:rsidR="00B32AD2" w:rsidRPr="00574470" w:rsidRDefault="00B32AD2" w:rsidP="00B32AD2">
      <w:pPr>
        <w:pStyle w:val="Bullet"/>
        <w:numPr>
          <w:ilvl w:val="1"/>
          <w:numId w:val="23"/>
        </w:numPr>
      </w:pPr>
      <w:r w:rsidRPr="00574470">
        <w:t xml:space="preserve">Clause 20 of the </w:t>
      </w:r>
      <w:r w:rsidRPr="00B32AD2">
        <w:t xml:space="preserve">Restaurant Award </w:t>
      </w:r>
      <w:r w:rsidRPr="00574470">
        <w:t>for failure to pay minimum wage entitlements</w:t>
      </w:r>
    </w:p>
    <w:p w14:paraId="50201E49" w14:textId="43A75BB5" w:rsidR="00B32AD2" w:rsidRPr="00574470" w:rsidRDefault="00B32AD2" w:rsidP="00B32AD2">
      <w:pPr>
        <w:pStyle w:val="Bullet"/>
        <w:numPr>
          <w:ilvl w:val="1"/>
          <w:numId w:val="23"/>
        </w:numPr>
      </w:pPr>
      <w:r w:rsidRPr="00574470">
        <w:t xml:space="preserve">Clause 33.2 of the </w:t>
      </w:r>
      <w:r w:rsidRPr="00B32AD2">
        <w:t xml:space="preserve">Restaurant Award </w:t>
      </w:r>
      <w:r w:rsidRPr="00574470">
        <w:t>for failure to pay minimum entitlements for overtime worked</w:t>
      </w:r>
    </w:p>
    <w:p w14:paraId="7B36AFC1" w14:textId="55B1CB48" w:rsidR="00B32AD2" w:rsidRPr="00574470" w:rsidRDefault="00B32AD2" w:rsidP="00B32AD2">
      <w:pPr>
        <w:pStyle w:val="Bullet"/>
        <w:numPr>
          <w:ilvl w:val="1"/>
          <w:numId w:val="23"/>
        </w:numPr>
      </w:pPr>
      <w:r w:rsidRPr="00574470">
        <w:t xml:space="preserve">Clause 34.1 of the </w:t>
      </w:r>
      <w:r w:rsidRPr="00B32AD2">
        <w:t xml:space="preserve">Restaurant Award </w:t>
      </w:r>
      <w:r w:rsidRPr="00574470">
        <w:t>for failure to pay minimum entitlements for work on Saturdays and Sundays</w:t>
      </w:r>
    </w:p>
    <w:p w14:paraId="7C018C20" w14:textId="274BB9DB" w:rsidR="00B32AD2" w:rsidRPr="00456583" w:rsidRDefault="00B32AD2" w:rsidP="00B32AD2">
      <w:pPr>
        <w:pStyle w:val="Bullet"/>
        <w:numPr>
          <w:ilvl w:val="1"/>
          <w:numId w:val="23"/>
        </w:numPr>
      </w:pPr>
      <w:r w:rsidRPr="00574470">
        <w:t xml:space="preserve">Clause 35.2 of the </w:t>
      </w:r>
      <w:r w:rsidRPr="00B32AD2">
        <w:t xml:space="preserve">Restaurant Award </w:t>
      </w:r>
      <w:r w:rsidRPr="00574470">
        <w:t>for failure to pay the required annual leave loading</w:t>
      </w:r>
    </w:p>
    <w:p w14:paraId="6269A222" w14:textId="71B80DE5" w:rsidR="00B32AD2" w:rsidRPr="00574470" w:rsidRDefault="00D466BD" w:rsidP="00B32AD2">
      <w:pPr>
        <w:pStyle w:val="Bullet"/>
      </w:pPr>
      <w:r>
        <w:t>S</w:t>
      </w:r>
      <w:r w:rsidR="00B32AD2">
        <w:t xml:space="preserve">ection </w:t>
      </w:r>
      <w:r w:rsidR="00B32AD2" w:rsidRPr="00574470">
        <w:t xml:space="preserve">535 </w:t>
      </w:r>
      <w:r w:rsidR="00B32AD2">
        <w:t xml:space="preserve">of the </w:t>
      </w:r>
      <w:r w:rsidR="00B32AD2" w:rsidRPr="00574470">
        <w:t>Act for failure to make and keep employee records</w:t>
      </w:r>
    </w:p>
    <w:p w14:paraId="097DCB98" w14:textId="6FE0954A" w:rsidR="00B32AD2" w:rsidRPr="00574470" w:rsidRDefault="00D466BD" w:rsidP="00B32AD2">
      <w:pPr>
        <w:pStyle w:val="Bullet"/>
      </w:pPr>
      <w:r>
        <w:t>S</w:t>
      </w:r>
      <w:r w:rsidR="00B32AD2">
        <w:t>ection</w:t>
      </w:r>
      <w:r w:rsidR="00B32AD2" w:rsidRPr="00574470">
        <w:t xml:space="preserve"> 536 </w:t>
      </w:r>
      <w:r w:rsidR="00B32AD2">
        <w:t xml:space="preserve">of the </w:t>
      </w:r>
      <w:r w:rsidR="00B32AD2" w:rsidRPr="00574470">
        <w:t>Act for failure to issue pay slips</w:t>
      </w:r>
    </w:p>
    <w:p w14:paraId="39F84682" w14:textId="551AB142" w:rsidR="00B32AD2" w:rsidRPr="00574470" w:rsidRDefault="00D466BD" w:rsidP="00B32AD2">
      <w:pPr>
        <w:pStyle w:val="Bullet"/>
      </w:pPr>
      <w:r>
        <w:t>R</w:t>
      </w:r>
      <w:r w:rsidR="00B32AD2" w:rsidRPr="00574470">
        <w:t>eg</w:t>
      </w:r>
      <w:r w:rsidR="00B32AD2">
        <w:t>ulation</w:t>
      </w:r>
      <w:r w:rsidR="00B32AD2" w:rsidRPr="00574470">
        <w:t xml:space="preserve"> 3.44(1) of the Reg</w:t>
      </w:r>
      <w:r w:rsidR="00B32AD2">
        <w:t>ulations</w:t>
      </w:r>
      <w:r w:rsidR="00B32AD2" w:rsidRPr="00574470">
        <w:rPr>
          <w:b/>
        </w:rPr>
        <w:t xml:space="preserve"> </w:t>
      </w:r>
      <w:r w:rsidR="00B32AD2" w:rsidRPr="00574470">
        <w:t>for failing to ensure that employee records were not false or misleading to his knowledge</w:t>
      </w:r>
    </w:p>
    <w:p w14:paraId="04B5BD3A" w14:textId="115F32DB" w:rsidR="00B32AD2" w:rsidRPr="00574470" w:rsidRDefault="00D466BD" w:rsidP="00B32AD2">
      <w:pPr>
        <w:pStyle w:val="Bullet"/>
      </w:pPr>
      <w:r>
        <w:t>R</w:t>
      </w:r>
      <w:r w:rsidR="00B32AD2" w:rsidRPr="00574470">
        <w:t>eg</w:t>
      </w:r>
      <w:r w:rsidR="00B32AD2">
        <w:t>ulation</w:t>
      </w:r>
      <w:r w:rsidR="00B32AD2" w:rsidRPr="00574470">
        <w:t xml:space="preserve"> 3.44(6) for making use of entries in employee records knowing those records were false or misleading</w:t>
      </w:r>
      <w:r w:rsidR="00B32AD2">
        <w:t>.</w:t>
      </w:r>
    </w:p>
    <w:p w14:paraId="4B28FEEF" w14:textId="67F9E903" w:rsidR="00B32AD2" w:rsidRDefault="00B32AD2" w:rsidP="00B32AD2">
      <w:pPr>
        <w:rPr>
          <w:rFonts w:cs="Helvetica"/>
        </w:rPr>
      </w:pPr>
      <w:r w:rsidRPr="00574470">
        <w:rPr>
          <w:rFonts w:cs="Helvetica"/>
        </w:rPr>
        <w:t xml:space="preserve">Additional information about the matter is </w:t>
      </w:r>
      <w:r>
        <w:rPr>
          <w:rFonts w:cs="Helvetica"/>
        </w:rPr>
        <w:t>available in our media release.</w:t>
      </w:r>
      <w:r>
        <w:rPr>
          <w:rStyle w:val="FootnoteReference"/>
        </w:rPr>
        <w:footnoteReference w:id="10"/>
      </w:r>
    </w:p>
    <w:p w14:paraId="796CFE10" w14:textId="77777777" w:rsidR="00B32AD2" w:rsidRDefault="00B32AD2" w:rsidP="00B32AD2"/>
    <w:p w14:paraId="6EE9A0B5" w14:textId="77777777" w:rsidR="00B32AD2" w:rsidRDefault="00B32AD2">
      <w:pPr>
        <w:spacing w:before="0" w:line="240" w:lineRule="auto"/>
        <w:rPr>
          <w:rFonts w:ascii="Helvetica" w:hAnsi="Helvetica"/>
          <w:color w:val="263746"/>
          <w:sz w:val="40"/>
        </w:rPr>
      </w:pPr>
      <w:r>
        <w:br w:type="page"/>
      </w:r>
    </w:p>
    <w:p w14:paraId="7EC8FEBF" w14:textId="6438B7A2" w:rsidR="00B32AD2" w:rsidRPr="00574470" w:rsidRDefault="00B32AD2" w:rsidP="00100935">
      <w:pPr>
        <w:pStyle w:val="Heading3"/>
      </w:pPr>
      <w:r w:rsidRPr="00574470">
        <w:lastRenderedPageBreak/>
        <w:t>The Fair Work Ombudsman v Lydia Chang (finalised)</w:t>
      </w:r>
    </w:p>
    <w:p w14:paraId="7FE1E31D" w14:textId="77777777" w:rsidR="00B32AD2" w:rsidRPr="00574470" w:rsidRDefault="00B32AD2" w:rsidP="00B32AD2">
      <w:pPr>
        <w:rPr>
          <w:rFonts w:cs="Helvetica"/>
        </w:rPr>
      </w:pPr>
      <w:r w:rsidRPr="00574470">
        <w:rPr>
          <w:rFonts w:cs="Helvetica"/>
        </w:rPr>
        <w:t>As a result of these proceedings, the Court ordered Ms Lydia Chang sole Director, Secretary and shareholder of Sushi Revolution Pty Lt</w:t>
      </w:r>
      <w:r>
        <w:rPr>
          <w:rFonts w:cs="Helvetica"/>
        </w:rPr>
        <w:t>d</w:t>
      </w:r>
      <w:r w:rsidRPr="00574470">
        <w:rPr>
          <w:rFonts w:cs="Helvetica"/>
        </w:rPr>
        <w:t xml:space="preserve"> (in liquidation) (</w:t>
      </w:r>
      <w:r w:rsidRPr="00B32AD2">
        <w:rPr>
          <w:rFonts w:cs="Helvetica"/>
        </w:rPr>
        <w:t>Sushi Revolution)</w:t>
      </w:r>
      <w:r w:rsidRPr="00574470">
        <w:rPr>
          <w:rFonts w:cs="Helvetica"/>
          <w:b/>
        </w:rPr>
        <w:t xml:space="preserve"> </w:t>
      </w:r>
      <w:r w:rsidRPr="00574470">
        <w:rPr>
          <w:rFonts w:cs="Helvetica"/>
        </w:rPr>
        <w:t>pay a penalty of $36,000 due to being involved in the following breaches by Sushi Revolution:</w:t>
      </w:r>
    </w:p>
    <w:p w14:paraId="17D2C7F3" w14:textId="3B3185CE" w:rsidR="00B32AD2" w:rsidRDefault="00D466BD" w:rsidP="00B32AD2">
      <w:pPr>
        <w:pStyle w:val="Bullet"/>
      </w:pPr>
      <w:r>
        <w:t>S</w:t>
      </w:r>
      <w:r w:rsidR="006E57A4">
        <w:t>ection</w:t>
      </w:r>
      <w:r w:rsidR="00B32AD2" w:rsidRPr="00574470">
        <w:t xml:space="preserve"> 44 </w:t>
      </w:r>
      <w:r w:rsidR="006E57A4">
        <w:t xml:space="preserve">of the </w:t>
      </w:r>
      <w:r w:rsidR="00B32AD2" w:rsidRPr="00574470">
        <w:t xml:space="preserve">Act for contraventions of the </w:t>
      </w:r>
      <w:r w:rsidR="006E57A4">
        <w:t>NES</w:t>
      </w:r>
      <w:r w:rsidR="00B32AD2">
        <w:t>:</w:t>
      </w:r>
    </w:p>
    <w:p w14:paraId="0C4D64DC" w14:textId="044516C8" w:rsidR="00B32AD2" w:rsidRPr="00172C47" w:rsidRDefault="00D466BD" w:rsidP="006E57A4">
      <w:pPr>
        <w:pStyle w:val="Bullet"/>
        <w:numPr>
          <w:ilvl w:val="1"/>
          <w:numId w:val="23"/>
        </w:numPr>
      </w:pPr>
      <w:r>
        <w:t>S</w:t>
      </w:r>
      <w:r w:rsidR="006E57A4">
        <w:t>ection</w:t>
      </w:r>
      <w:r w:rsidR="00B32AD2" w:rsidRPr="00456583">
        <w:t xml:space="preserve"> 90 </w:t>
      </w:r>
      <w:r w:rsidR="006E57A4">
        <w:t xml:space="preserve">of the </w:t>
      </w:r>
      <w:r w:rsidR="00B32AD2" w:rsidRPr="00456583">
        <w:t xml:space="preserve">Act for failure to </w:t>
      </w:r>
      <w:bookmarkStart w:id="22" w:name="_GoBack"/>
      <w:bookmarkEnd w:id="22"/>
      <w:r w:rsidR="00B32AD2" w:rsidRPr="00456583">
        <w:t>pay annual leave on termination</w:t>
      </w:r>
    </w:p>
    <w:p w14:paraId="10230C83" w14:textId="4B319A4C" w:rsidR="00B32AD2" w:rsidRPr="00574470" w:rsidRDefault="00D466BD" w:rsidP="00B32AD2">
      <w:pPr>
        <w:pStyle w:val="Bullet"/>
      </w:pPr>
      <w:r>
        <w:t>S</w:t>
      </w:r>
      <w:r w:rsidR="006E57A4">
        <w:t>ection</w:t>
      </w:r>
      <w:r w:rsidR="00B32AD2" w:rsidRPr="00574470">
        <w:t xml:space="preserve"> 45 </w:t>
      </w:r>
      <w:r w:rsidR="006E57A4">
        <w:t xml:space="preserve">the </w:t>
      </w:r>
      <w:r w:rsidR="00B32AD2" w:rsidRPr="00574470">
        <w:t>Act for contraventions of a Modern Award:</w:t>
      </w:r>
    </w:p>
    <w:p w14:paraId="2BA3C719" w14:textId="179C1911" w:rsidR="00B32AD2" w:rsidRPr="00574470" w:rsidRDefault="00B32AD2" w:rsidP="006E57A4">
      <w:pPr>
        <w:pStyle w:val="Bullet"/>
        <w:numPr>
          <w:ilvl w:val="1"/>
          <w:numId w:val="23"/>
        </w:numPr>
      </w:pPr>
      <w:r w:rsidRPr="00574470">
        <w:t>Clauses 17 and 18</w:t>
      </w:r>
      <w:r>
        <w:t xml:space="preserve"> of the</w:t>
      </w:r>
      <w:r w:rsidRPr="00574470">
        <w:t xml:space="preserve"> </w:t>
      </w:r>
      <w:r w:rsidR="006E57A4" w:rsidRPr="006E57A4">
        <w:rPr>
          <w:rFonts w:cs="Helvetica"/>
          <w:i/>
        </w:rPr>
        <w:t>Fast Food Industry Award 2010</w:t>
      </w:r>
      <w:r w:rsidR="006E57A4" w:rsidRPr="00891543">
        <w:rPr>
          <w:rFonts w:cs="Helvetica"/>
        </w:rPr>
        <w:t xml:space="preserve"> </w:t>
      </w:r>
      <w:r w:rsidR="006E57A4">
        <w:rPr>
          <w:rFonts w:cs="Helvetica"/>
        </w:rPr>
        <w:t>(</w:t>
      </w:r>
      <w:r w:rsidRPr="00574470">
        <w:t>F</w:t>
      </w:r>
      <w:r w:rsidR="006E57A4">
        <w:t xml:space="preserve">ast Food </w:t>
      </w:r>
      <w:r w:rsidRPr="00574470">
        <w:t>Award</w:t>
      </w:r>
      <w:r w:rsidR="006E57A4">
        <w:t>)</w:t>
      </w:r>
      <w:r w:rsidRPr="00574470">
        <w:t xml:space="preserve"> and Clause 30</w:t>
      </w:r>
      <w:r>
        <w:t xml:space="preserve"> of the</w:t>
      </w:r>
      <w:r w:rsidRPr="00574470">
        <w:t xml:space="preserve"> R</w:t>
      </w:r>
      <w:r w:rsidR="006E57A4">
        <w:t>estaurant</w:t>
      </w:r>
      <w:r w:rsidRPr="00574470">
        <w:t xml:space="preserve"> Award</w:t>
      </w:r>
      <w:r w:rsidRPr="00BF3741">
        <w:t xml:space="preserve"> </w:t>
      </w:r>
      <w:r w:rsidRPr="00574470">
        <w:t>for failure to pay minimum wage entitlements for adult and junior employees</w:t>
      </w:r>
    </w:p>
    <w:p w14:paraId="4519C4D3" w14:textId="492A764A" w:rsidR="00B32AD2" w:rsidRPr="00574470" w:rsidRDefault="00B32AD2" w:rsidP="006E57A4">
      <w:pPr>
        <w:pStyle w:val="Bullet"/>
        <w:numPr>
          <w:ilvl w:val="1"/>
          <w:numId w:val="23"/>
        </w:numPr>
      </w:pPr>
      <w:r w:rsidRPr="00574470">
        <w:t xml:space="preserve">Clause 19.2 </w:t>
      </w:r>
      <w:r>
        <w:t xml:space="preserve">of the </w:t>
      </w:r>
      <w:r w:rsidRPr="00574470">
        <w:t>F</w:t>
      </w:r>
      <w:r w:rsidR="006E57A4">
        <w:t xml:space="preserve">ast </w:t>
      </w:r>
      <w:r w:rsidRPr="00574470">
        <w:t>F</w:t>
      </w:r>
      <w:r w:rsidR="006E57A4">
        <w:t>ood</w:t>
      </w:r>
      <w:r w:rsidRPr="00574470">
        <w:t xml:space="preserve"> Award for failure to pay a special clothing allowance</w:t>
      </w:r>
    </w:p>
    <w:p w14:paraId="08A0BC15" w14:textId="5A20677D" w:rsidR="00B32AD2" w:rsidRPr="00574470" w:rsidRDefault="00B32AD2" w:rsidP="006E57A4">
      <w:pPr>
        <w:pStyle w:val="Bullet"/>
        <w:numPr>
          <w:ilvl w:val="1"/>
          <w:numId w:val="23"/>
        </w:numPr>
      </w:pPr>
      <w:r w:rsidRPr="00574470">
        <w:t xml:space="preserve">Clause 21.2 of the </w:t>
      </w:r>
      <w:r w:rsidR="006E57A4" w:rsidRPr="00574470">
        <w:t>F</w:t>
      </w:r>
      <w:r w:rsidR="006E57A4">
        <w:t xml:space="preserve">ast </w:t>
      </w:r>
      <w:r w:rsidR="006E57A4" w:rsidRPr="00574470">
        <w:t>F</w:t>
      </w:r>
      <w:r w:rsidR="006E57A4">
        <w:t>ood</w:t>
      </w:r>
      <w:r w:rsidR="006E57A4" w:rsidRPr="00574470">
        <w:t xml:space="preserve"> </w:t>
      </w:r>
      <w:r w:rsidRPr="00574470">
        <w:t>Award and Clause 30.2</w:t>
      </w:r>
      <w:r>
        <w:t xml:space="preserve"> of the</w:t>
      </w:r>
      <w:r w:rsidRPr="00574470">
        <w:t xml:space="preserve"> R Award for failure to pay superannuation</w:t>
      </w:r>
    </w:p>
    <w:p w14:paraId="195C148C" w14:textId="54E0FF6F" w:rsidR="00B32AD2" w:rsidRPr="00574470" w:rsidRDefault="00B32AD2" w:rsidP="006E57A4">
      <w:pPr>
        <w:pStyle w:val="Bullet"/>
        <w:numPr>
          <w:ilvl w:val="1"/>
          <w:numId w:val="23"/>
        </w:numPr>
      </w:pPr>
      <w:r w:rsidRPr="00574470">
        <w:t xml:space="preserve">Clause 25.5 of the </w:t>
      </w:r>
      <w:r w:rsidR="006E57A4" w:rsidRPr="00574470">
        <w:t>F</w:t>
      </w:r>
      <w:r w:rsidR="006E57A4">
        <w:t xml:space="preserve">ast </w:t>
      </w:r>
      <w:r w:rsidR="006E57A4" w:rsidRPr="00574470">
        <w:t>F</w:t>
      </w:r>
      <w:r w:rsidR="006E57A4">
        <w:t>ood</w:t>
      </w:r>
      <w:r w:rsidR="006E57A4" w:rsidRPr="00574470">
        <w:t xml:space="preserve"> </w:t>
      </w:r>
      <w:r w:rsidRPr="00574470">
        <w:t xml:space="preserve">Award and Clause 34.1 </w:t>
      </w:r>
      <w:r>
        <w:t xml:space="preserve">of the </w:t>
      </w:r>
      <w:r w:rsidRPr="00574470">
        <w:t>R Award for failure to pay minimum entitlements for work on Saturdays and Sundays</w:t>
      </w:r>
    </w:p>
    <w:p w14:paraId="7C8D0B0F" w14:textId="1F79DEBE" w:rsidR="00B32AD2" w:rsidRPr="00574470" w:rsidRDefault="00B32AD2" w:rsidP="006E57A4">
      <w:pPr>
        <w:pStyle w:val="Bullet"/>
        <w:numPr>
          <w:ilvl w:val="1"/>
          <w:numId w:val="23"/>
        </w:numPr>
      </w:pPr>
      <w:r w:rsidRPr="00574470">
        <w:t xml:space="preserve">Clause 26 of the </w:t>
      </w:r>
      <w:r w:rsidR="006E57A4" w:rsidRPr="00574470">
        <w:t>F</w:t>
      </w:r>
      <w:r w:rsidR="006E57A4">
        <w:t xml:space="preserve">ast </w:t>
      </w:r>
      <w:r w:rsidR="006E57A4" w:rsidRPr="00574470">
        <w:t>F</w:t>
      </w:r>
      <w:r w:rsidR="006E57A4">
        <w:t>ood</w:t>
      </w:r>
      <w:r w:rsidR="006E57A4" w:rsidRPr="00574470">
        <w:t xml:space="preserve"> </w:t>
      </w:r>
      <w:r w:rsidRPr="00574470">
        <w:t xml:space="preserve">Award and Clause 33.1 </w:t>
      </w:r>
      <w:r>
        <w:t xml:space="preserve">of the </w:t>
      </w:r>
      <w:r w:rsidRPr="00574470">
        <w:t>R Award for failure to pay minimum overtime rates</w:t>
      </w:r>
    </w:p>
    <w:p w14:paraId="49EE343C" w14:textId="1D7B487C" w:rsidR="00B32AD2" w:rsidRPr="00574470" w:rsidRDefault="00B32AD2" w:rsidP="006E57A4">
      <w:pPr>
        <w:pStyle w:val="Bullet"/>
        <w:numPr>
          <w:ilvl w:val="1"/>
          <w:numId w:val="23"/>
        </w:numPr>
      </w:pPr>
      <w:r w:rsidRPr="00574470">
        <w:t xml:space="preserve">Clause 30.3 of the </w:t>
      </w:r>
      <w:r w:rsidR="006E57A4" w:rsidRPr="00574470">
        <w:t>F</w:t>
      </w:r>
      <w:r w:rsidR="006E57A4">
        <w:t xml:space="preserve">ast </w:t>
      </w:r>
      <w:r w:rsidR="006E57A4" w:rsidRPr="00574470">
        <w:t>F</w:t>
      </w:r>
      <w:r w:rsidR="006E57A4">
        <w:t>ood</w:t>
      </w:r>
      <w:r w:rsidR="006E57A4" w:rsidRPr="00574470">
        <w:t xml:space="preserve"> </w:t>
      </w:r>
      <w:r w:rsidRPr="00574470">
        <w:t xml:space="preserve">Award and Clause 34.1 </w:t>
      </w:r>
      <w:r>
        <w:t xml:space="preserve">of the </w:t>
      </w:r>
      <w:r w:rsidRPr="00574470">
        <w:t>R Award for failure to pay minimum entitlements for work on Public Holidays</w:t>
      </w:r>
    </w:p>
    <w:p w14:paraId="5256D051" w14:textId="5AE86A5B" w:rsidR="00B32AD2" w:rsidRPr="00574470" w:rsidRDefault="00D466BD" w:rsidP="00B32AD2">
      <w:pPr>
        <w:pStyle w:val="Bullet"/>
      </w:pPr>
      <w:r>
        <w:t>S</w:t>
      </w:r>
      <w:r w:rsidR="006E57A4">
        <w:t>ection</w:t>
      </w:r>
      <w:r w:rsidR="00B32AD2" w:rsidRPr="00574470">
        <w:t xml:space="preserve"> 323 </w:t>
      </w:r>
      <w:r w:rsidR="006E57A4">
        <w:t xml:space="preserve">of the Act </w:t>
      </w:r>
      <w:r w:rsidR="00B32AD2" w:rsidRPr="00574470">
        <w:t>for failure to pay some employees in full</w:t>
      </w:r>
    </w:p>
    <w:p w14:paraId="67828A31" w14:textId="3667D5E9" w:rsidR="00B32AD2" w:rsidRPr="00574470" w:rsidRDefault="00D466BD" w:rsidP="00B32AD2">
      <w:pPr>
        <w:pStyle w:val="Bullet"/>
      </w:pPr>
      <w:r>
        <w:t>S</w:t>
      </w:r>
      <w:r w:rsidR="006E57A4">
        <w:t xml:space="preserve">ection </w:t>
      </w:r>
      <w:r w:rsidR="00B32AD2" w:rsidRPr="00574470">
        <w:t xml:space="preserve">535 </w:t>
      </w:r>
      <w:r w:rsidR="006E57A4">
        <w:t xml:space="preserve">of the </w:t>
      </w:r>
      <w:r w:rsidR="00B32AD2" w:rsidRPr="00574470">
        <w:t>Act for failure to make and keep employee records</w:t>
      </w:r>
    </w:p>
    <w:p w14:paraId="15FC60AE" w14:textId="28AB83BE" w:rsidR="00B32AD2" w:rsidRPr="00574470" w:rsidRDefault="00D466BD" w:rsidP="00B32AD2">
      <w:pPr>
        <w:pStyle w:val="Bullet"/>
      </w:pPr>
      <w:r>
        <w:t>S</w:t>
      </w:r>
      <w:r w:rsidR="006E57A4">
        <w:t xml:space="preserve">ection </w:t>
      </w:r>
      <w:r w:rsidR="00B32AD2" w:rsidRPr="00574470">
        <w:t xml:space="preserve">536 </w:t>
      </w:r>
      <w:r w:rsidR="006E57A4">
        <w:t xml:space="preserve">of the </w:t>
      </w:r>
      <w:r w:rsidR="00B32AD2" w:rsidRPr="00574470">
        <w:t>Act for failure to provide pay slips with the content prescribed by the Reg</w:t>
      </w:r>
      <w:r w:rsidR="006E57A4">
        <w:t>ulation</w:t>
      </w:r>
      <w:r w:rsidR="00B32AD2" w:rsidRPr="00574470">
        <w:t>s</w:t>
      </w:r>
    </w:p>
    <w:p w14:paraId="0E15B5C0" w14:textId="07DA03E0" w:rsidR="00B32AD2" w:rsidRPr="00574470" w:rsidRDefault="00D466BD" w:rsidP="00B32AD2">
      <w:pPr>
        <w:pStyle w:val="Bullet"/>
      </w:pPr>
      <w:r>
        <w:t>R</w:t>
      </w:r>
      <w:r w:rsidR="006E57A4">
        <w:t xml:space="preserve">egulation </w:t>
      </w:r>
      <w:r w:rsidR="00B32AD2" w:rsidRPr="00574470">
        <w:t xml:space="preserve">3.44(1) of the </w:t>
      </w:r>
      <w:r w:rsidR="006E57A4">
        <w:t>Regulations</w:t>
      </w:r>
      <w:r w:rsidR="00B32AD2" w:rsidRPr="00574470">
        <w:rPr>
          <w:b/>
        </w:rPr>
        <w:t xml:space="preserve"> </w:t>
      </w:r>
      <w:r w:rsidR="00B32AD2" w:rsidRPr="00574470">
        <w:t>for failing to ensure that employee records were not false or misleading to his knowledge</w:t>
      </w:r>
    </w:p>
    <w:p w14:paraId="71EA459D" w14:textId="04CC0FEA" w:rsidR="00B32AD2" w:rsidRPr="00574470" w:rsidRDefault="00D466BD" w:rsidP="00B32AD2">
      <w:pPr>
        <w:pStyle w:val="Bullet"/>
      </w:pPr>
      <w:r>
        <w:t>R</w:t>
      </w:r>
      <w:r w:rsidR="006E57A4">
        <w:t xml:space="preserve">egulation </w:t>
      </w:r>
      <w:r w:rsidR="00B32AD2" w:rsidRPr="00574470">
        <w:t>3.44(6) of the Reg</w:t>
      </w:r>
      <w:r w:rsidR="006E57A4">
        <w:t>ulation</w:t>
      </w:r>
      <w:r w:rsidR="00B32AD2" w:rsidRPr="00574470">
        <w:t>s for making use of entries in employee records knowing those records were false or misleading</w:t>
      </w:r>
      <w:r w:rsidR="00C12BCB">
        <w:t>.</w:t>
      </w:r>
    </w:p>
    <w:p w14:paraId="437D8116" w14:textId="54F7FE9D" w:rsidR="00B32AD2" w:rsidRPr="00574470" w:rsidRDefault="00B32AD2" w:rsidP="00B32AD2">
      <w:pPr>
        <w:rPr>
          <w:rFonts w:cs="Helvetica"/>
        </w:rPr>
      </w:pPr>
      <w:r w:rsidRPr="00574470">
        <w:rPr>
          <w:rFonts w:cs="Helvetica"/>
        </w:rPr>
        <w:t xml:space="preserve">Additional information about the matter is available </w:t>
      </w:r>
      <w:r>
        <w:rPr>
          <w:rFonts w:cs="Helvetica"/>
        </w:rPr>
        <w:t>in our media release</w:t>
      </w:r>
      <w:r w:rsidR="00D466BD">
        <w:rPr>
          <w:rFonts w:cs="Helvetica"/>
        </w:rPr>
        <w:t>.</w:t>
      </w:r>
      <w:r w:rsidR="00D466BD">
        <w:rPr>
          <w:rStyle w:val="FootnoteReference"/>
        </w:rPr>
        <w:footnoteReference w:id="11"/>
      </w:r>
      <w:r w:rsidR="00D466BD" w:rsidRPr="00574470">
        <w:rPr>
          <w:rFonts w:cs="Helvetica"/>
        </w:rPr>
        <w:t xml:space="preserve"> </w:t>
      </w:r>
    </w:p>
    <w:p w14:paraId="40CDF5F2" w14:textId="77777777" w:rsidR="00B32AD2" w:rsidRDefault="00B32AD2" w:rsidP="00100935">
      <w:pPr>
        <w:pStyle w:val="Heading2"/>
      </w:pPr>
      <w:r>
        <w:br w:type="page"/>
      </w:r>
    </w:p>
    <w:p w14:paraId="38610D4C" w14:textId="77777777" w:rsidR="00B32AD2" w:rsidRPr="00574470" w:rsidRDefault="00B32AD2" w:rsidP="00100935">
      <w:pPr>
        <w:pStyle w:val="Heading3"/>
      </w:pPr>
      <w:r w:rsidRPr="00574470">
        <w:lastRenderedPageBreak/>
        <w:t>The Fair Work Ombudsman v Hasegawa &amp; Ye International Pty Ltd &amp; Anor (current)</w:t>
      </w:r>
    </w:p>
    <w:p w14:paraId="7E47E1EA" w14:textId="77777777" w:rsidR="00B32AD2" w:rsidRPr="00574470" w:rsidRDefault="00B32AD2" w:rsidP="00B32AD2">
      <w:pPr>
        <w:rPr>
          <w:rFonts w:cs="Helvetica"/>
        </w:rPr>
      </w:pPr>
      <w:r w:rsidRPr="00574470">
        <w:rPr>
          <w:rFonts w:cs="Helvetica"/>
        </w:rPr>
        <w:t>In these proceedings, the FWO is alleging the following breaches:</w:t>
      </w:r>
    </w:p>
    <w:p w14:paraId="26B2CEE3" w14:textId="0BCAB0A4" w:rsidR="00B32AD2" w:rsidRPr="00574470" w:rsidRDefault="00B32AD2" w:rsidP="00D466BD">
      <w:pPr>
        <w:pStyle w:val="Bullet"/>
      </w:pPr>
      <w:r w:rsidRPr="00574470">
        <w:t>S</w:t>
      </w:r>
      <w:r w:rsidR="00D466BD">
        <w:t>ection</w:t>
      </w:r>
      <w:r w:rsidRPr="00574470">
        <w:t xml:space="preserve"> 45 </w:t>
      </w:r>
      <w:r w:rsidR="00D466BD">
        <w:t xml:space="preserve">of the </w:t>
      </w:r>
      <w:r w:rsidRPr="00574470">
        <w:t>Act – contraventions of a Modern Award</w:t>
      </w:r>
      <w:r>
        <w:t xml:space="preserve"> as follows:</w:t>
      </w:r>
    </w:p>
    <w:p w14:paraId="34B79E20" w14:textId="05F6B605" w:rsidR="00B32AD2" w:rsidRPr="00574470" w:rsidRDefault="00B32AD2" w:rsidP="00D466BD">
      <w:pPr>
        <w:pStyle w:val="Bullet"/>
        <w:numPr>
          <w:ilvl w:val="1"/>
          <w:numId w:val="23"/>
        </w:numPr>
      </w:pPr>
      <w:r w:rsidRPr="00574470">
        <w:t>Clause 13.2 of the F</w:t>
      </w:r>
      <w:r w:rsidR="00D466BD">
        <w:t xml:space="preserve">ast </w:t>
      </w:r>
      <w:r w:rsidRPr="00574470">
        <w:t>F</w:t>
      </w:r>
      <w:r w:rsidR="00D466BD">
        <w:t>ood Award</w:t>
      </w:r>
      <w:r w:rsidRPr="00574470">
        <w:t xml:space="preserve"> for failure to pay casual loading</w:t>
      </w:r>
    </w:p>
    <w:p w14:paraId="033A0C4B" w14:textId="0B59A396" w:rsidR="00B32AD2" w:rsidRPr="00574470" w:rsidRDefault="00B32AD2" w:rsidP="00D466BD">
      <w:pPr>
        <w:pStyle w:val="Bullet"/>
        <w:numPr>
          <w:ilvl w:val="1"/>
          <w:numId w:val="23"/>
        </w:numPr>
      </w:pPr>
      <w:r w:rsidRPr="00574470">
        <w:t xml:space="preserve">Clauses 17 and 18 </w:t>
      </w:r>
      <w:r>
        <w:t xml:space="preserve">of the </w:t>
      </w:r>
      <w:r w:rsidR="00D466BD" w:rsidRPr="00574470">
        <w:t>F</w:t>
      </w:r>
      <w:r w:rsidR="00D466BD">
        <w:t xml:space="preserve">ast </w:t>
      </w:r>
      <w:r w:rsidR="00D466BD" w:rsidRPr="00574470">
        <w:t>F</w:t>
      </w:r>
      <w:r w:rsidR="00D466BD">
        <w:t xml:space="preserve">ood </w:t>
      </w:r>
      <w:r w:rsidRPr="00574470">
        <w:t>Award</w:t>
      </w:r>
      <w:r w:rsidRPr="00891543">
        <w:t xml:space="preserve"> </w:t>
      </w:r>
      <w:r w:rsidRPr="00574470">
        <w:t xml:space="preserve">for failure to pay minimum wage entitlements </w:t>
      </w:r>
      <w:r>
        <w:t>to</w:t>
      </w:r>
      <w:r w:rsidRPr="00574470">
        <w:t xml:space="preserve"> adult and junior employees</w:t>
      </w:r>
    </w:p>
    <w:p w14:paraId="64F6447A" w14:textId="64A42881" w:rsidR="00B32AD2" w:rsidRPr="00574470" w:rsidRDefault="00B32AD2" w:rsidP="00D466BD">
      <w:pPr>
        <w:pStyle w:val="Bullet"/>
        <w:numPr>
          <w:ilvl w:val="1"/>
          <w:numId w:val="23"/>
        </w:numPr>
      </w:pPr>
      <w:r w:rsidRPr="00574470">
        <w:t>Clause 21.</w:t>
      </w:r>
      <w:r>
        <w:t>2</w:t>
      </w:r>
      <w:r w:rsidRPr="00574470">
        <w:t xml:space="preserve"> of the </w:t>
      </w:r>
      <w:r w:rsidR="00D466BD" w:rsidRPr="00574470">
        <w:t>F</w:t>
      </w:r>
      <w:r w:rsidR="00D466BD">
        <w:t xml:space="preserve">ast </w:t>
      </w:r>
      <w:r w:rsidR="00D466BD" w:rsidRPr="00574470">
        <w:t>F</w:t>
      </w:r>
      <w:r w:rsidR="00D466BD">
        <w:t xml:space="preserve">ood </w:t>
      </w:r>
      <w:r w:rsidRPr="00574470">
        <w:t xml:space="preserve">Award for failure to </w:t>
      </w:r>
      <w:r>
        <w:t xml:space="preserve">make </w:t>
      </w:r>
      <w:r w:rsidRPr="00574470">
        <w:t>superannuation</w:t>
      </w:r>
      <w:r>
        <w:t xml:space="preserve"> contributions</w:t>
      </w:r>
    </w:p>
    <w:p w14:paraId="56ADF51B" w14:textId="0BFB7C1F" w:rsidR="00B32AD2" w:rsidRPr="00574470" w:rsidRDefault="00B32AD2" w:rsidP="00D466BD">
      <w:pPr>
        <w:pStyle w:val="Bullet"/>
        <w:numPr>
          <w:ilvl w:val="1"/>
          <w:numId w:val="23"/>
        </w:numPr>
      </w:pPr>
      <w:r w:rsidRPr="00574470">
        <w:t>Clause</w:t>
      </w:r>
      <w:r>
        <w:t>s</w:t>
      </w:r>
      <w:r w:rsidRPr="00574470">
        <w:t xml:space="preserve"> 25.5</w:t>
      </w:r>
      <w:r>
        <w:t>(b) and 25.5(c)(ii)</w:t>
      </w:r>
      <w:r w:rsidRPr="00574470">
        <w:t xml:space="preserve"> of the </w:t>
      </w:r>
      <w:r w:rsidR="00D466BD" w:rsidRPr="00574470">
        <w:t>F</w:t>
      </w:r>
      <w:r w:rsidR="00D466BD">
        <w:t xml:space="preserve">ast </w:t>
      </w:r>
      <w:r w:rsidR="00D466BD" w:rsidRPr="00574470">
        <w:t>F</w:t>
      </w:r>
      <w:r w:rsidR="00D466BD">
        <w:t xml:space="preserve">ood </w:t>
      </w:r>
      <w:r w:rsidRPr="00574470">
        <w:t>Award for failure to pay minimum entitlements for work on Saturdays and Sundays</w:t>
      </w:r>
    </w:p>
    <w:p w14:paraId="6AA0F628" w14:textId="5A3DE2CE" w:rsidR="00B32AD2" w:rsidRPr="00574470" w:rsidRDefault="00B32AD2" w:rsidP="00D466BD">
      <w:pPr>
        <w:pStyle w:val="Bullet"/>
        <w:numPr>
          <w:ilvl w:val="1"/>
          <w:numId w:val="23"/>
        </w:numPr>
      </w:pPr>
      <w:r w:rsidRPr="00574470">
        <w:t xml:space="preserve">Clause 30.3 </w:t>
      </w:r>
      <w:r>
        <w:t xml:space="preserve">of the </w:t>
      </w:r>
      <w:r w:rsidR="00D466BD" w:rsidRPr="00574470">
        <w:t>F</w:t>
      </w:r>
      <w:r w:rsidR="00D466BD">
        <w:t xml:space="preserve">ast </w:t>
      </w:r>
      <w:r w:rsidR="00D466BD" w:rsidRPr="00574470">
        <w:t>F</w:t>
      </w:r>
      <w:r w:rsidR="00D466BD">
        <w:t xml:space="preserve">ood </w:t>
      </w:r>
      <w:r>
        <w:t xml:space="preserve">Award </w:t>
      </w:r>
      <w:r w:rsidRPr="00574470">
        <w:t>for failure to pay minimum entitlements for work on Public Holidays</w:t>
      </w:r>
    </w:p>
    <w:p w14:paraId="3C104535" w14:textId="294D6E51" w:rsidR="00B32AD2" w:rsidRPr="00F40BB7" w:rsidRDefault="00B32AD2" w:rsidP="00D466BD">
      <w:pPr>
        <w:pStyle w:val="Bullet"/>
      </w:pPr>
      <w:r w:rsidRPr="00574470">
        <w:t>S</w:t>
      </w:r>
      <w:r w:rsidR="00D466BD">
        <w:t>ection</w:t>
      </w:r>
      <w:r w:rsidRPr="00574470">
        <w:t xml:space="preserve"> 535 </w:t>
      </w:r>
      <w:r w:rsidR="00D466BD">
        <w:t xml:space="preserve">of the </w:t>
      </w:r>
      <w:r w:rsidRPr="00574470">
        <w:t>Act – failure to make and keep employee records</w:t>
      </w:r>
      <w:r>
        <w:t>.</w:t>
      </w:r>
    </w:p>
    <w:p w14:paraId="573BD293" w14:textId="77777777" w:rsidR="00B32AD2" w:rsidRDefault="00B32AD2" w:rsidP="00B32AD2">
      <w:pPr>
        <w:rPr>
          <w:rFonts w:cs="Helvetica"/>
        </w:rPr>
      </w:pPr>
      <w:r>
        <w:rPr>
          <w:rFonts w:cs="Helvetica"/>
        </w:rPr>
        <w:t xml:space="preserve">Hasegawa &amp; Ye International Pty Ltd and Kiyoshi Hasegawa, Director, Secretary and Shareholder, have admitted the allegations in full. The Court conducted a penalty hearing on 16 May 2018, and heard the matter together with </w:t>
      </w:r>
      <w:r w:rsidRPr="00AC4285">
        <w:rPr>
          <w:rFonts w:cs="Helvetica"/>
          <w:i/>
        </w:rPr>
        <w:t>Fair Work Ombudsman v Heiwa International Pty Ltd &amp; Anor</w:t>
      </w:r>
      <w:r>
        <w:rPr>
          <w:rFonts w:cs="Helvetica"/>
        </w:rPr>
        <w:t>. The parties are awaiting the Court’s decision on penalties.</w:t>
      </w:r>
    </w:p>
    <w:p w14:paraId="2D0A46D1" w14:textId="1F8BEDA2" w:rsidR="00B32AD2" w:rsidRDefault="00B32AD2" w:rsidP="00B32AD2">
      <w:pPr>
        <w:rPr>
          <w:rFonts w:cs="Helvetica"/>
        </w:rPr>
      </w:pPr>
      <w:r w:rsidRPr="00574470">
        <w:rPr>
          <w:rFonts w:cs="Helvetica"/>
        </w:rPr>
        <w:t>Additional information about the matter is available</w:t>
      </w:r>
      <w:r>
        <w:rPr>
          <w:rFonts w:cs="Helvetica"/>
        </w:rPr>
        <w:t xml:space="preserve"> in our media release</w:t>
      </w:r>
      <w:r w:rsidR="00D466BD">
        <w:rPr>
          <w:rFonts w:cs="Helvetica"/>
        </w:rPr>
        <w:t>.</w:t>
      </w:r>
      <w:r w:rsidR="00D466BD">
        <w:rPr>
          <w:rStyle w:val="FootnoteReference"/>
        </w:rPr>
        <w:footnoteReference w:id="12"/>
      </w:r>
      <w:r w:rsidR="00D466BD">
        <w:rPr>
          <w:rFonts w:cs="Helvetica"/>
        </w:rPr>
        <w:t xml:space="preserve"> </w:t>
      </w:r>
    </w:p>
    <w:p w14:paraId="7E4B8B9A" w14:textId="77777777" w:rsidR="00B32AD2" w:rsidRDefault="00B32AD2" w:rsidP="00B32AD2">
      <w:pPr>
        <w:spacing w:line="240" w:lineRule="auto"/>
        <w:rPr>
          <w:rFonts w:cs="Helvetica"/>
        </w:rPr>
      </w:pPr>
      <w:r>
        <w:rPr>
          <w:rFonts w:cs="Helvetica"/>
        </w:rPr>
        <w:br w:type="page"/>
      </w:r>
    </w:p>
    <w:p w14:paraId="33377E52" w14:textId="77777777" w:rsidR="00B32AD2" w:rsidRPr="00574470" w:rsidRDefault="00B32AD2" w:rsidP="00100935">
      <w:pPr>
        <w:pStyle w:val="Heading3"/>
      </w:pPr>
      <w:r w:rsidRPr="00574470">
        <w:lastRenderedPageBreak/>
        <w:t>The Fair Work Ombudsman v Heiwa International Pty Ltd &amp; Anor (current)</w:t>
      </w:r>
    </w:p>
    <w:p w14:paraId="72F5CE80" w14:textId="77777777" w:rsidR="00B32AD2" w:rsidRPr="00574470" w:rsidRDefault="00B32AD2" w:rsidP="00B32AD2">
      <w:pPr>
        <w:rPr>
          <w:rFonts w:cs="Helvetica"/>
        </w:rPr>
      </w:pPr>
      <w:r w:rsidRPr="00574470">
        <w:rPr>
          <w:rFonts w:cs="Helvetica"/>
        </w:rPr>
        <w:t>In these proceedings, the FWO is alleging the following breaches:</w:t>
      </w:r>
    </w:p>
    <w:p w14:paraId="5B0005FA" w14:textId="7EE59AA3" w:rsidR="00B32AD2" w:rsidRPr="00574470" w:rsidRDefault="00B32AD2" w:rsidP="00D466BD">
      <w:pPr>
        <w:pStyle w:val="Bullet"/>
      </w:pPr>
      <w:r w:rsidRPr="00574470">
        <w:t>S</w:t>
      </w:r>
      <w:r w:rsidR="00D466BD">
        <w:t>ection</w:t>
      </w:r>
      <w:r w:rsidRPr="00574470">
        <w:t xml:space="preserve"> 45 </w:t>
      </w:r>
      <w:r w:rsidR="00D466BD">
        <w:t xml:space="preserve">of the </w:t>
      </w:r>
      <w:r w:rsidRPr="00574470">
        <w:t>Act – contraventions of a Modern Award</w:t>
      </w:r>
      <w:r>
        <w:t>:</w:t>
      </w:r>
    </w:p>
    <w:p w14:paraId="2AF21CDE" w14:textId="272DAE3B" w:rsidR="00B32AD2" w:rsidRPr="00574470" w:rsidRDefault="00B32AD2" w:rsidP="00D466BD">
      <w:pPr>
        <w:pStyle w:val="Bullet"/>
        <w:numPr>
          <w:ilvl w:val="1"/>
          <w:numId w:val="23"/>
        </w:numPr>
      </w:pPr>
      <w:r w:rsidRPr="00574470">
        <w:t>Clause 13.2 of the F</w:t>
      </w:r>
      <w:r w:rsidR="00D466BD">
        <w:t xml:space="preserve">ast </w:t>
      </w:r>
      <w:r w:rsidRPr="00574470">
        <w:t>F</w:t>
      </w:r>
      <w:r w:rsidR="00D466BD">
        <w:t>ood</w:t>
      </w:r>
      <w:r w:rsidRPr="00574470">
        <w:t xml:space="preserve"> Award for failure to pay casual loading</w:t>
      </w:r>
    </w:p>
    <w:p w14:paraId="254A2A58" w14:textId="6E0ED1A7" w:rsidR="00B32AD2" w:rsidRPr="00574470" w:rsidRDefault="00B32AD2" w:rsidP="00D466BD">
      <w:pPr>
        <w:pStyle w:val="Bullet"/>
        <w:numPr>
          <w:ilvl w:val="1"/>
          <w:numId w:val="23"/>
        </w:numPr>
      </w:pPr>
      <w:r w:rsidRPr="00574470">
        <w:t xml:space="preserve">Clause 13.4 of the </w:t>
      </w:r>
      <w:r w:rsidR="00D466BD" w:rsidRPr="00574470">
        <w:t>F</w:t>
      </w:r>
      <w:r w:rsidR="00D466BD">
        <w:t xml:space="preserve">ast </w:t>
      </w:r>
      <w:r w:rsidR="00D466BD" w:rsidRPr="00574470">
        <w:t>F</w:t>
      </w:r>
      <w:r w:rsidR="00D466BD">
        <w:t>ood</w:t>
      </w:r>
      <w:r w:rsidR="00D466BD" w:rsidRPr="00574470">
        <w:t xml:space="preserve"> </w:t>
      </w:r>
      <w:r w:rsidRPr="00574470">
        <w:t>Award for fail</w:t>
      </w:r>
      <w:r>
        <w:t>ure</w:t>
      </w:r>
      <w:r w:rsidRPr="00574470">
        <w:t xml:space="preserve"> to roster employees for prescribed minimum </w:t>
      </w:r>
      <w:r>
        <w:t xml:space="preserve">daily </w:t>
      </w:r>
      <w:r w:rsidRPr="00574470">
        <w:t>engagements</w:t>
      </w:r>
    </w:p>
    <w:p w14:paraId="29474691" w14:textId="432F259A" w:rsidR="00B32AD2" w:rsidRPr="00574470" w:rsidRDefault="00B32AD2" w:rsidP="00D466BD">
      <w:pPr>
        <w:pStyle w:val="Bullet"/>
        <w:numPr>
          <w:ilvl w:val="1"/>
          <w:numId w:val="23"/>
        </w:numPr>
      </w:pPr>
      <w:r w:rsidRPr="00574470">
        <w:t xml:space="preserve">Clauses 17 and 18 </w:t>
      </w:r>
      <w:r>
        <w:t xml:space="preserve">of the </w:t>
      </w:r>
      <w:r w:rsidR="00D466BD" w:rsidRPr="00574470">
        <w:t>F</w:t>
      </w:r>
      <w:r w:rsidR="00D466BD">
        <w:t xml:space="preserve">ast </w:t>
      </w:r>
      <w:r w:rsidR="00D466BD" w:rsidRPr="00574470">
        <w:t>F</w:t>
      </w:r>
      <w:r w:rsidR="00D466BD">
        <w:t>ood</w:t>
      </w:r>
      <w:r w:rsidR="00D466BD" w:rsidRPr="00574470">
        <w:t xml:space="preserve"> </w:t>
      </w:r>
      <w:r w:rsidRPr="00574470">
        <w:t>Award</w:t>
      </w:r>
      <w:r w:rsidRPr="00891543">
        <w:t xml:space="preserve"> </w:t>
      </w:r>
      <w:r w:rsidRPr="00574470">
        <w:t>for failure to pay minimum wage entitlements for adult and junior employees</w:t>
      </w:r>
    </w:p>
    <w:p w14:paraId="2E6ADEED" w14:textId="3DCF2A8C" w:rsidR="00B32AD2" w:rsidRPr="00574470" w:rsidRDefault="00B32AD2" w:rsidP="00D466BD">
      <w:pPr>
        <w:pStyle w:val="Bullet"/>
        <w:numPr>
          <w:ilvl w:val="1"/>
          <w:numId w:val="23"/>
        </w:numPr>
      </w:pPr>
      <w:r w:rsidRPr="00574470">
        <w:t>Clause 21.</w:t>
      </w:r>
      <w:r>
        <w:t>2</w:t>
      </w:r>
      <w:r w:rsidRPr="00574470">
        <w:t xml:space="preserve"> of the </w:t>
      </w:r>
      <w:r w:rsidR="00D466BD" w:rsidRPr="00574470">
        <w:t>F</w:t>
      </w:r>
      <w:r w:rsidR="00D466BD">
        <w:t xml:space="preserve">ast </w:t>
      </w:r>
      <w:r w:rsidR="00D466BD" w:rsidRPr="00574470">
        <w:t>F</w:t>
      </w:r>
      <w:r w:rsidR="00D466BD">
        <w:t>ood</w:t>
      </w:r>
      <w:r w:rsidR="00D466BD" w:rsidRPr="00574470">
        <w:t xml:space="preserve"> </w:t>
      </w:r>
      <w:r w:rsidRPr="00574470">
        <w:t xml:space="preserve">Award for failure to </w:t>
      </w:r>
      <w:r>
        <w:t xml:space="preserve">make </w:t>
      </w:r>
      <w:r w:rsidRPr="00574470">
        <w:t>superannuation</w:t>
      </w:r>
      <w:r>
        <w:t xml:space="preserve"> contributions</w:t>
      </w:r>
    </w:p>
    <w:p w14:paraId="54F6F10E" w14:textId="2A228E28" w:rsidR="00B32AD2" w:rsidRPr="00574470" w:rsidRDefault="00B32AD2" w:rsidP="00D466BD">
      <w:pPr>
        <w:pStyle w:val="Bullet"/>
        <w:numPr>
          <w:ilvl w:val="1"/>
          <w:numId w:val="23"/>
        </w:numPr>
      </w:pPr>
      <w:r w:rsidRPr="00574470">
        <w:t>Clause</w:t>
      </w:r>
      <w:r>
        <w:t>s</w:t>
      </w:r>
      <w:r w:rsidRPr="00574470">
        <w:t xml:space="preserve"> 25.5</w:t>
      </w:r>
      <w:r>
        <w:t>(b) and 25.5(c)(ii)</w:t>
      </w:r>
      <w:r w:rsidRPr="00574470">
        <w:t xml:space="preserve"> of the </w:t>
      </w:r>
      <w:r w:rsidR="00D466BD" w:rsidRPr="00574470">
        <w:t>F</w:t>
      </w:r>
      <w:r w:rsidR="00D466BD">
        <w:t xml:space="preserve">ast </w:t>
      </w:r>
      <w:r w:rsidR="00D466BD" w:rsidRPr="00574470">
        <w:t>F</w:t>
      </w:r>
      <w:r w:rsidR="00D466BD">
        <w:t>ood</w:t>
      </w:r>
      <w:r w:rsidR="00D466BD" w:rsidRPr="00574470">
        <w:t xml:space="preserve"> </w:t>
      </w:r>
      <w:r w:rsidRPr="00574470">
        <w:t>Award for failure to pay minimum entitlements for work on Saturdays and Sundays</w:t>
      </w:r>
    </w:p>
    <w:p w14:paraId="208A8074" w14:textId="4FAB8727" w:rsidR="00B32AD2" w:rsidRDefault="00B32AD2" w:rsidP="00D466BD">
      <w:pPr>
        <w:pStyle w:val="Bullet"/>
        <w:numPr>
          <w:ilvl w:val="1"/>
          <w:numId w:val="23"/>
        </w:numPr>
      </w:pPr>
      <w:r w:rsidRPr="00574470">
        <w:t xml:space="preserve">Clause 30.3 of the </w:t>
      </w:r>
      <w:r w:rsidR="00D466BD" w:rsidRPr="00574470">
        <w:t>F</w:t>
      </w:r>
      <w:r w:rsidR="00D466BD">
        <w:t xml:space="preserve">ast </w:t>
      </w:r>
      <w:r w:rsidR="00D466BD" w:rsidRPr="00574470">
        <w:t>F</w:t>
      </w:r>
      <w:r w:rsidR="00D466BD">
        <w:t>ood</w:t>
      </w:r>
      <w:r w:rsidR="00D466BD" w:rsidRPr="00574470">
        <w:t xml:space="preserve"> </w:t>
      </w:r>
      <w:r w:rsidRPr="00574470">
        <w:t>Award for failure to pay minimum entitlements for work on Public Holidays</w:t>
      </w:r>
    </w:p>
    <w:p w14:paraId="7C6E97DC" w14:textId="6816AACA" w:rsidR="00B32AD2" w:rsidRPr="00574470" w:rsidRDefault="00B32AD2" w:rsidP="00D466BD">
      <w:pPr>
        <w:pStyle w:val="Bullet"/>
      </w:pPr>
      <w:r w:rsidRPr="00574470">
        <w:t>S</w:t>
      </w:r>
      <w:r w:rsidR="00D466BD">
        <w:t>ection</w:t>
      </w:r>
      <w:r w:rsidRPr="00574470">
        <w:t xml:space="preserve"> 535 </w:t>
      </w:r>
      <w:r w:rsidR="00D466BD">
        <w:t>of the</w:t>
      </w:r>
      <w:r w:rsidRPr="00574470">
        <w:t xml:space="preserve"> Act </w:t>
      </w:r>
      <w:r>
        <w:t>for</w:t>
      </w:r>
      <w:r w:rsidRPr="00574470">
        <w:t xml:space="preserve"> failure to make and keep employee records</w:t>
      </w:r>
      <w:r w:rsidRPr="00F40BB7">
        <w:t>.</w:t>
      </w:r>
    </w:p>
    <w:p w14:paraId="39C4DC31" w14:textId="77777777" w:rsidR="00B32AD2" w:rsidRDefault="00B32AD2" w:rsidP="00B32AD2">
      <w:pPr>
        <w:rPr>
          <w:rFonts w:cs="Helvetica"/>
        </w:rPr>
      </w:pPr>
      <w:r>
        <w:rPr>
          <w:rFonts w:cs="Helvetica"/>
        </w:rPr>
        <w:t xml:space="preserve">Heiwa International Pty Ltd and Kiyoshi Hasegawa, former shareholder and the controlling mind of the company, have admitted the allegations in full. The Court conducted a penalty hearing on 16 May 2018, and heard the matter together with </w:t>
      </w:r>
      <w:r w:rsidRPr="00AC4285">
        <w:rPr>
          <w:rFonts w:cs="Helvetica"/>
          <w:i/>
        </w:rPr>
        <w:t>Fair Work Ombudsman v Hasegawa &amp; Ye International Pty Ltd &amp; Anor</w:t>
      </w:r>
      <w:r>
        <w:rPr>
          <w:rFonts w:cs="Helvetica"/>
        </w:rPr>
        <w:t>. The parties are awaiting the Court’s decision on penalties.</w:t>
      </w:r>
    </w:p>
    <w:p w14:paraId="504014A6" w14:textId="09AA7988" w:rsidR="00B32AD2" w:rsidRDefault="00B32AD2" w:rsidP="00D466BD">
      <w:pPr>
        <w:pStyle w:val="Bullet"/>
        <w:numPr>
          <w:ilvl w:val="0"/>
          <w:numId w:val="0"/>
        </w:numPr>
        <w:ind w:left="360" w:hanging="360"/>
      </w:pPr>
      <w:r w:rsidRPr="00574470">
        <w:t xml:space="preserve">Additional information about the matter is available </w:t>
      </w:r>
      <w:r>
        <w:t>in our media release</w:t>
      </w:r>
      <w:r w:rsidR="00D466BD">
        <w:t>.</w:t>
      </w:r>
      <w:r w:rsidR="00D466BD">
        <w:rPr>
          <w:rStyle w:val="FootnoteReference"/>
        </w:rPr>
        <w:footnoteReference w:id="13"/>
      </w:r>
    </w:p>
    <w:p w14:paraId="6C0500BD" w14:textId="77777777" w:rsidR="00D466BD" w:rsidRDefault="00D466BD" w:rsidP="00D466BD">
      <w:pPr>
        <w:pStyle w:val="Bullet"/>
        <w:numPr>
          <w:ilvl w:val="0"/>
          <w:numId w:val="0"/>
        </w:numPr>
      </w:pPr>
    </w:p>
    <w:p w14:paraId="10B263C6" w14:textId="77777777" w:rsidR="00D466BD" w:rsidRDefault="00D466BD">
      <w:pPr>
        <w:spacing w:before="0" w:line="240" w:lineRule="auto"/>
        <w:rPr>
          <w:rFonts w:ascii="Helvetica" w:hAnsi="Helvetica"/>
          <w:color w:val="263746"/>
          <w:sz w:val="40"/>
        </w:rPr>
      </w:pPr>
      <w:r>
        <w:br w:type="page"/>
      </w:r>
    </w:p>
    <w:p w14:paraId="4564FDC5" w14:textId="620C6603" w:rsidR="00B32AD2" w:rsidRPr="00574470" w:rsidRDefault="00B32AD2" w:rsidP="00100935">
      <w:pPr>
        <w:pStyle w:val="Heading3"/>
      </w:pPr>
      <w:r w:rsidRPr="00574470">
        <w:lastRenderedPageBreak/>
        <w:t>The Fair Work Ombudsman v Sushi Bay ACT Pty Ltd &amp; Anor (current)</w:t>
      </w:r>
    </w:p>
    <w:p w14:paraId="4E6843C2" w14:textId="77777777" w:rsidR="00B32AD2" w:rsidRPr="00574470" w:rsidRDefault="00B32AD2" w:rsidP="00B32AD2">
      <w:pPr>
        <w:pStyle w:val="ListParagraph"/>
        <w:ind w:left="0"/>
        <w:contextualSpacing w:val="0"/>
        <w:rPr>
          <w:rFonts w:cs="Helvetica"/>
        </w:rPr>
      </w:pPr>
      <w:r w:rsidRPr="00574470">
        <w:rPr>
          <w:rFonts w:cs="Helvetica"/>
        </w:rPr>
        <w:t>In these proceedings, the FWO is alleging the following breaches:</w:t>
      </w:r>
    </w:p>
    <w:p w14:paraId="10FC5779" w14:textId="737B565E" w:rsidR="00B32AD2" w:rsidRDefault="00B32AD2" w:rsidP="00D466BD">
      <w:pPr>
        <w:pStyle w:val="Bullet"/>
      </w:pPr>
      <w:r w:rsidRPr="00574470">
        <w:t>S</w:t>
      </w:r>
      <w:r w:rsidR="00D466BD">
        <w:t>ection</w:t>
      </w:r>
      <w:r w:rsidRPr="00574470">
        <w:t xml:space="preserve"> 44 </w:t>
      </w:r>
      <w:r>
        <w:t xml:space="preserve">of the </w:t>
      </w:r>
      <w:r w:rsidRPr="00574470">
        <w:t>Act for contravention</w:t>
      </w:r>
      <w:r>
        <w:t>s</w:t>
      </w:r>
      <w:r w:rsidRPr="00574470">
        <w:t xml:space="preserve"> of the </w:t>
      </w:r>
      <w:r w:rsidR="00D466BD">
        <w:t>NES</w:t>
      </w:r>
      <w:r>
        <w:t>:</w:t>
      </w:r>
    </w:p>
    <w:p w14:paraId="3BB4894F" w14:textId="52B97E11" w:rsidR="00B32AD2" w:rsidRPr="00574470" w:rsidRDefault="00B32AD2" w:rsidP="00D466BD">
      <w:pPr>
        <w:pStyle w:val="Bullet"/>
        <w:numPr>
          <w:ilvl w:val="1"/>
          <w:numId w:val="23"/>
        </w:numPr>
      </w:pPr>
      <w:r w:rsidRPr="00574470">
        <w:t>S</w:t>
      </w:r>
      <w:r w:rsidR="00D466BD">
        <w:t>ection</w:t>
      </w:r>
      <w:r w:rsidRPr="00574470">
        <w:t xml:space="preserve"> 90 </w:t>
      </w:r>
      <w:r>
        <w:t>of the Act</w:t>
      </w:r>
      <w:r w:rsidRPr="00574470">
        <w:t xml:space="preserve"> for failure to pay annual leave entitlements on termination</w:t>
      </w:r>
    </w:p>
    <w:p w14:paraId="18047910" w14:textId="4877EDE0" w:rsidR="00B32AD2" w:rsidRPr="00574470" w:rsidRDefault="00B32AD2" w:rsidP="00D466BD">
      <w:pPr>
        <w:pStyle w:val="Bullet"/>
        <w:numPr>
          <w:ilvl w:val="1"/>
          <w:numId w:val="23"/>
        </w:numPr>
      </w:pPr>
      <w:r w:rsidRPr="00574470">
        <w:t>S</w:t>
      </w:r>
      <w:r w:rsidR="00D466BD">
        <w:t>ection</w:t>
      </w:r>
      <w:r w:rsidRPr="00574470">
        <w:t xml:space="preserve"> 96 </w:t>
      </w:r>
      <w:r>
        <w:t>of the Act</w:t>
      </w:r>
      <w:r w:rsidRPr="00574470">
        <w:t xml:space="preserve"> for failure to accrue and pay personal leave entitlements</w:t>
      </w:r>
    </w:p>
    <w:p w14:paraId="7EA51AB9" w14:textId="417CAE04" w:rsidR="00B32AD2" w:rsidRDefault="00B32AD2" w:rsidP="00D466BD">
      <w:pPr>
        <w:pStyle w:val="Bullet"/>
      </w:pPr>
      <w:r w:rsidRPr="00574470">
        <w:t>S</w:t>
      </w:r>
      <w:r w:rsidR="00D466BD">
        <w:t>ection</w:t>
      </w:r>
      <w:r w:rsidRPr="00574470">
        <w:t xml:space="preserve"> 45 </w:t>
      </w:r>
      <w:r>
        <w:t>of the</w:t>
      </w:r>
      <w:r w:rsidRPr="00574470">
        <w:t xml:space="preserve"> Act for contraventions of a Modern Award</w:t>
      </w:r>
      <w:r>
        <w:t xml:space="preserve"> as follows:</w:t>
      </w:r>
    </w:p>
    <w:p w14:paraId="1EFF2917" w14:textId="2BACBE6C" w:rsidR="00B32AD2" w:rsidRPr="00574470" w:rsidRDefault="00B32AD2" w:rsidP="00D466BD">
      <w:pPr>
        <w:pStyle w:val="Bullet"/>
        <w:numPr>
          <w:ilvl w:val="1"/>
          <w:numId w:val="23"/>
        </w:numPr>
      </w:pPr>
      <w:r w:rsidRPr="00574470">
        <w:t xml:space="preserve">Clause 12.3 of the </w:t>
      </w:r>
      <w:r w:rsidRPr="00B32AD2">
        <w:t xml:space="preserve">Restaurant Award </w:t>
      </w:r>
      <w:r w:rsidRPr="00574470">
        <w:t>for failure to make part</w:t>
      </w:r>
      <w:r>
        <w:t>-</w:t>
      </w:r>
      <w:r w:rsidRPr="00574470">
        <w:t>time agreements with part</w:t>
      </w:r>
      <w:r>
        <w:t>-</w:t>
      </w:r>
      <w:r w:rsidRPr="00574470">
        <w:t>time employees</w:t>
      </w:r>
    </w:p>
    <w:p w14:paraId="3DD810D3" w14:textId="22533B88" w:rsidR="00B32AD2" w:rsidRPr="00574470" w:rsidRDefault="00B32AD2" w:rsidP="00D466BD">
      <w:pPr>
        <w:pStyle w:val="Bullet"/>
        <w:numPr>
          <w:ilvl w:val="1"/>
          <w:numId w:val="23"/>
        </w:numPr>
      </w:pPr>
      <w:r w:rsidRPr="00574470">
        <w:t xml:space="preserve">Clause 13.1 of the </w:t>
      </w:r>
      <w:r w:rsidRPr="00B32AD2">
        <w:t xml:space="preserve">Restaurant Award </w:t>
      </w:r>
      <w:r w:rsidRPr="00574470">
        <w:t>for failure to pay casual loading</w:t>
      </w:r>
    </w:p>
    <w:p w14:paraId="250A54B5" w14:textId="38204399" w:rsidR="00B32AD2" w:rsidRPr="00574470" w:rsidRDefault="00B32AD2" w:rsidP="00D466BD">
      <w:pPr>
        <w:pStyle w:val="Bullet"/>
        <w:numPr>
          <w:ilvl w:val="1"/>
          <w:numId w:val="23"/>
        </w:numPr>
      </w:pPr>
      <w:r w:rsidRPr="00574470">
        <w:t>Clause</w:t>
      </w:r>
      <w:r>
        <w:t>s</w:t>
      </w:r>
      <w:r w:rsidRPr="00574470">
        <w:t xml:space="preserve"> 20</w:t>
      </w:r>
      <w:r>
        <w:t>.1 and 20.3 of the</w:t>
      </w:r>
      <w:r w:rsidRPr="00574470">
        <w:t xml:space="preserve"> </w:t>
      </w:r>
      <w:r w:rsidRPr="00B32AD2">
        <w:t>Restaurant Award</w:t>
      </w:r>
      <w:r w:rsidRPr="00574470">
        <w:t xml:space="preserve"> for failure to pay minimum wage entitlements for adult and junior employees</w:t>
      </w:r>
    </w:p>
    <w:p w14:paraId="1860665E" w14:textId="2C71248B" w:rsidR="00B32AD2" w:rsidRPr="00574470" w:rsidRDefault="00B32AD2" w:rsidP="00D466BD">
      <w:pPr>
        <w:pStyle w:val="Bullet"/>
        <w:numPr>
          <w:ilvl w:val="1"/>
          <w:numId w:val="23"/>
        </w:numPr>
      </w:pPr>
      <w:r w:rsidRPr="00574470">
        <w:t>Clause 34</w:t>
      </w:r>
      <w:r>
        <w:t>.1</w:t>
      </w:r>
      <w:r w:rsidRPr="00574470">
        <w:t xml:space="preserve"> of the </w:t>
      </w:r>
      <w:r w:rsidRPr="00B32AD2">
        <w:t xml:space="preserve">Restaurant Award </w:t>
      </w:r>
      <w:r w:rsidRPr="00574470">
        <w:t xml:space="preserve">for failure to pay </w:t>
      </w:r>
      <w:r>
        <w:t xml:space="preserve">Saturday, Sunday and public holiday </w:t>
      </w:r>
      <w:r w:rsidRPr="00574470">
        <w:t>penalty rates</w:t>
      </w:r>
    </w:p>
    <w:p w14:paraId="4543E9FB" w14:textId="02923C3A" w:rsidR="00B32AD2" w:rsidRPr="00574470" w:rsidRDefault="00B32AD2" w:rsidP="00D466BD">
      <w:pPr>
        <w:pStyle w:val="Bullet"/>
      </w:pPr>
      <w:r w:rsidRPr="00574470">
        <w:t>S</w:t>
      </w:r>
      <w:r w:rsidR="00A30345">
        <w:t>ection</w:t>
      </w:r>
      <w:r w:rsidRPr="00574470">
        <w:t xml:space="preserve"> 535 </w:t>
      </w:r>
      <w:r>
        <w:t>of the</w:t>
      </w:r>
      <w:r w:rsidRPr="00574470">
        <w:t xml:space="preserve"> Act </w:t>
      </w:r>
      <w:r>
        <w:t>for</w:t>
      </w:r>
      <w:r w:rsidRPr="00574470">
        <w:t xml:space="preserve"> failure to make and keep employee records</w:t>
      </w:r>
    </w:p>
    <w:p w14:paraId="5974271C" w14:textId="77777777" w:rsidR="00B32AD2" w:rsidRDefault="00B32AD2" w:rsidP="00B32AD2">
      <w:pPr>
        <w:rPr>
          <w:rFonts w:cs="Helvetica"/>
        </w:rPr>
      </w:pPr>
      <w:r>
        <w:rPr>
          <w:rFonts w:cs="Helvetica"/>
        </w:rPr>
        <w:t xml:space="preserve">Sushi Bay ACT Pty Ltd and Ms Rebecca Yi </w:t>
      </w:r>
      <w:proofErr w:type="spellStart"/>
      <w:r>
        <w:rPr>
          <w:rFonts w:cs="Helvetica"/>
        </w:rPr>
        <w:t>Jeoung</w:t>
      </w:r>
      <w:proofErr w:type="spellEnd"/>
      <w:r>
        <w:rPr>
          <w:rFonts w:cs="Helvetica"/>
        </w:rPr>
        <w:t xml:space="preserve"> Shin, the sole director and shareholder of Sushi Bay ACT Pty Ltd, have admitted the contraventions in full. Ms Shin admitted her involvement in all of the contraventions. The Court conducted a penalty hearing on 31 May 2018. The parties are awaiting the Court’s decision on penalties.</w:t>
      </w:r>
    </w:p>
    <w:p w14:paraId="231F7036" w14:textId="54ED22A5" w:rsidR="00FB0D2B" w:rsidRDefault="00B32AD2" w:rsidP="009D757B">
      <w:r w:rsidRPr="00574470">
        <w:rPr>
          <w:rFonts w:cs="Helvetica"/>
        </w:rPr>
        <w:t xml:space="preserve">Additional information about the matter is available </w:t>
      </w:r>
      <w:r>
        <w:rPr>
          <w:rFonts w:cs="Helvetica"/>
        </w:rPr>
        <w:t>in our media release</w:t>
      </w:r>
      <w:r w:rsidR="00A30345">
        <w:rPr>
          <w:rFonts w:cs="Helvetica"/>
        </w:rPr>
        <w:t>.</w:t>
      </w:r>
      <w:r w:rsidR="00A30345">
        <w:rPr>
          <w:rStyle w:val="FootnoteReference"/>
        </w:rPr>
        <w:footnoteReference w:id="14"/>
      </w:r>
      <w:bookmarkEnd w:id="20"/>
    </w:p>
    <w:sectPr w:rsidR="00FB0D2B" w:rsidSect="00C12BCB">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851" w:right="992" w:bottom="1440" w:left="1276"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09F11" w14:textId="77777777" w:rsidR="006A4099" w:rsidRDefault="006A4099" w:rsidP="00AB27F9">
      <w:r>
        <w:separator/>
      </w:r>
    </w:p>
  </w:endnote>
  <w:endnote w:type="continuationSeparator" w:id="0">
    <w:p w14:paraId="3D91EB7C" w14:textId="77777777" w:rsidR="006A4099" w:rsidRDefault="006A4099" w:rsidP="00A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air Work">
    <w:altName w:val="Times New Roman"/>
    <w:panose1 w:val="00000000000000000000"/>
    <w:charset w:val="00"/>
    <w:family w:val="roman"/>
    <w:notTrueType/>
    <w:pitch w:val="variable"/>
    <w:sig w:usb0="00000083" w:usb1="5000204A"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5E7A7" w14:textId="77777777" w:rsidR="006E34AE" w:rsidRDefault="006E34AE" w:rsidP="00AB27F9">
    <w:r>
      <w:fldChar w:fldCharType="begin"/>
    </w:r>
    <w:r>
      <w:instrText xml:space="preserve">PAGE  </w:instrText>
    </w:r>
    <w:r>
      <w:fldChar w:fldCharType="separate"/>
    </w:r>
    <w:r>
      <w:rPr>
        <w:noProof/>
      </w:rPr>
      <w:t>2</w:t>
    </w:r>
    <w:r>
      <w:fldChar w:fldCharType="end"/>
    </w:r>
  </w:p>
  <w:p w14:paraId="4C04C2D1" w14:textId="77777777" w:rsidR="006E34AE" w:rsidRDefault="006E34AE" w:rsidP="00AB27F9"/>
  <w:p w14:paraId="6DB29AE6" w14:textId="77777777" w:rsidR="00AC229B" w:rsidRDefault="00AC229B"/>
  <w:p w14:paraId="77ED54A0" w14:textId="77777777" w:rsidR="00AC229B" w:rsidRDefault="00AC229B"/>
  <w:p w14:paraId="66D46DB1" w14:textId="77777777" w:rsidR="00AC229B" w:rsidRDefault="00AC229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ECCF9" w14:textId="449081B7" w:rsidR="00C2298B" w:rsidRPr="0045600E" w:rsidRDefault="002D458F" w:rsidP="00EE74FF">
    <w:pPr>
      <w:pStyle w:val="Footer"/>
      <w:rPr>
        <w:color w:val="FFFFFF" w:themeColor="background1"/>
      </w:rPr>
    </w:pPr>
    <w:r>
      <w:rPr>
        <w:szCs w:val="18"/>
      </w:rPr>
      <w:t>Compliance activity involving sushi enterprises</w:t>
    </w:r>
    <w:r w:rsidR="00C2298B" w:rsidRPr="0045600E">
      <w:rPr>
        <w:color w:val="FFFFFF" w:themeColor="background1"/>
        <w:szCs w:val="18"/>
      </w:rPr>
      <w:tab/>
    </w:r>
    <w:r w:rsidR="00EE74FF">
      <w:rPr>
        <w:color w:val="FFFFFF" w:themeColor="background1"/>
        <w:szCs w:val="18"/>
      </w:rPr>
      <w:tab/>
    </w:r>
    <w:r w:rsidR="00EE74FF">
      <w:rPr>
        <w:color w:val="FFFFFF" w:themeColor="background1"/>
        <w:szCs w:val="18"/>
      </w:rPr>
      <w:tab/>
    </w:r>
    <w:sdt>
      <w:sdtPr>
        <w:id w:val="1472486919"/>
        <w:docPartObj>
          <w:docPartGallery w:val="Page Numbers (Bottom of Page)"/>
          <w:docPartUnique/>
        </w:docPartObj>
      </w:sdtPr>
      <w:sdtEndPr>
        <w:rPr>
          <w:noProof/>
          <w:color w:val="FFFFFF" w:themeColor="background1"/>
        </w:rPr>
      </w:sdtEndPr>
      <w:sdtContent>
        <w:r w:rsidR="00C2298B" w:rsidRPr="00BF0029">
          <w:rPr>
            <w:sz w:val="20"/>
            <w:szCs w:val="20"/>
          </w:rPr>
          <w:fldChar w:fldCharType="begin"/>
        </w:r>
        <w:r w:rsidR="00C2298B" w:rsidRPr="00BF0029">
          <w:rPr>
            <w:sz w:val="20"/>
            <w:szCs w:val="20"/>
          </w:rPr>
          <w:instrText xml:space="preserve"> PAGE   \* MERGEFORMAT </w:instrText>
        </w:r>
        <w:r w:rsidR="00C2298B" w:rsidRPr="00BF0029">
          <w:rPr>
            <w:sz w:val="20"/>
            <w:szCs w:val="20"/>
          </w:rPr>
          <w:fldChar w:fldCharType="separate"/>
        </w:r>
        <w:r w:rsidR="00A46F92">
          <w:rPr>
            <w:noProof/>
            <w:sz w:val="20"/>
            <w:szCs w:val="20"/>
          </w:rPr>
          <w:t>16</w:t>
        </w:r>
        <w:r w:rsidR="00C2298B" w:rsidRPr="00BF0029">
          <w:rPr>
            <w:noProof/>
            <w:sz w:val="20"/>
            <w:szCs w:val="20"/>
          </w:rPr>
          <w:fldChar w:fldCharType="end"/>
        </w:r>
      </w:sdtContent>
    </w:sdt>
  </w:p>
  <w:p w14:paraId="7C5A301D" w14:textId="77777777" w:rsidR="00AC229B" w:rsidRDefault="00AC229B" w:rsidP="004B2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808C" w14:textId="77777777" w:rsidR="006B3BB5" w:rsidRDefault="006B3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A38A8" w14:textId="77777777" w:rsidR="006A4099" w:rsidRDefault="006A4099" w:rsidP="00AB27F9">
      <w:r>
        <w:separator/>
      </w:r>
    </w:p>
  </w:footnote>
  <w:footnote w:type="continuationSeparator" w:id="0">
    <w:p w14:paraId="7C41D7D1" w14:textId="77777777" w:rsidR="006A4099" w:rsidRDefault="006A4099" w:rsidP="00AB27F9">
      <w:r>
        <w:continuationSeparator/>
      </w:r>
    </w:p>
  </w:footnote>
  <w:footnote w:id="1">
    <w:p w14:paraId="345DD079" w14:textId="27E99567" w:rsidR="005F4B44" w:rsidRPr="002F03E4" w:rsidRDefault="005F4B44" w:rsidP="008E4496">
      <w:pPr>
        <w:pStyle w:val="Footnotes"/>
        <w:spacing w:before="0"/>
        <w:rPr>
          <w:sz w:val="16"/>
          <w:szCs w:val="16"/>
        </w:rPr>
      </w:pPr>
      <w:r w:rsidRPr="002F03E4">
        <w:rPr>
          <w:rStyle w:val="FootnoteReference"/>
          <w:rFonts w:cs="Arial"/>
          <w:sz w:val="16"/>
          <w:szCs w:val="16"/>
        </w:rPr>
        <w:footnoteRef/>
      </w:r>
      <w:r w:rsidRPr="002F03E4">
        <w:rPr>
          <w:sz w:val="16"/>
          <w:szCs w:val="16"/>
        </w:rPr>
        <w:t xml:space="preserve"> IBIS World –</w:t>
      </w:r>
      <w:r w:rsidR="008D1CC8" w:rsidRPr="002F03E4">
        <w:rPr>
          <w:sz w:val="16"/>
          <w:szCs w:val="16"/>
        </w:rPr>
        <w:t xml:space="preserve"> </w:t>
      </w:r>
      <w:r w:rsidRPr="002F03E4">
        <w:rPr>
          <w:sz w:val="16"/>
          <w:szCs w:val="16"/>
        </w:rPr>
        <w:t>H4512 Fast Food and Takeaway services in Australia Industry Report – December 2017</w:t>
      </w:r>
    </w:p>
  </w:footnote>
  <w:footnote w:id="2">
    <w:p w14:paraId="1BF02C36" w14:textId="133D03BE" w:rsidR="005F4B44" w:rsidRPr="0080244F" w:rsidRDefault="005F4B44" w:rsidP="008E4496">
      <w:pPr>
        <w:pStyle w:val="Footnotes"/>
        <w:spacing w:before="0"/>
      </w:pPr>
      <w:r w:rsidRPr="002F03E4">
        <w:rPr>
          <w:rStyle w:val="FootnoteReference"/>
          <w:rFonts w:cs="Arial"/>
          <w:sz w:val="16"/>
          <w:szCs w:val="16"/>
        </w:rPr>
        <w:footnoteRef/>
      </w:r>
      <w:r w:rsidR="00111823" w:rsidRPr="002F03E4">
        <w:rPr>
          <w:sz w:val="16"/>
          <w:szCs w:val="16"/>
        </w:rPr>
        <w:t xml:space="preserve"> Roy Morgan Research (2014) L</w:t>
      </w:r>
      <w:r w:rsidRPr="002F03E4">
        <w:rPr>
          <w:sz w:val="16"/>
          <w:szCs w:val="16"/>
        </w:rPr>
        <w:t xml:space="preserve">and of the Rising Sushi – </w:t>
      </w:r>
      <w:hyperlink r:id="rId1" w:history="1">
        <w:r w:rsidR="0008172C" w:rsidRPr="002F03E4">
          <w:rPr>
            <w:rStyle w:val="Hyperlink"/>
            <w:rFonts w:cs="Arial"/>
            <w:sz w:val="16"/>
            <w:szCs w:val="16"/>
          </w:rPr>
          <w:t xml:space="preserve">Land of the rising sushi (and the falling spring roll) </w:t>
        </w:r>
      </w:hyperlink>
    </w:p>
  </w:footnote>
  <w:footnote w:id="3">
    <w:p w14:paraId="7792BCCB" w14:textId="77777777" w:rsidR="005F4B44" w:rsidRPr="002F03E4" w:rsidRDefault="005F4B44" w:rsidP="008E4496">
      <w:pPr>
        <w:pStyle w:val="Footnotes"/>
        <w:spacing w:before="0"/>
        <w:rPr>
          <w:rFonts w:asciiTheme="minorHAnsi" w:hAnsiTheme="minorHAnsi" w:cstheme="minorHAnsi"/>
          <w:sz w:val="16"/>
          <w:szCs w:val="16"/>
        </w:rPr>
      </w:pPr>
      <w:r w:rsidRPr="002F03E4">
        <w:rPr>
          <w:rStyle w:val="FootnoteReference"/>
          <w:rFonts w:cs="Arial"/>
          <w:sz w:val="16"/>
          <w:szCs w:val="16"/>
        </w:rPr>
        <w:footnoteRef/>
      </w:r>
      <w:r w:rsidRPr="002F03E4">
        <w:rPr>
          <w:sz w:val="16"/>
          <w:szCs w:val="16"/>
        </w:rPr>
        <w:t xml:space="preserve"> One of the Hunter / Central Coast matters and two of the Gold Coast matters were initiated because of requests for assistance received from four employees during the compliance activity.</w:t>
      </w:r>
    </w:p>
  </w:footnote>
  <w:footnote w:id="4">
    <w:p w14:paraId="1C6A01F0" w14:textId="77777777" w:rsidR="005F4B44" w:rsidRPr="002F03E4" w:rsidRDefault="005F4B44" w:rsidP="008E4496">
      <w:pPr>
        <w:pStyle w:val="Footnotes"/>
        <w:spacing w:before="0"/>
        <w:rPr>
          <w:i/>
          <w:sz w:val="16"/>
          <w:szCs w:val="16"/>
        </w:rPr>
      </w:pPr>
      <w:r w:rsidRPr="002F03E4">
        <w:rPr>
          <w:rStyle w:val="FootnoteReference"/>
          <w:rFonts w:cs="Arial"/>
          <w:sz w:val="16"/>
          <w:szCs w:val="16"/>
        </w:rPr>
        <w:footnoteRef/>
      </w:r>
      <w:r w:rsidRPr="002F03E4">
        <w:rPr>
          <w:sz w:val="16"/>
          <w:szCs w:val="16"/>
        </w:rPr>
        <w:t xml:space="preserve"> 14 businesses were covered by the </w:t>
      </w:r>
      <w:r w:rsidRPr="002F03E4">
        <w:rPr>
          <w:i/>
          <w:sz w:val="16"/>
          <w:szCs w:val="16"/>
        </w:rPr>
        <w:t xml:space="preserve">Restaurant Industry Award 2010, </w:t>
      </w:r>
      <w:r w:rsidRPr="002F03E4">
        <w:rPr>
          <w:sz w:val="16"/>
          <w:szCs w:val="16"/>
        </w:rPr>
        <w:t>30 were covered by the</w:t>
      </w:r>
      <w:r w:rsidRPr="002F03E4">
        <w:rPr>
          <w:i/>
          <w:sz w:val="16"/>
          <w:szCs w:val="16"/>
        </w:rPr>
        <w:t xml:space="preserve"> Fast Food Award 2010 </w:t>
      </w:r>
      <w:r w:rsidRPr="002F03E4">
        <w:rPr>
          <w:sz w:val="16"/>
          <w:szCs w:val="16"/>
        </w:rPr>
        <w:t>and one business was covered by both awards</w:t>
      </w:r>
      <w:r w:rsidRPr="002F03E4">
        <w:rPr>
          <w:i/>
          <w:sz w:val="16"/>
          <w:szCs w:val="16"/>
        </w:rPr>
        <w:t>.</w:t>
      </w:r>
    </w:p>
  </w:footnote>
  <w:footnote w:id="5">
    <w:p w14:paraId="29D90AE3" w14:textId="77777777" w:rsidR="005F4B44" w:rsidRDefault="005F4B44" w:rsidP="008E4496">
      <w:pPr>
        <w:pStyle w:val="Footnotes"/>
        <w:spacing w:before="0"/>
      </w:pPr>
      <w:r w:rsidRPr="002F03E4">
        <w:rPr>
          <w:rStyle w:val="FootnoteReference"/>
          <w:rFonts w:cs="Arial"/>
          <w:sz w:val="16"/>
          <w:szCs w:val="16"/>
        </w:rPr>
        <w:footnoteRef/>
      </w:r>
      <w:r w:rsidRPr="002F03E4">
        <w:rPr>
          <w:sz w:val="16"/>
          <w:szCs w:val="16"/>
        </w:rPr>
        <w:t xml:space="preserve"> NES breaches with a monetary value were in relation to non-payment of annual leave entitlements.</w:t>
      </w:r>
    </w:p>
  </w:footnote>
  <w:footnote w:id="6">
    <w:p w14:paraId="1C2A02ED" w14:textId="2F734337" w:rsidR="002D458F" w:rsidRPr="002F03E4" w:rsidRDefault="002D458F" w:rsidP="008E4496">
      <w:pPr>
        <w:pStyle w:val="Footnotes"/>
        <w:spacing w:before="0"/>
        <w:rPr>
          <w:sz w:val="16"/>
          <w:szCs w:val="16"/>
        </w:rPr>
      </w:pPr>
      <w:r w:rsidRPr="002F03E4">
        <w:rPr>
          <w:rStyle w:val="FootnoteReference"/>
          <w:rFonts w:cs="Arial"/>
          <w:sz w:val="16"/>
          <w:szCs w:val="16"/>
        </w:rPr>
        <w:footnoteRef/>
      </w:r>
      <w:r w:rsidRPr="002F03E4">
        <w:rPr>
          <w:sz w:val="16"/>
          <w:szCs w:val="16"/>
        </w:rPr>
        <w:t xml:space="preserve"> FWO Media release: </w:t>
      </w:r>
      <w:hyperlink r:id="rId2" w:history="1">
        <w:r w:rsidR="0008172C" w:rsidRPr="002F03E4">
          <w:rPr>
            <w:rStyle w:val="Hyperlink"/>
            <w:rFonts w:cs="Arial"/>
            <w:sz w:val="16"/>
            <w:szCs w:val="16"/>
          </w:rPr>
          <w:t>Sushi operator penalised for “deliberate and calculated” exploitation of Korean workers</w:t>
        </w:r>
      </w:hyperlink>
      <w:r w:rsidR="0008172C" w:rsidRPr="002F03E4">
        <w:rPr>
          <w:sz w:val="16"/>
          <w:szCs w:val="16"/>
        </w:rPr>
        <w:t xml:space="preserve">, </w:t>
      </w:r>
      <w:r w:rsidRPr="002F03E4">
        <w:rPr>
          <w:sz w:val="16"/>
          <w:szCs w:val="16"/>
        </w:rPr>
        <w:t xml:space="preserve">29 May 2017 </w:t>
      </w:r>
    </w:p>
  </w:footnote>
  <w:footnote w:id="7">
    <w:p w14:paraId="31CED333" w14:textId="20F36D95" w:rsidR="00FB0D2B" w:rsidRPr="005867C3" w:rsidRDefault="00FB0D2B" w:rsidP="008E4496">
      <w:pPr>
        <w:pStyle w:val="Footnotes"/>
        <w:spacing w:before="0"/>
      </w:pPr>
      <w:r w:rsidRPr="002F03E4">
        <w:rPr>
          <w:rStyle w:val="FootnoteReference"/>
          <w:sz w:val="16"/>
          <w:szCs w:val="16"/>
        </w:rPr>
        <w:footnoteRef/>
      </w:r>
      <w:r w:rsidRPr="002F03E4">
        <w:rPr>
          <w:sz w:val="16"/>
          <w:szCs w:val="16"/>
        </w:rPr>
        <w:t xml:space="preserve"> These considerations are documented in the FWO’s </w:t>
      </w:r>
      <w:hyperlink r:id="rId3" w:history="1">
        <w:r w:rsidR="0008172C" w:rsidRPr="002F03E4">
          <w:rPr>
            <w:rStyle w:val="Hyperlink"/>
            <w:rFonts w:cs="Arial"/>
            <w:sz w:val="16"/>
            <w:szCs w:val="16"/>
          </w:rPr>
          <w:t>Compliance and Enforcement Policy</w:t>
        </w:r>
      </w:hyperlink>
    </w:p>
  </w:footnote>
  <w:footnote w:id="8">
    <w:p w14:paraId="1360E376" w14:textId="068C4569" w:rsidR="00FB0D2B" w:rsidRPr="002F03E4" w:rsidRDefault="00FB0D2B" w:rsidP="00C12BCB">
      <w:pPr>
        <w:pStyle w:val="Footnotes"/>
        <w:spacing w:before="0"/>
        <w:rPr>
          <w:sz w:val="16"/>
          <w:szCs w:val="16"/>
        </w:rPr>
      </w:pPr>
      <w:r w:rsidRPr="002F03E4">
        <w:rPr>
          <w:rStyle w:val="FootnoteReference"/>
          <w:rFonts w:cs="Arial"/>
          <w:sz w:val="16"/>
          <w:szCs w:val="16"/>
        </w:rPr>
        <w:footnoteRef/>
      </w:r>
      <w:r w:rsidRPr="002F03E4">
        <w:rPr>
          <w:sz w:val="16"/>
          <w:szCs w:val="16"/>
        </w:rPr>
        <w:t xml:space="preserve"> </w:t>
      </w:r>
      <w:hyperlink r:id="rId4" w:history="1">
        <w:r w:rsidR="0008172C" w:rsidRPr="002F03E4">
          <w:rPr>
            <w:rStyle w:val="Hyperlink"/>
            <w:rFonts w:cs="Arial"/>
            <w:sz w:val="16"/>
            <w:szCs w:val="16"/>
          </w:rPr>
          <w:t>2016-2017 Enforceable Undertakings</w:t>
        </w:r>
      </w:hyperlink>
      <w:r w:rsidR="0008172C" w:rsidRPr="002F03E4">
        <w:rPr>
          <w:sz w:val="16"/>
          <w:szCs w:val="16"/>
        </w:rPr>
        <w:t xml:space="preserve"> </w:t>
      </w:r>
    </w:p>
  </w:footnote>
  <w:footnote w:id="9">
    <w:p w14:paraId="6E3FC034" w14:textId="0B645821" w:rsidR="00FB0D2B" w:rsidRPr="002F03E4" w:rsidRDefault="00FB0D2B" w:rsidP="00B32AD2">
      <w:pPr>
        <w:pStyle w:val="Footnotes"/>
        <w:rPr>
          <w:sz w:val="16"/>
          <w:szCs w:val="16"/>
        </w:rPr>
      </w:pPr>
      <w:r w:rsidRPr="00A46F92">
        <w:rPr>
          <w:rStyle w:val="FootnoteReference"/>
          <w:sz w:val="16"/>
          <w:szCs w:val="16"/>
        </w:rPr>
        <w:footnoteRef/>
      </w:r>
      <w:r w:rsidRPr="002F03E4">
        <w:rPr>
          <w:sz w:val="16"/>
          <w:szCs w:val="16"/>
        </w:rPr>
        <w:t xml:space="preserve"> </w:t>
      </w:r>
      <w:hyperlink r:id="rId5" w:history="1">
        <w:r w:rsidR="0059017B" w:rsidRPr="002F03E4">
          <w:rPr>
            <w:rStyle w:val="Hyperlink"/>
            <w:rFonts w:cs="Arial"/>
            <w:sz w:val="16"/>
            <w:szCs w:val="16"/>
          </w:rPr>
          <w:t>FWO media release: S</w:t>
        </w:r>
        <w:r w:rsidR="00035D06" w:rsidRPr="002F03E4">
          <w:rPr>
            <w:rStyle w:val="Hyperlink"/>
            <w:rFonts w:cs="Arial"/>
            <w:sz w:val="16"/>
            <w:szCs w:val="16"/>
          </w:rPr>
          <w:t>ushi operator penalised for “deliberate and calculated” exploitation of Korean workers</w:t>
        </w:r>
      </w:hyperlink>
      <w:r w:rsidR="0059017B" w:rsidRPr="002F03E4">
        <w:rPr>
          <w:sz w:val="16"/>
          <w:szCs w:val="16"/>
        </w:rPr>
        <w:t>, 29 May 2017</w:t>
      </w:r>
    </w:p>
  </w:footnote>
  <w:footnote w:id="10">
    <w:p w14:paraId="7ED3387E" w14:textId="2C202688" w:rsidR="00B32AD2" w:rsidRPr="002F03E4" w:rsidRDefault="00B32AD2" w:rsidP="00C12BCB">
      <w:pPr>
        <w:pStyle w:val="Footnotes"/>
        <w:spacing w:before="0"/>
        <w:rPr>
          <w:sz w:val="16"/>
          <w:szCs w:val="16"/>
        </w:rPr>
      </w:pPr>
      <w:r w:rsidRPr="002F03E4">
        <w:rPr>
          <w:rStyle w:val="FootnoteReference"/>
          <w:rFonts w:cs="Arial"/>
          <w:sz w:val="16"/>
          <w:szCs w:val="16"/>
        </w:rPr>
        <w:footnoteRef/>
      </w:r>
      <w:r w:rsidRPr="002F03E4">
        <w:rPr>
          <w:sz w:val="16"/>
          <w:szCs w:val="16"/>
          <w:vertAlign w:val="superscript"/>
        </w:rPr>
        <w:t xml:space="preserve"> </w:t>
      </w:r>
      <w:r w:rsidR="002F03E4">
        <w:rPr>
          <w:sz w:val="16"/>
          <w:szCs w:val="16"/>
          <w:vertAlign w:val="superscript"/>
        </w:rPr>
        <w:t xml:space="preserve"> </w:t>
      </w:r>
      <w:hyperlink r:id="rId6" w:history="1">
        <w:r w:rsidR="009313BF" w:rsidRPr="002F03E4">
          <w:rPr>
            <w:rStyle w:val="Hyperlink"/>
            <w:rFonts w:cs="Arial"/>
            <w:sz w:val="16"/>
            <w:szCs w:val="16"/>
          </w:rPr>
          <w:t xml:space="preserve">FWO media release: </w:t>
        </w:r>
        <w:r w:rsidR="00652BCE" w:rsidRPr="002F03E4">
          <w:rPr>
            <w:rStyle w:val="Hyperlink"/>
            <w:rFonts w:cs="Arial"/>
            <w:sz w:val="16"/>
            <w:szCs w:val="16"/>
          </w:rPr>
          <w:t>Sushi operator allegedly exploited young overseas workers</w:t>
        </w:r>
      </w:hyperlink>
      <w:r w:rsidR="009313BF" w:rsidRPr="002F03E4">
        <w:rPr>
          <w:sz w:val="16"/>
          <w:szCs w:val="16"/>
        </w:rPr>
        <w:t>, 16 February 2017</w:t>
      </w:r>
    </w:p>
  </w:footnote>
  <w:footnote w:id="11">
    <w:p w14:paraId="2A308E7F" w14:textId="5D92F2AE" w:rsidR="00D466BD" w:rsidRPr="002F03E4" w:rsidRDefault="00D466BD" w:rsidP="00C12BCB">
      <w:pPr>
        <w:pStyle w:val="Footnotes"/>
        <w:spacing w:before="0"/>
        <w:rPr>
          <w:sz w:val="16"/>
          <w:szCs w:val="16"/>
        </w:rPr>
      </w:pPr>
      <w:r w:rsidRPr="002F03E4">
        <w:rPr>
          <w:rStyle w:val="FootnoteReference"/>
          <w:sz w:val="16"/>
          <w:szCs w:val="16"/>
        </w:rPr>
        <w:footnoteRef/>
      </w:r>
      <w:r w:rsidRPr="002F03E4">
        <w:rPr>
          <w:sz w:val="16"/>
          <w:szCs w:val="16"/>
        </w:rPr>
        <w:t xml:space="preserve"> </w:t>
      </w:r>
      <w:hyperlink r:id="rId7" w:history="1">
        <w:r w:rsidR="009313BF" w:rsidRPr="002F03E4">
          <w:rPr>
            <w:rStyle w:val="Hyperlink"/>
            <w:rFonts w:cs="Arial"/>
            <w:sz w:val="16"/>
            <w:szCs w:val="16"/>
          </w:rPr>
          <w:t>FWO media release: S</w:t>
        </w:r>
        <w:r w:rsidR="00652BCE" w:rsidRPr="002F03E4">
          <w:rPr>
            <w:rStyle w:val="Hyperlink"/>
            <w:rFonts w:cs="Arial"/>
            <w:sz w:val="16"/>
            <w:szCs w:val="16"/>
          </w:rPr>
          <w:t>ushi operator faces Court for allegedly underpaying overseas workers in Newcastle</w:t>
        </w:r>
      </w:hyperlink>
      <w:r w:rsidR="009313BF" w:rsidRPr="002F03E4">
        <w:rPr>
          <w:sz w:val="16"/>
          <w:szCs w:val="16"/>
        </w:rPr>
        <w:t>, 3 May 2018</w:t>
      </w:r>
    </w:p>
  </w:footnote>
  <w:footnote w:id="12">
    <w:p w14:paraId="1AD4E103" w14:textId="2071F220" w:rsidR="00D466BD" w:rsidRPr="002F03E4" w:rsidRDefault="00D466BD" w:rsidP="00C12BCB">
      <w:pPr>
        <w:pStyle w:val="Footnotes"/>
        <w:spacing w:before="0"/>
        <w:rPr>
          <w:sz w:val="16"/>
          <w:szCs w:val="16"/>
        </w:rPr>
      </w:pPr>
      <w:r w:rsidRPr="002F03E4">
        <w:rPr>
          <w:rStyle w:val="FootnoteReference"/>
          <w:rFonts w:cs="Arial"/>
          <w:sz w:val="16"/>
          <w:szCs w:val="16"/>
        </w:rPr>
        <w:footnoteRef/>
      </w:r>
      <w:r w:rsidR="009313BF" w:rsidRPr="002F03E4">
        <w:rPr>
          <w:sz w:val="16"/>
          <w:szCs w:val="16"/>
          <w:vertAlign w:val="superscript"/>
        </w:rPr>
        <w:t xml:space="preserve"> </w:t>
      </w:r>
      <w:hyperlink r:id="rId8" w:history="1">
        <w:r w:rsidR="009313BF" w:rsidRPr="002F03E4">
          <w:rPr>
            <w:rStyle w:val="Hyperlink"/>
            <w:rFonts w:cs="Arial"/>
            <w:sz w:val="16"/>
            <w:szCs w:val="16"/>
          </w:rPr>
          <w:t>FWO media release: S</w:t>
        </w:r>
        <w:r w:rsidR="00652BCE" w:rsidRPr="002F03E4">
          <w:rPr>
            <w:rStyle w:val="Hyperlink"/>
            <w:rFonts w:cs="Arial"/>
            <w:sz w:val="16"/>
            <w:szCs w:val="16"/>
          </w:rPr>
          <w:t>ushi operator allegedly underpaid vulnerable workers in regional NSW</w:t>
        </w:r>
      </w:hyperlink>
      <w:r w:rsidR="009313BF" w:rsidRPr="002F03E4">
        <w:rPr>
          <w:sz w:val="16"/>
          <w:szCs w:val="16"/>
        </w:rPr>
        <w:t>, 1 August 2017</w:t>
      </w:r>
    </w:p>
  </w:footnote>
  <w:footnote w:id="13">
    <w:p w14:paraId="785E4794" w14:textId="52159FCE" w:rsidR="00D466BD" w:rsidRPr="00C12BCB" w:rsidRDefault="00D466BD" w:rsidP="00C12BCB">
      <w:pPr>
        <w:pStyle w:val="Footnotes"/>
        <w:spacing w:before="0"/>
        <w:rPr>
          <w:sz w:val="16"/>
          <w:szCs w:val="16"/>
        </w:rPr>
      </w:pPr>
      <w:r w:rsidRPr="00C12BCB">
        <w:rPr>
          <w:rStyle w:val="FootnoteReference"/>
          <w:sz w:val="16"/>
          <w:szCs w:val="16"/>
        </w:rPr>
        <w:footnoteRef/>
      </w:r>
      <w:r w:rsidR="002F03E4">
        <w:rPr>
          <w:sz w:val="16"/>
          <w:szCs w:val="16"/>
        </w:rPr>
        <w:t xml:space="preserve"> </w:t>
      </w:r>
      <w:hyperlink r:id="rId9" w:history="1">
        <w:r w:rsidR="009313BF" w:rsidRPr="00C12BCB">
          <w:rPr>
            <w:rStyle w:val="Hyperlink"/>
            <w:rFonts w:cs="Arial"/>
            <w:sz w:val="16"/>
            <w:szCs w:val="16"/>
          </w:rPr>
          <w:t>FWO media release: S</w:t>
        </w:r>
        <w:r w:rsidR="00652BCE" w:rsidRPr="00C12BCB">
          <w:rPr>
            <w:rStyle w:val="Hyperlink"/>
            <w:rFonts w:cs="Arial"/>
            <w:sz w:val="16"/>
            <w:szCs w:val="16"/>
          </w:rPr>
          <w:t>ushi operator allegedly underpaid vulnerable workers in regional NSW</w:t>
        </w:r>
      </w:hyperlink>
      <w:r w:rsidR="009313BF" w:rsidRPr="00C12BCB">
        <w:rPr>
          <w:sz w:val="16"/>
          <w:szCs w:val="16"/>
        </w:rPr>
        <w:t>, 1 August 2017</w:t>
      </w:r>
    </w:p>
  </w:footnote>
  <w:footnote w:id="14">
    <w:p w14:paraId="6F6C4422" w14:textId="65736D01" w:rsidR="00A30345" w:rsidRPr="00C12BCB" w:rsidRDefault="00A30345" w:rsidP="00C12BCB">
      <w:pPr>
        <w:pStyle w:val="Footnotes"/>
        <w:spacing w:before="0"/>
        <w:rPr>
          <w:sz w:val="16"/>
          <w:szCs w:val="16"/>
        </w:rPr>
      </w:pPr>
      <w:r w:rsidRPr="00C12BCB">
        <w:rPr>
          <w:rStyle w:val="FootnoteReference"/>
          <w:sz w:val="16"/>
          <w:szCs w:val="16"/>
        </w:rPr>
        <w:footnoteRef/>
      </w:r>
      <w:r w:rsidRPr="00C12BCB">
        <w:rPr>
          <w:sz w:val="16"/>
          <w:szCs w:val="16"/>
        </w:rPr>
        <w:t xml:space="preserve"> </w:t>
      </w:r>
      <w:hyperlink r:id="rId10" w:history="1">
        <w:r w:rsidR="009313BF" w:rsidRPr="002F03E4">
          <w:rPr>
            <w:rStyle w:val="Hyperlink"/>
            <w:rFonts w:cs="Arial"/>
            <w:sz w:val="16"/>
            <w:szCs w:val="16"/>
          </w:rPr>
          <w:t>FWO media release: S</w:t>
        </w:r>
        <w:r w:rsidR="00652BCE" w:rsidRPr="002F03E4">
          <w:rPr>
            <w:rStyle w:val="Hyperlink"/>
            <w:rFonts w:cs="Arial"/>
            <w:sz w:val="16"/>
            <w:szCs w:val="16"/>
          </w:rPr>
          <w:t>ushi operator faces Court for allegedly underpaying overseas workers in Newcastle</w:t>
        </w:r>
      </w:hyperlink>
      <w:r w:rsidR="009313BF" w:rsidRPr="002F03E4">
        <w:rPr>
          <w:sz w:val="16"/>
          <w:szCs w:val="16"/>
        </w:rPr>
        <w:t>, 3 May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44C7E" w14:textId="77777777" w:rsidR="006B3BB5" w:rsidRDefault="006B3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79987" w14:textId="77777777" w:rsidR="006B3BB5" w:rsidRDefault="006B3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56B10" w14:textId="6D3F77FE" w:rsidR="006E34AE" w:rsidRPr="003952ED" w:rsidRDefault="006D108D" w:rsidP="00AB27F9">
    <w:pPr>
      <w:rPr>
        <w:u w:val="single"/>
      </w:rPr>
    </w:pPr>
    <w:r>
      <w:rPr>
        <w:noProof/>
        <w:u w:val="single"/>
        <w:lang w:eastAsia="en-AU"/>
      </w:rPr>
      <w:drawing>
        <wp:anchor distT="0" distB="0" distL="114300" distR="114300" simplePos="0" relativeHeight="251659264" behindDoc="1" locked="0" layoutInCell="1" allowOverlap="1" wp14:anchorId="2C921D8A" wp14:editId="0B2FF477">
          <wp:simplePos x="0" y="0"/>
          <wp:positionH relativeFrom="margin">
            <wp:posOffset>-795210</wp:posOffset>
          </wp:positionH>
          <wp:positionV relativeFrom="paragraph">
            <wp:posOffset>0</wp:posOffset>
          </wp:positionV>
          <wp:extent cx="7716227" cy="10847173"/>
          <wp:effectExtent l="0" t="0" r="0" b="0"/>
          <wp:wrapNone/>
          <wp:docPr id="20" name="Picture 20" descr="Fair Work Ombudsman compliance activity report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ct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16227" cy="108471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rPr>
        <w:rFonts w:cs="Times New Roman"/>
      </w:rPr>
    </w:lvl>
  </w:abstractNum>
  <w:abstractNum w:abstractNumId="1" w15:restartNumberingAfterBreak="0">
    <w:nsid w:val="013C09CB"/>
    <w:multiLevelType w:val="hybridMultilevel"/>
    <w:tmpl w:val="E9307F4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47521E0"/>
    <w:multiLevelType w:val="hybridMultilevel"/>
    <w:tmpl w:val="EB8E6AEE"/>
    <w:lvl w:ilvl="0" w:tplc="27AE83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4F007F"/>
    <w:multiLevelType w:val="hybridMultilevel"/>
    <w:tmpl w:val="D89698A2"/>
    <w:lvl w:ilvl="0" w:tplc="7C228CE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8A5FC5"/>
    <w:multiLevelType w:val="hybridMultilevel"/>
    <w:tmpl w:val="372AC39C"/>
    <w:lvl w:ilvl="0" w:tplc="D8A6E530">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2D931D6"/>
    <w:multiLevelType w:val="hybridMultilevel"/>
    <w:tmpl w:val="E4868F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0D58BE"/>
    <w:multiLevelType w:val="hybridMultilevel"/>
    <w:tmpl w:val="505E795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7012B41"/>
    <w:multiLevelType w:val="hybridMultilevel"/>
    <w:tmpl w:val="2A50C9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7084D5B"/>
    <w:multiLevelType w:val="hybridMultilevel"/>
    <w:tmpl w:val="64D85228"/>
    <w:lvl w:ilvl="0" w:tplc="FF26E900">
      <w:numFmt w:val="bullet"/>
      <w:lvlText w:val="•"/>
      <w:lvlJc w:val="left"/>
      <w:pPr>
        <w:ind w:left="1185" w:hanging="825"/>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A51E80"/>
    <w:multiLevelType w:val="hybridMultilevel"/>
    <w:tmpl w:val="7FCC50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11" w15:restartNumberingAfterBreak="0">
    <w:nsid w:val="24032D19"/>
    <w:multiLevelType w:val="hybridMultilevel"/>
    <w:tmpl w:val="BCBCE7FE"/>
    <w:lvl w:ilvl="0" w:tplc="ED7C300A">
      <w:start w:val="1"/>
      <w:numFmt w:val="bullet"/>
      <w:lvlText w:val=""/>
      <w:lvlJc w:val="left"/>
      <w:pPr>
        <w:ind w:left="36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7349A5"/>
    <w:multiLevelType w:val="hybridMultilevel"/>
    <w:tmpl w:val="32CC0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6B698C"/>
    <w:multiLevelType w:val="hybridMultilevel"/>
    <w:tmpl w:val="B6C8AD3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DD343FD"/>
    <w:multiLevelType w:val="hybridMultilevel"/>
    <w:tmpl w:val="3B6C231C"/>
    <w:lvl w:ilvl="0" w:tplc="43BE62B0">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0D24F0"/>
    <w:multiLevelType w:val="hybridMultilevel"/>
    <w:tmpl w:val="84426604"/>
    <w:lvl w:ilvl="0" w:tplc="FF26E900">
      <w:numFmt w:val="bullet"/>
      <w:lvlText w:val="•"/>
      <w:lvlJc w:val="left"/>
      <w:pPr>
        <w:ind w:left="1185" w:hanging="82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B87943"/>
    <w:multiLevelType w:val="hybridMultilevel"/>
    <w:tmpl w:val="9266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F62B7B"/>
    <w:multiLevelType w:val="hybridMultilevel"/>
    <w:tmpl w:val="1F102006"/>
    <w:lvl w:ilvl="0" w:tplc="FF26E900">
      <w:numFmt w:val="bullet"/>
      <w:lvlText w:val="•"/>
      <w:lvlJc w:val="left"/>
      <w:pPr>
        <w:ind w:left="1440" w:hanging="720"/>
      </w:pPr>
      <w:rPr>
        <w:rFonts w:ascii="Arial" w:eastAsia="Times New Roman" w:hAnsi="Arial" w:cs="Arial" w:hint="default"/>
      </w:rPr>
    </w:lvl>
    <w:lvl w:ilvl="1" w:tplc="E0C471D6">
      <w:start w:val="1"/>
      <w:numFmt w:val="lowerLetter"/>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B4332BB"/>
    <w:multiLevelType w:val="hybridMultilevel"/>
    <w:tmpl w:val="CB1C8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950743"/>
    <w:multiLevelType w:val="hybridMultilevel"/>
    <w:tmpl w:val="678013DC"/>
    <w:lvl w:ilvl="0" w:tplc="2F2AEAF0">
      <w:start w:val="1"/>
      <w:numFmt w:val="bullet"/>
      <w:pStyle w:val="Bullet"/>
      <w:lvlText w:val=""/>
      <w:lvlJc w:val="left"/>
      <w:pPr>
        <w:ind w:left="360" w:hanging="360"/>
      </w:pPr>
      <w:rPr>
        <w:rFonts w:ascii="Wingdings" w:hAnsi="Wingdings" w:hint="default"/>
        <w:color w:val="26374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091CEB"/>
    <w:multiLevelType w:val="multilevel"/>
    <w:tmpl w:val="4424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C6689E"/>
    <w:multiLevelType w:val="hybridMultilevel"/>
    <w:tmpl w:val="9DD0A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D061F0"/>
    <w:multiLevelType w:val="hybridMultilevel"/>
    <w:tmpl w:val="A350D072"/>
    <w:lvl w:ilvl="0" w:tplc="C2EA2F7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0E042A"/>
    <w:multiLevelType w:val="hybridMultilevel"/>
    <w:tmpl w:val="EF9A6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6503A9"/>
    <w:multiLevelType w:val="hybridMultilevel"/>
    <w:tmpl w:val="36F0F93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4E3C2A6F"/>
    <w:multiLevelType w:val="hybridMultilevel"/>
    <w:tmpl w:val="2974A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AE7EC6"/>
    <w:multiLevelType w:val="hybridMultilevel"/>
    <w:tmpl w:val="14160586"/>
    <w:lvl w:ilvl="0" w:tplc="2974B152">
      <w:start w:val="1"/>
      <w:numFmt w:val="bullet"/>
      <w:lvlText w:val=""/>
      <w:lvlJc w:val="left"/>
      <w:pPr>
        <w:ind w:left="360" w:hanging="360"/>
      </w:pPr>
      <w:rPr>
        <w:rFonts w:ascii="Wingdings" w:hAnsi="Wingdings" w:hint="default"/>
        <w:color w:val="0194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5A04D3"/>
    <w:multiLevelType w:val="multilevel"/>
    <w:tmpl w:val="EA1004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ADB400E"/>
    <w:multiLevelType w:val="hybridMultilevel"/>
    <w:tmpl w:val="060C7B70"/>
    <w:lvl w:ilvl="0" w:tplc="FF26E900">
      <w:numFmt w:val="bullet"/>
      <w:lvlText w:val="•"/>
      <w:lvlJc w:val="left"/>
      <w:pPr>
        <w:ind w:left="1185" w:hanging="82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023519"/>
    <w:multiLevelType w:val="hybridMultilevel"/>
    <w:tmpl w:val="0646091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CBB4425"/>
    <w:multiLevelType w:val="hybridMultilevel"/>
    <w:tmpl w:val="0344C6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451AD0"/>
    <w:multiLevelType w:val="hybridMultilevel"/>
    <w:tmpl w:val="A2229E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FAD3C42"/>
    <w:multiLevelType w:val="hybridMultilevel"/>
    <w:tmpl w:val="026C3F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083497C"/>
    <w:multiLevelType w:val="hybridMultilevel"/>
    <w:tmpl w:val="DA045206"/>
    <w:lvl w:ilvl="0" w:tplc="240E7DE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5" w15:restartNumberingAfterBreak="0">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BCE1144"/>
    <w:multiLevelType w:val="hybridMultilevel"/>
    <w:tmpl w:val="3722768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C193F2B"/>
    <w:multiLevelType w:val="hybridMultilevel"/>
    <w:tmpl w:val="878C8206"/>
    <w:lvl w:ilvl="0" w:tplc="36FA94F6">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8" w15:restartNumberingAfterBreak="0">
    <w:nsid w:val="6C8205FF"/>
    <w:multiLevelType w:val="hybridMultilevel"/>
    <w:tmpl w:val="6A107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BB4E46"/>
    <w:multiLevelType w:val="hybridMultilevel"/>
    <w:tmpl w:val="0EB492A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581F4B"/>
    <w:multiLevelType w:val="hybridMultilevel"/>
    <w:tmpl w:val="B672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8756ED"/>
    <w:multiLevelType w:val="hybridMultilevel"/>
    <w:tmpl w:val="1ABE45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FC04639"/>
    <w:multiLevelType w:val="hybridMultilevel"/>
    <w:tmpl w:val="C32050C2"/>
    <w:lvl w:ilvl="0" w:tplc="B41ADE6E">
      <w:start w:val="1"/>
      <w:numFmt w:val="bullet"/>
      <w:pStyle w:val="Callout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num w:numId="1">
    <w:abstractNumId w:val="40"/>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10"/>
  </w:num>
  <w:num w:numId="4">
    <w:abstractNumId w:val="34"/>
  </w:num>
  <w:num w:numId="5">
    <w:abstractNumId w:val="27"/>
  </w:num>
  <w:num w:numId="6">
    <w:abstractNumId w:val="35"/>
  </w:num>
  <w:num w:numId="7">
    <w:abstractNumId w:val="39"/>
  </w:num>
  <w:num w:numId="8">
    <w:abstractNumId w:val="24"/>
  </w:num>
  <w:num w:numId="9">
    <w:abstractNumId w:val="16"/>
  </w:num>
  <w:num w:numId="10">
    <w:abstractNumId w:val="9"/>
  </w:num>
  <w:num w:numId="11">
    <w:abstractNumId w:val="7"/>
  </w:num>
  <w:num w:numId="12">
    <w:abstractNumId w:val="41"/>
  </w:num>
  <w:num w:numId="13">
    <w:abstractNumId w:val="42"/>
  </w:num>
  <w:num w:numId="14">
    <w:abstractNumId w:val="8"/>
  </w:num>
  <w:num w:numId="15">
    <w:abstractNumId w:val="15"/>
  </w:num>
  <w:num w:numId="16">
    <w:abstractNumId w:val="28"/>
  </w:num>
  <w:num w:numId="17">
    <w:abstractNumId w:val="38"/>
  </w:num>
  <w:num w:numId="18">
    <w:abstractNumId w:val="2"/>
  </w:num>
  <w:num w:numId="19">
    <w:abstractNumId w:val="17"/>
  </w:num>
  <w:num w:numId="20">
    <w:abstractNumId w:val="3"/>
  </w:num>
  <w:num w:numId="21">
    <w:abstractNumId w:val="18"/>
  </w:num>
  <w:num w:numId="22">
    <w:abstractNumId w:val="30"/>
  </w:num>
  <w:num w:numId="23">
    <w:abstractNumId w:val="19"/>
  </w:num>
  <w:num w:numId="24">
    <w:abstractNumId w:val="12"/>
  </w:num>
  <w:num w:numId="25">
    <w:abstractNumId w:val="23"/>
  </w:num>
  <w:num w:numId="26">
    <w:abstractNumId w:val="29"/>
  </w:num>
  <w:num w:numId="27">
    <w:abstractNumId w:val="36"/>
  </w:num>
  <w:num w:numId="28">
    <w:abstractNumId w:val="5"/>
  </w:num>
  <w:num w:numId="29">
    <w:abstractNumId w:val="6"/>
  </w:num>
  <w:num w:numId="30">
    <w:abstractNumId w:val="31"/>
  </w:num>
  <w:num w:numId="31">
    <w:abstractNumId w:val="1"/>
  </w:num>
  <w:num w:numId="32">
    <w:abstractNumId w:val="13"/>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43"/>
  </w:num>
  <w:num w:numId="44">
    <w:abstractNumId w:val="26"/>
  </w:num>
  <w:num w:numId="45">
    <w:abstractNumId w:val="11"/>
  </w:num>
  <w:num w:numId="46">
    <w:abstractNumId w:val="20"/>
  </w:num>
  <w:num w:numId="47">
    <w:abstractNumId w:val="19"/>
  </w:num>
  <w:num w:numId="48">
    <w:abstractNumId w:val="19"/>
  </w:num>
  <w:num w:numId="49">
    <w:abstractNumId w:val="19"/>
  </w:num>
  <w:num w:numId="50">
    <w:abstractNumId w:val="19"/>
  </w:num>
  <w:num w:numId="51">
    <w:abstractNumId w:val="19"/>
  </w:num>
  <w:num w:numId="52">
    <w:abstractNumId w:val="32"/>
  </w:num>
  <w:num w:numId="53">
    <w:abstractNumId w:val="4"/>
  </w:num>
  <w:num w:numId="54">
    <w:abstractNumId w:val="21"/>
  </w:num>
  <w:num w:numId="55">
    <w:abstractNumId w:val="19"/>
  </w:num>
  <w:num w:numId="56">
    <w:abstractNumId w:val="33"/>
  </w:num>
  <w:num w:numId="57">
    <w:abstractNumId w:val="22"/>
  </w:num>
  <w:num w:numId="58">
    <w:abstractNumId w:val="37"/>
  </w:num>
  <w:num w:numId="59">
    <w:abstractNumId w:val="25"/>
  </w:num>
  <w:num w:numId="60">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63"/>
    <w:rsid w:val="0000366A"/>
    <w:rsid w:val="00003FF8"/>
    <w:rsid w:val="00006D48"/>
    <w:rsid w:val="00020ED9"/>
    <w:rsid w:val="00032F3D"/>
    <w:rsid w:val="00035D06"/>
    <w:rsid w:val="00043D63"/>
    <w:rsid w:val="00044A07"/>
    <w:rsid w:val="000550B9"/>
    <w:rsid w:val="00057AE4"/>
    <w:rsid w:val="00064562"/>
    <w:rsid w:val="000652ED"/>
    <w:rsid w:val="00067031"/>
    <w:rsid w:val="00070178"/>
    <w:rsid w:val="0008172C"/>
    <w:rsid w:val="00090047"/>
    <w:rsid w:val="00093FBE"/>
    <w:rsid w:val="0009727F"/>
    <w:rsid w:val="000A5FE4"/>
    <w:rsid w:val="000B04DA"/>
    <w:rsid w:val="000C1DF4"/>
    <w:rsid w:val="000C359C"/>
    <w:rsid w:val="000C63F1"/>
    <w:rsid w:val="000C6A5F"/>
    <w:rsid w:val="000D29E1"/>
    <w:rsid w:val="000E08E4"/>
    <w:rsid w:val="000E0DD6"/>
    <w:rsid w:val="000E2601"/>
    <w:rsid w:val="000E362E"/>
    <w:rsid w:val="000E37AC"/>
    <w:rsid w:val="000F0FBA"/>
    <w:rsid w:val="000F2720"/>
    <w:rsid w:val="000F4B5B"/>
    <w:rsid w:val="00100935"/>
    <w:rsid w:val="001014A0"/>
    <w:rsid w:val="00105CEF"/>
    <w:rsid w:val="00106B77"/>
    <w:rsid w:val="00111823"/>
    <w:rsid w:val="00111949"/>
    <w:rsid w:val="001122AA"/>
    <w:rsid w:val="00121824"/>
    <w:rsid w:val="00125A38"/>
    <w:rsid w:val="00127C72"/>
    <w:rsid w:val="00133B21"/>
    <w:rsid w:val="0013580F"/>
    <w:rsid w:val="00142043"/>
    <w:rsid w:val="001506E4"/>
    <w:rsid w:val="001607FB"/>
    <w:rsid w:val="0016101D"/>
    <w:rsid w:val="0016465A"/>
    <w:rsid w:val="001676B6"/>
    <w:rsid w:val="00181475"/>
    <w:rsid w:val="001850B4"/>
    <w:rsid w:val="00190392"/>
    <w:rsid w:val="0019080C"/>
    <w:rsid w:val="00194A0D"/>
    <w:rsid w:val="00196665"/>
    <w:rsid w:val="001A4525"/>
    <w:rsid w:val="001B2781"/>
    <w:rsid w:val="001B2A68"/>
    <w:rsid w:val="001C3677"/>
    <w:rsid w:val="001D6D36"/>
    <w:rsid w:val="001D75B0"/>
    <w:rsid w:val="001E47B4"/>
    <w:rsid w:val="001F20C3"/>
    <w:rsid w:val="001F3149"/>
    <w:rsid w:val="001F3169"/>
    <w:rsid w:val="001F6234"/>
    <w:rsid w:val="00202975"/>
    <w:rsid w:val="00202E5C"/>
    <w:rsid w:val="00205DBE"/>
    <w:rsid w:val="00207215"/>
    <w:rsid w:val="00214011"/>
    <w:rsid w:val="00223B59"/>
    <w:rsid w:val="00225001"/>
    <w:rsid w:val="0022792E"/>
    <w:rsid w:val="00244EEE"/>
    <w:rsid w:val="002450DA"/>
    <w:rsid w:val="00252709"/>
    <w:rsid w:val="002533F0"/>
    <w:rsid w:val="00254F7F"/>
    <w:rsid w:val="0025534A"/>
    <w:rsid w:val="00274039"/>
    <w:rsid w:val="00274AEF"/>
    <w:rsid w:val="0028208F"/>
    <w:rsid w:val="00292AAB"/>
    <w:rsid w:val="002958C4"/>
    <w:rsid w:val="002A4276"/>
    <w:rsid w:val="002B02C7"/>
    <w:rsid w:val="002B03C2"/>
    <w:rsid w:val="002B52B9"/>
    <w:rsid w:val="002B5FAD"/>
    <w:rsid w:val="002B621B"/>
    <w:rsid w:val="002C4986"/>
    <w:rsid w:val="002C697D"/>
    <w:rsid w:val="002C769D"/>
    <w:rsid w:val="002D4156"/>
    <w:rsid w:val="002D458F"/>
    <w:rsid w:val="002D7B33"/>
    <w:rsid w:val="002E23E2"/>
    <w:rsid w:val="002E6E0C"/>
    <w:rsid w:val="002F03E4"/>
    <w:rsid w:val="002F0DF6"/>
    <w:rsid w:val="002F61D0"/>
    <w:rsid w:val="00315AB8"/>
    <w:rsid w:val="0032006D"/>
    <w:rsid w:val="003215C7"/>
    <w:rsid w:val="00321D35"/>
    <w:rsid w:val="00330F14"/>
    <w:rsid w:val="00331466"/>
    <w:rsid w:val="00332317"/>
    <w:rsid w:val="0033684C"/>
    <w:rsid w:val="00340E0D"/>
    <w:rsid w:val="003412BC"/>
    <w:rsid w:val="00341A80"/>
    <w:rsid w:val="0034403B"/>
    <w:rsid w:val="00345AD1"/>
    <w:rsid w:val="00357D51"/>
    <w:rsid w:val="00363614"/>
    <w:rsid w:val="00371258"/>
    <w:rsid w:val="003749B1"/>
    <w:rsid w:val="00374EF9"/>
    <w:rsid w:val="0038439E"/>
    <w:rsid w:val="003861B5"/>
    <w:rsid w:val="003952ED"/>
    <w:rsid w:val="003B121D"/>
    <w:rsid w:val="003B1C62"/>
    <w:rsid w:val="003B2808"/>
    <w:rsid w:val="003B35B1"/>
    <w:rsid w:val="003B62FE"/>
    <w:rsid w:val="003C493F"/>
    <w:rsid w:val="003C6D5B"/>
    <w:rsid w:val="003D18E2"/>
    <w:rsid w:val="003D2933"/>
    <w:rsid w:val="003E0FDA"/>
    <w:rsid w:val="003E2FB5"/>
    <w:rsid w:val="00400743"/>
    <w:rsid w:val="0040294F"/>
    <w:rsid w:val="00403015"/>
    <w:rsid w:val="004033BF"/>
    <w:rsid w:val="004044C1"/>
    <w:rsid w:val="004046AC"/>
    <w:rsid w:val="0040543F"/>
    <w:rsid w:val="00405844"/>
    <w:rsid w:val="00410018"/>
    <w:rsid w:val="004171B5"/>
    <w:rsid w:val="00433812"/>
    <w:rsid w:val="00436CD6"/>
    <w:rsid w:val="00451CB0"/>
    <w:rsid w:val="0045285F"/>
    <w:rsid w:val="0045600E"/>
    <w:rsid w:val="00463F3A"/>
    <w:rsid w:val="004650C3"/>
    <w:rsid w:val="00467B47"/>
    <w:rsid w:val="0047293C"/>
    <w:rsid w:val="00475F07"/>
    <w:rsid w:val="004947D1"/>
    <w:rsid w:val="00494BAC"/>
    <w:rsid w:val="00495DA8"/>
    <w:rsid w:val="00497F76"/>
    <w:rsid w:val="004A29A2"/>
    <w:rsid w:val="004B2104"/>
    <w:rsid w:val="004B22F3"/>
    <w:rsid w:val="004B6A63"/>
    <w:rsid w:val="004C0B58"/>
    <w:rsid w:val="004C235F"/>
    <w:rsid w:val="004C33F0"/>
    <w:rsid w:val="004C6B22"/>
    <w:rsid w:val="004D111F"/>
    <w:rsid w:val="004D2F74"/>
    <w:rsid w:val="004E2431"/>
    <w:rsid w:val="004E3470"/>
    <w:rsid w:val="004E36F6"/>
    <w:rsid w:val="004E7102"/>
    <w:rsid w:val="004E7C5C"/>
    <w:rsid w:val="004F15FA"/>
    <w:rsid w:val="004F3284"/>
    <w:rsid w:val="004F4518"/>
    <w:rsid w:val="00501D43"/>
    <w:rsid w:val="00502485"/>
    <w:rsid w:val="00503E04"/>
    <w:rsid w:val="005103EE"/>
    <w:rsid w:val="0051070B"/>
    <w:rsid w:val="005117BB"/>
    <w:rsid w:val="00512B40"/>
    <w:rsid w:val="005212DE"/>
    <w:rsid w:val="00523F90"/>
    <w:rsid w:val="00524C21"/>
    <w:rsid w:val="0053239A"/>
    <w:rsid w:val="00533528"/>
    <w:rsid w:val="0054474D"/>
    <w:rsid w:val="00546C2E"/>
    <w:rsid w:val="00551512"/>
    <w:rsid w:val="00564385"/>
    <w:rsid w:val="00587007"/>
    <w:rsid w:val="00587A9D"/>
    <w:rsid w:val="0059017B"/>
    <w:rsid w:val="00592A13"/>
    <w:rsid w:val="00593E35"/>
    <w:rsid w:val="00596451"/>
    <w:rsid w:val="00596AFD"/>
    <w:rsid w:val="005B3334"/>
    <w:rsid w:val="005B3A17"/>
    <w:rsid w:val="005B513C"/>
    <w:rsid w:val="005C3722"/>
    <w:rsid w:val="005C390A"/>
    <w:rsid w:val="005D107E"/>
    <w:rsid w:val="005E07F4"/>
    <w:rsid w:val="005E3ED5"/>
    <w:rsid w:val="005F4B44"/>
    <w:rsid w:val="00602CBE"/>
    <w:rsid w:val="0060649A"/>
    <w:rsid w:val="00607993"/>
    <w:rsid w:val="00612257"/>
    <w:rsid w:val="00616148"/>
    <w:rsid w:val="00624A88"/>
    <w:rsid w:val="0062705E"/>
    <w:rsid w:val="00630EAE"/>
    <w:rsid w:val="00631685"/>
    <w:rsid w:val="00634020"/>
    <w:rsid w:val="00635BD6"/>
    <w:rsid w:val="00636580"/>
    <w:rsid w:val="00637381"/>
    <w:rsid w:val="00637D93"/>
    <w:rsid w:val="00652BCE"/>
    <w:rsid w:val="006615E0"/>
    <w:rsid w:val="00663F9B"/>
    <w:rsid w:val="00666A7E"/>
    <w:rsid w:val="00666FD1"/>
    <w:rsid w:val="00681844"/>
    <w:rsid w:val="006824E7"/>
    <w:rsid w:val="006836FC"/>
    <w:rsid w:val="006878B3"/>
    <w:rsid w:val="0069564F"/>
    <w:rsid w:val="006A3313"/>
    <w:rsid w:val="006A4099"/>
    <w:rsid w:val="006A412C"/>
    <w:rsid w:val="006A476C"/>
    <w:rsid w:val="006B3BB5"/>
    <w:rsid w:val="006B7D36"/>
    <w:rsid w:val="006C2BEE"/>
    <w:rsid w:val="006D108D"/>
    <w:rsid w:val="006E34AE"/>
    <w:rsid w:val="006E4D7E"/>
    <w:rsid w:val="006E57A4"/>
    <w:rsid w:val="006E7D24"/>
    <w:rsid w:val="006F5079"/>
    <w:rsid w:val="007013DD"/>
    <w:rsid w:val="00710734"/>
    <w:rsid w:val="00712B5C"/>
    <w:rsid w:val="00717C75"/>
    <w:rsid w:val="00736C10"/>
    <w:rsid w:val="00743B2F"/>
    <w:rsid w:val="00743B90"/>
    <w:rsid w:val="007450B5"/>
    <w:rsid w:val="00774166"/>
    <w:rsid w:val="00791818"/>
    <w:rsid w:val="00795BEF"/>
    <w:rsid w:val="007A2082"/>
    <w:rsid w:val="007A2D49"/>
    <w:rsid w:val="007A6309"/>
    <w:rsid w:val="007B16EE"/>
    <w:rsid w:val="007C1259"/>
    <w:rsid w:val="007D3C75"/>
    <w:rsid w:val="007D66FA"/>
    <w:rsid w:val="007E1B5B"/>
    <w:rsid w:val="007E3190"/>
    <w:rsid w:val="007E4C63"/>
    <w:rsid w:val="007E6493"/>
    <w:rsid w:val="007E73B0"/>
    <w:rsid w:val="0080244F"/>
    <w:rsid w:val="00813552"/>
    <w:rsid w:val="008205AC"/>
    <w:rsid w:val="008217E4"/>
    <w:rsid w:val="008324C6"/>
    <w:rsid w:val="008340F6"/>
    <w:rsid w:val="00840399"/>
    <w:rsid w:val="00844B1D"/>
    <w:rsid w:val="00856E98"/>
    <w:rsid w:val="00860091"/>
    <w:rsid w:val="00872779"/>
    <w:rsid w:val="008770CF"/>
    <w:rsid w:val="00877300"/>
    <w:rsid w:val="0088082D"/>
    <w:rsid w:val="008850A2"/>
    <w:rsid w:val="0088737E"/>
    <w:rsid w:val="00892902"/>
    <w:rsid w:val="008967E4"/>
    <w:rsid w:val="008979FD"/>
    <w:rsid w:val="008A6906"/>
    <w:rsid w:val="008B4B17"/>
    <w:rsid w:val="008B64FB"/>
    <w:rsid w:val="008B7934"/>
    <w:rsid w:val="008C1B06"/>
    <w:rsid w:val="008C494F"/>
    <w:rsid w:val="008C68B5"/>
    <w:rsid w:val="008D1CC8"/>
    <w:rsid w:val="008D7319"/>
    <w:rsid w:val="008E1818"/>
    <w:rsid w:val="008E4496"/>
    <w:rsid w:val="008E46F0"/>
    <w:rsid w:val="008E5CCA"/>
    <w:rsid w:val="008F22E5"/>
    <w:rsid w:val="008F2CC1"/>
    <w:rsid w:val="008F5354"/>
    <w:rsid w:val="008F5E6D"/>
    <w:rsid w:val="008F7AFC"/>
    <w:rsid w:val="00911CB2"/>
    <w:rsid w:val="00911D94"/>
    <w:rsid w:val="0091246E"/>
    <w:rsid w:val="009137A7"/>
    <w:rsid w:val="0092566E"/>
    <w:rsid w:val="00925B42"/>
    <w:rsid w:val="009313BF"/>
    <w:rsid w:val="009344C6"/>
    <w:rsid w:val="0093542C"/>
    <w:rsid w:val="009359DB"/>
    <w:rsid w:val="00936511"/>
    <w:rsid w:val="009401AC"/>
    <w:rsid w:val="00960B57"/>
    <w:rsid w:val="009629F3"/>
    <w:rsid w:val="00972C87"/>
    <w:rsid w:val="00973C4D"/>
    <w:rsid w:val="009742D2"/>
    <w:rsid w:val="00984FCB"/>
    <w:rsid w:val="009943AB"/>
    <w:rsid w:val="009B0B6A"/>
    <w:rsid w:val="009C10C3"/>
    <w:rsid w:val="009C14E2"/>
    <w:rsid w:val="009D2725"/>
    <w:rsid w:val="009D757B"/>
    <w:rsid w:val="009D7631"/>
    <w:rsid w:val="009E226F"/>
    <w:rsid w:val="009E5550"/>
    <w:rsid w:val="009F0C25"/>
    <w:rsid w:val="009F1DB3"/>
    <w:rsid w:val="00A05A24"/>
    <w:rsid w:val="00A07A1B"/>
    <w:rsid w:val="00A12742"/>
    <w:rsid w:val="00A15574"/>
    <w:rsid w:val="00A30345"/>
    <w:rsid w:val="00A31EED"/>
    <w:rsid w:val="00A32E18"/>
    <w:rsid w:val="00A40015"/>
    <w:rsid w:val="00A46F23"/>
    <w:rsid w:val="00A46F92"/>
    <w:rsid w:val="00A50448"/>
    <w:rsid w:val="00A7186B"/>
    <w:rsid w:val="00A71FA8"/>
    <w:rsid w:val="00A73C8E"/>
    <w:rsid w:val="00A82E86"/>
    <w:rsid w:val="00A9000B"/>
    <w:rsid w:val="00A9192E"/>
    <w:rsid w:val="00A946A9"/>
    <w:rsid w:val="00A95312"/>
    <w:rsid w:val="00AA0A3E"/>
    <w:rsid w:val="00AB098D"/>
    <w:rsid w:val="00AB27F9"/>
    <w:rsid w:val="00AB3BE4"/>
    <w:rsid w:val="00AC17ED"/>
    <w:rsid w:val="00AC229B"/>
    <w:rsid w:val="00AC7EC8"/>
    <w:rsid w:val="00AD0B0A"/>
    <w:rsid w:val="00AD3FD7"/>
    <w:rsid w:val="00AD41BF"/>
    <w:rsid w:val="00AD5F7F"/>
    <w:rsid w:val="00AD7ACB"/>
    <w:rsid w:val="00AE0C8C"/>
    <w:rsid w:val="00AF0936"/>
    <w:rsid w:val="00AF2241"/>
    <w:rsid w:val="00B0049B"/>
    <w:rsid w:val="00B00BC8"/>
    <w:rsid w:val="00B06FB5"/>
    <w:rsid w:val="00B0742B"/>
    <w:rsid w:val="00B11DDC"/>
    <w:rsid w:val="00B13C89"/>
    <w:rsid w:val="00B148E4"/>
    <w:rsid w:val="00B14AD9"/>
    <w:rsid w:val="00B206C4"/>
    <w:rsid w:val="00B26E27"/>
    <w:rsid w:val="00B26E4B"/>
    <w:rsid w:val="00B32AD2"/>
    <w:rsid w:val="00B33C57"/>
    <w:rsid w:val="00B42289"/>
    <w:rsid w:val="00B633F8"/>
    <w:rsid w:val="00B67D04"/>
    <w:rsid w:val="00B842F5"/>
    <w:rsid w:val="00B8655E"/>
    <w:rsid w:val="00B90991"/>
    <w:rsid w:val="00B9339B"/>
    <w:rsid w:val="00B94A6B"/>
    <w:rsid w:val="00B97961"/>
    <w:rsid w:val="00BA1ACC"/>
    <w:rsid w:val="00BA4FF9"/>
    <w:rsid w:val="00BA602C"/>
    <w:rsid w:val="00BB25C4"/>
    <w:rsid w:val="00BB26EF"/>
    <w:rsid w:val="00BB59AA"/>
    <w:rsid w:val="00BC0280"/>
    <w:rsid w:val="00BD0563"/>
    <w:rsid w:val="00BD79E5"/>
    <w:rsid w:val="00BE15EC"/>
    <w:rsid w:val="00BF0029"/>
    <w:rsid w:val="00C00C46"/>
    <w:rsid w:val="00C02BFF"/>
    <w:rsid w:val="00C0746B"/>
    <w:rsid w:val="00C11D0C"/>
    <w:rsid w:val="00C12BCB"/>
    <w:rsid w:val="00C14135"/>
    <w:rsid w:val="00C2298B"/>
    <w:rsid w:val="00C24A7A"/>
    <w:rsid w:val="00C31270"/>
    <w:rsid w:val="00C36E87"/>
    <w:rsid w:val="00C423F4"/>
    <w:rsid w:val="00C45950"/>
    <w:rsid w:val="00C46495"/>
    <w:rsid w:val="00C46A9A"/>
    <w:rsid w:val="00C51199"/>
    <w:rsid w:val="00C52110"/>
    <w:rsid w:val="00C538CC"/>
    <w:rsid w:val="00C56962"/>
    <w:rsid w:val="00C62ACD"/>
    <w:rsid w:val="00C62FE9"/>
    <w:rsid w:val="00C6446B"/>
    <w:rsid w:val="00C72D97"/>
    <w:rsid w:val="00C81AF7"/>
    <w:rsid w:val="00C9231F"/>
    <w:rsid w:val="00CB07BD"/>
    <w:rsid w:val="00CC151C"/>
    <w:rsid w:val="00CC3FFC"/>
    <w:rsid w:val="00CC7FFE"/>
    <w:rsid w:val="00CD404B"/>
    <w:rsid w:val="00CD6F15"/>
    <w:rsid w:val="00CE1A4E"/>
    <w:rsid w:val="00CE3D01"/>
    <w:rsid w:val="00CE60A1"/>
    <w:rsid w:val="00CE63BE"/>
    <w:rsid w:val="00CF1056"/>
    <w:rsid w:val="00CF2395"/>
    <w:rsid w:val="00CF28C5"/>
    <w:rsid w:val="00CF3B06"/>
    <w:rsid w:val="00D048A5"/>
    <w:rsid w:val="00D13A87"/>
    <w:rsid w:val="00D27F43"/>
    <w:rsid w:val="00D32399"/>
    <w:rsid w:val="00D3277B"/>
    <w:rsid w:val="00D363DC"/>
    <w:rsid w:val="00D466BD"/>
    <w:rsid w:val="00D6528F"/>
    <w:rsid w:val="00D7342F"/>
    <w:rsid w:val="00D74581"/>
    <w:rsid w:val="00D7578E"/>
    <w:rsid w:val="00D8198B"/>
    <w:rsid w:val="00D964E9"/>
    <w:rsid w:val="00DA0189"/>
    <w:rsid w:val="00DA096D"/>
    <w:rsid w:val="00DA57D3"/>
    <w:rsid w:val="00DA7E1A"/>
    <w:rsid w:val="00DB2A3D"/>
    <w:rsid w:val="00DB5915"/>
    <w:rsid w:val="00DC0961"/>
    <w:rsid w:val="00DC1F8D"/>
    <w:rsid w:val="00DC5A09"/>
    <w:rsid w:val="00DC6E83"/>
    <w:rsid w:val="00DC7AC2"/>
    <w:rsid w:val="00DE7C28"/>
    <w:rsid w:val="00DF4831"/>
    <w:rsid w:val="00DF6D17"/>
    <w:rsid w:val="00E06EC7"/>
    <w:rsid w:val="00E10583"/>
    <w:rsid w:val="00E151A0"/>
    <w:rsid w:val="00E22203"/>
    <w:rsid w:val="00E2399E"/>
    <w:rsid w:val="00E32352"/>
    <w:rsid w:val="00E402C2"/>
    <w:rsid w:val="00E403BA"/>
    <w:rsid w:val="00E46CCA"/>
    <w:rsid w:val="00E47350"/>
    <w:rsid w:val="00E601F8"/>
    <w:rsid w:val="00E64EE0"/>
    <w:rsid w:val="00E65E59"/>
    <w:rsid w:val="00E71869"/>
    <w:rsid w:val="00E72E8F"/>
    <w:rsid w:val="00E73829"/>
    <w:rsid w:val="00E8678A"/>
    <w:rsid w:val="00E944DC"/>
    <w:rsid w:val="00E974A6"/>
    <w:rsid w:val="00EA5329"/>
    <w:rsid w:val="00EA6181"/>
    <w:rsid w:val="00EB1522"/>
    <w:rsid w:val="00EB2C3E"/>
    <w:rsid w:val="00EC55E6"/>
    <w:rsid w:val="00ED0D64"/>
    <w:rsid w:val="00ED295F"/>
    <w:rsid w:val="00ED4AEB"/>
    <w:rsid w:val="00ED60EC"/>
    <w:rsid w:val="00EE2EF8"/>
    <w:rsid w:val="00EE3963"/>
    <w:rsid w:val="00EE3A19"/>
    <w:rsid w:val="00EE4B0C"/>
    <w:rsid w:val="00EE573C"/>
    <w:rsid w:val="00EE74FF"/>
    <w:rsid w:val="00EF394B"/>
    <w:rsid w:val="00EF6D72"/>
    <w:rsid w:val="00F105AC"/>
    <w:rsid w:val="00F15E95"/>
    <w:rsid w:val="00F23488"/>
    <w:rsid w:val="00F2588C"/>
    <w:rsid w:val="00F26590"/>
    <w:rsid w:val="00F31E30"/>
    <w:rsid w:val="00F51A80"/>
    <w:rsid w:val="00F55653"/>
    <w:rsid w:val="00F557CB"/>
    <w:rsid w:val="00F573B5"/>
    <w:rsid w:val="00F66106"/>
    <w:rsid w:val="00F77208"/>
    <w:rsid w:val="00F77D9C"/>
    <w:rsid w:val="00F8218D"/>
    <w:rsid w:val="00F94269"/>
    <w:rsid w:val="00F94F7D"/>
    <w:rsid w:val="00FA1039"/>
    <w:rsid w:val="00FA137B"/>
    <w:rsid w:val="00FA37A8"/>
    <w:rsid w:val="00FA64BA"/>
    <w:rsid w:val="00FB0D2B"/>
    <w:rsid w:val="00FB1516"/>
    <w:rsid w:val="00FB48B9"/>
    <w:rsid w:val="00FC11E0"/>
    <w:rsid w:val="00FC12A8"/>
    <w:rsid w:val="00FD21CA"/>
    <w:rsid w:val="00FE2A0E"/>
    <w:rsid w:val="00FE638A"/>
    <w:rsid w:val="00FF5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52DE8A9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3C493F"/>
    <w:pPr>
      <w:spacing w:before="120" w:line="360" w:lineRule="auto"/>
    </w:pPr>
    <w:rPr>
      <w:rFonts w:ascii="Arial" w:hAnsi="Arial" w:cs="Arial"/>
      <w:sz w:val="22"/>
      <w:szCs w:val="24"/>
      <w:lang w:eastAsia="en-US"/>
    </w:rPr>
  </w:style>
  <w:style w:type="paragraph" w:styleId="Heading1">
    <w:name w:val="heading 1"/>
    <w:next w:val="Normal"/>
    <w:link w:val="Heading1Char"/>
    <w:autoRedefine/>
    <w:uiPriority w:val="9"/>
    <w:qFormat/>
    <w:rsid w:val="00100935"/>
    <w:pPr>
      <w:keepNext/>
      <w:keepLines/>
      <w:spacing w:before="240" w:after="360"/>
      <w:outlineLvl w:val="0"/>
    </w:pPr>
    <w:rPr>
      <w:rFonts w:ascii="Helvetica" w:hAnsi="Helvetica" w:cs="Arial"/>
      <w:color w:val="263746"/>
      <w:sz w:val="44"/>
      <w:szCs w:val="26"/>
      <w:lang w:eastAsia="en-US"/>
    </w:rPr>
  </w:style>
  <w:style w:type="paragraph" w:styleId="Heading2">
    <w:name w:val="heading 2"/>
    <w:basedOn w:val="Heading1"/>
    <w:next w:val="Normal"/>
    <w:link w:val="Heading2Char"/>
    <w:autoRedefine/>
    <w:uiPriority w:val="9"/>
    <w:qFormat/>
    <w:rsid w:val="00100935"/>
    <w:pPr>
      <w:numPr>
        <w:ilvl w:val="1"/>
      </w:numPr>
      <w:spacing w:before="360" w:after="120" w:line="360" w:lineRule="auto"/>
      <w:outlineLvl w:val="1"/>
    </w:pPr>
    <w:rPr>
      <w:sz w:val="40"/>
      <w:szCs w:val="24"/>
    </w:rPr>
  </w:style>
  <w:style w:type="paragraph" w:styleId="Heading3">
    <w:name w:val="heading 3"/>
    <w:basedOn w:val="Heading2"/>
    <w:next w:val="Normal"/>
    <w:link w:val="Heading3Char"/>
    <w:autoRedefine/>
    <w:uiPriority w:val="9"/>
    <w:qFormat/>
    <w:rsid w:val="005117BB"/>
    <w:pPr>
      <w:numPr>
        <w:ilvl w:val="2"/>
      </w:numPr>
      <w:spacing w:before="120" w:after="0"/>
      <w:outlineLvl w:val="2"/>
    </w:pPr>
    <w:rPr>
      <w:sz w:val="28"/>
      <w:szCs w:val="20"/>
    </w:rPr>
  </w:style>
  <w:style w:type="paragraph" w:styleId="Heading4">
    <w:name w:val="heading 4"/>
    <w:basedOn w:val="Heading3"/>
    <w:next w:val="Normal"/>
    <w:link w:val="Heading4Char"/>
    <w:uiPriority w:val="9"/>
    <w:qFormat/>
    <w:rsid w:val="005117BB"/>
    <w:pPr>
      <w:numPr>
        <w:ilvl w:val="0"/>
      </w:numPr>
      <w:outlineLvl w:val="3"/>
    </w:pPr>
    <w:rPr>
      <w:sz w:val="24"/>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0935"/>
    <w:rPr>
      <w:rFonts w:ascii="Helvetica" w:hAnsi="Helvetica" w:cs="Arial"/>
      <w:color w:val="263746"/>
      <w:sz w:val="44"/>
      <w:szCs w:val="26"/>
      <w:lang w:eastAsia="en-US"/>
    </w:rPr>
  </w:style>
  <w:style w:type="character" w:customStyle="1" w:styleId="Heading2Char">
    <w:name w:val="Heading 2 Char"/>
    <w:basedOn w:val="DefaultParagraphFont"/>
    <w:link w:val="Heading2"/>
    <w:uiPriority w:val="9"/>
    <w:locked/>
    <w:rsid w:val="00100935"/>
    <w:rPr>
      <w:rFonts w:ascii="Helvetica" w:hAnsi="Helvetica" w:cs="Arial"/>
      <w:color w:val="263746"/>
      <w:sz w:val="40"/>
      <w:szCs w:val="24"/>
      <w:lang w:eastAsia="en-US"/>
    </w:rPr>
  </w:style>
  <w:style w:type="character" w:customStyle="1" w:styleId="Heading3Char">
    <w:name w:val="Heading 3 Char"/>
    <w:basedOn w:val="DefaultParagraphFont"/>
    <w:link w:val="Heading3"/>
    <w:uiPriority w:val="9"/>
    <w:locked/>
    <w:rsid w:val="005117BB"/>
    <w:rPr>
      <w:rFonts w:ascii="Helvetica" w:hAnsi="Helvetica" w:cs="Arial"/>
      <w:color w:val="0194A6"/>
      <w:sz w:val="28"/>
      <w:lang w:eastAsia="en-US"/>
    </w:rPr>
  </w:style>
  <w:style w:type="character" w:customStyle="1" w:styleId="Heading4Char">
    <w:name w:val="Heading 4 Char"/>
    <w:basedOn w:val="DefaultParagraphFont"/>
    <w:link w:val="Heading4"/>
    <w:uiPriority w:val="9"/>
    <w:locked/>
    <w:rsid w:val="005117BB"/>
    <w:rPr>
      <w:rFonts w:ascii="Helvetica" w:hAnsi="Helvetica" w:cs="Arial"/>
      <w:color w:val="0194A6"/>
      <w:sz w:val="24"/>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5117BB"/>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5117BB"/>
    <w:pPr>
      <w:tabs>
        <w:tab w:val="left" w:pos="1560"/>
        <w:tab w:val="right" w:leader="dot" w:pos="8789"/>
      </w:tabs>
      <w:ind w:left="851" w:right="814"/>
    </w:pPr>
    <w:rPr>
      <w:spacing w:val="-4"/>
    </w:rPr>
  </w:style>
  <w:style w:type="paragraph" w:styleId="TOC2">
    <w:name w:val="toc 2"/>
    <w:basedOn w:val="Normal"/>
    <w:autoRedefine/>
    <w:uiPriority w:val="39"/>
    <w:rsid w:val="00223B59"/>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5117BB"/>
    <w:pPr>
      <w:tabs>
        <w:tab w:val="center" w:pos="4153"/>
        <w:tab w:val="right" w:pos="8306"/>
      </w:tabs>
    </w:pPr>
    <w:rPr>
      <w:sz w:val="18"/>
    </w:rPr>
  </w:style>
  <w:style w:type="character" w:customStyle="1" w:styleId="FooterChar">
    <w:name w:val="Footer Char"/>
    <w:basedOn w:val="DefaultParagraphFont"/>
    <w:link w:val="Footer"/>
    <w:uiPriority w:val="99"/>
    <w:locked/>
    <w:rsid w:val="005117BB"/>
    <w:rPr>
      <w:rFonts w:ascii="Arial" w:hAnsi="Arial" w:cs="Arial"/>
      <w:sz w:val="18"/>
      <w:szCs w:val="24"/>
      <w:lang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rsid w:val="00B0742B"/>
  </w:style>
  <w:style w:type="character" w:customStyle="1" w:styleId="CommentTextChar">
    <w:name w:val="Comment Text Char"/>
    <w:basedOn w:val="DefaultParagraphFont"/>
    <w:link w:val="CommentText"/>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aliases w:val="List Paragraph1,List Paragraph11,Content descriptions,Bullet point,L,CV text,Table text,F5 List Paragraph,Dot pt,List Paragraph111,Medium Grid 1 - Accent 21,Numbered Paragraph,NFP GP Bulleted List,FooterText,numbered,Recommendation"/>
    <w:basedOn w:val="Normal"/>
    <w:link w:val="ListParagraphChar"/>
    <w:uiPriority w:val="34"/>
    <w:qFormat/>
    <w:rsid w:val="005117BB"/>
    <w:pPr>
      <w:ind w:left="720"/>
      <w:contextualSpacing/>
    </w:pPr>
  </w:style>
  <w:style w:type="paragraph" w:styleId="FootnoteText">
    <w:name w:val="footnote text"/>
    <w:basedOn w:val="Normal"/>
    <w:link w:val="FootnoteTextChar"/>
    <w:rsid w:val="007B16EE"/>
  </w:style>
  <w:style w:type="character" w:customStyle="1" w:styleId="FootnoteTextChar">
    <w:name w:val="Footnote Text Char"/>
    <w:basedOn w:val="DefaultParagraphFont"/>
    <w:link w:val="FootnoteText"/>
    <w:locked/>
    <w:rsid w:val="007B16EE"/>
    <w:rPr>
      <w:rFonts w:ascii="Arial" w:hAnsi="Arial" w:cs="Times New Roman"/>
      <w:lang w:val="x-none" w:eastAsia="en-US"/>
    </w:rPr>
  </w:style>
  <w:style w:type="character" w:styleId="FootnoteReference">
    <w:name w:val="footnote reference"/>
    <w:basedOn w:val="DefaultParagraphFont"/>
    <w:rsid w:val="007B16EE"/>
    <w:rPr>
      <w:rFonts w:cs="Times New Roman"/>
      <w:vertAlign w:val="superscript"/>
    </w:rPr>
  </w:style>
  <w:style w:type="numbering" w:customStyle="1" w:styleId="Numberletterbullets">
    <w:name w:val="Number/letter bullets"/>
    <w:pPr>
      <w:numPr>
        <w:numId w:val="6"/>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5117BB"/>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5117BB"/>
    <w:rPr>
      <w:rFonts w:ascii="Arial" w:hAnsi="Arial" w:cs="Arial"/>
      <w:sz w:val="22"/>
      <w:szCs w:val="24"/>
      <w:lang w:eastAsia="en-US"/>
    </w:rPr>
  </w:style>
  <w:style w:type="paragraph" w:customStyle="1" w:styleId="CoverReportTitle">
    <w:name w:val="Cover Report Title"/>
    <w:autoRedefine/>
    <w:rsid w:val="0092566E"/>
    <w:pPr>
      <w:framePr w:w="4820" w:wrap="around" w:vAnchor="page" w:hAnchor="text" w:x="5388" w:y="795"/>
      <w:spacing w:before="4440" w:after="2400" w:line="480" w:lineRule="auto"/>
    </w:pPr>
    <w:rPr>
      <w:rFonts w:ascii="Arial" w:eastAsiaTheme="minorHAnsi" w:hAnsi="Arial"/>
      <w:color w:val="FFFFFF" w:themeColor="background1"/>
      <w:sz w:val="60"/>
      <w:szCs w:val="22"/>
      <w:lang w:eastAsia="en-US"/>
    </w:rPr>
  </w:style>
  <w:style w:type="paragraph" w:customStyle="1" w:styleId="CoverReportSubTitle">
    <w:name w:val="Cover Report Sub Title"/>
    <w:basedOn w:val="CoverReportTitle"/>
    <w:next w:val="Normal"/>
    <w:autoRedefine/>
    <w:qFormat/>
    <w:rsid w:val="005117BB"/>
    <w:pPr>
      <w:framePr w:w="0" w:wrap="auto" w:vAnchor="margin" w:xAlign="left" w:yAlign="inline"/>
      <w:spacing w:before="113" w:after="57" w:line="400" w:lineRule="exact"/>
    </w:pPr>
    <w:rPr>
      <w:color w:val="auto"/>
      <w:sz w:val="36"/>
    </w:rPr>
  </w:style>
  <w:style w:type="paragraph" w:customStyle="1" w:styleId="Bullet">
    <w:name w:val="Bullet"/>
    <w:basedOn w:val="Normal"/>
    <w:autoRedefine/>
    <w:qFormat/>
    <w:rsid w:val="0008172C"/>
    <w:pPr>
      <w:numPr>
        <w:numId w:val="23"/>
      </w:numPr>
      <w:spacing w:after="240" w:line="240" w:lineRule="auto"/>
      <w:ind w:left="924" w:hanging="357"/>
    </w:pPr>
    <w:rPr>
      <w:rFonts w:eastAsiaTheme="minorHAnsi" w:cs="Times New Roman"/>
      <w:szCs w:val="22"/>
    </w:rPr>
  </w:style>
  <w:style w:type="paragraph" w:customStyle="1" w:styleId="Calloutbox">
    <w:name w:val="Callout box"/>
    <w:basedOn w:val="Normal"/>
    <w:next w:val="Normal"/>
    <w:link w:val="CalloutboxChar"/>
    <w:autoRedefine/>
    <w:qFormat/>
    <w:rsid w:val="00630EAE"/>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rsid w:val="00A46F23"/>
    <w:pPr>
      <w:pBdr>
        <w:top w:val="single" w:sz="48" w:space="1" w:color="BFBFBF" w:themeColor="background1" w:themeShade="BF"/>
      </w:pBdr>
      <w:shd w:val="clear" w:color="auto" w:fill="FFFFFF" w:themeFill="background1"/>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rsid w:val="00CF3B06"/>
    <w:pPr>
      <w:keepNext/>
      <w:keepLines/>
      <w:widowControl w:val="0"/>
      <w:spacing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line="560" w:lineRule="exac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630EAE"/>
    <w:rPr>
      <w:rFonts w:ascii="Arial" w:eastAsiaTheme="minorHAnsi" w:hAnsi="Arial"/>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rsid w:val="005117BB"/>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contextualSpacing/>
      <w:jc w:val="center"/>
      <w:textboxTightWrap w:val="allLines"/>
    </w:pPr>
    <w:rPr>
      <w:rFonts w:eastAsiaTheme="minorHAnsi" w:cs="Times New Roman"/>
      <w:color w:val="10C9DE"/>
      <w:spacing w:val="-10"/>
      <w:sz w:val="56"/>
      <w:szCs w:val="22"/>
    </w:rPr>
  </w:style>
  <w:style w:type="paragraph" w:customStyle="1" w:styleId="StyleCentered">
    <w:name w:val="Style Centered"/>
    <w:basedOn w:val="Normal"/>
    <w:rsid w:val="005117BB"/>
    <w:pPr>
      <w:jc w:val="center"/>
    </w:pPr>
    <w:rPr>
      <w:rFonts w:cs="Times New Roman"/>
      <w:szCs w:val="20"/>
    </w:rPr>
  </w:style>
  <w:style w:type="paragraph" w:customStyle="1" w:styleId="Coverheading">
    <w:name w:val="Cover heading"/>
    <w:basedOn w:val="Normal"/>
    <w:link w:val="CoverheadingChar"/>
    <w:qFormat/>
    <w:rsid w:val="004B6A63"/>
    <w:pPr>
      <w:spacing w:before="4440" w:after="2400" w:line="480" w:lineRule="auto"/>
    </w:pPr>
    <w:rPr>
      <w:rFonts w:ascii="Helvetica" w:eastAsiaTheme="minorHAnsi" w:hAnsi="Helvetica" w:cs="Times New Roman"/>
      <w:color w:val="263746"/>
      <w:sz w:val="60"/>
      <w:szCs w:val="22"/>
    </w:rPr>
  </w:style>
  <w:style w:type="character" w:customStyle="1" w:styleId="CoverheadingChar">
    <w:name w:val="Cover heading Char"/>
    <w:basedOn w:val="DefaultParagraphFont"/>
    <w:link w:val="Coverheading"/>
    <w:rsid w:val="004B6A63"/>
    <w:rPr>
      <w:rFonts w:ascii="Helvetica" w:eastAsiaTheme="minorHAnsi" w:hAnsi="Helvetica"/>
      <w:color w:val="263746"/>
      <w:sz w:val="60"/>
      <w:szCs w:val="22"/>
      <w:lang w:eastAsia="en-US"/>
    </w:rPr>
  </w:style>
  <w:style w:type="paragraph" w:customStyle="1" w:styleId="CalloutItalic">
    <w:name w:val="Callout Italic"/>
    <w:basedOn w:val="Calloutbox"/>
    <w:link w:val="CalloutItalicChar"/>
    <w:qFormat/>
    <w:rsid w:val="00795BEF"/>
    <w:pPr>
      <w:contextualSpacing w:val="0"/>
    </w:pPr>
    <w:rPr>
      <w:i/>
    </w:rPr>
  </w:style>
  <w:style w:type="character" w:customStyle="1" w:styleId="CalloutItalicChar">
    <w:name w:val="Callout Italic Char"/>
    <w:basedOn w:val="CalloutboxChar"/>
    <w:link w:val="CalloutItalic"/>
    <w:rsid w:val="00795BEF"/>
    <w:rPr>
      <w:rFonts w:ascii="Arial" w:eastAsiaTheme="minorHAnsi" w:hAnsi="Arial"/>
      <w:i/>
      <w:sz w:val="22"/>
      <w:szCs w:val="22"/>
      <w:shd w:val="clear" w:color="auto" w:fill="DDDDDD"/>
      <w:lang w:eastAsia="en-US"/>
    </w:rPr>
  </w:style>
  <w:style w:type="paragraph" w:customStyle="1" w:styleId="CalloutBullet">
    <w:name w:val="Callout Bullet"/>
    <w:basedOn w:val="CalloutItalic"/>
    <w:link w:val="CalloutBulletChar"/>
    <w:qFormat/>
    <w:rsid w:val="00795BEF"/>
    <w:pPr>
      <w:numPr>
        <w:numId w:val="43"/>
      </w:numPr>
      <w:ind w:left="567" w:hanging="283"/>
    </w:pPr>
    <w:rPr>
      <w:i w:val="0"/>
    </w:rPr>
  </w:style>
  <w:style w:type="character" w:customStyle="1" w:styleId="CalloutBulletChar">
    <w:name w:val="Callout Bullet Char"/>
    <w:basedOn w:val="CalloutItalicChar"/>
    <w:link w:val="CalloutBullet"/>
    <w:rsid w:val="00795BEF"/>
    <w:rPr>
      <w:rFonts w:ascii="Arial" w:eastAsiaTheme="minorHAnsi" w:hAnsi="Arial"/>
      <w:i w:val="0"/>
      <w:sz w:val="22"/>
      <w:szCs w:val="22"/>
      <w:shd w:val="clear" w:color="auto" w:fill="DDDDDD"/>
      <w:lang w:eastAsia="en-US"/>
    </w:rPr>
  </w:style>
  <w:style w:type="paragraph" w:customStyle="1" w:styleId="Default">
    <w:name w:val="Default"/>
    <w:rsid w:val="005C3722"/>
    <w:pPr>
      <w:autoSpaceDE w:val="0"/>
      <w:autoSpaceDN w:val="0"/>
      <w:adjustRightInd w:val="0"/>
    </w:pPr>
    <w:rPr>
      <w:rFonts w:ascii="Arial" w:hAnsi="Arial" w:cs="Arial"/>
      <w:color w:val="000000"/>
      <w:sz w:val="24"/>
      <w:szCs w:val="24"/>
    </w:rPr>
  </w:style>
  <w:style w:type="character" w:customStyle="1" w:styleId="ListParagraphChar">
    <w:name w:val="List Paragraph Char"/>
    <w:aliases w:val="List Paragraph1 Char,List Paragraph11 Char,Content descriptions Char,Bullet point Char,L Char,CV text Char,Table text Char,F5 List Paragraph Char,Dot pt Char,List Paragraph111 Char,Medium Grid 1 - Accent 21 Char,FooterText Char"/>
    <w:basedOn w:val="DefaultParagraphFont"/>
    <w:link w:val="ListParagraph"/>
    <w:uiPriority w:val="34"/>
    <w:locked/>
    <w:rsid w:val="00C62FE9"/>
    <w:rPr>
      <w:rFonts w:ascii="Arial" w:hAnsi="Arial" w:cs="Arial"/>
      <w:sz w:val="22"/>
      <w:szCs w:val="24"/>
      <w:lang w:eastAsia="en-US"/>
    </w:rPr>
  </w:style>
  <w:style w:type="paragraph" w:styleId="Revision">
    <w:name w:val="Revision"/>
    <w:hidden/>
    <w:uiPriority w:val="99"/>
    <w:semiHidden/>
    <w:rsid w:val="00CC151C"/>
    <w:rPr>
      <w:rFonts w:ascii="Arial" w:hAnsi="Arial" w:cs="Arial"/>
      <w:sz w:val="22"/>
      <w:szCs w:val="24"/>
      <w:lang w:eastAsia="en-US"/>
    </w:rPr>
  </w:style>
  <w:style w:type="paragraph" w:customStyle="1" w:styleId="Calloutbox2">
    <w:name w:val="Callout box 2"/>
    <w:basedOn w:val="Calloutbox"/>
    <w:link w:val="Calloutbox2Char"/>
    <w:qFormat/>
    <w:rsid w:val="002D458F"/>
    <w:pPr>
      <w:pBdr>
        <w:top w:val="single" w:sz="48" w:space="3" w:color="33C1D7"/>
        <w:left w:val="single" w:sz="48" w:space="8" w:color="33C1D7"/>
        <w:bottom w:val="single" w:sz="48" w:space="6" w:color="33C1D7"/>
        <w:right w:val="single" w:sz="48" w:space="8" w:color="33C1D7"/>
      </w:pBdr>
      <w:shd w:val="clear" w:color="auto" w:fill="auto"/>
      <w:spacing w:after="120" w:line="360" w:lineRule="auto"/>
    </w:pPr>
    <w:rPr>
      <w:rFonts w:ascii="Helvetica" w:hAnsi="Helvetica"/>
    </w:rPr>
  </w:style>
  <w:style w:type="paragraph" w:customStyle="1" w:styleId="Calloutbox2bold">
    <w:name w:val="Callout box 2 bold"/>
    <w:basedOn w:val="Calloutbox2"/>
    <w:qFormat/>
    <w:rsid w:val="002D458F"/>
    <w:pPr>
      <w:spacing w:after="240"/>
    </w:pPr>
  </w:style>
  <w:style w:type="character" w:customStyle="1" w:styleId="Calloutbox2Char">
    <w:name w:val="Callout box 2 Char"/>
    <w:basedOn w:val="CalloutboxChar"/>
    <w:link w:val="Calloutbox2"/>
    <w:rsid w:val="002D458F"/>
    <w:rPr>
      <w:rFonts w:ascii="Helvetica" w:eastAsiaTheme="minorHAnsi" w:hAnsi="Helvetica"/>
      <w:sz w:val="22"/>
      <w:szCs w:val="22"/>
      <w:shd w:val="clear" w:color="auto" w:fill="DDDDDD"/>
      <w:lang w:eastAsia="en-US"/>
    </w:rPr>
  </w:style>
  <w:style w:type="paragraph" w:customStyle="1" w:styleId="Footnotes">
    <w:name w:val="Footnotes"/>
    <w:basedOn w:val="FootnoteText"/>
    <w:link w:val="FootnotesChar"/>
    <w:qFormat/>
    <w:rsid w:val="002D458F"/>
    <w:pPr>
      <w:spacing w:line="240" w:lineRule="auto"/>
    </w:pPr>
    <w:rPr>
      <w:rFonts w:eastAsiaTheme="minorEastAsia"/>
      <w:sz w:val="18"/>
      <w:szCs w:val="18"/>
    </w:rPr>
  </w:style>
  <w:style w:type="character" w:styleId="FollowedHyperlink">
    <w:name w:val="FollowedHyperlink"/>
    <w:basedOn w:val="DefaultParagraphFont"/>
    <w:semiHidden/>
    <w:unhideWhenUsed/>
    <w:rsid w:val="0080244F"/>
    <w:rPr>
      <w:color w:val="800080" w:themeColor="followedHyperlink"/>
      <w:u w:val="single"/>
    </w:rPr>
  </w:style>
  <w:style w:type="character" w:customStyle="1" w:styleId="FootnotesChar">
    <w:name w:val="Footnotes Char"/>
    <w:basedOn w:val="FootnoteTextChar"/>
    <w:link w:val="Footnotes"/>
    <w:rsid w:val="002D458F"/>
    <w:rPr>
      <w:rFonts w:ascii="Arial" w:eastAsiaTheme="minorEastAsia" w:hAnsi="Arial" w:cs="Arial"/>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65926">
      <w:bodyDiv w:val="1"/>
      <w:marLeft w:val="0"/>
      <w:marRight w:val="0"/>
      <w:marTop w:val="0"/>
      <w:marBottom w:val="0"/>
      <w:divBdr>
        <w:top w:val="none" w:sz="0" w:space="0" w:color="auto"/>
        <w:left w:val="none" w:sz="0" w:space="0" w:color="auto"/>
        <w:bottom w:val="none" w:sz="0" w:space="0" w:color="auto"/>
        <w:right w:val="none" w:sz="0" w:space="0" w:color="auto"/>
      </w:divBdr>
    </w:div>
    <w:div w:id="676736948">
      <w:bodyDiv w:val="1"/>
      <w:marLeft w:val="0"/>
      <w:marRight w:val="0"/>
      <w:marTop w:val="0"/>
      <w:marBottom w:val="0"/>
      <w:divBdr>
        <w:top w:val="none" w:sz="0" w:space="0" w:color="auto"/>
        <w:left w:val="none" w:sz="0" w:space="0" w:color="auto"/>
        <w:bottom w:val="none" w:sz="0" w:space="0" w:color="auto"/>
        <w:right w:val="none" w:sz="0" w:space="0" w:color="auto"/>
      </w:divBdr>
    </w:div>
    <w:div w:id="869101555">
      <w:bodyDiv w:val="1"/>
      <w:marLeft w:val="0"/>
      <w:marRight w:val="0"/>
      <w:marTop w:val="0"/>
      <w:marBottom w:val="0"/>
      <w:divBdr>
        <w:top w:val="none" w:sz="0" w:space="0" w:color="auto"/>
        <w:left w:val="none" w:sz="0" w:space="0" w:color="auto"/>
        <w:bottom w:val="none" w:sz="0" w:space="0" w:color="auto"/>
        <w:right w:val="none" w:sz="0" w:space="0" w:color="auto"/>
      </w:divBdr>
    </w:div>
    <w:div w:id="1268082911">
      <w:bodyDiv w:val="1"/>
      <w:marLeft w:val="0"/>
      <w:marRight w:val="0"/>
      <w:marTop w:val="0"/>
      <w:marBottom w:val="0"/>
      <w:divBdr>
        <w:top w:val="none" w:sz="0" w:space="0" w:color="auto"/>
        <w:left w:val="none" w:sz="0" w:space="0" w:color="auto"/>
        <w:bottom w:val="none" w:sz="0" w:space="0" w:color="auto"/>
        <w:right w:val="none" w:sz="0" w:space="0" w:color="auto"/>
      </w:divBdr>
      <w:divsChild>
        <w:div w:id="1490707288">
          <w:marLeft w:val="0"/>
          <w:marRight w:val="0"/>
          <w:marTop w:val="0"/>
          <w:marBottom w:val="0"/>
          <w:divBdr>
            <w:top w:val="none" w:sz="0" w:space="0" w:color="auto"/>
            <w:left w:val="none" w:sz="0" w:space="0" w:color="auto"/>
            <w:bottom w:val="none" w:sz="0" w:space="0" w:color="auto"/>
            <w:right w:val="none" w:sz="0" w:space="0" w:color="auto"/>
          </w:divBdr>
          <w:divsChild>
            <w:div w:id="2100447236">
              <w:marLeft w:val="0"/>
              <w:marRight w:val="0"/>
              <w:marTop w:val="0"/>
              <w:marBottom w:val="0"/>
              <w:divBdr>
                <w:top w:val="single" w:sz="6" w:space="0" w:color="CCCCCC"/>
                <w:left w:val="none" w:sz="0" w:space="0" w:color="auto"/>
                <w:bottom w:val="single" w:sz="6" w:space="0" w:color="FFFFFF"/>
                <w:right w:val="none" w:sz="0" w:space="0" w:color="auto"/>
              </w:divBdr>
              <w:divsChild>
                <w:div w:id="466893267">
                  <w:marLeft w:val="0"/>
                  <w:marRight w:val="0"/>
                  <w:marTop w:val="100"/>
                  <w:marBottom w:val="100"/>
                  <w:divBdr>
                    <w:top w:val="none" w:sz="0" w:space="0" w:color="auto"/>
                    <w:left w:val="none" w:sz="0" w:space="0" w:color="auto"/>
                    <w:bottom w:val="none" w:sz="0" w:space="0" w:color="auto"/>
                    <w:right w:val="none" w:sz="0" w:space="0" w:color="auto"/>
                  </w:divBdr>
                  <w:divsChild>
                    <w:div w:id="45367071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11236">
      <w:bodyDiv w:val="1"/>
      <w:marLeft w:val="0"/>
      <w:marRight w:val="0"/>
      <w:marTop w:val="0"/>
      <w:marBottom w:val="0"/>
      <w:divBdr>
        <w:top w:val="none" w:sz="0" w:space="0" w:color="auto"/>
        <w:left w:val="none" w:sz="0" w:space="0" w:color="auto"/>
        <w:bottom w:val="none" w:sz="0" w:space="0" w:color="auto"/>
        <w:right w:val="none" w:sz="0" w:space="0" w:color="auto"/>
      </w:divBdr>
      <w:divsChild>
        <w:div w:id="1299217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irwork.gov.au/About-us/Our-vision/strategic-inte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tipoff" TargetMode="External"/><Relationship Id="rId5" Type="http://schemas.openxmlformats.org/officeDocument/2006/relationships/webSettings" Target="webSettings.xml"/><Relationship Id="rId15" Type="http://schemas.openxmlformats.org/officeDocument/2006/relationships/hyperlink" Target="mailto:lynda.mcalary-smith@fwo.gov.au"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irwork.gov.au/about-us/our-vision/compliance-and-enforcement-polic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airwork.gov.au/about-us/news-and-media-releases/2017-media-releases/august-2017/20170801-tokyo-sushi-litigations" TargetMode="External"/><Relationship Id="rId3" Type="http://schemas.openxmlformats.org/officeDocument/2006/relationships/hyperlink" Target="https://www.fairwork.gov.au/about-us/our-vision/compliance-and-enforcement-policy" TargetMode="External"/><Relationship Id="rId7" Type="http://schemas.openxmlformats.org/officeDocument/2006/relationships/hyperlink" Target="https://www.fairwork.gov.au/about-us/news-and-media-releases/2018-media-releases/may-2018/20180503-chang-litigation" TargetMode="External"/><Relationship Id="rId2" Type="http://schemas.openxmlformats.org/officeDocument/2006/relationships/hyperlink" Target="https://www.fairwork.gov.au/about-us/news-and-media-releases/2017-media-releases/may-2017/20170529-kang-penalties-mr" TargetMode="External"/><Relationship Id="rId1" Type="http://schemas.openxmlformats.org/officeDocument/2006/relationships/hyperlink" Target="http://www.roymorgan.com/findings/5877-land-of-rising-sushi-falling-spring-roll-201410212259" TargetMode="External"/><Relationship Id="rId6" Type="http://schemas.openxmlformats.org/officeDocument/2006/relationships/hyperlink" Target="https://www.fairwork.gov.au/about-us/news-and-media-releases/2017-media-releases/february-2017/20170216-kang-litigations-mr" TargetMode="External"/><Relationship Id="rId5" Type="http://schemas.openxmlformats.org/officeDocument/2006/relationships/hyperlink" Target="https://www.fairwork.gov.au/about-us/news-and-media-releases/2017-media-releases/may-2017/20170529-kang-penalties-mr" TargetMode="External"/><Relationship Id="rId10" Type="http://schemas.openxmlformats.org/officeDocument/2006/relationships/hyperlink" Target="https://www.fairwork.gov.au/about-us/news-and-media-releases/2018-media-releases/may-2018/20180503-chang-litigation" TargetMode="External"/><Relationship Id="rId4" Type="http://schemas.openxmlformats.org/officeDocument/2006/relationships/hyperlink" Target="https://www.fairwork.gov.au/about-us/our-role/enforcing-the-legislation/enforceable-undertakings/2016-2017-enforceable-undertakings" TargetMode="External"/><Relationship Id="rId9" Type="http://schemas.openxmlformats.org/officeDocument/2006/relationships/hyperlink" Target="https://www.fairwork.gov.au/about-us/news-and-media-releases/2017-media-releases/august-2017/20170801-tokyo-sushi-litigat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7456C-5465-43F3-9D9F-F5232917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2986C8E1.dotm</Template>
  <TotalTime>0</TotalTime>
  <Pages>17</Pages>
  <Words>3248</Words>
  <Characters>18006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2018-10-08T04:23:00Z</dcterms:created>
  <dcterms:modified xsi:type="dcterms:W3CDTF">2018-10-08T23:19:00Z</dcterms:modified>
</cp:coreProperties>
</file>