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F849" w14:textId="16E28691" w:rsidR="006059E9" w:rsidRDefault="009F5913" w:rsidP="002A65CC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A062013" wp14:editId="2F3E5F62">
            <wp:simplePos x="0" y="0"/>
            <wp:positionH relativeFrom="column">
              <wp:posOffset>-822960</wp:posOffset>
            </wp:positionH>
            <wp:positionV relativeFrom="paragraph">
              <wp:posOffset>-946150</wp:posOffset>
            </wp:positionV>
            <wp:extent cx="7553942" cy="10685173"/>
            <wp:effectExtent l="0" t="0" r="9525" b="190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mmi-chicken-info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42" cy="1068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D5592" w14:textId="32ECFDF1" w:rsidR="007B043E" w:rsidRDefault="006059E9" w:rsidP="002A65CC">
      <w:r>
        <w:rPr>
          <w:noProof/>
          <w:lang w:eastAsia="en-AU"/>
        </w:rPr>
        <w:t>[infographic]</w:t>
      </w:r>
    </w:p>
    <w:p w14:paraId="01DCB50E" w14:textId="693882B9" w:rsidR="00174429" w:rsidRDefault="00174429" w:rsidP="002A65CC"/>
    <w:p w14:paraId="517F4337" w14:textId="77777777" w:rsidR="003C36DA" w:rsidRDefault="003C36DA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03B4A77E" w14:textId="32B33D84" w:rsidR="00F44A2D" w:rsidRPr="00F44A2D" w:rsidRDefault="006C2ACA" w:rsidP="00F44A2D">
      <w:pPr>
        <w:pStyle w:val="Heading1"/>
      </w:pPr>
      <w:r>
        <w:lastRenderedPageBreak/>
        <w:t>Gami Chicken &amp; Beer</w:t>
      </w:r>
    </w:p>
    <w:p w14:paraId="15C3D2D5" w14:textId="77777777" w:rsidR="00AF74D9" w:rsidRDefault="005D5A92" w:rsidP="00F44A2D">
      <w:pPr>
        <w:pStyle w:val="Heading2"/>
      </w:pPr>
      <w:r>
        <w:t>What we did and why</w:t>
      </w:r>
    </w:p>
    <w:p w14:paraId="4F5843F6" w14:textId="3545E9EA" w:rsidR="004C5E68" w:rsidRDefault="00F05BFA" w:rsidP="008206A7">
      <w:r>
        <w:t xml:space="preserve">Gami Chicken &amp; Beer </w:t>
      </w:r>
      <w:r w:rsidR="00AD6209">
        <w:t>is a</w:t>
      </w:r>
      <w:r w:rsidR="008206A7">
        <w:t xml:space="preserve"> chain</w:t>
      </w:r>
      <w:r w:rsidR="00AD6209">
        <w:t xml:space="preserve"> </w:t>
      </w:r>
      <w:r w:rsidR="008206A7">
        <w:t xml:space="preserve">of </w:t>
      </w:r>
      <w:r w:rsidR="00AD6209">
        <w:t xml:space="preserve">fried chicken </w:t>
      </w:r>
      <w:r w:rsidR="008206A7">
        <w:t>outlets</w:t>
      </w:r>
      <w:r w:rsidR="00AD6209">
        <w:t xml:space="preserve"> </w:t>
      </w:r>
      <w:r w:rsidR="008206A7">
        <w:t xml:space="preserve">that was </w:t>
      </w:r>
      <w:r w:rsidR="00AD6209">
        <w:t>establish</w:t>
      </w:r>
      <w:r w:rsidR="00BA6DB6">
        <w:t>ed</w:t>
      </w:r>
      <w:r w:rsidR="00AD6209">
        <w:t xml:space="preserve"> in Australia in 2006</w:t>
      </w:r>
      <w:r>
        <w:t xml:space="preserve">. There are </w:t>
      </w:r>
      <w:r w:rsidR="00AD6209">
        <w:t xml:space="preserve">currently 26 </w:t>
      </w:r>
      <w:r>
        <w:t xml:space="preserve">outlets across </w:t>
      </w:r>
      <w:r w:rsidR="00AD6209">
        <w:t xml:space="preserve">Australia, </w:t>
      </w:r>
      <w:r w:rsidR="008206A7">
        <w:t xml:space="preserve">mostly </w:t>
      </w:r>
      <w:r w:rsidR="00AD6209">
        <w:t>in Victoria</w:t>
      </w:r>
      <w:r w:rsidR="00F96D64">
        <w:t xml:space="preserve"> (Vic)</w:t>
      </w:r>
      <w:r w:rsidR="00AD6209">
        <w:t xml:space="preserve">, New South Wales </w:t>
      </w:r>
      <w:r w:rsidR="00F96D64">
        <w:t xml:space="preserve">(NSW) </w:t>
      </w:r>
      <w:r w:rsidR="00AD6209">
        <w:t>and Western Australia</w:t>
      </w:r>
      <w:r w:rsidR="00F96D64">
        <w:t xml:space="preserve"> (WA)</w:t>
      </w:r>
      <w:r w:rsidR="00AD6209">
        <w:t>.</w:t>
      </w:r>
      <w:r>
        <w:t xml:space="preserve"> </w:t>
      </w:r>
      <w:r w:rsidR="00AD6209">
        <w:t xml:space="preserve">The majority of </w:t>
      </w:r>
      <w:r w:rsidR="008206A7">
        <w:t>stores are franchises</w:t>
      </w:r>
      <w:r w:rsidR="0021732F">
        <w:t xml:space="preserve"> (six of the 19 stores audited were found to be operated by the franchisor)</w:t>
      </w:r>
      <w:r w:rsidR="008206A7">
        <w:t>.</w:t>
      </w:r>
    </w:p>
    <w:p w14:paraId="13770AC9" w14:textId="1FD98B7D" w:rsidR="00F05BFA" w:rsidRDefault="00BB4EB3" w:rsidP="008206A7">
      <w:r>
        <w:t xml:space="preserve">The Fair Work Ombudsman (FWO) </w:t>
      </w:r>
      <w:r w:rsidR="008206A7">
        <w:t>began</w:t>
      </w:r>
      <w:r>
        <w:t xml:space="preserve"> investigating </w:t>
      </w:r>
      <w:r w:rsidR="008206A7">
        <w:t xml:space="preserve">the </w:t>
      </w:r>
      <w:r w:rsidR="00AD6209">
        <w:t>Gami Chicken &amp; Beer</w:t>
      </w:r>
      <w:r w:rsidR="00F05BFA">
        <w:t xml:space="preserve"> franchise network in </w:t>
      </w:r>
      <w:r w:rsidR="00AD6209">
        <w:t>April 2019</w:t>
      </w:r>
      <w:r w:rsidR="008206A7">
        <w:t xml:space="preserve"> after </w:t>
      </w:r>
      <w:r w:rsidR="00F05BFA">
        <w:t>a large number of enquiries, anonymous reports and requests for assist</w:t>
      </w:r>
      <w:r w:rsidR="004C5E68">
        <w:t>ance</w:t>
      </w:r>
      <w:r w:rsidR="00F05BFA">
        <w:t xml:space="preserve">. </w:t>
      </w:r>
      <w:r w:rsidR="008206A7">
        <w:t xml:space="preserve">Many were from </w:t>
      </w:r>
      <w:r w:rsidR="002A0AAA">
        <w:t>young and/or migrant workers</w:t>
      </w:r>
      <w:r w:rsidR="008206A7">
        <w:t xml:space="preserve"> who we know are particularly </w:t>
      </w:r>
      <w:r w:rsidR="002A0AAA">
        <w:t xml:space="preserve">vulnerable to </w:t>
      </w:r>
      <w:r w:rsidR="008206A7">
        <w:t xml:space="preserve">exploitation. This </w:t>
      </w:r>
      <w:r w:rsidR="00AB6E3D">
        <w:t xml:space="preserve">can be </w:t>
      </w:r>
      <w:r w:rsidR="008206A7">
        <w:t xml:space="preserve">because they often </w:t>
      </w:r>
      <w:r w:rsidR="002A0AAA">
        <w:t>lack awareness or unde</w:t>
      </w:r>
      <w:r w:rsidR="008206A7">
        <w:t>rstanding about their entitlements or are unwilling</w:t>
      </w:r>
      <w:r w:rsidR="002A0AAA">
        <w:t xml:space="preserve"> to raise concerns with their employer or the FWO.</w:t>
      </w:r>
    </w:p>
    <w:p w14:paraId="7077A46E" w14:textId="387B69E5" w:rsidR="00F05BFA" w:rsidRDefault="00F05BFA" w:rsidP="008206A7">
      <w:r>
        <w:t>Common allegations</w:t>
      </w:r>
      <w:r w:rsidR="008206A7">
        <w:t xml:space="preserve"> included:</w:t>
      </w:r>
    </w:p>
    <w:p w14:paraId="126F58FC" w14:textId="550CF90E" w:rsidR="00F05BFA" w:rsidRPr="00AD6209" w:rsidRDefault="00F05BFA" w:rsidP="00F96D64">
      <w:pPr>
        <w:pStyle w:val="Bullet"/>
      </w:pPr>
      <w:r w:rsidRPr="00AD6209">
        <w:t xml:space="preserve">underpayment of the base hourly rate of pay under the </w:t>
      </w:r>
      <w:r w:rsidR="00F96D64" w:rsidRPr="00F96D64">
        <w:rPr>
          <w:i/>
        </w:rPr>
        <w:t>Restaurant Industry Award 2010</w:t>
      </w:r>
      <w:r w:rsidR="00F96D64" w:rsidRPr="00F96D64">
        <w:t xml:space="preserve"> (the Award)</w:t>
      </w:r>
      <w:r w:rsidRPr="00AD6209">
        <w:t xml:space="preserve"> </w:t>
      </w:r>
    </w:p>
    <w:p w14:paraId="4F29F96E" w14:textId="76F00BA9" w:rsidR="00AD6209" w:rsidRDefault="00F05BFA" w:rsidP="00F96D64">
      <w:pPr>
        <w:pStyle w:val="Bullet"/>
      </w:pPr>
      <w:r w:rsidRPr="00AD6209">
        <w:t xml:space="preserve">non-payment of weekend penalty rates </w:t>
      </w:r>
    </w:p>
    <w:p w14:paraId="04946647" w14:textId="62243F79" w:rsidR="00F05BFA" w:rsidRDefault="004C5E68" w:rsidP="00F96D64">
      <w:pPr>
        <w:pStyle w:val="Bullet"/>
      </w:pPr>
      <w:r>
        <w:t>non-payment of overtime</w:t>
      </w:r>
    </w:p>
    <w:p w14:paraId="18FF6639" w14:textId="25D79E92" w:rsidR="002A0AAA" w:rsidRPr="002A0AAA" w:rsidRDefault="004C5E68" w:rsidP="00F96D64">
      <w:pPr>
        <w:pStyle w:val="Bullet"/>
      </w:pPr>
      <w:r>
        <w:t xml:space="preserve">non-payment for ordinary </w:t>
      </w:r>
      <w:r w:rsidR="002A0AAA">
        <w:t>hours worked</w:t>
      </w:r>
      <w:r w:rsidR="008206A7">
        <w:t>.</w:t>
      </w:r>
    </w:p>
    <w:p w14:paraId="1A3FC0EA" w14:textId="3BF472C7" w:rsidR="00F96D64" w:rsidRDefault="008206A7" w:rsidP="00F96D64">
      <w:pPr>
        <w:rPr>
          <w:rFonts w:cstheme="minorHAnsi"/>
        </w:rPr>
      </w:pPr>
      <w:r>
        <w:t xml:space="preserve">Gami Chicken &amp; Beer expanded rapidly </w:t>
      </w:r>
      <w:r w:rsidR="002D54E7">
        <w:t xml:space="preserve">in 2018-19 </w:t>
      </w:r>
      <w:r w:rsidR="004C5E68">
        <w:t xml:space="preserve">and media reports suggested the network was planning to significantly increase outlet numbers by 2020. </w:t>
      </w:r>
      <w:r w:rsidR="00F96D64">
        <w:t xml:space="preserve">The FWO was concerned </w:t>
      </w:r>
      <w:r w:rsidR="00AB6E3D">
        <w:t xml:space="preserve">that this could lead to an </w:t>
      </w:r>
      <w:r w:rsidR="004C5E68">
        <w:rPr>
          <w:rFonts w:cstheme="minorHAnsi"/>
        </w:rPr>
        <w:t>increased</w:t>
      </w:r>
      <w:r w:rsidR="004C5E68" w:rsidRPr="00E06F63">
        <w:rPr>
          <w:rFonts w:cstheme="minorHAnsi"/>
        </w:rPr>
        <w:t xml:space="preserve"> risk of non-compliance</w:t>
      </w:r>
      <w:r w:rsidR="00AB6E3D">
        <w:rPr>
          <w:rFonts w:cstheme="minorHAnsi"/>
        </w:rPr>
        <w:t xml:space="preserve"> with workplace laws</w:t>
      </w:r>
      <w:r w:rsidR="00F96D64">
        <w:rPr>
          <w:rFonts w:cstheme="minorHAnsi"/>
        </w:rPr>
        <w:t>.</w:t>
      </w:r>
    </w:p>
    <w:p w14:paraId="28F8E8BA" w14:textId="1932D80F" w:rsidR="00F96D64" w:rsidRDefault="00F96D64" w:rsidP="00F96D64">
      <w:r>
        <w:rPr>
          <w:rFonts w:cstheme="minorHAnsi"/>
        </w:rPr>
        <w:t>O</w:t>
      </w:r>
      <w:r w:rsidR="00F05BFA">
        <w:t xml:space="preserve">n 11-12 </w:t>
      </w:r>
      <w:r w:rsidR="004C5E68">
        <w:t>April</w:t>
      </w:r>
      <w:r w:rsidR="00F05BFA">
        <w:t xml:space="preserve"> 201</w:t>
      </w:r>
      <w:r w:rsidR="004C5E68">
        <w:t>9</w:t>
      </w:r>
      <w:r w:rsidR="00BB4EB3">
        <w:t xml:space="preserve">, teams of Fair Work Inspectors </w:t>
      </w:r>
      <w:r>
        <w:t xml:space="preserve">made </w:t>
      </w:r>
      <w:r w:rsidR="00F05BFA">
        <w:t xml:space="preserve">unannounced visits to </w:t>
      </w:r>
      <w:r w:rsidR="004C5E68">
        <w:t>19</w:t>
      </w:r>
      <w:r w:rsidR="00F05BFA">
        <w:t xml:space="preserve"> </w:t>
      </w:r>
      <w:r w:rsidR="004C5E68">
        <w:t>Gami Chicken &amp; Beer</w:t>
      </w:r>
      <w:r w:rsidR="00F05BFA">
        <w:t xml:space="preserve"> </w:t>
      </w:r>
      <w:r w:rsidR="000400E3">
        <w:t xml:space="preserve">outlets </w:t>
      </w:r>
      <w:r w:rsidR="00F05BFA">
        <w:t xml:space="preserve">in </w:t>
      </w:r>
      <w:r w:rsidR="004C5E68">
        <w:t>Vic</w:t>
      </w:r>
      <w:r w:rsidR="00F05BFA">
        <w:t xml:space="preserve">, </w:t>
      </w:r>
      <w:r>
        <w:t xml:space="preserve">NSW </w:t>
      </w:r>
      <w:r w:rsidR="00F05BFA">
        <w:t xml:space="preserve">and </w:t>
      </w:r>
      <w:r>
        <w:t>WA. They:</w:t>
      </w:r>
    </w:p>
    <w:p w14:paraId="53C1EC62" w14:textId="77777777" w:rsidR="00F96D64" w:rsidRDefault="008D2E81" w:rsidP="00F96D64">
      <w:pPr>
        <w:pStyle w:val="Bullet"/>
      </w:pPr>
      <w:r>
        <w:t>spoke to employees</w:t>
      </w:r>
      <w:r w:rsidR="00F96D64">
        <w:t>, managers and owners</w:t>
      </w:r>
    </w:p>
    <w:p w14:paraId="4A2730F4" w14:textId="77777777" w:rsidR="00F96D64" w:rsidRDefault="008D2E81" w:rsidP="00F96D64">
      <w:pPr>
        <w:pStyle w:val="Bullet"/>
      </w:pPr>
      <w:r>
        <w:t>checked empl</w:t>
      </w:r>
      <w:r w:rsidR="00F96D64">
        <w:t>oyment records available onsite</w:t>
      </w:r>
    </w:p>
    <w:p w14:paraId="63817C80" w14:textId="77777777" w:rsidR="00F96D64" w:rsidRDefault="002A0AAA" w:rsidP="008206A7">
      <w:pPr>
        <w:pStyle w:val="Bullet"/>
      </w:pPr>
      <w:r>
        <w:t xml:space="preserve">questioned </w:t>
      </w:r>
      <w:r w:rsidR="00F96D64">
        <w:t xml:space="preserve">employers </w:t>
      </w:r>
      <w:r>
        <w:t>about interactions with</w:t>
      </w:r>
      <w:r w:rsidR="00BB4EB3">
        <w:t xml:space="preserve"> the</w:t>
      </w:r>
      <w:r>
        <w:t xml:space="preserve"> franchisor, including the training or direction provided on workplace</w:t>
      </w:r>
      <w:r w:rsidR="00F96D64">
        <w:t xml:space="preserve"> relations laws and regulations</w:t>
      </w:r>
    </w:p>
    <w:p w14:paraId="0E5F0BD9" w14:textId="4ECFCB6F" w:rsidR="00F96D64" w:rsidRDefault="00130820" w:rsidP="008206A7">
      <w:pPr>
        <w:pStyle w:val="Bullet"/>
      </w:pPr>
      <w:r w:rsidRPr="00783A7C">
        <w:t xml:space="preserve">assessed </w:t>
      </w:r>
      <w:r w:rsidR="00962608">
        <w:t xml:space="preserve">employment </w:t>
      </w:r>
      <w:r w:rsidRPr="00783A7C">
        <w:t xml:space="preserve">records against the </w:t>
      </w:r>
      <w:r w:rsidRPr="00F96D64">
        <w:rPr>
          <w:i/>
        </w:rPr>
        <w:t>Fair Work Act 2009</w:t>
      </w:r>
      <w:r w:rsidRPr="00783A7C">
        <w:t xml:space="preserve"> (the Act), the </w:t>
      </w:r>
      <w:r w:rsidRPr="00F96D64">
        <w:rPr>
          <w:i/>
        </w:rPr>
        <w:t>Fair Work Regulations 2009</w:t>
      </w:r>
      <w:r w:rsidRPr="00783A7C">
        <w:t xml:space="preserve"> </w:t>
      </w:r>
      <w:r>
        <w:t xml:space="preserve">and </w:t>
      </w:r>
      <w:r w:rsidR="00F96D64" w:rsidRPr="00F96D64">
        <w:t>the Award</w:t>
      </w:r>
    </w:p>
    <w:p w14:paraId="5079BF7F" w14:textId="0DA5C1BF" w:rsidR="00130820" w:rsidRDefault="00F96D64" w:rsidP="008206A7">
      <w:pPr>
        <w:pStyle w:val="Bullet"/>
      </w:pPr>
      <w:r>
        <w:t>provided e</w:t>
      </w:r>
      <w:r w:rsidR="00130820">
        <w:t>ducation</w:t>
      </w:r>
      <w:r w:rsidR="00AB6E3D">
        <w:t>al</w:t>
      </w:r>
      <w:r w:rsidR="00130820">
        <w:t xml:space="preserve"> resources to assist with compliance.</w:t>
      </w:r>
    </w:p>
    <w:p w14:paraId="76495B03" w14:textId="77777777" w:rsidR="003E5415" w:rsidRDefault="003E5415">
      <w:pPr>
        <w:spacing w:after="0" w:line="240" w:lineRule="auto"/>
        <w:rPr>
          <w:b/>
          <w:color w:val="1B365D"/>
          <w:sz w:val="32"/>
        </w:rPr>
      </w:pPr>
      <w:r>
        <w:br w:type="page"/>
      </w:r>
    </w:p>
    <w:p w14:paraId="1FA0EDEE" w14:textId="6B3F4BBC" w:rsidR="00F94C5E" w:rsidRDefault="00F94C5E" w:rsidP="00BB4EB3">
      <w:pPr>
        <w:pStyle w:val="Heading2"/>
        <w:jc w:val="both"/>
      </w:pPr>
      <w:r>
        <w:lastRenderedPageBreak/>
        <w:t>Our findings</w:t>
      </w:r>
    </w:p>
    <w:p w14:paraId="40481A80" w14:textId="651FC959" w:rsidR="0001530E" w:rsidRPr="006B0440" w:rsidRDefault="003E5415" w:rsidP="008206A7">
      <w:r>
        <w:t>All</w:t>
      </w:r>
      <w:r w:rsidR="0001530E" w:rsidRPr="006B0440">
        <w:t xml:space="preserve"> </w:t>
      </w:r>
      <w:r w:rsidR="00130820">
        <w:t>19</w:t>
      </w:r>
      <w:r w:rsidR="0001530E">
        <w:t xml:space="preserve"> businesses </w:t>
      </w:r>
      <w:r w:rsidR="006C2ACA">
        <w:t xml:space="preserve">investigated </w:t>
      </w:r>
      <w:r w:rsidR="0001530E">
        <w:t xml:space="preserve">had </w:t>
      </w:r>
      <w:r w:rsidR="0001530E" w:rsidRPr="006B0440">
        <w:t>breach</w:t>
      </w:r>
      <w:r w:rsidR="0001530E">
        <w:t>ed</w:t>
      </w:r>
      <w:r w:rsidR="003C227B">
        <w:t xml:space="preserve"> workplace laws</w:t>
      </w:r>
      <w:r w:rsidR="000400E3">
        <w:t>:</w:t>
      </w:r>
    </w:p>
    <w:p w14:paraId="292D6E47" w14:textId="25BBEAA8" w:rsidR="0001530E" w:rsidRPr="003E5415" w:rsidRDefault="008F5DD0" w:rsidP="003E5415">
      <w:pPr>
        <w:pStyle w:val="Bullet"/>
      </w:pPr>
      <w:r w:rsidRPr="003E5415">
        <w:t xml:space="preserve">100% of </w:t>
      </w:r>
      <w:r w:rsidR="00130820" w:rsidRPr="003E5415">
        <w:t xml:space="preserve">businesses </w:t>
      </w:r>
      <w:r w:rsidR="0001530E" w:rsidRPr="003E5415">
        <w:t xml:space="preserve">were </w:t>
      </w:r>
      <w:r w:rsidR="00771067" w:rsidRPr="003E5415">
        <w:t>not paying staff correctly</w:t>
      </w:r>
      <w:r w:rsidR="003C227B" w:rsidRPr="003E5415">
        <w:t>.</w:t>
      </w:r>
    </w:p>
    <w:p w14:paraId="5D7C3DC9" w14:textId="0B8E2C4B" w:rsidR="0001530E" w:rsidRPr="003E5415" w:rsidRDefault="00DB54C6" w:rsidP="003E5415">
      <w:pPr>
        <w:pStyle w:val="Bullet"/>
      </w:pPr>
      <w:r w:rsidRPr="003E5415">
        <w:t xml:space="preserve">15 </w:t>
      </w:r>
      <w:r w:rsidR="00643BFF" w:rsidRPr="003E5415">
        <w:t>(</w:t>
      </w:r>
      <w:r w:rsidR="003E5415" w:rsidRPr="003E5415">
        <w:t>79</w:t>
      </w:r>
      <w:r w:rsidRPr="003E5415">
        <w:t xml:space="preserve">%) businesses had also breached </w:t>
      </w:r>
      <w:r w:rsidR="003E5415" w:rsidRPr="003E5415">
        <w:t xml:space="preserve">their </w:t>
      </w:r>
      <w:r w:rsidRPr="003E5415">
        <w:t>non-monetary obligations</w:t>
      </w:r>
      <w:r w:rsidR="0001530E" w:rsidRPr="003E5415">
        <w:t>.</w:t>
      </w:r>
      <w:r w:rsidR="00643BFF" w:rsidRPr="00C535C7">
        <w:rPr>
          <w:rStyle w:val="FootnoteReference"/>
          <w:rFonts w:cs="Arial"/>
        </w:rPr>
        <w:footnoteReference w:id="2"/>
      </w:r>
    </w:p>
    <w:p w14:paraId="025B26A8" w14:textId="1FCEB1F4" w:rsidR="0001530E" w:rsidRPr="0030758F" w:rsidRDefault="0001530E" w:rsidP="008206A7">
      <w:r w:rsidRPr="0030758F">
        <w:t xml:space="preserve">The most common breaches </w:t>
      </w:r>
      <w:r w:rsidR="00771067">
        <w:t>related to</w:t>
      </w:r>
      <w:r w:rsidRPr="0030758F">
        <w:t>:</w:t>
      </w:r>
    </w:p>
    <w:p w14:paraId="4B008024" w14:textId="1843A65E" w:rsidR="00EE0CD7" w:rsidRPr="003E5415" w:rsidRDefault="00EE0CD7" w:rsidP="003E5415">
      <w:pPr>
        <w:pStyle w:val="Bullet"/>
      </w:pPr>
      <w:r w:rsidRPr="003E5415">
        <w:t>under/non-payment of penalty rates (</w:t>
      </w:r>
      <w:r w:rsidR="009153F0" w:rsidRPr="003E5415">
        <w:t>3</w:t>
      </w:r>
      <w:r w:rsidR="004D5CD0" w:rsidRPr="003E5415">
        <w:t>3</w:t>
      </w:r>
      <w:r w:rsidRPr="003E5415">
        <w:t>%)</w:t>
      </w:r>
    </w:p>
    <w:p w14:paraId="1820079E" w14:textId="38FEF26B" w:rsidR="0001530E" w:rsidRPr="003E5415" w:rsidRDefault="0001530E" w:rsidP="003E5415">
      <w:pPr>
        <w:pStyle w:val="Bullet"/>
      </w:pPr>
      <w:r w:rsidRPr="003E5415">
        <w:t>underpayment of the minimum hourly rate (</w:t>
      </w:r>
      <w:r w:rsidR="009153F0" w:rsidRPr="003E5415">
        <w:t>1</w:t>
      </w:r>
      <w:r w:rsidR="004D5CD0" w:rsidRPr="003E5415">
        <w:t>3</w:t>
      </w:r>
      <w:r w:rsidRPr="003E5415">
        <w:t>%)</w:t>
      </w:r>
    </w:p>
    <w:p w14:paraId="73AA3640" w14:textId="3EDA966D" w:rsidR="009153F0" w:rsidRPr="003E5415" w:rsidRDefault="009153F0" w:rsidP="003E5415">
      <w:pPr>
        <w:pStyle w:val="Bullet"/>
      </w:pPr>
      <w:r w:rsidRPr="003E5415">
        <w:t>under/non-payment of leave provisions (12%)</w:t>
      </w:r>
    </w:p>
    <w:p w14:paraId="62C9B108" w14:textId="15A8B53A" w:rsidR="009153F0" w:rsidRPr="003E5415" w:rsidRDefault="004D5CD0" w:rsidP="003E5415">
      <w:pPr>
        <w:pStyle w:val="Bullet"/>
      </w:pPr>
      <w:r w:rsidRPr="003E5415">
        <w:t>n</w:t>
      </w:r>
      <w:r w:rsidR="003E5415" w:rsidRPr="003E5415">
        <w:t>on-provision of part-</w:t>
      </w:r>
      <w:r w:rsidR="009A7E53" w:rsidRPr="003E5415">
        <w:t>time agreements (9</w:t>
      </w:r>
      <w:r w:rsidR="00682711" w:rsidRPr="003E5415">
        <w:t>%)</w:t>
      </w:r>
    </w:p>
    <w:p w14:paraId="7D096C3D" w14:textId="67A02948" w:rsidR="009A7E53" w:rsidRPr="003E5415" w:rsidRDefault="009A7E53" w:rsidP="003E5415">
      <w:pPr>
        <w:pStyle w:val="Bullet"/>
      </w:pPr>
      <w:r w:rsidRPr="003E5415">
        <w:t>under/non-payment of overtime provisions (8%)</w:t>
      </w:r>
      <w:r w:rsidR="003E5415" w:rsidRPr="003E5415">
        <w:t>.</w:t>
      </w:r>
    </w:p>
    <w:p w14:paraId="2C82C739" w14:textId="77777777" w:rsidR="0001530E" w:rsidRPr="0030758F" w:rsidRDefault="0001530E" w:rsidP="008206A7">
      <w:r w:rsidRPr="0030758F">
        <w:t>Reasons for non-compliance given by employers included:</w:t>
      </w:r>
    </w:p>
    <w:p w14:paraId="596E6174" w14:textId="6CD41612" w:rsidR="003E5415" w:rsidRPr="003E5415" w:rsidRDefault="003E5415" w:rsidP="003E5415">
      <w:pPr>
        <w:pStyle w:val="Bullet"/>
      </w:pPr>
      <w:r w:rsidRPr="003E5415">
        <w:t>lack of awareness of all workplace relations obligations (</w:t>
      </w:r>
      <w:r w:rsidR="009A7E53" w:rsidRPr="003E5415">
        <w:t>6</w:t>
      </w:r>
      <w:r w:rsidR="00253B7A" w:rsidRPr="003E5415">
        <w:t>8</w:t>
      </w:r>
      <w:r w:rsidRPr="003E5415">
        <w:t>%)</w:t>
      </w:r>
    </w:p>
    <w:p w14:paraId="209514AD" w14:textId="083CD977" w:rsidR="00563BE0" w:rsidRPr="003E5415" w:rsidRDefault="003E5415" w:rsidP="003E5415">
      <w:pPr>
        <w:pStyle w:val="Bullet"/>
      </w:pPr>
      <w:r w:rsidRPr="003E5415">
        <w:t>misinterpretation of award requirements (</w:t>
      </w:r>
      <w:r w:rsidR="009A7E53" w:rsidRPr="003E5415">
        <w:t>1</w:t>
      </w:r>
      <w:r w:rsidR="00253B7A" w:rsidRPr="003E5415">
        <w:t>6</w:t>
      </w:r>
      <w:r w:rsidRPr="003E5415">
        <w:t>%)</w:t>
      </w:r>
    </w:p>
    <w:p w14:paraId="1E8F596C" w14:textId="0B71C948" w:rsidR="00CC6F99" w:rsidRPr="003E5415" w:rsidRDefault="003E5415" w:rsidP="003E5415">
      <w:pPr>
        <w:pStyle w:val="Bullet"/>
      </w:pPr>
      <w:r w:rsidRPr="003E5415">
        <w:t xml:space="preserve">making a </w:t>
      </w:r>
      <w:r w:rsidR="00CC6F99" w:rsidRPr="003E5415">
        <w:t>business decision to not comply with obligations</w:t>
      </w:r>
      <w:r w:rsidRPr="003E5415">
        <w:t xml:space="preserve"> (11%).</w:t>
      </w:r>
    </w:p>
    <w:p w14:paraId="7ACDEA3E" w14:textId="55141EA5" w:rsidR="00F94C5E" w:rsidRDefault="00A31966" w:rsidP="00BB4EB3">
      <w:pPr>
        <w:pStyle w:val="Heading2"/>
        <w:jc w:val="both"/>
      </w:pPr>
      <w:r>
        <w:t>Action taken and next steps</w:t>
      </w:r>
    </w:p>
    <w:p w14:paraId="5593424A" w14:textId="478564FA" w:rsidR="00771067" w:rsidRDefault="00771067" w:rsidP="003E5415">
      <w:r w:rsidRPr="006D19EE">
        <w:t>Employers were required to fix non-compliance and provide evidence of action taken, for example proof of payment of outstanding employee entitlements</w:t>
      </w:r>
      <w:r w:rsidRPr="009147FE">
        <w:t>.</w:t>
      </w:r>
    </w:p>
    <w:p w14:paraId="1496D3D7" w14:textId="450FBEC3" w:rsidR="00771067" w:rsidRPr="00771067" w:rsidRDefault="00771067" w:rsidP="003E5415">
      <w:r>
        <w:t xml:space="preserve">We recovered </w:t>
      </w:r>
      <w:r w:rsidR="00563BE0" w:rsidRPr="00556FA2">
        <w:t>$</w:t>
      </w:r>
      <w:r w:rsidR="00682711">
        <w:t>233,087</w:t>
      </w:r>
      <w:r w:rsidR="00EA206E">
        <w:t xml:space="preserve"> </w:t>
      </w:r>
      <w:r w:rsidR="00563BE0" w:rsidRPr="002A5550">
        <w:t xml:space="preserve">from </w:t>
      </w:r>
      <w:r w:rsidR="00682711">
        <w:t>18</w:t>
      </w:r>
      <w:r w:rsidR="00563BE0" w:rsidRPr="002A5550">
        <w:t xml:space="preserve"> businesses for </w:t>
      </w:r>
      <w:r w:rsidR="00682711">
        <w:t>353</w:t>
      </w:r>
      <w:r w:rsidR="00563BE0">
        <w:t xml:space="preserve"> employees.</w:t>
      </w:r>
      <w:r w:rsidR="008F5DD0">
        <w:t xml:space="preserve"> For individual businesses, recoveries ranged from $1,129 for 8 employees to </w:t>
      </w:r>
      <w:r w:rsidR="003E5415">
        <w:t>$49,069 for 17 employees.</w:t>
      </w:r>
    </w:p>
    <w:p w14:paraId="637F9B5E" w14:textId="67371222" w:rsidR="00771067" w:rsidRPr="006D19EE" w:rsidRDefault="00771067" w:rsidP="00BB4EB3">
      <w:pPr>
        <w:jc w:val="both"/>
      </w:pPr>
      <w:r>
        <w:t>Fair Work Inspectors issued:</w:t>
      </w:r>
    </w:p>
    <w:p w14:paraId="6152AAF5" w14:textId="4F831D3A" w:rsidR="00563BE0" w:rsidRPr="003E5415" w:rsidRDefault="00682711" w:rsidP="003E5415">
      <w:pPr>
        <w:pStyle w:val="Bullet"/>
      </w:pPr>
      <w:bookmarkStart w:id="1" w:name="_Toc15039103"/>
      <w:r w:rsidRPr="003E5415">
        <w:t>10</w:t>
      </w:r>
      <w:r w:rsidR="003E5415">
        <w:t xml:space="preserve"> formal c</w:t>
      </w:r>
      <w:r w:rsidR="00563BE0" w:rsidRPr="003E5415">
        <w:t>autions</w:t>
      </w:r>
    </w:p>
    <w:p w14:paraId="5480DDA3" w14:textId="77777777" w:rsidR="00C535C7" w:rsidRDefault="00C535C7" w:rsidP="003E5415">
      <w:pPr>
        <w:pStyle w:val="Bullet"/>
      </w:pPr>
      <w:r w:rsidRPr="003E5415">
        <w:t>9</w:t>
      </w:r>
      <w:r>
        <w:t xml:space="preserve"> infringement n</w:t>
      </w:r>
      <w:r w:rsidRPr="003E5415">
        <w:t>otices, totalling $25,410 in penalties for pay slip and record-keeping breaches</w:t>
      </w:r>
    </w:p>
    <w:p w14:paraId="1FA47262" w14:textId="6679098B" w:rsidR="00563BE0" w:rsidRPr="003E5415" w:rsidRDefault="0010332E" w:rsidP="00C535C7">
      <w:pPr>
        <w:pStyle w:val="Bullet"/>
      </w:pPr>
      <w:r w:rsidRPr="003E5415">
        <w:t>18</w:t>
      </w:r>
      <w:r w:rsidR="003E5415">
        <w:t xml:space="preserve"> compliance n</w:t>
      </w:r>
      <w:r w:rsidR="00563BE0" w:rsidRPr="003E5415">
        <w:t>otices, with back payments totalling $</w:t>
      </w:r>
      <w:r w:rsidRPr="003E5415">
        <w:t>233,087</w:t>
      </w:r>
      <w:r w:rsidR="00563BE0" w:rsidRPr="003E5415">
        <w:t xml:space="preserve"> for </w:t>
      </w:r>
      <w:r w:rsidRPr="003E5415">
        <w:t>353</w:t>
      </w:r>
      <w:r w:rsidR="003E5415">
        <w:t xml:space="preserve"> employees</w:t>
      </w:r>
      <w:r w:rsidR="00563BE0" w:rsidRPr="003E5415">
        <w:t xml:space="preserve">. </w:t>
      </w:r>
    </w:p>
    <w:p w14:paraId="28423ABE" w14:textId="0E5A3467" w:rsidR="003464F0" w:rsidRDefault="00CC6F99" w:rsidP="008206A7">
      <w:r>
        <w:t>One employer</w:t>
      </w:r>
      <w:r w:rsidR="00563BE0" w:rsidRPr="00563BE0">
        <w:t xml:space="preserve"> remain</w:t>
      </w:r>
      <w:r>
        <w:t>s</w:t>
      </w:r>
      <w:r w:rsidR="00563BE0" w:rsidRPr="00563BE0">
        <w:t xml:space="preserve"> under investigation </w:t>
      </w:r>
      <w:r w:rsidR="003E5415">
        <w:t>and may face court</w:t>
      </w:r>
      <w:r w:rsidR="00563BE0" w:rsidRPr="00563BE0">
        <w:t xml:space="preserve"> </w:t>
      </w:r>
      <w:r w:rsidR="003E5415">
        <w:t>action</w:t>
      </w:r>
      <w:r w:rsidR="00563BE0" w:rsidRPr="00563BE0">
        <w:t xml:space="preserve">. </w:t>
      </w:r>
    </w:p>
    <w:p w14:paraId="2D95DE40" w14:textId="7BE4275F" w:rsidR="00CC6F99" w:rsidRDefault="00B017DE" w:rsidP="008206A7">
      <w:r>
        <w:lastRenderedPageBreak/>
        <w:t xml:space="preserve">The high rates of </w:t>
      </w:r>
      <w:r w:rsidR="00CC6F99">
        <w:t xml:space="preserve">non-compliance across the Gami </w:t>
      </w:r>
      <w:r w:rsidR="003E5415">
        <w:t xml:space="preserve">Chicken &amp; Beer </w:t>
      </w:r>
      <w:r w:rsidR="00CC6F99">
        <w:t xml:space="preserve">network </w:t>
      </w:r>
      <w:r>
        <w:t xml:space="preserve">identified are </w:t>
      </w:r>
      <w:r w:rsidR="00CC6F99">
        <w:t xml:space="preserve">consistent with </w:t>
      </w:r>
      <w:r>
        <w:t xml:space="preserve">the results of </w:t>
      </w:r>
      <w:r w:rsidR="00CC6F99">
        <w:t xml:space="preserve">previous </w:t>
      </w:r>
      <w:r>
        <w:t xml:space="preserve">FWO </w:t>
      </w:r>
      <w:r w:rsidR="00CC6F99">
        <w:t xml:space="preserve">activities </w:t>
      </w:r>
      <w:r w:rsidR="00BB4EB3">
        <w:t xml:space="preserve">involving franchises </w:t>
      </w:r>
      <w:r w:rsidR="00CC6F99">
        <w:t>in the</w:t>
      </w:r>
      <w:r w:rsidR="006C5968" w:rsidRPr="003464F0">
        <w:t xml:space="preserve"> fast food, restaurants and café (FRAC)</w:t>
      </w:r>
      <w:r w:rsidR="006C5968">
        <w:t xml:space="preserve"> sector</w:t>
      </w:r>
      <w:r w:rsidR="006C5968" w:rsidRPr="003464F0">
        <w:t>.</w:t>
      </w:r>
      <w:r w:rsidR="003E5415">
        <w:rPr>
          <w:rStyle w:val="FootnoteReference"/>
        </w:rPr>
        <w:footnoteReference w:id="3"/>
      </w:r>
    </w:p>
    <w:p w14:paraId="3CA6B036" w14:textId="5E0D7A85" w:rsidR="003464F0" w:rsidRPr="003464F0" w:rsidRDefault="003E5415" w:rsidP="006C5968">
      <w:r>
        <w:t>We support</w:t>
      </w:r>
      <w:r w:rsidR="003464F0" w:rsidRPr="003464F0">
        <w:t xml:space="preserve"> compliance </w:t>
      </w:r>
      <w:r w:rsidR="006C5968">
        <w:t xml:space="preserve">amongst </w:t>
      </w:r>
      <w:r w:rsidR="003464F0" w:rsidRPr="003464F0">
        <w:t>franchise</w:t>
      </w:r>
      <w:r w:rsidR="006C5968">
        <w:t>s</w:t>
      </w:r>
      <w:r w:rsidR="003464F0" w:rsidRPr="003464F0">
        <w:t xml:space="preserve"> via dedicated o</w:t>
      </w:r>
      <w:r w:rsidR="003464F0">
        <w:t>nline information and resources</w:t>
      </w:r>
      <w:r w:rsidR="00B017DE">
        <w:t>,</w:t>
      </w:r>
      <w:r w:rsidR="00E76088">
        <w:rPr>
          <w:rStyle w:val="FootnoteReference"/>
        </w:rPr>
        <w:footnoteReference w:id="4"/>
      </w:r>
      <w:r w:rsidR="003464F0" w:rsidRPr="003464F0">
        <w:t xml:space="preserve"> and education at Franchising and Business Opportunity Expos around Australia.</w:t>
      </w:r>
      <w:r w:rsidR="00E76088">
        <w:t xml:space="preserve"> </w:t>
      </w:r>
      <w:r w:rsidR="003464F0" w:rsidRPr="003464F0">
        <w:t xml:space="preserve">We continue to focus </w:t>
      </w:r>
      <w:r w:rsidR="00B017DE">
        <w:t xml:space="preserve">our </w:t>
      </w:r>
      <w:r w:rsidR="003464F0" w:rsidRPr="003464F0">
        <w:t xml:space="preserve">compliance monitoring and enforcement activities on franchises in the </w:t>
      </w:r>
      <w:r w:rsidR="006C5968">
        <w:t>FRAC</w:t>
      </w:r>
      <w:r w:rsidR="00B017DE">
        <w:t xml:space="preserve"> sector</w:t>
      </w:r>
      <w:r w:rsidR="006C5968">
        <w:t>. Through our FRAC strategy we</w:t>
      </w:r>
      <w:r w:rsidR="003464F0" w:rsidRPr="003464F0">
        <w:t>:</w:t>
      </w:r>
    </w:p>
    <w:p w14:paraId="61C2D52B" w14:textId="4292DC23" w:rsidR="003464F0" w:rsidRPr="006C5968" w:rsidRDefault="006C5968" w:rsidP="006C5968">
      <w:pPr>
        <w:pStyle w:val="Bullet"/>
      </w:pPr>
      <w:r>
        <w:t>work</w:t>
      </w:r>
      <w:r w:rsidR="003464F0" w:rsidRPr="006C5968">
        <w:t xml:space="preserve"> with business owners and stakeholder networks to educate and drive behaviour</w:t>
      </w:r>
      <w:r w:rsidR="00B017DE">
        <w:t>al</w:t>
      </w:r>
      <w:r w:rsidR="003464F0" w:rsidRPr="006C5968">
        <w:t xml:space="preserve"> change</w:t>
      </w:r>
    </w:p>
    <w:p w14:paraId="0A78AC64" w14:textId="61969AEA" w:rsidR="003464F0" w:rsidRPr="006C5968" w:rsidRDefault="00BA4491" w:rsidP="006C5968">
      <w:pPr>
        <w:pStyle w:val="Bullet"/>
      </w:pPr>
      <w:r>
        <w:t xml:space="preserve">may take enforcement action to deal with contraventions of the Act, such as </w:t>
      </w:r>
      <w:r w:rsidR="006C5968">
        <w:t>issu</w:t>
      </w:r>
      <w:r>
        <w:t>ing</w:t>
      </w:r>
      <w:r w:rsidR="003464F0" w:rsidRPr="006C5968">
        <w:t xml:space="preserve"> compliance n</w:t>
      </w:r>
      <w:r w:rsidR="006C5968">
        <w:t xml:space="preserve">otices </w:t>
      </w:r>
      <w:r w:rsidR="009C2D50">
        <w:t xml:space="preserve">if a Fair Work Inspector forms a belief that there has been a </w:t>
      </w:r>
      <w:r w:rsidR="003464F0" w:rsidRPr="006C5968">
        <w:t xml:space="preserve">breach of </w:t>
      </w:r>
      <w:r w:rsidR="009C2D50">
        <w:t xml:space="preserve">an </w:t>
      </w:r>
      <w:r w:rsidR="003464F0" w:rsidRPr="006C5968">
        <w:t>award</w:t>
      </w:r>
      <w:r w:rsidR="00B017DE">
        <w:t>,</w:t>
      </w:r>
      <w:r w:rsidR="009C2D50">
        <w:t xml:space="preserve"> enterprise agreement</w:t>
      </w:r>
      <w:r w:rsidR="00B017DE">
        <w:t xml:space="preserve"> </w:t>
      </w:r>
      <w:r w:rsidR="009C2D50">
        <w:t xml:space="preserve">or </w:t>
      </w:r>
      <w:r>
        <w:t xml:space="preserve">another </w:t>
      </w:r>
      <w:r w:rsidR="00B017DE">
        <w:t>instrument</w:t>
      </w:r>
      <w:r w:rsidR="003464F0" w:rsidRPr="006C5968">
        <w:t xml:space="preserve"> </w:t>
      </w:r>
      <w:r w:rsidR="009C2D50">
        <w:t xml:space="preserve">or </w:t>
      </w:r>
      <w:r w:rsidR="003464F0" w:rsidRPr="006C5968">
        <w:t>the National Employment Standards</w:t>
      </w:r>
    </w:p>
    <w:p w14:paraId="527A1CAB" w14:textId="34C9AC12" w:rsidR="003464F0" w:rsidRPr="006C5968" w:rsidRDefault="006C5968" w:rsidP="006C5968">
      <w:pPr>
        <w:pStyle w:val="Bullet"/>
      </w:pPr>
      <w:r>
        <w:t>use</w:t>
      </w:r>
      <w:r w:rsidR="003464F0" w:rsidRPr="006C5968">
        <w:t xml:space="preserve"> our powers </w:t>
      </w:r>
      <w:r w:rsidR="00B017DE">
        <w:t xml:space="preserve">under the Act </w:t>
      </w:r>
      <w:r w:rsidR="003464F0" w:rsidRPr="006C5968">
        <w:t>to hold franchisors a</w:t>
      </w:r>
      <w:r w:rsidR="000664C2" w:rsidRPr="006C5968">
        <w:t>nd other accessories to account</w:t>
      </w:r>
    </w:p>
    <w:p w14:paraId="64732FD3" w14:textId="3F8DA235" w:rsidR="000664C2" w:rsidRPr="006C5968" w:rsidRDefault="006C5968" w:rsidP="006C5968">
      <w:pPr>
        <w:pStyle w:val="Bullet"/>
      </w:pPr>
      <w:r>
        <w:t>provide</w:t>
      </w:r>
      <w:r w:rsidR="000664C2" w:rsidRPr="006C5968">
        <w:t xml:space="preserve"> an online portal of information and resources specific to the industry</w:t>
      </w:r>
      <w:r>
        <w:t>.</w:t>
      </w:r>
      <w:r w:rsidR="000664C2" w:rsidRPr="006C5968">
        <w:rPr>
          <w:rStyle w:val="FootnoteReference"/>
          <w:rFonts w:cs="Arial"/>
        </w:rPr>
        <w:footnoteReference w:id="5"/>
      </w:r>
    </w:p>
    <w:p w14:paraId="56304960" w14:textId="7B4DA4A7" w:rsidR="005B4E93" w:rsidRDefault="006C5968" w:rsidP="008206A7">
      <w:r>
        <w:t>We</w:t>
      </w:r>
      <w:r w:rsidR="005B4E93" w:rsidRPr="00440AAF">
        <w:t xml:space="preserve"> </w:t>
      </w:r>
      <w:r>
        <w:t>expect</w:t>
      </w:r>
      <w:r w:rsidR="005B4E93" w:rsidRPr="00AF149D">
        <w:t xml:space="preserve"> employers to comply with all </w:t>
      </w:r>
      <w:r w:rsidR="005B4E93" w:rsidRPr="00CC7123">
        <w:t>workplace relations obligations</w:t>
      </w:r>
      <w:r w:rsidR="009C2D50">
        <w:t>.</w:t>
      </w:r>
      <w:r w:rsidR="005B4E93" w:rsidRPr="00AF149D">
        <w:t xml:space="preserve"> </w:t>
      </w:r>
      <w:r w:rsidR="009C2D50">
        <w:t xml:space="preserve">To assist them to comply, they can </w:t>
      </w:r>
      <w:r w:rsidR="005B4E93" w:rsidRPr="00440AAF">
        <w:t xml:space="preserve">utilise </w:t>
      </w:r>
      <w:r w:rsidR="005B4E93">
        <w:t>our free tools and resources, including:</w:t>
      </w:r>
    </w:p>
    <w:p w14:paraId="6F421A81" w14:textId="6E23EF0D" w:rsidR="00663623" w:rsidRPr="006C5968" w:rsidRDefault="00663623" w:rsidP="006C5968">
      <w:pPr>
        <w:pStyle w:val="Bullet"/>
      </w:pPr>
      <w:r w:rsidRPr="006C5968">
        <w:t>PACT - calculates employee entitlements, including award pay rates, leave entitlements and termination pay</w:t>
      </w:r>
      <w:r w:rsidRPr="006C5968">
        <w:rPr>
          <w:rStyle w:val="FootnoteReference"/>
          <w:rFonts w:cs="Arial"/>
        </w:rPr>
        <w:footnoteReference w:id="6"/>
      </w:r>
    </w:p>
    <w:p w14:paraId="55FFB6BB" w14:textId="21543191" w:rsidR="00663623" w:rsidRPr="006C5968" w:rsidRDefault="00663623" w:rsidP="006C5968">
      <w:pPr>
        <w:pStyle w:val="Bullet"/>
      </w:pPr>
      <w:r w:rsidRPr="006C5968">
        <w:t>My account - interactive service where employers receive tailored information and updates</w:t>
      </w:r>
      <w:r w:rsidRPr="006C5968">
        <w:rPr>
          <w:rStyle w:val="FootnoteReference"/>
          <w:rFonts w:cs="Arial"/>
        </w:rPr>
        <w:footnoteReference w:id="7"/>
      </w:r>
    </w:p>
    <w:p w14:paraId="4E12051D" w14:textId="4D5C6AAE" w:rsidR="00663623" w:rsidRPr="006C5968" w:rsidRDefault="00663623" w:rsidP="006C5968">
      <w:pPr>
        <w:pStyle w:val="Bullet"/>
      </w:pPr>
      <w:r w:rsidRPr="006C5968">
        <w:t>Online Learning Centre - award-winning videos on key subjects like hiring employees, managing performance and record-keeping and pay slip obligations</w:t>
      </w:r>
      <w:r w:rsidRPr="006C5968">
        <w:rPr>
          <w:rStyle w:val="FootnoteReference"/>
          <w:rFonts w:cs="Arial"/>
        </w:rPr>
        <w:footnoteReference w:id="8"/>
      </w:r>
      <w:r w:rsidRPr="006C5968">
        <w:rPr>
          <w:vertAlign w:val="superscript"/>
        </w:rPr>
        <w:t xml:space="preserve"> </w:t>
      </w:r>
    </w:p>
    <w:p w14:paraId="245B19EE" w14:textId="2A2A15C7" w:rsidR="00663623" w:rsidRPr="006C5968" w:rsidRDefault="00663623" w:rsidP="006C5968">
      <w:pPr>
        <w:pStyle w:val="Bullet"/>
      </w:pPr>
      <w:r w:rsidRPr="006C5968">
        <w:t>Templates and guides - tools and resources specifically designed to assist businesses with their payslips and record keeping obligations.</w:t>
      </w:r>
      <w:r w:rsidRPr="006C5968">
        <w:rPr>
          <w:rStyle w:val="FootnoteReference"/>
          <w:rFonts w:cs="Arial"/>
        </w:rPr>
        <w:footnoteReference w:id="9"/>
      </w:r>
    </w:p>
    <w:bookmarkEnd w:id="1"/>
    <w:p w14:paraId="4B3557C0" w14:textId="10A9CF71" w:rsidR="007B39E6" w:rsidRPr="002A65CC" w:rsidRDefault="009C2D50" w:rsidP="006C2ACA">
      <w:r>
        <w:t xml:space="preserve">The FWO does not accept that a </w:t>
      </w:r>
      <w:r w:rsidR="005B4E93">
        <w:t xml:space="preserve">lack of awareness of obligations under the </w:t>
      </w:r>
      <w:r w:rsidR="006C5968">
        <w:t xml:space="preserve">Act </w:t>
      </w:r>
      <w:r w:rsidR="005B4E93">
        <w:t xml:space="preserve">is a valid reason for non-compliance </w:t>
      </w:r>
      <w:r>
        <w:t xml:space="preserve">with </w:t>
      </w:r>
      <w:r w:rsidR="005B4E93">
        <w:t>workplace</w:t>
      </w:r>
      <w:r>
        <w:t xml:space="preserve"> laws</w:t>
      </w:r>
      <w:r w:rsidR="005B4E93">
        <w:t>.</w:t>
      </w:r>
    </w:p>
    <w:sectPr w:rsidR="007B39E6" w:rsidRPr="002A65CC" w:rsidSect="00DA1AD1">
      <w:headerReference w:type="first" r:id="rId9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7066" w14:textId="77777777" w:rsidR="00493D76" w:rsidRDefault="00493D76" w:rsidP="00AB465A">
      <w:pPr>
        <w:spacing w:after="0" w:line="240" w:lineRule="auto"/>
      </w:pPr>
      <w:r>
        <w:separator/>
      </w:r>
    </w:p>
  </w:endnote>
  <w:endnote w:type="continuationSeparator" w:id="0">
    <w:p w14:paraId="50D8415A" w14:textId="77777777" w:rsidR="00493D76" w:rsidRDefault="00493D76" w:rsidP="00AB465A">
      <w:pPr>
        <w:spacing w:after="0" w:line="240" w:lineRule="auto"/>
      </w:pPr>
      <w:r>
        <w:continuationSeparator/>
      </w:r>
    </w:p>
  </w:endnote>
  <w:endnote w:type="continuationNotice" w:id="1">
    <w:p w14:paraId="7FB4241E" w14:textId="77777777" w:rsidR="00493D76" w:rsidRDefault="00493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36E0C" w14:textId="77777777" w:rsidR="00493D76" w:rsidRDefault="00493D76" w:rsidP="00AB465A">
      <w:pPr>
        <w:spacing w:after="0" w:line="240" w:lineRule="auto"/>
      </w:pPr>
      <w:r>
        <w:separator/>
      </w:r>
    </w:p>
  </w:footnote>
  <w:footnote w:type="continuationSeparator" w:id="0">
    <w:p w14:paraId="6E24DCB5" w14:textId="77777777" w:rsidR="00493D76" w:rsidRDefault="00493D76" w:rsidP="00AB465A">
      <w:pPr>
        <w:spacing w:after="0" w:line="240" w:lineRule="auto"/>
      </w:pPr>
      <w:r>
        <w:continuationSeparator/>
      </w:r>
    </w:p>
  </w:footnote>
  <w:footnote w:type="continuationNotice" w:id="1">
    <w:p w14:paraId="42C9E707" w14:textId="77777777" w:rsidR="00493D76" w:rsidRDefault="00493D76">
      <w:pPr>
        <w:spacing w:after="0" w:line="240" w:lineRule="auto"/>
      </w:pPr>
    </w:p>
  </w:footnote>
  <w:footnote w:id="2">
    <w:p w14:paraId="6BCCCEAD" w14:textId="3AFD3627" w:rsidR="00493D76" w:rsidRDefault="00493D76" w:rsidP="005B4E93">
      <w:pPr>
        <w:pStyle w:val="FootnoteText"/>
        <w:spacing w:before="0" w:line="240" w:lineRule="auto"/>
      </w:pPr>
      <w:r w:rsidRPr="00643BF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43BFF">
        <w:rPr>
          <w:rFonts w:asciiTheme="minorHAnsi" w:hAnsiTheme="minorHAnsi" w:cstheme="minorHAnsi"/>
          <w:sz w:val="18"/>
          <w:szCs w:val="18"/>
        </w:rPr>
        <w:t xml:space="preserve"> </w:t>
      </w:r>
      <w:r w:rsidRPr="00643BFF">
        <w:rPr>
          <w:rFonts w:asciiTheme="minorHAnsi" w:hAnsiTheme="minorHAnsi" w:cstheme="minorHAnsi"/>
          <w:sz w:val="18"/>
        </w:rPr>
        <w:t>Percentages have been rounded to the nearest whole number</w:t>
      </w:r>
    </w:p>
  </w:footnote>
  <w:footnote w:id="3">
    <w:p w14:paraId="155C0A13" w14:textId="2585AD4B" w:rsidR="00493D76" w:rsidRPr="003E5415" w:rsidRDefault="00493D76" w:rsidP="003E5415">
      <w:pPr>
        <w:pStyle w:val="FootnoteText"/>
        <w:spacing w:line="240" w:lineRule="auto"/>
        <w:rPr>
          <w:rFonts w:asciiTheme="minorHAnsi" w:hAnsiTheme="minorHAnsi" w:cstheme="minorHAnsi"/>
        </w:rPr>
      </w:pPr>
      <w:r w:rsidRPr="003E5415">
        <w:rPr>
          <w:rStyle w:val="FootnoteReference"/>
          <w:rFonts w:asciiTheme="minorHAnsi" w:hAnsiTheme="minorHAnsi" w:cstheme="minorHAnsi"/>
          <w:sz w:val="18"/>
        </w:rPr>
        <w:footnoteRef/>
      </w:r>
      <w:r w:rsidRPr="003E5415">
        <w:rPr>
          <w:rFonts w:asciiTheme="minorHAnsi" w:hAnsiTheme="minorHAnsi" w:cstheme="minorHAnsi"/>
          <w:sz w:val="18"/>
        </w:rPr>
        <w:t xml:space="preserve"> For example: </w:t>
      </w:r>
      <w:hyperlink r:id="rId1" w:history="1">
        <w:r w:rsidRPr="003E5415">
          <w:rPr>
            <w:rStyle w:val="Hyperlink"/>
            <w:rFonts w:asciiTheme="minorHAnsi" w:hAnsiTheme="minorHAnsi" w:cstheme="minorHAnsi"/>
            <w:sz w:val="18"/>
          </w:rPr>
          <w:t>https://www.fairwork.gov.au/about-us/news-and-media-releases/2019-media-releases/december-2019/20191218-emerging-franchises-compliance-activity</w:t>
        </w:r>
      </w:hyperlink>
    </w:p>
  </w:footnote>
  <w:footnote w:id="4">
    <w:p w14:paraId="68061144" w14:textId="32FF7031" w:rsidR="00493D76" w:rsidRPr="003E5415" w:rsidRDefault="00493D76" w:rsidP="003E5415">
      <w:pPr>
        <w:pStyle w:val="FootnoteText"/>
        <w:spacing w:before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3E541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3E5415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https://www.fairwork.gov.au/find-help-for/franchises</w:t>
        </w:r>
      </w:hyperlink>
    </w:p>
  </w:footnote>
  <w:footnote w:id="5">
    <w:p w14:paraId="746CE578" w14:textId="4F73A802" w:rsidR="00493D76" w:rsidRPr="003E5415" w:rsidRDefault="00493D76" w:rsidP="003E5415">
      <w:pPr>
        <w:pStyle w:val="FootnoteText"/>
        <w:spacing w:before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3E541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  <w:hyperlink r:id="rId3" w:history="1">
        <w:r w:rsidRPr="003E5415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https://www.fairwork.gov.au/find-help-for/fast-food-restaurants-cafes</w:t>
        </w:r>
      </w:hyperlink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14:paraId="20329457" w14:textId="7B743B12" w:rsidR="00493D76" w:rsidRPr="003E5415" w:rsidRDefault="00493D76" w:rsidP="003E5415">
      <w:pPr>
        <w:pStyle w:val="FootnoteText"/>
        <w:spacing w:before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3E541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  <w:hyperlink r:id="rId4" w:tooltip="Find wages and penalty rates for employees." w:history="1">
        <w:r w:rsidRPr="003E5415">
          <w:rPr>
            <w:rStyle w:val="Hyperlink"/>
            <w:rFonts w:asciiTheme="minorHAnsi" w:hAnsiTheme="minorHAnsi" w:cstheme="minorHAnsi"/>
            <w:sz w:val="18"/>
            <w:szCs w:val="18"/>
          </w:rPr>
          <w:t>https://calculate.fairwork.gov.au/</w:t>
        </w:r>
      </w:hyperlink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7">
    <w:p w14:paraId="4F719982" w14:textId="0A80109D" w:rsidR="00493D76" w:rsidRPr="003E5415" w:rsidRDefault="00493D76" w:rsidP="003E5415">
      <w:pPr>
        <w:pStyle w:val="FootnoteText"/>
        <w:spacing w:before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3E541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tooltip="Register an account" w:history="1">
        <w:r w:rsidRPr="003E5415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https://www.fairwork.gov.au/my-account/registerpage.aspx</w:t>
        </w:r>
      </w:hyperlink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8">
    <w:p w14:paraId="541AEA24" w14:textId="04BD9B51" w:rsidR="00493D76" w:rsidRPr="003E5415" w:rsidRDefault="00493D76" w:rsidP="003E5415">
      <w:pPr>
        <w:pStyle w:val="FootnoteText"/>
        <w:spacing w:before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3E541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tooltip="Online learning centre" w:history="1">
        <w:r w:rsidRPr="003E5415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https://www.fairwork.gov.au/how-we-will-help/online-training/online-learning-centre</w:t>
        </w:r>
      </w:hyperlink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9">
    <w:p w14:paraId="27953FB8" w14:textId="4EC9D76E" w:rsidR="00493D76" w:rsidRDefault="00493D76" w:rsidP="003E5415">
      <w:pPr>
        <w:pStyle w:val="FootnoteText"/>
        <w:spacing w:before="0" w:line="240" w:lineRule="auto"/>
        <w:contextualSpacing/>
      </w:pPr>
      <w:r w:rsidRPr="003E541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E5415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Pr="0046180B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https://www.fairwork.gov.au/how-we-will-help/templates-and-guides</w:t>
        </w:r>
      </w:hyperlink>
      <w:r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AB8B" w14:textId="587EEBDC" w:rsidR="00493D76" w:rsidRPr="00583EDF" w:rsidRDefault="00493D76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BAE"/>
    <w:multiLevelType w:val="hybridMultilevel"/>
    <w:tmpl w:val="87DC7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7BCF"/>
    <w:multiLevelType w:val="hybridMultilevel"/>
    <w:tmpl w:val="34D67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21DC7"/>
    <w:multiLevelType w:val="hybridMultilevel"/>
    <w:tmpl w:val="425E6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64FFB"/>
    <w:multiLevelType w:val="hybridMultilevel"/>
    <w:tmpl w:val="6F266A08"/>
    <w:lvl w:ilvl="0" w:tplc="1278E3B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A395D"/>
    <w:multiLevelType w:val="hybridMultilevel"/>
    <w:tmpl w:val="41B41E1A"/>
    <w:lvl w:ilvl="0" w:tplc="47B4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746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3"/>
  </w:num>
  <w:num w:numId="7">
    <w:abstractNumId w:val="7"/>
  </w:num>
  <w:num w:numId="8">
    <w:abstractNumId w:val="14"/>
  </w:num>
  <w:num w:numId="9">
    <w:abstractNumId w:val="25"/>
  </w:num>
  <w:num w:numId="10">
    <w:abstractNumId w:val="24"/>
  </w:num>
  <w:num w:numId="11">
    <w:abstractNumId w:val="20"/>
  </w:num>
  <w:num w:numId="12">
    <w:abstractNumId w:val="26"/>
  </w:num>
  <w:num w:numId="13">
    <w:abstractNumId w:val="29"/>
  </w:num>
  <w:num w:numId="14">
    <w:abstractNumId w:val="0"/>
  </w:num>
  <w:num w:numId="15">
    <w:abstractNumId w:val="11"/>
  </w:num>
  <w:num w:numId="16">
    <w:abstractNumId w:val="28"/>
  </w:num>
  <w:num w:numId="17">
    <w:abstractNumId w:val="9"/>
  </w:num>
  <w:num w:numId="18">
    <w:abstractNumId w:val="1"/>
  </w:num>
  <w:num w:numId="19">
    <w:abstractNumId w:val="12"/>
  </w:num>
  <w:num w:numId="20">
    <w:abstractNumId w:val="5"/>
  </w:num>
  <w:num w:numId="21">
    <w:abstractNumId w:val="30"/>
  </w:num>
  <w:num w:numId="22">
    <w:abstractNumId w:val="2"/>
  </w:num>
  <w:num w:numId="23">
    <w:abstractNumId w:val="27"/>
  </w:num>
  <w:num w:numId="24">
    <w:abstractNumId w:val="10"/>
  </w:num>
  <w:num w:numId="25">
    <w:abstractNumId w:val="6"/>
  </w:num>
  <w:num w:numId="26">
    <w:abstractNumId w:val="17"/>
  </w:num>
  <w:num w:numId="27">
    <w:abstractNumId w:val="22"/>
  </w:num>
  <w:num w:numId="28">
    <w:abstractNumId w:val="18"/>
  </w:num>
  <w:num w:numId="29">
    <w:abstractNumId w:val="19"/>
  </w:num>
  <w:num w:numId="30">
    <w:abstractNumId w:val="8"/>
  </w:num>
  <w:num w:numId="31">
    <w:abstractNumId w:val="16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2"/>
    <w:rsid w:val="0000351D"/>
    <w:rsid w:val="00011400"/>
    <w:rsid w:val="00013275"/>
    <w:rsid w:val="00014C04"/>
    <w:rsid w:val="0001530E"/>
    <w:rsid w:val="000318D5"/>
    <w:rsid w:val="00033E9B"/>
    <w:rsid w:val="000400E3"/>
    <w:rsid w:val="00053693"/>
    <w:rsid w:val="000664C2"/>
    <w:rsid w:val="000732BA"/>
    <w:rsid w:val="00073307"/>
    <w:rsid w:val="0007401F"/>
    <w:rsid w:val="00093049"/>
    <w:rsid w:val="000A0BB1"/>
    <w:rsid w:val="000A45F4"/>
    <w:rsid w:val="000A6F2E"/>
    <w:rsid w:val="000B2A24"/>
    <w:rsid w:val="000B7D1C"/>
    <w:rsid w:val="000C0DF8"/>
    <w:rsid w:val="000C2CD2"/>
    <w:rsid w:val="000D46B8"/>
    <w:rsid w:val="000E08E8"/>
    <w:rsid w:val="000E3C54"/>
    <w:rsid w:val="00100FA4"/>
    <w:rsid w:val="0010332E"/>
    <w:rsid w:val="001049FB"/>
    <w:rsid w:val="00130820"/>
    <w:rsid w:val="0014201D"/>
    <w:rsid w:val="00166274"/>
    <w:rsid w:val="00174429"/>
    <w:rsid w:val="0018384F"/>
    <w:rsid w:val="001C47EA"/>
    <w:rsid w:val="001C7CFE"/>
    <w:rsid w:val="001D2DA2"/>
    <w:rsid w:val="001D3234"/>
    <w:rsid w:val="001D3773"/>
    <w:rsid w:val="001E0C0E"/>
    <w:rsid w:val="001F69CA"/>
    <w:rsid w:val="0021732F"/>
    <w:rsid w:val="00232CA4"/>
    <w:rsid w:val="0023374E"/>
    <w:rsid w:val="002366C4"/>
    <w:rsid w:val="00240463"/>
    <w:rsid w:val="002424D0"/>
    <w:rsid w:val="00253B7A"/>
    <w:rsid w:val="002666D5"/>
    <w:rsid w:val="0026797B"/>
    <w:rsid w:val="002A0AAA"/>
    <w:rsid w:val="002A5A4D"/>
    <w:rsid w:val="002A65CC"/>
    <w:rsid w:val="002D54E7"/>
    <w:rsid w:val="002D5C24"/>
    <w:rsid w:val="002E0DB1"/>
    <w:rsid w:val="002E1516"/>
    <w:rsid w:val="002E28E8"/>
    <w:rsid w:val="002E389C"/>
    <w:rsid w:val="002E78A5"/>
    <w:rsid w:val="00330FAF"/>
    <w:rsid w:val="00331519"/>
    <w:rsid w:val="00333193"/>
    <w:rsid w:val="003464F0"/>
    <w:rsid w:val="0035400D"/>
    <w:rsid w:val="00365FF7"/>
    <w:rsid w:val="00371024"/>
    <w:rsid w:val="00377962"/>
    <w:rsid w:val="00391CDD"/>
    <w:rsid w:val="003B31C0"/>
    <w:rsid w:val="003B39E2"/>
    <w:rsid w:val="003B5656"/>
    <w:rsid w:val="003B5812"/>
    <w:rsid w:val="003C227B"/>
    <w:rsid w:val="003C36DA"/>
    <w:rsid w:val="003D3891"/>
    <w:rsid w:val="003E5415"/>
    <w:rsid w:val="00415E55"/>
    <w:rsid w:val="00423288"/>
    <w:rsid w:val="004327F0"/>
    <w:rsid w:val="00433147"/>
    <w:rsid w:val="00440DF5"/>
    <w:rsid w:val="0044147A"/>
    <w:rsid w:val="00442BAA"/>
    <w:rsid w:val="00446D74"/>
    <w:rsid w:val="00456006"/>
    <w:rsid w:val="0046167E"/>
    <w:rsid w:val="004654FA"/>
    <w:rsid w:val="00465E7E"/>
    <w:rsid w:val="00473087"/>
    <w:rsid w:val="00475454"/>
    <w:rsid w:val="00483507"/>
    <w:rsid w:val="00486F77"/>
    <w:rsid w:val="004874D2"/>
    <w:rsid w:val="00493D76"/>
    <w:rsid w:val="004A1A32"/>
    <w:rsid w:val="004A3817"/>
    <w:rsid w:val="004B5F95"/>
    <w:rsid w:val="004C1847"/>
    <w:rsid w:val="004C5E68"/>
    <w:rsid w:val="004D223B"/>
    <w:rsid w:val="004D5CD0"/>
    <w:rsid w:val="004E1B24"/>
    <w:rsid w:val="004E5C3B"/>
    <w:rsid w:val="004F0A17"/>
    <w:rsid w:val="004F2D4C"/>
    <w:rsid w:val="004F51D0"/>
    <w:rsid w:val="00520458"/>
    <w:rsid w:val="005261A5"/>
    <w:rsid w:val="00537F45"/>
    <w:rsid w:val="00563BE0"/>
    <w:rsid w:val="00575D9A"/>
    <w:rsid w:val="00593BFB"/>
    <w:rsid w:val="005B4E93"/>
    <w:rsid w:val="005D5A92"/>
    <w:rsid w:val="006059E9"/>
    <w:rsid w:val="00612470"/>
    <w:rsid w:val="006139FB"/>
    <w:rsid w:val="0062768F"/>
    <w:rsid w:val="00643BFF"/>
    <w:rsid w:val="00643C4B"/>
    <w:rsid w:val="00647D11"/>
    <w:rsid w:val="00651F4B"/>
    <w:rsid w:val="006532D3"/>
    <w:rsid w:val="00663623"/>
    <w:rsid w:val="00675B2A"/>
    <w:rsid w:val="00682711"/>
    <w:rsid w:val="0069313C"/>
    <w:rsid w:val="00694033"/>
    <w:rsid w:val="0069755C"/>
    <w:rsid w:val="006B1080"/>
    <w:rsid w:val="006C2ACA"/>
    <w:rsid w:val="006C5968"/>
    <w:rsid w:val="006D19EE"/>
    <w:rsid w:val="006D4A6F"/>
    <w:rsid w:val="006E54F5"/>
    <w:rsid w:val="006F4DA6"/>
    <w:rsid w:val="00703886"/>
    <w:rsid w:val="00705D5C"/>
    <w:rsid w:val="0072110A"/>
    <w:rsid w:val="00727206"/>
    <w:rsid w:val="00732D91"/>
    <w:rsid w:val="007479AD"/>
    <w:rsid w:val="00750DF7"/>
    <w:rsid w:val="00752E5E"/>
    <w:rsid w:val="00753483"/>
    <w:rsid w:val="00763A33"/>
    <w:rsid w:val="00771067"/>
    <w:rsid w:val="007729B7"/>
    <w:rsid w:val="007747D3"/>
    <w:rsid w:val="00786E3C"/>
    <w:rsid w:val="007900FB"/>
    <w:rsid w:val="00791AB0"/>
    <w:rsid w:val="0079484D"/>
    <w:rsid w:val="007A0B86"/>
    <w:rsid w:val="007A6811"/>
    <w:rsid w:val="007A6D98"/>
    <w:rsid w:val="007B043E"/>
    <w:rsid w:val="007B39E6"/>
    <w:rsid w:val="007B5C9B"/>
    <w:rsid w:val="007B6AC8"/>
    <w:rsid w:val="007C01BA"/>
    <w:rsid w:val="007C2DA0"/>
    <w:rsid w:val="007C507C"/>
    <w:rsid w:val="007D19A1"/>
    <w:rsid w:val="007E5FAD"/>
    <w:rsid w:val="007F7A1E"/>
    <w:rsid w:val="00803A9A"/>
    <w:rsid w:val="00804390"/>
    <w:rsid w:val="00810E0C"/>
    <w:rsid w:val="008114FB"/>
    <w:rsid w:val="008206A7"/>
    <w:rsid w:val="00822E60"/>
    <w:rsid w:val="008258AC"/>
    <w:rsid w:val="00836528"/>
    <w:rsid w:val="0083679C"/>
    <w:rsid w:val="00840520"/>
    <w:rsid w:val="00856542"/>
    <w:rsid w:val="008969A8"/>
    <w:rsid w:val="008A1058"/>
    <w:rsid w:val="008A2053"/>
    <w:rsid w:val="008D2E81"/>
    <w:rsid w:val="008F5DD0"/>
    <w:rsid w:val="009060B0"/>
    <w:rsid w:val="00906409"/>
    <w:rsid w:val="009147FE"/>
    <w:rsid w:val="009153F0"/>
    <w:rsid w:val="00932C9C"/>
    <w:rsid w:val="009448A0"/>
    <w:rsid w:val="009470A4"/>
    <w:rsid w:val="00951A21"/>
    <w:rsid w:val="00962608"/>
    <w:rsid w:val="009830B4"/>
    <w:rsid w:val="00993703"/>
    <w:rsid w:val="00994075"/>
    <w:rsid w:val="009946F6"/>
    <w:rsid w:val="00995EBE"/>
    <w:rsid w:val="00997DD8"/>
    <w:rsid w:val="009A294E"/>
    <w:rsid w:val="009A7E53"/>
    <w:rsid w:val="009C0C7F"/>
    <w:rsid w:val="009C2D50"/>
    <w:rsid w:val="009C61A2"/>
    <w:rsid w:val="009E2EF8"/>
    <w:rsid w:val="009E5D7B"/>
    <w:rsid w:val="009E5DC3"/>
    <w:rsid w:val="009F4608"/>
    <w:rsid w:val="009F5913"/>
    <w:rsid w:val="00A04703"/>
    <w:rsid w:val="00A1044D"/>
    <w:rsid w:val="00A25A80"/>
    <w:rsid w:val="00A267BA"/>
    <w:rsid w:val="00A31966"/>
    <w:rsid w:val="00A41C93"/>
    <w:rsid w:val="00A551DC"/>
    <w:rsid w:val="00A841DA"/>
    <w:rsid w:val="00A91222"/>
    <w:rsid w:val="00A91787"/>
    <w:rsid w:val="00A97F48"/>
    <w:rsid w:val="00AA0244"/>
    <w:rsid w:val="00AA1953"/>
    <w:rsid w:val="00AB465A"/>
    <w:rsid w:val="00AB5511"/>
    <w:rsid w:val="00AB6E3D"/>
    <w:rsid w:val="00AD4CF6"/>
    <w:rsid w:val="00AD6209"/>
    <w:rsid w:val="00AE4954"/>
    <w:rsid w:val="00AF0EAF"/>
    <w:rsid w:val="00AF74D9"/>
    <w:rsid w:val="00B017DE"/>
    <w:rsid w:val="00B02B68"/>
    <w:rsid w:val="00B03B2B"/>
    <w:rsid w:val="00B270B1"/>
    <w:rsid w:val="00B30138"/>
    <w:rsid w:val="00B32861"/>
    <w:rsid w:val="00B474FA"/>
    <w:rsid w:val="00B478AD"/>
    <w:rsid w:val="00B50641"/>
    <w:rsid w:val="00B56C5A"/>
    <w:rsid w:val="00B640EC"/>
    <w:rsid w:val="00B657E5"/>
    <w:rsid w:val="00B746E5"/>
    <w:rsid w:val="00B775C1"/>
    <w:rsid w:val="00B8128F"/>
    <w:rsid w:val="00B91121"/>
    <w:rsid w:val="00BA4491"/>
    <w:rsid w:val="00BA5269"/>
    <w:rsid w:val="00BA59D7"/>
    <w:rsid w:val="00BA68A3"/>
    <w:rsid w:val="00BA6DB6"/>
    <w:rsid w:val="00BB4EB3"/>
    <w:rsid w:val="00BB53D7"/>
    <w:rsid w:val="00BB613F"/>
    <w:rsid w:val="00BC0303"/>
    <w:rsid w:val="00BF66C0"/>
    <w:rsid w:val="00C079AD"/>
    <w:rsid w:val="00C208A3"/>
    <w:rsid w:val="00C30565"/>
    <w:rsid w:val="00C346A5"/>
    <w:rsid w:val="00C535C7"/>
    <w:rsid w:val="00C72594"/>
    <w:rsid w:val="00C93B8D"/>
    <w:rsid w:val="00C94F81"/>
    <w:rsid w:val="00C967FD"/>
    <w:rsid w:val="00CA3551"/>
    <w:rsid w:val="00CA39F1"/>
    <w:rsid w:val="00CA78B3"/>
    <w:rsid w:val="00CC6F99"/>
    <w:rsid w:val="00CD049C"/>
    <w:rsid w:val="00CD34D1"/>
    <w:rsid w:val="00CE6055"/>
    <w:rsid w:val="00CE6883"/>
    <w:rsid w:val="00CE72FC"/>
    <w:rsid w:val="00CE732D"/>
    <w:rsid w:val="00CE7A1A"/>
    <w:rsid w:val="00CE7CD4"/>
    <w:rsid w:val="00CF5AFE"/>
    <w:rsid w:val="00D1153E"/>
    <w:rsid w:val="00D11BC7"/>
    <w:rsid w:val="00D171E3"/>
    <w:rsid w:val="00D17674"/>
    <w:rsid w:val="00D20453"/>
    <w:rsid w:val="00D2094E"/>
    <w:rsid w:val="00D24AFD"/>
    <w:rsid w:val="00D316FC"/>
    <w:rsid w:val="00D803E6"/>
    <w:rsid w:val="00D94DBF"/>
    <w:rsid w:val="00D95B26"/>
    <w:rsid w:val="00D960E2"/>
    <w:rsid w:val="00DA1AD1"/>
    <w:rsid w:val="00DA6B7C"/>
    <w:rsid w:val="00DA7095"/>
    <w:rsid w:val="00DB083C"/>
    <w:rsid w:val="00DB54C6"/>
    <w:rsid w:val="00DC09A0"/>
    <w:rsid w:val="00DC2CEE"/>
    <w:rsid w:val="00DC77F9"/>
    <w:rsid w:val="00DE293D"/>
    <w:rsid w:val="00DF2D42"/>
    <w:rsid w:val="00E13A01"/>
    <w:rsid w:val="00E31A99"/>
    <w:rsid w:val="00E3299B"/>
    <w:rsid w:val="00E43EE2"/>
    <w:rsid w:val="00E47482"/>
    <w:rsid w:val="00E50381"/>
    <w:rsid w:val="00E52830"/>
    <w:rsid w:val="00E62AC7"/>
    <w:rsid w:val="00E65A3D"/>
    <w:rsid w:val="00E70539"/>
    <w:rsid w:val="00E70766"/>
    <w:rsid w:val="00E76088"/>
    <w:rsid w:val="00E80136"/>
    <w:rsid w:val="00E83691"/>
    <w:rsid w:val="00E9708F"/>
    <w:rsid w:val="00EA206E"/>
    <w:rsid w:val="00EA6B05"/>
    <w:rsid w:val="00EB6998"/>
    <w:rsid w:val="00EC654D"/>
    <w:rsid w:val="00ED559D"/>
    <w:rsid w:val="00EE0CD7"/>
    <w:rsid w:val="00EE6873"/>
    <w:rsid w:val="00EE6F1A"/>
    <w:rsid w:val="00EF0D4B"/>
    <w:rsid w:val="00F05BFA"/>
    <w:rsid w:val="00F210A5"/>
    <w:rsid w:val="00F222C3"/>
    <w:rsid w:val="00F2468C"/>
    <w:rsid w:val="00F25090"/>
    <w:rsid w:val="00F44A2D"/>
    <w:rsid w:val="00F53BF8"/>
    <w:rsid w:val="00F63E75"/>
    <w:rsid w:val="00F71CE1"/>
    <w:rsid w:val="00F8077E"/>
    <w:rsid w:val="00F83193"/>
    <w:rsid w:val="00F87CD3"/>
    <w:rsid w:val="00F941BF"/>
    <w:rsid w:val="00F94C5E"/>
    <w:rsid w:val="00F96D64"/>
    <w:rsid w:val="00FB30A9"/>
    <w:rsid w:val="00FB3CAB"/>
    <w:rsid w:val="00FB624A"/>
    <w:rsid w:val="00FB711F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CF6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4A2D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EA206E"/>
    <w:pPr>
      <w:numPr>
        <w:ilvl w:val="2"/>
      </w:numPr>
      <w:spacing w:before="120" w:after="0" w:line="360" w:lineRule="auto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44A2D"/>
    <w:rPr>
      <w:rFonts w:ascii="Calibri Light" w:hAnsi="Calibri Light" w:cs="Arial"/>
      <w:color w:val="1B365D"/>
      <w:sz w:val="4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206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find-help-for/fast-food-restaurants-cafes" TargetMode="External"/><Relationship Id="rId7" Type="http://schemas.openxmlformats.org/officeDocument/2006/relationships/hyperlink" Target="https://www.fairwork.gov.au/how-we-will-help/templates-and-guides" TargetMode="External"/><Relationship Id="rId2" Type="http://schemas.openxmlformats.org/officeDocument/2006/relationships/hyperlink" Target="https://www.fairwork.gov.au/find-help-for/franchises" TargetMode="External"/><Relationship Id="rId1" Type="http://schemas.openxmlformats.org/officeDocument/2006/relationships/hyperlink" Target="https://www.fairwork.gov.au/about-us/news-and-media-releases/2019-media-releases/december-2019/20191218-emerging-franchises-compliance-activity" TargetMode="External"/><Relationship Id="rId6" Type="http://schemas.openxmlformats.org/officeDocument/2006/relationships/hyperlink" Target="https://www.fairwork.gov.au/how-we-will-help/online-training/online-learning-centre" TargetMode="External"/><Relationship Id="rId5" Type="http://schemas.openxmlformats.org/officeDocument/2006/relationships/hyperlink" Target="https://www.fairwork.gov.au/my-account/registerpage.aspx" TargetMode="External"/><Relationship Id="rId4" Type="http://schemas.openxmlformats.org/officeDocument/2006/relationships/hyperlink" Target="https://calculate.fairwork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48AF-BF48-461D-8BAC-D29D5E6F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Gami Chicken and Beer compliance activity report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 Chicken and Beer compliance activity report</dc:title>
  <dc:subject>Gami Chicken and Beer compliance activity report</dc:subject>
  <dc:creator/>
  <cp:keywords>Gami Chicken and Beer, compliance, activity report</cp:keywords>
  <cp:lastModifiedBy/>
  <cp:revision>1</cp:revision>
  <dcterms:created xsi:type="dcterms:W3CDTF">2020-09-01T00:38:00Z</dcterms:created>
  <dcterms:modified xsi:type="dcterms:W3CDTF">2020-09-01T00:38:00Z</dcterms:modified>
</cp:coreProperties>
</file>