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F202" w14:textId="0A898FFC" w:rsidR="00A8693C" w:rsidRDefault="00A8693C" w:rsidP="00BD0824">
      <w:pPr>
        <w:pStyle w:val="Heading1"/>
      </w:pPr>
      <w:bookmarkStart w:id="0" w:name="_Toc250628"/>
      <w:bookmarkStart w:id="1" w:name="_Toc18671215"/>
      <w:r>
        <w:rPr>
          <w:noProof/>
          <w:lang w:eastAsia="en-AU" w:bidi="ne-NP"/>
        </w:rPr>
        <w:drawing>
          <wp:anchor distT="0" distB="0" distL="114300" distR="114300" simplePos="0" relativeHeight="251659266" behindDoc="0" locked="0" layoutInCell="1" allowOverlap="1" wp14:anchorId="59117318" wp14:editId="7A7CD005">
            <wp:simplePos x="0" y="0"/>
            <wp:positionH relativeFrom="page">
              <wp:align>left</wp:align>
            </wp:positionH>
            <wp:positionV relativeFrom="paragraph">
              <wp:posOffset>-990601</wp:posOffset>
            </wp:positionV>
            <wp:extent cx="7588332" cy="10733923"/>
            <wp:effectExtent l="0" t="0" r="0" b="0"/>
            <wp:wrapNone/>
            <wp:docPr id="4" name="Picture 4" title="Fair Work Ombuds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dprecint-infographic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471" cy="10746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AD371" w14:textId="77777777" w:rsidR="00A8693C" w:rsidRDefault="00A8693C" w:rsidP="00A8693C">
      <w:pPr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7B8242EF" w14:textId="77777777" w:rsidR="00A8693C" w:rsidRDefault="00A8693C" w:rsidP="00BD0824">
      <w:pPr>
        <w:pStyle w:val="Heading1"/>
      </w:pPr>
    </w:p>
    <w:p w14:paraId="79F99214" w14:textId="286ED490" w:rsidR="00134F7F" w:rsidRDefault="00BD0824" w:rsidP="00D66E05">
      <w:pPr>
        <w:pStyle w:val="Heading1"/>
      </w:pPr>
      <w:r>
        <w:t xml:space="preserve">Food </w:t>
      </w:r>
      <w:r w:rsidR="001B6D6D">
        <w:t>P</w:t>
      </w:r>
      <w:r>
        <w:t xml:space="preserve">recincts </w:t>
      </w:r>
      <w:r w:rsidR="001B6D6D">
        <w:t>C</w:t>
      </w:r>
      <w:r>
        <w:t xml:space="preserve">ompliance </w:t>
      </w:r>
      <w:r w:rsidR="001B6D6D">
        <w:t>A</w:t>
      </w:r>
      <w:r>
        <w:t>ctivity #2</w:t>
      </w:r>
      <w:bookmarkEnd w:id="0"/>
      <w:bookmarkEnd w:id="1"/>
      <w:r w:rsidR="00134F7F" w:rsidRPr="00AF5C01">
        <w:rPr>
          <w:noProof/>
          <w:lang w:eastAsia="en-AU" w:bidi="ne-NP"/>
        </w:rPr>
        <w:drawing>
          <wp:anchor distT="0" distB="0" distL="114300" distR="114300" simplePos="0" relativeHeight="251658242" behindDoc="0" locked="0" layoutInCell="1" allowOverlap="1" wp14:anchorId="74EB67EC" wp14:editId="7099C53B">
            <wp:simplePos x="0" y="0"/>
            <wp:positionH relativeFrom="column">
              <wp:posOffset>-581660</wp:posOffset>
            </wp:positionH>
            <wp:positionV relativeFrom="page">
              <wp:posOffset>247650</wp:posOffset>
            </wp:positionV>
            <wp:extent cx="2971165" cy="541655"/>
            <wp:effectExtent l="0" t="0" r="635" b="0"/>
            <wp:wrapNone/>
            <wp:docPr id="3" name="Picture 3" title="Fair Work Ombuds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J:\Desktop\FWO%20logo%20-%20inline%20mono%20-%20black%20and%20white%20larg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7F">
        <w:rPr>
          <w:rFonts w:cs="HelveticaNeue-Light"/>
          <w:noProof/>
          <w:color w:val="000000"/>
          <w:szCs w:val="44"/>
          <w:lang w:eastAsia="en-AU" w:bidi="ne-NP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11834FD" wp14:editId="1359339B">
                <wp:simplePos x="0" y="0"/>
                <wp:positionH relativeFrom="column">
                  <wp:posOffset>-828040</wp:posOffset>
                </wp:positionH>
                <wp:positionV relativeFrom="page">
                  <wp:posOffset>10160</wp:posOffset>
                </wp:positionV>
                <wp:extent cx="7548880" cy="1031240"/>
                <wp:effectExtent l="0" t="0" r="0" b="0"/>
                <wp:wrapNone/>
                <wp:docPr id="1" name="Rectangle 1" title="Fair Work Ombudsman logo pan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31240"/>
                        </a:xfrm>
                        <a:prstGeom prst="rect">
                          <a:avLst/>
                        </a:prstGeom>
                        <a:solidFill>
                          <a:srgbClr val="1B36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082D9" id="Rectangle 1" o:spid="_x0000_s1026" alt="Title: Fair Work Ombudsman logo panel" style="position:absolute;margin-left:-65.2pt;margin-top:.8pt;width:594.4pt;height:81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igswIAAK0FAAAOAAAAZHJzL2Uyb0RvYy54bWysVE1PGzEQvVfqf7B8L5uEhKYRG5SCUlVC&#10;gICKs+P1JlZtjzt2vvrrO/Z+QCnqoWoOG9sz82bm+XnOLw7WsJ3CoMGVfHgy4Ew5CZV265J/e1x+&#10;mHIWonCVMOBUyY8q8Iv5+3fnez9TI9iAqRQyAnFhtvcl38ToZ0UR5EZZEU7AK0fGGtCKSFtcFxWK&#10;PaFbU4wGg7NiD1h5BKlCoNOrxsjnGb+ulYy3dR1UZKbkVFvMX8zfVfoW83MxW6PwGy3bMsQ/VGGF&#10;dpS0h7oSUbAt6j+grJYIAep4IsEWUNdaqtwDdTMcvOrmYSO8yr0QOcH3NIX/BytvdnfIdEV3x5kT&#10;lq7onkgTbm0Uo6Ooo6GzpdDIngC/s1u72lbBCscMrIF54ZRJLO59mBHYg7/DdhdomSg51GjTPzXL&#10;Dpn5Y8+8OkQm6fDjZDydTumCJNmGg9PhaJzvpngO9xjiFwWWpUXJkarMjIvddYiUklw7l5QtgNHV&#10;UhuTN7heXRpkO0EyGH4+PZtcpZop5Dc345KzgxTWmNNJkVprmsmreDQq+Rl3r2qijsof5UqyaFWf&#10;R0ipXBw2po2oVJN+MqBflz3JPEXkWjJgQq4pf4/dAnSeDUiH3VTZ+qdQlTXfBw/+VlgT3EfkzOBi&#10;H2y1A3wLwFBXbebGvyOpoSaxtILqSMJCaF5c8HKp6d6uRYh3AumJ0V3T2Ii39KkN7EsO7YqzDeDP&#10;t86TPymfrJzt6cmWPPzYClScma+O3sSn4ZhUw2LejCcfR7TBl5bVS4vb2ktIcqAB5WVeJv9oumWN&#10;YEny1SJlJZNwknKXXEbsNpexGSU0n6RaLLIbvWsv4rV78DKBJ1aTLh8PTwJ9K95Iur+B7nmL2SsN&#10;N74p0sFiG6HWWeDPvLZ800zIwmnnVxo6L/fZ63nKzn8BAAD//wMAUEsDBBQABgAIAAAAIQAfT4PC&#10;3gAAAAsBAAAPAAAAZHJzL2Rvd25yZXYueG1sTI9BT4NAEIXvJv6HzZh4a3erlVRkaUyTmujJVrwv&#10;MAKRnaXsUui/dzjV47z35c17yXayrThj7xtHGlZLBQKpcGVDlYbsa7/YgPDBUGlaR6jhgh626e1N&#10;YuLSjXTA8zFUgkPIx0ZDHUIXS+mLGq3xS9chsffjemsCn30ly96MHG5b+aBUJK1piD/UpsNdjcXv&#10;cbAant/eDzY/DScyUbT//txll48x0/r+bnp9ARFwClcY5vpcHVLulLuBSi9aDYvVo1ozy04EYgbU&#10;04aFfBbWCmSayP8b0j8AAAD//wMAUEsBAi0AFAAGAAgAAAAhALaDOJL+AAAA4QEAABMAAAAAAAAA&#10;AAAAAAAAAAAAAFtDb250ZW50X1R5cGVzXS54bWxQSwECLQAUAAYACAAAACEAOP0h/9YAAACUAQAA&#10;CwAAAAAAAAAAAAAAAAAvAQAAX3JlbHMvLnJlbHNQSwECLQAUAAYACAAAACEAKYmIoLMCAACtBQAA&#10;DgAAAAAAAAAAAAAAAAAuAgAAZHJzL2Uyb0RvYy54bWxQSwECLQAUAAYACAAAACEAH0+Dwt4AAAAL&#10;AQAADwAAAAAAAAAAAAAAAAANBQAAZHJzL2Rvd25yZXYueG1sUEsFBgAAAAAEAAQA8wAAABgGAAAA&#10;AA==&#10;" fillcolor="#1b365d" stroked="f" strokeweight="2pt">
                <w10:wrap anchory="page"/>
              </v:rect>
            </w:pict>
          </mc:Fallback>
        </mc:AlternateContent>
      </w:r>
    </w:p>
    <w:p w14:paraId="4A9D6145" w14:textId="30CB1536" w:rsidR="00BD0824" w:rsidRPr="007E4F65" w:rsidRDefault="00BD0824" w:rsidP="00AE42E3">
      <w:pPr>
        <w:pStyle w:val="Heading2"/>
        <w:spacing w:line="360" w:lineRule="auto"/>
      </w:pPr>
      <w:r>
        <w:t>What we did and why</w:t>
      </w:r>
    </w:p>
    <w:p w14:paraId="640668BE" w14:textId="43E345B3" w:rsidR="0042525A" w:rsidRPr="00824744" w:rsidRDefault="00BD0824" w:rsidP="00AE42E3">
      <w:r>
        <w:t>The</w:t>
      </w:r>
      <w:r w:rsidRPr="00824744">
        <w:t xml:space="preserve"> </w:t>
      </w:r>
      <w:r>
        <w:t xml:space="preserve">hospitality </w:t>
      </w:r>
      <w:r w:rsidRPr="00824744">
        <w:t>industry</w:t>
      </w:r>
      <w:r>
        <w:t xml:space="preserve"> </w:t>
      </w:r>
      <w:r w:rsidRPr="00824744">
        <w:t>accounts for around 7% of Australia’s</w:t>
      </w:r>
      <w:r>
        <w:t xml:space="preserve"> total workforce, but </w:t>
      </w:r>
      <w:r w:rsidR="0042525A">
        <w:t xml:space="preserve">it </w:t>
      </w:r>
      <w:proofErr w:type="gramStart"/>
      <w:r w:rsidR="0042525A">
        <w:t>is</w:t>
      </w:r>
      <w:r w:rsidR="0042525A" w:rsidRPr="00824744">
        <w:t xml:space="preserve"> </w:t>
      </w:r>
      <w:r w:rsidR="0042525A">
        <w:t>disproportionately</w:t>
      </w:r>
      <w:r w:rsidR="0042525A" w:rsidRPr="00824744">
        <w:t xml:space="preserve"> represented</w:t>
      </w:r>
      <w:proofErr w:type="gramEnd"/>
      <w:r w:rsidR="0042525A" w:rsidRPr="00824744">
        <w:t xml:space="preserve"> in </w:t>
      </w:r>
      <w:r w:rsidR="0042525A">
        <w:t>Fair Work Ombudsman (FWO)</w:t>
      </w:r>
      <w:r w:rsidR="0042525A" w:rsidRPr="00824744">
        <w:t xml:space="preserve"> compliance data. </w:t>
      </w:r>
      <w:r w:rsidR="0042525A">
        <w:t>I</w:t>
      </w:r>
      <w:r w:rsidR="0042525A" w:rsidRPr="00824744">
        <w:t xml:space="preserve">n 2017-2018, </w:t>
      </w:r>
      <w:r w:rsidR="0042525A">
        <w:t xml:space="preserve">hospitality </w:t>
      </w:r>
      <w:r w:rsidR="0042525A" w:rsidRPr="00824744">
        <w:t>accounted for:</w:t>
      </w:r>
    </w:p>
    <w:p w14:paraId="64ED1B9C" w14:textId="62C4FAD6" w:rsidR="0042525A" w:rsidRPr="0042525A" w:rsidRDefault="0042525A" w:rsidP="00AE42E3">
      <w:pPr>
        <w:pStyle w:val="Bullet"/>
        <w:spacing w:line="360" w:lineRule="auto"/>
      </w:pPr>
      <w:r w:rsidRPr="0042525A">
        <w:t>18% of all workplace dis</w:t>
      </w:r>
      <w:r>
        <w:t>putes received</w:t>
      </w:r>
    </w:p>
    <w:p w14:paraId="774920A9" w14:textId="77777777" w:rsidR="0042525A" w:rsidRPr="0042525A" w:rsidRDefault="0042525A" w:rsidP="00AE42E3">
      <w:pPr>
        <w:pStyle w:val="Bullet"/>
        <w:spacing w:line="360" w:lineRule="auto"/>
      </w:pPr>
      <w:r w:rsidRPr="0042525A">
        <w:t>19% of all monetary recoveries ($4.8 million)</w:t>
      </w:r>
    </w:p>
    <w:p w14:paraId="4B76F04D" w14:textId="02014D43" w:rsidR="0042525A" w:rsidRPr="0042525A" w:rsidRDefault="0042525A" w:rsidP="00AE42E3">
      <w:pPr>
        <w:pStyle w:val="Bullet"/>
        <w:spacing w:line="360" w:lineRule="auto"/>
      </w:pPr>
      <w:r w:rsidRPr="0042525A">
        <w:t>37% of all anonymous reports received</w:t>
      </w:r>
    </w:p>
    <w:p w14:paraId="2CED8C05" w14:textId="77777777" w:rsidR="0042525A" w:rsidRPr="0042525A" w:rsidRDefault="0042525A" w:rsidP="00AE42E3">
      <w:pPr>
        <w:pStyle w:val="Bullet"/>
        <w:spacing w:line="360" w:lineRule="auto"/>
      </w:pPr>
      <w:proofErr w:type="gramStart"/>
      <w:r w:rsidRPr="0042525A">
        <w:t>around</w:t>
      </w:r>
      <w:proofErr w:type="gramEnd"/>
      <w:r w:rsidRPr="0042525A">
        <w:t xml:space="preserve"> a third of all compliance and enforcement outcomes, including litigations.</w:t>
      </w:r>
    </w:p>
    <w:p w14:paraId="097FA83B" w14:textId="3C7E2B06" w:rsidR="00BD0824" w:rsidRDefault="0042525A" w:rsidP="00AE42E3">
      <w:pPr>
        <w:tabs>
          <w:tab w:val="left" w:pos="970"/>
        </w:tabs>
        <w:spacing w:before="240"/>
      </w:pPr>
      <w:r>
        <w:t>With low barriers to entry, h</w:t>
      </w:r>
      <w:r w:rsidR="00BD0824">
        <w:t xml:space="preserve">ospitality offers </w:t>
      </w:r>
      <w:r w:rsidR="00BD0824" w:rsidRPr="00576C18">
        <w:t>accessible</w:t>
      </w:r>
      <w:r w:rsidR="00BD0824">
        <w:t xml:space="preserve"> employment for young workers, students and migrants enter</w:t>
      </w:r>
      <w:r>
        <w:t>ing</w:t>
      </w:r>
      <w:r w:rsidR="00BD0824">
        <w:t xml:space="preserve"> the Australian labour market. These groups can be vulnerable to exploitation, due to a lack of awareness or understanding of their entitlements</w:t>
      </w:r>
      <w:r w:rsidR="001B6D6D">
        <w:t>,</w:t>
      </w:r>
      <w:r w:rsidR="00BD0824">
        <w:t xml:space="preserve"> and an unwillingness to raise concerns with their employer or the FWO.</w:t>
      </w:r>
    </w:p>
    <w:p w14:paraId="0165A259" w14:textId="77777777" w:rsidR="00BD0824" w:rsidRDefault="00BD0824" w:rsidP="00AE42E3">
      <w:pPr>
        <w:tabs>
          <w:tab w:val="left" w:pos="970"/>
        </w:tabs>
      </w:pPr>
      <w:r>
        <w:t xml:space="preserve">High non-compliance rates, coupled with the vulnerability of the workforce in the </w:t>
      </w:r>
      <w:r w:rsidRPr="00C1692F">
        <w:t xml:space="preserve">fast </w:t>
      </w:r>
      <w:r>
        <w:t>f</w:t>
      </w:r>
      <w:r w:rsidRPr="00C1692F">
        <w:t>ood, restaurant and café (FRAC) sector</w:t>
      </w:r>
      <w:r>
        <w:t>, make it a key priority for the FWO.</w:t>
      </w:r>
      <w:r>
        <w:rPr>
          <w:rStyle w:val="FootnoteReference"/>
        </w:rPr>
        <w:footnoteReference w:id="2"/>
      </w:r>
    </w:p>
    <w:p w14:paraId="7531C39A" w14:textId="3487EBBD" w:rsidR="0042525A" w:rsidRDefault="00BD0824" w:rsidP="00AE42E3">
      <w:pPr>
        <w:rPr>
          <w:szCs w:val="22"/>
        </w:rPr>
      </w:pPr>
      <w:r>
        <w:t>This compliance activity was the second in a series targeting food precincts</w:t>
      </w:r>
      <w:r w:rsidR="0042525A">
        <w:t xml:space="preserve"> (‘cheap-eat’ and entertainment strips)</w:t>
      </w:r>
      <w:r w:rsidR="001B6D6D">
        <w:t>.</w:t>
      </w:r>
      <w:r w:rsidR="001B6D6D" w:rsidRPr="001B6D6D">
        <w:rPr>
          <w:szCs w:val="22"/>
        </w:rPr>
        <w:t xml:space="preserve"> </w:t>
      </w:r>
      <w:r w:rsidR="001B6D6D">
        <w:rPr>
          <w:szCs w:val="22"/>
        </w:rPr>
        <w:t>In the first</w:t>
      </w:r>
      <w:r w:rsidR="00355DCE">
        <w:rPr>
          <w:szCs w:val="22"/>
        </w:rPr>
        <w:t xml:space="preserve"> activity</w:t>
      </w:r>
      <w:r w:rsidR="001B6D6D">
        <w:rPr>
          <w:szCs w:val="22"/>
        </w:rPr>
        <w:t>, we found 81% of businesses in Victoria St, Melbourne (Vic) were non-compl</w:t>
      </w:r>
      <w:r w:rsidR="00C17D26">
        <w:rPr>
          <w:szCs w:val="22"/>
        </w:rPr>
        <w:t>ia</w:t>
      </w:r>
      <w:r w:rsidR="001B6D6D">
        <w:rPr>
          <w:szCs w:val="22"/>
        </w:rPr>
        <w:t>nt</w:t>
      </w:r>
      <w:r w:rsidR="00000CF4">
        <w:rPr>
          <w:rStyle w:val="FootnoteReference"/>
          <w:szCs w:val="22"/>
        </w:rPr>
        <w:footnoteReference w:id="3"/>
      </w:r>
      <w:r w:rsidR="00000CF4">
        <w:rPr>
          <w:szCs w:val="22"/>
        </w:rPr>
        <w:t>, which signalled the need for further targeted audits</w:t>
      </w:r>
      <w:r w:rsidR="001B6D6D">
        <w:rPr>
          <w:szCs w:val="22"/>
        </w:rPr>
        <w:t>.</w:t>
      </w:r>
      <w:r w:rsidR="00000CF4">
        <w:rPr>
          <w:szCs w:val="22"/>
        </w:rPr>
        <w:t xml:space="preserve"> </w:t>
      </w:r>
    </w:p>
    <w:p w14:paraId="5DEE2154" w14:textId="25C5D414" w:rsidR="0042525A" w:rsidRPr="002200BA" w:rsidRDefault="0042525A" w:rsidP="00AE42E3">
      <w:pPr>
        <w:jc w:val="both"/>
        <w:rPr>
          <w:szCs w:val="22"/>
        </w:rPr>
      </w:pPr>
      <w:r>
        <w:rPr>
          <w:szCs w:val="22"/>
        </w:rPr>
        <w:t>These food precincts</w:t>
      </w:r>
      <w:r w:rsidRPr="002200BA">
        <w:rPr>
          <w:szCs w:val="22"/>
        </w:rPr>
        <w:t xml:space="preserve"> </w:t>
      </w:r>
      <w:proofErr w:type="gramStart"/>
      <w:r w:rsidRPr="002200BA">
        <w:rPr>
          <w:szCs w:val="22"/>
        </w:rPr>
        <w:t>are characterised</w:t>
      </w:r>
      <w:proofErr w:type="gramEnd"/>
      <w:r w:rsidRPr="002200BA">
        <w:rPr>
          <w:szCs w:val="22"/>
        </w:rPr>
        <w:t xml:space="preserve"> by:</w:t>
      </w:r>
    </w:p>
    <w:p w14:paraId="138182DD" w14:textId="6FC41404" w:rsidR="0042525A" w:rsidRPr="002200BA" w:rsidRDefault="0042525A" w:rsidP="00AE42E3">
      <w:pPr>
        <w:pStyle w:val="Bullet"/>
        <w:spacing w:line="360" w:lineRule="auto"/>
      </w:pPr>
      <w:r w:rsidRPr="002200BA">
        <w:t>l</w:t>
      </w:r>
      <w:r>
        <w:t>ow entry barriers for new businesses</w:t>
      </w:r>
    </w:p>
    <w:p w14:paraId="33054EF2" w14:textId="24A91006" w:rsidR="0042525A" w:rsidRPr="002200BA" w:rsidRDefault="0042525A" w:rsidP="00AE42E3">
      <w:pPr>
        <w:pStyle w:val="Bullet"/>
        <w:spacing w:line="360" w:lineRule="auto"/>
      </w:pPr>
      <w:r>
        <w:t>low (or no) union coverage and limited employee organisation</w:t>
      </w:r>
    </w:p>
    <w:p w14:paraId="6DB26092" w14:textId="1E4ABDE5" w:rsidR="0042525A" w:rsidRPr="002200BA" w:rsidRDefault="0042525A" w:rsidP="00AE42E3">
      <w:pPr>
        <w:pStyle w:val="Bullet"/>
        <w:spacing w:line="360" w:lineRule="auto"/>
      </w:pPr>
      <w:r w:rsidRPr="002200BA">
        <w:t>exploitati</w:t>
      </w:r>
      <w:r w:rsidR="003439BC">
        <w:t xml:space="preserve">on of vulnerable workers (young / </w:t>
      </w:r>
      <w:r w:rsidRPr="002200BA">
        <w:t>migrant</w:t>
      </w:r>
      <w:r w:rsidR="003439BC">
        <w:t xml:space="preserve">s / </w:t>
      </w:r>
      <w:r>
        <w:t>from non-English speaking backgrounds)</w:t>
      </w:r>
    </w:p>
    <w:p w14:paraId="6F2FA5E4" w14:textId="3B7F1579" w:rsidR="0042525A" w:rsidRDefault="00F47F43" w:rsidP="00AE42E3">
      <w:pPr>
        <w:pStyle w:val="Bullet"/>
        <w:spacing w:line="360" w:lineRule="auto"/>
      </w:pPr>
      <w:r>
        <w:t>long trading hours</w:t>
      </w:r>
      <w:r w:rsidR="00D15465">
        <w:t>, over the seven days of the week</w:t>
      </w:r>
      <w:r>
        <w:t xml:space="preserve"> (</w:t>
      </w:r>
      <w:r w:rsidR="00527025">
        <w:t xml:space="preserve">often </w:t>
      </w:r>
      <w:r>
        <w:t>with</w:t>
      </w:r>
      <w:r w:rsidR="00D5789A">
        <w:t>out pay</w:t>
      </w:r>
      <w:r w:rsidR="006614DF">
        <w:t>ment of</w:t>
      </w:r>
      <w:r w:rsidR="00000CF4">
        <w:t xml:space="preserve"> penalty rates for </w:t>
      </w:r>
      <w:r w:rsidR="00D5789A">
        <w:t>early, late, weekend</w:t>
      </w:r>
      <w:r w:rsidR="00000CF4">
        <w:t xml:space="preserve"> and </w:t>
      </w:r>
      <w:r>
        <w:t>public holiday shift</w:t>
      </w:r>
      <w:r w:rsidR="00000CF4">
        <w:t>s</w:t>
      </w:r>
      <w:r>
        <w:t>)</w:t>
      </w:r>
    </w:p>
    <w:p w14:paraId="16A9C661" w14:textId="080E3496" w:rsidR="00F47F43" w:rsidRDefault="00F47F43" w:rsidP="00AE42E3">
      <w:pPr>
        <w:pStyle w:val="Bullet"/>
        <w:spacing w:line="360" w:lineRule="auto"/>
      </w:pPr>
      <w:r>
        <w:lastRenderedPageBreak/>
        <w:t>high turnover of labour (suggesting a ready supply of workers willing to work for below minimum award rates and conditions)</w:t>
      </w:r>
    </w:p>
    <w:p w14:paraId="11FC088D" w14:textId="10EA8B2A" w:rsidR="0042525A" w:rsidRDefault="0042525A" w:rsidP="00AE42E3">
      <w:pPr>
        <w:pStyle w:val="Bullet"/>
        <w:spacing w:line="360" w:lineRule="auto"/>
      </w:pPr>
      <w:r>
        <w:t xml:space="preserve">routine </w:t>
      </w:r>
      <w:r w:rsidRPr="002200BA">
        <w:t>skill requirements</w:t>
      </w:r>
    </w:p>
    <w:p w14:paraId="0CE0D248" w14:textId="1F076A3B" w:rsidR="0042525A" w:rsidRPr="00E00A04" w:rsidRDefault="003439BC" w:rsidP="00AE42E3">
      <w:pPr>
        <w:pStyle w:val="Bullet"/>
        <w:spacing w:line="360" w:lineRule="auto"/>
      </w:pPr>
      <w:proofErr w:type="gramStart"/>
      <w:r>
        <w:t>strong</w:t>
      </w:r>
      <w:proofErr w:type="gramEnd"/>
      <w:r>
        <w:t xml:space="preserve"> competition and </w:t>
      </w:r>
      <w:r w:rsidR="0042525A" w:rsidRPr="00E00A04">
        <w:t>tight profit margins</w:t>
      </w:r>
      <w:r w:rsidR="0042525A">
        <w:t>.</w:t>
      </w:r>
    </w:p>
    <w:p w14:paraId="2EBEF8F4" w14:textId="5AD1330E" w:rsidR="0042525A" w:rsidRPr="002200BA" w:rsidRDefault="00F47F43" w:rsidP="00AE42E3">
      <w:pPr>
        <w:jc w:val="both"/>
        <w:rPr>
          <w:szCs w:val="22"/>
        </w:rPr>
      </w:pPr>
      <w:r>
        <w:rPr>
          <w:szCs w:val="22"/>
        </w:rPr>
        <w:t>It</w:t>
      </w:r>
      <w:r w:rsidR="0042525A" w:rsidRPr="002200BA">
        <w:rPr>
          <w:szCs w:val="22"/>
        </w:rPr>
        <w:t xml:space="preserve"> is </w:t>
      </w:r>
      <w:r w:rsidR="006C65EB">
        <w:rPr>
          <w:szCs w:val="22"/>
        </w:rPr>
        <w:t xml:space="preserve">in </w:t>
      </w:r>
      <w:r w:rsidR="006614DF">
        <w:rPr>
          <w:szCs w:val="22"/>
        </w:rPr>
        <w:t>the FWO’s</w:t>
      </w:r>
      <w:r>
        <w:rPr>
          <w:szCs w:val="22"/>
        </w:rPr>
        <w:t xml:space="preserve"> </w:t>
      </w:r>
      <w:r w:rsidR="0042525A" w:rsidRPr="002200BA">
        <w:rPr>
          <w:szCs w:val="22"/>
        </w:rPr>
        <w:t>experience that employ</w:t>
      </w:r>
      <w:r w:rsidR="003439BC">
        <w:rPr>
          <w:szCs w:val="22"/>
        </w:rPr>
        <w:t xml:space="preserve">ers in these highly competitive, </w:t>
      </w:r>
      <w:r w:rsidR="00C67AE9">
        <w:rPr>
          <w:szCs w:val="22"/>
        </w:rPr>
        <w:t>price-</w:t>
      </w:r>
      <w:r w:rsidR="0042525A" w:rsidRPr="002200BA">
        <w:rPr>
          <w:szCs w:val="22"/>
        </w:rPr>
        <w:t xml:space="preserve">driven markets attempt to save costs </w:t>
      </w:r>
      <w:r w:rsidR="00D03CD7" w:rsidRPr="002200BA">
        <w:rPr>
          <w:szCs w:val="22"/>
        </w:rPr>
        <w:t>by failing</w:t>
      </w:r>
      <w:r w:rsidR="006614DF">
        <w:rPr>
          <w:szCs w:val="22"/>
        </w:rPr>
        <w:t xml:space="preserve"> to pay the lawful </w:t>
      </w:r>
      <w:r w:rsidR="0042525A" w:rsidRPr="002200BA">
        <w:rPr>
          <w:szCs w:val="22"/>
        </w:rPr>
        <w:t>employee entitlements</w:t>
      </w:r>
      <w:r w:rsidR="006614DF">
        <w:rPr>
          <w:szCs w:val="22"/>
        </w:rPr>
        <w:t>.</w:t>
      </w:r>
    </w:p>
    <w:p w14:paraId="6162B76C" w14:textId="2CCF848E" w:rsidR="00BD0824" w:rsidRDefault="00BD0824" w:rsidP="00AE42E3">
      <w:r>
        <w:t xml:space="preserve">In this second </w:t>
      </w:r>
      <w:r w:rsidR="00C17D26">
        <w:t>activity</w:t>
      </w:r>
      <w:r>
        <w:t xml:space="preserve">, we used </w:t>
      </w:r>
      <w:r w:rsidRPr="009D61F5">
        <w:t>intelligence</w:t>
      </w:r>
      <w:r>
        <w:t xml:space="preserve"> data including </w:t>
      </w:r>
      <w:r w:rsidRPr="004D1FBB">
        <w:t>anonymous tip offs, requests for assistance and stakeholder referrals</w:t>
      </w:r>
      <w:r>
        <w:t xml:space="preserve">, to target </w:t>
      </w:r>
      <w:r w:rsidR="0042525A">
        <w:t xml:space="preserve">priority sites within </w:t>
      </w:r>
      <w:r>
        <w:t>4 popular ‘cheap-eat’ food precincts:</w:t>
      </w:r>
    </w:p>
    <w:p w14:paraId="2323880C" w14:textId="1E16F43B" w:rsidR="00BD0824" w:rsidRDefault="00BD0824" w:rsidP="00AE42E3">
      <w:pPr>
        <w:pStyle w:val="ListParagraph"/>
        <w:numPr>
          <w:ilvl w:val="0"/>
          <w:numId w:val="6"/>
        </w:numPr>
      </w:pPr>
      <w:r>
        <w:t>Adelaide (SA)</w:t>
      </w:r>
      <w:r w:rsidRPr="00CC2D09">
        <w:t xml:space="preserve"> </w:t>
      </w:r>
      <w:r>
        <w:t xml:space="preserve">– </w:t>
      </w:r>
      <w:r w:rsidR="00504585">
        <w:t xml:space="preserve">Rundle St, Gouger St, </w:t>
      </w:r>
      <w:r w:rsidRPr="00CC2D09">
        <w:t>Grote St</w:t>
      </w:r>
      <w:r w:rsidR="00504585">
        <w:t xml:space="preserve"> and The Parade</w:t>
      </w:r>
    </w:p>
    <w:p w14:paraId="2526F7B9" w14:textId="685D4BB7" w:rsidR="00BD0824" w:rsidRDefault="00BD0824" w:rsidP="00AE42E3">
      <w:pPr>
        <w:pStyle w:val="ListParagraph"/>
        <w:numPr>
          <w:ilvl w:val="0"/>
          <w:numId w:val="6"/>
        </w:numPr>
      </w:pPr>
      <w:r>
        <w:t>Northbridge (WA) –</w:t>
      </w:r>
      <w:r w:rsidR="001B6D6D">
        <w:t xml:space="preserve"> </w:t>
      </w:r>
      <w:r w:rsidRPr="00CC2D09">
        <w:t xml:space="preserve">James </w:t>
      </w:r>
      <w:r>
        <w:t xml:space="preserve">St </w:t>
      </w:r>
      <w:r w:rsidRPr="00CC2D09">
        <w:t>and Francis St</w:t>
      </w:r>
    </w:p>
    <w:p w14:paraId="62FA32FF" w14:textId="28545D00" w:rsidR="00BD0824" w:rsidRPr="00317F05" w:rsidRDefault="00D66E05" w:rsidP="00AE42E3">
      <w:pPr>
        <w:pStyle w:val="ListParagraph"/>
        <w:numPr>
          <w:ilvl w:val="0"/>
          <w:numId w:val="6"/>
        </w:numPr>
      </w:pPr>
      <w:r>
        <w:t>Melbourne (VIC</w:t>
      </w:r>
      <w:r w:rsidR="00BD0824">
        <w:t xml:space="preserve">) – </w:t>
      </w:r>
      <w:r w:rsidR="00BD0824" w:rsidRPr="00CC2D09">
        <w:t xml:space="preserve">Swanston St, </w:t>
      </w:r>
      <w:proofErr w:type="spellStart"/>
      <w:r w:rsidR="00BD0824" w:rsidRPr="00CC2D09">
        <w:t>Lygon</w:t>
      </w:r>
      <w:proofErr w:type="spellEnd"/>
      <w:r w:rsidR="00BD0824" w:rsidRPr="00CC2D09">
        <w:t xml:space="preserve"> St, Sydney Rd and St Geor</w:t>
      </w:r>
      <w:r w:rsidR="00BD0824">
        <w:t>ges Rd</w:t>
      </w:r>
    </w:p>
    <w:p w14:paraId="338342B8" w14:textId="77777777" w:rsidR="00BD0824" w:rsidRDefault="00BD0824" w:rsidP="00AE42E3">
      <w:pPr>
        <w:pStyle w:val="ListParagraph"/>
        <w:numPr>
          <w:ilvl w:val="0"/>
          <w:numId w:val="6"/>
        </w:numPr>
      </w:pPr>
      <w:r>
        <w:t>Newtown (NSW) – King St.</w:t>
      </w:r>
    </w:p>
    <w:p w14:paraId="32C5264A" w14:textId="33C17534" w:rsidR="00740ED4" w:rsidRDefault="00BD0824" w:rsidP="00AE42E3">
      <w:r>
        <w:t xml:space="preserve">Fair Work Inspectors audited 156 businesses across the </w:t>
      </w:r>
      <w:proofErr w:type="gramStart"/>
      <w:r>
        <w:t>4</w:t>
      </w:r>
      <w:proofErr w:type="gramEnd"/>
      <w:r>
        <w:t xml:space="preserve"> locations</w:t>
      </w:r>
      <w:r w:rsidR="001B6D6D">
        <w:t>.</w:t>
      </w:r>
      <w:r w:rsidR="00000CF4">
        <w:t xml:space="preserve"> </w:t>
      </w:r>
      <w:r w:rsidR="00000CF4" w:rsidRPr="00000CF4">
        <w:t xml:space="preserve">Site visits were co-ordinated to minimise the potential for tip-offs. Fair Work Inspectors requested </w:t>
      </w:r>
      <w:r w:rsidR="006614DF">
        <w:t xml:space="preserve">employment and payroll </w:t>
      </w:r>
      <w:r w:rsidR="00000CF4" w:rsidRPr="00000CF4">
        <w:t>records, interviewed employers, managers and workers,</w:t>
      </w:r>
      <w:r w:rsidR="00000CF4">
        <w:t xml:space="preserve"> observed</w:t>
      </w:r>
      <w:r w:rsidR="00000CF4" w:rsidRPr="00000CF4">
        <w:t xml:space="preserve"> work practices</w:t>
      </w:r>
      <w:r w:rsidR="00000CF4">
        <w:t>,</w:t>
      </w:r>
      <w:r w:rsidR="00000CF4" w:rsidRPr="00000CF4">
        <w:t xml:space="preserve"> and</w:t>
      </w:r>
      <w:r w:rsidR="00000CF4">
        <w:t xml:space="preserve"> noted</w:t>
      </w:r>
      <w:r w:rsidR="00000CF4" w:rsidRPr="00000CF4">
        <w:t xml:space="preserve"> staff </w:t>
      </w:r>
      <w:r w:rsidR="00000CF4">
        <w:t xml:space="preserve">numbers </w:t>
      </w:r>
      <w:r w:rsidR="00000CF4" w:rsidRPr="00000CF4">
        <w:t>to validate</w:t>
      </w:r>
      <w:r w:rsidR="00000CF4">
        <w:t xml:space="preserve"> </w:t>
      </w:r>
      <w:r w:rsidR="006614DF">
        <w:t>business records</w:t>
      </w:r>
      <w:r w:rsidR="00000CF4">
        <w:t>.</w:t>
      </w:r>
    </w:p>
    <w:p w14:paraId="38CA58FB" w14:textId="3C7FFBE9" w:rsidR="00527025" w:rsidRPr="003439BC" w:rsidRDefault="00527025" w:rsidP="00AE42E3">
      <w:r>
        <w:t>Pay slips and record-keeping practises were assessed against the r</w:t>
      </w:r>
      <w:r w:rsidRPr="002812E0">
        <w:t xml:space="preserve">equirements of the </w:t>
      </w:r>
      <w:r w:rsidRPr="002812E0">
        <w:rPr>
          <w:i/>
        </w:rPr>
        <w:t>Fair Work Act 2009</w:t>
      </w:r>
      <w:r w:rsidRPr="002812E0">
        <w:t xml:space="preserve"> (the Act), the </w:t>
      </w:r>
      <w:r w:rsidRPr="002812E0">
        <w:rPr>
          <w:i/>
        </w:rPr>
        <w:t>Fair Work Regulations 2009</w:t>
      </w:r>
      <w:r w:rsidRPr="002812E0">
        <w:t xml:space="preserve"> (the Regulations</w:t>
      </w:r>
      <w:r>
        <w:t xml:space="preserve">), and applicable awards or registered agreements. The </w:t>
      </w:r>
      <w:proofErr w:type="gramStart"/>
      <w:r>
        <w:t xml:space="preserve">majority of businesses were covered by the </w:t>
      </w:r>
      <w:r w:rsidRPr="00527025">
        <w:rPr>
          <w:i/>
        </w:rPr>
        <w:t>Restaurant Industry Award 2010</w:t>
      </w:r>
      <w:r>
        <w:t xml:space="preserve"> or </w:t>
      </w:r>
      <w:r w:rsidRPr="00527025">
        <w:rPr>
          <w:i/>
        </w:rPr>
        <w:t>Fast Food Industry Award 2010</w:t>
      </w:r>
      <w:proofErr w:type="gramEnd"/>
      <w:r>
        <w:t>.</w:t>
      </w:r>
      <w:r w:rsidR="006614DF">
        <w:t xml:space="preserve">  </w:t>
      </w:r>
    </w:p>
    <w:p w14:paraId="505AACE3" w14:textId="31D287DD" w:rsidR="00BD0824" w:rsidRDefault="00BD0824" w:rsidP="003E50C3">
      <w:pPr>
        <w:pStyle w:val="Heading2"/>
      </w:pPr>
      <w:r>
        <w:t>Our findings</w:t>
      </w:r>
    </w:p>
    <w:p w14:paraId="41A76FA9" w14:textId="1FBA1F5D" w:rsidR="00BD0824" w:rsidRPr="00161A3E" w:rsidRDefault="00BD0824" w:rsidP="00AE42E3">
      <w:r>
        <w:t xml:space="preserve">We </w:t>
      </w:r>
      <w:r w:rsidRPr="00032ABF">
        <w:t xml:space="preserve">found </w:t>
      </w:r>
      <w:r w:rsidRPr="00161A3E">
        <w:t>1</w:t>
      </w:r>
      <w:r>
        <w:t>17</w:t>
      </w:r>
      <w:r w:rsidRPr="00161A3E">
        <w:t xml:space="preserve"> (</w:t>
      </w:r>
      <w:r>
        <w:t>75</w:t>
      </w:r>
      <w:r w:rsidRPr="00161A3E">
        <w:t xml:space="preserve">%) </w:t>
      </w:r>
      <w:r>
        <w:t xml:space="preserve">businesses </w:t>
      </w:r>
      <w:r w:rsidRPr="00161A3E">
        <w:t>in breach of workplace laws</w:t>
      </w:r>
      <w:r>
        <w:t>. Of these:</w:t>
      </w:r>
    </w:p>
    <w:p w14:paraId="4F736F26" w14:textId="2F0B63E7" w:rsidR="00BD0824" w:rsidRPr="001F4DDC" w:rsidRDefault="00BD0824" w:rsidP="00AE42E3">
      <w:pPr>
        <w:pStyle w:val="Bullet"/>
        <w:numPr>
          <w:ilvl w:val="0"/>
          <w:numId w:val="7"/>
        </w:numPr>
        <w:spacing w:line="360" w:lineRule="auto"/>
        <w:contextualSpacing/>
      </w:pPr>
      <w:r w:rsidRPr="001F4DDC">
        <w:t>60 breach</w:t>
      </w:r>
      <w:r>
        <w:t>ed</w:t>
      </w:r>
      <w:r w:rsidRPr="001F4DDC">
        <w:t xml:space="preserve"> their monetary obligations </w:t>
      </w:r>
      <w:r w:rsidR="00D51D69">
        <w:t>(didn’t pay</w:t>
      </w:r>
      <w:r>
        <w:t xml:space="preserve"> workers correctly)</w:t>
      </w:r>
    </w:p>
    <w:p w14:paraId="1A7BECF5" w14:textId="512B3513" w:rsidR="00BD0824" w:rsidRPr="001F4DDC" w:rsidRDefault="00BD0824" w:rsidP="00AE42E3">
      <w:pPr>
        <w:pStyle w:val="Bullet"/>
        <w:numPr>
          <w:ilvl w:val="0"/>
          <w:numId w:val="7"/>
        </w:numPr>
        <w:spacing w:line="360" w:lineRule="auto"/>
        <w:contextualSpacing/>
      </w:pPr>
      <w:r w:rsidRPr="001F4DDC">
        <w:t>25 breach</w:t>
      </w:r>
      <w:r>
        <w:t>ed</w:t>
      </w:r>
      <w:r w:rsidRPr="001F4DDC">
        <w:t xml:space="preserve"> </w:t>
      </w:r>
      <w:r>
        <w:t>their non-monetary obligations (</w:t>
      </w:r>
      <w:r w:rsidRPr="001F4DDC">
        <w:t>pay slip and/or record-keeping requirements</w:t>
      </w:r>
      <w:r>
        <w:t>)</w:t>
      </w:r>
    </w:p>
    <w:p w14:paraId="1F3E38EA" w14:textId="72BF5AFC" w:rsidR="00BD0824" w:rsidRPr="001F4DDC" w:rsidRDefault="00BD0824" w:rsidP="00AE42E3">
      <w:pPr>
        <w:pStyle w:val="Bullet"/>
        <w:numPr>
          <w:ilvl w:val="0"/>
          <w:numId w:val="7"/>
        </w:numPr>
        <w:spacing w:line="360" w:lineRule="auto"/>
        <w:contextualSpacing/>
      </w:pPr>
      <w:proofErr w:type="gramStart"/>
      <w:r w:rsidRPr="001F4DDC">
        <w:t>32</w:t>
      </w:r>
      <w:proofErr w:type="gramEnd"/>
      <w:r w:rsidRPr="001F4DDC">
        <w:t xml:space="preserve"> breach</w:t>
      </w:r>
      <w:r>
        <w:t>ed</w:t>
      </w:r>
      <w:r w:rsidRPr="001F4DDC">
        <w:t xml:space="preserve"> both their monetary and non-monetary obligations.</w:t>
      </w:r>
    </w:p>
    <w:p w14:paraId="311A2E8B" w14:textId="77777777" w:rsidR="00BD0824" w:rsidRPr="007E4F65" w:rsidRDefault="00BD0824" w:rsidP="00AE42E3">
      <w:r w:rsidRPr="007E4F65">
        <w:t>The most common breaches</w:t>
      </w:r>
      <w:r>
        <w:t xml:space="preserve"> related </w:t>
      </w:r>
      <w:proofErr w:type="gramStart"/>
      <w:r>
        <w:t>to</w:t>
      </w:r>
      <w:proofErr w:type="gramEnd"/>
      <w:r w:rsidRPr="007E4F65">
        <w:t>:</w:t>
      </w:r>
    </w:p>
    <w:p w14:paraId="5478538D" w14:textId="77777777" w:rsidR="00BD0824" w:rsidRPr="00161A3E" w:rsidRDefault="00BD0824" w:rsidP="00AE42E3">
      <w:pPr>
        <w:pStyle w:val="ListParagraph"/>
        <w:numPr>
          <w:ilvl w:val="0"/>
          <w:numId w:val="8"/>
        </w:numPr>
      </w:pPr>
      <w:proofErr w:type="gramStart"/>
      <w:r>
        <w:t>underpayment</w:t>
      </w:r>
      <w:proofErr w:type="gramEnd"/>
      <w:r w:rsidRPr="00161A3E">
        <w:t xml:space="preserve"> of the minimum hourly rate (3</w:t>
      </w:r>
      <w:r>
        <w:t>4</w:t>
      </w:r>
      <w:r w:rsidRPr="00161A3E">
        <w:t>%</w:t>
      </w:r>
      <w:r>
        <w:t>)</w:t>
      </w:r>
    </w:p>
    <w:p w14:paraId="272A25E3" w14:textId="77777777" w:rsidR="00BD0824" w:rsidRDefault="00BD0824" w:rsidP="00AE42E3">
      <w:pPr>
        <w:pStyle w:val="ListParagraph"/>
        <w:numPr>
          <w:ilvl w:val="0"/>
          <w:numId w:val="8"/>
        </w:numPr>
      </w:pPr>
      <w:proofErr w:type="gramStart"/>
      <w:r w:rsidRPr="00161A3E">
        <w:t>failure</w:t>
      </w:r>
      <w:proofErr w:type="gramEnd"/>
      <w:r w:rsidRPr="00161A3E">
        <w:t xml:space="preserve"> to provide pay slips in the prescribed form (</w:t>
      </w:r>
      <w:r>
        <w:t>15</w:t>
      </w:r>
      <w:bookmarkStart w:id="2" w:name="_Toc250633"/>
      <w:r>
        <w:t>%)</w:t>
      </w:r>
    </w:p>
    <w:p w14:paraId="16FC2AE4" w14:textId="77777777" w:rsidR="00BD0824" w:rsidRDefault="00BD0824" w:rsidP="00AE42E3">
      <w:pPr>
        <w:pStyle w:val="ListParagraph"/>
        <w:numPr>
          <w:ilvl w:val="0"/>
          <w:numId w:val="8"/>
        </w:numPr>
      </w:pPr>
      <w:proofErr w:type="gramStart"/>
      <w:r>
        <w:t>underpayment</w:t>
      </w:r>
      <w:proofErr w:type="gramEnd"/>
      <w:r>
        <w:t xml:space="preserve"> or non-payment of weekend penalty rates (11%).</w:t>
      </w:r>
    </w:p>
    <w:p w14:paraId="630633DC" w14:textId="3AA430C9" w:rsidR="00BD0824" w:rsidRDefault="00BD0824" w:rsidP="00AE42E3">
      <w:r>
        <w:rPr>
          <w:color w:val="000000"/>
          <w:szCs w:val="22"/>
          <w:lang w:eastAsia="en-AU"/>
        </w:rPr>
        <w:lastRenderedPageBreak/>
        <w:t>The</w:t>
      </w:r>
      <w:r w:rsidR="00871BB8">
        <w:rPr>
          <w:color w:val="000000"/>
          <w:szCs w:val="22"/>
          <w:lang w:eastAsia="en-AU"/>
        </w:rPr>
        <w:t xml:space="preserve"> findings confirm the absence of an</w:t>
      </w:r>
      <w:r>
        <w:rPr>
          <w:color w:val="000000"/>
          <w:szCs w:val="22"/>
          <w:lang w:eastAsia="en-AU"/>
        </w:rPr>
        <w:t xml:space="preserve"> even playing field </w:t>
      </w:r>
      <w:r w:rsidR="00871BB8">
        <w:rPr>
          <w:color w:val="000000"/>
          <w:szCs w:val="22"/>
          <w:lang w:eastAsia="en-AU"/>
        </w:rPr>
        <w:t xml:space="preserve">in these food precincts. </w:t>
      </w:r>
      <w:r w:rsidR="007D0CC6">
        <w:rPr>
          <w:color w:val="000000"/>
          <w:szCs w:val="22"/>
          <w:lang w:eastAsia="en-AU"/>
        </w:rPr>
        <w:t xml:space="preserve">We are concerned about </w:t>
      </w:r>
      <w:r w:rsidR="00871BB8">
        <w:rPr>
          <w:color w:val="000000"/>
          <w:szCs w:val="22"/>
          <w:lang w:eastAsia="en-AU"/>
        </w:rPr>
        <w:t xml:space="preserve">the flow-on effect to the wider FRAC sector </w:t>
      </w:r>
      <w:r w:rsidR="007D0CC6">
        <w:rPr>
          <w:color w:val="000000"/>
          <w:szCs w:val="22"/>
          <w:lang w:eastAsia="en-AU"/>
        </w:rPr>
        <w:t xml:space="preserve">with </w:t>
      </w:r>
      <w:r w:rsidRPr="00CC2D09">
        <w:rPr>
          <w:color w:val="000000"/>
          <w:szCs w:val="22"/>
          <w:lang w:eastAsia="en-AU"/>
        </w:rPr>
        <w:t>three-quarters (75%) of business</w:t>
      </w:r>
      <w:r>
        <w:rPr>
          <w:color w:val="000000"/>
          <w:szCs w:val="22"/>
          <w:lang w:eastAsia="en-AU"/>
        </w:rPr>
        <w:t>es</w:t>
      </w:r>
      <w:r w:rsidRPr="00CC2D09">
        <w:rPr>
          <w:color w:val="000000"/>
          <w:szCs w:val="22"/>
          <w:lang w:eastAsia="en-AU"/>
        </w:rPr>
        <w:t xml:space="preserve"> </w:t>
      </w:r>
      <w:r w:rsidR="007D0CC6">
        <w:rPr>
          <w:color w:val="000000"/>
          <w:szCs w:val="22"/>
          <w:lang w:eastAsia="en-AU"/>
        </w:rPr>
        <w:t xml:space="preserve">are </w:t>
      </w:r>
      <w:r>
        <w:rPr>
          <w:color w:val="000000"/>
          <w:szCs w:val="22"/>
          <w:lang w:eastAsia="en-AU"/>
        </w:rPr>
        <w:t>adopting non-compliant practises</w:t>
      </w:r>
      <w:r w:rsidR="007D0CC6">
        <w:rPr>
          <w:color w:val="000000"/>
          <w:szCs w:val="22"/>
          <w:lang w:eastAsia="en-AU"/>
        </w:rPr>
        <w:t>.</w:t>
      </w:r>
      <w:r w:rsidR="00871BB8">
        <w:rPr>
          <w:color w:val="000000"/>
          <w:szCs w:val="22"/>
          <w:lang w:eastAsia="en-AU"/>
        </w:rPr>
        <w:t xml:space="preserve"> </w:t>
      </w:r>
    </w:p>
    <w:p w14:paraId="00D712EE" w14:textId="3AC14613" w:rsidR="00DA67CB" w:rsidRDefault="00DA67CB" w:rsidP="00D5789A">
      <w:pPr>
        <w:rPr>
          <w:color w:val="1B365D"/>
          <w:sz w:val="24"/>
          <w:szCs w:val="20"/>
        </w:rPr>
      </w:pPr>
      <w:r>
        <w:t xml:space="preserve">Compliance results in each of the precincts targeted </w:t>
      </w:r>
      <w:proofErr w:type="gramStart"/>
      <w:r>
        <w:t>are shown</w:t>
      </w:r>
      <w:proofErr w:type="gramEnd"/>
      <w:r>
        <w:t xml:space="preserve"> in the table below.</w:t>
      </w:r>
      <w:r w:rsidR="00871BB8">
        <w:t xml:space="preserve"> </w:t>
      </w:r>
    </w:p>
    <w:p w14:paraId="09D18E3B" w14:textId="36E8176A" w:rsidR="00DA67CB" w:rsidRDefault="00DA67CB" w:rsidP="003E50C3">
      <w:pPr>
        <w:pStyle w:val="Heading3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Compliance results by precinct location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Table 1: Compliance results by precinct"/>
        <w:tblDescription w:val="Compliance results breakdown by precinct - Melbourne, Adelaide and Perth (combined) and Newtown "/>
      </w:tblPr>
      <w:tblGrid>
        <w:gridCol w:w="1199"/>
        <w:gridCol w:w="923"/>
        <w:gridCol w:w="992"/>
        <w:gridCol w:w="1417"/>
        <w:gridCol w:w="1134"/>
        <w:gridCol w:w="1276"/>
        <w:gridCol w:w="1134"/>
        <w:gridCol w:w="1843"/>
      </w:tblGrid>
      <w:tr w:rsidR="003E50C3" w:rsidRPr="00D51D69" w14:paraId="1BE46655" w14:textId="77777777" w:rsidTr="000A65A0">
        <w:trPr>
          <w:tblHeader/>
        </w:trPr>
        <w:tc>
          <w:tcPr>
            <w:tcW w:w="1199" w:type="dxa"/>
            <w:shd w:val="clear" w:color="auto" w:fill="DAEEF3" w:themeFill="accent5" w:themeFillTint="33"/>
          </w:tcPr>
          <w:p w14:paraId="474A2674" w14:textId="77777777" w:rsidR="00DA67CB" w:rsidRPr="00D51D69" w:rsidRDefault="00DA67CB" w:rsidP="006C65EB">
            <w:pPr>
              <w:rPr>
                <w:b/>
                <w:sz w:val="18"/>
                <w:szCs w:val="18"/>
              </w:rPr>
            </w:pPr>
            <w:bookmarkStart w:id="3" w:name="_GoBack" w:colFirst="0" w:colLast="8"/>
            <w:r w:rsidRPr="00D51D69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923" w:type="dxa"/>
            <w:shd w:val="clear" w:color="auto" w:fill="DAEEF3" w:themeFill="accent5" w:themeFillTint="33"/>
          </w:tcPr>
          <w:p w14:paraId="02B212C0" w14:textId="77777777" w:rsidR="00DA67CB" w:rsidRPr="00D51D69" w:rsidRDefault="00DA67CB" w:rsidP="00D66E25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Total audits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48604BA" w14:textId="77777777" w:rsidR="00DA67CB" w:rsidRPr="00D51D69" w:rsidRDefault="00DA67CB" w:rsidP="00673D7E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Non-compliant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4701729" w14:textId="77777777" w:rsidR="00DA67CB" w:rsidRPr="00D51D69" w:rsidRDefault="00DA67CB" w:rsidP="00636120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Contravention letters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B354437" w14:textId="77777777" w:rsidR="00DA67CB" w:rsidRPr="00D51D69" w:rsidRDefault="00DA67CB" w:rsidP="00636120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Formal cautions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586FC1C" w14:textId="77777777" w:rsidR="00DA67CB" w:rsidRPr="00D51D69" w:rsidRDefault="00DA67CB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Infringement notices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682A5A5" w14:textId="77777777" w:rsidR="00DA67CB" w:rsidRPr="00D51D69" w:rsidRDefault="00DA67CB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Compliance notices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D19A53A" w14:textId="77777777" w:rsidR="00DA67CB" w:rsidRPr="00D51D69" w:rsidRDefault="00DA67CB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Monies recovered</w:t>
            </w:r>
          </w:p>
        </w:tc>
      </w:tr>
      <w:bookmarkEnd w:id="3"/>
      <w:tr w:rsidR="00DA67CB" w14:paraId="368F0681" w14:textId="77777777" w:rsidTr="00D66E05">
        <w:tc>
          <w:tcPr>
            <w:tcW w:w="1199" w:type="dxa"/>
          </w:tcPr>
          <w:p w14:paraId="24369090" w14:textId="6192A575" w:rsidR="00DA67CB" w:rsidRPr="000C0766" w:rsidRDefault="00DA67CB" w:rsidP="00CE6CEE">
            <w:pPr>
              <w:rPr>
                <w:b/>
                <w:bCs/>
                <w:sz w:val="18"/>
                <w:szCs w:val="18"/>
              </w:rPr>
            </w:pPr>
            <w:r w:rsidRPr="000C0766">
              <w:rPr>
                <w:b/>
                <w:bCs/>
                <w:sz w:val="18"/>
                <w:szCs w:val="18"/>
              </w:rPr>
              <w:t>Melbourne</w:t>
            </w:r>
          </w:p>
        </w:tc>
        <w:tc>
          <w:tcPr>
            <w:tcW w:w="923" w:type="dxa"/>
          </w:tcPr>
          <w:p w14:paraId="5C54BB4E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39A274C1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85%</w:t>
            </w:r>
          </w:p>
        </w:tc>
        <w:tc>
          <w:tcPr>
            <w:tcW w:w="1417" w:type="dxa"/>
          </w:tcPr>
          <w:p w14:paraId="2865ECA7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693482A8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E854585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79C8B4AA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3C7C430" w14:textId="77777777" w:rsidR="00DA67CB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 xml:space="preserve">$77,116 </w:t>
            </w:r>
          </w:p>
          <w:p w14:paraId="41BE249A" w14:textId="449B2288" w:rsidR="00DA67CB" w:rsidRPr="009D61F5" w:rsidRDefault="00DA67CB" w:rsidP="000C0766">
            <w:pPr>
              <w:spacing w:before="0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 xml:space="preserve">(91 employees </w:t>
            </w:r>
            <w:r>
              <w:rPr>
                <w:sz w:val="18"/>
                <w:szCs w:val="18"/>
              </w:rPr>
              <w:t xml:space="preserve">/ </w:t>
            </w:r>
            <w:r w:rsidRPr="009D61F5">
              <w:rPr>
                <w:sz w:val="18"/>
                <w:szCs w:val="18"/>
              </w:rPr>
              <w:t>18 business</w:t>
            </w:r>
            <w:r>
              <w:rPr>
                <w:sz w:val="18"/>
                <w:szCs w:val="18"/>
              </w:rPr>
              <w:t>es</w:t>
            </w:r>
            <w:r w:rsidRPr="009D61F5">
              <w:rPr>
                <w:sz w:val="18"/>
                <w:szCs w:val="18"/>
              </w:rPr>
              <w:t>)</w:t>
            </w:r>
          </w:p>
        </w:tc>
      </w:tr>
      <w:tr w:rsidR="00DA67CB" w14:paraId="5FF7B8AA" w14:textId="77777777" w:rsidTr="00D66E05">
        <w:tc>
          <w:tcPr>
            <w:tcW w:w="1199" w:type="dxa"/>
          </w:tcPr>
          <w:p w14:paraId="27F9658C" w14:textId="3CB48BD5" w:rsidR="00DA67CB" w:rsidRPr="000C0766" w:rsidRDefault="00DA67CB" w:rsidP="00CE6CEE">
            <w:pPr>
              <w:rPr>
                <w:b/>
                <w:sz w:val="18"/>
                <w:szCs w:val="18"/>
              </w:rPr>
            </w:pPr>
            <w:r w:rsidRPr="000C0766">
              <w:rPr>
                <w:b/>
                <w:bCs/>
                <w:sz w:val="18"/>
                <w:szCs w:val="18"/>
              </w:rPr>
              <w:t>Adelaide &amp; Northbridge</w:t>
            </w:r>
            <w:r w:rsidRPr="000C0766">
              <w:rPr>
                <w:rStyle w:val="FootnoteReference"/>
                <w:b/>
                <w:bCs/>
                <w:sz w:val="18"/>
                <w:szCs w:val="18"/>
              </w:rPr>
              <w:footnoteReference w:id="4"/>
            </w:r>
            <w:r w:rsidRPr="000C076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3" w:type="dxa"/>
          </w:tcPr>
          <w:p w14:paraId="25B967CE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54D0094D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69%</w:t>
            </w:r>
          </w:p>
        </w:tc>
        <w:tc>
          <w:tcPr>
            <w:tcW w:w="1417" w:type="dxa"/>
          </w:tcPr>
          <w:p w14:paraId="4C01A30B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75D8AF31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14C5CE9C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0393E80E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5C3A0919" w14:textId="77777777" w:rsidR="00DA67CB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$159,364</w:t>
            </w:r>
          </w:p>
          <w:p w14:paraId="397BDDC6" w14:textId="072AAED6" w:rsidR="00DA67CB" w:rsidRPr="009D61F5" w:rsidRDefault="00DA67CB" w:rsidP="000C0766">
            <w:pPr>
              <w:spacing w:before="0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 xml:space="preserve">(231 employees </w:t>
            </w:r>
            <w:r>
              <w:rPr>
                <w:sz w:val="18"/>
                <w:szCs w:val="18"/>
              </w:rPr>
              <w:t xml:space="preserve">/ </w:t>
            </w:r>
            <w:r w:rsidRPr="009D61F5">
              <w:rPr>
                <w:sz w:val="18"/>
                <w:szCs w:val="18"/>
              </w:rPr>
              <w:t>36 businesses)</w:t>
            </w:r>
          </w:p>
        </w:tc>
      </w:tr>
      <w:tr w:rsidR="00DA67CB" w14:paraId="4C9EF1B7" w14:textId="77777777" w:rsidTr="00D66E05">
        <w:tc>
          <w:tcPr>
            <w:tcW w:w="1199" w:type="dxa"/>
          </w:tcPr>
          <w:p w14:paraId="3D743364" w14:textId="5072EABF" w:rsidR="00DA67CB" w:rsidRPr="000C0766" w:rsidRDefault="00DA67CB" w:rsidP="00CE6CEE">
            <w:pPr>
              <w:rPr>
                <w:b/>
                <w:sz w:val="18"/>
                <w:szCs w:val="18"/>
              </w:rPr>
            </w:pPr>
            <w:r w:rsidRPr="000C0766">
              <w:rPr>
                <w:b/>
                <w:bCs/>
                <w:sz w:val="18"/>
                <w:szCs w:val="18"/>
              </w:rPr>
              <w:t>Newtown</w:t>
            </w:r>
          </w:p>
        </w:tc>
        <w:tc>
          <w:tcPr>
            <w:tcW w:w="923" w:type="dxa"/>
          </w:tcPr>
          <w:p w14:paraId="2DE450CE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2AFCC1A2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74%</w:t>
            </w:r>
          </w:p>
        </w:tc>
        <w:tc>
          <w:tcPr>
            <w:tcW w:w="1417" w:type="dxa"/>
          </w:tcPr>
          <w:p w14:paraId="3D9D32AD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52ADF3FC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675DBEA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2282AA41" w14:textId="77777777" w:rsidR="00DA67CB" w:rsidRPr="009D61F5" w:rsidRDefault="00DA67CB" w:rsidP="006C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09CA380A" w14:textId="77777777" w:rsidR="00DA67CB" w:rsidRDefault="00DA67CB" w:rsidP="006C65EB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$80</w:t>
            </w:r>
            <w:r>
              <w:rPr>
                <w:sz w:val="18"/>
                <w:szCs w:val="18"/>
              </w:rPr>
              <w:t>,</w:t>
            </w:r>
            <w:r w:rsidRPr="009D61F5">
              <w:rPr>
                <w:sz w:val="18"/>
                <w:szCs w:val="18"/>
              </w:rPr>
              <w:t xml:space="preserve">194 </w:t>
            </w:r>
          </w:p>
          <w:p w14:paraId="2DD4827E" w14:textId="3401E0E8" w:rsidR="00DA67CB" w:rsidRPr="009D61F5" w:rsidRDefault="00DA67CB" w:rsidP="000C0766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D61F5">
              <w:rPr>
                <w:sz w:val="18"/>
                <w:szCs w:val="18"/>
              </w:rPr>
              <w:t xml:space="preserve">286 employees </w:t>
            </w:r>
            <w:r>
              <w:rPr>
                <w:sz w:val="18"/>
                <w:szCs w:val="18"/>
              </w:rPr>
              <w:t>/</w:t>
            </w:r>
            <w:r w:rsidRPr="009D61F5">
              <w:rPr>
                <w:sz w:val="18"/>
                <w:szCs w:val="18"/>
              </w:rPr>
              <w:t xml:space="preserve"> 25 </w:t>
            </w:r>
            <w:r>
              <w:rPr>
                <w:sz w:val="18"/>
                <w:szCs w:val="18"/>
              </w:rPr>
              <w:t>businesses)</w:t>
            </w:r>
          </w:p>
        </w:tc>
      </w:tr>
    </w:tbl>
    <w:bookmarkEnd w:id="2"/>
    <w:p w14:paraId="00006042" w14:textId="1154CD2F" w:rsidR="00BD0824" w:rsidRDefault="00997939" w:rsidP="003E50C3">
      <w:pPr>
        <w:pStyle w:val="Heading2"/>
      </w:pPr>
      <w:r>
        <w:t>S</w:t>
      </w:r>
      <w:r w:rsidR="00D66E25">
        <w:t>upport</w:t>
      </w:r>
      <w:r w:rsidR="00DB2480">
        <w:t>ing</w:t>
      </w:r>
      <w:r w:rsidR="007D0CC6">
        <w:t xml:space="preserve"> </w:t>
      </w:r>
      <w:r w:rsidR="00D66E25">
        <w:t>compliance</w:t>
      </w:r>
    </w:p>
    <w:p w14:paraId="29797595" w14:textId="5236BC2A" w:rsidR="00BD0824" w:rsidRDefault="00BD0824" w:rsidP="00AE42E3">
      <w:pPr>
        <w:keepNext/>
        <w:keepLines/>
        <w:outlineLvl w:val="0"/>
        <w:rPr>
          <w:rFonts w:ascii="Helvetica" w:hAnsi="Helvetica"/>
          <w:color w:val="263746"/>
          <w:sz w:val="44"/>
          <w:szCs w:val="26"/>
        </w:rPr>
      </w:pPr>
      <w:r>
        <w:t xml:space="preserve">We </w:t>
      </w:r>
      <w:r w:rsidRPr="00947645">
        <w:t>recovered</w:t>
      </w:r>
      <w:r>
        <w:t xml:space="preserve"> a total of</w:t>
      </w:r>
      <w:r w:rsidRPr="00947645">
        <w:t xml:space="preserve"> $316</w:t>
      </w:r>
      <w:r>
        <w:t>,</w:t>
      </w:r>
      <w:r w:rsidRPr="00947645">
        <w:t>67</w:t>
      </w:r>
      <w:r>
        <w:t>4</w:t>
      </w:r>
      <w:r w:rsidRPr="00947645">
        <w:t xml:space="preserve"> from </w:t>
      </w:r>
      <w:r>
        <w:t>79</w:t>
      </w:r>
      <w:r w:rsidRPr="00947645">
        <w:t xml:space="preserve"> businesses for 608 employees</w:t>
      </w:r>
      <w:r>
        <w:t>.</w:t>
      </w:r>
    </w:p>
    <w:p w14:paraId="33A0920C" w14:textId="77777777" w:rsidR="00BD0824" w:rsidRDefault="00BD0824" w:rsidP="00AE42E3">
      <w:r>
        <w:t>Fair Work Inspectors issued:</w:t>
      </w:r>
    </w:p>
    <w:p w14:paraId="320FB179" w14:textId="77777777" w:rsidR="00BD0824" w:rsidRDefault="00BD0824" w:rsidP="00AE42E3">
      <w:pPr>
        <w:pStyle w:val="ListParagraph"/>
        <w:numPr>
          <w:ilvl w:val="0"/>
          <w:numId w:val="9"/>
        </w:numPr>
      </w:pPr>
      <w:r>
        <w:t>46</w:t>
      </w:r>
      <w:r w:rsidRPr="003905E5">
        <w:t xml:space="preserve"> </w:t>
      </w:r>
      <w:r>
        <w:t>c</w:t>
      </w:r>
      <w:r w:rsidRPr="003905E5">
        <w:t>ontravention</w:t>
      </w:r>
      <w:r>
        <w:t xml:space="preserve"> letters </w:t>
      </w:r>
    </w:p>
    <w:p w14:paraId="1F184401" w14:textId="77777777" w:rsidR="00BD0824" w:rsidRPr="007E4F65" w:rsidRDefault="00BD0824" w:rsidP="00AE42E3">
      <w:pPr>
        <w:pStyle w:val="ListParagraph"/>
        <w:numPr>
          <w:ilvl w:val="0"/>
          <w:numId w:val="9"/>
        </w:numPr>
      </w:pPr>
      <w:r>
        <w:t>38 formal cautions</w:t>
      </w:r>
    </w:p>
    <w:p w14:paraId="00F59410" w14:textId="77777777" w:rsidR="00BD0824" w:rsidRDefault="00BD0824" w:rsidP="00AE42E3">
      <w:pPr>
        <w:pStyle w:val="ListParagraph"/>
        <w:numPr>
          <w:ilvl w:val="0"/>
          <w:numId w:val="9"/>
        </w:numPr>
      </w:pPr>
      <w:r>
        <w:t>34</w:t>
      </w:r>
      <w:r w:rsidRPr="00161A3E">
        <w:t xml:space="preserve"> </w:t>
      </w:r>
      <w:r>
        <w:t>i</w:t>
      </w:r>
      <w:r w:rsidRPr="00161A3E">
        <w:t xml:space="preserve">nfringement </w:t>
      </w:r>
      <w:r>
        <w:t>n</w:t>
      </w:r>
      <w:r w:rsidRPr="00161A3E">
        <w:t>otices</w:t>
      </w:r>
      <w:r>
        <w:t xml:space="preserve"> (</w:t>
      </w:r>
      <w:r w:rsidRPr="00161A3E">
        <w:t>$</w:t>
      </w:r>
      <w:r>
        <w:t>32,430</w:t>
      </w:r>
      <w:r w:rsidRPr="00161A3E">
        <w:t xml:space="preserve"> in penalties for pay slip and record-keeping breaches</w:t>
      </w:r>
      <w:r>
        <w:t>)</w:t>
      </w:r>
    </w:p>
    <w:p w14:paraId="683DD80B" w14:textId="77777777" w:rsidR="00BD0824" w:rsidRDefault="00BD0824" w:rsidP="00AE42E3">
      <w:pPr>
        <w:pStyle w:val="ListParagraph"/>
        <w:numPr>
          <w:ilvl w:val="0"/>
          <w:numId w:val="9"/>
        </w:numPr>
      </w:pPr>
      <w:proofErr w:type="gramStart"/>
      <w:r>
        <w:t>13</w:t>
      </w:r>
      <w:proofErr w:type="gramEnd"/>
      <w:r w:rsidRPr="00161A3E">
        <w:t xml:space="preserve"> </w:t>
      </w:r>
      <w:r>
        <w:t>c</w:t>
      </w:r>
      <w:r w:rsidRPr="00161A3E">
        <w:t>ompliance</w:t>
      </w:r>
      <w:r w:rsidRPr="007E4F65">
        <w:t xml:space="preserve"> </w:t>
      </w:r>
      <w:r>
        <w:t>n</w:t>
      </w:r>
      <w:r w:rsidRPr="007E4F65">
        <w:t>otice</w:t>
      </w:r>
      <w:r w:rsidRPr="00816134">
        <w:t>s</w:t>
      </w:r>
      <w:r>
        <w:t xml:space="preserve"> (requiring </w:t>
      </w:r>
      <w:r w:rsidRPr="007E4F65">
        <w:t>$</w:t>
      </w:r>
      <w:r>
        <w:t>83,058</w:t>
      </w:r>
      <w:r w:rsidRPr="007E4F65">
        <w:t xml:space="preserve"> </w:t>
      </w:r>
      <w:r>
        <w:t>to be reimbursed to 108</w:t>
      </w:r>
      <w:r w:rsidRPr="007E4F65">
        <w:t xml:space="preserve"> </w:t>
      </w:r>
      <w:r w:rsidRPr="00816134">
        <w:t>employee</w:t>
      </w:r>
      <w:r w:rsidRPr="007E4F65">
        <w:t>s</w:t>
      </w:r>
      <w:r>
        <w:t>)</w:t>
      </w:r>
      <w:r w:rsidRPr="007E4F65">
        <w:t>.</w:t>
      </w:r>
    </w:p>
    <w:p w14:paraId="2795FA9C" w14:textId="5EC85EAB" w:rsidR="00BD0824" w:rsidRPr="00C1692F" w:rsidRDefault="00DB2480" w:rsidP="00AE42E3">
      <w:r>
        <w:t xml:space="preserve">The FWO </w:t>
      </w:r>
      <w:r w:rsidR="00BD0824">
        <w:t>support</w:t>
      </w:r>
      <w:r>
        <w:t>s</w:t>
      </w:r>
      <w:r w:rsidR="00BD0824">
        <w:t xml:space="preserve"> compliance in </w:t>
      </w:r>
      <w:r w:rsidR="00BD0824" w:rsidRPr="00C1692F">
        <w:t>the</w:t>
      </w:r>
      <w:r w:rsidR="00BD0824">
        <w:t xml:space="preserve"> FRAC sector through </w:t>
      </w:r>
      <w:r w:rsidR="00BD0824" w:rsidRPr="00C1692F">
        <w:t xml:space="preserve">dedicated </w:t>
      </w:r>
      <w:r w:rsidR="00BD0824">
        <w:t xml:space="preserve">online </w:t>
      </w:r>
      <w:r w:rsidR="00BD0824" w:rsidRPr="00C1692F">
        <w:t>information and resources</w:t>
      </w:r>
      <w:r w:rsidR="00BD0824">
        <w:t xml:space="preserve">, and </w:t>
      </w:r>
      <w:r w:rsidR="00BD0824" w:rsidRPr="00764779">
        <w:t xml:space="preserve">a </w:t>
      </w:r>
      <w:r w:rsidR="00BD0824">
        <w:t>continued focus on compliance monitoring and enforcement activities</w:t>
      </w:r>
      <w:r>
        <w:t>, including:</w:t>
      </w:r>
    </w:p>
    <w:p w14:paraId="3FBC0518" w14:textId="77777777" w:rsidR="00BD0824" w:rsidRPr="00DE547D" w:rsidRDefault="00BD0824" w:rsidP="00AE42E3">
      <w:pPr>
        <w:pStyle w:val="ListParagraph"/>
        <w:numPr>
          <w:ilvl w:val="0"/>
          <w:numId w:val="9"/>
        </w:numPr>
      </w:pPr>
      <w:r w:rsidRPr="00DE547D">
        <w:t>working with key business</w:t>
      </w:r>
      <w:r>
        <w:t>es</w:t>
      </w:r>
      <w:r w:rsidRPr="00DE547D">
        <w:t xml:space="preserve"> and stakeholder networks to educate and drive behaviour change</w:t>
      </w:r>
    </w:p>
    <w:p w14:paraId="2B1C3C11" w14:textId="09E498DA" w:rsidR="00BD0824" w:rsidRPr="00555EF2" w:rsidRDefault="00BD0824" w:rsidP="00AE42E3">
      <w:pPr>
        <w:pStyle w:val="ListParagraph"/>
        <w:numPr>
          <w:ilvl w:val="0"/>
          <w:numId w:val="9"/>
        </w:numPr>
      </w:pPr>
      <w:r w:rsidRPr="00555EF2">
        <w:t>target</w:t>
      </w:r>
      <w:r>
        <w:t>ing</w:t>
      </w:r>
      <w:r w:rsidRPr="00555EF2">
        <w:t xml:space="preserve"> communications to increase employer and employee </w:t>
      </w:r>
      <w:r w:rsidR="00764779">
        <w:t>awareness of</w:t>
      </w:r>
      <w:r w:rsidR="00764779" w:rsidRPr="00555EF2">
        <w:t xml:space="preserve"> </w:t>
      </w:r>
      <w:r w:rsidR="00764779">
        <w:t xml:space="preserve">and </w:t>
      </w:r>
      <w:r w:rsidRPr="00555EF2">
        <w:t>engagement with workplace laws</w:t>
      </w:r>
    </w:p>
    <w:p w14:paraId="7539238D" w14:textId="490D7A0F" w:rsidR="00BD0824" w:rsidRPr="00DE547D" w:rsidRDefault="00BD0824" w:rsidP="00AE42E3">
      <w:pPr>
        <w:pStyle w:val="ListParagraph"/>
        <w:numPr>
          <w:ilvl w:val="0"/>
          <w:numId w:val="9"/>
        </w:numPr>
      </w:pPr>
      <w:r w:rsidRPr="00555EF2">
        <w:t>develop</w:t>
      </w:r>
      <w:r>
        <w:t>ing</w:t>
      </w:r>
      <w:r w:rsidRPr="00555EF2">
        <w:t xml:space="preserve"> FRAC-specific </w:t>
      </w:r>
      <w:r>
        <w:t xml:space="preserve">online </w:t>
      </w:r>
      <w:r w:rsidRPr="00555EF2">
        <w:t>tools and resources</w:t>
      </w:r>
      <w:r>
        <w:t xml:space="preserve"> </w:t>
      </w:r>
      <w:r w:rsidRPr="00555EF2">
        <w:t>to make compliance easier for employers</w:t>
      </w:r>
      <w:r w:rsidR="000C0766">
        <w:t xml:space="preserve">, </w:t>
      </w:r>
      <w:r w:rsidR="00DB2480">
        <w:t>such as our</w:t>
      </w:r>
      <w:r w:rsidR="000C0766">
        <w:t xml:space="preserve"> interactive </w:t>
      </w:r>
      <w:r w:rsidR="000C0766" w:rsidRPr="00527025">
        <w:rPr>
          <w:i/>
        </w:rPr>
        <w:t>Fast Food Industry 2010</w:t>
      </w:r>
      <w:r w:rsidR="000C0766">
        <w:t xml:space="preserve"> and </w:t>
      </w:r>
      <w:r w:rsidR="000C0766" w:rsidRPr="00527025">
        <w:rPr>
          <w:i/>
        </w:rPr>
        <w:t>Restaurant Industry Award 2010</w:t>
      </w:r>
      <w:r w:rsidR="000C0766">
        <w:t xml:space="preserve"> </w:t>
      </w:r>
      <w:r w:rsidR="00DB2480">
        <w:t>tools</w:t>
      </w:r>
      <w:r w:rsidRPr="00764779">
        <w:rPr>
          <w:vertAlign w:val="superscript"/>
        </w:rPr>
        <w:footnoteReference w:id="5"/>
      </w:r>
    </w:p>
    <w:p w14:paraId="2C15CE16" w14:textId="58ED1D85" w:rsidR="00BD0824" w:rsidRPr="00DE547D" w:rsidRDefault="00BD0824" w:rsidP="00AE42E3">
      <w:pPr>
        <w:pStyle w:val="ListParagraph"/>
        <w:numPr>
          <w:ilvl w:val="0"/>
          <w:numId w:val="9"/>
        </w:numPr>
      </w:pPr>
      <w:r w:rsidRPr="00DE547D">
        <w:lastRenderedPageBreak/>
        <w:t>target</w:t>
      </w:r>
      <w:r>
        <w:t>ing</w:t>
      </w:r>
      <w:r w:rsidRPr="00DE547D">
        <w:t xml:space="preserve"> at-risk employers and monitor</w:t>
      </w:r>
      <w:r>
        <w:t>ing</w:t>
      </w:r>
      <w:r w:rsidRPr="00DE547D">
        <w:t xml:space="preserve"> compliance within the sector</w:t>
      </w:r>
      <w:r w:rsidR="000C0766">
        <w:t xml:space="preserve"> through proactive audit campaigns</w:t>
      </w:r>
    </w:p>
    <w:p w14:paraId="6023DB55" w14:textId="77777777" w:rsidR="00871BB8" w:rsidRDefault="00BD0824" w:rsidP="00AE42E3">
      <w:pPr>
        <w:pStyle w:val="ListParagraph"/>
        <w:numPr>
          <w:ilvl w:val="0"/>
          <w:numId w:val="9"/>
        </w:numPr>
      </w:pPr>
      <w:r w:rsidRPr="00DE547D">
        <w:t xml:space="preserve">issuing </w:t>
      </w:r>
      <w:r w:rsidR="00871BB8">
        <w:t xml:space="preserve">infringement notices and </w:t>
      </w:r>
      <w:r w:rsidRPr="00DE547D">
        <w:t>compliance notices to address underpayments and breaches</w:t>
      </w:r>
    </w:p>
    <w:p w14:paraId="5B8FF131" w14:textId="5D708F0C" w:rsidR="00BD0824" w:rsidRPr="00D5789A" w:rsidRDefault="00871BB8" w:rsidP="00AE42E3">
      <w:pPr>
        <w:pStyle w:val="ListParagraph"/>
        <w:numPr>
          <w:ilvl w:val="0"/>
          <w:numId w:val="9"/>
        </w:numPr>
      </w:pPr>
      <w:proofErr w:type="gramStart"/>
      <w:r>
        <w:t>commencing</w:t>
      </w:r>
      <w:proofErr w:type="gramEnd"/>
      <w:r>
        <w:t xml:space="preserve"> legal proceedings in matters involving serious non-compliance.</w:t>
      </w:r>
    </w:p>
    <w:sectPr w:rsidR="00BD0824" w:rsidRPr="00D5789A" w:rsidSect="00DA1A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A119" w14:textId="77777777" w:rsidR="006C65EB" w:rsidRDefault="006C65EB" w:rsidP="00AB465A">
      <w:pPr>
        <w:spacing w:line="240" w:lineRule="auto"/>
      </w:pPr>
      <w:r>
        <w:separator/>
      </w:r>
    </w:p>
  </w:endnote>
  <w:endnote w:type="continuationSeparator" w:id="0">
    <w:p w14:paraId="0057458C" w14:textId="77777777" w:rsidR="006C65EB" w:rsidRDefault="006C65EB" w:rsidP="00AB465A">
      <w:pPr>
        <w:spacing w:line="240" w:lineRule="auto"/>
      </w:pPr>
      <w:r>
        <w:continuationSeparator/>
      </w:r>
    </w:p>
  </w:endnote>
  <w:endnote w:type="continuationNotice" w:id="1">
    <w:p w14:paraId="03C13596" w14:textId="77777777" w:rsidR="006C0ECE" w:rsidRDefault="006C0EC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2EA6" w14:textId="77777777" w:rsidR="006C65EB" w:rsidRDefault="006C6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8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73076" w14:textId="30CDB468" w:rsidR="006C65EB" w:rsidRPr="00D5789A" w:rsidRDefault="006C65EB" w:rsidP="00DA1AD1">
        <w:pPr>
          <w:pStyle w:val="Header"/>
          <w:rPr>
            <w:rFonts w:cstheme="minorHAnsi"/>
            <w:sz w:val="20"/>
          </w:rPr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 w:bidi="ne-NP"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340F13E3" wp14:editId="417AC12F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81" name="Straight Connector 8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C62F59A" id="Straight Connector 81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 w:bidi="ne-NP"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1D51FA20" wp14:editId="6CF54D21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82" name="Right Triangle 8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A4C8094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style="position:absolute;margin-left:525.85pt;margin-top:771.15pt;width:69.45pt;height:69.45pt;flip:x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Pr="00D5789A">
          <w:rPr>
            <w:rFonts w:cstheme="minorHAnsi"/>
            <w:noProof/>
            <w:color w:val="1B365D"/>
            <w:sz w:val="18"/>
            <w:szCs w:val="20"/>
            <w:lang w:eastAsia="en-AU"/>
          </w:rPr>
          <w:t>Food Precincts Compliance Activity #2</w:t>
        </w:r>
      </w:p>
      <w:p w14:paraId="7C5AFC00" w14:textId="2E416542" w:rsidR="006C65EB" w:rsidRDefault="006C65EB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5A0">
          <w:rPr>
            <w:noProof/>
          </w:rPr>
          <w:t>5</w:t>
        </w:r>
        <w:r>
          <w:rPr>
            <w:noProof/>
          </w:rPr>
          <w:fldChar w:fldCharType="end"/>
        </w:r>
      </w:p>
      <w:p w14:paraId="498283BC" w14:textId="77777777" w:rsidR="006C65EB" w:rsidRPr="00DA1AD1" w:rsidRDefault="000A65A0" w:rsidP="00DA1AD1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9382" w14:textId="3ED249B7" w:rsidR="006C65EB" w:rsidRDefault="00C214D5" w:rsidP="00DA1AD1">
    <w:pPr>
      <w:pStyle w:val="Header"/>
    </w:pPr>
    <w:r>
      <w:fldChar w:fldCharType="begin"/>
    </w:r>
    <w:r>
      <w:instrText xml:space="preserve"> DOCPROPERTY "mvRef" \* MERGEFORMAT </w:instrText>
    </w:r>
    <w:r>
      <w:fldChar w:fldCharType="separate"/>
    </w:r>
    <w:r w:rsidR="00D66E05">
      <w:t>Operational activity reports (2019)</w:t>
    </w:r>
    <w:proofErr w:type="gramStart"/>
    <w:r w:rsidR="00D66E05">
      <w:t>:DB</w:t>
    </w:r>
    <w:proofErr w:type="gramEnd"/>
    <w:r w:rsidR="00D66E05">
      <w:t>-1309455/1.0</w:t>
    </w:r>
    <w:r>
      <w:fldChar w:fldCharType="end"/>
    </w: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B40DC" w14:textId="24713290" w:rsidR="006C65EB" w:rsidRPr="00DA1AD1" w:rsidRDefault="006C65EB" w:rsidP="00DA1AD1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 w:bidi="ne-NP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23D39850" wp14:editId="078702EB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F7458E" id="Straight Connector 3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 w:bidi="ne-NP"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61879A48" wp14:editId="2A369CBE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9809147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Food Precincts Compliance Activity #2</w:t>
        </w:r>
      </w:p>
      <w:p w14:paraId="61A41774" w14:textId="4BBC24AE" w:rsidR="006C65EB" w:rsidRDefault="006C65EB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5A0">
          <w:rPr>
            <w:noProof/>
          </w:rPr>
          <w:t>1</w:t>
        </w:r>
        <w:r>
          <w:rPr>
            <w:noProof/>
          </w:rPr>
          <w:fldChar w:fldCharType="end"/>
        </w:r>
      </w:p>
      <w:p w14:paraId="6F24ADAE" w14:textId="77777777" w:rsidR="006C65EB" w:rsidRPr="00DA1AD1" w:rsidRDefault="000A65A0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BC38" w14:textId="77777777" w:rsidR="006C65EB" w:rsidRDefault="006C65EB" w:rsidP="00AB465A">
      <w:pPr>
        <w:spacing w:line="240" w:lineRule="auto"/>
      </w:pPr>
      <w:r>
        <w:separator/>
      </w:r>
    </w:p>
  </w:footnote>
  <w:footnote w:type="continuationSeparator" w:id="0">
    <w:p w14:paraId="55082C53" w14:textId="77777777" w:rsidR="006C65EB" w:rsidRDefault="006C65EB" w:rsidP="00AB465A">
      <w:pPr>
        <w:spacing w:line="240" w:lineRule="auto"/>
      </w:pPr>
      <w:r>
        <w:continuationSeparator/>
      </w:r>
    </w:p>
  </w:footnote>
  <w:footnote w:type="continuationNotice" w:id="1">
    <w:p w14:paraId="4DA856EA" w14:textId="77777777" w:rsidR="006C0ECE" w:rsidRDefault="006C0ECE">
      <w:pPr>
        <w:spacing w:before="0" w:line="240" w:lineRule="auto"/>
      </w:pPr>
    </w:p>
  </w:footnote>
  <w:footnote w:id="2">
    <w:p w14:paraId="0C27DDAC" w14:textId="77777777" w:rsidR="006C65EB" w:rsidRPr="00AE42E3" w:rsidRDefault="006C65EB" w:rsidP="0095031F">
      <w:pPr>
        <w:pStyle w:val="FootnoteText"/>
        <w:spacing w:before="0" w:line="240" w:lineRule="auto"/>
        <w:rPr>
          <w:rFonts w:asciiTheme="minorHAnsi" w:hAnsiTheme="minorHAnsi" w:cstheme="minorHAnsi"/>
          <w:sz w:val="15"/>
          <w:szCs w:val="15"/>
        </w:rPr>
      </w:pPr>
      <w:r w:rsidRPr="00AE42E3">
        <w:rPr>
          <w:rStyle w:val="FootnoteReference"/>
          <w:rFonts w:asciiTheme="minorHAnsi" w:hAnsiTheme="minorHAnsi" w:cstheme="minorHAnsi"/>
          <w:sz w:val="15"/>
          <w:szCs w:val="15"/>
        </w:rPr>
        <w:footnoteRef/>
      </w:r>
      <w:r w:rsidRPr="00AE42E3">
        <w:rPr>
          <w:rFonts w:asciiTheme="minorHAnsi" w:hAnsiTheme="minorHAnsi" w:cstheme="minorHAnsi"/>
          <w:sz w:val="15"/>
          <w:szCs w:val="15"/>
        </w:rPr>
        <w:t xml:space="preserve"> https://www.fairwork.gov.au/about-us/our-purpose/our-priorities </w:t>
      </w:r>
    </w:p>
  </w:footnote>
  <w:footnote w:id="3">
    <w:p w14:paraId="5D6B885A" w14:textId="77777777" w:rsidR="006C65EB" w:rsidRPr="00CE4341" w:rsidRDefault="006C65EB" w:rsidP="00000CF4">
      <w:pPr>
        <w:pStyle w:val="FootnoteText"/>
        <w:spacing w:before="0" w:line="240" w:lineRule="auto"/>
        <w:rPr>
          <w:rFonts w:cstheme="minorHAnsi"/>
          <w:sz w:val="18"/>
          <w:szCs w:val="18"/>
        </w:rPr>
      </w:pPr>
      <w:r w:rsidRPr="00AE42E3">
        <w:rPr>
          <w:rStyle w:val="FootnoteReference"/>
          <w:rFonts w:asciiTheme="minorHAnsi" w:hAnsiTheme="minorHAnsi" w:cstheme="minorHAnsi"/>
          <w:sz w:val="15"/>
          <w:szCs w:val="15"/>
        </w:rPr>
        <w:footnoteRef/>
      </w:r>
      <w:r w:rsidRPr="00AE42E3">
        <w:rPr>
          <w:rFonts w:asciiTheme="minorHAnsi" w:hAnsiTheme="minorHAnsi" w:cstheme="minorHAnsi"/>
          <w:sz w:val="15"/>
          <w:szCs w:val="15"/>
        </w:rPr>
        <w:t xml:space="preserve"> https://www.fairwork.gov.au/reports/food-precincts-activities-report</w:t>
      </w:r>
      <w:r>
        <w:rPr>
          <w:rFonts w:cstheme="minorHAnsi"/>
          <w:sz w:val="18"/>
          <w:szCs w:val="18"/>
        </w:rPr>
        <w:t xml:space="preserve"> </w:t>
      </w:r>
    </w:p>
  </w:footnote>
  <w:footnote w:id="4">
    <w:p w14:paraId="04613FB1" w14:textId="77777777" w:rsidR="006C65EB" w:rsidRPr="00D5789A" w:rsidRDefault="006C65EB" w:rsidP="0095031F">
      <w:pPr>
        <w:pStyle w:val="FootnoteText"/>
        <w:spacing w:before="0" w:line="240" w:lineRule="auto"/>
        <w:rPr>
          <w:rFonts w:asciiTheme="minorHAnsi" w:hAnsiTheme="minorHAnsi" w:cstheme="minorHAnsi"/>
          <w:sz w:val="16"/>
          <w:szCs w:val="16"/>
        </w:rPr>
      </w:pPr>
      <w:r w:rsidRPr="00D5789A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5789A">
        <w:rPr>
          <w:rFonts w:asciiTheme="minorHAnsi" w:hAnsiTheme="minorHAnsi" w:cstheme="minorHAnsi"/>
          <w:sz w:val="16"/>
          <w:szCs w:val="16"/>
        </w:rPr>
        <w:t xml:space="preserve"> Visits to businesses in Adelaide and Northbridge were conducted as one activity</w:t>
      </w:r>
    </w:p>
  </w:footnote>
  <w:footnote w:id="5">
    <w:p w14:paraId="0C6E93D5" w14:textId="3E26E466" w:rsidR="006C65EB" w:rsidRPr="00BD0824" w:rsidRDefault="006C65EB" w:rsidP="0095031F">
      <w:pPr>
        <w:pStyle w:val="FootnoteText"/>
        <w:spacing w:before="0" w:line="240" w:lineRule="auto"/>
        <w:rPr>
          <w:rFonts w:asciiTheme="minorHAnsi" w:hAnsiTheme="minorHAnsi" w:cstheme="minorHAnsi"/>
          <w:sz w:val="16"/>
          <w:szCs w:val="16"/>
        </w:rPr>
      </w:pPr>
      <w:r w:rsidRPr="00D5789A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5789A">
        <w:rPr>
          <w:rFonts w:asciiTheme="minorHAnsi" w:hAnsiTheme="minorHAnsi" w:cstheme="minorHAnsi"/>
          <w:sz w:val="16"/>
          <w:szCs w:val="16"/>
        </w:rPr>
        <w:t xml:space="preserve"> </w:t>
      </w:r>
      <w:r w:rsidRPr="00D5789A">
        <w:rPr>
          <w:rFonts w:asciiTheme="minorHAnsi" w:hAnsiTheme="minorHAnsi"/>
          <w:sz w:val="16"/>
          <w:szCs w:val="16"/>
        </w:rPr>
        <w:t>https://www.fairwork.gov.au/find-help-for/fast-food-restaurants-cafes</w:t>
      </w:r>
      <w:r w:rsidRPr="00BD0824">
        <w:rPr>
          <w:rFonts w:asciiTheme="minorHAnsi" w:hAnsiTheme="minorHAnsi"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2530" w14:textId="77777777" w:rsidR="006C65EB" w:rsidRDefault="006C6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6031" w14:textId="77777777" w:rsidR="006C65EB" w:rsidRDefault="006C6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07CC" w14:textId="598EFEFE" w:rsidR="006C65EB" w:rsidRPr="00583EDF" w:rsidRDefault="006C65EB" w:rsidP="006C65EB">
    <w:pPr>
      <w:tabs>
        <w:tab w:val="center" w:pos="4820"/>
        <w:tab w:val="right" w:pos="9639"/>
      </w:tabs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 w:bidi="ne-NP"/>
      </w:rPr>
      <w:drawing>
        <wp:anchor distT="0" distB="0" distL="114300" distR="114300" simplePos="0" relativeHeight="251658240" behindDoc="0" locked="0" layoutInCell="1" allowOverlap="1" wp14:anchorId="199CCAF9" wp14:editId="2F238029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4E5"/>
    <w:multiLevelType w:val="hybridMultilevel"/>
    <w:tmpl w:val="76726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74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41E"/>
    <w:multiLevelType w:val="hybridMultilevel"/>
    <w:tmpl w:val="5CCC9258"/>
    <w:lvl w:ilvl="0" w:tplc="D59C7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74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D5F"/>
    <w:multiLevelType w:val="hybridMultilevel"/>
    <w:tmpl w:val="7916CAFC"/>
    <w:lvl w:ilvl="0" w:tplc="523A12A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09D7"/>
    <w:multiLevelType w:val="hybridMultilevel"/>
    <w:tmpl w:val="87C88892"/>
    <w:lvl w:ilvl="0" w:tplc="19CA9E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A395D"/>
    <w:multiLevelType w:val="hybridMultilevel"/>
    <w:tmpl w:val="D7CC3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1399"/>
    <w:multiLevelType w:val="hybridMultilevel"/>
    <w:tmpl w:val="56488742"/>
    <w:lvl w:ilvl="0" w:tplc="E7EAB62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CA6771"/>
    <w:multiLevelType w:val="hybridMultilevel"/>
    <w:tmpl w:val="291EC9C8"/>
    <w:lvl w:ilvl="0" w:tplc="BDDC43A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4373B"/>
    <w:multiLevelType w:val="hybridMultilevel"/>
    <w:tmpl w:val="28EC4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24"/>
    <w:rsid w:val="00000CF4"/>
    <w:rsid w:val="00011400"/>
    <w:rsid w:val="000416E4"/>
    <w:rsid w:val="00042304"/>
    <w:rsid w:val="00052C98"/>
    <w:rsid w:val="00061863"/>
    <w:rsid w:val="00093049"/>
    <w:rsid w:val="000A65A0"/>
    <w:rsid w:val="000C0766"/>
    <w:rsid w:val="000D46B8"/>
    <w:rsid w:val="00134F7F"/>
    <w:rsid w:val="00174429"/>
    <w:rsid w:val="001B6D6D"/>
    <w:rsid w:val="00232CA4"/>
    <w:rsid w:val="002666D5"/>
    <w:rsid w:val="0026797B"/>
    <w:rsid w:val="00281452"/>
    <w:rsid w:val="002A65CC"/>
    <w:rsid w:val="002C71E9"/>
    <w:rsid w:val="002E28E8"/>
    <w:rsid w:val="002E78A5"/>
    <w:rsid w:val="003439BC"/>
    <w:rsid w:val="00355DCE"/>
    <w:rsid w:val="003867E0"/>
    <w:rsid w:val="003B09D9"/>
    <w:rsid w:val="003D3891"/>
    <w:rsid w:val="003E50C3"/>
    <w:rsid w:val="00421740"/>
    <w:rsid w:val="0042525A"/>
    <w:rsid w:val="00465E7E"/>
    <w:rsid w:val="004827C2"/>
    <w:rsid w:val="00483507"/>
    <w:rsid w:val="00486F77"/>
    <w:rsid w:val="004874D2"/>
    <w:rsid w:val="004F4F54"/>
    <w:rsid w:val="00504585"/>
    <w:rsid w:val="005261A5"/>
    <w:rsid w:val="00527025"/>
    <w:rsid w:val="005809E2"/>
    <w:rsid w:val="005F22B3"/>
    <w:rsid w:val="00636120"/>
    <w:rsid w:val="006614DF"/>
    <w:rsid w:val="00673D7E"/>
    <w:rsid w:val="00677EAC"/>
    <w:rsid w:val="006C0ECE"/>
    <w:rsid w:val="006C65EB"/>
    <w:rsid w:val="00703886"/>
    <w:rsid w:val="00727206"/>
    <w:rsid w:val="00740ED4"/>
    <w:rsid w:val="00764779"/>
    <w:rsid w:val="00786E3C"/>
    <w:rsid w:val="007A6811"/>
    <w:rsid w:val="007B6AC8"/>
    <w:rsid w:val="007D0CC6"/>
    <w:rsid w:val="007D19A1"/>
    <w:rsid w:val="007E5FAD"/>
    <w:rsid w:val="00803A9A"/>
    <w:rsid w:val="00840520"/>
    <w:rsid w:val="00856542"/>
    <w:rsid w:val="00863904"/>
    <w:rsid w:val="00871BB8"/>
    <w:rsid w:val="009470A4"/>
    <w:rsid w:val="0095031F"/>
    <w:rsid w:val="009823D6"/>
    <w:rsid w:val="009946F6"/>
    <w:rsid w:val="00995EBE"/>
    <w:rsid w:val="00997939"/>
    <w:rsid w:val="00A25A80"/>
    <w:rsid w:val="00A267BA"/>
    <w:rsid w:val="00A81531"/>
    <w:rsid w:val="00A841DA"/>
    <w:rsid w:val="00A8693C"/>
    <w:rsid w:val="00A97F48"/>
    <w:rsid w:val="00AA0244"/>
    <w:rsid w:val="00AA1953"/>
    <w:rsid w:val="00AB465A"/>
    <w:rsid w:val="00AB5511"/>
    <w:rsid w:val="00AE42E3"/>
    <w:rsid w:val="00AF74D9"/>
    <w:rsid w:val="00B02B68"/>
    <w:rsid w:val="00B478AD"/>
    <w:rsid w:val="00B56C5A"/>
    <w:rsid w:val="00B960A6"/>
    <w:rsid w:val="00BA5269"/>
    <w:rsid w:val="00BB2FE8"/>
    <w:rsid w:val="00BB53D7"/>
    <w:rsid w:val="00BC0303"/>
    <w:rsid w:val="00BD0824"/>
    <w:rsid w:val="00BE3554"/>
    <w:rsid w:val="00C079AD"/>
    <w:rsid w:val="00C17D26"/>
    <w:rsid w:val="00C214D5"/>
    <w:rsid w:val="00C67AE9"/>
    <w:rsid w:val="00C72594"/>
    <w:rsid w:val="00CA39F1"/>
    <w:rsid w:val="00CD6022"/>
    <w:rsid w:val="00CE6055"/>
    <w:rsid w:val="00CE6CEE"/>
    <w:rsid w:val="00D03CD7"/>
    <w:rsid w:val="00D11BC7"/>
    <w:rsid w:val="00D15465"/>
    <w:rsid w:val="00D20453"/>
    <w:rsid w:val="00D316FC"/>
    <w:rsid w:val="00D51D69"/>
    <w:rsid w:val="00D5789A"/>
    <w:rsid w:val="00D66E05"/>
    <w:rsid w:val="00D66E25"/>
    <w:rsid w:val="00D95B26"/>
    <w:rsid w:val="00D960E2"/>
    <w:rsid w:val="00DA1AD1"/>
    <w:rsid w:val="00DA67CB"/>
    <w:rsid w:val="00DA7095"/>
    <w:rsid w:val="00DB083C"/>
    <w:rsid w:val="00DB2480"/>
    <w:rsid w:val="00E13A01"/>
    <w:rsid w:val="00E62AC7"/>
    <w:rsid w:val="00E80136"/>
    <w:rsid w:val="00EA6B05"/>
    <w:rsid w:val="00F210A5"/>
    <w:rsid w:val="00F47F43"/>
    <w:rsid w:val="00FB3907"/>
    <w:rsid w:val="00F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938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BD0824"/>
    <w:pPr>
      <w:spacing w:before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3E50C3"/>
    <w:pPr>
      <w:numPr>
        <w:ilvl w:val="1"/>
      </w:numPr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4F4F54"/>
    <w:pPr>
      <w:numPr>
        <w:ilvl w:val="2"/>
      </w:numPr>
      <w:spacing w:before="120" w:after="12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A65CC"/>
    <w:pPr>
      <w:numPr>
        <w:numId w:val="4"/>
      </w:numPr>
      <w:spacing w:line="320" w:lineRule="exac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E50C3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F4F54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D0824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BD0824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Recommendation,Brief List Paragraph 1,DDM Gen Text,Content descriptions,Bullet point,L,CV text,Table text,F5 List Paragraph,Dot pt,List Paragraph111,Medium Grid 1 - Accent 21,Numbered Paragraph,FooterText"/>
    <w:basedOn w:val="Normal"/>
    <w:link w:val="ListParagraphChar"/>
    <w:uiPriority w:val="34"/>
    <w:qFormat/>
    <w:rsid w:val="00BD0824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,Brief List Paragraph 1 Char,DDM Gen Text Char,Content descriptions Char,Bullet point Char,L Char,CV text Char,Table text Char,F5 List Paragraph Char,Dot pt Char"/>
    <w:basedOn w:val="DefaultParagraphFont"/>
    <w:link w:val="ListParagraph"/>
    <w:uiPriority w:val="34"/>
    <w:locked/>
    <w:rsid w:val="00BD0824"/>
    <w:rPr>
      <w:rFonts w:asciiTheme="minorHAnsi" w:hAnsiTheme="minorHAnsi" w:cs="Arial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7C2"/>
    <w:pPr>
      <w:spacing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7C2"/>
    <w:rPr>
      <w:rFonts w:asciiTheme="minorHAnsi" w:hAnsiTheme="minorHAnsi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FFDF1B48.dotm</Template>
  <TotalTime>0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Precincts Activity SICA Report #2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Precincts Activity SICA Report #2</dc:title>
  <dc:creator/>
  <cp:lastModifiedBy/>
  <cp:revision>1</cp:revision>
  <dcterms:created xsi:type="dcterms:W3CDTF">2019-12-04T04:58:00Z</dcterms:created>
  <dcterms:modified xsi:type="dcterms:W3CDTF">2019-12-04T05:02:00Z</dcterms:modified>
</cp:coreProperties>
</file>