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C897E" w14:textId="117A7AFB" w:rsidR="00567228" w:rsidRDefault="00C04380">
      <w:pPr>
        <w:spacing w:before="0" w:line="240" w:lineRule="auto"/>
        <w:rPr>
          <w:rFonts w:ascii="Calibri Light" w:hAnsi="Calibri Light"/>
          <w:color w:val="1B365D"/>
          <w:sz w:val="60"/>
          <w:szCs w:val="26"/>
        </w:rPr>
      </w:pPr>
      <w:r>
        <w:rPr>
          <w:noProof/>
          <w:lang w:eastAsia="en-AU" w:bidi="ne-NP"/>
        </w:rPr>
        <w:drawing>
          <wp:anchor distT="0" distB="0" distL="114300" distR="114300" simplePos="0" relativeHeight="251658242" behindDoc="0" locked="0" layoutInCell="1" allowOverlap="1" wp14:anchorId="302AA738" wp14:editId="69B10A63">
            <wp:simplePos x="0" y="0"/>
            <wp:positionH relativeFrom="page">
              <wp:posOffset>10633</wp:posOffset>
            </wp:positionH>
            <wp:positionV relativeFrom="paragraph">
              <wp:posOffset>-990599</wp:posOffset>
            </wp:positionV>
            <wp:extent cx="7546957" cy="10679895"/>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erging-franchise-v6.png"/>
                    <pic:cNvPicPr/>
                  </pic:nvPicPr>
                  <pic:blipFill>
                    <a:blip r:embed="rId8">
                      <a:extLst>
                        <a:ext uri="{28A0092B-C50C-407E-A947-70E740481C1C}">
                          <a14:useLocalDpi xmlns:a14="http://schemas.microsoft.com/office/drawing/2010/main" val="0"/>
                        </a:ext>
                      </a:extLst>
                    </a:blip>
                    <a:stretch>
                      <a:fillRect/>
                    </a:stretch>
                  </pic:blipFill>
                  <pic:spPr>
                    <a:xfrm>
                      <a:off x="0" y="0"/>
                      <a:ext cx="7546957" cy="10679895"/>
                    </a:xfrm>
                    <a:prstGeom prst="rect">
                      <a:avLst/>
                    </a:prstGeom>
                  </pic:spPr>
                </pic:pic>
              </a:graphicData>
            </a:graphic>
            <wp14:sizeRelH relativeFrom="margin">
              <wp14:pctWidth>0</wp14:pctWidth>
            </wp14:sizeRelH>
            <wp14:sizeRelV relativeFrom="margin">
              <wp14:pctHeight>0</wp14:pctHeight>
            </wp14:sizeRelV>
          </wp:anchor>
        </w:drawing>
      </w:r>
    </w:p>
    <w:p w14:paraId="2E0916C1" w14:textId="77777777" w:rsidR="007E32AF" w:rsidRDefault="007E32AF" w:rsidP="006219E8">
      <w:pPr>
        <w:pStyle w:val="Heading1"/>
      </w:pPr>
    </w:p>
    <w:p w14:paraId="6E307983" w14:textId="77777777" w:rsidR="007E32AF" w:rsidRDefault="007E32AF" w:rsidP="007E32AF">
      <w:pPr>
        <w:rPr>
          <w:rFonts w:ascii="Calibri Light" w:hAnsi="Calibri Light"/>
          <w:color w:val="1B365D"/>
          <w:sz w:val="60"/>
          <w:szCs w:val="26"/>
        </w:rPr>
      </w:pPr>
      <w:r>
        <w:br w:type="page"/>
      </w:r>
    </w:p>
    <w:p w14:paraId="4559A917" w14:textId="77777777" w:rsidR="00120EBD" w:rsidRDefault="00567228" w:rsidP="005E425E">
      <w:pPr>
        <w:pStyle w:val="Heading1"/>
        <w:spacing w:before="600"/>
      </w:pPr>
      <w:r w:rsidRPr="00AF5C01">
        <w:rPr>
          <w:noProof/>
          <w:lang w:eastAsia="en-AU" w:bidi="ne-NP"/>
        </w:rPr>
        <w:lastRenderedPageBreak/>
        <mc:AlternateContent>
          <mc:Choice Requires="wps">
            <w:drawing>
              <wp:anchor distT="0" distB="0" distL="114300" distR="114300" simplePos="0" relativeHeight="251658240" behindDoc="1" locked="0" layoutInCell="1" allowOverlap="1" wp14:anchorId="2394D737" wp14:editId="52A385B7">
                <wp:simplePos x="0" y="0"/>
                <wp:positionH relativeFrom="column">
                  <wp:posOffset>-838200</wp:posOffset>
                </wp:positionH>
                <wp:positionV relativeFrom="page">
                  <wp:posOffset>-1905</wp:posOffset>
                </wp:positionV>
                <wp:extent cx="7548880" cy="1031240"/>
                <wp:effectExtent l="0" t="0" r="0" b="0"/>
                <wp:wrapNone/>
                <wp:docPr id="1" name="Rectangle 1"/>
                <wp:cNvGraphicFramePr/>
                <a:graphic xmlns:a="http://schemas.openxmlformats.org/drawingml/2006/main">
                  <a:graphicData uri="http://schemas.microsoft.com/office/word/2010/wordprocessingShape">
                    <wps:wsp>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123DB" id="Rectangle 1" o:spid="_x0000_s1026" style="position:absolute;margin-left:-66pt;margin-top:-.15pt;width:594.4pt;height:81.2pt;z-index:-25165824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" fillcolor="#1b365d" stroked="f" strokeweight="2pt">
                <w10:wrap anchory="page"/>
              </v:rect>
            </w:pict>
          </mc:Fallback>
        </mc:AlternateContent>
      </w:r>
      <w:r w:rsidRPr="00AF5C01">
        <w:rPr>
          <w:noProof/>
          <w:lang w:eastAsia="en-AU" w:bidi="ne-NP"/>
        </w:rPr>
        <w:drawing>
          <wp:anchor distT="0" distB="0" distL="114300" distR="114300" simplePos="0" relativeHeight="251658241" behindDoc="0" locked="0" layoutInCell="1" allowOverlap="1" wp14:anchorId="48EC981E" wp14:editId="75442745">
            <wp:simplePos x="0" y="0"/>
            <wp:positionH relativeFrom="column">
              <wp:posOffset>-530225</wp:posOffset>
            </wp:positionH>
            <wp:positionV relativeFrom="page">
              <wp:posOffset>243840</wp:posOffset>
            </wp:positionV>
            <wp:extent cx="2971165" cy="541655"/>
            <wp:effectExtent l="0" t="0" r="635"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63D3D" w:rsidRPr="00AF5C01">
        <w:t>Emerging Franchises Compliance</w:t>
      </w:r>
      <w:r w:rsidR="00163D3D" w:rsidRPr="00C1692F">
        <w:t xml:space="preserve"> Activity Report</w:t>
      </w:r>
    </w:p>
    <w:p w14:paraId="1BB8BBD6" w14:textId="77777777" w:rsidR="00163D3D" w:rsidRPr="00C1692F" w:rsidRDefault="00665DE8" w:rsidP="006219E8">
      <w:pPr>
        <w:pStyle w:val="Heading2"/>
      </w:pPr>
      <w:r>
        <w:t>What we did and why</w:t>
      </w:r>
    </w:p>
    <w:p w14:paraId="03033BE0" w14:textId="04690FC3" w:rsidR="009E6F27" w:rsidRPr="00786489" w:rsidRDefault="00665DE8" w:rsidP="00786489">
      <w:pPr>
        <w:spacing w:before="240" w:after="240"/>
        <w:rPr>
          <w:vertAlign w:val="superscript"/>
        </w:rPr>
      </w:pPr>
      <w:r w:rsidRPr="00993192">
        <w:t>Compliance within franchise networks is a strategic priority for the FWO.</w:t>
      </w:r>
      <w:r w:rsidRPr="00230921">
        <w:rPr>
          <w:rStyle w:val="FootnoteReference"/>
          <w:rFonts w:cstheme="minorHAnsi"/>
        </w:rPr>
        <w:footnoteReference w:id="2"/>
      </w:r>
      <w:r w:rsidRPr="00230921">
        <w:rPr>
          <w:vertAlign w:val="superscript"/>
        </w:rPr>
        <w:t xml:space="preserve"> </w:t>
      </w:r>
      <w:r w:rsidR="00786489">
        <w:rPr>
          <w:vertAlign w:val="superscript"/>
        </w:rPr>
        <w:t xml:space="preserve"> </w:t>
      </w:r>
      <w:r w:rsidR="009E6F27">
        <w:t>The franchise sector in Australia engages approximately 472,000 employees across 79,000 individual businesses representing 1160 brands. Around 19% of franchises are in the Accommodation and Food Services industry.</w:t>
      </w:r>
      <w:r w:rsidR="009E6F27">
        <w:rPr>
          <w:rStyle w:val="FootnoteReference"/>
          <w:rFonts w:eastAsiaTheme="minorEastAsia" w:cs="Arial"/>
        </w:rPr>
        <w:footnoteReference w:id="3"/>
      </w:r>
    </w:p>
    <w:p w14:paraId="7FE8A1EC" w14:textId="1FEC175C" w:rsidR="009E6F27" w:rsidRDefault="009E6F27" w:rsidP="009E6F27">
      <w:pPr>
        <w:spacing w:before="240" w:after="240"/>
      </w:pPr>
      <w:r>
        <w:t>In recent years, franchise brands from overseas have begun operating in Australia</w:t>
      </w:r>
      <w:r w:rsidR="00786489">
        <w:t>. There is a risk that these businesses lack the requisite knowledge of Australia’s</w:t>
      </w:r>
      <w:r>
        <w:t xml:space="preserve"> workplace relations laws.</w:t>
      </w:r>
      <w:r w:rsidRPr="008E479D">
        <w:t xml:space="preserve"> </w:t>
      </w:r>
      <w:r>
        <w:t>Typically comprising</w:t>
      </w:r>
      <w:r w:rsidR="002626E8">
        <w:t xml:space="preserve"> of</w:t>
      </w:r>
      <w:r>
        <w:t xml:space="preserve"> both migrant employers and migrant workers, </w:t>
      </w:r>
      <w:r w:rsidR="00786489">
        <w:t xml:space="preserve">our experience is that </w:t>
      </w:r>
      <w:r>
        <w:t xml:space="preserve">franchises </w:t>
      </w:r>
      <w:r w:rsidRPr="006229F5">
        <w:t>receive limited centralised support</w:t>
      </w:r>
      <w:r>
        <w:t xml:space="preserve"> from the franchisor on </w:t>
      </w:r>
      <w:r w:rsidRPr="006229F5">
        <w:t>regulatory requirements.</w:t>
      </w:r>
      <w:r w:rsidRPr="0083018F">
        <w:t xml:space="preserve"> </w:t>
      </w:r>
      <w:r>
        <w:t>There is also little evidence of engagement with, or membership of, employer groups such as the Franchise Council of Australia for regulatory support and information.</w:t>
      </w:r>
    </w:p>
    <w:p w14:paraId="73701A22" w14:textId="5AD08E6B" w:rsidR="00173579" w:rsidRDefault="00786489">
      <w:r>
        <w:t>In order to test the levels of knowledge with Australian workplace laws, w</w:t>
      </w:r>
      <w:r w:rsidR="00211953">
        <w:t xml:space="preserve">e </w:t>
      </w:r>
      <w:r w:rsidR="00CA6D7E" w:rsidRPr="00C1692F">
        <w:t>investigat</w:t>
      </w:r>
      <w:r w:rsidR="00211953">
        <w:t>ed</w:t>
      </w:r>
      <w:r w:rsidR="00CA6D7E" w:rsidRPr="00C1692F">
        <w:t xml:space="preserve"> </w:t>
      </w:r>
      <w:r w:rsidR="006A6CBB" w:rsidRPr="00C1692F">
        <w:t>7</w:t>
      </w:r>
      <w:r w:rsidR="004A6E44">
        <w:t xml:space="preserve"> emerging</w:t>
      </w:r>
      <w:r w:rsidR="00CA6D7E" w:rsidRPr="00C1692F">
        <w:t xml:space="preserve"> franchises</w:t>
      </w:r>
      <w:r w:rsidR="00211953">
        <w:t xml:space="preserve"> in </w:t>
      </w:r>
      <w:r w:rsidR="00BE4C8F" w:rsidRPr="00C1692F">
        <w:t xml:space="preserve">the fast </w:t>
      </w:r>
      <w:r w:rsidR="004A6E44">
        <w:t>f</w:t>
      </w:r>
      <w:r w:rsidR="00BE4C8F" w:rsidRPr="00C1692F">
        <w:t>ood, restaurant and café (FRAC) sector</w:t>
      </w:r>
      <w:r w:rsidR="00173579">
        <w:t>:</w:t>
      </w:r>
    </w:p>
    <w:p w14:paraId="2DDF8CEB" w14:textId="0E90CBCC" w:rsidR="00211953" w:rsidRPr="00211953" w:rsidRDefault="00211953" w:rsidP="00B0662F">
      <w:pPr>
        <w:pStyle w:val="Bullet"/>
      </w:pPr>
      <w:r w:rsidRPr="00211953">
        <w:t xml:space="preserve">Sushi </w:t>
      </w:r>
      <w:proofErr w:type="spellStart"/>
      <w:r w:rsidRPr="00211953">
        <w:t>Izu</w:t>
      </w:r>
      <w:proofErr w:type="spellEnd"/>
      <w:r>
        <w:t xml:space="preserve"> </w:t>
      </w:r>
      <w:r w:rsidR="00687F1A">
        <w:t xml:space="preserve">– </w:t>
      </w:r>
      <w:r>
        <w:t>US</w:t>
      </w:r>
      <w:r w:rsidR="0000064B">
        <w:t>A</w:t>
      </w:r>
      <w:r>
        <w:t xml:space="preserve"> </w:t>
      </w:r>
      <w:r w:rsidRPr="00211953">
        <w:t xml:space="preserve">sushi retailer </w:t>
      </w:r>
      <w:r>
        <w:t xml:space="preserve">that started </w:t>
      </w:r>
      <w:r w:rsidRPr="00211953">
        <w:t>operati</w:t>
      </w:r>
      <w:r>
        <w:t>ng</w:t>
      </w:r>
      <w:r w:rsidRPr="00211953">
        <w:t xml:space="preserve"> in Australia in 2011</w:t>
      </w:r>
    </w:p>
    <w:p w14:paraId="742DD501" w14:textId="3D48EC5F" w:rsidR="00211953" w:rsidRPr="00120EBD" w:rsidRDefault="00211953" w:rsidP="00B0662F">
      <w:pPr>
        <w:pStyle w:val="Bullet"/>
      </w:pPr>
      <w:proofErr w:type="spellStart"/>
      <w:r w:rsidRPr="00211953">
        <w:t>PappaRich</w:t>
      </w:r>
      <w:proofErr w:type="spellEnd"/>
      <w:r>
        <w:t xml:space="preserve"> </w:t>
      </w:r>
      <w:r w:rsidR="00687F1A">
        <w:t xml:space="preserve">– </w:t>
      </w:r>
      <w:r w:rsidRPr="00211953">
        <w:t xml:space="preserve">Malaysian restaurant </w:t>
      </w:r>
      <w:r w:rsidR="00120EBD">
        <w:t xml:space="preserve">chain that started </w:t>
      </w:r>
      <w:r w:rsidRPr="00211953">
        <w:t>operati</w:t>
      </w:r>
      <w:r w:rsidR="00120EBD">
        <w:t xml:space="preserve">ng </w:t>
      </w:r>
      <w:r w:rsidRPr="00211953">
        <w:t>in Australia in 2012</w:t>
      </w:r>
    </w:p>
    <w:p w14:paraId="1D518C10" w14:textId="6A050491" w:rsidR="00211953" w:rsidRPr="00120EBD" w:rsidRDefault="00211953" w:rsidP="00B0662F">
      <w:pPr>
        <w:pStyle w:val="Bullet"/>
      </w:pPr>
      <w:r w:rsidRPr="00120EBD">
        <w:t>Nene Chicken</w:t>
      </w:r>
      <w:r w:rsidR="00120EBD">
        <w:t xml:space="preserve"> </w:t>
      </w:r>
      <w:r w:rsidR="00687F1A">
        <w:t xml:space="preserve">– </w:t>
      </w:r>
      <w:r w:rsidR="00120EBD">
        <w:t xml:space="preserve">South Korean </w:t>
      </w:r>
      <w:r w:rsidRPr="00120EBD">
        <w:t xml:space="preserve">fried chicken </w:t>
      </w:r>
      <w:r w:rsidR="00120EBD">
        <w:t>chain that started</w:t>
      </w:r>
      <w:r w:rsidR="002626E8">
        <w:t xml:space="preserve"> operating</w:t>
      </w:r>
      <w:r w:rsidR="00120EBD">
        <w:t xml:space="preserve"> </w:t>
      </w:r>
      <w:r w:rsidRPr="00120EBD">
        <w:t>in Australia in 2015</w:t>
      </w:r>
    </w:p>
    <w:p w14:paraId="5C770FA9" w14:textId="7F4E53E9" w:rsidR="00211953" w:rsidRPr="00120EBD" w:rsidRDefault="00211953" w:rsidP="00B0662F">
      <w:pPr>
        <w:pStyle w:val="Bullet"/>
      </w:pPr>
      <w:proofErr w:type="spellStart"/>
      <w:r w:rsidRPr="00120EBD">
        <w:t>GongCha</w:t>
      </w:r>
      <w:proofErr w:type="spellEnd"/>
      <w:r w:rsidR="00120EBD">
        <w:t xml:space="preserve"> </w:t>
      </w:r>
      <w:r w:rsidR="00687F1A">
        <w:t xml:space="preserve">– </w:t>
      </w:r>
      <w:r w:rsidR="00120EBD">
        <w:t xml:space="preserve">Taiwanese </w:t>
      </w:r>
      <w:r w:rsidRPr="00120EBD">
        <w:t xml:space="preserve">beverage takeaway chain </w:t>
      </w:r>
      <w:r w:rsidR="00120EBD">
        <w:t xml:space="preserve">that started operating </w:t>
      </w:r>
      <w:r w:rsidRPr="00120EBD">
        <w:t>in Australia in 2012</w:t>
      </w:r>
    </w:p>
    <w:p w14:paraId="5EA0BC08" w14:textId="7AF60CD3" w:rsidR="00211953" w:rsidRPr="006219E8" w:rsidRDefault="00211953" w:rsidP="00B0662F">
      <w:pPr>
        <w:pStyle w:val="Bullet"/>
      </w:pPr>
      <w:r w:rsidRPr="00993192">
        <w:t>Hot Star Chicken</w:t>
      </w:r>
      <w:r w:rsidR="00120EBD">
        <w:t xml:space="preserve"> </w:t>
      </w:r>
      <w:r w:rsidR="00687F1A">
        <w:t xml:space="preserve">– </w:t>
      </w:r>
      <w:r w:rsidR="00120EBD">
        <w:t xml:space="preserve">Taiwanese </w:t>
      </w:r>
      <w:r w:rsidRPr="00993192">
        <w:t xml:space="preserve">fried chicken </w:t>
      </w:r>
      <w:r w:rsidR="00120EBD">
        <w:t xml:space="preserve">outlets that started </w:t>
      </w:r>
      <w:r w:rsidRPr="00993192">
        <w:t>operati</w:t>
      </w:r>
      <w:r w:rsidR="00120EBD">
        <w:t>ng</w:t>
      </w:r>
      <w:r w:rsidRPr="006219E8">
        <w:t xml:space="preserve"> in Australia in 2013</w:t>
      </w:r>
    </w:p>
    <w:p w14:paraId="575A5F7D" w14:textId="4C56EC2B" w:rsidR="00211953" w:rsidRPr="006219E8" w:rsidRDefault="00211953" w:rsidP="00B0662F">
      <w:pPr>
        <w:pStyle w:val="Bullet"/>
      </w:pPr>
      <w:proofErr w:type="spellStart"/>
      <w:r w:rsidRPr="006219E8">
        <w:t>Chatime</w:t>
      </w:r>
      <w:proofErr w:type="spellEnd"/>
      <w:r w:rsidR="00120EBD">
        <w:t xml:space="preserve"> </w:t>
      </w:r>
      <w:r w:rsidR="00687F1A">
        <w:t xml:space="preserve">– </w:t>
      </w:r>
      <w:r w:rsidR="00120EBD">
        <w:t xml:space="preserve">Taiwanese </w:t>
      </w:r>
      <w:r w:rsidRPr="00993192">
        <w:t>bubble tea outlet</w:t>
      </w:r>
      <w:r w:rsidR="00120EBD">
        <w:t>s</w:t>
      </w:r>
      <w:r w:rsidRPr="00993192">
        <w:t xml:space="preserve"> </w:t>
      </w:r>
      <w:r w:rsidR="00120EBD">
        <w:t xml:space="preserve">that starting </w:t>
      </w:r>
      <w:r w:rsidRPr="00993192">
        <w:t>operati</w:t>
      </w:r>
      <w:r w:rsidR="00120EBD">
        <w:t>ng</w:t>
      </w:r>
      <w:r w:rsidRPr="006219E8">
        <w:t xml:space="preserve"> in Australia in 2009</w:t>
      </w:r>
    </w:p>
    <w:p w14:paraId="410E1D6B" w14:textId="11E607F3" w:rsidR="00211953" w:rsidRPr="00993192" w:rsidRDefault="008F1E4C" w:rsidP="00B0662F">
      <w:pPr>
        <w:pStyle w:val="Bullet"/>
      </w:pPr>
      <w:r>
        <w:t xml:space="preserve">The </w:t>
      </w:r>
      <w:r w:rsidR="00211953" w:rsidRPr="006219E8">
        <w:t>Sushi 79</w:t>
      </w:r>
      <w:r w:rsidR="00120EBD">
        <w:t xml:space="preserve"> –</w:t>
      </w:r>
      <w:r w:rsidR="00F14565">
        <w:t xml:space="preserve"> Australian </w:t>
      </w:r>
      <w:r w:rsidR="00211953" w:rsidRPr="00993192">
        <w:t xml:space="preserve">sushi restaurant </w:t>
      </w:r>
      <w:r w:rsidR="0043770E">
        <w:t xml:space="preserve">chain </w:t>
      </w:r>
      <w:r w:rsidR="00687F1A">
        <w:t xml:space="preserve">established </w:t>
      </w:r>
      <w:r w:rsidR="00211953" w:rsidRPr="00993192">
        <w:t>in 2015</w:t>
      </w:r>
      <w:r w:rsidR="00120EBD">
        <w:t>.</w:t>
      </w:r>
    </w:p>
    <w:p w14:paraId="1BC2690E" w14:textId="24EA25D6" w:rsidR="003B5DF4" w:rsidRDefault="00173579" w:rsidP="00BE1468">
      <w:pPr>
        <w:spacing w:before="240"/>
      </w:pPr>
      <w:r>
        <w:t>The</w:t>
      </w:r>
      <w:r w:rsidR="0000064B">
        <w:t xml:space="preserve">se </w:t>
      </w:r>
      <w:r w:rsidR="00D55AB1">
        <w:t>franchises</w:t>
      </w:r>
      <w:r>
        <w:t xml:space="preserve"> were selected based on FWO intelligence data, including </w:t>
      </w:r>
      <w:r w:rsidRPr="004D1FBB">
        <w:t>anonymous tip offs, requests for assistance and stakeholder referrals</w:t>
      </w:r>
      <w:r>
        <w:t>.</w:t>
      </w:r>
      <w:r w:rsidR="00F87A9F">
        <w:t xml:space="preserve"> </w:t>
      </w:r>
      <w:r w:rsidR="003B5DF4">
        <w:t>The FRAC sector is also a key strategic priority industry for the FWO, with consistently high levels of non-compliance</w:t>
      </w:r>
      <w:r w:rsidR="00F87A9F">
        <w:t xml:space="preserve"> with workplace laws</w:t>
      </w:r>
      <w:r w:rsidR="003B5DF4">
        <w:t xml:space="preserve">. </w:t>
      </w:r>
    </w:p>
    <w:p w14:paraId="3BE8AFFC" w14:textId="77777777" w:rsidR="00277D14" w:rsidRDefault="00277D14" w:rsidP="00173579"/>
    <w:p w14:paraId="78D82CBC" w14:textId="77777777" w:rsidR="00277D14" w:rsidRDefault="00277D14" w:rsidP="00277D14">
      <w:pPr>
        <w:spacing w:before="0" w:after="120"/>
      </w:pPr>
      <w:r>
        <w:lastRenderedPageBreak/>
        <w:t>Priority sites within the brands were identified across capital cities around Australia, and visits to businesses by Fair Work Inspectors were co-ordinated to minimise the opportunity of internal tip-offs within the franchise networks.</w:t>
      </w:r>
    </w:p>
    <w:p w14:paraId="558B77FF" w14:textId="63DEE3DB" w:rsidR="00120EBD" w:rsidRDefault="004D1FBB" w:rsidP="00277D14">
      <w:pPr>
        <w:spacing w:before="0" w:after="120"/>
      </w:pPr>
      <w:r w:rsidRPr="006219E8">
        <w:t>Fair Work Inspectors audited 7</w:t>
      </w:r>
      <w:r w:rsidR="00B2574A">
        <w:t>6</w:t>
      </w:r>
      <w:r w:rsidRPr="006219E8">
        <w:t xml:space="preserve"> individual businesses across the 7 brands</w:t>
      </w:r>
      <w:r>
        <w:t>, to</w:t>
      </w:r>
      <w:r w:rsidR="00120EBD">
        <w:t>:</w:t>
      </w:r>
    </w:p>
    <w:p w14:paraId="62876194" w14:textId="77777777" w:rsidR="00120EBD" w:rsidRPr="006219E8" w:rsidRDefault="00980CA5" w:rsidP="00B0662F">
      <w:pPr>
        <w:pStyle w:val="Bullet"/>
      </w:pPr>
      <w:r w:rsidRPr="006219E8">
        <w:t>check complianc</w:t>
      </w:r>
      <w:r w:rsidR="00CA6D7E" w:rsidRPr="006219E8">
        <w:t>e with workplace relations laws</w:t>
      </w:r>
    </w:p>
    <w:p w14:paraId="7EB752D6" w14:textId="77777777" w:rsidR="006F5D22" w:rsidRPr="00C1692F" w:rsidRDefault="006F5D22" w:rsidP="00B0662F">
      <w:pPr>
        <w:pStyle w:val="Bullet"/>
      </w:pPr>
      <w:r>
        <w:t>assess</w:t>
      </w:r>
      <w:r w:rsidRPr="00C1692F">
        <w:t xml:space="preserve"> records against the </w:t>
      </w:r>
      <w:r w:rsidRPr="00230921">
        <w:t xml:space="preserve">Fair Work Act 2009 </w:t>
      </w:r>
      <w:r w:rsidRPr="00C1692F">
        <w:t>(</w:t>
      </w:r>
      <w:r w:rsidR="004F0779">
        <w:t>the</w:t>
      </w:r>
      <w:r w:rsidRPr="00C1692F">
        <w:t xml:space="preserve"> Act), the </w:t>
      </w:r>
      <w:r w:rsidRPr="00230921">
        <w:t>Fair Work Regulations 2009</w:t>
      </w:r>
      <w:r w:rsidRPr="00C1692F">
        <w:t xml:space="preserve"> (the Regulations) and the applicable awards</w:t>
      </w:r>
      <w:r w:rsidRPr="006F5D22">
        <w:t xml:space="preserve"> </w:t>
      </w:r>
      <w:r>
        <w:t>(</w:t>
      </w:r>
      <w:r w:rsidRPr="00230921">
        <w:t>Restaurant Industry Award 2010</w:t>
      </w:r>
      <w:r>
        <w:t xml:space="preserve"> and </w:t>
      </w:r>
      <w:r w:rsidRPr="00230921">
        <w:t>Fast Food Industry Award 2010</w:t>
      </w:r>
      <w:r>
        <w:t>)</w:t>
      </w:r>
    </w:p>
    <w:p w14:paraId="59F1E768" w14:textId="40B1FF24" w:rsidR="00120EBD" w:rsidRDefault="00980CA5" w:rsidP="00B0662F">
      <w:pPr>
        <w:pStyle w:val="Bullet"/>
      </w:pPr>
      <w:r w:rsidRPr="00C1692F">
        <w:t>recover outstanding employee entitlements</w:t>
      </w:r>
      <w:r w:rsidR="00D55AB1">
        <w:t>, if identified</w:t>
      </w:r>
    </w:p>
    <w:p w14:paraId="304770CD" w14:textId="77777777" w:rsidR="00120EBD" w:rsidRDefault="00980CA5" w:rsidP="00B0662F">
      <w:pPr>
        <w:pStyle w:val="Bullet"/>
      </w:pPr>
      <w:r w:rsidRPr="00C1692F">
        <w:t>educa</w:t>
      </w:r>
      <w:r w:rsidR="00120EBD">
        <w:t>t</w:t>
      </w:r>
      <w:r w:rsidR="004D1FBB">
        <w:t>e</w:t>
      </w:r>
      <w:r w:rsidRPr="00C1692F">
        <w:t xml:space="preserve"> employers about their obligations</w:t>
      </w:r>
      <w:r w:rsidR="00120EBD">
        <w:t xml:space="preserve"> and </w:t>
      </w:r>
      <w:r w:rsidRPr="00C1692F">
        <w:t xml:space="preserve">employees </w:t>
      </w:r>
      <w:r w:rsidR="00120EBD">
        <w:t xml:space="preserve">about their </w:t>
      </w:r>
      <w:r w:rsidRPr="00C1692F">
        <w:t>rights</w:t>
      </w:r>
    </w:p>
    <w:p w14:paraId="3FBF3127" w14:textId="5BFFF810" w:rsidR="006A6CBB" w:rsidRPr="00C1692F" w:rsidRDefault="006A6CBB" w:rsidP="00B0662F">
      <w:pPr>
        <w:pStyle w:val="Bullet"/>
      </w:pPr>
      <w:proofErr w:type="gramStart"/>
      <w:r w:rsidRPr="00C1692F">
        <w:t>exami</w:t>
      </w:r>
      <w:r w:rsidR="004D1FBB">
        <w:t>ne</w:t>
      </w:r>
      <w:proofErr w:type="gramEnd"/>
      <w:r w:rsidR="00980CA5" w:rsidRPr="00C1692F">
        <w:t xml:space="preserve"> </w:t>
      </w:r>
      <w:r w:rsidR="00F14565">
        <w:t xml:space="preserve">the </w:t>
      </w:r>
      <w:r w:rsidR="00980CA5" w:rsidRPr="00C1692F">
        <w:t>control and influence franchisor</w:t>
      </w:r>
      <w:r w:rsidR="00120EBD">
        <w:t>s</w:t>
      </w:r>
      <w:r w:rsidR="00980CA5" w:rsidRPr="00C1692F">
        <w:t xml:space="preserve"> </w:t>
      </w:r>
      <w:r w:rsidR="00120EBD">
        <w:t xml:space="preserve">have </w:t>
      </w:r>
      <w:r w:rsidR="00980CA5" w:rsidRPr="00C1692F">
        <w:t>over franchisees.</w:t>
      </w:r>
      <w:r w:rsidR="00435704" w:rsidRPr="00C1692F">
        <w:t xml:space="preserve"> </w:t>
      </w:r>
    </w:p>
    <w:p w14:paraId="22A48FC6" w14:textId="3A01CC0C" w:rsidR="00D45A46" w:rsidRDefault="00F87A9F">
      <w:pPr>
        <w:spacing w:before="240"/>
      </w:pPr>
      <w:r>
        <w:t>E</w:t>
      </w:r>
      <w:r w:rsidR="006F5D22" w:rsidRPr="00C1692F">
        <w:t xml:space="preserve">mployers </w:t>
      </w:r>
      <w:r>
        <w:t xml:space="preserve">were </w:t>
      </w:r>
      <w:r w:rsidR="00507D04">
        <w:t xml:space="preserve">questioned </w:t>
      </w:r>
      <w:r>
        <w:t xml:space="preserve">about their </w:t>
      </w:r>
      <w:r w:rsidR="006F5D22" w:rsidRPr="00C1692F">
        <w:t>interactions with franchisor</w:t>
      </w:r>
      <w:r w:rsidR="00F14565">
        <w:t>s</w:t>
      </w:r>
      <w:r w:rsidR="00407595">
        <w:t xml:space="preserve">, including </w:t>
      </w:r>
      <w:r>
        <w:t xml:space="preserve">the </w:t>
      </w:r>
      <w:r w:rsidR="006F5D22" w:rsidRPr="00C1692F">
        <w:t xml:space="preserve">training or direction provided on </w:t>
      </w:r>
      <w:r w:rsidR="00407595">
        <w:t xml:space="preserve">workplace relations </w:t>
      </w:r>
      <w:r w:rsidR="006F5D22" w:rsidRPr="00C1692F">
        <w:t>laws and regulations.</w:t>
      </w:r>
      <w:r w:rsidR="00105A61">
        <w:t xml:space="preserve"> We also </w:t>
      </w:r>
      <w:r w:rsidR="00507D04">
        <w:t>explored</w:t>
      </w:r>
      <w:r w:rsidR="00230921">
        <w:t xml:space="preserve"> </w:t>
      </w:r>
      <w:r w:rsidR="006F5D22" w:rsidRPr="00C1692F">
        <w:t>franchisor</w:t>
      </w:r>
      <w:r w:rsidR="00D55AB1">
        <w:t>-</w:t>
      </w:r>
      <w:r w:rsidR="00105A61">
        <w:t xml:space="preserve">imposed operating models that </w:t>
      </w:r>
      <w:r w:rsidR="00230921">
        <w:t xml:space="preserve">could </w:t>
      </w:r>
      <w:r w:rsidR="00105A61">
        <w:t>put pressure on profit margins</w:t>
      </w:r>
      <w:r w:rsidR="008D37AE">
        <w:t xml:space="preserve"> (e.g. </w:t>
      </w:r>
      <w:r w:rsidR="00D45A46">
        <w:t xml:space="preserve">setting </w:t>
      </w:r>
      <w:r w:rsidR="00D45A46" w:rsidRPr="00C1692F">
        <w:t>fixed menu prices, preferred suppliers, franchising fees and royalty payments</w:t>
      </w:r>
      <w:r w:rsidR="008D37AE">
        <w:t>)</w:t>
      </w:r>
      <w:r>
        <w:t xml:space="preserve"> given</w:t>
      </w:r>
      <w:r w:rsidR="008F1E4C">
        <w:t xml:space="preserve"> i</w:t>
      </w:r>
      <w:r w:rsidR="00D45A46" w:rsidRPr="00C1692F">
        <w:t>t</w:t>
      </w:r>
      <w:r w:rsidR="00D45A46">
        <w:t>’</w:t>
      </w:r>
      <w:r w:rsidR="00D45A46" w:rsidRPr="00C1692F">
        <w:t>s not uncommon for employers of vulnerable workers to seek to recover costs by paying ‘below award’ rates</w:t>
      </w:r>
      <w:r w:rsidR="00D45A46">
        <w:t>.</w:t>
      </w:r>
    </w:p>
    <w:p w14:paraId="6ED8C1C5" w14:textId="78FCAF9B" w:rsidR="00C21516" w:rsidRPr="00C21516" w:rsidRDefault="00C21516" w:rsidP="00C21516">
      <w:pPr>
        <w:rPr>
          <w:rFonts w:ascii="Calibri" w:hAnsi="Calibri" w:cs="Calibri"/>
          <w:b/>
          <w:bCs/>
          <w:iCs/>
          <w:szCs w:val="22"/>
        </w:rPr>
      </w:pPr>
      <w:r w:rsidRPr="00C21516">
        <w:rPr>
          <w:iCs/>
        </w:rPr>
        <w:t>While the franchisee employer is ultimately responsible for compliance, a franchisor can be held responsible for breaches of the Act in particular circumstances. A franchisor may not be liable for breaches under responsible franchisor provisions if they have taken reasonable steps to prevent franchisees from contravening their obligations under the Act.</w:t>
      </w:r>
      <w:r>
        <w:rPr>
          <w:rStyle w:val="FootnoteReference"/>
          <w:iCs/>
        </w:rPr>
        <w:footnoteReference w:id="4"/>
      </w:r>
      <w:r w:rsidRPr="00C21516">
        <w:rPr>
          <w:rStyle w:val="FootnoteReference"/>
          <w:b/>
          <w:bCs/>
          <w:iCs/>
        </w:rPr>
        <w:t xml:space="preserve"> </w:t>
      </w:r>
    </w:p>
    <w:p w14:paraId="756448BA" w14:textId="77777777" w:rsidR="00BE4C8F" w:rsidRPr="00C1692F" w:rsidRDefault="004D1FBB" w:rsidP="006219E8">
      <w:pPr>
        <w:pStyle w:val="Heading2"/>
      </w:pPr>
      <w:r>
        <w:t>Our findings</w:t>
      </w:r>
    </w:p>
    <w:p w14:paraId="2346FA96" w14:textId="77777777" w:rsidR="00104EFD" w:rsidRPr="007A1E2A" w:rsidRDefault="00104EFD" w:rsidP="006219E8">
      <w:r w:rsidRPr="007A1E2A">
        <w:t>17 (22%) businesses were compliant with all aspects of their workplace relations obligations</w:t>
      </w:r>
      <w:r w:rsidR="004D1FBB" w:rsidRPr="007A1E2A">
        <w:t>.</w:t>
      </w:r>
    </w:p>
    <w:p w14:paraId="75081F6F" w14:textId="01849B64" w:rsidR="004D1FBB" w:rsidRPr="007A1E2A" w:rsidRDefault="00104EFD" w:rsidP="006219E8">
      <w:r w:rsidRPr="007A1E2A">
        <w:t>59 (78%) were in breach of at least one of their workplace obligations.</w:t>
      </w:r>
      <w:r w:rsidR="00454D23">
        <w:t xml:space="preserve"> </w:t>
      </w:r>
    </w:p>
    <w:p w14:paraId="53AAE873" w14:textId="3C1754A3" w:rsidR="00104EFD" w:rsidRPr="007A1E2A" w:rsidRDefault="00104EFD" w:rsidP="00B0662F">
      <w:pPr>
        <w:pStyle w:val="Bullet"/>
      </w:pPr>
      <w:r w:rsidRPr="007A1E2A">
        <w:t>1</w:t>
      </w:r>
      <w:r w:rsidR="005D4D88" w:rsidRPr="007A1E2A">
        <w:t>5</w:t>
      </w:r>
      <w:r w:rsidRPr="007A1E2A">
        <w:t xml:space="preserve"> (</w:t>
      </w:r>
      <w:r w:rsidR="005D4D88" w:rsidRPr="007A1E2A">
        <w:t>20</w:t>
      </w:r>
      <w:r w:rsidRPr="007A1E2A">
        <w:t>%</w:t>
      </w:r>
      <w:r w:rsidR="004D1FBB" w:rsidRPr="007A1E2A">
        <w:t>)</w:t>
      </w:r>
      <w:r w:rsidRPr="007A1E2A">
        <w:t xml:space="preserve"> </w:t>
      </w:r>
      <w:r w:rsidR="004D1FBB" w:rsidRPr="007A1E2A">
        <w:t xml:space="preserve">weren’t </w:t>
      </w:r>
      <w:r w:rsidRPr="007A1E2A">
        <w:t>pay</w:t>
      </w:r>
      <w:r w:rsidR="004D1FBB" w:rsidRPr="007A1E2A">
        <w:t>ing</w:t>
      </w:r>
      <w:r w:rsidRPr="007A1E2A">
        <w:t xml:space="preserve"> employees correctly, but complied with pay slip and record-keeping obligations (non-monetary obligations)</w:t>
      </w:r>
      <w:r w:rsidR="004D1FBB" w:rsidRPr="007A1E2A">
        <w:t>.</w:t>
      </w:r>
    </w:p>
    <w:p w14:paraId="5EA458D2" w14:textId="31B992F1" w:rsidR="00104EFD" w:rsidRPr="007A1E2A" w:rsidRDefault="00104EFD" w:rsidP="00B0662F">
      <w:pPr>
        <w:pStyle w:val="Bullet"/>
      </w:pPr>
      <w:r w:rsidRPr="007A1E2A">
        <w:t>1</w:t>
      </w:r>
      <w:r w:rsidR="005D4D88" w:rsidRPr="007A1E2A">
        <w:t>7</w:t>
      </w:r>
      <w:r w:rsidRPr="007A1E2A">
        <w:t xml:space="preserve"> (2</w:t>
      </w:r>
      <w:r w:rsidR="005D4D88" w:rsidRPr="007A1E2A">
        <w:t>3</w:t>
      </w:r>
      <w:r w:rsidRPr="007A1E2A">
        <w:t>%) were in breach of non-monetary obligations, but complied with monetary requirements</w:t>
      </w:r>
      <w:r w:rsidR="0002091D" w:rsidRPr="007A1E2A">
        <w:t>.</w:t>
      </w:r>
    </w:p>
    <w:p w14:paraId="61F05058" w14:textId="6693FAEC" w:rsidR="00104EFD" w:rsidRPr="00C1692F" w:rsidRDefault="00104EFD" w:rsidP="00B0662F">
      <w:pPr>
        <w:pStyle w:val="Bullet"/>
      </w:pPr>
      <w:r w:rsidRPr="007A1E2A">
        <w:t>27 (3</w:t>
      </w:r>
      <w:r w:rsidR="005D4D88" w:rsidRPr="007A1E2A">
        <w:t>5</w:t>
      </w:r>
      <w:r w:rsidRPr="007A1E2A">
        <w:t>%) were</w:t>
      </w:r>
      <w:r w:rsidRPr="00C1692F">
        <w:t xml:space="preserve"> in breach of both their monetary and non-monetary obligations.</w:t>
      </w:r>
    </w:p>
    <w:p w14:paraId="5B473AED" w14:textId="5FD2703C" w:rsidR="00104EFD" w:rsidRPr="00C1692F" w:rsidRDefault="00104EFD" w:rsidP="006219E8">
      <w:r w:rsidRPr="00C1692F">
        <w:t xml:space="preserve">The most common breaches </w:t>
      </w:r>
      <w:r w:rsidR="00A94685">
        <w:t>related to</w:t>
      </w:r>
      <w:r w:rsidRPr="00C1692F">
        <w:t>:</w:t>
      </w:r>
    </w:p>
    <w:p w14:paraId="56AC72B5" w14:textId="601EDF53" w:rsidR="00104EFD" w:rsidRPr="00A94685" w:rsidRDefault="00104EFD" w:rsidP="00B0662F">
      <w:pPr>
        <w:pStyle w:val="Bullet"/>
      </w:pPr>
      <w:proofErr w:type="gramStart"/>
      <w:r w:rsidRPr="00A94685">
        <w:t>pay</w:t>
      </w:r>
      <w:proofErr w:type="gramEnd"/>
      <w:r w:rsidRPr="00A94685">
        <w:t xml:space="preserve"> slip obligations</w:t>
      </w:r>
      <w:r w:rsidR="00D72D17">
        <w:t xml:space="preserve"> contained</w:t>
      </w:r>
      <w:r w:rsidRPr="00A94685">
        <w:t xml:space="preserve"> </w:t>
      </w:r>
      <w:r w:rsidR="00A94685" w:rsidRPr="00A94685">
        <w:t xml:space="preserve">in </w:t>
      </w:r>
      <w:r w:rsidRPr="00A94685">
        <w:t xml:space="preserve">the </w:t>
      </w:r>
      <w:r w:rsidR="004F0779">
        <w:t xml:space="preserve">Act </w:t>
      </w:r>
      <w:r w:rsidR="00A94685" w:rsidRPr="006219E8">
        <w:t xml:space="preserve">and </w:t>
      </w:r>
      <w:r w:rsidR="004F0779" w:rsidRPr="004F0779">
        <w:t xml:space="preserve">the </w:t>
      </w:r>
      <w:r w:rsidRPr="004F0779">
        <w:t>Regulations</w:t>
      </w:r>
      <w:r w:rsidRPr="00230921">
        <w:rPr>
          <w:i/>
        </w:rPr>
        <w:t xml:space="preserve"> </w:t>
      </w:r>
      <w:r w:rsidRPr="00A94685">
        <w:t>(24%)</w:t>
      </w:r>
    </w:p>
    <w:p w14:paraId="30B97713" w14:textId="77777777" w:rsidR="00104EFD" w:rsidRPr="00A94685" w:rsidRDefault="00104EFD" w:rsidP="00B0662F">
      <w:pPr>
        <w:pStyle w:val="Bullet"/>
      </w:pPr>
      <w:proofErr w:type="gramStart"/>
      <w:r w:rsidRPr="00A94685">
        <w:t>penalty</w:t>
      </w:r>
      <w:proofErr w:type="gramEnd"/>
      <w:r w:rsidRPr="00A94685">
        <w:t xml:space="preserve"> rate</w:t>
      </w:r>
      <w:r w:rsidR="00A94685" w:rsidRPr="00A94685">
        <w:t>s</w:t>
      </w:r>
      <w:r w:rsidRPr="00A94685">
        <w:t xml:space="preserve"> (20%)</w:t>
      </w:r>
    </w:p>
    <w:p w14:paraId="5619EE44" w14:textId="77777777" w:rsidR="00A94685" w:rsidRPr="00A94685" w:rsidRDefault="00104EFD" w:rsidP="00B0662F">
      <w:pPr>
        <w:pStyle w:val="Bullet"/>
      </w:pPr>
      <w:proofErr w:type="gramStart"/>
      <w:r w:rsidRPr="00A94685">
        <w:t>minimum</w:t>
      </w:r>
      <w:proofErr w:type="gramEnd"/>
      <w:r w:rsidRPr="00A94685">
        <w:t xml:space="preserve"> hourly rate</w:t>
      </w:r>
      <w:r w:rsidR="00A94685" w:rsidRPr="00A94685">
        <w:t>s of pay</w:t>
      </w:r>
      <w:r w:rsidRPr="00A94685">
        <w:t xml:space="preserve"> (16%)</w:t>
      </w:r>
    </w:p>
    <w:p w14:paraId="3BD682CA" w14:textId="77777777" w:rsidR="00104EFD" w:rsidRPr="00A94685" w:rsidRDefault="00104EFD" w:rsidP="00B0662F">
      <w:pPr>
        <w:pStyle w:val="Bullet"/>
      </w:pPr>
      <w:proofErr w:type="gramStart"/>
      <w:r w:rsidRPr="00A94685">
        <w:lastRenderedPageBreak/>
        <w:t>record-keeping</w:t>
      </w:r>
      <w:proofErr w:type="gramEnd"/>
      <w:r w:rsidRPr="00A94685">
        <w:t xml:space="preserve"> requirements (11%).</w:t>
      </w:r>
    </w:p>
    <w:p w14:paraId="37A9C124" w14:textId="00B0544C" w:rsidR="00594CC1" w:rsidRDefault="00594CC1" w:rsidP="00E01D66">
      <w:pPr>
        <w:spacing w:before="240"/>
      </w:pPr>
      <w:r>
        <w:t>These results indicate significantly higher non-compliance amongst emerging franchises (78%) than employers generally</w:t>
      </w:r>
      <w:r w:rsidR="00F81A25">
        <w:t xml:space="preserve"> (</w:t>
      </w:r>
      <w:r>
        <w:t xml:space="preserve">55% non-compliance rate across all </w:t>
      </w:r>
      <w:r w:rsidRPr="00454D23">
        <w:t>audit</w:t>
      </w:r>
      <w:r>
        <w:t>s</w:t>
      </w:r>
      <w:r w:rsidRPr="00454D23">
        <w:t xml:space="preserve"> </w:t>
      </w:r>
      <w:r>
        <w:t xml:space="preserve">conducted </w:t>
      </w:r>
      <w:r w:rsidRPr="00454D23">
        <w:t>in 2018-19</w:t>
      </w:r>
      <w:r w:rsidR="009C39C0">
        <w:rPr>
          <w:rStyle w:val="FootnoteReference"/>
        </w:rPr>
        <w:footnoteReference w:id="5"/>
      </w:r>
      <w:r w:rsidR="00F81A25">
        <w:t>)</w:t>
      </w:r>
      <w:r>
        <w:t>.</w:t>
      </w:r>
    </w:p>
    <w:p w14:paraId="2F64624A" w14:textId="6AB68F28" w:rsidR="00A94685" w:rsidRDefault="00507D04" w:rsidP="00993192">
      <w:r>
        <w:t>Articulated r</w:t>
      </w:r>
      <w:r w:rsidR="00A94685">
        <w:t xml:space="preserve">easons </w:t>
      </w:r>
      <w:r>
        <w:t xml:space="preserve">by employers </w:t>
      </w:r>
      <w:r w:rsidR="00A94685">
        <w:t xml:space="preserve">for </w:t>
      </w:r>
      <w:r>
        <w:t xml:space="preserve">their </w:t>
      </w:r>
      <w:r w:rsidR="00104EFD" w:rsidRPr="00C1692F">
        <w:t>non-compliance</w:t>
      </w:r>
      <w:r w:rsidR="00AA3A54" w:rsidRPr="00C1692F">
        <w:t xml:space="preserve"> </w:t>
      </w:r>
      <w:r w:rsidR="00D72D17">
        <w:t>included</w:t>
      </w:r>
      <w:r w:rsidR="00A94685">
        <w:t>:</w:t>
      </w:r>
    </w:p>
    <w:p w14:paraId="391B81BB" w14:textId="77777777" w:rsidR="00A94685" w:rsidRDefault="00A94685" w:rsidP="00B0662F">
      <w:pPr>
        <w:pStyle w:val="Bullet"/>
      </w:pPr>
      <w:proofErr w:type="gramStart"/>
      <w:r>
        <w:t>lack</w:t>
      </w:r>
      <w:proofErr w:type="gramEnd"/>
      <w:r>
        <w:t xml:space="preserve"> of </w:t>
      </w:r>
      <w:r w:rsidR="00104EFD" w:rsidRPr="00C1692F">
        <w:t>awareness of workplace relations obligations (81%)</w:t>
      </w:r>
    </w:p>
    <w:p w14:paraId="6F4CBC65" w14:textId="77777777" w:rsidR="00A94685" w:rsidRPr="00993192" w:rsidRDefault="00104EFD" w:rsidP="00B0662F">
      <w:pPr>
        <w:pStyle w:val="Bullet"/>
        <w:rPr>
          <w:rStyle w:val="CommentReference"/>
          <w:rFonts w:cstheme="minorHAnsi"/>
          <w:sz w:val="22"/>
          <w:szCs w:val="22"/>
        </w:rPr>
      </w:pPr>
      <w:proofErr w:type="gramStart"/>
      <w:r w:rsidRPr="00C1692F">
        <w:t>payment</w:t>
      </w:r>
      <w:proofErr w:type="gramEnd"/>
      <w:r w:rsidRPr="00C1692F">
        <w:t xml:space="preserve"> of flat hourly rates (8%)</w:t>
      </w:r>
    </w:p>
    <w:p w14:paraId="6DE46A3F" w14:textId="77777777" w:rsidR="00104EFD" w:rsidRDefault="00104EFD" w:rsidP="00B0662F">
      <w:pPr>
        <w:pStyle w:val="Bullet"/>
      </w:pPr>
      <w:proofErr w:type="gramStart"/>
      <w:r w:rsidRPr="00C1692F">
        <w:t>misinterpretation</w:t>
      </w:r>
      <w:proofErr w:type="gramEnd"/>
      <w:r w:rsidRPr="00C1692F">
        <w:t xml:space="preserve"> of award requirements (3%)</w:t>
      </w:r>
      <w:r w:rsidR="00A94685">
        <w:t>.</w:t>
      </w:r>
    </w:p>
    <w:p w14:paraId="6ECCE0F4" w14:textId="36A0C595" w:rsidR="00230921" w:rsidRPr="00C1692F" w:rsidRDefault="00D72D17" w:rsidP="00BE1468">
      <w:pPr>
        <w:spacing w:before="240"/>
      </w:pPr>
      <w:r>
        <w:t>Franchisees reported that f</w:t>
      </w:r>
      <w:r w:rsidR="00230921" w:rsidRPr="00C1692F">
        <w:t xml:space="preserve">ranchisors </w:t>
      </w:r>
      <w:r w:rsidR="00230921">
        <w:t>provide</w:t>
      </w:r>
      <w:r>
        <w:t>d</w:t>
      </w:r>
      <w:r w:rsidR="00230921">
        <w:t xml:space="preserve"> little guidance on </w:t>
      </w:r>
      <w:r w:rsidR="00230921" w:rsidRPr="00C1692F">
        <w:t>regulatory matters, especially workplace laws</w:t>
      </w:r>
      <w:r w:rsidR="002516C6">
        <w:t xml:space="preserve"> and that d</w:t>
      </w:r>
      <w:r w:rsidR="00230921">
        <w:t xml:space="preserve">irection was </w:t>
      </w:r>
      <w:r>
        <w:t xml:space="preserve">more </w:t>
      </w:r>
      <w:r w:rsidR="00230921">
        <w:t xml:space="preserve">focused on </w:t>
      </w:r>
      <w:r w:rsidR="00230921" w:rsidRPr="00C1692F">
        <w:t xml:space="preserve">outlet </w:t>
      </w:r>
      <w:r w:rsidR="00230921">
        <w:t>setup, branding, menu and staff training.</w:t>
      </w:r>
    </w:p>
    <w:p w14:paraId="44DEEA66" w14:textId="77E73EBC" w:rsidR="007364EB" w:rsidRDefault="007364EB" w:rsidP="007364EB">
      <w:r>
        <w:t>S</w:t>
      </w:r>
      <w:r w:rsidRPr="00C1692F">
        <w:t xml:space="preserve">ome non-compliant franchisees </w:t>
      </w:r>
      <w:r>
        <w:t xml:space="preserve">told </w:t>
      </w:r>
      <w:r w:rsidRPr="00C1692F">
        <w:t xml:space="preserve">Fair Work Inspectors </w:t>
      </w:r>
      <w:r>
        <w:t xml:space="preserve">that they faced </w:t>
      </w:r>
      <w:r w:rsidRPr="00C1692F">
        <w:t xml:space="preserve">financial pressures due to </w:t>
      </w:r>
      <w:r>
        <w:t>franchisor</w:t>
      </w:r>
      <w:r w:rsidRPr="00C1692F">
        <w:t xml:space="preserve"> control</w:t>
      </w:r>
      <w:r>
        <w:t>s</w:t>
      </w:r>
      <w:r w:rsidR="00230921">
        <w:t>. F</w:t>
      </w:r>
      <w:r>
        <w:t>or example</w:t>
      </w:r>
      <w:r w:rsidR="00230921">
        <w:t>, through</w:t>
      </w:r>
      <w:r>
        <w:t xml:space="preserve"> a </w:t>
      </w:r>
      <w:r w:rsidRPr="00C1692F">
        <w:t xml:space="preserve">requirement to use in-house suppliers at higher costs </w:t>
      </w:r>
      <w:r>
        <w:t>than available locally.</w:t>
      </w:r>
    </w:p>
    <w:p w14:paraId="7D5EBC03" w14:textId="6C8C7A05" w:rsidR="00FE5603" w:rsidRDefault="00FE5603" w:rsidP="007364EB">
      <w:r>
        <w:t>The specific results from each activity are available at Appendix A.</w:t>
      </w:r>
    </w:p>
    <w:p w14:paraId="36D32B57" w14:textId="77777777" w:rsidR="006F5D22" w:rsidRDefault="006F5D22" w:rsidP="006219E8">
      <w:pPr>
        <w:pStyle w:val="Heading2"/>
      </w:pPr>
      <w:r>
        <w:t>Actions taken and next steps</w:t>
      </w:r>
    </w:p>
    <w:p w14:paraId="5E326BBD" w14:textId="77777777" w:rsidR="00C90D32" w:rsidRPr="00C1692F" w:rsidRDefault="00C90D32" w:rsidP="00C90D32">
      <w:r w:rsidRPr="00C1692F">
        <w:t xml:space="preserve">Employers were required to </w:t>
      </w:r>
      <w:r>
        <w:t xml:space="preserve">fix </w:t>
      </w:r>
      <w:r w:rsidRPr="00C1692F">
        <w:t>non-compliance and provide evidence of action</w:t>
      </w:r>
      <w:r>
        <w:t xml:space="preserve"> taken</w:t>
      </w:r>
      <w:r w:rsidRPr="00C1692F">
        <w:t>, for example proof of payment of outstanding employee entitlements</w:t>
      </w:r>
      <w:r>
        <w:t>.</w:t>
      </w:r>
    </w:p>
    <w:p w14:paraId="4F5C2845" w14:textId="22A55699" w:rsidR="006F5D22" w:rsidRDefault="006F5D22" w:rsidP="00993192">
      <w:r>
        <w:t xml:space="preserve">We </w:t>
      </w:r>
      <w:r w:rsidR="00AA3A54" w:rsidRPr="00C1692F">
        <w:t>recover</w:t>
      </w:r>
      <w:r>
        <w:t>ed</w:t>
      </w:r>
      <w:r w:rsidR="00881DF4" w:rsidRPr="00C1692F">
        <w:t xml:space="preserve"> </w:t>
      </w:r>
      <w:r w:rsidR="00414BDD">
        <w:t xml:space="preserve">a total of </w:t>
      </w:r>
      <w:r w:rsidR="00881DF4" w:rsidRPr="00C1692F">
        <w:t>$</w:t>
      </w:r>
      <w:r w:rsidR="00A17CF1">
        <w:t>731,648</w:t>
      </w:r>
      <w:r w:rsidR="00AC7FEC">
        <w:t xml:space="preserve"> </w:t>
      </w:r>
      <w:r w:rsidR="00881DF4" w:rsidRPr="00C1692F">
        <w:t xml:space="preserve">for </w:t>
      </w:r>
      <w:r w:rsidR="006F5932">
        <w:t>7</w:t>
      </w:r>
      <w:r w:rsidR="00A17CF1">
        <w:t>80</w:t>
      </w:r>
      <w:r w:rsidR="00881DF4" w:rsidRPr="00C1692F">
        <w:t xml:space="preserve"> employees from </w:t>
      </w:r>
      <w:r w:rsidR="006F5932">
        <w:t>40</w:t>
      </w:r>
      <w:r w:rsidR="00881DF4" w:rsidRPr="00C1692F">
        <w:t xml:space="preserve"> businesses</w:t>
      </w:r>
      <w:r>
        <w:t>.</w:t>
      </w:r>
      <w:r w:rsidR="00881DF4" w:rsidRPr="00C1692F">
        <w:rPr>
          <w:rStyle w:val="FootnoteReference"/>
          <w:rFonts w:cstheme="minorHAnsi"/>
        </w:rPr>
        <w:footnoteReference w:id="6"/>
      </w:r>
      <w:r w:rsidR="00FA5B4B">
        <w:t xml:space="preserve"> </w:t>
      </w:r>
    </w:p>
    <w:p w14:paraId="1D81CD83" w14:textId="77777777" w:rsidR="006F5D22" w:rsidRDefault="00881DF4">
      <w:r w:rsidRPr="00C1692F">
        <w:t>Fair Work Inspectors issu</w:t>
      </w:r>
      <w:r w:rsidR="006F5D22">
        <w:t>ed:</w:t>
      </w:r>
    </w:p>
    <w:p w14:paraId="17B5EA64" w14:textId="77777777" w:rsidR="006F5D22" w:rsidRDefault="00881DF4" w:rsidP="00B0662F">
      <w:pPr>
        <w:pStyle w:val="Bullet"/>
      </w:pPr>
      <w:r w:rsidRPr="00C1692F">
        <w:t xml:space="preserve">38 </w:t>
      </w:r>
      <w:r w:rsidR="009E727B" w:rsidRPr="00C1692F">
        <w:t>c</w:t>
      </w:r>
      <w:r w:rsidRPr="00C1692F">
        <w:t>ontravention letters</w:t>
      </w:r>
    </w:p>
    <w:p w14:paraId="38EDC2F7" w14:textId="77777777" w:rsidR="006F5D22" w:rsidRDefault="009E727B" w:rsidP="00B0662F">
      <w:pPr>
        <w:pStyle w:val="Bullet"/>
      </w:pPr>
      <w:r w:rsidRPr="00C1692F">
        <w:t>26 f</w:t>
      </w:r>
      <w:r w:rsidR="00881DF4" w:rsidRPr="00C1692F">
        <w:t xml:space="preserve">ormal </w:t>
      </w:r>
      <w:r w:rsidR="006F5D22">
        <w:t>c</w:t>
      </w:r>
      <w:r w:rsidR="00881DF4" w:rsidRPr="00C1692F">
        <w:t>autions</w:t>
      </w:r>
    </w:p>
    <w:p w14:paraId="145D3FE5" w14:textId="10B5A392" w:rsidR="00881DF4" w:rsidRDefault="00881DF4" w:rsidP="00B0662F">
      <w:pPr>
        <w:pStyle w:val="Bullet"/>
      </w:pPr>
      <w:r w:rsidRPr="00C1692F">
        <w:t>1</w:t>
      </w:r>
      <w:r w:rsidR="009E727B" w:rsidRPr="00C1692F">
        <w:t>3 infringement n</w:t>
      </w:r>
      <w:r w:rsidRPr="00C1692F">
        <w:t xml:space="preserve">otices </w:t>
      </w:r>
      <w:r w:rsidR="00104EFD" w:rsidRPr="00C1692F">
        <w:t>($8</w:t>
      </w:r>
      <w:r w:rsidRPr="00C1692F">
        <w:t>780 in pe</w:t>
      </w:r>
      <w:r w:rsidR="008B0919">
        <w:t>nalties for pay slip and record-</w:t>
      </w:r>
      <w:r w:rsidRPr="00C1692F">
        <w:t>keeping breaches)</w:t>
      </w:r>
    </w:p>
    <w:p w14:paraId="5868F694" w14:textId="5B53DA2B" w:rsidR="004A6E44" w:rsidRDefault="007E6E94" w:rsidP="00B0662F">
      <w:pPr>
        <w:pStyle w:val="Bullet"/>
      </w:pPr>
      <w:r>
        <w:t>8</w:t>
      </w:r>
      <w:r w:rsidR="004A6E44">
        <w:t xml:space="preserve"> </w:t>
      </w:r>
      <w:r>
        <w:t>c</w:t>
      </w:r>
      <w:r w:rsidR="004A6E44">
        <w:t xml:space="preserve">ompliance </w:t>
      </w:r>
      <w:r>
        <w:t>n</w:t>
      </w:r>
      <w:r w:rsidR="004A6E44">
        <w:t xml:space="preserve">otices (requiring </w:t>
      </w:r>
      <w:r>
        <w:t>reimbursement</w:t>
      </w:r>
      <w:r w:rsidR="004A6E44">
        <w:t xml:space="preserve"> of $61</w:t>
      </w:r>
      <w:r>
        <w:t>,</w:t>
      </w:r>
      <w:r w:rsidR="004A6E44">
        <w:t>745 for 68 employees).</w:t>
      </w:r>
    </w:p>
    <w:p w14:paraId="0B7AB24B" w14:textId="77777777" w:rsidR="00407595" w:rsidRDefault="006F5D22" w:rsidP="00BE1468">
      <w:pPr>
        <w:spacing w:before="240"/>
      </w:pPr>
      <w:r>
        <w:t xml:space="preserve">We took legal action against </w:t>
      </w:r>
      <w:bookmarkStart w:id="0" w:name="_Toc410822214"/>
      <w:bookmarkStart w:id="1" w:name="_Toc410822927"/>
      <w:r w:rsidR="009E727B" w:rsidRPr="00C1692F">
        <w:t>6</w:t>
      </w:r>
      <w:r w:rsidR="00AA3A54" w:rsidRPr="00C1692F">
        <w:t xml:space="preserve"> businesses</w:t>
      </w:r>
      <w:r>
        <w:t xml:space="preserve"> for serious non-compliance</w:t>
      </w:r>
      <w:r w:rsidR="00993192">
        <w:t xml:space="preserve">, including: </w:t>
      </w:r>
    </w:p>
    <w:p w14:paraId="7D16A8BB" w14:textId="2874C21A" w:rsidR="00311C42" w:rsidRPr="007A7994" w:rsidRDefault="008418F2" w:rsidP="00B0662F">
      <w:pPr>
        <w:pStyle w:val="Bullet"/>
      </w:pPr>
      <w:r w:rsidRPr="007A7994">
        <w:t xml:space="preserve">The director of </w:t>
      </w:r>
      <w:bookmarkEnd w:id="0"/>
      <w:bookmarkEnd w:id="1"/>
      <w:r w:rsidRPr="007A7994">
        <w:t xml:space="preserve">3 </w:t>
      </w:r>
      <w:r w:rsidR="00311C42" w:rsidRPr="007A7994">
        <w:t xml:space="preserve">Sydney-based </w:t>
      </w:r>
      <w:proofErr w:type="spellStart"/>
      <w:r w:rsidR="00311C42" w:rsidRPr="007A7994">
        <w:t>PappaRich</w:t>
      </w:r>
      <w:proofErr w:type="spellEnd"/>
      <w:r w:rsidR="00311C42" w:rsidRPr="007A7994">
        <w:t xml:space="preserve"> restaurants</w:t>
      </w:r>
      <w:r w:rsidR="00C04380">
        <w:t xml:space="preserve"> </w:t>
      </w:r>
      <w:r w:rsidR="002626E8">
        <w:t xml:space="preserve">who </w:t>
      </w:r>
      <w:r w:rsidR="00473AC6">
        <w:t>admitted to the underpayment of</w:t>
      </w:r>
      <w:r w:rsidR="0026009C" w:rsidRPr="007A7994">
        <w:t xml:space="preserve"> 154 employees</w:t>
      </w:r>
      <w:r w:rsidR="00C04380">
        <w:t>, owing</w:t>
      </w:r>
      <w:r w:rsidR="0026009C" w:rsidRPr="007A7994">
        <w:t xml:space="preserve"> more than $76,</w:t>
      </w:r>
      <w:r w:rsidR="00311C42" w:rsidRPr="007A7994">
        <w:t xml:space="preserve">000. Staff were paid flat rates </w:t>
      </w:r>
      <w:r w:rsidR="00407595" w:rsidRPr="007A7994">
        <w:t xml:space="preserve">as low as $13 per hour </w:t>
      </w:r>
      <w:r w:rsidR="00311C42" w:rsidRPr="007A7994">
        <w:t>for all hours worked</w:t>
      </w:r>
      <w:r w:rsidR="00473AC6">
        <w:t xml:space="preserve">. </w:t>
      </w:r>
      <w:r w:rsidR="00C04380">
        <w:t xml:space="preserve">The court imposed penalties of </w:t>
      </w:r>
      <w:r w:rsidR="00C04380">
        <w:rPr>
          <w:rFonts w:cs="Arial"/>
          <w:color w:val="222222"/>
          <w:lang w:val="en-US"/>
        </w:rPr>
        <w:t xml:space="preserve">$141,751 and $131,626 </w:t>
      </w:r>
      <w:r w:rsidR="00C04380">
        <w:t xml:space="preserve">on </w:t>
      </w:r>
      <w:r w:rsidR="00C04380">
        <w:rPr>
          <w:rFonts w:cs="Arial"/>
          <w:color w:val="222222"/>
          <w:lang w:val="en-US"/>
        </w:rPr>
        <w:t xml:space="preserve">PPR Ryde (NSW) Pty Ltd and </w:t>
      </w:r>
      <w:proofErr w:type="spellStart"/>
      <w:r w:rsidR="00C04380">
        <w:rPr>
          <w:rFonts w:cs="Arial"/>
          <w:color w:val="222222"/>
          <w:lang w:val="en-US"/>
        </w:rPr>
        <w:t>Gateharvest</w:t>
      </w:r>
      <w:proofErr w:type="spellEnd"/>
      <w:r w:rsidR="00C04380">
        <w:rPr>
          <w:rFonts w:cs="Arial"/>
          <w:color w:val="222222"/>
          <w:lang w:val="en-US"/>
        </w:rPr>
        <w:t xml:space="preserve"> Pty Ltd, respectively, for their involvement in the underpayments</w:t>
      </w:r>
      <w:r w:rsidR="00C04380">
        <w:t xml:space="preserve">. The director was also penalised </w:t>
      </w:r>
      <w:r w:rsidR="00C04380">
        <w:rPr>
          <w:rFonts w:cs="Arial"/>
          <w:color w:val="222222"/>
          <w:lang w:val="en-US"/>
        </w:rPr>
        <w:t>$34,425.</w:t>
      </w:r>
      <w:r w:rsidR="00FA5B4B">
        <w:rPr>
          <w:rStyle w:val="FootnoteReference"/>
          <w:color w:val="222222"/>
          <w:lang w:val="en-US"/>
        </w:rPr>
        <w:footnoteReference w:id="7"/>
      </w:r>
      <w:r w:rsidR="00FA5B4B" w:rsidRPr="00FA5B4B">
        <w:rPr>
          <w:rStyle w:val="FootnoteReference"/>
        </w:rPr>
        <w:t xml:space="preserve"> </w:t>
      </w:r>
    </w:p>
    <w:p w14:paraId="695404B1" w14:textId="04805E6B" w:rsidR="00311C42" w:rsidRPr="00C1692F" w:rsidRDefault="00311C42" w:rsidP="00B0662F">
      <w:pPr>
        <w:pStyle w:val="Bullet"/>
      </w:pPr>
      <w:r w:rsidRPr="00C1692F">
        <w:lastRenderedPageBreak/>
        <w:t xml:space="preserve">A Sydney-based </w:t>
      </w:r>
      <w:proofErr w:type="spellStart"/>
      <w:r w:rsidRPr="00C1692F">
        <w:t>Chatime</w:t>
      </w:r>
      <w:proofErr w:type="spellEnd"/>
      <w:r w:rsidRPr="00C1692F">
        <w:t xml:space="preserve"> outlet</w:t>
      </w:r>
      <w:r w:rsidR="00407595">
        <w:t xml:space="preserve"> </w:t>
      </w:r>
      <w:r w:rsidRPr="00C1692F">
        <w:t>that alleged</w:t>
      </w:r>
      <w:r w:rsidR="00407595">
        <w:t xml:space="preserve">ly </w:t>
      </w:r>
      <w:r w:rsidRPr="00C1692F">
        <w:t>underpaid 17 workers more than $46</w:t>
      </w:r>
      <w:r w:rsidR="008418F2">
        <w:t>,</w:t>
      </w:r>
      <w:r w:rsidRPr="00C1692F">
        <w:t>000</w:t>
      </w:r>
      <w:r w:rsidR="008418F2">
        <w:t>. S</w:t>
      </w:r>
      <w:r w:rsidRPr="00C1692F">
        <w:t xml:space="preserve">taff </w:t>
      </w:r>
      <w:r w:rsidR="008418F2">
        <w:t xml:space="preserve">were </w:t>
      </w:r>
      <w:r w:rsidRPr="00C1692F">
        <w:t xml:space="preserve">paid flat rates as </w:t>
      </w:r>
      <w:r w:rsidR="008418F2">
        <w:t xml:space="preserve">little </w:t>
      </w:r>
      <w:r w:rsidRPr="00C1692F">
        <w:t>as $13 per hour.</w:t>
      </w:r>
      <w:r w:rsidRPr="006219E8">
        <w:rPr>
          <w:vertAlign w:val="superscript"/>
        </w:rPr>
        <w:footnoteReference w:id="8"/>
      </w:r>
    </w:p>
    <w:p w14:paraId="0C000A30" w14:textId="0A36C61D" w:rsidR="001F0D2F" w:rsidRPr="003700D8" w:rsidRDefault="00311C42" w:rsidP="00B0662F">
      <w:pPr>
        <w:pStyle w:val="Bullet"/>
      </w:pPr>
      <w:r w:rsidRPr="00C1692F">
        <w:t>The director</w:t>
      </w:r>
      <w:r w:rsidR="001F0D2F">
        <w:t>s</w:t>
      </w:r>
      <w:r w:rsidRPr="00C1692F">
        <w:t xml:space="preserve"> of two </w:t>
      </w:r>
      <w:r w:rsidR="008F1E4C">
        <w:t xml:space="preserve">The </w:t>
      </w:r>
      <w:r w:rsidRPr="00C1692F">
        <w:t>Sushi 79 outlets in Brisbane, who</w:t>
      </w:r>
      <w:r w:rsidR="008418F2">
        <w:t xml:space="preserve"> </w:t>
      </w:r>
      <w:r w:rsidR="003700D8">
        <w:t xml:space="preserve">admitted </w:t>
      </w:r>
      <w:r w:rsidRPr="00C1692F">
        <w:t>underpa</w:t>
      </w:r>
      <w:r w:rsidR="003700D8">
        <w:t>ying</w:t>
      </w:r>
      <w:r w:rsidRPr="00C1692F">
        <w:t xml:space="preserve"> 9 workers over </w:t>
      </w:r>
      <w:r w:rsidR="00F14565">
        <w:t>$19,467.24 gross over a three</w:t>
      </w:r>
      <w:r w:rsidR="00FE5603">
        <w:t>-</w:t>
      </w:r>
      <w:r w:rsidR="00F14565">
        <w:t>month period</w:t>
      </w:r>
      <w:r w:rsidRPr="003700D8">
        <w:t xml:space="preserve">. </w:t>
      </w:r>
      <w:r w:rsidR="00993192" w:rsidRPr="003700D8">
        <w:t>The FWO</w:t>
      </w:r>
      <w:r w:rsidR="003700D8" w:rsidRPr="003700D8">
        <w:t xml:space="preserve"> was prepared to use </w:t>
      </w:r>
      <w:r w:rsidR="00993192" w:rsidRPr="003700D8">
        <w:t xml:space="preserve">reverse onus of proof laws from the </w:t>
      </w:r>
      <w:r w:rsidR="007364EB" w:rsidRPr="003700D8">
        <w:rPr>
          <w:i/>
        </w:rPr>
        <w:t>Fair Work Amendment (Protecting Vulnerable Workers) Act 2017</w:t>
      </w:r>
      <w:r w:rsidR="00993192" w:rsidRPr="003700D8">
        <w:t xml:space="preserve"> </w:t>
      </w:r>
      <w:r w:rsidR="00C8422E">
        <w:t xml:space="preserve"> had the directors not admitted liability</w:t>
      </w:r>
      <w:r w:rsidR="001F0D2F" w:rsidRPr="003700D8">
        <w:t>. Underpayments related to the use of flat rates of pay</w:t>
      </w:r>
      <w:r w:rsidR="00C834E9" w:rsidRPr="003700D8">
        <w:t>. Q</w:t>
      </w:r>
      <w:r w:rsidR="001F0D2F" w:rsidRPr="003700D8">
        <w:t xml:space="preserve">uantification of underpayments was </w:t>
      </w:r>
      <w:r w:rsidR="0026009C" w:rsidRPr="003700D8">
        <w:t xml:space="preserve">also </w:t>
      </w:r>
      <w:r w:rsidR="001F0D2F" w:rsidRPr="003700D8">
        <w:t>hindered by the company’s failure to keep time and wage records</w:t>
      </w:r>
      <w:r w:rsidR="005D4D88" w:rsidRPr="003700D8">
        <w:t>.</w:t>
      </w:r>
      <w:r w:rsidR="001F0D2F" w:rsidRPr="003700D8">
        <w:t xml:space="preserve"> The court imposed </w:t>
      </w:r>
      <w:r w:rsidR="00C834E9" w:rsidRPr="003700D8">
        <w:t>penalties of $108,</w:t>
      </w:r>
      <w:r w:rsidR="001F0D2F" w:rsidRPr="003700D8">
        <w:t xml:space="preserve">000 on </w:t>
      </w:r>
      <w:r w:rsidR="00C834E9" w:rsidRPr="003700D8">
        <w:t xml:space="preserve">A &amp; K Property Services Pty Ltd </w:t>
      </w:r>
      <w:r w:rsidR="001F0D2F" w:rsidRPr="003700D8">
        <w:t>and $17,700 on the directors</w:t>
      </w:r>
      <w:r w:rsidR="00993192" w:rsidRPr="003700D8">
        <w:t>.</w:t>
      </w:r>
      <w:r w:rsidR="001F0D2F" w:rsidRPr="003700D8">
        <w:rPr>
          <w:vertAlign w:val="superscript"/>
        </w:rPr>
        <w:footnoteReference w:id="9"/>
      </w:r>
    </w:p>
    <w:p w14:paraId="5B637542" w14:textId="2FAB9772" w:rsidR="0009626F" w:rsidRDefault="00993192" w:rsidP="00AC7FEC">
      <w:pPr>
        <w:pStyle w:val="Bullet"/>
      </w:pPr>
      <w:r w:rsidRPr="007A7994">
        <w:t xml:space="preserve">The </w:t>
      </w:r>
      <w:r w:rsidR="00871A13">
        <w:t>Australian</w:t>
      </w:r>
      <w:r w:rsidRPr="007A7994">
        <w:t xml:space="preserve"> </w:t>
      </w:r>
      <w:r w:rsidR="0009626F">
        <w:t xml:space="preserve">franchisor of </w:t>
      </w:r>
      <w:proofErr w:type="spellStart"/>
      <w:r w:rsidR="0009626F">
        <w:t>Chatime</w:t>
      </w:r>
      <w:proofErr w:type="spellEnd"/>
      <w:r w:rsidR="0009626F">
        <w:t xml:space="preserve"> (</w:t>
      </w:r>
      <w:proofErr w:type="spellStart"/>
      <w:r w:rsidR="00311C42" w:rsidRPr="007A7994">
        <w:t>Chatime</w:t>
      </w:r>
      <w:proofErr w:type="spellEnd"/>
      <w:r w:rsidRPr="007A7994">
        <w:t xml:space="preserve"> </w:t>
      </w:r>
      <w:r w:rsidR="0009626F">
        <w:t xml:space="preserve">Australia Pty Ltd, formerly known as </w:t>
      </w:r>
      <w:r w:rsidR="00311C42" w:rsidRPr="007A7994">
        <w:t>Infinite Plus Pty Ltd</w:t>
      </w:r>
      <w:r w:rsidR="0009626F">
        <w:t>),</w:t>
      </w:r>
      <w:r w:rsidRPr="007A7994">
        <w:t xml:space="preserve"> </w:t>
      </w:r>
      <w:r w:rsidR="006156E5">
        <w:t>who</w:t>
      </w:r>
      <w:r w:rsidRPr="007A7994">
        <w:t xml:space="preserve"> </w:t>
      </w:r>
      <w:r w:rsidR="00311C42" w:rsidRPr="007A7994">
        <w:t>alleged</w:t>
      </w:r>
      <w:r w:rsidRPr="007A7994">
        <w:t xml:space="preserve">ly </w:t>
      </w:r>
      <w:r w:rsidR="00311C42" w:rsidRPr="007A7994">
        <w:t xml:space="preserve">underpaid </w:t>
      </w:r>
      <w:r w:rsidRPr="007A7994">
        <w:t>$</w:t>
      </w:r>
      <w:r w:rsidR="00D63E90">
        <w:t>169,320</w:t>
      </w:r>
      <w:r w:rsidRPr="007A7994">
        <w:t xml:space="preserve"> to </w:t>
      </w:r>
      <w:r w:rsidR="00311C42" w:rsidRPr="007A7994">
        <w:t>15</w:t>
      </w:r>
      <w:r w:rsidR="00D63E90">
        <w:t>2</w:t>
      </w:r>
      <w:r w:rsidR="00311C42" w:rsidRPr="007A7994">
        <w:t xml:space="preserve"> employees in company owned stores</w:t>
      </w:r>
      <w:r w:rsidRPr="007A7994">
        <w:t>,</w:t>
      </w:r>
      <w:r w:rsidR="00311C42" w:rsidRPr="007A7994">
        <w:t xml:space="preserve"> over a 5</w:t>
      </w:r>
      <w:r w:rsidR="00D72D17" w:rsidRPr="007A7994">
        <w:t>-</w:t>
      </w:r>
      <w:r w:rsidR="00BE7386">
        <w:t>month period in 2016.</w:t>
      </w:r>
      <w:r w:rsidR="00BE7386" w:rsidRPr="003700D8">
        <w:rPr>
          <w:vertAlign w:val="superscript"/>
        </w:rPr>
        <w:footnoteReference w:id="10"/>
      </w:r>
    </w:p>
    <w:p w14:paraId="49752A07" w14:textId="1253907B" w:rsidR="00154AD9" w:rsidRPr="007A7994" w:rsidRDefault="00311C42" w:rsidP="0009626F">
      <w:pPr>
        <w:pStyle w:val="Bullet"/>
        <w:numPr>
          <w:ilvl w:val="0"/>
          <w:numId w:val="0"/>
        </w:numPr>
        <w:ind w:left="720"/>
      </w:pPr>
      <w:r w:rsidRPr="007A7994">
        <w:t>A further</w:t>
      </w:r>
      <w:r w:rsidR="00A21E8E">
        <w:t xml:space="preserve"> $195,270</w:t>
      </w:r>
      <w:r w:rsidRPr="007A7994">
        <w:t xml:space="preserve"> </w:t>
      </w:r>
      <w:r w:rsidR="00B0662F">
        <w:t xml:space="preserve">was recovered from </w:t>
      </w:r>
      <w:proofErr w:type="spellStart"/>
      <w:r w:rsidR="00025234">
        <w:t>Chatime</w:t>
      </w:r>
      <w:proofErr w:type="spellEnd"/>
      <w:r w:rsidR="00025234">
        <w:t xml:space="preserve"> employers</w:t>
      </w:r>
      <w:r w:rsidR="00B0662F">
        <w:t xml:space="preserve"> through</w:t>
      </w:r>
      <w:r w:rsidRPr="007A7994">
        <w:t xml:space="preserve"> FWO-guided self-assessment.</w:t>
      </w:r>
      <w:r w:rsidR="00BE7386" w:rsidRPr="00BE7386">
        <w:t xml:space="preserve"> </w:t>
      </w:r>
    </w:p>
    <w:p w14:paraId="366BE795" w14:textId="77777777" w:rsidR="00FA5B4B" w:rsidRDefault="00FA5B4B" w:rsidP="00B0662F">
      <w:pPr>
        <w:pStyle w:val="Bullet"/>
        <w:numPr>
          <w:ilvl w:val="0"/>
          <w:numId w:val="0"/>
        </w:numPr>
      </w:pPr>
    </w:p>
    <w:p w14:paraId="296CCAA1" w14:textId="732A3CD0" w:rsidR="00980CA5" w:rsidRPr="002F19AC" w:rsidRDefault="006D0C36" w:rsidP="002F19AC">
      <w:r w:rsidRPr="002F19AC">
        <w:t xml:space="preserve">The FWO is supporting compliance in </w:t>
      </w:r>
      <w:r w:rsidR="00980CA5" w:rsidRPr="002F19AC">
        <w:t>the franchise sector</w:t>
      </w:r>
      <w:r w:rsidR="00F14565" w:rsidRPr="002F19AC">
        <w:t xml:space="preserve"> via</w:t>
      </w:r>
      <w:r w:rsidR="00980CA5" w:rsidRPr="002F19AC">
        <w:t xml:space="preserve"> dedicated </w:t>
      </w:r>
      <w:r w:rsidRPr="002F19AC">
        <w:t xml:space="preserve">online </w:t>
      </w:r>
      <w:r w:rsidR="00980CA5" w:rsidRPr="002F19AC">
        <w:t>information and resources</w:t>
      </w:r>
      <w:r w:rsidR="00980CA5" w:rsidRPr="002F19AC">
        <w:rPr>
          <w:vertAlign w:val="superscript"/>
        </w:rPr>
        <w:footnoteReference w:id="11"/>
      </w:r>
      <w:r w:rsidR="008B0919" w:rsidRPr="002F19AC">
        <w:t>,</w:t>
      </w:r>
      <w:r w:rsidRPr="002F19AC">
        <w:t xml:space="preserve"> and education at </w:t>
      </w:r>
      <w:r w:rsidR="00980CA5" w:rsidRPr="002F19AC">
        <w:t>Franchising and Business Opportunity Expos around Australia</w:t>
      </w:r>
      <w:r w:rsidRPr="002F19AC">
        <w:t>.</w:t>
      </w:r>
    </w:p>
    <w:p w14:paraId="4F146C08" w14:textId="7F09A626" w:rsidR="0026009C" w:rsidRPr="002F19AC" w:rsidRDefault="006D0C36" w:rsidP="002F19AC">
      <w:r w:rsidRPr="002F19AC">
        <w:t xml:space="preserve">We continue to </w:t>
      </w:r>
      <w:r w:rsidR="004F0779" w:rsidRPr="002F19AC">
        <w:t>focus</w:t>
      </w:r>
      <w:r w:rsidR="0073351A" w:rsidRPr="002F19AC">
        <w:t xml:space="preserve"> </w:t>
      </w:r>
      <w:r w:rsidRPr="002F19AC">
        <w:t xml:space="preserve">compliance monitoring and enforcement </w:t>
      </w:r>
      <w:r w:rsidR="008B0919" w:rsidRPr="002F19AC">
        <w:t xml:space="preserve">activities </w:t>
      </w:r>
      <w:r w:rsidR="00395C8F" w:rsidRPr="002F19AC">
        <w:t xml:space="preserve">on franchises </w:t>
      </w:r>
      <w:r w:rsidRPr="002F19AC">
        <w:t xml:space="preserve">in </w:t>
      </w:r>
      <w:r w:rsidR="00395C8F" w:rsidRPr="002F19AC">
        <w:t xml:space="preserve">the fast food, restaurants and </w:t>
      </w:r>
      <w:r w:rsidR="00395C8F" w:rsidRPr="000940A9">
        <w:t>café</w:t>
      </w:r>
      <w:r w:rsidR="00395C8F" w:rsidRPr="00FA5B4B">
        <w:t xml:space="preserve"> (FRAC) sub-sector of hospitality.</w:t>
      </w:r>
    </w:p>
    <w:p w14:paraId="4DA63DFB" w14:textId="1F45AD41" w:rsidR="00395C8F" w:rsidRPr="00C1692F" w:rsidRDefault="006D0C36" w:rsidP="006219E8">
      <w:r>
        <w:t xml:space="preserve">Through our </w:t>
      </w:r>
      <w:r w:rsidR="00395C8F" w:rsidRPr="00C1692F">
        <w:t xml:space="preserve">FRAC strategy </w:t>
      </w:r>
      <w:r>
        <w:t>we are</w:t>
      </w:r>
      <w:r w:rsidR="00395C8F" w:rsidRPr="00C1692F">
        <w:t>:</w:t>
      </w:r>
    </w:p>
    <w:p w14:paraId="7DA4A890" w14:textId="77777777" w:rsidR="00395C8F" w:rsidRPr="00105A61" w:rsidRDefault="00395C8F" w:rsidP="00B0662F">
      <w:pPr>
        <w:pStyle w:val="Bullet"/>
      </w:pPr>
      <w:r w:rsidRPr="00105A61">
        <w:t xml:space="preserve">working with key business owners and </w:t>
      </w:r>
      <w:r w:rsidR="000850B3">
        <w:t xml:space="preserve">stakeholder networks </w:t>
      </w:r>
      <w:r w:rsidRPr="00105A61">
        <w:t xml:space="preserve">to </w:t>
      </w:r>
      <w:r w:rsidR="008B0919">
        <w:t xml:space="preserve">educate and </w:t>
      </w:r>
      <w:r w:rsidRPr="00105A61">
        <w:t>drive behaviour change</w:t>
      </w:r>
    </w:p>
    <w:p w14:paraId="30E3891C" w14:textId="60D3DE04" w:rsidR="00105A61" w:rsidRDefault="00105A61" w:rsidP="00B0662F">
      <w:pPr>
        <w:pStyle w:val="Bullet"/>
      </w:pPr>
      <w:r>
        <w:t xml:space="preserve">issuing </w:t>
      </w:r>
      <w:r w:rsidRPr="006219E8">
        <w:t xml:space="preserve">compliance notices to address </w:t>
      </w:r>
      <w:r w:rsidR="0026009C">
        <w:t xml:space="preserve">underpayments and </w:t>
      </w:r>
      <w:r w:rsidRPr="006219E8">
        <w:t>breaches of awards and the National Employment Standards</w:t>
      </w:r>
    </w:p>
    <w:p w14:paraId="240FC71F" w14:textId="2CE11095" w:rsidR="00105A61" w:rsidRDefault="00105A61" w:rsidP="00B0662F">
      <w:pPr>
        <w:pStyle w:val="Bullet"/>
      </w:pPr>
      <w:proofErr w:type="gramStart"/>
      <w:r>
        <w:t>using</w:t>
      </w:r>
      <w:proofErr w:type="gramEnd"/>
      <w:r>
        <w:t xml:space="preserve"> </w:t>
      </w:r>
      <w:r w:rsidR="008B0919">
        <w:t xml:space="preserve">our </w:t>
      </w:r>
      <w:r>
        <w:t>new powers to hold franchisors and other accessories to account.</w:t>
      </w:r>
    </w:p>
    <w:p w14:paraId="5145F161" w14:textId="162962C1" w:rsidR="006156E5" w:rsidRDefault="006156E5" w:rsidP="00B0662F">
      <w:pPr>
        <w:pStyle w:val="Bullet"/>
        <w:numPr>
          <w:ilvl w:val="0"/>
          <w:numId w:val="0"/>
        </w:numPr>
      </w:pPr>
    </w:p>
    <w:p w14:paraId="730DB364" w14:textId="5AEC3030" w:rsidR="006156E5" w:rsidRDefault="006156E5" w:rsidP="006156E5">
      <w:pPr>
        <w:pStyle w:val="Heading2"/>
      </w:pPr>
      <w:r>
        <w:t>Conclusion</w:t>
      </w:r>
    </w:p>
    <w:p w14:paraId="2788C94E" w14:textId="00158BB6" w:rsidR="006156E5" w:rsidRDefault="006156E5" w:rsidP="006156E5">
      <w:r>
        <w:t>The overall compliance rate of 22% across seven overseas-based emerging franchises confirmed the intelligence received by the FWO.</w:t>
      </w:r>
    </w:p>
    <w:p w14:paraId="459F752D" w14:textId="00FDB564" w:rsidR="006156E5" w:rsidRDefault="006156E5" w:rsidP="006156E5">
      <w:r>
        <w:t xml:space="preserve">While the majority of non-compliant businesses (81%) </w:t>
      </w:r>
      <w:r w:rsidR="00507D04">
        <w:t xml:space="preserve">asserted they were </w:t>
      </w:r>
      <w:r>
        <w:t xml:space="preserve">unaware of their obligations, some non-compliant franchisees informed Fair Work Inspectors on a confidential basis of the financial </w:t>
      </w:r>
      <w:r>
        <w:lastRenderedPageBreak/>
        <w:t xml:space="preserve">pressures they faced due to the franchisor’s control over financial decisions, including the requirement to use in-house suppliers at higher costs for products that could be obtained cheaper locally. </w:t>
      </w:r>
    </w:p>
    <w:p w14:paraId="115F0FE6" w14:textId="2D7FC18F" w:rsidR="006156E5" w:rsidRDefault="006156E5" w:rsidP="006156E5">
      <w:r>
        <w:t xml:space="preserve">We found that while master franchisors were directive on aspects of the business such as outlet aesthetic and design, menu and staff training, there was limited guidance and engagement on regulatory matters, especially workplace laws. </w:t>
      </w:r>
    </w:p>
    <w:p w14:paraId="06F1A826" w14:textId="77777777" w:rsidR="006156E5" w:rsidRDefault="006156E5" w:rsidP="006156E5">
      <w:r>
        <w:t>To provide support to the franchise sector, the FWO has a dedicated portal for information and resources on its website</w:t>
      </w:r>
      <w:r>
        <w:rPr>
          <w:rStyle w:val="FootnoteReference"/>
          <w:rFonts w:eastAsiaTheme="majorEastAsia"/>
        </w:rPr>
        <w:footnoteReference w:id="12"/>
      </w:r>
      <w:r>
        <w:t xml:space="preserve"> to ensure that employers in the sector are able to easily access the information they need. </w:t>
      </w:r>
    </w:p>
    <w:p w14:paraId="7FCC791E" w14:textId="77777777" w:rsidR="006156E5" w:rsidRDefault="006156E5" w:rsidP="006156E5">
      <w:r>
        <w:t xml:space="preserve">The portal includes free FWO tools and resources that support compliance, including: </w:t>
      </w:r>
    </w:p>
    <w:p w14:paraId="624F6065" w14:textId="5A0A77B5" w:rsidR="006156E5" w:rsidRPr="002F19AC" w:rsidRDefault="006156E5" w:rsidP="00B0662F">
      <w:pPr>
        <w:pStyle w:val="Bullet"/>
      </w:pPr>
      <w:r w:rsidRPr="002F19AC">
        <w:t>PACT</w:t>
      </w:r>
      <w:r w:rsidR="002F19AC">
        <w:t xml:space="preserve"> </w:t>
      </w:r>
      <w:r w:rsidRPr="002F19AC">
        <w:t>- calculates employee entitlements including award pay rates, leave entitlements and termination pay</w:t>
      </w:r>
      <w:r w:rsidRPr="002F19AC">
        <w:rPr>
          <w:rStyle w:val="FootnoteReference"/>
          <w:rFonts w:cstheme="minorHAnsi"/>
        </w:rPr>
        <w:footnoteReference w:id="13"/>
      </w:r>
    </w:p>
    <w:p w14:paraId="1A31DD22" w14:textId="5554C286" w:rsidR="006156E5" w:rsidRPr="002F19AC" w:rsidRDefault="006156E5" w:rsidP="00B0662F">
      <w:pPr>
        <w:pStyle w:val="Bullet"/>
      </w:pPr>
      <w:r w:rsidRPr="002F19AC">
        <w:t>My</w:t>
      </w:r>
      <w:r w:rsidR="002F19AC">
        <w:t xml:space="preserve"> a</w:t>
      </w:r>
      <w:r w:rsidRPr="002F19AC">
        <w:t>ccount - interactive service where employers receive tailored information and updates</w:t>
      </w:r>
      <w:r w:rsidRPr="002F19AC">
        <w:rPr>
          <w:rStyle w:val="FootnoteReference"/>
          <w:rFonts w:cstheme="minorHAnsi"/>
        </w:rPr>
        <w:footnoteReference w:id="14"/>
      </w:r>
    </w:p>
    <w:p w14:paraId="05FD1E0C" w14:textId="77777777" w:rsidR="006156E5" w:rsidRPr="002F19AC" w:rsidRDefault="006156E5" w:rsidP="00B0662F">
      <w:pPr>
        <w:pStyle w:val="Bullet"/>
      </w:pPr>
      <w:r w:rsidRPr="00FA5B4B">
        <w:t>Online learning centre - award-winning videos on key subjects like hiring employees, managing performance and record-keeping and pay slip obligations</w:t>
      </w:r>
      <w:r w:rsidRPr="002F19AC">
        <w:rPr>
          <w:rStyle w:val="FootnoteReference"/>
          <w:rFonts w:cstheme="minorHAnsi"/>
        </w:rPr>
        <w:footnoteReference w:id="15"/>
      </w:r>
      <w:r w:rsidRPr="000940A9">
        <w:rPr>
          <w:vertAlign w:val="superscript"/>
        </w:rPr>
        <w:t xml:space="preserve"> </w:t>
      </w:r>
    </w:p>
    <w:p w14:paraId="5A766AC7" w14:textId="77777777" w:rsidR="006156E5" w:rsidRPr="002F19AC" w:rsidRDefault="006156E5" w:rsidP="00B0662F">
      <w:pPr>
        <w:pStyle w:val="Bullet"/>
      </w:pPr>
      <w:r w:rsidRPr="00FA5B4B">
        <w:t>Small Business Showcase - tools and resources specifically designed to assist small businesses with their workplace relations obligations.</w:t>
      </w:r>
      <w:r w:rsidRPr="002F19AC">
        <w:rPr>
          <w:rStyle w:val="FootnoteReference"/>
          <w:rFonts w:cstheme="minorHAnsi"/>
        </w:rPr>
        <w:footnoteReference w:id="16"/>
      </w:r>
    </w:p>
    <w:p w14:paraId="0BEB4BE2" w14:textId="77777777" w:rsidR="006156E5" w:rsidRDefault="006156E5" w:rsidP="006156E5">
      <w:r>
        <w:t xml:space="preserve">The FWO has also attended the Franchising and Business Opportunity Expos around Australia, providing educational support to potential and existing franchisees and franchisors. </w:t>
      </w:r>
    </w:p>
    <w:p w14:paraId="5CCACCAE" w14:textId="2024797F" w:rsidR="006156E5" w:rsidRDefault="006156E5" w:rsidP="006156E5">
      <w:r>
        <w:t xml:space="preserve">The FWO expects employers to use the education and advice provided through audit activities to be compliant with workplace relations obligations. Non-compliant employers will be revisited as part of the FWO’s ongoing national proactive compliance monitoring programs. Appropriate </w:t>
      </w:r>
      <w:r w:rsidR="00507D04">
        <w:t xml:space="preserve">and proportionate </w:t>
      </w:r>
      <w:r>
        <w:t xml:space="preserve">compliance and enforcement action will be </w:t>
      </w:r>
      <w:r w:rsidR="00507D04">
        <w:t xml:space="preserve">escalated </w:t>
      </w:r>
      <w:r>
        <w:t>against employers who continue to not comply with workplace laws.</w:t>
      </w:r>
    </w:p>
    <w:p w14:paraId="4CBE4953" w14:textId="77777777" w:rsidR="006156E5" w:rsidRPr="006219E8" w:rsidRDefault="006156E5" w:rsidP="00B0662F">
      <w:pPr>
        <w:pStyle w:val="Bullet"/>
        <w:numPr>
          <w:ilvl w:val="0"/>
          <w:numId w:val="0"/>
        </w:numPr>
      </w:pPr>
    </w:p>
    <w:p w14:paraId="0C56C2D6" w14:textId="77777777" w:rsidR="007E6E94" w:rsidRDefault="007E6E94">
      <w:pPr>
        <w:spacing w:before="0" w:line="240" w:lineRule="auto"/>
        <w:rPr>
          <w:rFonts w:ascii="Calibri Light" w:hAnsi="Calibri Light"/>
          <w:color w:val="1B365D"/>
          <w:sz w:val="60"/>
          <w:szCs w:val="26"/>
        </w:rPr>
      </w:pPr>
      <w:r>
        <w:br w:type="page"/>
      </w:r>
    </w:p>
    <w:p w14:paraId="777D45A9" w14:textId="5931775F" w:rsidR="000850B3" w:rsidRDefault="00435704" w:rsidP="006219E8">
      <w:pPr>
        <w:pStyle w:val="Heading1"/>
      </w:pPr>
      <w:r w:rsidRPr="00C1692F">
        <w:lastRenderedPageBreak/>
        <w:t>Appendix</w:t>
      </w:r>
      <w:r w:rsidR="00FE5603">
        <w:t xml:space="preserve"> A</w:t>
      </w:r>
    </w:p>
    <w:p w14:paraId="1BE64DE5" w14:textId="77777777" w:rsidR="00435704" w:rsidRPr="00C1692F" w:rsidRDefault="000850B3" w:rsidP="0023321A">
      <w:pPr>
        <w:pStyle w:val="Heading3"/>
      </w:pPr>
      <w:r>
        <w:t>Table: Compliance results by franchise brand</w:t>
      </w:r>
    </w:p>
    <w:tbl>
      <w:tblPr>
        <w:tblStyle w:val="GridTable1Light"/>
        <w:tblW w:w="10060" w:type="dxa"/>
        <w:tblLook w:val="04A0" w:firstRow="1" w:lastRow="0" w:firstColumn="1" w:lastColumn="0" w:noHBand="0" w:noVBand="1"/>
        <w:tblCaption w:val="Compliance results by franchise brand"/>
        <w:tblDescription w:val="Table detailing number of outlets audited, breaches identified and recoveries for each of the seven franchise brands included in the compliance activity"/>
      </w:tblPr>
      <w:tblGrid>
        <w:gridCol w:w="1176"/>
        <w:gridCol w:w="938"/>
        <w:gridCol w:w="1159"/>
        <w:gridCol w:w="1135"/>
        <w:gridCol w:w="1123"/>
        <w:gridCol w:w="1110"/>
        <w:gridCol w:w="1184"/>
        <w:gridCol w:w="2235"/>
      </w:tblGrid>
      <w:tr w:rsidR="00C834E9" w:rsidRPr="00C1692F" w14:paraId="77FA17D8" w14:textId="77777777" w:rsidTr="00C834E9">
        <w:trPr>
          <w:cnfStyle w:val="100000000000" w:firstRow="1" w:lastRow="0" w:firstColumn="0" w:lastColumn="0" w:oddVBand="0" w:evenVBand="0" w:oddHBand="0"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1176" w:type="dxa"/>
          </w:tcPr>
          <w:p w14:paraId="6D471A70" w14:textId="77777777" w:rsidR="00C82131" w:rsidRPr="00C1692F" w:rsidRDefault="00C82131" w:rsidP="00C834E9">
            <w:pPr>
              <w:spacing w:line="276" w:lineRule="auto"/>
            </w:pPr>
            <w:r>
              <w:t>Franchise</w:t>
            </w:r>
          </w:p>
        </w:tc>
        <w:tc>
          <w:tcPr>
            <w:tcW w:w="939" w:type="dxa"/>
          </w:tcPr>
          <w:p w14:paraId="5BCE2921" w14:textId="77777777" w:rsidR="00C82131" w:rsidRPr="00C1692F" w:rsidRDefault="00C82131" w:rsidP="00C834E9">
            <w:pPr>
              <w:spacing w:line="276" w:lineRule="auto"/>
              <w:cnfStyle w:val="100000000000" w:firstRow="1" w:lastRow="0" w:firstColumn="0" w:lastColumn="0" w:oddVBand="0" w:evenVBand="0" w:oddHBand="0" w:evenHBand="0" w:firstRowFirstColumn="0" w:firstRowLastColumn="0" w:lastRowFirstColumn="0" w:lastRowLastColumn="0"/>
            </w:pPr>
            <w:r w:rsidRPr="00C1692F">
              <w:t>Outlets audited</w:t>
            </w:r>
          </w:p>
        </w:tc>
        <w:tc>
          <w:tcPr>
            <w:tcW w:w="1159" w:type="dxa"/>
          </w:tcPr>
          <w:p w14:paraId="18EE59B8" w14:textId="61434CFA" w:rsidR="00C82131" w:rsidRDefault="00C82131" w:rsidP="00C834E9">
            <w:pPr>
              <w:spacing w:line="276" w:lineRule="auto"/>
              <w:cnfStyle w:val="100000000000" w:firstRow="1" w:lastRow="0" w:firstColumn="0" w:lastColumn="0" w:oddVBand="0" w:evenVBand="0" w:oddHBand="0" w:evenHBand="0" w:firstRowFirstColumn="0" w:firstRowLastColumn="0" w:lastRowFirstColumn="0" w:lastRowLastColumn="0"/>
            </w:pPr>
            <w:r>
              <w:t>Compliant</w:t>
            </w:r>
          </w:p>
        </w:tc>
        <w:tc>
          <w:tcPr>
            <w:tcW w:w="1135" w:type="dxa"/>
          </w:tcPr>
          <w:p w14:paraId="792CD58A" w14:textId="40E75713" w:rsidR="00C82131" w:rsidRPr="00C1692F" w:rsidRDefault="00173579" w:rsidP="00C834E9">
            <w:pPr>
              <w:spacing w:line="276" w:lineRule="auto"/>
              <w:cnfStyle w:val="100000000000" w:firstRow="1" w:lastRow="0" w:firstColumn="0" w:lastColumn="0" w:oddVBand="0" w:evenVBand="0" w:oddHBand="0" w:evenHBand="0" w:firstRowFirstColumn="0" w:firstRowLastColumn="0" w:lastRowFirstColumn="0" w:lastRowLastColumn="0"/>
            </w:pPr>
            <w:r>
              <w:t>Non-compliant</w:t>
            </w:r>
          </w:p>
        </w:tc>
        <w:tc>
          <w:tcPr>
            <w:tcW w:w="1123" w:type="dxa"/>
          </w:tcPr>
          <w:p w14:paraId="480915C7" w14:textId="287016BE" w:rsidR="00C82131" w:rsidRPr="00C1692F" w:rsidRDefault="00C82131" w:rsidP="00C834E9">
            <w:pPr>
              <w:spacing w:line="276" w:lineRule="auto"/>
              <w:cnfStyle w:val="100000000000" w:firstRow="1" w:lastRow="0" w:firstColumn="0" w:lastColumn="0" w:oddVBand="0" w:evenVBand="0" w:oddHBand="0" w:evenHBand="0" w:firstRowFirstColumn="0" w:firstRowLastColumn="0" w:lastRowFirstColumn="0" w:lastRowLastColumn="0"/>
            </w:pPr>
            <w:r w:rsidRPr="00C1692F">
              <w:t>Mo</w:t>
            </w:r>
            <w:r>
              <w:t>n</w:t>
            </w:r>
            <w:r w:rsidRPr="00C1692F">
              <w:t>etary</w:t>
            </w:r>
            <w:r w:rsidR="00C834E9">
              <w:t xml:space="preserve"> b</w:t>
            </w:r>
            <w:r w:rsidRPr="00C1692F">
              <w:t>reaches</w:t>
            </w:r>
          </w:p>
        </w:tc>
        <w:tc>
          <w:tcPr>
            <w:tcW w:w="1073" w:type="dxa"/>
          </w:tcPr>
          <w:p w14:paraId="1F955CDF" w14:textId="3255D182" w:rsidR="00C82131" w:rsidRPr="00C1692F" w:rsidRDefault="00113FD1" w:rsidP="00C834E9">
            <w:pPr>
              <w:spacing w:line="276" w:lineRule="auto"/>
              <w:cnfStyle w:val="100000000000" w:firstRow="1" w:lastRow="0" w:firstColumn="0" w:lastColumn="0" w:oddVBand="0" w:evenVBand="0" w:oddHBand="0" w:evenHBand="0" w:firstRowFirstColumn="0" w:firstRowLastColumn="0" w:lastRowFirstColumn="0" w:lastRowLastColumn="0"/>
            </w:pPr>
            <w:r>
              <w:t xml:space="preserve">Non-monetary </w:t>
            </w:r>
            <w:r w:rsidR="00C834E9">
              <w:t>b</w:t>
            </w:r>
            <w:r w:rsidR="00C82131" w:rsidRPr="00C1692F">
              <w:t>reaches</w:t>
            </w:r>
          </w:p>
        </w:tc>
        <w:tc>
          <w:tcPr>
            <w:tcW w:w="1187" w:type="dxa"/>
          </w:tcPr>
          <w:p w14:paraId="401887DE" w14:textId="21533B70" w:rsidR="00C82131" w:rsidRPr="00C1692F" w:rsidRDefault="00C834E9" w:rsidP="00113FD1">
            <w:pPr>
              <w:spacing w:line="276" w:lineRule="auto"/>
              <w:cnfStyle w:val="100000000000" w:firstRow="1" w:lastRow="0" w:firstColumn="0" w:lastColumn="0" w:oddVBand="0" w:evenVBand="0" w:oddHBand="0" w:evenHBand="0" w:firstRowFirstColumn="0" w:firstRowLastColumn="0" w:lastRowFirstColumn="0" w:lastRowLastColumn="0"/>
            </w:pPr>
            <w:r>
              <w:t>Both m</w:t>
            </w:r>
            <w:r w:rsidR="00C82131" w:rsidRPr="00C1692F">
              <w:t>o</w:t>
            </w:r>
            <w:r w:rsidR="00C82131">
              <w:t>n</w:t>
            </w:r>
            <w:r w:rsidR="00C82131" w:rsidRPr="00C1692F">
              <w:t xml:space="preserve">etary &amp; </w:t>
            </w:r>
            <w:r w:rsidR="00113FD1">
              <w:t>non-monetary</w:t>
            </w:r>
          </w:p>
        </w:tc>
        <w:tc>
          <w:tcPr>
            <w:tcW w:w="2268" w:type="dxa"/>
          </w:tcPr>
          <w:p w14:paraId="0821139D" w14:textId="0F66C258" w:rsidR="00C82131" w:rsidRPr="00C1692F" w:rsidRDefault="00C834E9" w:rsidP="00C834E9">
            <w:pPr>
              <w:spacing w:line="276" w:lineRule="auto"/>
              <w:cnfStyle w:val="100000000000" w:firstRow="1" w:lastRow="0" w:firstColumn="0" w:lastColumn="0" w:oddVBand="0" w:evenVBand="0" w:oddHBand="0" w:evenHBand="0" w:firstRowFirstColumn="0" w:firstRowLastColumn="0" w:lastRowFirstColumn="0" w:lastRowLastColumn="0"/>
            </w:pPr>
            <w:r>
              <w:t>Monies recovered</w:t>
            </w:r>
          </w:p>
        </w:tc>
      </w:tr>
      <w:tr w:rsidR="00C834E9" w:rsidRPr="00C1692F" w14:paraId="2670540C" w14:textId="77777777" w:rsidTr="00C834E9">
        <w:trPr>
          <w:trHeight w:val="712"/>
        </w:trPr>
        <w:tc>
          <w:tcPr>
            <w:cnfStyle w:val="001000000000" w:firstRow="0" w:lastRow="0" w:firstColumn="1" w:lastColumn="0" w:oddVBand="0" w:evenVBand="0" w:oddHBand="0" w:evenHBand="0" w:firstRowFirstColumn="0" w:firstRowLastColumn="0" w:lastRowFirstColumn="0" w:lastRowLastColumn="0"/>
            <w:tcW w:w="1176" w:type="dxa"/>
          </w:tcPr>
          <w:p w14:paraId="5071A0F2" w14:textId="77777777" w:rsidR="00C82131" w:rsidRPr="00C1692F" w:rsidRDefault="00C82131" w:rsidP="00C834E9">
            <w:pPr>
              <w:spacing w:line="276" w:lineRule="auto"/>
            </w:pPr>
            <w:r w:rsidRPr="00C1692F">
              <w:t xml:space="preserve">Sushi </w:t>
            </w:r>
            <w:proofErr w:type="spellStart"/>
            <w:r w:rsidRPr="00C1692F">
              <w:t>Izu</w:t>
            </w:r>
            <w:proofErr w:type="spellEnd"/>
          </w:p>
        </w:tc>
        <w:tc>
          <w:tcPr>
            <w:tcW w:w="939" w:type="dxa"/>
          </w:tcPr>
          <w:p w14:paraId="323837E9" w14:textId="03C4A65C" w:rsidR="00C82131" w:rsidRPr="00C1692F" w:rsidRDefault="00C82131" w:rsidP="001D2DF2">
            <w:pPr>
              <w:spacing w:line="276" w:lineRule="auto"/>
              <w:cnfStyle w:val="000000000000" w:firstRow="0" w:lastRow="0" w:firstColumn="0" w:lastColumn="0" w:oddVBand="0" w:evenVBand="0" w:oddHBand="0" w:evenHBand="0" w:firstRowFirstColumn="0" w:firstRowLastColumn="0" w:lastRowFirstColumn="0" w:lastRowLastColumn="0"/>
            </w:pPr>
            <w:r w:rsidRPr="00C1692F">
              <w:t>1</w:t>
            </w:r>
            <w:r w:rsidR="00B33C08">
              <w:t>4</w:t>
            </w:r>
          </w:p>
        </w:tc>
        <w:tc>
          <w:tcPr>
            <w:tcW w:w="1159" w:type="dxa"/>
          </w:tcPr>
          <w:p w14:paraId="64BDED0C" w14:textId="14C71478" w:rsidR="00C82131" w:rsidRPr="00C1692F" w:rsidRDefault="00B33C08" w:rsidP="00B33C08">
            <w:pPr>
              <w:spacing w:line="276" w:lineRule="auto"/>
              <w:cnfStyle w:val="000000000000" w:firstRow="0" w:lastRow="0" w:firstColumn="0" w:lastColumn="0" w:oddVBand="0" w:evenVBand="0" w:oddHBand="0" w:evenHBand="0" w:firstRowFirstColumn="0" w:firstRowLastColumn="0" w:lastRowFirstColumn="0" w:lastRowLastColumn="0"/>
            </w:pPr>
            <w:r>
              <w:t>4</w:t>
            </w:r>
            <w:r w:rsidR="00C82131" w:rsidRPr="00C1692F">
              <w:t xml:space="preserve"> (</w:t>
            </w:r>
            <w:r>
              <w:t>29</w:t>
            </w:r>
            <w:r w:rsidR="00C82131" w:rsidRPr="00C1692F">
              <w:t>%)</w:t>
            </w:r>
          </w:p>
        </w:tc>
        <w:tc>
          <w:tcPr>
            <w:tcW w:w="1135" w:type="dxa"/>
          </w:tcPr>
          <w:p w14:paraId="31C5B0E0" w14:textId="34690906" w:rsidR="00C82131" w:rsidRPr="00C1692F" w:rsidRDefault="00C82131" w:rsidP="001D2DF2">
            <w:pPr>
              <w:spacing w:line="276" w:lineRule="auto"/>
              <w:cnfStyle w:val="000000000000" w:firstRow="0" w:lastRow="0" w:firstColumn="0" w:lastColumn="0" w:oddVBand="0" w:evenVBand="0" w:oddHBand="0" w:evenHBand="0" w:firstRowFirstColumn="0" w:firstRowLastColumn="0" w:lastRowFirstColumn="0" w:lastRowLastColumn="0"/>
            </w:pPr>
            <w:r>
              <w:t>10 (</w:t>
            </w:r>
            <w:r w:rsidR="00ED5EF3">
              <w:t>71</w:t>
            </w:r>
            <w:r>
              <w:t>%)</w:t>
            </w:r>
          </w:p>
        </w:tc>
        <w:tc>
          <w:tcPr>
            <w:tcW w:w="1123" w:type="dxa"/>
          </w:tcPr>
          <w:p w14:paraId="081F42F1"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2</w:t>
            </w:r>
          </w:p>
        </w:tc>
        <w:tc>
          <w:tcPr>
            <w:tcW w:w="1073" w:type="dxa"/>
          </w:tcPr>
          <w:p w14:paraId="3257C88E"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7</w:t>
            </w:r>
          </w:p>
        </w:tc>
        <w:tc>
          <w:tcPr>
            <w:tcW w:w="1187" w:type="dxa"/>
          </w:tcPr>
          <w:p w14:paraId="6CB5C17B"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1</w:t>
            </w:r>
          </w:p>
        </w:tc>
        <w:tc>
          <w:tcPr>
            <w:tcW w:w="2268" w:type="dxa"/>
          </w:tcPr>
          <w:p w14:paraId="13CC79FB"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$1408 (3 employees from 3 businesses)</w:t>
            </w:r>
          </w:p>
        </w:tc>
      </w:tr>
      <w:tr w:rsidR="00C834E9" w:rsidRPr="00C1692F" w14:paraId="49DD64C3" w14:textId="77777777" w:rsidTr="00C834E9">
        <w:trPr>
          <w:trHeight w:val="1099"/>
        </w:trPr>
        <w:tc>
          <w:tcPr>
            <w:cnfStyle w:val="001000000000" w:firstRow="0" w:lastRow="0" w:firstColumn="1" w:lastColumn="0" w:oddVBand="0" w:evenVBand="0" w:oddHBand="0" w:evenHBand="0" w:firstRowFirstColumn="0" w:firstRowLastColumn="0" w:lastRowFirstColumn="0" w:lastRowLastColumn="0"/>
            <w:tcW w:w="1176" w:type="dxa"/>
          </w:tcPr>
          <w:p w14:paraId="3E551D3C" w14:textId="77777777" w:rsidR="00C82131" w:rsidRPr="00C1692F" w:rsidRDefault="00C82131" w:rsidP="00C834E9">
            <w:pPr>
              <w:spacing w:line="276" w:lineRule="auto"/>
            </w:pPr>
            <w:proofErr w:type="spellStart"/>
            <w:r w:rsidRPr="00C1692F">
              <w:t>PappaRich</w:t>
            </w:r>
            <w:proofErr w:type="spellEnd"/>
          </w:p>
        </w:tc>
        <w:tc>
          <w:tcPr>
            <w:tcW w:w="939" w:type="dxa"/>
          </w:tcPr>
          <w:p w14:paraId="624F6E92" w14:textId="3C8C0552" w:rsidR="00C82131" w:rsidRPr="00C1692F" w:rsidRDefault="00C82131" w:rsidP="001D2DF2">
            <w:pPr>
              <w:spacing w:line="276" w:lineRule="auto"/>
              <w:cnfStyle w:val="000000000000" w:firstRow="0" w:lastRow="0" w:firstColumn="0" w:lastColumn="0" w:oddVBand="0" w:evenVBand="0" w:oddHBand="0" w:evenHBand="0" w:firstRowFirstColumn="0" w:firstRowLastColumn="0" w:lastRowFirstColumn="0" w:lastRowLastColumn="0"/>
            </w:pPr>
            <w:r w:rsidRPr="00C1692F">
              <w:t>1</w:t>
            </w:r>
            <w:r w:rsidR="00B33C08">
              <w:t>2</w:t>
            </w:r>
          </w:p>
        </w:tc>
        <w:tc>
          <w:tcPr>
            <w:tcW w:w="1159" w:type="dxa"/>
          </w:tcPr>
          <w:p w14:paraId="40EC1026" w14:textId="504DD65D" w:rsidR="00C82131" w:rsidRPr="00C1692F" w:rsidRDefault="00B33C08" w:rsidP="001D2DF2">
            <w:pPr>
              <w:spacing w:line="276" w:lineRule="auto"/>
              <w:cnfStyle w:val="000000000000" w:firstRow="0" w:lastRow="0" w:firstColumn="0" w:lastColumn="0" w:oddVBand="0" w:evenVBand="0" w:oddHBand="0" w:evenHBand="0" w:firstRowFirstColumn="0" w:firstRowLastColumn="0" w:lastRowFirstColumn="0" w:lastRowLastColumn="0"/>
            </w:pPr>
            <w:r>
              <w:t>1</w:t>
            </w:r>
            <w:r w:rsidR="00C82131">
              <w:t xml:space="preserve"> (</w:t>
            </w:r>
            <w:r>
              <w:t>8</w:t>
            </w:r>
            <w:r w:rsidR="00C82131">
              <w:t>%)</w:t>
            </w:r>
          </w:p>
        </w:tc>
        <w:tc>
          <w:tcPr>
            <w:tcW w:w="1135" w:type="dxa"/>
          </w:tcPr>
          <w:p w14:paraId="1C51C6D6" w14:textId="55257D82" w:rsidR="00C82131" w:rsidRPr="00C1692F" w:rsidRDefault="00C82131" w:rsidP="0045023A">
            <w:pPr>
              <w:spacing w:line="276" w:lineRule="auto"/>
              <w:cnfStyle w:val="000000000000" w:firstRow="0" w:lastRow="0" w:firstColumn="0" w:lastColumn="0" w:oddVBand="0" w:evenVBand="0" w:oddHBand="0" w:evenHBand="0" w:firstRowFirstColumn="0" w:firstRowLastColumn="0" w:lastRowFirstColumn="0" w:lastRowLastColumn="0"/>
            </w:pPr>
            <w:r w:rsidRPr="00C1692F">
              <w:t>11 (</w:t>
            </w:r>
            <w:r w:rsidR="00B33C08">
              <w:t>92</w:t>
            </w:r>
            <w:r w:rsidRPr="00C1692F">
              <w:t>%)</w:t>
            </w:r>
          </w:p>
        </w:tc>
        <w:tc>
          <w:tcPr>
            <w:tcW w:w="1123" w:type="dxa"/>
          </w:tcPr>
          <w:p w14:paraId="0845B385"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3</w:t>
            </w:r>
          </w:p>
        </w:tc>
        <w:tc>
          <w:tcPr>
            <w:tcW w:w="1073" w:type="dxa"/>
          </w:tcPr>
          <w:p w14:paraId="7504BC7F"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1</w:t>
            </w:r>
          </w:p>
        </w:tc>
        <w:tc>
          <w:tcPr>
            <w:tcW w:w="1187" w:type="dxa"/>
          </w:tcPr>
          <w:p w14:paraId="51C04368"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7</w:t>
            </w:r>
          </w:p>
        </w:tc>
        <w:tc>
          <w:tcPr>
            <w:tcW w:w="2268" w:type="dxa"/>
          </w:tcPr>
          <w:p w14:paraId="57E6BC94" w14:textId="1A4CC842" w:rsidR="00C82131" w:rsidRPr="00C1692F" w:rsidRDefault="00C82131" w:rsidP="00EC51BE">
            <w:pPr>
              <w:spacing w:line="276" w:lineRule="auto"/>
              <w:cnfStyle w:val="000000000000" w:firstRow="0" w:lastRow="0" w:firstColumn="0" w:lastColumn="0" w:oddVBand="0" w:evenVBand="0" w:oddHBand="0" w:evenHBand="0" w:firstRowFirstColumn="0" w:firstRowLastColumn="0" w:lastRowFirstColumn="0" w:lastRowLastColumn="0"/>
            </w:pPr>
            <w:r w:rsidRPr="00C1692F">
              <w:t>$</w:t>
            </w:r>
            <w:r w:rsidR="00BE71AF">
              <w:t>237,17</w:t>
            </w:r>
            <w:r w:rsidR="00EC51BE">
              <w:t>7</w:t>
            </w:r>
            <w:r w:rsidRPr="00C1692F">
              <w:t xml:space="preserve"> (</w:t>
            </w:r>
            <w:r w:rsidR="00BE71AF">
              <w:t>247</w:t>
            </w:r>
            <w:r w:rsidRPr="00C1692F">
              <w:t xml:space="preserve"> employees from </w:t>
            </w:r>
            <w:r w:rsidR="00BE71AF">
              <w:t>10</w:t>
            </w:r>
            <w:r w:rsidRPr="00C1692F">
              <w:t xml:space="preserve"> businesses)</w:t>
            </w:r>
          </w:p>
        </w:tc>
      </w:tr>
      <w:tr w:rsidR="00C834E9" w:rsidRPr="00C1692F" w14:paraId="41C3B09C" w14:textId="77777777" w:rsidTr="00602977">
        <w:trPr>
          <w:trHeight w:val="993"/>
        </w:trPr>
        <w:tc>
          <w:tcPr>
            <w:cnfStyle w:val="001000000000" w:firstRow="0" w:lastRow="0" w:firstColumn="1" w:lastColumn="0" w:oddVBand="0" w:evenVBand="0" w:oddHBand="0" w:evenHBand="0" w:firstRowFirstColumn="0" w:firstRowLastColumn="0" w:lastRowFirstColumn="0" w:lastRowLastColumn="0"/>
            <w:tcW w:w="1176" w:type="dxa"/>
          </w:tcPr>
          <w:p w14:paraId="4D6F755D" w14:textId="77777777" w:rsidR="00C82131" w:rsidRPr="00C1692F" w:rsidRDefault="00C82131" w:rsidP="00C834E9">
            <w:pPr>
              <w:spacing w:line="276" w:lineRule="auto"/>
            </w:pPr>
            <w:r w:rsidRPr="00C1692F">
              <w:t>Nene Chicken</w:t>
            </w:r>
          </w:p>
        </w:tc>
        <w:tc>
          <w:tcPr>
            <w:tcW w:w="939" w:type="dxa"/>
          </w:tcPr>
          <w:p w14:paraId="47F65989"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6</w:t>
            </w:r>
          </w:p>
        </w:tc>
        <w:tc>
          <w:tcPr>
            <w:tcW w:w="1159" w:type="dxa"/>
          </w:tcPr>
          <w:p w14:paraId="5F9EBDCA" w14:textId="437735B1"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t>1 (17%)</w:t>
            </w:r>
          </w:p>
        </w:tc>
        <w:tc>
          <w:tcPr>
            <w:tcW w:w="1135" w:type="dxa"/>
          </w:tcPr>
          <w:p w14:paraId="50D5B40F" w14:textId="3B344744"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5 (83%)</w:t>
            </w:r>
          </w:p>
        </w:tc>
        <w:tc>
          <w:tcPr>
            <w:tcW w:w="1123" w:type="dxa"/>
          </w:tcPr>
          <w:p w14:paraId="316994BE" w14:textId="6E0FCE37" w:rsidR="00C82131" w:rsidRPr="005264A4" w:rsidRDefault="00154AD9" w:rsidP="00C834E9">
            <w:pPr>
              <w:spacing w:line="276" w:lineRule="auto"/>
              <w:cnfStyle w:val="000000000000" w:firstRow="0" w:lastRow="0" w:firstColumn="0" w:lastColumn="0" w:oddVBand="0" w:evenVBand="0" w:oddHBand="0" w:evenHBand="0" w:firstRowFirstColumn="0" w:firstRowLastColumn="0" w:lastRowFirstColumn="0" w:lastRowLastColumn="0"/>
            </w:pPr>
            <w:r w:rsidRPr="005264A4">
              <w:t>0</w:t>
            </w:r>
          </w:p>
        </w:tc>
        <w:tc>
          <w:tcPr>
            <w:tcW w:w="1073" w:type="dxa"/>
          </w:tcPr>
          <w:p w14:paraId="3A7C0914" w14:textId="20F3CD48" w:rsidR="00C82131" w:rsidRPr="005264A4" w:rsidRDefault="00154AD9" w:rsidP="00C834E9">
            <w:pPr>
              <w:spacing w:line="276" w:lineRule="auto"/>
              <w:cnfStyle w:val="000000000000" w:firstRow="0" w:lastRow="0" w:firstColumn="0" w:lastColumn="0" w:oddVBand="0" w:evenVBand="0" w:oddHBand="0" w:evenHBand="0" w:firstRowFirstColumn="0" w:firstRowLastColumn="0" w:lastRowFirstColumn="0" w:lastRowLastColumn="0"/>
            </w:pPr>
            <w:r w:rsidRPr="005264A4">
              <w:t>0</w:t>
            </w:r>
          </w:p>
        </w:tc>
        <w:tc>
          <w:tcPr>
            <w:tcW w:w="1187" w:type="dxa"/>
          </w:tcPr>
          <w:p w14:paraId="437505C1"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5</w:t>
            </w:r>
          </w:p>
        </w:tc>
        <w:tc>
          <w:tcPr>
            <w:tcW w:w="2268" w:type="dxa"/>
          </w:tcPr>
          <w:p w14:paraId="7B6A8D82"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$14</w:t>
            </w:r>
            <w:r>
              <w:t>,</w:t>
            </w:r>
            <w:r w:rsidRPr="00C1692F">
              <w:t>532 (18 employees from 5 businesses)</w:t>
            </w:r>
          </w:p>
        </w:tc>
      </w:tr>
      <w:tr w:rsidR="00C834E9" w:rsidRPr="00C1692F" w14:paraId="1C1845FE" w14:textId="77777777" w:rsidTr="00C834E9">
        <w:trPr>
          <w:trHeight w:val="699"/>
        </w:trPr>
        <w:tc>
          <w:tcPr>
            <w:cnfStyle w:val="001000000000" w:firstRow="0" w:lastRow="0" w:firstColumn="1" w:lastColumn="0" w:oddVBand="0" w:evenVBand="0" w:oddHBand="0" w:evenHBand="0" w:firstRowFirstColumn="0" w:firstRowLastColumn="0" w:lastRowFirstColumn="0" w:lastRowLastColumn="0"/>
            <w:tcW w:w="1176" w:type="dxa"/>
          </w:tcPr>
          <w:p w14:paraId="0B5B183B" w14:textId="77777777" w:rsidR="00C82131" w:rsidRPr="00C1692F" w:rsidRDefault="00C82131" w:rsidP="00C834E9">
            <w:pPr>
              <w:spacing w:line="276" w:lineRule="auto"/>
            </w:pPr>
            <w:proofErr w:type="spellStart"/>
            <w:r w:rsidRPr="00C1692F">
              <w:t>Chatime</w:t>
            </w:r>
            <w:proofErr w:type="spellEnd"/>
          </w:p>
        </w:tc>
        <w:tc>
          <w:tcPr>
            <w:tcW w:w="939" w:type="dxa"/>
          </w:tcPr>
          <w:p w14:paraId="40BD54D1"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19</w:t>
            </w:r>
          </w:p>
        </w:tc>
        <w:tc>
          <w:tcPr>
            <w:tcW w:w="1159" w:type="dxa"/>
          </w:tcPr>
          <w:p w14:paraId="29B5B6AC" w14:textId="5E17C42F" w:rsidR="00C82131" w:rsidRPr="00C1692F" w:rsidRDefault="00154AD9" w:rsidP="00C834E9">
            <w:pPr>
              <w:spacing w:line="276" w:lineRule="auto"/>
              <w:cnfStyle w:val="000000000000" w:firstRow="0" w:lastRow="0" w:firstColumn="0" w:lastColumn="0" w:oddVBand="0" w:evenVBand="0" w:oddHBand="0" w:evenHBand="0" w:firstRowFirstColumn="0" w:firstRowLastColumn="0" w:lastRowFirstColumn="0" w:lastRowLastColumn="0"/>
            </w:pPr>
            <w:r>
              <w:t>8 (42%)</w:t>
            </w:r>
          </w:p>
        </w:tc>
        <w:tc>
          <w:tcPr>
            <w:tcW w:w="1135" w:type="dxa"/>
          </w:tcPr>
          <w:p w14:paraId="3A6BB768" w14:textId="67E3D02A"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11 (58%)</w:t>
            </w:r>
          </w:p>
        </w:tc>
        <w:tc>
          <w:tcPr>
            <w:tcW w:w="1123" w:type="dxa"/>
          </w:tcPr>
          <w:p w14:paraId="5167F6AF"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5</w:t>
            </w:r>
          </w:p>
        </w:tc>
        <w:tc>
          <w:tcPr>
            <w:tcW w:w="1073" w:type="dxa"/>
          </w:tcPr>
          <w:p w14:paraId="1C6F729D"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3</w:t>
            </w:r>
          </w:p>
        </w:tc>
        <w:tc>
          <w:tcPr>
            <w:tcW w:w="1187" w:type="dxa"/>
          </w:tcPr>
          <w:p w14:paraId="7A8CBF1B"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3</w:t>
            </w:r>
          </w:p>
        </w:tc>
        <w:tc>
          <w:tcPr>
            <w:tcW w:w="2268" w:type="dxa"/>
          </w:tcPr>
          <w:p w14:paraId="048C795B" w14:textId="0B60B60F" w:rsidR="00C82131" w:rsidRPr="00C1692F" w:rsidRDefault="00C82131" w:rsidP="00D228C2">
            <w:pPr>
              <w:spacing w:line="276" w:lineRule="auto"/>
              <w:cnfStyle w:val="000000000000" w:firstRow="0" w:lastRow="0" w:firstColumn="0" w:lastColumn="0" w:oddVBand="0" w:evenVBand="0" w:oddHBand="0" w:evenHBand="0" w:firstRowFirstColumn="0" w:firstRowLastColumn="0" w:lastRowFirstColumn="0" w:lastRowLastColumn="0"/>
            </w:pPr>
            <w:r w:rsidRPr="00C1692F">
              <w:t>$</w:t>
            </w:r>
            <w:r w:rsidR="00D228C2">
              <w:t>410,962</w:t>
            </w:r>
            <w:r w:rsidR="00EC51BE">
              <w:t xml:space="preserve"> </w:t>
            </w:r>
            <w:r w:rsidRPr="00C1692F">
              <w:t>(3</w:t>
            </w:r>
            <w:r w:rsidR="00D228C2">
              <w:t>79</w:t>
            </w:r>
            <w:r w:rsidRPr="00C1692F">
              <w:t xml:space="preserve"> employees from 7 businesses)</w:t>
            </w:r>
            <w:r w:rsidR="00D228C2">
              <w:rPr>
                <w:rStyle w:val="FootnoteReference"/>
              </w:rPr>
              <w:footnoteReference w:id="17"/>
            </w:r>
          </w:p>
        </w:tc>
      </w:tr>
      <w:tr w:rsidR="00C834E9" w:rsidRPr="00C1692F" w14:paraId="7353999B" w14:textId="77777777" w:rsidTr="00602977">
        <w:trPr>
          <w:trHeight w:val="956"/>
        </w:trPr>
        <w:tc>
          <w:tcPr>
            <w:cnfStyle w:val="001000000000" w:firstRow="0" w:lastRow="0" w:firstColumn="1" w:lastColumn="0" w:oddVBand="0" w:evenVBand="0" w:oddHBand="0" w:evenHBand="0" w:firstRowFirstColumn="0" w:firstRowLastColumn="0" w:lastRowFirstColumn="0" w:lastRowLastColumn="0"/>
            <w:tcW w:w="1176" w:type="dxa"/>
          </w:tcPr>
          <w:p w14:paraId="6A41E202" w14:textId="77777777" w:rsidR="00C82131" w:rsidRPr="00C1692F" w:rsidRDefault="00C82131" w:rsidP="00C834E9">
            <w:pPr>
              <w:spacing w:line="276" w:lineRule="auto"/>
            </w:pPr>
            <w:proofErr w:type="spellStart"/>
            <w:r w:rsidRPr="00C1692F">
              <w:t>Gongcha</w:t>
            </w:r>
            <w:proofErr w:type="spellEnd"/>
          </w:p>
        </w:tc>
        <w:tc>
          <w:tcPr>
            <w:tcW w:w="939" w:type="dxa"/>
          </w:tcPr>
          <w:p w14:paraId="7C886487"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11</w:t>
            </w:r>
          </w:p>
        </w:tc>
        <w:tc>
          <w:tcPr>
            <w:tcW w:w="1159" w:type="dxa"/>
          </w:tcPr>
          <w:p w14:paraId="62A0E234" w14:textId="4392740A" w:rsidR="00C82131" w:rsidRPr="00C1692F" w:rsidRDefault="00154AD9" w:rsidP="00C834E9">
            <w:pPr>
              <w:spacing w:line="276" w:lineRule="auto"/>
              <w:cnfStyle w:val="000000000000" w:firstRow="0" w:lastRow="0" w:firstColumn="0" w:lastColumn="0" w:oddVBand="0" w:evenVBand="0" w:oddHBand="0" w:evenHBand="0" w:firstRowFirstColumn="0" w:firstRowLastColumn="0" w:lastRowFirstColumn="0" w:lastRowLastColumn="0"/>
            </w:pPr>
            <w:r>
              <w:t>2 (18%)</w:t>
            </w:r>
          </w:p>
        </w:tc>
        <w:tc>
          <w:tcPr>
            <w:tcW w:w="1135" w:type="dxa"/>
          </w:tcPr>
          <w:p w14:paraId="17858E46" w14:textId="3B2DAF0A"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9 (82%)</w:t>
            </w:r>
          </w:p>
        </w:tc>
        <w:tc>
          <w:tcPr>
            <w:tcW w:w="1123" w:type="dxa"/>
          </w:tcPr>
          <w:p w14:paraId="79AFD763"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3</w:t>
            </w:r>
          </w:p>
        </w:tc>
        <w:tc>
          <w:tcPr>
            <w:tcW w:w="1073" w:type="dxa"/>
          </w:tcPr>
          <w:p w14:paraId="69E6E780"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3</w:t>
            </w:r>
          </w:p>
        </w:tc>
        <w:tc>
          <w:tcPr>
            <w:tcW w:w="1187" w:type="dxa"/>
          </w:tcPr>
          <w:p w14:paraId="5A4C0120"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3</w:t>
            </w:r>
          </w:p>
        </w:tc>
        <w:tc>
          <w:tcPr>
            <w:tcW w:w="2268" w:type="dxa"/>
          </w:tcPr>
          <w:p w14:paraId="51A2F310" w14:textId="754B50FA"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t>$36,</w:t>
            </w:r>
            <w:r w:rsidRPr="00C1692F">
              <w:t>903 (84 employees from 6 businesses)</w:t>
            </w:r>
          </w:p>
        </w:tc>
      </w:tr>
      <w:tr w:rsidR="00C834E9" w:rsidRPr="00C1692F" w14:paraId="07251668" w14:textId="77777777" w:rsidTr="00602977">
        <w:trPr>
          <w:trHeight w:val="743"/>
        </w:trPr>
        <w:tc>
          <w:tcPr>
            <w:cnfStyle w:val="001000000000" w:firstRow="0" w:lastRow="0" w:firstColumn="1" w:lastColumn="0" w:oddVBand="0" w:evenVBand="0" w:oddHBand="0" w:evenHBand="0" w:firstRowFirstColumn="0" w:firstRowLastColumn="0" w:lastRowFirstColumn="0" w:lastRowLastColumn="0"/>
            <w:tcW w:w="1176" w:type="dxa"/>
          </w:tcPr>
          <w:p w14:paraId="6938C59E" w14:textId="77777777" w:rsidR="00C82131" w:rsidRPr="00C1692F" w:rsidRDefault="00C82131" w:rsidP="00C834E9">
            <w:pPr>
              <w:spacing w:line="276" w:lineRule="auto"/>
            </w:pPr>
            <w:r w:rsidRPr="00C1692F">
              <w:t>Hot Star Chicken</w:t>
            </w:r>
          </w:p>
        </w:tc>
        <w:tc>
          <w:tcPr>
            <w:tcW w:w="939" w:type="dxa"/>
          </w:tcPr>
          <w:p w14:paraId="42023768"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6</w:t>
            </w:r>
          </w:p>
        </w:tc>
        <w:tc>
          <w:tcPr>
            <w:tcW w:w="1159" w:type="dxa"/>
          </w:tcPr>
          <w:p w14:paraId="5C5BE1DB" w14:textId="7B8DC7EF" w:rsidR="00C82131" w:rsidRPr="00C1692F" w:rsidRDefault="00154AD9" w:rsidP="00C834E9">
            <w:pPr>
              <w:spacing w:line="276" w:lineRule="auto"/>
              <w:cnfStyle w:val="000000000000" w:firstRow="0" w:lastRow="0" w:firstColumn="0" w:lastColumn="0" w:oddVBand="0" w:evenVBand="0" w:oddHBand="0" w:evenHBand="0" w:firstRowFirstColumn="0" w:firstRowLastColumn="0" w:lastRowFirstColumn="0" w:lastRowLastColumn="0"/>
            </w:pPr>
            <w:r>
              <w:t>1 (17%)</w:t>
            </w:r>
          </w:p>
        </w:tc>
        <w:tc>
          <w:tcPr>
            <w:tcW w:w="1135" w:type="dxa"/>
          </w:tcPr>
          <w:p w14:paraId="6A147808" w14:textId="5112E159"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5 (83%)</w:t>
            </w:r>
          </w:p>
        </w:tc>
        <w:tc>
          <w:tcPr>
            <w:tcW w:w="1123" w:type="dxa"/>
          </w:tcPr>
          <w:p w14:paraId="2E4DB049" w14:textId="297D45E2" w:rsidR="00C82131" w:rsidRPr="00C1692F" w:rsidRDefault="00154AD9" w:rsidP="00C834E9">
            <w:pPr>
              <w:spacing w:line="276" w:lineRule="auto"/>
              <w:cnfStyle w:val="000000000000" w:firstRow="0" w:lastRow="0" w:firstColumn="0" w:lastColumn="0" w:oddVBand="0" w:evenVBand="0" w:oddHBand="0" w:evenHBand="0" w:firstRowFirstColumn="0" w:firstRowLastColumn="0" w:lastRowFirstColumn="0" w:lastRowLastColumn="0"/>
            </w:pPr>
            <w:r>
              <w:t>0</w:t>
            </w:r>
          </w:p>
        </w:tc>
        <w:tc>
          <w:tcPr>
            <w:tcW w:w="1073" w:type="dxa"/>
          </w:tcPr>
          <w:p w14:paraId="7570B124" w14:textId="6BE5BF01" w:rsidR="00C82131" w:rsidRPr="00C1692F" w:rsidRDefault="00154AD9" w:rsidP="00C834E9">
            <w:pPr>
              <w:spacing w:line="276" w:lineRule="auto"/>
              <w:cnfStyle w:val="000000000000" w:firstRow="0" w:lastRow="0" w:firstColumn="0" w:lastColumn="0" w:oddVBand="0" w:evenVBand="0" w:oddHBand="0" w:evenHBand="0" w:firstRowFirstColumn="0" w:firstRowLastColumn="0" w:lastRowFirstColumn="0" w:lastRowLastColumn="0"/>
            </w:pPr>
            <w:r>
              <w:t>2</w:t>
            </w:r>
          </w:p>
        </w:tc>
        <w:tc>
          <w:tcPr>
            <w:tcW w:w="1187" w:type="dxa"/>
          </w:tcPr>
          <w:p w14:paraId="7F489CFF"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3</w:t>
            </w:r>
          </w:p>
        </w:tc>
        <w:tc>
          <w:tcPr>
            <w:tcW w:w="2268" w:type="dxa"/>
          </w:tcPr>
          <w:p w14:paraId="1FBBEAA2" w14:textId="6F074DEE"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$1708 (26 employees from 3 businesses)</w:t>
            </w:r>
            <w:r w:rsidR="001F0D2F">
              <w:t xml:space="preserve"> </w:t>
            </w:r>
          </w:p>
        </w:tc>
      </w:tr>
      <w:tr w:rsidR="00C834E9" w:rsidRPr="00C1692F" w14:paraId="013D8AAF" w14:textId="77777777" w:rsidTr="00C834E9">
        <w:trPr>
          <w:trHeight w:val="841"/>
        </w:trPr>
        <w:tc>
          <w:tcPr>
            <w:cnfStyle w:val="001000000000" w:firstRow="0" w:lastRow="0" w:firstColumn="1" w:lastColumn="0" w:oddVBand="0" w:evenVBand="0" w:oddHBand="0" w:evenHBand="0" w:firstRowFirstColumn="0" w:firstRowLastColumn="0" w:lastRowFirstColumn="0" w:lastRowLastColumn="0"/>
            <w:tcW w:w="1176" w:type="dxa"/>
          </w:tcPr>
          <w:p w14:paraId="34D9472F" w14:textId="7FE72D95" w:rsidR="00C82131" w:rsidRPr="00C1692F" w:rsidRDefault="008F1E4C" w:rsidP="00C834E9">
            <w:pPr>
              <w:spacing w:line="276" w:lineRule="auto"/>
            </w:pPr>
            <w:r>
              <w:t xml:space="preserve">The </w:t>
            </w:r>
            <w:r w:rsidR="00C82131" w:rsidRPr="00C1692F">
              <w:t>Sushi 79</w:t>
            </w:r>
          </w:p>
        </w:tc>
        <w:tc>
          <w:tcPr>
            <w:tcW w:w="939" w:type="dxa"/>
          </w:tcPr>
          <w:p w14:paraId="0E8CA0C8" w14:textId="3F12C8BF" w:rsidR="00C82131" w:rsidRPr="00C1692F" w:rsidRDefault="00001667" w:rsidP="00C834E9">
            <w:pPr>
              <w:spacing w:line="276" w:lineRule="auto"/>
              <w:cnfStyle w:val="000000000000" w:firstRow="0" w:lastRow="0" w:firstColumn="0" w:lastColumn="0" w:oddVBand="0" w:evenVBand="0" w:oddHBand="0" w:evenHBand="0" w:firstRowFirstColumn="0" w:firstRowLastColumn="0" w:lastRowFirstColumn="0" w:lastRowLastColumn="0"/>
            </w:pPr>
            <w:r>
              <w:t>8</w:t>
            </w:r>
          </w:p>
        </w:tc>
        <w:tc>
          <w:tcPr>
            <w:tcW w:w="1159" w:type="dxa"/>
          </w:tcPr>
          <w:p w14:paraId="7C66CAED" w14:textId="6A84C6B7" w:rsidR="00C82131" w:rsidRPr="00C1692F" w:rsidRDefault="00154AD9" w:rsidP="00C834E9">
            <w:pPr>
              <w:spacing w:line="276" w:lineRule="auto"/>
              <w:cnfStyle w:val="000000000000" w:firstRow="0" w:lastRow="0" w:firstColumn="0" w:lastColumn="0" w:oddVBand="0" w:evenVBand="0" w:oddHBand="0" w:evenHBand="0" w:firstRowFirstColumn="0" w:firstRowLastColumn="0" w:lastRowFirstColumn="0" w:lastRowLastColumn="0"/>
            </w:pPr>
            <w:r>
              <w:t>0 (0%)</w:t>
            </w:r>
          </w:p>
        </w:tc>
        <w:tc>
          <w:tcPr>
            <w:tcW w:w="1135" w:type="dxa"/>
          </w:tcPr>
          <w:p w14:paraId="4400CFCE" w14:textId="7E37E351" w:rsidR="00C82131" w:rsidRPr="00C1692F" w:rsidRDefault="0036045C" w:rsidP="00C834E9">
            <w:pPr>
              <w:spacing w:line="276" w:lineRule="auto"/>
              <w:cnfStyle w:val="000000000000" w:firstRow="0" w:lastRow="0" w:firstColumn="0" w:lastColumn="0" w:oddVBand="0" w:evenVBand="0" w:oddHBand="0" w:evenHBand="0" w:firstRowFirstColumn="0" w:firstRowLastColumn="0" w:lastRowFirstColumn="0" w:lastRowLastColumn="0"/>
            </w:pPr>
            <w:r>
              <w:t>8</w:t>
            </w:r>
            <w:r w:rsidR="00C82131" w:rsidRPr="00C1692F">
              <w:t xml:space="preserve"> (100%)</w:t>
            </w:r>
          </w:p>
        </w:tc>
        <w:tc>
          <w:tcPr>
            <w:tcW w:w="1123" w:type="dxa"/>
          </w:tcPr>
          <w:p w14:paraId="6E30DFAF"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2</w:t>
            </w:r>
          </w:p>
        </w:tc>
        <w:tc>
          <w:tcPr>
            <w:tcW w:w="1073" w:type="dxa"/>
          </w:tcPr>
          <w:p w14:paraId="64023236" w14:textId="77777777" w:rsidR="00C82131" w:rsidRPr="00C1692F" w:rsidRDefault="00C82131" w:rsidP="00C834E9">
            <w:pPr>
              <w:spacing w:line="276" w:lineRule="auto"/>
              <w:cnfStyle w:val="000000000000" w:firstRow="0" w:lastRow="0" w:firstColumn="0" w:lastColumn="0" w:oddVBand="0" w:evenVBand="0" w:oddHBand="0" w:evenHBand="0" w:firstRowFirstColumn="0" w:firstRowLastColumn="0" w:lastRowFirstColumn="0" w:lastRowLastColumn="0"/>
            </w:pPr>
            <w:r w:rsidRPr="00C1692F">
              <w:t>1</w:t>
            </w:r>
          </w:p>
        </w:tc>
        <w:tc>
          <w:tcPr>
            <w:tcW w:w="1187" w:type="dxa"/>
          </w:tcPr>
          <w:p w14:paraId="434D225A" w14:textId="41621737" w:rsidR="00C82131" w:rsidRPr="00C1692F" w:rsidRDefault="00001667" w:rsidP="00C834E9">
            <w:pPr>
              <w:spacing w:line="276" w:lineRule="auto"/>
              <w:cnfStyle w:val="000000000000" w:firstRow="0" w:lastRow="0" w:firstColumn="0" w:lastColumn="0" w:oddVBand="0" w:evenVBand="0" w:oddHBand="0" w:evenHBand="0" w:firstRowFirstColumn="0" w:firstRowLastColumn="0" w:lastRowFirstColumn="0" w:lastRowLastColumn="0"/>
            </w:pPr>
            <w:r>
              <w:t>5</w:t>
            </w:r>
          </w:p>
        </w:tc>
        <w:tc>
          <w:tcPr>
            <w:tcW w:w="2268" w:type="dxa"/>
          </w:tcPr>
          <w:p w14:paraId="012B9D48" w14:textId="58F36A89" w:rsidR="00C82131" w:rsidRPr="00C1692F" w:rsidRDefault="00C82131" w:rsidP="00D9333A">
            <w:pPr>
              <w:spacing w:line="276" w:lineRule="auto"/>
              <w:cnfStyle w:val="000000000000" w:firstRow="0" w:lastRow="0" w:firstColumn="0" w:lastColumn="0" w:oddVBand="0" w:evenVBand="0" w:oddHBand="0" w:evenHBand="0" w:firstRowFirstColumn="0" w:firstRowLastColumn="0" w:lastRowFirstColumn="0" w:lastRowLastColumn="0"/>
            </w:pPr>
            <w:r w:rsidRPr="00C1692F">
              <w:t>$</w:t>
            </w:r>
            <w:r w:rsidR="00F14BC9">
              <w:t>28,958</w:t>
            </w:r>
            <w:r w:rsidRPr="00C1692F">
              <w:t xml:space="preserve"> (</w:t>
            </w:r>
            <w:r w:rsidR="00F14BC9">
              <w:t>23</w:t>
            </w:r>
            <w:r w:rsidRPr="00C1692F">
              <w:t xml:space="preserve"> employees from </w:t>
            </w:r>
            <w:r w:rsidR="00F14BC9">
              <w:t>6</w:t>
            </w:r>
            <w:r w:rsidR="00111326">
              <w:t xml:space="preserve"> businesses</w:t>
            </w:r>
          </w:p>
        </w:tc>
      </w:tr>
    </w:tbl>
    <w:p w14:paraId="30FDFF8B" w14:textId="77777777" w:rsidR="00AF74D9" w:rsidRPr="008A516D" w:rsidRDefault="00AF74D9" w:rsidP="008A516D"/>
    <w:sectPr w:rsidR="00AF74D9" w:rsidRPr="008A516D" w:rsidSect="006156E5">
      <w:headerReference w:type="even" r:id="rId10"/>
      <w:headerReference w:type="default" r:id="rId11"/>
      <w:footerReference w:type="even" r:id="rId12"/>
      <w:footerReference w:type="default" r:id="rId13"/>
      <w:headerReference w:type="first" r:id="rId14"/>
      <w:footerReference w:type="first" r:id="rId15"/>
      <w:pgSz w:w="11906" w:h="16838"/>
      <w:pgMar w:top="1560" w:right="1225" w:bottom="1134" w:left="1321" w:header="284" w:footer="1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0F7E5" w14:textId="77777777" w:rsidR="001E0080" w:rsidRDefault="001E0080" w:rsidP="006219E8">
      <w:r>
        <w:separator/>
      </w:r>
    </w:p>
  </w:endnote>
  <w:endnote w:type="continuationSeparator" w:id="0">
    <w:p w14:paraId="1202680D" w14:textId="77777777" w:rsidR="001E0080" w:rsidRDefault="001E0080" w:rsidP="006219E8">
      <w:r>
        <w:continuationSeparator/>
      </w:r>
    </w:p>
  </w:endnote>
  <w:endnote w:type="continuationNotice" w:id="1">
    <w:p w14:paraId="1DADF819" w14:textId="77777777" w:rsidR="001E0080" w:rsidRDefault="001E008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skoola Pot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EA6AB" w14:textId="77777777" w:rsidR="001E0080" w:rsidRDefault="001E0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605689"/>
      <w:docPartObj>
        <w:docPartGallery w:val="Page Numbers (Bottom of Page)"/>
        <w:docPartUnique/>
      </w:docPartObj>
    </w:sdtPr>
    <w:sdtEndPr>
      <w:rPr>
        <w:i/>
        <w:noProof/>
      </w:rPr>
    </w:sdtEndPr>
    <w:sdtContent>
      <w:p w14:paraId="0BF4101C" w14:textId="08D88A58" w:rsidR="001E0080" w:rsidRPr="0047648F" w:rsidRDefault="001E0080" w:rsidP="006219E8">
        <w:pPr>
          <w:pStyle w:val="Header"/>
          <w:rPr>
            <w:i/>
            <w:noProof/>
          </w:rPr>
        </w:pPr>
        <w:r w:rsidRPr="0047648F">
          <w:rPr>
            <w:noProof/>
            <w:sz w:val="18"/>
            <w:szCs w:val="18"/>
            <w:lang w:eastAsia="en-AU" w:bidi="ne-NP"/>
          </w:rPr>
          <mc:AlternateContent>
            <mc:Choice Requires="wps">
              <w:drawing>
                <wp:anchor distT="0" distB="0" distL="114300" distR="114300" simplePos="0" relativeHeight="251658241" behindDoc="0" locked="0" layoutInCell="1" allowOverlap="1" wp14:anchorId="5D75083D" wp14:editId="21E5B2B5">
                  <wp:simplePos x="0" y="0"/>
                  <wp:positionH relativeFrom="margin">
                    <wp:align>left</wp:align>
                  </wp:positionH>
                  <wp:positionV relativeFrom="page">
                    <wp:posOffset>10101580</wp:posOffset>
                  </wp:positionV>
                  <wp:extent cx="3369945" cy="0"/>
                  <wp:effectExtent l="0" t="0" r="20955" b="19050"/>
                  <wp:wrapNone/>
                  <wp:docPr id="81" name="Straight Connector 81"/>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476EFE" id="Straight Connector 81" o:spid="_x0000_s1026" style="position:absolute;z-index:251658241;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95.4pt" to="265.35pt,7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" strokecolor="#ffb81c" strokeweight="1pt">
                  <w10:wrap anchorx="margin" anchory="page"/>
                </v:line>
              </w:pict>
            </mc:Fallback>
          </mc:AlternateContent>
        </w:r>
        <w:r w:rsidRPr="0047648F">
          <w:rPr>
            <w:noProof/>
            <w:sz w:val="18"/>
            <w:szCs w:val="18"/>
            <w:lang w:eastAsia="en-AU" w:bidi="ne-NP"/>
          </w:rPr>
          <mc:AlternateContent>
            <mc:Choice Requires="wps">
              <w:drawing>
                <wp:anchor distT="0" distB="0" distL="114300" distR="114300" simplePos="0" relativeHeight="251658240" behindDoc="1" locked="0" layoutInCell="1" allowOverlap="1" wp14:anchorId="7510A51A" wp14:editId="1A9AC378">
                  <wp:simplePos x="0" y="0"/>
                  <wp:positionH relativeFrom="page">
                    <wp:posOffset>6678295</wp:posOffset>
                  </wp:positionH>
                  <wp:positionV relativeFrom="page">
                    <wp:posOffset>9793605</wp:posOffset>
                  </wp:positionV>
                  <wp:extent cx="882015" cy="882015"/>
                  <wp:effectExtent l="0" t="0" r="0" b="0"/>
                  <wp:wrapNone/>
                  <wp:docPr id="82" name="Right Triangle 82"/>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B49C83" id="_x0000_t6" coordsize="21600,21600" o:spt="6" path="m,l,21600r21600,xe">
                  <v:stroke joinstyle="miter"/>
                  <v:path gradientshapeok="t" o:connecttype="custom" o:connectlocs="0,0;0,10800;0,21600;10800,21600;21600,21600;10800,10800" textboxrect="1800,12600,12600,19800"/>
                </v:shapetype>
                <v:shape id="Right Triangle 82" o:spid="_x0000_s1026" type="#_x0000_t6" style="position:absolute;margin-left:525.85pt;margin-top:771.15pt;width:69.45pt;height:69.45pt;flip:x;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" fillcolor="#9bcbeb" stroked="f" strokeweight="2pt">
                  <v:fill opacity="19789f"/>
                  <w10:wrap anchorx="page" anchory="page"/>
                </v:shape>
              </w:pict>
            </mc:Fallback>
          </mc:AlternateContent>
        </w:r>
        <w:r w:rsidRPr="0047648F">
          <w:rPr>
            <w:sz w:val="18"/>
            <w:szCs w:val="18"/>
          </w:rPr>
          <w:t>Emerging Franchises Compliance Activity Report</w:t>
        </w:r>
        <w:r w:rsidRPr="0047648F">
          <w:rPr>
            <w:i/>
          </w:rPr>
          <w:tab/>
        </w:r>
        <w:r w:rsidRPr="0047648F">
          <w:rPr>
            <w:i/>
          </w:rPr>
          <w:tab/>
        </w:r>
        <w:r w:rsidRPr="0047648F">
          <w:rPr>
            <w:i/>
          </w:rPr>
          <w:fldChar w:fldCharType="begin"/>
        </w:r>
        <w:r w:rsidRPr="0047648F">
          <w:rPr>
            <w:i/>
          </w:rPr>
          <w:instrText xml:space="preserve"> PAGE   \* MERGEFORMAT </w:instrText>
        </w:r>
        <w:r w:rsidRPr="0047648F">
          <w:rPr>
            <w:i/>
          </w:rPr>
          <w:fldChar w:fldCharType="separate"/>
        </w:r>
        <w:r w:rsidR="00036AEF">
          <w:rPr>
            <w:i/>
            <w:noProof/>
          </w:rPr>
          <w:t>7</w:t>
        </w:r>
        <w:r w:rsidRPr="0047648F">
          <w:rPr>
            <w:i/>
            <w:noProof/>
          </w:rPr>
          <w:fldChar w:fldCharType="end"/>
        </w:r>
      </w:p>
      <w:p w14:paraId="2D1AB8CC" w14:textId="1927A14D" w:rsidR="001E0080" w:rsidRPr="0047648F" w:rsidRDefault="00036AEF" w:rsidP="00993192">
        <w:pPr>
          <w:pStyle w:val="Footer"/>
          <w:rPr>
            <w:i/>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6D1E" w14:textId="4880BE3C" w:rsidR="001E0080" w:rsidRDefault="002659F7">
    <w:pPr>
      <w:pStyle w:val="Footer"/>
    </w:pPr>
    <w:r>
      <w:fldChar w:fldCharType="begin"/>
    </w:r>
    <w:r>
      <w:instrText xml:space="preserve"> DOCPROPERTY "mvRef" \* MERGEFORMAT </w:instrText>
    </w:r>
    <w:r>
      <w:fldChar w:fldCharType="separate"/>
    </w:r>
    <w:r w:rsidR="001E0080">
      <w:t>Operational activity reports (2019)</w:t>
    </w:r>
    <w:proofErr w:type="gramStart"/>
    <w:r w:rsidR="001E0080">
      <w:t>:DB</w:t>
    </w:r>
    <w:proofErr w:type="gramEnd"/>
    <w:r w:rsidR="001E0080">
      <w:t>-1301185/1.0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F0194" w14:textId="77777777" w:rsidR="001E0080" w:rsidRDefault="001E0080" w:rsidP="006219E8">
      <w:r>
        <w:separator/>
      </w:r>
    </w:p>
  </w:footnote>
  <w:footnote w:type="continuationSeparator" w:id="0">
    <w:p w14:paraId="4C64D415" w14:textId="77777777" w:rsidR="001E0080" w:rsidRDefault="001E0080" w:rsidP="006219E8">
      <w:r>
        <w:continuationSeparator/>
      </w:r>
    </w:p>
  </w:footnote>
  <w:footnote w:type="continuationNotice" w:id="1">
    <w:p w14:paraId="68121D48" w14:textId="77777777" w:rsidR="001E0080" w:rsidRDefault="001E0080">
      <w:pPr>
        <w:spacing w:before="0" w:line="240" w:lineRule="auto"/>
      </w:pPr>
    </w:p>
  </w:footnote>
  <w:footnote w:id="2">
    <w:p w14:paraId="035E1FD4" w14:textId="147D6DB0" w:rsidR="001E0080" w:rsidRPr="009E6F27" w:rsidRDefault="001E0080" w:rsidP="009E6F27">
      <w:pPr>
        <w:pStyle w:val="FootnoteText"/>
        <w:spacing w:before="0" w:line="240" w:lineRule="auto"/>
        <w:rPr>
          <w:sz w:val="18"/>
          <w:szCs w:val="18"/>
        </w:rPr>
      </w:pPr>
      <w:r w:rsidRPr="009E6F27">
        <w:rPr>
          <w:rStyle w:val="FootnoteReference"/>
          <w:rFonts w:cstheme="minorHAnsi"/>
          <w:sz w:val="18"/>
          <w:szCs w:val="18"/>
        </w:rPr>
        <w:footnoteRef/>
      </w:r>
      <w:r w:rsidRPr="009E6F27">
        <w:rPr>
          <w:sz w:val="18"/>
          <w:szCs w:val="18"/>
        </w:rPr>
        <w:t xml:space="preserve"> </w:t>
      </w:r>
      <w:hyperlink r:id="rId1" w:history="1">
        <w:r w:rsidRPr="004029CB">
          <w:rPr>
            <w:rStyle w:val="Hyperlink"/>
            <w:rFonts w:asciiTheme="minorHAnsi" w:hAnsiTheme="minorHAnsi" w:cstheme="minorHAnsi"/>
            <w:sz w:val="18"/>
            <w:szCs w:val="18"/>
          </w:rPr>
          <w:t>https://www.fairwork.gov.au/about-us/our-purpose/our-priorities</w:t>
        </w:r>
      </w:hyperlink>
      <w:r>
        <w:rPr>
          <w:sz w:val="18"/>
          <w:szCs w:val="18"/>
        </w:rPr>
        <w:t xml:space="preserve"> </w:t>
      </w:r>
    </w:p>
  </w:footnote>
  <w:footnote w:id="3">
    <w:p w14:paraId="0D20A6B2" w14:textId="77777777" w:rsidR="001E0080" w:rsidRPr="009E6F27" w:rsidRDefault="001E0080" w:rsidP="009E6F27">
      <w:pPr>
        <w:pStyle w:val="FootnoteText"/>
        <w:spacing w:before="0" w:line="240" w:lineRule="auto"/>
        <w:rPr>
          <w:rStyle w:val="Hyperlink"/>
          <w:rFonts w:asciiTheme="minorHAnsi" w:hAnsiTheme="minorHAnsi" w:cstheme="minorHAnsi"/>
          <w:sz w:val="18"/>
          <w:szCs w:val="18"/>
        </w:rPr>
      </w:pPr>
      <w:r w:rsidRPr="009E6F27">
        <w:rPr>
          <w:rStyle w:val="FootnoteReference"/>
          <w:rFonts w:eastAsiaTheme="minorEastAsia" w:cstheme="minorHAnsi"/>
          <w:sz w:val="18"/>
          <w:szCs w:val="18"/>
        </w:rPr>
        <w:footnoteRef/>
      </w:r>
      <w:r w:rsidRPr="009E6F27">
        <w:rPr>
          <w:sz w:val="18"/>
          <w:szCs w:val="18"/>
        </w:rPr>
        <w:t xml:space="preserve"> </w:t>
      </w:r>
      <w:hyperlink r:id="rId2" w:history="1">
        <w:r w:rsidRPr="009E6F27">
          <w:rPr>
            <w:rStyle w:val="Hyperlink"/>
            <w:rFonts w:asciiTheme="minorHAnsi" w:hAnsiTheme="minorHAnsi" w:cstheme="minorHAnsi"/>
            <w:sz w:val="18"/>
            <w:szCs w:val="18"/>
          </w:rPr>
          <w:t>https://www.franchise-ed.org.au/franchising/2016-survey-shows-franchising-on-the-rise-in-australia/</w:t>
        </w:r>
      </w:hyperlink>
    </w:p>
    <w:p w14:paraId="38A7C4EB" w14:textId="2BE8F99A" w:rsidR="001E0080" w:rsidRPr="00150914" w:rsidRDefault="001E0080" w:rsidP="009E6F27">
      <w:pPr>
        <w:pStyle w:val="FootnoteText"/>
        <w:spacing w:before="0" w:line="240" w:lineRule="auto"/>
        <w:rPr>
          <w:color w:val="000000" w:themeColor="text1"/>
        </w:rPr>
      </w:pPr>
      <w:r w:rsidRPr="00150914">
        <w:rPr>
          <w:rStyle w:val="Hyperlink"/>
          <w:rFonts w:asciiTheme="minorHAnsi" w:hAnsiTheme="minorHAnsi" w:cstheme="minorHAnsi"/>
          <w:color w:val="000000" w:themeColor="text1"/>
          <w:sz w:val="18"/>
          <w:szCs w:val="18"/>
          <w:u w:val="none"/>
        </w:rPr>
        <w:t xml:space="preserve">Within this sector, the FWO has designated ‘fast food, restaurants and </w:t>
      </w:r>
      <w:proofErr w:type="spellStart"/>
      <w:r>
        <w:rPr>
          <w:rStyle w:val="Hyperlink"/>
          <w:rFonts w:asciiTheme="minorHAnsi" w:hAnsiTheme="minorHAnsi" w:cstheme="minorHAnsi"/>
          <w:color w:val="000000" w:themeColor="text1"/>
          <w:sz w:val="18"/>
          <w:szCs w:val="18"/>
          <w:u w:val="none"/>
        </w:rPr>
        <w:t>cafés’</w:t>
      </w:r>
      <w:proofErr w:type="spellEnd"/>
      <w:r w:rsidRPr="00150914">
        <w:rPr>
          <w:rStyle w:val="Hyperlink"/>
          <w:rFonts w:asciiTheme="minorHAnsi" w:hAnsiTheme="minorHAnsi" w:cstheme="minorHAnsi"/>
          <w:color w:val="000000" w:themeColor="text1"/>
          <w:sz w:val="18"/>
          <w:szCs w:val="18"/>
          <w:u w:val="none"/>
        </w:rPr>
        <w:t xml:space="preserve"> an agency priority due to the high non-compliance levels and vulnerable workforce (young and migrant).</w:t>
      </w:r>
    </w:p>
  </w:footnote>
  <w:footnote w:id="4">
    <w:p w14:paraId="27FCD9C5" w14:textId="39CB4CD3" w:rsidR="001E0080" w:rsidRDefault="001E0080" w:rsidP="00C21516">
      <w:pPr>
        <w:pStyle w:val="FootnoteText"/>
        <w:spacing w:before="0" w:line="240" w:lineRule="auto"/>
      </w:pPr>
      <w:r>
        <w:rPr>
          <w:rStyle w:val="FootnoteReference"/>
        </w:rPr>
        <w:footnoteRef/>
      </w:r>
      <w:r>
        <w:t xml:space="preserve"> </w:t>
      </w:r>
      <w:hyperlink r:id="rId3" w:anchor="franchisor" w:history="1">
        <w:r w:rsidRPr="00C21516">
          <w:rPr>
            <w:rStyle w:val="Hyperlink"/>
            <w:rFonts w:asciiTheme="minorHAnsi" w:hAnsiTheme="minorHAnsi" w:cstheme="minorHAnsi"/>
            <w:sz w:val="18"/>
            <w:szCs w:val="18"/>
          </w:rPr>
          <w:t>https://www.fairwork.gov.au/about-us/our-role/enforcing-the-legislation/litigation/accessorial-franchisor-and-holding-company-liability#franchisor</w:t>
        </w:r>
      </w:hyperlink>
    </w:p>
  </w:footnote>
  <w:footnote w:id="5">
    <w:p w14:paraId="079EA966" w14:textId="157B595B" w:rsidR="001E0080" w:rsidRPr="00405356" w:rsidRDefault="001E0080" w:rsidP="002F19AC">
      <w:pPr>
        <w:pStyle w:val="FootnoteText"/>
        <w:spacing w:before="0" w:line="240" w:lineRule="auto"/>
        <w:rPr>
          <w:sz w:val="18"/>
          <w:szCs w:val="18"/>
        </w:rPr>
      </w:pPr>
      <w:r w:rsidRPr="00405356">
        <w:rPr>
          <w:rStyle w:val="FootnoteReference"/>
          <w:sz w:val="18"/>
          <w:szCs w:val="18"/>
        </w:rPr>
        <w:footnoteRef/>
      </w:r>
      <w:r w:rsidRPr="00405356">
        <w:rPr>
          <w:sz w:val="18"/>
          <w:szCs w:val="18"/>
        </w:rPr>
        <w:t xml:space="preserve"> </w:t>
      </w:r>
      <w:hyperlink r:id="rId4" w:history="1">
        <w:r w:rsidRPr="00FA5B4B">
          <w:rPr>
            <w:rStyle w:val="Hyperlink"/>
            <w:rFonts w:asciiTheme="minorHAnsi" w:hAnsiTheme="minorHAnsi" w:cstheme="minorHAnsi"/>
            <w:sz w:val="18"/>
            <w:szCs w:val="18"/>
          </w:rPr>
          <w:t>https://www.transparency.gov.au/annual-reports/fair-work-ombudsman-and-registered-organisations-commission-entity/reporting-year</w:t>
        </w:r>
      </w:hyperlink>
      <w:r w:rsidRPr="00405356">
        <w:rPr>
          <w:sz w:val="18"/>
          <w:szCs w:val="18"/>
        </w:rPr>
        <w:t xml:space="preserve"> </w:t>
      </w:r>
    </w:p>
  </w:footnote>
  <w:footnote w:id="6">
    <w:p w14:paraId="5570B2FF" w14:textId="3BB7E4B0" w:rsidR="001E0080" w:rsidRPr="00FA5B4B" w:rsidRDefault="001E0080" w:rsidP="002F19AC">
      <w:pPr>
        <w:pStyle w:val="FootnoteText"/>
        <w:spacing w:before="0" w:line="240" w:lineRule="auto"/>
        <w:rPr>
          <w:sz w:val="18"/>
          <w:szCs w:val="18"/>
        </w:rPr>
      </w:pPr>
      <w:r w:rsidRPr="002F19AC">
        <w:rPr>
          <w:rStyle w:val="FootnoteReference"/>
          <w:sz w:val="18"/>
          <w:szCs w:val="18"/>
        </w:rPr>
        <w:footnoteRef/>
      </w:r>
      <w:r w:rsidRPr="002F19AC">
        <w:rPr>
          <w:sz w:val="18"/>
          <w:szCs w:val="18"/>
        </w:rPr>
        <w:t xml:space="preserve"> This figure may rise. Legal proceedings currently before the courts involve monies not yet recovered for workers</w:t>
      </w:r>
      <w:r w:rsidRPr="00FA5B4B">
        <w:rPr>
          <w:sz w:val="18"/>
          <w:szCs w:val="18"/>
        </w:rPr>
        <w:t>.</w:t>
      </w:r>
    </w:p>
  </w:footnote>
  <w:footnote w:id="7">
    <w:p w14:paraId="103F1C40" w14:textId="69598F1D" w:rsidR="001E0080" w:rsidRDefault="001E0080" w:rsidP="00405356">
      <w:pPr>
        <w:pStyle w:val="FootnoteText"/>
        <w:spacing w:before="0" w:line="240" w:lineRule="auto"/>
      </w:pPr>
      <w:r w:rsidRPr="00405356">
        <w:rPr>
          <w:rStyle w:val="FootnoteReference"/>
          <w:sz w:val="18"/>
          <w:szCs w:val="18"/>
        </w:rPr>
        <w:footnoteRef/>
      </w:r>
      <w:r w:rsidRPr="00405356">
        <w:rPr>
          <w:sz w:val="18"/>
          <w:szCs w:val="18"/>
        </w:rPr>
        <w:t xml:space="preserve"> </w:t>
      </w:r>
      <w:hyperlink r:id="rId5" w:history="1">
        <w:r w:rsidRPr="00405356">
          <w:rPr>
            <w:rStyle w:val="Hyperlink"/>
            <w:rFonts w:asciiTheme="minorHAnsi" w:hAnsiTheme="minorHAnsi" w:cstheme="minorHAnsi"/>
            <w:sz w:val="18"/>
            <w:szCs w:val="18"/>
          </w:rPr>
          <w:t>https://www.fairwork.gov.au/about-us/news-and-media-releases/2019-media-releases/november-2019/20191121-papparich-franchisee-penalty-media-release</w:t>
        </w:r>
      </w:hyperlink>
    </w:p>
  </w:footnote>
  <w:footnote w:id="8">
    <w:p w14:paraId="51586355" w14:textId="5419D8E2" w:rsidR="001E0080" w:rsidRPr="00173579" w:rsidRDefault="001E0080" w:rsidP="00E84919">
      <w:pPr>
        <w:pStyle w:val="FootnoteText"/>
        <w:spacing w:before="0" w:line="240" w:lineRule="auto"/>
        <w:rPr>
          <w:sz w:val="18"/>
          <w:szCs w:val="18"/>
        </w:rPr>
      </w:pPr>
      <w:r w:rsidRPr="00FE5603">
        <w:rPr>
          <w:rStyle w:val="FootnoteReference"/>
        </w:rPr>
        <w:footnoteRef/>
      </w:r>
      <w:r w:rsidRPr="00FE5603">
        <w:rPr>
          <w:rStyle w:val="FootnoteReference"/>
        </w:rPr>
        <w:t xml:space="preserve"> </w:t>
      </w:r>
      <w:hyperlink r:id="rId6" w:history="1">
        <w:r w:rsidRPr="004029CB">
          <w:rPr>
            <w:rStyle w:val="Hyperlink"/>
            <w:rFonts w:asciiTheme="minorHAnsi" w:hAnsiTheme="minorHAnsi" w:cstheme="minorHAnsi"/>
            <w:sz w:val="18"/>
            <w:szCs w:val="18"/>
          </w:rPr>
          <w:t>https://www.fairwork.gov.au/about-us/news-and-media-releases/2019-media-releases/april-2019/20190403-chatime-franchisee-litigation-media-release</w:t>
        </w:r>
      </w:hyperlink>
      <w:r>
        <w:rPr>
          <w:sz w:val="18"/>
          <w:szCs w:val="18"/>
        </w:rPr>
        <w:t xml:space="preserve">  </w:t>
      </w:r>
    </w:p>
  </w:footnote>
  <w:footnote w:id="9">
    <w:p w14:paraId="789390E0" w14:textId="37451D5B" w:rsidR="001E0080" w:rsidRDefault="001E0080" w:rsidP="00E84919">
      <w:pPr>
        <w:pStyle w:val="FootnoteText"/>
        <w:spacing w:before="0" w:line="240" w:lineRule="auto"/>
      </w:pPr>
      <w:r>
        <w:rPr>
          <w:rStyle w:val="FootnoteReference"/>
          <w:rFonts w:eastAsiaTheme="majorEastAsia"/>
        </w:rPr>
        <w:footnoteRef/>
      </w:r>
      <w:r>
        <w:t xml:space="preserve"> </w:t>
      </w:r>
      <w:hyperlink r:id="rId7" w:history="1">
        <w:r w:rsidRPr="00E006B5">
          <w:rPr>
            <w:rStyle w:val="Hyperlink"/>
            <w:rFonts w:asciiTheme="minorHAnsi" w:hAnsiTheme="minorHAnsi" w:cstheme="minorHAnsi"/>
            <w:sz w:val="18"/>
            <w:szCs w:val="18"/>
          </w:rPr>
          <w:t>https://www.fairwork.gov.au/about-us/news-and-media-releases/2019-media-releases/august-2019/20190821-sushi-79-penalty-media-release</w:t>
        </w:r>
      </w:hyperlink>
      <w:r>
        <w:rPr>
          <w:sz w:val="18"/>
          <w:szCs w:val="18"/>
        </w:rPr>
        <w:t xml:space="preserve"> </w:t>
      </w:r>
    </w:p>
  </w:footnote>
  <w:footnote w:id="10">
    <w:p w14:paraId="358CF3CE" w14:textId="407ECA15" w:rsidR="00BE7386" w:rsidRDefault="00BE7386" w:rsidP="00BE7386">
      <w:pPr>
        <w:pStyle w:val="FootnoteText"/>
        <w:spacing w:before="0" w:line="240" w:lineRule="auto"/>
      </w:pPr>
      <w:r>
        <w:rPr>
          <w:rStyle w:val="FootnoteReference"/>
          <w:rFonts w:eastAsiaTheme="majorEastAsia"/>
        </w:rPr>
        <w:footnoteRef/>
      </w:r>
      <w:r>
        <w:t xml:space="preserve"> </w:t>
      </w:r>
      <w:hyperlink r:id="rId8" w:history="1">
        <w:r w:rsidRPr="00BE7386">
          <w:rPr>
            <w:rStyle w:val="Hyperlink"/>
            <w:rFonts w:asciiTheme="minorHAnsi" w:hAnsiTheme="minorHAnsi" w:cstheme="minorHAnsi"/>
            <w:sz w:val="18"/>
            <w:szCs w:val="18"/>
          </w:rPr>
          <w:t>https://www.fairwork.gov.au/about-us/news-and-media-releases/2019-media-releases/december-2019/20191218-chatime-franchisor-litigation-media-release</w:t>
        </w:r>
      </w:hyperlink>
    </w:p>
  </w:footnote>
  <w:footnote w:id="11">
    <w:p w14:paraId="3E70A3C8" w14:textId="60B456AA" w:rsidR="001E0080" w:rsidRDefault="001E0080" w:rsidP="00E84919">
      <w:pPr>
        <w:pStyle w:val="FootnoteText"/>
        <w:spacing w:before="0" w:line="240" w:lineRule="auto"/>
      </w:pPr>
      <w:r>
        <w:rPr>
          <w:rStyle w:val="FootnoteReference"/>
        </w:rPr>
        <w:footnoteRef/>
      </w:r>
      <w:r>
        <w:t xml:space="preserve"> </w:t>
      </w:r>
      <w:hyperlink r:id="rId9" w:history="1">
        <w:r w:rsidRPr="00E006B5">
          <w:rPr>
            <w:rStyle w:val="Hyperlink"/>
            <w:rFonts w:asciiTheme="minorHAnsi" w:hAnsiTheme="minorHAnsi" w:cstheme="minorHAnsi"/>
            <w:sz w:val="18"/>
            <w:szCs w:val="18"/>
          </w:rPr>
          <w:t>https://www.fairwork.gov.au/find-help-for/franchises</w:t>
        </w:r>
      </w:hyperlink>
      <w:r>
        <w:rPr>
          <w:sz w:val="18"/>
          <w:szCs w:val="18"/>
        </w:rPr>
        <w:t xml:space="preserve">  </w:t>
      </w:r>
    </w:p>
  </w:footnote>
  <w:footnote w:id="12">
    <w:p w14:paraId="6B1B1629" w14:textId="77777777" w:rsidR="001E0080" w:rsidRPr="000940A9" w:rsidRDefault="001E0080" w:rsidP="006156E5">
      <w:pPr>
        <w:pStyle w:val="FootnoteText"/>
        <w:spacing w:before="0" w:line="240" w:lineRule="auto"/>
        <w:rPr>
          <w:sz w:val="18"/>
          <w:szCs w:val="18"/>
        </w:rPr>
      </w:pPr>
      <w:r w:rsidRPr="000940A9">
        <w:rPr>
          <w:rStyle w:val="FootnoteReference"/>
          <w:rFonts w:eastAsiaTheme="majorEastAsia" w:cstheme="minorHAnsi"/>
          <w:sz w:val="18"/>
          <w:szCs w:val="18"/>
        </w:rPr>
        <w:footnoteRef/>
      </w:r>
      <w:r w:rsidRPr="000940A9">
        <w:rPr>
          <w:sz w:val="18"/>
          <w:szCs w:val="18"/>
        </w:rPr>
        <w:t xml:space="preserve"> </w:t>
      </w:r>
      <w:hyperlink r:id="rId10" w:history="1">
        <w:r w:rsidRPr="000940A9">
          <w:rPr>
            <w:rStyle w:val="Hyperlink"/>
            <w:rFonts w:asciiTheme="minorHAnsi" w:hAnsiTheme="minorHAnsi" w:cstheme="minorHAnsi"/>
            <w:sz w:val="18"/>
            <w:szCs w:val="18"/>
          </w:rPr>
          <w:t>https://www.fairwork.gov.au/find-help-for/franchises</w:t>
        </w:r>
      </w:hyperlink>
    </w:p>
  </w:footnote>
  <w:footnote w:id="13">
    <w:p w14:paraId="092E12C4" w14:textId="77777777" w:rsidR="001E0080" w:rsidRPr="002F19AC" w:rsidRDefault="001E0080" w:rsidP="006156E5">
      <w:pPr>
        <w:pStyle w:val="FootnoteText"/>
        <w:spacing w:before="0" w:line="240" w:lineRule="auto"/>
        <w:rPr>
          <w:sz w:val="18"/>
          <w:szCs w:val="18"/>
        </w:rPr>
      </w:pPr>
      <w:r w:rsidRPr="000940A9">
        <w:rPr>
          <w:rStyle w:val="FootnoteReference"/>
          <w:rFonts w:eastAsiaTheme="majorEastAsia" w:cstheme="minorHAnsi"/>
          <w:sz w:val="18"/>
          <w:szCs w:val="18"/>
        </w:rPr>
        <w:footnoteRef/>
      </w:r>
      <w:r w:rsidRPr="000940A9">
        <w:rPr>
          <w:sz w:val="18"/>
          <w:szCs w:val="18"/>
        </w:rPr>
        <w:t xml:space="preserve"> </w:t>
      </w:r>
      <w:hyperlink r:id="rId11" w:history="1">
        <w:r w:rsidRPr="002F19AC">
          <w:rPr>
            <w:rStyle w:val="Hyperlink"/>
            <w:rFonts w:asciiTheme="minorHAnsi" w:hAnsiTheme="minorHAnsi" w:cstheme="minorHAnsi"/>
            <w:sz w:val="18"/>
            <w:szCs w:val="18"/>
          </w:rPr>
          <w:t>https://calculate.fairwork.gov.au/</w:t>
        </w:r>
      </w:hyperlink>
      <w:r w:rsidRPr="002F19AC">
        <w:rPr>
          <w:sz w:val="18"/>
          <w:szCs w:val="18"/>
        </w:rPr>
        <w:t xml:space="preserve"> </w:t>
      </w:r>
    </w:p>
  </w:footnote>
  <w:footnote w:id="14">
    <w:p w14:paraId="4792A406" w14:textId="77777777" w:rsidR="001E0080" w:rsidRPr="002F19AC" w:rsidRDefault="001E0080" w:rsidP="006156E5">
      <w:pPr>
        <w:pStyle w:val="FootnoteText"/>
        <w:spacing w:before="0" w:line="240" w:lineRule="auto"/>
        <w:rPr>
          <w:sz w:val="18"/>
          <w:szCs w:val="18"/>
        </w:rPr>
      </w:pPr>
      <w:r w:rsidRPr="002F19AC">
        <w:rPr>
          <w:rStyle w:val="FootnoteReference"/>
          <w:rFonts w:eastAsiaTheme="majorEastAsia" w:cstheme="minorHAnsi"/>
          <w:sz w:val="18"/>
          <w:szCs w:val="18"/>
        </w:rPr>
        <w:footnoteRef/>
      </w:r>
      <w:r w:rsidRPr="002F19AC">
        <w:rPr>
          <w:sz w:val="18"/>
          <w:szCs w:val="18"/>
        </w:rPr>
        <w:t xml:space="preserve"> </w:t>
      </w:r>
      <w:hyperlink r:id="rId12" w:history="1">
        <w:r w:rsidRPr="002F19AC">
          <w:rPr>
            <w:rStyle w:val="Hyperlink"/>
            <w:rFonts w:asciiTheme="minorHAnsi" w:hAnsiTheme="minorHAnsi" w:cstheme="minorHAnsi"/>
            <w:sz w:val="18"/>
            <w:szCs w:val="18"/>
          </w:rPr>
          <w:t>https://www.fairwork.gov.au/my-account/registerpage.aspx</w:t>
        </w:r>
      </w:hyperlink>
      <w:r w:rsidRPr="002F19AC">
        <w:rPr>
          <w:sz w:val="18"/>
          <w:szCs w:val="18"/>
        </w:rPr>
        <w:t xml:space="preserve"> </w:t>
      </w:r>
    </w:p>
  </w:footnote>
  <w:footnote w:id="15">
    <w:p w14:paraId="5FAB4435" w14:textId="77777777" w:rsidR="001E0080" w:rsidRPr="002F19AC" w:rsidRDefault="001E0080" w:rsidP="006156E5">
      <w:pPr>
        <w:pStyle w:val="FootnoteText"/>
        <w:spacing w:before="0" w:line="240" w:lineRule="auto"/>
        <w:rPr>
          <w:sz w:val="18"/>
          <w:szCs w:val="18"/>
        </w:rPr>
      </w:pPr>
      <w:r w:rsidRPr="002F19AC">
        <w:rPr>
          <w:rStyle w:val="FootnoteReference"/>
          <w:rFonts w:eastAsiaTheme="majorEastAsia" w:cstheme="minorHAnsi"/>
          <w:sz w:val="18"/>
          <w:szCs w:val="18"/>
        </w:rPr>
        <w:footnoteRef/>
      </w:r>
      <w:r w:rsidRPr="002F19AC">
        <w:rPr>
          <w:sz w:val="18"/>
          <w:szCs w:val="18"/>
        </w:rPr>
        <w:t xml:space="preserve"> </w:t>
      </w:r>
      <w:hyperlink r:id="rId13" w:history="1">
        <w:r w:rsidRPr="002F19AC">
          <w:rPr>
            <w:rStyle w:val="Hyperlink"/>
            <w:rFonts w:asciiTheme="minorHAnsi" w:hAnsiTheme="minorHAnsi" w:cstheme="minorHAnsi"/>
            <w:sz w:val="18"/>
            <w:szCs w:val="18"/>
          </w:rPr>
          <w:t>https://www.fairwork.gov.au/how-we-will-help/online-training/online-learning-centre</w:t>
        </w:r>
      </w:hyperlink>
      <w:r w:rsidRPr="002F19AC">
        <w:rPr>
          <w:sz w:val="18"/>
          <w:szCs w:val="18"/>
        </w:rPr>
        <w:t xml:space="preserve"> </w:t>
      </w:r>
    </w:p>
  </w:footnote>
  <w:footnote w:id="16">
    <w:p w14:paraId="486490C7" w14:textId="77777777" w:rsidR="001E0080" w:rsidRDefault="001E0080" w:rsidP="006156E5">
      <w:pPr>
        <w:pStyle w:val="FootnoteText"/>
        <w:spacing w:before="0" w:line="240" w:lineRule="auto"/>
      </w:pPr>
      <w:r w:rsidRPr="000940A9">
        <w:rPr>
          <w:rStyle w:val="FootnoteReference"/>
          <w:rFonts w:eastAsiaTheme="majorEastAsia" w:cstheme="minorHAnsi"/>
          <w:sz w:val="18"/>
          <w:szCs w:val="18"/>
        </w:rPr>
        <w:footnoteRef/>
      </w:r>
      <w:r w:rsidRPr="000940A9">
        <w:rPr>
          <w:sz w:val="18"/>
          <w:szCs w:val="18"/>
        </w:rPr>
        <w:t xml:space="preserve"> </w:t>
      </w:r>
      <w:hyperlink r:id="rId14" w:history="1">
        <w:r w:rsidRPr="000940A9">
          <w:rPr>
            <w:rStyle w:val="Hyperlink"/>
            <w:rFonts w:asciiTheme="minorHAnsi" w:hAnsiTheme="minorHAnsi" w:cstheme="minorHAnsi"/>
            <w:sz w:val="18"/>
            <w:szCs w:val="18"/>
          </w:rPr>
          <w:t>https://www.fairwork.gov.au/small-business-showcase</w:t>
        </w:r>
      </w:hyperlink>
      <w:r>
        <w:rPr>
          <w:sz w:val="18"/>
        </w:rPr>
        <w:t xml:space="preserve"> </w:t>
      </w:r>
    </w:p>
  </w:footnote>
  <w:footnote w:id="17">
    <w:p w14:paraId="2FEBE5E0" w14:textId="34D30C86" w:rsidR="001E0080" w:rsidRDefault="001E0080" w:rsidP="00856A96">
      <w:pPr>
        <w:spacing w:before="0" w:line="240" w:lineRule="auto"/>
      </w:pPr>
      <w:r>
        <w:rPr>
          <w:rStyle w:val="FootnoteReference"/>
        </w:rPr>
        <w:footnoteRef/>
      </w:r>
      <w:r w:rsidRPr="00F362A2">
        <w:rPr>
          <w:sz w:val="18"/>
          <w:szCs w:val="18"/>
        </w:rPr>
        <w:t xml:space="preserve"> </w:t>
      </w:r>
      <w:r w:rsidRPr="00856A96">
        <w:rPr>
          <w:sz w:val="18"/>
          <w:szCs w:val="18"/>
        </w:rPr>
        <w:t xml:space="preserve">$146, 372 is subject to legal action: </w:t>
      </w:r>
      <w:hyperlink r:id="rId15" w:history="1">
        <w:r w:rsidRPr="00856A96">
          <w:rPr>
            <w:rStyle w:val="Hyperlink"/>
            <w:rFonts w:asciiTheme="minorHAnsi" w:hAnsiTheme="minorHAnsi" w:cstheme="minorHAnsi"/>
            <w:sz w:val="18"/>
            <w:szCs w:val="18"/>
          </w:rPr>
          <w:t>https://www.fairwork.gov.au/about-us/news-and-media-releases/2019-media-releases/april-2019/20190403-chatime-franchisee-litigation-media-release</w:t>
        </w:r>
      </w:hyperlink>
      <w:r w:rsidRPr="00856A96">
        <w:rPr>
          <w:color w:val="1F497D"/>
          <w:sz w:val="18"/>
          <w:szCs w:val="18"/>
        </w:rPr>
        <w:t xml:space="preserve">; </w:t>
      </w:r>
      <w:r w:rsidRPr="00856A96">
        <w:rPr>
          <w:sz w:val="18"/>
          <w:szCs w:val="18"/>
        </w:rPr>
        <w:t xml:space="preserve">$169,320 is subject to legal action: </w:t>
      </w:r>
      <w:hyperlink r:id="rId16" w:history="1">
        <w:r w:rsidR="008C2FD6" w:rsidRPr="006B1E6C">
          <w:rPr>
            <w:rStyle w:val="Hyperlink"/>
            <w:rFonts w:asciiTheme="minorHAnsi" w:hAnsiTheme="minorHAnsi" w:cstheme="minorHAnsi"/>
            <w:sz w:val="18"/>
            <w:szCs w:val="18"/>
          </w:rPr>
          <w:t>https://www.fairwork.gov.au/about-us/news-and-media-releases/2019-media-releases/december-2019/20191218-chatime-franchisor-litigation-media-release</w:t>
        </w:r>
      </w:hyperlink>
      <w:r w:rsidR="008C2FD6">
        <w:rPr>
          <w:sz w:val="18"/>
          <w:szCs w:val="18"/>
        </w:rPr>
        <w:t xml:space="preserve"> </w:t>
      </w:r>
      <w:bookmarkStart w:id="2" w:name="_GoBack"/>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B09AC" w14:textId="77777777" w:rsidR="001E0080" w:rsidRDefault="001E0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9347E" w14:textId="277C5289" w:rsidR="001E0080" w:rsidRDefault="001E0080" w:rsidP="00567228">
    <w:pPr>
      <w:pStyle w:val="Header"/>
      <w:tabs>
        <w:tab w:val="center" w:pos="4680"/>
        <w:tab w:val="left" w:pos="6015"/>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F0148" w14:textId="77777777" w:rsidR="001E0080" w:rsidRDefault="001E0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1E0"/>
    <w:multiLevelType w:val="hybridMultilevel"/>
    <w:tmpl w:val="EB8E6AEE"/>
    <w:lvl w:ilvl="0" w:tplc="27AE83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874EA2"/>
    <w:multiLevelType w:val="hybridMultilevel"/>
    <w:tmpl w:val="809C764E"/>
    <w:lvl w:ilvl="0" w:tplc="21E48756">
      <w:start w:val="1"/>
      <w:numFmt w:val="bullet"/>
      <w:lvlText w:val=""/>
      <w:lvlJc w:val="left"/>
      <w:pPr>
        <w:ind w:left="36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D7D5F"/>
    <w:multiLevelType w:val="hybridMultilevel"/>
    <w:tmpl w:val="7916CAFC"/>
    <w:lvl w:ilvl="0" w:tplc="523A12A6">
      <w:start w:val="1"/>
      <w:numFmt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232309"/>
    <w:multiLevelType w:val="hybridMultilevel"/>
    <w:tmpl w:val="F7CE2C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C01C7D"/>
    <w:multiLevelType w:val="hybridMultilevel"/>
    <w:tmpl w:val="A7EC79D0"/>
    <w:lvl w:ilvl="0" w:tplc="950EC9FE">
      <w:start w:val="1"/>
      <w:numFmt w:val="bullet"/>
      <w:pStyle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BB1CB3"/>
    <w:multiLevelType w:val="hybridMultilevel"/>
    <w:tmpl w:val="4E2EB1F8"/>
    <w:lvl w:ilvl="0" w:tplc="67768C30">
      <w:start w:val="1"/>
      <w:numFmt w:val="bullet"/>
      <w:lvlText w:val=""/>
      <w:lvlJc w:val="left"/>
      <w:pPr>
        <w:ind w:left="720" w:hanging="360"/>
      </w:pPr>
      <w:rPr>
        <w:rFonts w:ascii="Wingdings" w:hAnsi="Wingdings" w:hint="default"/>
        <w:color w:val="26374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B950743"/>
    <w:multiLevelType w:val="hybridMultilevel"/>
    <w:tmpl w:val="8C76F9A4"/>
    <w:lvl w:ilvl="0" w:tplc="8DE61D54">
      <w:start w:val="1"/>
      <w:numFmt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5356C2"/>
    <w:multiLevelType w:val="multilevel"/>
    <w:tmpl w:val="29D8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997A98"/>
    <w:multiLevelType w:val="hybridMultilevel"/>
    <w:tmpl w:val="FDD22CCC"/>
    <w:lvl w:ilvl="0" w:tplc="67768C30">
      <w:start w:val="1"/>
      <w:numFmt w:val="bullet"/>
      <w:lvlText w:val=""/>
      <w:lvlJc w:val="left"/>
      <w:pPr>
        <w:ind w:left="720" w:hanging="360"/>
      </w:pPr>
      <w:rPr>
        <w:rFonts w:ascii="Wingdings" w:hAnsi="Wingdings" w:hint="default"/>
        <w:color w:val="26374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753364"/>
    <w:multiLevelType w:val="hybridMultilevel"/>
    <w:tmpl w:val="918E68B8"/>
    <w:lvl w:ilvl="0" w:tplc="67768C30">
      <w:start w:val="1"/>
      <w:numFmt w:val="bullet"/>
      <w:lvlText w:val=""/>
      <w:lvlJc w:val="left"/>
      <w:pPr>
        <w:ind w:left="720" w:hanging="360"/>
      </w:pPr>
      <w:rPr>
        <w:rFonts w:ascii="Wingdings" w:hAnsi="Wingdings" w:hint="default"/>
        <w:color w:val="26374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BBC04E2"/>
    <w:multiLevelType w:val="hybridMultilevel"/>
    <w:tmpl w:val="B9B6EFC6"/>
    <w:lvl w:ilvl="0" w:tplc="13AC353C">
      <w:start w:val="1"/>
      <w:numFmt w:val="bullet"/>
      <w:lvlText w:val=""/>
      <w:lvlJc w:val="left"/>
      <w:pPr>
        <w:ind w:left="720" w:hanging="360"/>
      </w:pPr>
      <w:rPr>
        <w:rFonts w:ascii="Wingdings" w:hAnsi="Wingdings" w:hint="default"/>
        <w:color w:val="2637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71399"/>
    <w:multiLevelType w:val="hybridMultilevel"/>
    <w:tmpl w:val="A5B46F2E"/>
    <w:lvl w:ilvl="0" w:tplc="FAA4FD28">
      <w:start w:val="1"/>
      <w:numFmt w:val="bullet"/>
      <w:lvlText w:val=""/>
      <w:lvlJc w:val="left"/>
      <w:pPr>
        <w:ind w:left="720" w:hanging="360"/>
      </w:pPr>
      <w:rPr>
        <w:rFonts w:ascii="Wingdings" w:hAnsi="Wingdings" w:hint="default"/>
        <w:color w:val="263746"/>
      </w:rPr>
    </w:lvl>
    <w:lvl w:ilvl="1" w:tplc="27C41138">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1B11BE6"/>
    <w:multiLevelType w:val="hybridMultilevel"/>
    <w:tmpl w:val="1188C9C8"/>
    <w:lvl w:ilvl="0" w:tplc="67768C30">
      <w:start w:val="1"/>
      <w:numFmt w:val="bullet"/>
      <w:lvlText w:val=""/>
      <w:lvlJc w:val="left"/>
      <w:pPr>
        <w:ind w:left="720" w:hanging="360"/>
      </w:pPr>
      <w:rPr>
        <w:rFonts w:ascii="Wingdings" w:hAnsi="Wingdings" w:hint="default"/>
        <w:color w:val="26374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4415643"/>
    <w:multiLevelType w:val="hybridMultilevel"/>
    <w:tmpl w:val="4014AFAC"/>
    <w:lvl w:ilvl="0" w:tplc="67768C30">
      <w:start w:val="1"/>
      <w:numFmt w:val="bullet"/>
      <w:lvlText w:val=""/>
      <w:lvlJc w:val="left"/>
      <w:pPr>
        <w:ind w:left="720" w:hanging="360"/>
      </w:pPr>
      <w:rPr>
        <w:rFonts w:ascii="Wingdings" w:hAnsi="Wingdings" w:hint="default"/>
        <w:color w:val="2637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C9120D"/>
    <w:multiLevelType w:val="hybridMultilevel"/>
    <w:tmpl w:val="41FA65FE"/>
    <w:lvl w:ilvl="0" w:tplc="67768C30">
      <w:start w:val="1"/>
      <w:numFmt w:val="bullet"/>
      <w:lvlText w:val=""/>
      <w:lvlJc w:val="left"/>
      <w:pPr>
        <w:ind w:left="720" w:hanging="360"/>
      </w:pPr>
      <w:rPr>
        <w:rFonts w:ascii="Wingdings" w:hAnsi="Wingdings" w:hint="default"/>
        <w:color w:val="26374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7F848B1"/>
    <w:multiLevelType w:val="hybridMultilevel"/>
    <w:tmpl w:val="FB0CBDE8"/>
    <w:lvl w:ilvl="0" w:tplc="67768C30">
      <w:start w:val="1"/>
      <w:numFmt w:val="bullet"/>
      <w:lvlText w:val=""/>
      <w:lvlJc w:val="left"/>
      <w:pPr>
        <w:ind w:left="720" w:hanging="360"/>
      </w:pPr>
      <w:rPr>
        <w:rFonts w:ascii="Wingdings" w:hAnsi="Wingdings" w:hint="default"/>
        <w:color w:val="26374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D7A1616"/>
    <w:multiLevelType w:val="hybridMultilevel"/>
    <w:tmpl w:val="009840C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6"/>
  </w:num>
  <w:num w:numId="3">
    <w:abstractNumId w:val="1"/>
  </w:num>
  <w:num w:numId="4">
    <w:abstractNumId w:val="2"/>
  </w:num>
  <w:num w:numId="5">
    <w:abstractNumId w:val="2"/>
    <w:lvlOverride w:ilvl="0">
      <w:startOverride w:val="1"/>
    </w:lvlOverride>
  </w:num>
  <w:num w:numId="6">
    <w:abstractNumId w:val="15"/>
  </w:num>
  <w:num w:numId="7">
    <w:abstractNumId w:val="9"/>
  </w:num>
  <w:num w:numId="8">
    <w:abstractNumId w:val="14"/>
  </w:num>
  <w:num w:numId="9">
    <w:abstractNumId w:val="12"/>
  </w:num>
  <w:num w:numId="10">
    <w:abstractNumId w:val="5"/>
  </w:num>
  <w:num w:numId="11">
    <w:abstractNumId w:val="11"/>
  </w:num>
  <w:num w:numId="12">
    <w:abstractNumId w:val="3"/>
  </w:num>
  <w:num w:numId="13">
    <w:abstractNumId w:val="7"/>
  </w:num>
  <w:num w:numId="14">
    <w:abstractNumId w:val="13"/>
  </w:num>
  <w:num w:numId="15">
    <w:abstractNumId w:val="10"/>
  </w:num>
  <w:num w:numId="16">
    <w:abstractNumId w:val="16"/>
  </w:num>
  <w:num w:numId="17">
    <w:abstractNumId w:val="8"/>
  </w:num>
  <w:num w:numId="18">
    <w:abstractNumId w:val="4"/>
  </w:num>
  <w:num w:numId="19">
    <w:abstractNumId w:val="4"/>
  </w:num>
  <w:num w:numId="20">
    <w:abstractNumId w:val="4"/>
  </w:num>
  <w:num w:numId="21">
    <w:abstractNumId w:val="4"/>
  </w:num>
  <w:num w:numId="22">
    <w:abstractNumId w:val="4"/>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CA5"/>
    <w:rsid w:val="0000064B"/>
    <w:rsid w:val="00001667"/>
    <w:rsid w:val="00011400"/>
    <w:rsid w:val="00012BCB"/>
    <w:rsid w:val="00017BF1"/>
    <w:rsid w:val="0002091D"/>
    <w:rsid w:val="00025234"/>
    <w:rsid w:val="00036AEF"/>
    <w:rsid w:val="00062F31"/>
    <w:rsid w:val="00065200"/>
    <w:rsid w:val="000850B3"/>
    <w:rsid w:val="00093049"/>
    <w:rsid w:val="000940A9"/>
    <w:rsid w:val="00095EF4"/>
    <w:rsid w:val="00095F08"/>
    <w:rsid w:val="0009626F"/>
    <w:rsid w:val="00096D10"/>
    <w:rsid w:val="000B0511"/>
    <w:rsid w:val="000C32EB"/>
    <w:rsid w:val="000D098A"/>
    <w:rsid w:val="000D46B8"/>
    <w:rsid w:val="000F62B6"/>
    <w:rsid w:val="00104EFD"/>
    <w:rsid w:val="00105A61"/>
    <w:rsid w:val="001066B0"/>
    <w:rsid w:val="00111326"/>
    <w:rsid w:val="00113FD1"/>
    <w:rsid w:val="00120EBD"/>
    <w:rsid w:val="00147BC9"/>
    <w:rsid w:val="00150914"/>
    <w:rsid w:val="00154AD9"/>
    <w:rsid w:val="00163D3D"/>
    <w:rsid w:val="00167E3F"/>
    <w:rsid w:val="00167ED3"/>
    <w:rsid w:val="00173579"/>
    <w:rsid w:val="00174429"/>
    <w:rsid w:val="0017793C"/>
    <w:rsid w:val="00180444"/>
    <w:rsid w:val="001966B8"/>
    <w:rsid w:val="001A0B49"/>
    <w:rsid w:val="001D2DF2"/>
    <w:rsid w:val="001D6F54"/>
    <w:rsid w:val="001E0080"/>
    <w:rsid w:val="001F0D2F"/>
    <w:rsid w:val="00211953"/>
    <w:rsid w:val="00212B8C"/>
    <w:rsid w:val="00220FF3"/>
    <w:rsid w:val="00230921"/>
    <w:rsid w:val="00232359"/>
    <w:rsid w:val="00232CA4"/>
    <w:rsid w:val="0023321A"/>
    <w:rsid w:val="00250D41"/>
    <w:rsid w:val="002516C6"/>
    <w:rsid w:val="0026009C"/>
    <w:rsid w:val="00261C68"/>
    <w:rsid w:val="002626E8"/>
    <w:rsid w:val="002659F7"/>
    <w:rsid w:val="002666D5"/>
    <w:rsid w:val="0026797B"/>
    <w:rsid w:val="00277D14"/>
    <w:rsid w:val="0028264B"/>
    <w:rsid w:val="002A65CC"/>
    <w:rsid w:val="002B4A7C"/>
    <w:rsid w:val="002C6C86"/>
    <w:rsid w:val="002D5F4D"/>
    <w:rsid w:val="002E28E8"/>
    <w:rsid w:val="002E78A5"/>
    <w:rsid w:val="002E7C08"/>
    <w:rsid w:val="002F19AC"/>
    <w:rsid w:val="00311C42"/>
    <w:rsid w:val="00321FD1"/>
    <w:rsid w:val="0036045C"/>
    <w:rsid w:val="00360EC4"/>
    <w:rsid w:val="003700D8"/>
    <w:rsid w:val="00382636"/>
    <w:rsid w:val="003827AD"/>
    <w:rsid w:val="00387B91"/>
    <w:rsid w:val="00395C8F"/>
    <w:rsid w:val="003B1701"/>
    <w:rsid w:val="003B5DF4"/>
    <w:rsid w:val="003C791F"/>
    <w:rsid w:val="003D250A"/>
    <w:rsid w:val="003D3891"/>
    <w:rsid w:val="003E3F23"/>
    <w:rsid w:val="0040063A"/>
    <w:rsid w:val="00403F27"/>
    <w:rsid w:val="00405356"/>
    <w:rsid w:val="0040709E"/>
    <w:rsid w:val="00407595"/>
    <w:rsid w:val="00414BDD"/>
    <w:rsid w:val="004161A3"/>
    <w:rsid w:val="00435704"/>
    <w:rsid w:val="0043770E"/>
    <w:rsid w:val="0045023A"/>
    <w:rsid w:val="00454D23"/>
    <w:rsid w:val="00463AD4"/>
    <w:rsid w:val="00465E7E"/>
    <w:rsid w:val="00473AC6"/>
    <w:rsid w:val="0047648F"/>
    <w:rsid w:val="00483507"/>
    <w:rsid w:val="00486F77"/>
    <w:rsid w:val="004874D2"/>
    <w:rsid w:val="00490E64"/>
    <w:rsid w:val="004A6E44"/>
    <w:rsid w:val="004C7C53"/>
    <w:rsid w:val="004D1FBB"/>
    <w:rsid w:val="004D2569"/>
    <w:rsid w:val="004D26C5"/>
    <w:rsid w:val="004F0779"/>
    <w:rsid w:val="00507D04"/>
    <w:rsid w:val="00520548"/>
    <w:rsid w:val="005261A5"/>
    <w:rsid w:val="005264A4"/>
    <w:rsid w:val="005434E7"/>
    <w:rsid w:val="00544C1C"/>
    <w:rsid w:val="00566073"/>
    <w:rsid w:val="00567228"/>
    <w:rsid w:val="00587300"/>
    <w:rsid w:val="00592239"/>
    <w:rsid w:val="00594AD6"/>
    <w:rsid w:val="00594CC1"/>
    <w:rsid w:val="005B3A3B"/>
    <w:rsid w:val="005B451A"/>
    <w:rsid w:val="005B6095"/>
    <w:rsid w:val="005C255E"/>
    <w:rsid w:val="005D4D88"/>
    <w:rsid w:val="005D7C33"/>
    <w:rsid w:val="005E035F"/>
    <w:rsid w:val="005E425E"/>
    <w:rsid w:val="005F360A"/>
    <w:rsid w:val="005F6CE7"/>
    <w:rsid w:val="00602977"/>
    <w:rsid w:val="006156E5"/>
    <w:rsid w:val="0061619E"/>
    <w:rsid w:val="006219E8"/>
    <w:rsid w:val="006361E5"/>
    <w:rsid w:val="00647AD9"/>
    <w:rsid w:val="00665DE8"/>
    <w:rsid w:val="00672C5B"/>
    <w:rsid w:val="00687F1A"/>
    <w:rsid w:val="00694DD9"/>
    <w:rsid w:val="006A6CBB"/>
    <w:rsid w:val="006B5719"/>
    <w:rsid w:val="006C67A8"/>
    <w:rsid w:val="006D0C36"/>
    <w:rsid w:val="006D11AB"/>
    <w:rsid w:val="006F5932"/>
    <w:rsid w:val="006F5D22"/>
    <w:rsid w:val="00702D5F"/>
    <w:rsid w:val="00703886"/>
    <w:rsid w:val="00727206"/>
    <w:rsid w:val="0073081D"/>
    <w:rsid w:val="0073351A"/>
    <w:rsid w:val="007352AD"/>
    <w:rsid w:val="007364EB"/>
    <w:rsid w:val="00774D20"/>
    <w:rsid w:val="00786489"/>
    <w:rsid w:val="00786E3C"/>
    <w:rsid w:val="00790878"/>
    <w:rsid w:val="007A1E2A"/>
    <w:rsid w:val="007A6811"/>
    <w:rsid w:val="007A7994"/>
    <w:rsid w:val="007B0EC9"/>
    <w:rsid w:val="007B6AC8"/>
    <w:rsid w:val="007D19A1"/>
    <w:rsid w:val="007E32AF"/>
    <w:rsid w:val="007E5FAD"/>
    <w:rsid w:val="007E6E94"/>
    <w:rsid w:val="00803A9A"/>
    <w:rsid w:val="0083018F"/>
    <w:rsid w:val="00837B9B"/>
    <w:rsid w:val="00840520"/>
    <w:rsid w:val="008418F2"/>
    <w:rsid w:val="00843421"/>
    <w:rsid w:val="00856542"/>
    <w:rsid w:val="00856A96"/>
    <w:rsid w:val="00870868"/>
    <w:rsid w:val="00871A13"/>
    <w:rsid w:val="00877D35"/>
    <w:rsid w:val="00881DF4"/>
    <w:rsid w:val="00895DEF"/>
    <w:rsid w:val="008A516D"/>
    <w:rsid w:val="008B0919"/>
    <w:rsid w:val="008C2FD6"/>
    <w:rsid w:val="008D0D22"/>
    <w:rsid w:val="008D1427"/>
    <w:rsid w:val="008D37AE"/>
    <w:rsid w:val="008E3D1B"/>
    <w:rsid w:val="008E479D"/>
    <w:rsid w:val="008E588D"/>
    <w:rsid w:val="008E6ED5"/>
    <w:rsid w:val="008F1E4C"/>
    <w:rsid w:val="00910C37"/>
    <w:rsid w:val="0093560D"/>
    <w:rsid w:val="009470A4"/>
    <w:rsid w:val="0095027E"/>
    <w:rsid w:val="00954A50"/>
    <w:rsid w:val="009636FE"/>
    <w:rsid w:val="00965408"/>
    <w:rsid w:val="0097168C"/>
    <w:rsid w:val="009726B2"/>
    <w:rsid w:val="0097303D"/>
    <w:rsid w:val="00975EB8"/>
    <w:rsid w:val="00980CA5"/>
    <w:rsid w:val="00985A78"/>
    <w:rsid w:val="00993192"/>
    <w:rsid w:val="009946F6"/>
    <w:rsid w:val="00995EBE"/>
    <w:rsid w:val="009A4DBB"/>
    <w:rsid w:val="009C210F"/>
    <w:rsid w:val="009C39C0"/>
    <w:rsid w:val="009E6F27"/>
    <w:rsid w:val="009E727B"/>
    <w:rsid w:val="00A03CDD"/>
    <w:rsid w:val="00A16FA1"/>
    <w:rsid w:val="00A1794F"/>
    <w:rsid w:val="00A17CF1"/>
    <w:rsid w:val="00A21E8E"/>
    <w:rsid w:val="00A23BF0"/>
    <w:rsid w:val="00A25A80"/>
    <w:rsid w:val="00A267BA"/>
    <w:rsid w:val="00A26E8F"/>
    <w:rsid w:val="00A443C5"/>
    <w:rsid w:val="00A709DE"/>
    <w:rsid w:val="00A841DA"/>
    <w:rsid w:val="00A877F3"/>
    <w:rsid w:val="00A94685"/>
    <w:rsid w:val="00A97F48"/>
    <w:rsid w:val="00AA0244"/>
    <w:rsid w:val="00AA1953"/>
    <w:rsid w:val="00AA3A54"/>
    <w:rsid w:val="00AB0A70"/>
    <w:rsid w:val="00AB465A"/>
    <w:rsid w:val="00AB5511"/>
    <w:rsid w:val="00AB678A"/>
    <w:rsid w:val="00AC7FEC"/>
    <w:rsid w:val="00AF5C01"/>
    <w:rsid w:val="00AF74D9"/>
    <w:rsid w:val="00AF7ADF"/>
    <w:rsid w:val="00B02B68"/>
    <w:rsid w:val="00B0662F"/>
    <w:rsid w:val="00B2574A"/>
    <w:rsid w:val="00B33C08"/>
    <w:rsid w:val="00B478AD"/>
    <w:rsid w:val="00B56B44"/>
    <w:rsid w:val="00B56C5A"/>
    <w:rsid w:val="00B65795"/>
    <w:rsid w:val="00B71BE0"/>
    <w:rsid w:val="00B7606C"/>
    <w:rsid w:val="00B77DEC"/>
    <w:rsid w:val="00B8233B"/>
    <w:rsid w:val="00BA5269"/>
    <w:rsid w:val="00BB0DFF"/>
    <w:rsid w:val="00BB53D7"/>
    <w:rsid w:val="00BC0303"/>
    <w:rsid w:val="00BD0EB3"/>
    <w:rsid w:val="00BD154B"/>
    <w:rsid w:val="00BE1468"/>
    <w:rsid w:val="00BE4C8F"/>
    <w:rsid w:val="00BE71AF"/>
    <w:rsid w:val="00BE7386"/>
    <w:rsid w:val="00C04380"/>
    <w:rsid w:val="00C079AD"/>
    <w:rsid w:val="00C1692F"/>
    <w:rsid w:val="00C21516"/>
    <w:rsid w:val="00C232F3"/>
    <w:rsid w:val="00C72594"/>
    <w:rsid w:val="00C75547"/>
    <w:rsid w:val="00C82131"/>
    <w:rsid w:val="00C834E9"/>
    <w:rsid w:val="00C8422E"/>
    <w:rsid w:val="00C865BA"/>
    <w:rsid w:val="00C90D32"/>
    <w:rsid w:val="00C94C63"/>
    <w:rsid w:val="00CA1E6E"/>
    <w:rsid w:val="00CA29B4"/>
    <w:rsid w:val="00CA39F1"/>
    <w:rsid w:val="00CA6D7E"/>
    <w:rsid w:val="00CE6055"/>
    <w:rsid w:val="00D11BC7"/>
    <w:rsid w:val="00D20453"/>
    <w:rsid w:val="00D228C2"/>
    <w:rsid w:val="00D316FC"/>
    <w:rsid w:val="00D45A46"/>
    <w:rsid w:val="00D55AB1"/>
    <w:rsid w:val="00D55C1A"/>
    <w:rsid w:val="00D63E90"/>
    <w:rsid w:val="00D72D17"/>
    <w:rsid w:val="00D76D87"/>
    <w:rsid w:val="00D9333A"/>
    <w:rsid w:val="00D95B26"/>
    <w:rsid w:val="00D960E2"/>
    <w:rsid w:val="00DA1AD1"/>
    <w:rsid w:val="00DA3736"/>
    <w:rsid w:val="00DA7095"/>
    <w:rsid w:val="00DB083C"/>
    <w:rsid w:val="00DC6598"/>
    <w:rsid w:val="00E01D66"/>
    <w:rsid w:val="00E06E92"/>
    <w:rsid w:val="00E13A01"/>
    <w:rsid w:val="00E32B49"/>
    <w:rsid w:val="00E55A23"/>
    <w:rsid w:val="00E5603F"/>
    <w:rsid w:val="00E62AC7"/>
    <w:rsid w:val="00E73B0B"/>
    <w:rsid w:val="00E80136"/>
    <w:rsid w:val="00E84919"/>
    <w:rsid w:val="00E910C1"/>
    <w:rsid w:val="00EA6AE9"/>
    <w:rsid w:val="00EA6B05"/>
    <w:rsid w:val="00EB0D6B"/>
    <w:rsid w:val="00EB31AC"/>
    <w:rsid w:val="00EC2707"/>
    <w:rsid w:val="00EC51BE"/>
    <w:rsid w:val="00ED2B14"/>
    <w:rsid w:val="00ED5EF3"/>
    <w:rsid w:val="00EE03F6"/>
    <w:rsid w:val="00F14565"/>
    <w:rsid w:val="00F14BC9"/>
    <w:rsid w:val="00F210A5"/>
    <w:rsid w:val="00F31DA1"/>
    <w:rsid w:val="00F362A2"/>
    <w:rsid w:val="00F81864"/>
    <w:rsid w:val="00F81A25"/>
    <w:rsid w:val="00F87A9F"/>
    <w:rsid w:val="00F90B8C"/>
    <w:rsid w:val="00F917F0"/>
    <w:rsid w:val="00FA5B4B"/>
    <w:rsid w:val="00FA641E"/>
    <w:rsid w:val="00FD69CC"/>
    <w:rsid w:val="00FD7190"/>
    <w:rsid w:val="00FE5603"/>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180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4D1FBB"/>
    <w:pPr>
      <w:spacing w:before="120" w:line="360" w:lineRule="auto"/>
    </w:pPr>
    <w:rPr>
      <w:rFonts w:asciiTheme="minorHAnsi" w:hAnsiTheme="minorHAnsi" w:cstheme="minorHAnsi"/>
      <w:sz w:val="22"/>
      <w:szCs w:val="24"/>
    </w:rPr>
  </w:style>
  <w:style w:type="paragraph" w:styleId="Heading1">
    <w:name w:val="heading 1"/>
    <w:basedOn w:val="Normal"/>
    <w:next w:val="Normal"/>
    <w:link w:val="Heading1Char"/>
    <w:autoRedefine/>
    <w:uiPriority w:val="9"/>
    <w:qFormat/>
    <w:rsid w:val="00212B8C"/>
    <w:pPr>
      <w:keepNext/>
      <w:keepLines/>
      <w:spacing w:before="240" w:after="60" w:line="240" w:lineRule="auto"/>
      <w:outlineLvl w:val="0"/>
    </w:pPr>
    <w:rPr>
      <w:rFonts w:ascii="Calibri Light" w:hAnsi="Calibri Light"/>
      <w:color w:val="1B365D"/>
      <w:sz w:val="60"/>
      <w:szCs w:val="26"/>
    </w:rPr>
  </w:style>
  <w:style w:type="paragraph" w:styleId="Heading2">
    <w:name w:val="heading 2"/>
    <w:basedOn w:val="Heading1"/>
    <w:next w:val="Normal"/>
    <w:link w:val="Heading2Char"/>
    <w:autoRedefine/>
    <w:uiPriority w:val="9"/>
    <w:qFormat/>
    <w:rsid w:val="00995EBE"/>
    <w:pPr>
      <w:numPr>
        <w:ilvl w:val="1"/>
      </w:numPr>
      <w:spacing w:before="180"/>
      <w:outlineLvl w:val="1"/>
    </w:pPr>
    <w:rPr>
      <w:rFonts w:asciiTheme="minorHAnsi" w:hAnsiTheme="minorHAnsi"/>
      <w:b/>
      <w:sz w:val="32"/>
      <w:szCs w:val="24"/>
    </w:rPr>
  </w:style>
  <w:style w:type="paragraph" w:styleId="Heading3">
    <w:name w:val="heading 3"/>
    <w:basedOn w:val="Heading2"/>
    <w:next w:val="Normal"/>
    <w:link w:val="Heading3Char"/>
    <w:autoRedefine/>
    <w:uiPriority w:val="9"/>
    <w:qFormat/>
    <w:rsid w:val="0023321A"/>
    <w:pPr>
      <w:numPr>
        <w:ilvl w:val="2"/>
      </w:numPr>
      <w:spacing w:before="120" w:after="120"/>
      <w:outlineLvl w:val="2"/>
    </w:pPr>
    <w:rPr>
      <w:sz w:val="24"/>
      <w:szCs w:val="20"/>
    </w:rPr>
  </w:style>
  <w:style w:type="paragraph" w:styleId="Heading4">
    <w:name w:val="heading 4"/>
    <w:basedOn w:val="Heading3"/>
    <w:next w:val="Normal"/>
    <w:link w:val="Heading4Char"/>
    <w:uiPriority w:val="9"/>
    <w:qFormat/>
    <w:rsid w:val="00D11BC7"/>
    <w:pPr>
      <w:numPr>
        <w:ilvl w:val="0"/>
      </w:numPr>
      <w:outlineLvl w:val="3"/>
    </w:pPr>
    <w:rPr>
      <w:rFonts w:eastAsiaTheme="minorEastAsia" w:cs="Times New Roman"/>
      <w:b w:val="0"/>
      <w:bCs/>
      <w:color w:val="auto"/>
      <w:sz w:val="28"/>
      <w:szCs w:val="28"/>
      <w:lang w:val="x-none"/>
    </w:rPr>
  </w:style>
  <w:style w:type="paragraph" w:styleId="Heading7">
    <w:name w:val="heading 7"/>
    <w:basedOn w:val="Normal"/>
    <w:next w:val="Normal"/>
    <w:link w:val="Heading7Char"/>
    <w:uiPriority w:val="9"/>
    <w:semiHidden/>
    <w:unhideWhenUsed/>
    <w:rsid w:val="00154A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itle">
    <w:name w:val="Case study title"/>
    <w:basedOn w:val="Normal"/>
    <w:link w:val="CasestudytitleChar"/>
    <w:autoRedefine/>
    <w:rsid w:val="00D11BC7"/>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D11BC7"/>
    <w:rPr>
      <w:rFonts w:ascii="Helvetica" w:hAnsi="Helvetica" w:cs="Arial"/>
      <w:color w:val="0194A6"/>
      <w:sz w:val="36"/>
      <w:szCs w:val="28"/>
    </w:rPr>
  </w:style>
  <w:style w:type="paragraph" w:customStyle="1" w:styleId="Casestudytext">
    <w:name w:val="Case study text"/>
    <w:basedOn w:val="Normal"/>
    <w:link w:val="CasestudytextChar"/>
    <w:qFormat/>
    <w:rsid w:val="00D11BC7"/>
    <w:pPr>
      <w:ind w:left="720"/>
    </w:pPr>
  </w:style>
  <w:style w:type="character" w:customStyle="1" w:styleId="CasestudytextChar">
    <w:name w:val="Case study text Char"/>
    <w:basedOn w:val="DefaultParagraphFont"/>
    <w:link w:val="Casestudytext"/>
    <w:rsid w:val="00D11BC7"/>
    <w:rPr>
      <w:rFonts w:ascii="Helvetica" w:hAnsi="Helvetica" w:cs="Arial"/>
      <w:sz w:val="22"/>
      <w:szCs w:val="24"/>
    </w:rPr>
  </w:style>
  <w:style w:type="paragraph" w:customStyle="1" w:styleId="CoverReportTitle">
    <w:name w:val="Cover Report Title"/>
    <w:basedOn w:val="Normal"/>
    <w:autoRedefine/>
    <w:qFormat/>
    <w:rsid w:val="00D11BC7"/>
    <w:pPr>
      <w:framePr w:w="4820" w:wrap="around" w:vAnchor="page" w:hAnchor="text" w:x="5388" w:y="795"/>
      <w:spacing w:line="480" w:lineRule="auto"/>
    </w:pPr>
    <w:rPr>
      <w:rFonts w:eastAsiaTheme="minorHAnsi"/>
      <w:color w:val="FFFFFF" w:themeColor="background1"/>
      <w:sz w:val="60"/>
      <w:szCs w:val="22"/>
    </w:rPr>
  </w:style>
  <w:style w:type="paragraph" w:customStyle="1" w:styleId="CoverReportSubTitle">
    <w:name w:val="Cover Report Sub Title"/>
    <w:basedOn w:val="CoverReportTitle"/>
    <w:next w:val="Normal"/>
    <w:autoRedefine/>
    <w:qFormat/>
    <w:rsid w:val="00D11BC7"/>
    <w:pPr>
      <w:framePr w:wrap="around"/>
      <w:spacing w:before="113" w:after="57" w:line="400" w:lineRule="exact"/>
    </w:pPr>
    <w:rPr>
      <w:sz w:val="36"/>
    </w:rPr>
  </w:style>
  <w:style w:type="paragraph" w:customStyle="1" w:styleId="Bullet">
    <w:name w:val="Bullet"/>
    <w:basedOn w:val="Normal"/>
    <w:autoRedefine/>
    <w:qFormat/>
    <w:rsid w:val="00B0662F"/>
    <w:pPr>
      <w:numPr>
        <w:numId w:val="18"/>
      </w:numPr>
      <w:spacing w:before="0" w:after="28" w:line="320" w:lineRule="exact"/>
      <w:ind w:right="284"/>
    </w:pPr>
    <w:rPr>
      <w:rFonts w:eastAsiaTheme="minorHAnsi"/>
      <w:szCs w:val="22"/>
      <w:lang w:eastAsia="en-AU"/>
    </w:rPr>
  </w:style>
  <w:style w:type="paragraph" w:customStyle="1" w:styleId="Calloutbox">
    <w:name w:val="Callout box"/>
    <w:basedOn w:val="Normal"/>
    <w:next w:val="Normal"/>
    <w:link w:val="CalloutboxChar"/>
    <w:autoRedefine/>
    <w:qFormat/>
    <w:rsid w:val="00995EBE"/>
    <w:pPr>
      <w:pBdr>
        <w:left w:val="single" w:sz="24" w:space="4" w:color="9BCBEB"/>
        <w:right w:val="single" w:sz="24" w:space="4" w:color="9BCBEB"/>
      </w:pBdr>
      <w:shd w:val="clear" w:color="auto" w:fill="E7F2FA"/>
      <w:spacing w:before="240" w:after="113" w:line="320" w:lineRule="exact"/>
      <w:ind w:left="284" w:right="284"/>
      <w:contextualSpacing/>
    </w:pPr>
    <w:rPr>
      <w:rFonts w:eastAsiaTheme="minorHAnsi"/>
      <w:szCs w:val="22"/>
    </w:rPr>
  </w:style>
  <w:style w:type="character" w:customStyle="1" w:styleId="CalloutboxChar">
    <w:name w:val="Callout box Char"/>
    <w:basedOn w:val="DefaultParagraphFont"/>
    <w:link w:val="Calloutbox"/>
    <w:rsid w:val="00995EBE"/>
    <w:rPr>
      <w:rFonts w:asciiTheme="minorHAnsi" w:eastAsiaTheme="minorHAnsi" w:hAnsiTheme="minorHAnsi" w:cs="Arial"/>
      <w:sz w:val="22"/>
      <w:szCs w:val="22"/>
      <w:shd w:val="clear" w:color="auto" w:fill="E7F2FA"/>
    </w:rPr>
  </w:style>
  <w:style w:type="paragraph" w:customStyle="1" w:styleId="GlanceYellowHeading">
    <w:name w:val="Glance Yellow Heading"/>
    <w:basedOn w:val="Normal"/>
    <w:next w:val="GlanceHeading"/>
    <w:autoRedefine/>
    <w:rsid w:val="00D11BC7"/>
    <w:pPr>
      <w:pBdr>
        <w:top w:val="single" w:sz="48" w:space="1" w:color="BFBFBF" w:themeColor="background1" w:themeShade="BF"/>
      </w:pBdr>
      <w:shd w:val="clear" w:color="auto" w:fill="E5E5E5"/>
      <w:contextualSpacing/>
      <w:jc w:val="center"/>
      <w:textboxTightWrap w:val="allLines"/>
    </w:pPr>
    <w:rPr>
      <w:rFonts w:eastAsiaTheme="minorHAnsi"/>
      <w:color w:val="10C9DE"/>
      <w:spacing w:val="-10"/>
      <w:sz w:val="56"/>
      <w:szCs w:val="22"/>
    </w:rPr>
  </w:style>
  <w:style w:type="paragraph" w:customStyle="1" w:styleId="GlanceHeading">
    <w:name w:val="Glance Heading"/>
    <w:basedOn w:val="Normal"/>
    <w:next w:val="GlanceBody"/>
    <w:autoRedefine/>
    <w:rsid w:val="00D11BC7"/>
    <w:pPr>
      <w:keepNext/>
      <w:keepLines/>
      <w:widowControl w:val="0"/>
      <w:spacing w:line="240" w:lineRule="auto"/>
      <w:jc w:val="center"/>
      <w:textboxTightWrap w:val="allLines"/>
    </w:pPr>
    <w:rPr>
      <w:rFonts w:eastAsiaTheme="minorHAnsi"/>
      <w:b/>
      <w:color w:val="0194A6"/>
      <w:sz w:val="96"/>
      <w:szCs w:val="22"/>
    </w:rPr>
  </w:style>
  <w:style w:type="paragraph" w:customStyle="1" w:styleId="GlanceBody">
    <w:name w:val="Glance Body"/>
    <w:basedOn w:val="Normal"/>
    <w:autoRedefine/>
    <w:qFormat/>
    <w:rsid w:val="00D11BC7"/>
    <w:pPr>
      <w:pBdr>
        <w:bottom w:val="single" w:sz="2" w:space="8" w:color="BFBFBF" w:themeColor="background1" w:themeShade="BF"/>
      </w:pBdr>
      <w:spacing w:after="113" w:line="240" w:lineRule="auto"/>
      <w:jc w:val="center"/>
    </w:pPr>
    <w:rPr>
      <w:rFonts w:eastAsiaTheme="minorHAnsi"/>
      <w:szCs w:val="22"/>
    </w:rPr>
  </w:style>
  <w:style w:type="paragraph" w:customStyle="1" w:styleId="GreyBubbleBox1">
    <w:name w:val="Grey  Bubble Box1"/>
    <w:basedOn w:val="Normal"/>
    <w:next w:val="Normal"/>
    <w:autoRedefine/>
    <w:rsid w:val="00D11BC7"/>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olor w:val="0194A6"/>
      <w:szCs w:val="22"/>
    </w:rPr>
  </w:style>
  <w:style w:type="paragraph" w:customStyle="1" w:styleId="CalloutBoxHeading">
    <w:name w:val="Callout Box Heading"/>
    <w:basedOn w:val="Calloutbox"/>
    <w:link w:val="CalloutBoxHeadingChar"/>
    <w:autoRedefine/>
    <w:qFormat/>
    <w:rsid w:val="00995EBE"/>
    <w:rPr>
      <w:b/>
      <w:sz w:val="24"/>
    </w:rPr>
  </w:style>
  <w:style w:type="character" w:customStyle="1" w:styleId="CalloutBoxHeadingChar">
    <w:name w:val="Callout Box Heading Char"/>
    <w:basedOn w:val="CalloutboxChar"/>
    <w:link w:val="CalloutBoxHeading"/>
    <w:rsid w:val="00995EBE"/>
    <w:rPr>
      <w:rFonts w:asciiTheme="minorHAnsi" w:eastAsiaTheme="minorHAnsi" w:hAnsiTheme="minorHAnsi" w:cs="Arial"/>
      <w:b/>
      <w:sz w:val="24"/>
      <w:szCs w:val="22"/>
      <w:shd w:val="clear" w:color="auto" w:fill="E7F2FA"/>
    </w:rPr>
  </w:style>
  <w:style w:type="paragraph" w:customStyle="1" w:styleId="Calloutbox1">
    <w:name w:val="Callout box1"/>
    <w:basedOn w:val="Normal"/>
    <w:next w:val="Normal"/>
    <w:autoRedefine/>
    <w:rsid w:val="00D11BC7"/>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olor w:val="FFFFFF" w:themeColor="background1"/>
      <w:szCs w:val="22"/>
    </w:rPr>
  </w:style>
  <w:style w:type="character" w:customStyle="1" w:styleId="Heading1Char">
    <w:name w:val="Heading 1 Char"/>
    <w:basedOn w:val="DefaultParagraphFont"/>
    <w:link w:val="Heading1"/>
    <w:uiPriority w:val="9"/>
    <w:rsid w:val="00212B8C"/>
    <w:rPr>
      <w:rFonts w:ascii="Calibri Light" w:hAnsi="Calibri Light" w:cstheme="minorHAnsi"/>
      <w:color w:val="1B365D"/>
      <w:sz w:val="60"/>
      <w:szCs w:val="26"/>
    </w:rPr>
  </w:style>
  <w:style w:type="character" w:customStyle="1" w:styleId="Heading2Char">
    <w:name w:val="Heading 2 Char"/>
    <w:basedOn w:val="DefaultParagraphFont"/>
    <w:link w:val="Heading2"/>
    <w:uiPriority w:val="9"/>
    <w:rsid w:val="00995EBE"/>
    <w:rPr>
      <w:rFonts w:asciiTheme="minorHAnsi" w:hAnsiTheme="minorHAnsi" w:cs="Arial"/>
      <w:b/>
      <w:color w:val="1B365D"/>
      <w:sz w:val="32"/>
      <w:szCs w:val="24"/>
    </w:rPr>
  </w:style>
  <w:style w:type="character" w:customStyle="1" w:styleId="Heading3Char">
    <w:name w:val="Heading 3 Char"/>
    <w:basedOn w:val="DefaultParagraphFont"/>
    <w:link w:val="Heading3"/>
    <w:uiPriority w:val="9"/>
    <w:rsid w:val="0023321A"/>
    <w:rPr>
      <w:rFonts w:asciiTheme="minorHAnsi" w:hAnsiTheme="minorHAnsi" w:cstheme="minorHAnsi"/>
      <w:b/>
      <w:color w:val="1B365D"/>
      <w:sz w:val="24"/>
    </w:rPr>
  </w:style>
  <w:style w:type="character" w:customStyle="1" w:styleId="Heading4Char">
    <w:name w:val="Heading 4 Char"/>
    <w:basedOn w:val="DefaultParagraphFont"/>
    <w:link w:val="Heading4"/>
    <w:uiPriority w:val="9"/>
    <w:rsid w:val="00D11BC7"/>
    <w:rPr>
      <w:rFonts w:asciiTheme="minorHAnsi" w:eastAsiaTheme="minorEastAsia" w:hAnsiTheme="minorHAnsi"/>
      <w:b/>
      <w:bCs/>
      <w:sz w:val="28"/>
      <w:szCs w:val="28"/>
      <w:lang w:val="x-none"/>
    </w:rPr>
  </w:style>
  <w:style w:type="paragraph" w:styleId="Quote">
    <w:name w:val="Quote"/>
    <w:basedOn w:val="Normal"/>
    <w:next w:val="Normal"/>
    <w:link w:val="QuoteChar"/>
    <w:uiPriority w:val="29"/>
    <w:qFormat/>
    <w:rsid w:val="00C079AD"/>
    <w:rPr>
      <w:i/>
      <w:iCs/>
      <w:color w:val="000000" w:themeColor="text1"/>
    </w:rPr>
  </w:style>
  <w:style w:type="character" w:customStyle="1" w:styleId="QuoteChar">
    <w:name w:val="Quote Char"/>
    <w:basedOn w:val="DefaultParagraphFont"/>
    <w:link w:val="Quote"/>
    <w:uiPriority w:val="29"/>
    <w:rsid w:val="00C079AD"/>
    <w:rPr>
      <w:rFonts w:asciiTheme="minorHAnsi" w:hAnsiTheme="minorHAnsi" w:cs="Arial"/>
      <w:i/>
      <w:iCs/>
      <w:color w:val="000000" w:themeColor="text1"/>
      <w:sz w:val="22"/>
      <w:szCs w:val="24"/>
    </w:rPr>
  </w:style>
  <w:style w:type="paragraph" w:styleId="Header">
    <w:name w:val="header"/>
    <w:basedOn w:val="Normal"/>
    <w:link w:val="HeaderChar"/>
    <w:unhideWhenUsed/>
    <w:rsid w:val="00AB465A"/>
    <w:pPr>
      <w:tabs>
        <w:tab w:val="center" w:pos="4513"/>
        <w:tab w:val="right" w:pos="9026"/>
      </w:tabs>
      <w:spacing w:line="240" w:lineRule="auto"/>
    </w:pPr>
  </w:style>
  <w:style w:type="character" w:customStyle="1" w:styleId="HeaderChar">
    <w:name w:val="Header Char"/>
    <w:basedOn w:val="DefaultParagraphFont"/>
    <w:link w:val="Header"/>
    <w:uiPriority w:val="99"/>
    <w:rsid w:val="00AB465A"/>
    <w:rPr>
      <w:rFonts w:ascii="Helvetica" w:hAnsi="Helvetica" w:cs="Arial"/>
      <w:sz w:val="22"/>
      <w:szCs w:val="24"/>
    </w:rPr>
  </w:style>
  <w:style w:type="paragraph" w:styleId="Footer">
    <w:name w:val="footer"/>
    <w:basedOn w:val="Normal"/>
    <w:link w:val="FooterChar"/>
    <w:uiPriority w:val="99"/>
    <w:unhideWhenUsed/>
    <w:rsid w:val="00AB465A"/>
    <w:pPr>
      <w:tabs>
        <w:tab w:val="center" w:pos="4513"/>
        <w:tab w:val="right" w:pos="9026"/>
      </w:tabs>
      <w:spacing w:line="240" w:lineRule="auto"/>
    </w:pPr>
  </w:style>
  <w:style w:type="character" w:customStyle="1" w:styleId="FooterChar">
    <w:name w:val="Footer Char"/>
    <w:basedOn w:val="DefaultParagraphFont"/>
    <w:link w:val="Footer"/>
    <w:uiPriority w:val="99"/>
    <w:rsid w:val="00AB465A"/>
    <w:rPr>
      <w:rFonts w:ascii="Helvetica" w:hAnsi="Helvetica" w:cs="Arial"/>
      <w:sz w:val="22"/>
      <w:szCs w:val="24"/>
    </w:rPr>
  </w:style>
  <w:style w:type="paragraph" w:styleId="BalloonText">
    <w:name w:val="Balloon Text"/>
    <w:basedOn w:val="Normal"/>
    <w:link w:val="BalloonTextChar"/>
    <w:uiPriority w:val="99"/>
    <w:semiHidden/>
    <w:unhideWhenUsed/>
    <w:rsid w:val="00AB46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5A"/>
    <w:rPr>
      <w:rFonts w:ascii="Tahoma" w:hAnsi="Tahoma" w:cs="Tahoma"/>
      <w:sz w:val="16"/>
      <w:szCs w:val="16"/>
    </w:rPr>
  </w:style>
  <w:style w:type="character" w:styleId="CommentReference">
    <w:name w:val="annotation reference"/>
    <w:basedOn w:val="DefaultParagraphFont"/>
    <w:uiPriority w:val="99"/>
    <w:rsid w:val="002A65CC"/>
    <w:rPr>
      <w:rFonts w:cs="Times New Roman"/>
      <w:sz w:val="16"/>
      <w:szCs w:val="16"/>
    </w:rPr>
  </w:style>
  <w:style w:type="paragraph" w:styleId="CommentText">
    <w:name w:val="annotation text"/>
    <w:basedOn w:val="Normal"/>
    <w:link w:val="CommentTextChar"/>
    <w:uiPriority w:val="99"/>
    <w:rsid w:val="002A65CC"/>
  </w:style>
  <w:style w:type="character" w:customStyle="1" w:styleId="CommentTextChar">
    <w:name w:val="Comment Text Char"/>
    <w:basedOn w:val="DefaultParagraphFont"/>
    <w:link w:val="CommentText"/>
    <w:uiPriority w:val="99"/>
    <w:rsid w:val="002A65CC"/>
    <w:rPr>
      <w:rFonts w:ascii="Arial" w:hAnsi="Arial" w:cs="Arial"/>
      <w:sz w:val="22"/>
      <w:szCs w:val="24"/>
    </w:rPr>
  </w:style>
  <w:style w:type="paragraph" w:styleId="FootnoteText">
    <w:name w:val="footnote text"/>
    <w:basedOn w:val="Normal"/>
    <w:link w:val="FootnoteTextChar"/>
    <w:uiPriority w:val="99"/>
    <w:rsid w:val="002A65CC"/>
  </w:style>
  <w:style w:type="character" w:customStyle="1" w:styleId="FootnoteTextChar">
    <w:name w:val="Footnote Text Char"/>
    <w:basedOn w:val="DefaultParagraphFont"/>
    <w:link w:val="FootnoteText"/>
    <w:uiPriority w:val="99"/>
    <w:rsid w:val="002A65CC"/>
    <w:rPr>
      <w:rFonts w:ascii="Arial" w:hAnsi="Arial" w:cs="Arial"/>
      <w:sz w:val="22"/>
      <w:szCs w:val="24"/>
    </w:rPr>
  </w:style>
  <w:style w:type="character" w:styleId="FootnoteReference">
    <w:name w:val="footnote reference"/>
    <w:basedOn w:val="DefaultParagraphFont"/>
    <w:uiPriority w:val="99"/>
    <w:rsid w:val="002A65CC"/>
    <w:rPr>
      <w:rFonts w:cs="Times New Roman"/>
      <w:vertAlign w:val="superscript"/>
    </w:rPr>
  </w:style>
  <w:style w:type="paragraph" w:styleId="TOC1">
    <w:name w:val="toc 1"/>
    <w:basedOn w:val="Normal"/>
    <w:autoRedefine/>
    <w:uiPriority w:val="39"/>
    <w:rsid w:val="00980CA5"/>
    <w:pPr>
      <w:tabs>
        <w:tab w:val="left" w:pos="1560"/>
        <w:tab w:val="right" w:leader="dot" w:pos="8789"/>
      </w:tabs>
      <w:ind w:left="851" w:right="814"/>
    </w:pPr>
    <w:rPr>
      <w:spacing w:val="-4"/>
    </w:rPr>
  </w:style>
  <w:style w:type="paragraph" w:styleId="TOC2">
    <w:name w:val="toc 2"/>
    <w:basedOn w:val="Normal"/>
    <w:autoRedefine/>
    <w:uiPriority w:val="39"/>
    <w:rsid w:val="00980CA5"/>
    <w:pPr>
      <w:tabs>
        <w:tab w:val="left" w:pos="1701"/>
        <w:tab w:val="right" w:leader="dot" w:pos="8789"/>
      </w:tabs>
      <w:ind w:left="992"/>
    </w:pPr>
  </w:style>
  <w:style w:type="character" w:styleId="Hyperlink">
    <w:name w:val="Hyperlink"/>
    <w:basedOn w:val="DefaultParagraphFont"/>
    <w:uiPriority w:val="99"/>
    <w:rsid w:val="00980CA5"/>
    <w:rPr>
      <w:rFonts w:ascii="Arial" w:hAnsi="Arial" w:cs="Times New Roman"/>
      <w:color w:val="0000FF"/>
      <w:u w:val="single"/>
    </w:rPr>
  </w:style>
  <w:style w:type="paragraph" w:styleId="ListParagraph">
    <w:name w:val="List Paragraph"/>
    <w:aliases w:val="List Paragraph1,List Paragraph11,Recommendation,Brief List Paragraph 1,DDM Gen Text"/>
    <w:basedOn w:val="Normal"/>
    <w:link w:val="ListParagraphChar"/>
    <w:uiPriority w:val="34"/>
    <w:qFormat/>
    <w:rsid w:val="00980CA5"/>
    <w:pPr>
      <w:ind w:left="720"/>
      <w:contextualSpacing/>
    </w:pPr>
  </w:style>
  <w:style w:type="paragraph" w:customStyle="1" w:styleId="Coverheading">
    <w:name w:val="Cover heading"/>
    <w:basedOn w:val="Normal"/>
    <w:link w:val="CoverheadingChar"/>
    <w:qFormat/>
    <w:rsid w:val="00980CA5"/>
    <w:pPr>
      <w:spacing w:before="4440" w:after="2400" w:line="480" w:lineRule="auto"/>
    </w:pPr>
    <w:rPr>
      <w:rFonts w:ascii="Helvetica" w:eastAsiaTheme="minorHAnsi" w:hAnsi="Helvetica" w:cs="Times New Roman"/>
      <w:color w:val="263746"/>
      <w:sz w:val="60"/>
      <w:szCs w:val="22"/>
    </w:rPr>
  </w:style>
  <w:style w:type="character" w:customStyle="1" w:styleId="CoverheadingChar">
    <w:name w:val="Cover heading Char"/>
    <w:basedOn w:val="DefaultParagraphFont"/>
    <w:link w:val="Coverheading"/>
    <w:rsid w:val="00980CA5"/>
    <w:rPr>
      <w:rFonts w:ascii="Helvetica" w:eastAsiaTheme="minorHAnsi" w:hAnsi="Helvetica"/>
      <w:color w:val="263746"/>
      <w:sz w:val="60"/>
      <w:szCs w:val="22"/>
    </w:rPr>
  </w:style>
  <w:style w:type="character" w:customStyle="1" w:styleId="ListParagraphChar">
    <w:name w:val="List Paragraph Char"/>
    <w:aliases w:val="List Paragraph1 Char,List Paragraph11 Char,Recommendation Char,Brief List Paragraph 1 Char,DDM Gen Text Char"/>
    <w:basedOn w:val="DefaultParagraphFont"/>
    <w:link w:val="ListParagraph"/>
    <w:uiPriority w:val="34"/>
    <w:locked/>
    <w:rsid w:val="00980CA5"/>
    <w:rPr>
      <w:rFonts w:ascii="Arial" w:hAnsi="Arial" w:cs="Arial"/>
      <w:sz w:val="22"/>
      <w:szCs w:val="24"/>
    </w:rPr>
  </w:style>
  <w:style w:type="paragraph" w:styleId="NormalWeb">
    <w:name w:val="Normal (Web)"/>
    <w:basedOn w:val="Normal"/>
    <w:uiPriority w:val="99"/>
    <w:semiHidden/>
    <w:unhideWhenUsed/>
    <w:rsid w:val="00C94C63"/>
    <w:pPr>
      <w:spacing w:before="100" w:beforeAutospacing="1" w:after="100" w:afterAutospacing="1" w:line="240" w:lineRule="auto"/>
    </w:pPr>
    <w:rPr>
      <w:rFonts w:ascii="Times New Roman" w:hAnsi="Times New Roman" w:cs="Times New Roman"/>
      <w:sz w:val="24"/>
      <w:lang w:eastAsia="en-AU"/>
    </w:rPr>
  </w:style>
  <w:style w:type="paragraph" w:styleId="CommentSubject">
    <w:name w:val="annotation subject"/>
    <w:basedOn w:val="CommentText"/>
    <w:next w:val="CommentText"/>
    <w:link w:val="CommentSubjectChar"/>
    <w:uiPriority w:val="99"/>
    <w:semiHidden/>
    <w:unhideWhenUsed/>
    <w:rsid w:val="00CA6D7E"/>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CA6D7E"/>
    <w:rPr>
      <w:rFonts w:ascii="Arial" w:hAnsi="Arial" w:cs="Arial"/>
      <w:b/>
      <w:bCs/>
      <w:sz w:val="22"/>
      <w:szCs w:val="24"/>
    </w:rPr>
  </w:style>
  <w:style w:type="table" w:styleId="TableGrid">
    <w:name w:val="Table Grid"/>
    <w:basedOn w:val="TableNormal"/>
    <w:uiPriority w:val="59"/>
    <w:rsid w:val="00395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10C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163D3D"/>
    <w:rPr>
      <w:i/>
      <w:iCs/>
    </w:rPr>
  </w:style>
  <w:style w:type="character" w:styleId="FollowedHyperlink">
    <w:name w:val="FollowedHyperlink"/>
    <w:basedOn w:val="DefaultParagraphFont"/>
    <w:uiPriority w:val="99"/>
    <w:semiHidden/>
    <w:unhideWhenUsed/>
    <w:rsid w:val="008B0919"/>
    <w:rPr>
      <w:color w:val="800080" w:themeColor="followedHyperlink"/>
      <w:u w:val="single"/>
    </w:rPr>
  </w:style>
  <w:style w:type="character" w:customStyle="1" w:styleId="Heading7Char">
    <w:name w:val="Heading 7 Char"/>
    <w:basedOn w:val="DefaultParagraphFont"/>
    <w:link w:val="Heading7"/>
    <w:uiPriority w:val="9"/>
    <w:semiHidden/>
    <w:rsid w:val="00154AD9"/>
    <w:rPr>
      <w:rFonts w:asciiTheme="majorHAnsi" w:eastAsiaTheme="majorEastAsia" w:hAnsiTheme="majorHAnsi" w:cstheme="majorBidi"/>
      <w:i/>
      <w:iCs/>
      <w:color w:val="243F60" w:themeColor="accent1" w:themeShade="7F"/>
      <w:sz w:val="22"/>
      <w:szCs w:val="24"/>
    </w:rPr>
  </w:style>
  <w:style w:type="paragraph" w:styleId="Revision">
    <w:name w:val="Revision"/>
    <w:hidden/>
    <w:uiPriority w:val="99"/>
    <w:semiHidden/>
    <w:rsid w:val="001D2DF2"/>
    <w:rPr>
      <w:rFonts w:asciiTheme="minorHAnsi" w:hAnsiTheme="minorHAnsi" w:cs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2308">
      <w:bodyDiv w:val="1"/>
      <w:marLeft w:val="0"/>
      <w:marRight w:val="0"/>
      <w:marTop w:val="0"/>
      <w:marBottom w:val="0"/>
      <w:divBdr>
        <w:top w:val="none" w:sz="0" w:space="0" w:color="auto"/>
        <w:left w:val="none" w:sz="0" w:space="0" w:color="auto"/>
        <w:bottom w:val="none" w:sz="0" w:space="0" w:color="auto"/>
        <w:right w:val="none" w:sz="0" w:space="0" w:color="auto"/>
      </w:divBdr>
    </w:div>
    <w:div w:id="604457867">
      <w:bodyDiv w:val="1"/>
      <w:marLeft w:val="0"/>
      <w:marRight w:val="0"/>
      <w:marTop w:val="0"/>
      <w:marBottom w:val="0"/>
      <w:divBdr>
        <w:top w:val="none" w:sz="0" w:space="0" w:color="auto"/>
        <w:left w:val="none" w:sz="0" w:space="0" w:color="auto"/>
        <w:bottom w:val="none" w:sz="0" w:space="0" w:color="auto"/>
        <w:right w:val="none" w:sz="0" w:space="0" w:color="auto"/>
      </w:divBdr>
    </w:div>
    <w:div w:id="698776226">
      <w:bodyDiv w:val="1"/>
      <w:marLeft w:val="0"/>
      <w:marRight w:val="0"/>
      <w:marTop w:val="0"/>
      <w:marBottom w:val="0"/>
      <w:divBdr>
        <w:top w:val="none" w:sz="0" w:space="0" w:color="auto"/>
        <w:left w:val="none" w:sz="0" w:space="0" w:color="auto"/>
        <w:bottom w:val="none" w:sz="0" w:space="0" w:color="auto"/>
        <w:right w:val="none" w:sz="0" w:space="0" w:color="auto"/>
      </w:divBdr>
    </w:div>
    <w:div w:id="887913849">
      <w:bodyDiv w:val="1"/>
      <w:marLeft w:val="0"/>
      <w:marRight w:val="0"/>
      <w:marTop w:val="0"/>
      <w:marBottom w:val="0"/>
      <w:divBdr>
        <w:top w:val="none" w:sz="0" w:space="0" w:color="auto"/>
        <w:left w:val="none" w:sz="0" w:space="0" w:color="auto"/>
        <w:bottom w:val="none" w:sz="0" w:space="0" w:color="auto"/>
        <w:right w:val="none" w:sz="0" w:space="0" w:color="auto"/>
      </w:divBdr>
    </w:div>
    <w:div w:id="991181654">
      <w:bodyDiv w:val="1"/>
      <w:marLeft w:val="0"/>
      <w:marRight w:val="0"/>
      <w:marTop w:val="0"/>
      <w:marBottom w:val="0"/>
      <w:divBdr>
        <w:top w:val="none" w:sz="0" w:space="0" w:color="auto"/>
        <w:left w:val="none" w:sz="0" w:space="0" w:color="auto"/>
        <w:bottom w:val="none" w:sz="0" w:space="0" w:color="auto"/>
        <w:right w:val="none" w:sz="0" w:space="0" w:color="auto"/>
      </w:divBdr>
    </w:div>
    <w:div w:id="1598295108">
      <w:bodyDiv w:val="1"/>
      <w:marLeft w:val="0"/>
      <w:marRight w:val="0"/>
      <w:marTop w:val="0"/>
      <w:marBottom w:val="0"/>
      <w:divBdr>
        <w:top w:val="none" w:sz="0" w:space="0" w:color="auto"/>
        <w:left w:val="none" w:sz="0" w:space="0" w:color="auto"/>
        <w:bottom w:val="none" w:sz="0" w:space="0" w:color="auto"/>
        <w:right w:val="none" w:sz="0" w:space="0" w:color="auto"/>
      </w:divBdr>
    </w:div>
    <w:div w:id="204250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fairwork.gov.au/about-us/news-and-media-releases/2019-media-releases/december-2019/20191218-chatime-franchisor-litigation-media-release" TargetMode="External"/><Relationship Id="rId13" Type="http://schemas.openxmlformats.org/officeDocument/2006/relationships/hyperlink" Target="https://www.fairwork.gov.au/how-we-will-help/online-training/online-learning-centre" TargetMode="External"/><Relationship Id="rId3" Type="http://schemas.openxmlformats.org/officeDocument/2006/relationships/hyperlink" Target="https://www.fairwork.gov.au/about-us/our-role/enforcing-the-legislation/litigation/accessorial-franchisor-and-holding-company-liability" TargetMode="External"/><Relationship Id="rId7" Type="http://schemas.openxmlformats.org/officeDocument/2006/relationships/hyperlink" Target="https://www.fairwork.gov.au/about-us/news-and-media-releases/2019-media-releases/august-2019/20190821-sushi-79-penalty-media-release" TargetMode="External"/><Relationship Id="rId12" Type="http://schemas.openxmlformats.org/officeDocument/2006/relationships/hyperlink" Target="https://www.fairwork.gov.au/my-account/registerpage.aspx" TargetMode="External"/><Relationship Id="rId2" Type="http://schemas.openxmlformats.org/officeDocument/2006/relationships/hyperlink" Target="https://www.franchise-ed.org.au/franchising/2016-survey-shows-franchising-on-the-rise-in-australia/" TargetMode="External"/><Relationship Id="rId16" Type="http://schemas.openxmlformats.org/officeDocument/2006/relationships/hyperlink" Target="https://www.fairwork.gov.au/about-us/news-and-media-releases/2019-media-releases/december-2019/20191218-chatime-franchisor-litigation-media-release" TargetMode="External"/><Relationship Id="rId1" Type="http://schemas.openxmlformats.org/officeDocument/2006/relationships/hyperlink" Target="https://www.fairwork.gov.au/about-us/our-purpose/our-priorities" TargetMode="External"/><Relationship Id="rId6" Type="http://schemas.openxmlformats.org/officeDocument/2006/relationships/hyperlink" Target="https://www.fairwork.gov.au/about-us/news-and-media-releases/2019-media-releases/april-2019/20190403-chatime-franchisee-litigation-media-release" TargetMode="External"/><Relationship Id="rId11" Type="http://schemas.openxmlformats.org/officeDocument/2006/relationships/hyperlink" Target="https://calculate.fairwork.gov.au/" TargetMode="External"/><Relationship Id="rId5" Type="http://schemas.openxmlformats.org/officeDocument/2006/relationships/hyperlink" Target="https://www.fairwork.gov.au/about-us/news-and-media-releases/2019-media-releases/november-2019/20191121-papparich-franchisee-penalty-media-release" TargetMode="External"/><Relationship Id="rId15" Type="http://schemas.openxmlformats.org/officeDocument/2006/relationships/hyperlink" Target="https://www.fairwork.gov.au/about-us/news-and-media-releases/2019-media-releases/april-2019/20190403-chatime-franchisee-litigation-media-release" TargetMode="External"/><Relationship Id="rId10" Type="http://schemas.openxmlformats.org/officeDocument/2006/relationships/hyperlink" Target="https://www.fairwork.gov.au/find-help-for/franchises" TargetMode="External"/><Relationship Id="rId4" Type="http://schemas.openxmlformats.org/officeDocument/2006/relationships/hyperlink" Target="https://www.transparency.gov.au/annual-reports/fair-work-ombudsman-and-registered-organisations-commission-entity/reporting-year" TargetMode="External"/><Relationship Id="rId9" Type="http://schemas.openxmlformats.org/officeDocument/2006/relationships/hyperlink" Target="https://www.fairwork.gov.au/find-help-for/franchises" TargetMode="External"/><Relationship Id="rId14" Type="http://schemas.openxmlformats.org/officeDocument/2006/relationships/hyperlink" Target="https://www.fairwork.gov.au/small-business-show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83E19-819C-4D0B-BF50-74B3D3A3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135C1B31.dotm</Template>
  <TotalTime>0</TotalTime>
  <Pages>7</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Emerging Franchises Compliance Activity Report</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Emerging Franchises Compliance Activity Report</dc:title>
  <dc:subject/>
  <dc:creator/>
  <cp:keywords/>
  <cp:lastModifiedBy/>
  <cp:revision>1</cp:revision>
  <dcterms:created xsi:type="dcterms:W3CDTF">2019-12-17T21:50:00Z</dcterms:created>
  <dcterms:modified xsi:type="dcterms:W3CDTF">2019-12-17T23:33:00Z</dcterms:modified>
</cp:coreProperties>
</file>