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35267" w14:textId="77777777" w:rsidR="00B811A6" w:rsidRDefault="00B811A6" w:rsidP="00513986">
      <w:pPr>
        <w:pStyle w:val="Coverheading"/>
        <w:spacing w:before="6000" w:after="480" w:line="240" w:lineRule="auto"/>
        <w:rPr>
          <w:sz w:val="48"/>
          <w:szCs w:val="48"/>
        </w:rPr>
      </w:pPr>
      <w:r w:rsidRPr="00B811A6">
        <w:rPr>
          <w:sz w:val="48"/>
          <w:szCs w:val="48"/>
        </w:rPr>
        <w:t>Commonwealth Games Compliance Activity</w:t>
      </w:r>
    </w:p>
    <w:p w14:paraId="15ED08A1" w14:textId="5BCEB7FC" w:rsidR="00BF0029" w:rsidRPr="00BF0029" w:rsidRDefault="00A341FD" w:rsidP="00513986">
      <w:pPr>
        <w:spacing w:before="6000"/>
      </w:pPr>
      <w:r>
        <w:t xml:space="preserve">June </w:t>
      </w:r>
      <w:r w:rsidR="00EF329E">
        <w:t>2019</w:t>
      </w:r>
    </w:p>
    <w:p w14:paraId="4170D79D" w14:textId="77777777" w:rsidR="001F20C3" w:rsidRPr="006A412C" w:rsidRDefault="009629F3" w:rsidP="006A412C">
      <w:r w:rsidRPr="0045600E">
        <w:t>©</w:t>
      </w:r>
      <w:r w:rsidR="00CC7FFE" w:rsidRPr="0045600E">
        <w:t xml:space="preserve"> </w:t>
      </w:r>
      <w:r w:rsidRPr="0045600E">
        <w:t xml:space="preserve">Commonwealth of Australia, </w:t>
      </w:r>
      <w:r w:rsidR="00B811A6">
        <w:t>2019</w:t>
      </w:r>
      <w:r w:rsidR="001F20C3">
        <w:br w:type="page"/>
      </w:r>
      <w:bookmarkStart w:id="0" w:name="_GoBack"/>
      <w:bookmarkEnd w:id="0"/>
    </w:p>
    <w:p w14:paraId="487956A6" w14:textId="2FD564FC" w:rsidR="00BF0029" w:rsidRDefault="00FF1FD2" w:rsidP="00CE4F22">
      <w:pPr>
        <w:pStyle w:val="Heading1"/>
      </w:pPr>
      <w:bookmarkStart w:id="1" w:name="_Toc5107673"/>
      <w:bookmarkStart w:id="2" w:name="_Toc5367705"/>
      <w:bookmarkStart w:id="3" w:name="_Toc5615620"/>
      <w:bookmarkStart w:id="4" w:name="_Toc5617641"/>
      <w:bookmarkStart w:id="5" w:name="_Toc5719198"/>
      <w:r>
        <w:lastRenderedPageBreak/>
        <w:t>Table of c</w:t>
      </w:r>
      <w:r w:rsidR="00BF0029">
        <w:t>ontents</w:t>
      </w:r>
      <w:bookmarkEnd w:id="1"/>
      <w:bookmarkEnd w:id="2"/>
      <w:bookmarkEnd w:id="3"/>
      <w:bookmarkEnd w:id="4"/>
      <w:bookmarkEnd w:id="5"/>
    </w:p>
    <w:p w14:paraId="454A5D32" w14:textId="2A557182" w:rsidR="00141317" w:rsidRDefault="00BF0029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r>
        <w:rPr>
          <w:b/>
        </w:rPr>
        <w:fldChar w:fldCharType="begin"/>
      </w:r>
      <w:r>
        <w:rPr>
          <w:b/>
        </w:rPr>
        <w:instrText xml:space="preserve"> TOC \o "1-2" \h \z \u </w:instrText>
      </w:r>
      <w:r>
        <w:rPr>
          <w:b/>
        </w:rPr>
        <w:fldChar w:fldCharType="separate"/>
      </w:r>
    </w:p>
    <w:p w14:paraId="50E60FFE" w14:textId="6DC16585" w:rsidR="00141317" w:rsidRDefault="00E52826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5719199" w:history="1">
        <w:r w:rsidR="00141317" w:rsidRPr="003606EC">
          <w:rPr>
            <w:rStyle w:val="Hyperlink"/>
            <w:noProof/>
          </w:rPr>
          <w:t>Summary</w:t>
        </w:r>
        <w:r w:rsidR="00141317">
          <w:rPr>
            <w:noProof/>
            <w:webHidden/>
          </w:rPr>
          <w:tab/>
        </w:r>
        <w:r w:rsidR="00141317">
          <w:rPr>
            <w:noProof/>
            <w:webHidden/>
          </w:rPr>
          <w:fldChar w:fldCharType="begin"/>
        </w:r>
        <w:r w:rsidR="00141317">
          <w:rPr>
            <w:noProof/>
            <w:webHidden/>
          </w:rPr>
          <w:instrText xml:space="preserve"> PAGEREF _Toc5719199 \h </w:instrText>
        </w:r>
        <w:r w:rsidR="00141317">
          <w:rPr>
            <w:noProof/>
            <w:webHidden/>
          </w:rPr>
        </w:r>
        <w:r w:rsidR="00141317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41317">
          <w:rPr>
            <w:noProof/>
            <w:webHidden/>
          </w:rPr>
          <w:fldChar w:fldCharType="end"/>
        </w:r>
      </w:hyperlink>
    </w:p>
    <w:p w14:paraId="25007265" w14:textId="3730F207" w:rsidR="00141317" w:rsidRDefault="00E52826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5719200" w:history="1">
        <w:r w:rsidR="00141317" w:rsidRPr="003606EC">
          <w:rPr>
            <w:rStyle w:val="Hyperlink"/>
            <w:noProof/>
          </w:rPr>
          <w:t>Background</w:t>
        </w:r>
        <w:r w:rsidR="00141317">
          <w:rPr>
            <w:noProof/>
            <w:webHidden/>
          </w:rPr>
          <w:tab/>
        </w:r>
        <w:r w:rsidR="00141317">
          <w:rPr>
            <w:noProof/>
            <w:webHidden/>
          </w:rPr>
          <w:fldChar w:fldCharType="begin"/>
        </w:r>
        <w:r w:rsidR="00141317">
          <w:rPr>
            <w:noProof/>
            <w:webHidden/>
          </w:rPr>
          <w:instrText xml:space="preserve"> PAGEREF _Toc5719200 \h </w:instrText>
        </w:r>
        <w:r w:rsidR="00141317">
          <w:rPr>
            <w:noProof/>
            <w:webHidden/>
          </w:rPr>
        </w:r>
        <w:r w:rsidR="0014131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41317">
          <w:rPr>
            <w:noProof/>
            <w:webHidden/>
          </w:rPr>
          <w:fldChar w:fldCharType="end"/>
        </w:r>
      </w:hyperlink>
    </w:p>
    <w:p w14:paraId="1D314E7B" w14:textId="054192D4" w:rsidR="00141317" w:rsidRDefault="00E52826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5719201" w:history="1">
        <w:r w:rsidR="00141317" w:rsidRPr="003606EC">
          <w:rPr>
            <w:rStyle w:val="Hyperlink"/>
            <w:noProof/>
          </w:rPr>
          <w:t>Labour ‘supply chains’</w:t>
        </w:r>
        <w:r w:rsidR="00141317">
          <w:rPr>
            <w:noProof/>
            <w:webHidden/>
          </w:rPr>
          <w:tab/>
        </w:r>
        <w:r w:rsidR="00141317">
          <w:rPr>
            <w:noProof/>
            <w:webHidden/>
          </w:rPr>
          <w:fldChar w:fldCharType="begin"/>
        </w:r>
        <w:r w:rsidR="00141317">
          <w:rPr>
            <w:noProof/>
            <w:webHidden/>
          </w:rPr>
          <w:instrText xml:space="preserve"> PAGEREF _Toc5719201 \h </w:instrText>
        </w:r>
        <w:r w:rsidR="00141317">
          <w:rPr>
            <w:noProof/>
            <w:webHidden/>
          </w:rPr>
        </w:r>
        <w:r w:rsidR="0014131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41317">
          <w:rPr>
            <w:noProof/>
            <w:webHidden/>
          </w:rPr>
          <w:fldChar w:fldCharType="end"/>
        </w:r>
      </w:hyperlink>
    </w:p>
    <w:p w14:paraId="079C8A98" w14:textId="0CFADAD3" w:rsidR="00141317" w:rsidRDefault="00E52826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5719202" w:history="1">
        <w:r w:rsidR="00141317" w:rsidRPr="003606EC">
          <w:rPr>
            <w:rStyle w:val="Hyperlink"/>
            <w:noProof/>
          </w:rPr>
          <w:t>The Games</w:t>
        </w:r>
        <w:r w:rsidR="00141317">
          <w:rPr>
            <w:noProof/>
            <w:webHidden/>
          </w:rPr>
          <w:tab/>
        </w:r>
        <w:r w:rsidR="00141317">
          <w:rPr>
            <w:noProof/>
            <w:webHidden/>
          </w:rPr>
          <w:fldChar w:fldCharType="begin"/>
        </w:r>
        <w:r w:rsidR="00141317">
          <w:rPr>
            <w:noProof/>
            <w:webHidden/>
          </w:rPr>
          <w:instrText xml:space="preserve"> PAGEREF _Toc5719202 \h </w:instrText>
        </w:r>
        <w:r w:rsidR="00141317">
          <w:rPr>
            <w:noProof/>
            <w:webHidden/>
          </w:rPr>
        </w:r>
        <w:r w:rsidR="0014131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41317">
          <w:rPr>
            <w:noProof/>
            <w:webHidden/>
          </w:rPr>
          <w:fldChar w:fldCharType="end"/>
        </w:r>
      </w:hyperlink>
    </w:p>
    <w:p w14:paraId="1B7DAEC1" w14:textId="1B3B5543" w:rsidR="00141317" w:rsidRDefault="00E52826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5719203" w:history="1">
        <w:r w:rsidR="00141317" w:rsidRPr="003606EC">
          <w:rPr>
            <w:rStyle w:val="Hyperlink"/>
            <w:noProof/>
          </w:rPr>
          <w:t>Methodology</w:t>
        </w:r>
        <w:r w:rsidR="00141317">
          <w:rPr>
            <w:noProof/>
            <w:webHidden/>
          </w:rPr>
          <w:tab/>
        </w:r>
        <w:r w:rsidR="00141317">
          <w:rPr>
            <w:noProof/>
            <w:webHidden/>
          </w:rPr>
          <w:fldChar w:fldCharType="begin"/>
        </w:r>
        <w:r w:rsidR="00141317">
          <w:rPr>
            <w:noProof/>
            <w:webHidden/>
          </w:rPr>
          <w:instrText xml:space="preserve"> PAGEREF _Toc5719203 \h </w:instrText>
        </w:r>
        <w:r w:rsidR="00141317">
          <w:rPr>
            <w:noProof/>
            <w:webHidden/>
          </w:rPr>
        </w:r>
        <w:r w:rsidR="00141317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41317">
          <w:rPr>
            <w:noProof/>
            <w:webHidden/>
          </w:rPr>
          <w:fldChar w:fldCharType="end"/>
        </w:r>
      </w:hyperlink>
    </w:p>
    <w:p w14:paraId="3FA5EB2B" w14:textId="6F34EE2E" w:rsidR="00141317" w:rsidRDefault="00E52826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5719204" w:history="1">
        <w:r w:rsidR="00141317" w:rsidRPr="003606EC">
          <w:rPr>
            <w:rStyle w:val="Hyperlink"/>
            <w:noProof/>
          </w:rPr>
          <w:t>Findings</w:t>
        </w:r>
        <w:r w:rsidR="00141317">
          <w:rPr>
            <w:noProof/>
            <w:webHidden/>
          </w:rPr>
          <w:tab/>
        </w:r>
        <w:r w:rsidR="00141317">
          <w:rPr>
            <w:noProof/>
            <w:webHidden/>
          </w:rPr>
          <w:fldChar w:fldCharType="begin"/>
        </w:r>
        <w:r w:rsidR="00141317">
          <w:rPr>
            <w:noProof/>
            <w:webHidden/>
          </w:rPr>
          <w:instrText xml:space="preserve"> PAGEREF _Toc5719204 \h </w:instrText>
        </w:r>
        <w:r w:rsidR="00141317">
          <w:rPr>
            <w:noProof/>
            <w:webHidden/>
          </w:rPr>
        </w:r>
        <w:r w:rsidR="00141317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141317">
          <w:rPr>
            <w:noProof/>
            <w:webHidden/>
          </w:rPr>
          <w:fldChar w:fldCharType="end"/>
        </w:r>
      </w:hyperlink>
    </w:p>
    <w:p w14:paraId="5B3BAE48" w14:textId="570308BE" w:rsidR="00141317" w:rsidRDefault="00E52826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5719205" w:history="1">
        <w:r w:rsidR="00141317" w:rsidRPr="003606EC">
          <w:rPr>
            <w:rStyle w:val="Hyperlink"/>
            <w:noProof/>
          </w:rPr>
          <w:t>Instrument coverage</w:t>
        </w:r>
        <w:r w:rsidR="00141317">
          <w:rPr>
            <w:noProof/>
            <w:webHidden/>
          </w:rPr>
          <w:tab/>
        </w:r>
        <w:r w:rsidR="00141317">
          <w:rPr>
            <w:noProof/>
            <w:webHidden/>
          </w:rPr>
          <w:fldChar w:fldCharType="begin"/>
        </w:r>
        <w:r w:rsidR="00141317">
          <w:rPr>
            <w:noProof/>
            <w:webHidden/>
          </w:rPr>
          <w:instrText xml:space="preserve"> PAGEREF _Toc5719205 \h </w:instrText>
        </w:r>
        <w:r w:rsidR="00141317">
          <w:rPr>
            <w:noProof/>
            <w:webHidden/>
          </w:rPr>
        </w:r>
        <w:r w:rsidR="00141317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141317">
          <w:rPr>
            <w:noProof/>
            <w:webHidden/>
          </w:rPr>
          <w:fldChar w:fldCharType="end"/>
        </w:r>
      </w:hyperlink>
    </w:p>
    <w:p w14:paraId="1B99DBF2" w14:textId="23AE4A8D" w:rsidR="00141317" w:rsidRDefault="00E52826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5719206" w:history="1">
        <w:r w:rsidR="00141317" w:rsidRPr="003606EC">
          <w:rPr>
            <w:rStyle w:val="Hyperlink"/>
            <w:noProof/>
          </w:rPr>
          <w:t>Record-keeping</w:t>
        </w:r>
        <w:r w:rsidR="00141317">
          <w:rPr>
            <w:noProof/>
            <w:webHidden/>
          </w:rPr>
          <w:tab/>
        </w:r>
        <w:r w:rsidR="00141317">
          <w:rPr>
            <w:noProof/>
            <w:webHidden/>
          </w:rPr>
          <w:fldChar w:fldCharType="begin"/>
        </w:r>
        <w:r w:rsidR="00141317">
          <w:rPr>
            <w:noProof/>
            <w:webHidden/>
          </w:rPr>
          <w:instrText xml:space="preserve"> PAGEREF _Toc5719206 \h </w:instrText>
        </w:r>
        <w:r w:rsidR="00141317">
          <w:rPr>
            <w:noProof/>
            <w:webHidden/>
          </w:rPr>
        </w:r>
        <w:r w:rsidR="00141317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141317">
          <w:rPr>
            <w:noProof/>
            <w:webHidden/>
          </w:rPr>
          <w:fldChar w:fldCharType="end"/>
        </w:r>
      </w:hyperlink>
    </w:p>
    <w:p w14:paraId="789799F1" w14:textId="6585BE9E" w:rsidR="00141317" w:rsidRDefault="00E52826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5719207" w:history="1">
        <w:r w:rsidR="00141317" w:rsidRPr="003606EC">
          <w:rPr>
            <w:rStyle w:val="Hyperlink"/>
            <w:noProof/>
          </w:rPr>
          <w:t>Invoicing and payment processes</w:t>
        </w:r>
        <w:r w:rsidR="00141317">
          <w:rPr>
            <w:noProof/>
            <w:webHidden/>
          </w:rPr>
          <w:tab/>
        </w:r>
        <w:r w:rsidR="00141317">
          <w:rPr>
            <w:noProof/>
            <w:webHidden/>
          </w:rPr>
          <w:fldChar w:fldCharType="begin"/>
        </w:r>
        <w:r w:rsidR="00141317">
          <w:rPr>
            <w:noProof/>
            <w:webHidden/>
          </w:rPr>
          <w:instrText xml:space="preserve"> PAGEREF _Toc5719207 \h </w:instrText>
        </w:r>
        <w:r w:rsidR="00141317">
          <w:rPr>
            <w:noProof/>
            <w:webHidden/>
          </w:rPr>
        </w:r>
        <w:r w:rsidR="00141317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41317">
          <w:rPr>
            <w:noProof/>
            <w:webHidden/>
          </w:rPr>
          <w:fldChar w:fldCharType="end"/>
        </w:r>
      </w:hyperlink>
    </w:p>
    <w:p w14:paraId="6AF9BA3E" w14:textId="18C9ED8B" w:rsidR="00141317" w:rsidRDefault="00E52826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5719208" w:history="1">
        <w:r w:rsidR="00141317" w:rsidRPr="003606EC">
          <w:rPr>
            <w:rStyle w:val="Hyperlink"/>
            <w:noProof/>
          </w:rPr>
          <w:t>Contraventions of the Act, Award and Agreements</w:t>
        </w:r>
        <w:r w:rsidR="00141317">
          <w:rPr>
            <w:noProof/>
            <w:webHidden/>
          </w:rPr>
          <w:tab/>
        </w:r>
        <w:r w:rsidR="00141317">
          <w:rPr>
            <w:noProof/>
            <w:webHidden/>
          </w:rPr>
          <w:fldChar w:fldCharType="begin"/>
        </w:r>
        <w:r w:rsidR="00141317">
          <w:rPr>
            <w:noProof/>
            <w:webHidden/>
          </w:rPr>
          <w:instrText xml:space="preserve"> PAGEREF _Toc5719208 \h </w:instrText>
        </w:r>
        <w:r w:rsidR="00141317">
          <w:rPr>
            <w:noProof/>
            <w:webHidden/>
          </w:rPr>
        </w:r>
        <w:r w:rsidR="00141317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41317">
          <w:rPr>
            <w:noProof/>
            <w:webHidden/>
          </w:rPr>
          <w:fldChar w:fldCharType="end"/>
        </w:r>
      </w:hyperlink>
    </w:p>
    <w:p w14:paraId="096ADAEE" w14:textId="4D6FC7D2" w:rsidR="00141317" w:rsidRDefault="00E52826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5719209" w:history="1">
        <w:r w:rsidR="00141317" w:rsidRPr="003606EC">
          <w:rPr>
            <w:rStyle w:val="Hyperlink"/>
            <w:noProof/>
          </w:rPr>
          <w:t>Compliance and enforcement outcomes</w:t>
        </w:r>
        <w:r w:rsidR="00141317">
          <w:rPr>
            <w:noProof/>
            <w:webHidden/>
          </w:rPr>
          <w:tab/>
        </w:r>
        <w:r w:rsidR="00141317">
          <w:rPr>
            <w:noProof/>
            <w:webHidden/>
          </w:rPr>
          <w:fldChar w:fldCharType="begin"/>
        </w:r>
        <w:r w:rsidR="00141317">
          <w:rPr>
            <w:noProof/>
            <w:webHidden/>
          </w:rPr>
          <w:instrText xml:space="preserve"> PAGEREF _Toc5719209 \h </w:instrText>
        </w:r>
        <w:r w:rsidR="00141317">
          <w:rPr>
            <w:noProof/>
            <w:webHidden/>
          </w:rPr>
        </w:r>
        <w:r w:rsidR="00141317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41317">
          <w:rPr>
            <w:noProof/>
            <w:webHidden/>
          </w:rPr>
          <w:fldChar w:fldCharType="end"/>
        </w:r>
      </w:hyperlink>
    </w:p>
    <w:p w14:paraId="635DA06B" w14:textId="58621F8A" w:rsidR="00141317" w:rsidRDefault="00E52826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5719210" w:history="1">
        <w:r w:rsidR="00141317" w:rsidRPr="003606EC">
          <w:rPr>
            <w:rStyle w:val="Hyperlink"/>
            <w:noProof/>
          </w:rPr>
          <w:t>Conclusion</w:t>
        </w:r>
        <w:r w:rsidR="00141317">
          <w:rPr>
            <w:noProof/>
            <w:webHidden/>
          </w:rPr>
          <w:tab/>
        </w:r>
        <w:r w:rsidR="00141317">
          <w:rPr>
            <w:noProof/>
            <w:webHidden/>
          </w:rPr>
          <w:fldChar w:fldCharType="begin"/>
        </w:r>
        <w:r w:rsidR="00141317">
          <w:rPr>
            <w:noProof/>
            <w:webHidden/>
          </w:rPr>
          <w:instrText xml:space="preserve"> PAGEREF _Toc5719210 \h </w:instrText>
        </w:r>
        <w:r w:rsidR="00141317">
          <w:rPr>
            <w:noProof/>
            <w:webHidden/>
          </w:rPr>
        </w:r>
        <w:r w:rsidR="00141317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141317">
          <w:rPr>
            <w:noProof/>
            <w:webHidden/>
          </w:rPr>
          <w:fldChar w:fldCharType="end"/>
        </w:r>
      </w:hyperlink>
    </w:p>
    <w:p w14:paraId="19E01F69" w14:textId="6B3457A3" w:rsidR="00141317" w:rsidRDefault="00E52826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5719211" w:history="1">
        <w:r w:rsidR="00141317" w:rsidRPr="003606EC">
          <w:rPr>
            <w:rStyle w:val="Hyperlink"/>
            <w:rFonts w:cstheme="minorHAnsi"/>
            <w:noProof/>
          </w:rPr>
          <w:t>About the Fair Work Ombudsman</w:t>
        </w:r>
        <w:r w:rsidR="00141317">
          <w:rPr>
            <w:noProof/>
            <w:webHidden/>
          </w:rPr>
          <w:tab/>
        </w:r>
        <w:r w:rsidR="00141317">
          <w:rPr>
            <w:noProof/>
            <w:webHidden/>
          </w:rPr>
          <w:fldChar w:fldCharType="begin"/>
        </w:r>
        <w:r w:rsidR="00141317">
          <w:rPr>
            <w:noProof/>
            <w:webHidden/>
          </w:rPr>
          <w:instrText xml:space="preserve"> PAGEREF _Toc5719211 \h </w:instrText>
        </w:r>
        <w:r w:rsidR="00141317">
          <w:rPr>
            <w:noProof/>
            <w:webHidden/>
          </w:rPr>
        </w:r>
        <w:r w:rsidR="00141317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141317">
          <w:rPr>
            <w:noProof/>
            <w:webHidden/>
          </w:rPr>
          <w:fldChar w:fldCharType="end"/>
        </w:r>
      </w:hyperlink>
    </w:p>
    <w:p w14:paraId="3DBF6C24" w14:textId="45EA36F0" w:rsidR="00BF0029" w:rsidRPr="00181475" w:rsidRDefault="00BF0029" w:rsidP="00BF0029">
      <w:r>
        <w:fldChar w:fldCharType="end"/>
      </w:r>
    </w:p>
    <w:p w14:paraId="73A466AF" w14:textId="77777777" w:rsidR="00BF0029" w:rsidRDefault="00BF0029">
      <w:pPr>
        <w:spacing w:line="240" w:lineRule="auto"/>
        <w:rPr>
          <w:rFonts w:eastAsiaTheme="minorHAnsi" w:cs="Times New Roman"/>
          <w:szCs w:val="22"/>
          <w:lang w:eastAsia="en-AU"/>
        </w:rPr>
      </w:pPr>
      <w:r>
        <w:rPr>
          <w:lang w:eastAsia="en-AU"/>
        </w:rPr>
        <w:br w:type="page"/>
      </w:r>
    </w:p>
    <w:p w14:paraId="0EC9DFE9" w14:textId="77777777" w:rsidR="00B811A6" w:rsidRDefault="00B811A6" w:rsidP="00177B9A">
      <w:pPr>
        <w:pStyle w:val="Heading1"/>
      </w:pPr>
      <w:bookmarkStart w:id="6" w:name="_Toc5719199"/>
      <w:r>
        <w:lastRenderedPageBreak/>
        <w:t>Summary</w:t>
      </w:r>
      <w:bookmarkEnd w:id="6"/>
    </w:p>
    <w:p w14:paraId="07069B6F" w14:textId="525786FB" w:rsidR="00A02351" w:rsidRDefault="00A02351" w:rsidP="00EF329E">
      <w:r>
        <w:t xml:space="preserve">The </w:t>
      </w:r>
      <w:r w:rsidR="00EF329E">
        <w:t xml:space="preserve">Fair Work Ombudsman (FWO) </w:t>
      </w:r>
      <w:r>
        <w:t xml:space="preserve">initiated the Commonwealth Games Compliance Activity </w:t>
      </w:r>
      <w:r w:rsidR="003362E2">
        <w:t xml:space="preserve">to test the levels of </w:t>
      </w:r>
      <w:r>
        <w:t xml:space="preserve">compliance </w:t>
      </w:r>
      <w:r w:rsidR="00EF329E">
        <w:t xml:space="preserve">by </w:t>
      </w:r>
      <w:r>
        <w:t xml:space="preserve">employers </w:t>
      </w:r>
      <w:r w:rsidR="00EF329E">
        <w:t>providing</w:t>
      </w:r>
      <w:r>
        <w:t xml:space="preserve"> general security services at the </w:t>
      </w:r>
      <w:r w:rsidR="00EF329E" w:rsidRPr="00EF329E">
        <w:t>Gold Coast 2018 XXI Commonwealth Games</w:t>
      </w:r>
      <w:r w:rsidR="00EF329E">
        <w:t xml:space="preserve"> (the Games). </w:t>
      </w:r>
    </w:p>
    <w:p w14:paraId="23859AC3" w14:textId="79B34271" w:rsidR="00A02351" w:rsidRDefault="00A02351" w:rsidP="00A02351">
      <w:r>
        <w:t xml:space="preserve">The FWO </w:t>
      </w:r>
      <w:r w:rsidR="003362E2">
        <w:t>considered</w:t>
      </w:r>
      <w:r>
        <w:t>:</w:t>
      </w:r>
    </w:p>
    <w:p w14:paraId="578EEF79" w14:textId="7AF8B31C" w:rsidR="00A02351" w:rsidRPr="00DA674B" w:rsidRDefault="00A02351" w:rsidP="00D96D77">
      <w:pPr>
        <w:pStyle w:val="Bullet"/>
      </w:pPr>
      <w:r w:rsidRPr="00DA674B">
        <w:t>the size and scope of the Games</w:t>
      </w:r>
      <w:r w:rsidR="003362E2">
        <w:t>,</w:t>
      </w:r>
      <w:r w:rsidRPr="00DA674B">
        <w:t xml:space="preserve"> the </w:t>
      </w:r>
      <w:r w:rsidR="00ED5673">
        <w:t xml:space="preserve">reliance on </w:t>
      </w:r>
      <w:r w:rsidRPr="00DA674B">
        <w:t>security subcon</w:t>
      </w:r>
      <w:r w:rsidR="00EF329E">
        <w:t xml:space="preserve">tractors and </w:t>
      </w:r>
      <w:r w:rsidR="00ED5673">
        <w:t xml:space="preserve">the large number of </w:t>
      </w:r>
      <w:r w:rsidR="00EF329E">
        <w:t>employees involved</w:t>
      </w:r>
    </w:p>
    <w:p w14:paraId="2185DD7C" w14:textId="7DB93046" w:rsidR="00A02351" w:rsidRPr="00DA674B" w:rsidRDefault="00A02351" w:rsidP="00D96D77">
      <w:pPr>
        <w:pStyle w:val="Bullet"/>
      </w:pPr>
      <w:r w:rsidRPr="00DA674B">
        <w:t>the short term, casual nature of the employment and the long hours of work, entitling security officers to penalty rates</w:t>
      </w:r>
    </w:p>
    <w:p w14:paraId="278EA06F" w14:textId="77777777" w:rsidR="00A02351" w:rsidRPr="00DA674B" w:rsidRDefault="00A02351" w:rsidP="00D96D77">
      <w:pPr>
        <w:pStyle w:val="Bullet"/>
      </w:pPr>
      <w:proofErr w:type="gramStart"/>
      <w:r w:rsidRPr="00DA674B">
        <w:t>its</w:t>
      </w:r>
      <w:proofErr w:type="gramEnd"/>
      <w:r w:rsidRPr="00DA674B">
        <w:t xml:space="preserve"> experience with the security industry.</w:t>
      </w:r>
    </w:p>
    <w:p w14:paraId="2DFE27E8" w14:textId="77777777" w:rsidR="008466A6" w:rsidRDefault="00A02351" w:rsidP="001E11E3">
      <w:r>
        <w:t>After interviewing security officers during the event and reviewing intelligence, Fair Work Inspectors selected nine employers for audit.</w:t>
      </w:r>
      <w:r w:rsidR="008466A6">
        <w:t xml:space="preserve"> They found that:</w:t>
      </w:r>
    </w:p>
    <w:p w14:paraId="0FEB0D54" w14:textId="70E6D23A" w:rsidR="00A02351" w:rsidRDefault="008466A6" w:rsidP="00EF329E">
      <w:pPr>
        <w:pStyle w:val="Bullet"/>
      </w:pPr>
      <w:r>
        <w:t>t</w:t>
      </w:r>
      <w:r w:rsidR="00A02351">
        <w:t>wo employers were non-compliant in respect of penalty rates</w:t>
      </w:r>
    </w:p>
    <w:p w14:paraId="476B1B91" w14:textId="544F4936" w:rsidR="00A02351" w:rsidRDefault="00A02351">
      <w:pPr>
        <w:pStyle w:val="Bullet"/>
      </w:pPr>
      <w:r>
        <w:t>three were in breach of the record-keeping and pay slip requirements of Fair Work Act</w:t>
      </w:r>
      <w:r w:rsidR="00F4014E">
        <w:t xml:space="preserve"> 2009</w:t>
      </w:r>
      <w:r>
        <w:t xml:space="preserve"> (the Act) and Fair Work Regulations 2009 (the Regulations)</w:t>
      </w:r>
    </w:p>
    <w:p w14:paraId="730D7186" w14:textId="77777777" w:rsidR="00A02351" w:rsidRDefault="00A02351">
      <w:pPr>
        <w:pStyle w:val="Bullet"/>
      </w:pPr>
      <w:r>
        <w:t>five failed to pay their employees in full</w:t>
      </w:r>
    </w:p>
    <w:p w14:paraId="65C91870" w14:textId="64F6CB0F" w:rsidR="00A02351" w:rsidRDefault="00A02351">
      <w:pPr>
        <w:pStyle w:val="Bullet"/>
      </w:pPr>
      <w:proofErr w:type="gramStart"/>
      <w:r>
        <w:t>all</w:t>
      </w:r>
      <w:proofErr w:type="gramEnd"/>
      <w:r>
        <w:t xml:space="preserve"> were non-compliant with the frequenc</w:t>
      </w:r>
      <w:r w:rsidR="00EF329E">
        <w:t>y of payment provisions of the a</w:t>
      </w:r>
      <w:r>
        <w:t>ward or agreement covering their employees.</w:t>
      </w:r>
    </w:p>
    <w:p w14:paraId="3869B2FD" w14:textId="2374B50E" w:rsidR="0097755D" w:rsidRDefault="00EF329E" w:rsidP="001E11E3">
      <w:r>
        <w:t xml:space="preserve">Non-compliance resulted from </w:t>
      </w:r>
      <w:r w:rsidR="008A4B20">
        <w:t xml:space="preserve">the failure of employers to maintain adequate employee time </w:t>
      </w:r>
      <w:r w:rsidR="0097755D">
        <w:t>record</w:t>
      </w:r>
      <w:r w:rsidR="008A4B20">
        <w:t>s or ensure they had sufficient funds to pay employees on time and in full.</w:t>
      </w:r>
    </w:p>
    <w:p w14:paraId="6EBB7D24" w14:textId="7A927477" w:rsidR="00A02351" w:rsidRDefault="00EF329E" w:rsidP="001E11E3">
      <w:r>
        <w:t xml:space="preserve">Fair Work </w:t>
      </w:r>
      <w:r w:rsidR="00A02351">
        <w:t>Inspectors issued:</w:t>
      </w:r>
    </w:p>
    <w:p w14:paraId="5F8AFC21" w14:textId="13C521C0" w:rsidR="00B77739" w:rsidRDefault="00B77739" w:rsidP="00B77739">
      <w:pPr>
        <w:pStyle w:val="Bullet"/>
      </w:pPr>
      <w:r>
        <w:t>e</w:t>
      </w:r>
      <w:r w:rsidRPr="002064A7">
        <w:t xml:space="preserve">ight contravention letters requiring employers to take action to rectify </w:t>
      </w:r>
      <w:r>
        <w:t xml:space="preserve">their </w:t>
      </w:r>
      <w:r w:rsidRPr="002064A7">
        <w:t xml:space="preserve">non-compliance </w:t>
      </w:r>
    </w:p>
    <w:p w14:paraId="29BCC2F8" w14:textId="1222E3C5" w:rsidR="00A02351" w:rsidRDefault="00A02351" w:rsidP="00D96D77">
      <w:pPr>
        <w:pStyle w:val="Bullet"/>
      </w:pPr>
      <w:r>
        <w:t>a Formal Caution warning an employer about the possibility of legal action in respon</w:t>
      </w:r>
      <w:r w:rsidR="00EF329E">
        <w:t>se to any future non-compliance</w:t>
      </w:r>
    </w:p>
    <w:p w14:paraId="4990655B" w14:textId="4F33DBA8" w:rsidR="00A02351" w:rsidRDefault="00A02351" w:rsidP="00D96D77">
      <w:pPr>
        <w:pStyle w:val="Bullet"/>
      </w:pPr>
      <w:proofErr w:type="gramStart"/>
      <w:r>
        <w:t>four</w:t>
      </w:r>
      <w:proofErr w:type="gramEnd"/>
      <w:r>
        <w:t xml:space="preserve"> Infringement Notices, amounting </w:t>
      </w:r>
      <w:r w:rsidR="008466A6">
        <w:t>to</w:t>
      </w:r>
      <w:r>
        <w:t xml:space="preserve"> $12 600 in penalties </w:t>
      </w:r>
      <w:r w:rsidR="00CE4F22">
        <w:t xml:space="preserve">for </w:t>
      </w:r>
      <w:r>
        <w:t>recor</w:t>
      </w:r>
      <w:r w:rsidR="00EF329E">
        <w:t>d-keeping and pay slip breaches.</w:t>
      </w:r>
    </w:p>
    <w:p w14:paraId="438D35EA" w14:textId="7607A9CF" w:rsidR="0033566F" w:rsidRDefault="00EF329E" w:rsidP="00A02351">
      <w:r>
        <w:t>T</w:t>
      </w:r>
      <w:r w:rsidR="00A02351">
        <w:t xml:space="preserve">he FWO recovered </w:t>
      </w:r>
      <w:r w:rsidR="00A02351" w:rsidRPr="006273D0">
        <w:t>$</w:t>
      </w:r>
      <w:r w:rsidR="00A02351">
        <w:t>24 309.79</w:t>
      </w:r>
      <w:r w:rsidR="00CE4F22" w:rsidRPr="00CE4F22">
        <w:t xml:space="preserve"> </w:t>
      </w:r>
      <w:r w:rsidR="00CE4F22">
        <w:t>for ten security officers</w:t>
      </w:r>
      <w:r w:rsidR="00A02351">
        <w:t xml:space="preserve"> from five employers</w:t>
      </w:r>
      <w:r w:rsidR="00CE4F22">
        <w:t>.</w:t>
      </w:r>
    </w:p>
    <w:p w14:paraId="753AD1CD" w14:textId="77777777" w:rsidR="0033566F" w:rsidRDefault="0033566F">
      <w:pPr>
        <w:spacing w:before="0" w:line="240" w:lineRule="auto"/>
      </w:pPr>
      <w:r>
        <w:br w:type="page"/>
      </w:r>
    </w:p>
    <w:p w14:paraId="144E0FED" w14:textId="0BFFC6A9" w:rsidR="00B811A6" w:rsidRDefault="00B811A6" w:rsidP="00177B9A">
      <w:pPr>
        <w:pStyle w:val="Heading1"/>
      </w:pPr>
      <w:bookmarkStart w:id="7" w:name="_Toc5719200"/>
      <w:r w:rsidRPr="00515A11">
        <w:lastRenderedPageBreak/>
        <w:t>Background</w:t>
      </w:r>
      <w:bookmarkEnd w:id="7"/>
    </w:p>
    <w:p w14:paraId="6E74EFFF" w14:textId="51D05D52" w:rsidR="0095529B" w:rsidRPr="001E11E3" w:rsidRDefault="006744E0">
      <w:pPr>
        <w:pStyle w:val="Heading2"/>
      </w:pPr>
      <w:bookmarkStart w:id="8" w:name="_Toc5719201"/>
      <w:r w:rsidRPr="001E11E3">
        <w:t xml:space="preserve">Labour </w:t>
      </w:r>
      <w:r w:rsidR="005329C1" w:rsidRPr="001E11E3">
        <w:t>‘supply chains’</w:t>
      </w:r>
      <w:bookmarkEnd w:id="8"/>
    </w:p>
    <w:p w14:paraId="1CE4F2C1" w14:textId="6092509B" w:rsidR="00261BE2" w:rsidRPr="00261BE2" w:rsidRDefault="00261BE2" w:rsidP="004067AD">
      <w:r w:rsidRPr="00261BE2">
        <w:t>Supply chains</w:t>
      </w:r>
      <w:r w:rsidRPr="004067AD">
        <w:t xml:space="preserve"> occur when a business, or ‘</w:t>
      </w:r>
      <w:r w:rsidR="004067AD">
        <w:t>p</w:t>
      </w:r>
      <w:r w:rsidR="004067AD" w:rsidRPr="004067AD">
        <w:t>rincip</w:t>
      </w:r>
      <w:r w:rsidR="00A76D31">
        <w:t>al</w:t>
      </w:r>
      <w:r w:rsidR="004067AD" w:rsidRPr="004067AD">
        <w:t xml:space="preserve">’ </w:t>
      </w:r>
      <w:r w:rsidRPr="004067AD">
        <w:t xml:space="preserve">enters into a contract to provide labour for another business. The </w:t>
      </w:r>
      <w:r w:rsidR="00A76D31">
        <w:t>principal</w:t>
      </w:r>
      <w:r w:rsidR="004067AD" w:rsidRPr="004067AD">
        <w:t xml:space="preserve"> </w:t>
      </w:r>
      <w:r w:rsidRPr="004067AD">
        <w:t>may then subcontract that responsibility on to another business</w:t>
      </w:r>
      <w:r w:rsidR="00CE09CC">
        <w:t xml:space="preserve"> o</w:t>
      </w:r>
      <w:r w:rsidR="001556B6">
        <w:t xml:space="preserve">r </w:t>
      </w:r>
      <w:r w:rsidR="00CE09CC">
        <w:t>individual</w:t>
      </w:r>
      <w:r w:rsidRPr="004067AD">
        <w:t>, or ‘subcontractor’, who directly employs the workers.</w:t>
      </w:r>
      <w:r>
        <w:rPr>
          <w:rStyle w:val="FootnoteReference"/>
        </w:rPr>
        <w:footnoteReference w:id="1"/>
      </w:r>
      <w:r w:rsidRPr="00261BE2">
        <w:t xml:space="preserve"> Subcontracting is common in the security industry, and provides a flexible supply of labour in period</w:t>
      </w:r>
      <w:r w:rsidR="0081178C">
        <w:t>s</w:t>
      </w:r>
      <w:r w:rsidR="00CE09CC">
        <w:t xml:space="preserve"> of peak demand</w:t>
      </w:r>
      <w:r w:rsidRPr="004067AD">
        <w:t xml:space="preserve">. </w:t>
      </w:r>
    </w:p>
    <w:p w14:paraId="2E128116" w14:textId="5144D19F" w:rsidR="0095529B" w:rsidRDefault="0095529B">
      <w:pPr>
        <w:pStyle w:val="Heading2"/>
      </w:pPr>
      <w:bookmarkStart w:id="9" w:name="_Toc5719202"/>
      <w:r>
        <w:t>The Games</w:t>
      </w:r>
      <w:bookmarkEnd w:id="9"/>
    </w:p>
    <w:p w14:paraId="4515B361" w14:textId="0951352C" w:rsidR="00490807" w:rsidRDefault="00B811A6" w:rsidP="00B811A6">
      <w:r>
        <w:t>The XXI Commonwealth Games (the</w:t>
      </w:r>
      <w:r w:rsidRPr="00571315">
        <w:t xml:space="preserve"> Games</w:t>
      </w:r>
      <w:r>
        <w:t xml:space="preserve">) were held on Queensland’s Gold Coast from 4-15 April 2018. </w:t>
      </w:r>
      <w:r w:rsidRPr="00BC7466">
        <w:t>The Gold Coast 2018 Commonwealth Games Corporation (</w:t>
      </w:r>
      <w:r w:rsidRPr="00571315">
        <w:t>GOLDOC</w:t>
      </w:r>
      <w:r w:rsidRPr="00BC7466">
        <w:t xml:space="preserve">) </w:t>
      </w:r>
      <w:r>
        <w:t>planned</w:t>
      </w:r>
      <w:r w:rsidR="00571315">
        <w:t xml:space="preserve"> and coordinated </w:t>
      </w:r>
      <w:r>
        <w:t xml:space="preserve">the </w:t>
      </w:r>
      <w:r w:rsidR="000E5942">
        <w:t>event</w:t>
      </w:r>
      <w:r>
        <w:t xml:space="preserve">. </w:t>
      </w:r>
    </w:p>
    <w:p w14:paraId="6AF92F5C" w14:textId="306AD16E" w:rsidR="00B811A6" w:rsidRDefault="00571315" w:rsidP="00B811A6">
      <w:r>
        <w:t xml:space="preserve">Commonwealth and State Government agencies were responsible for </w:t>
      </w:r>
      <w:r w:rsidR="007924BB">
        <w:t xml:space="preserve">the </w:t>
      </w:r>
      <w:r>
        <w:t>s</w:t>
      </w:r>
      <w:r w:rsidR="00B811A6">
        <w:t xml:space="preserve">ecurity </w:t>
      </w:r>
      <w:r w:rsidR="007924BB">
        <w:t>of</w:t>
      </w:r>
      <w:r w:rsidR="00B811A6">
        <w:t xml:space="preserve"> dignitaries, counter-terrorism</w:t>
      </w:r>
      <w:r>
        <w:t xml:space="preserve"> operations </w:t>
      </w:r>
      <w:r w:rsidR="00B811A6">
        <w:t xml:space="preserve">and </w:t>
      </w:r>
      <w:r w:rsidR="007924BB">
        <w:t xml:space="preserve">any </w:t>
      </w:r>
      <w:r w:rsidR="00B811A6">
        <w:t>national security issues</w:t>
      </w:r>
      <w:r>
        <w:t>.</w:t>
      </w:r>
      <w:r w:rsidR="00B811A6">
        <w:t xml:space="preserve"> GOLDOC </w:t>
      </w:r>
      <w:r w:rsidR="00F44361">
        <w:t xml:space="preserve">organised </w:t>
      </w:r>
      <w:r w:rsidR="00B811A6">
        <w:t xml:space="preserve">general security at </w:t>
      </w:r>
      <w:r w:rsidR="00F4014E">
        <w:t xml:space="preserve">the </w:t>
      </w:r>
      <w:r w:rsidR="00B811A6">
        <w:t>Games</w:t>
      </w:r>
      <w:r w:rsidR="0081178C">
        <w:t>’</w:t>
      </w:r>
      <w:r w:rsidR="00B811A6">
        <w:t xml:space="preserve"> venues and events.</w:t>
      </w:r>
    </w:p>
    <w:p w14:paraId="749AD055" w14:textId="4A66C09B" w:rsidR="00B811A6" w:rsidRDefault="00B811A6" w:rsidP="00B811A6">
      <w:r>
        <w:t xml:space="preserve">GOLDOC </w:t>
      </w:r>
      <w:r w:rsidR="005538BB">
        <w:t xml:space="preserve">engaged </w:t>
      </w:r>
      <w:r>
        <w:t>four principal contractors to provide security services:</w:t>
      </w:r>
    </w:p>
    <w:p w14:paraId="72374D14" w14:textId="77777777" w:rsidR="00B811A6" w:rsidRPr="005538BB" w:rsidRDefault="00B811A6" w:rsidP="00D96D77">
      <w:pPr>
        <w:pStyle w:val="Bullet"/>
      </w:pPr>
      <w:r>
        <w:t>Wilson Security Pty Ltd (ABN 90 127 406 295</w:t>
      </w:r>
      <w:r w:rsidRPr="005538BB">
        <w:t>) (Wilsons)</w:t>
      </w:r>
    </w:p>
    <w:p w14:paraId="4E94F060" w14:textId="2E3CCC1D" w:rsidR="00B811A6" w:rsidRPr="005538BB" w:rsidRDefault="00B811A6" w:rsidP="00D96D77">
      <w:pPr>
        <w:pStyle w:val="Bullet"/>
      </w:pPr>
      <w:proofErr w:type="spellStart"/>
      <w:r w:rsidRPr="005538BB">
        <w:t>Securecorp</w:t>
      </w:r>
      <w:proofErr w:type="spellEnd"/>
      <w:r w:rsidRPr="005538BB">
        <w:t xml:space="preserve"> (QLD) Pty Ltd (ABN 76 108 335 155) (</w:t>
      </w:r>
      <w:proofErr w:type="spellStart"/>
      <w:r w:rsidRPr="005538BB">
        <w:t>Securecorp</w:t>
      </w:r>
      <w:proofErr w:type="spellEnd"/>
      <w:r w:rsidRPr="005538BB">
        <w:t>)</w:t>
      </w:r>
    </w:p>
    <w:p w14:paraId="42D6734F" w14:textId="77777777" w:rsidR="00B811A6" w:rsidRPr="005538BB" w:rsidRDefault="00B811A6" w:rsidP="00D96D77">
      <w:pPr>
        <w:pStyle w:val="Bullet"/>
      </w:pPr>
      <w:r w:rsidRPr="005538BB">
        <w:t>MSS Security Pty Ltd (ABN  29 100 573 966) (MSS)</w:t>
      </w:r>
    </w:p>
    <w:p w14:paraId="38126EC6" w14:textId="3443FE83" w:rsidR="00B811A6" w:rsidRPr="005538BB" w:rsidRDefault="00B811A6" w:rsidP="00D96D77">
      <w:pPr>
        <w:pStyle w:val="Bullet"/>
      </w:pPr>
      <w:r w:rsidRPr="005538BB">
        <w:t>Sydney Night Patrol and Inquiry Co. Pty Ltd (ABN 11 000 013 098) (SNP)</w:t>
      </w:r>
      <w:r w:rsidR="005538BB" w:rsidRPr="005538BB">
        <w:t>.</w:t>
      </w:r>
    </w:p>
    <w:p w14:paraId="363069F0" w14:textId="34F33A06" w:rsidR="00B811A6" w:rsidRDefault="005538BB" w:rsidP="00B811A6">
      <w:r>
        <w:t>The principal</w:t>
      </w:r>
      <w:r w:rsidR="004067AD">
        <w:t>s</w:t>
      </w:r>
      <w:r w:rsidR="00B811A6">
        <w:t xml:space="preserve"> engaged approximately 65 subcontractors</w:t>
      </w:r>
      <w:r>
        <w:t xml:space="preserve"> </w:t>
      </w:r>
      <w:r w:rsidR="00B811A6">
        <w:t>to</w:t>
      </w:r>
      <w:r>
        <w:t xml:space="preserve"> find and </w:t>
      </w:r>
      <w:r w:rsidR="00B811A6">
        <w:t xml:space="preserve">employ 4200 security officers for </w:t>
      </w:r>
      <w:r w:rsidR="00490807">
        <w:t xml:space="preserve">the </w:t>
      </w:r>
      <w:r>
        <w:t xml:space="preserve">event. </w:t>
      </w:r>
      <w:r w:rsidR="00B811A6">
        <w:t xml:space="preserve">Approximately 3000 </w:t>
      </w:r>
      <w:r w:rsidR="000E5942">
        <w:t xml:space="preserve">were </w:t>
      </w:r>
      <w:r w:rsidR="00B811A6">
        <w:t>Queensland</w:t>
      </w:r>
      <w:r w:rsidR="000E5942">
        <w:t>-based:</w:t>
      </w:r>
      <w:r>
        <w:t xml:space="preserve"> the remaining 1</w:t>
      </w:r>
      <w:r w:rsidR="00B811A6">
        <w:t xml:space="preserve">200 </w:t>
      </w:r>
      <w:r>
        <w:t xml:space="preserve">were </w:t>
      </w:r>
      <w:r w:rsidR="000E5942">
        <w:t xml:space="preserve">recruited </w:t>
      </w:r>
      <w:r w:rsidR="00B811A6">
        <w:t xml:space="preserve">from interstate or New Zealand. </w:t>
      </w:r>
    </w:p>
    <w:p w14:paraId="7725E791" w14:textId="4085B2F4" w:rsidR="005538BB" w:rsidRDefault="000E5942" w:rsidP="005538BB">
      <w:r>
        <w:t xml:space="preserve">The majority of </w:t>
      </w:r>
      <w:r w:rsidR="00B811A6">
        <w:t>security officers were employed on a casual basis</w:t>
      </w:r>
      <w:r w:rsidR="00B77739">
        <w:t xml:space="preserve">. Officers </w:t>
      </w:r>
      <w:r w:rsidR="005538BB">
        <w:t>work</w:t>
      </w:r>
      <w:r w:rsidR="0081178C">
        <w:t>ed</w:t>
      </w:r>
      <w:r w:rsidR="005538BB">
        <w:t xml:space="preserve"> for one entity only. Most were engaged </w:t>
      </w:r>
      <w:r w:rsidR="00490807">
        <w:t xml:space="preserve">to work only </w:t>
      </w:r>
      <w:r w:rsidR="00D153FF">
        <w:t>during</w:t>
      </w:r>
      <w:r w:rsidR="005538BB">
        <w:t xml:space="preserve"> </w:t>
      </w:r>
      <w:r w:rsidR="00FF1FD2">
        <w:t>the 11-</w:t>
      </w:r>
      <w:r w:rsidR="00B811A6">
        <w:t>day period of the Games</w:t>
      </w:r>
      <w:r w:rsidR="005538BB">
        <w:t>, and generally worked 12-hour shifts over a 24-h</w:t>
      </w:r>
      <w:r w:rsidR="0081178C">
        <w:t>our period, with some overtime.</w:t>
      </w:r>
    </w:p>
    <w:p w14:paraId="2B53716C" w14:textId="77777777" w:rsidR="008300EB" w:rsidRDefault="00B811A6" w:rsidP="00B811A6">
      <w:r>
        <w:t xml:space="preserve">The FWO met regularly with GOLDOC and the Australian Security Industry Association Limited </w:t>
      </w:r>
      <w:r w:rsidRPr="000E5942">
        <w:t>(ASIAL)</w:t>
      </w:r>
      <w:r>
        <w:t xml:space="preserve"> before the Games to observe contractual, organisational and record</w:t>
      </w:r>
      <w:r w:rsidR="005538BB">
        <w:t>-</w:t>
      </w:r>
      <w:r>
        <w:t>keeping arrangements.</w:t>
      </w:r>
      <w:r w:rsidR="00490807">
        <w:t xml:space="preserve"> </w:t>
      </w:r>
    </w:p>
    <w:p w14:paraId="1CD01D9F" w14:textId="77777777" w:rsidR="008300EB" w:rsidRDefault="008300EB" w:rsidP="00B811A6"/>
    <w:p w14:paraId="46F10664" w14:textId="77777777" w:rsidR="00692449" w:rsidRDefault="00692449">
      <w:pPr>
        <w:spacing w:before="0" w:line="240" w:lineRule="auto"/>
      </w:pPr>
      <w:r>
        <w:br w:type="page"/>
      </w:r>
    </w:p>
    <w:p w14:paraId="12A19793" w14:textId="2C334BD5" w:rsidR="00F900D3" w:rsidRDefault="00B811A6" w:rsidP="00B811A6">
      <w:r>
        <w:lastRenderedPageBreak/>
        <w:t xml:space="preserve">The FWO </w:t>
      </w:r>
      <w:r w:rsidR="008300EB">
        <w:t xml:space="preserve">identified a potential </w:t>
      </w:r>
      <w:r w:rsidR="00F900D3">
        <w:t>risk that security officers would not receive their minimum entitlements</w:t>
      </w:r>
      <w:r w:rsidR="00D85101">
        <w:t xml:space="preserve"> due to</w:t>
      </w:r>
      <w:r w:rsidR="00F900D3">
        <w:t>:</w:t>
      </w:r>
    </w:p>
    <w:p w14:paraId="53B721B1" w14:textId="09B7D85B" w:rsidR="00D153FF" w:rsidRDefault="00F900D3" w:rsidP="00D96D77">
      <w:pPr>
        <w:pStyle w:val="Bullet"/>
      </w:pPr>
      <w:r>
        <w:t xml:space="preserve">the </w:t>
      </w:r>
      <w:r w:rsidR="00D153FF">
        <w:t>high number of subcontractors</w:t>
      </w:r>
      <w:r w:rsidR="000E5942">
        <w:t xml:space="preserve"> </w:t>
      </w:r>
      <w:r w:rsidR="00490807">
        <w:t>and security officers involved</w:t>
      </w:r>
    </w:p>
    <w:p w14:paraId="36FF197C" w14:textId="00E7BE99" w:rsidR="00F900D3" w:rsidRDefault="00F900D3" w:rsidP="00D96D77">
      <w:pPr>
        <w:pStyle w:val="Bullet"/>
      </w:pPr>
      <w:r>
        <w:t>officers</w:t>
      </w:r>
      <w:r w:rsidR="008300EB">
        <w:t xml:space="preserve"> being</w:t>
      </w:r>
      <w:r>
        <w:t xml:space="preserve"> engaged on a casual basis, for long hour</w:t>
      </w:r>
      <w:r w:rsidR="0081178C">
        <w:t>s over short employment periods</w:t>
      </w:r>
    </w:p>
    <w:p w14:paraId="4493AA23" w14:textId="22AD0200" w:rsidR="00F900D3" w:rsidRDefault="00D153FF" w:rsidP="00D96D77">
      <w:pPr>
        <w:pStyle w:val="Bullet"/>
      </w:pPr>
      <w:proofErr w:type="gramStart"/>
      <w:r>
        <w:t>the</w:t>
      </w:r>
      <w:proofErr w:type="gramEnd"/>
      <w:r>
        <w:t xml:space="preserve"> number of </w:t>
      </w:r>
      <w:r w:rsidR="00F900D3">
        <w:t>workplace disputes</w:t>
      </w:r>
      <w:r>
        <w:t xml:space="preserve"> </w:t>
      </w:r>
      <w:r w:rsidR="00490807">
        <w:t>the FWO r</w:t>
      </w:r>
      <w:r>
        <w:t>eceive</w:t>
      </w:r>
      <w:r w:rsidR="00490807">
        <w:t>s</w:t>
      </w:r>
      <w:r>
        <w:t xml:space="preserve"> from</w:t>
      </w:r>
      <w:r w:rsidR="00490807">
        <w:t xml:space="preserve"> security industry e</w:t>
      </w:r>
      <w:r>
        <w:t>mployees</w:t>
      </w:r>
      <w:r w:rsidR="0081178C">
        <w:t>.</w:t>
      </w:r>
      <w:r w:rsidR="00B811A6">
        <w:rPr>
          <w:rStyle w:val="FootnoteReference"/>
        </w:rPr>
        <w:footnoteReference w:id="2"/>
      </w:r>
    </w:p>
    <w:p w14:paraId="09504395" w14:textId="234D15B3" w:rsidR="00B811A6" w:rsidRDefault="00B811A6" w:rsidP="00B811A6">
      <w:r>
        <w:t>In response to this risk, the FWO commenced a</w:t>
      </w:r>
      <w:r w:rsidR="00F900D3">
        <w:t>n</w:t>
      </w:r>
      <w:r>
        <w:t xml:space="preserve"> activity </w:t>
      </w:r>
      <w:r w:rsidR="00F900D3">
        <w:t>to</w:t>
      </w:r>
      <w:r>
        <w:t xml:space="preserve"> assess </w:t>
      </w:r>
      <w:r w:rsidR="00B77739">
        <w:t xml:space="preserve">employer </w:t>
      </w:r>
      <w:r w:rsidR="00015BC4">
        <w:t xml:space="preserve">compliance </w:t>
      </w:r>
      <w:r w:rsidR="00607214">
        <w:t xml:space="preserve">during </w:t>
      </w:r>
      <w:r w:rsidR="008466A6">
        <w:t>the</w:t>
      </w:r>
      <w:r w:rsidR="0081178C">
        <w:t xml:space="preserve"> Games.</w:t>
      </w:r>
    </w:p>
    <w:p w14:paraId="4C370704" w14:textId="594ED8CB" w:rsidR="00B811A6" w:rsidRPr="00515A11" w:rsidRDefault="00015BC4">
      <w:pPr>
        <w:pStyle w:val="Heading2"/>
      </w:pPr>
      <w:bookmarkStart w:id="10" w:name="_Toc5719203"/>
      <w:r>
        <w:t>Methodology</w:t>
      </w:r>
      <w:bookmarkEnd w:id="10"/>
    </w:p>
    <w:p w14:paraId="00BFD97A" w14:textId="02FAD287" w:rsidR="00B811A6" w:rsidRDefault="009E1E35" w:rsidP="008300EB">
      <w:pPr>
        <w:spacing w:before="240"/>
      </w:pPr>
      <w:r>
        <w:t xml:space="preserve">Fair Work </w:t>
      </w:r>
      <w:r w:rsidR="00B811A6">
        <w:t xml:space="preserve">Inspectors </w:t>
      </w:r>
      <w:r w:rsidR="00B811A6" w:rsidRPr="00423B75">
        <w:t xml:space="preserve">interviewed security officers </w:t>
      </w:r>
      <w:r w:rsidR="0081178C">
        <w:t>over a two-</w:t>
      </w:r>
      <w:r w:rsidR="00607214">
        <w:t xml:space="preserve">day period during the event </w:t>
      </w:r>
      <w:r w:rsidR="00B811A6">
        <w:t xml:space="preserve">and provided </w:t>
      </w:r>
      <w:r w:rsidR="00015BC4">
        <w:t xml:space="preserve">them with </w:t>
      </w:r>
      <w:r w:rsidR="00B811A6" w:rsidRPr="00423B75">
        <w:t xml:space="preserve">FWO </w:t>
      </w:r>
      <w:r w:rsidR="00015BC4">
        <w:t>i</w:t>
      </w:r>
      <w:r w:rsidR="00B811A6" w:rsidRPr="00423B75">
        <w:t>nformation and contacts details.</w:t>
      </w:r>
      <w:r w:rsidR="00B811A6">
        <w:t xml:space="preserve"> </w:t>
      </w:r>
      <w:r w:rsidR="00BF7E0B">
        <w:t xml:space="preserve">They </w:t>
      </w:r>
      <w:r w:rsidR="00B811A6">
        <w:t>questioned officers</w:t>
      </w:r>
      <w:r w:rsidR="00B811A6" w:rsidRPr="00423B75">
        <w:t xml:space="preserve"> about their employment experiences</w:t>
      </w:r>
      <w:r w:rsidR="00B811A6">
        <w:t xml:space="preserve">, </w:t>
      </w:r>
      <w:r w:rsidR="00B811A6" w:rsidRPr="00423B75">
        <w:t xml:space="preserve">hours of work, </w:t>
      </w:r>
      <w:proofErr w:type="gramStart"/>
      <w:r w:rsidR="00B811A6" w:rsidRPr="00423B75">
        <w:t>rates</w:t>
      </w:r>
      <w:proofErr w:type="gramEnd"/>
      <w:r w:rsidR="00B811A6" w:rsidRPr="00423B75">
        <w:t xml:space="preserve"> of pay</w:t>
      </w:r>
      <w:r w:rsidR="00B811A6">
        <w:t>,</w:t>
      </w:r>
      <w:r w:rsidR="00B811A6" w:rsidRPr="00423B75">
        <w:t xml:space="preserve"> </w:t>
      </w:r>
      <w:r w:rsidR="00B811A6">
        <w:t>record</w:t>
      </w:r>
      <w:r w:rsidR="00BF7E0B">
        <w:t>-</w:t>
      </w:r>
      <w:r w:rsidR="00B811A6">
        <w:t xml:space="preserve">keeping arrangements </w:t>
      </w:r>
      <w:r w:rsidR="00B811A6" w:rsidRPr="00423B75">
        <w:t>and the provision of pay slips</w:t>
      </w:r>
      <w:r w:rsidR="00B811A6">
        <w:t>.</w:t>
      </w:r>
    </w:p>
    <w:p w14:paraId="660F7C4B" w14:textId="0491F369" w:rsidR="009049C1" w:rsidRDefault="00C118E2" w:rsidP="00015BC4">
      <w:pPr>
        <w:rPr>
          <w:i/>
        </w:rPr>
      </w:pPr>
      <w:r>
        <w:t xml:space="preserve">Inspectors </w:t>
      </w:r>
      <w:r w:rsidR="00B811A6">
        <w:t xml:space="preserve">used information gathered from </w:t>
      </w:r>
      <w:r w:rsidR="00BF7E0B">
        <w:t>these</w:t>
      </w:r>
      <w:r w:rsidR="00B811A6">
        <w:t xml:space="preserve"> interviews </w:t>
      </w:r>
      <w:r>
        <w:t xml:space="preserve">and </w:t>
      </w:r>
      <w:r w:rsidR="002E7F1A">
        <w:t xml:space="preserve">intelligence contained in </w:t>
      </w:r>
      <w:r w:rsidR="00B811A6">
        <w:t xml:space="preserve">enquiries </w:t>
      </w:r>
      <w:r>
        <w:t>made by</w:t>
      </w:r>
      <w:r w:rsidR="00B811A6">
        <w:t xml:space="preserve"> </w:t>
      </w:r>
      <w:r w:rsidR="00490807">
        <w:t xml:space="preserve">security </w:t>
      </w:r>
      <w:r w:rsidR="00B811A6">
        <w:t xml:space="preserve">officers after the Games to identify </w:t>
      </w:r>
      <w:r w:rsidR="009E1E35">
        <w:t>employers</w:t>
      </w:r>
      <w:r w:rsidR="009049C1">
        <w:t xml:space="preserve"> for audit</w:t>
      </w:r>
      <w:r w:rsidR="00BE2D35">
        <w:t xml:space="preserve">. </w:t>
      </w:r>
      <w:r w:rsidR="0081178C">
        <w:t>N</w:t>
      </w:r>
      <w:r w:rsidR="009049C1">
        <w:t>i</w:t>
      </w:r>
      <w:r w:rsidR="0081178C">
        <w:t>ne contractors and sub</w:t>
      </w:r>
      <w:r w:rsidR="009049C1">
        <w:t xml:space="preserve">contractors </w:t>
      </w:r>
      <w:r w:rsidR="0081178C">
        <w:t>were issued</w:t>
      </w:r>
      <w:r w:rsidR="00E56B57">
        <w:t xml:space="preserve"> with</w:t>
      </w:r>
      <w:r w:rsidR="00DA3DD0">
        <w:t xml:space="preserve"> </w:t>
      </w:r>
      <w:r w:rsidR="009049C1">
        <w:t xml:space="preserve">formal </w:t>
      </w:r>
      <w:r w:rsidR="0081178C">
        <w:t>Notice</w:t>
      </w:r>
      <w:r w:rsidR="00DA3DD0">
        <w:t>s</w:t>
      </w:r>
      <w:r>
        <w:t xml:space="preserve"> to Produce Records and/or Documents</w:t>
      </w:r>
      <w:r w:rsidR="0081178C">
        <w:t>,</w:t>
      </w:r>
      <w:r>
        <w:t xml:space="preserve"> </w:t>
      </w:r>
      <w:r w:rsidR="00BE2D35">
        <w:t xml:space="preserve">requiring </w:t>
      </w:r>
      <w:r w:rsidR="009049C1">
        <w:t xml:space="preserve">them to provide </w:t>
      </w:r>
      <w:r w:rsidR="00607214">
        <w:t xml:space="preserve">the FWO with </w:t>
      </w:r>
      <w:r w:rsidR="009049C1">
        <w:t xml:space="preserve">employment records for assessment. </w:t>
      </w:r>
      <w:r w:rsidR="00DA3DD0">
        <w:t xml:space="preserve">Inspectors </w:t>
      </w:r>
      <w:r w:rsidR="00607214">
        <w:t xml:space="preserve">also required </w:t>
      </w:r>
      <w:r w:rsidR="00B811A6">
        <w:t xml:space="preserve">GOLDOC </w:t>
      </w:r>
      <w:r w:rsidR="00607214">
        <w:t>to</w:t>
      </w:r>
      <w:r w:rsidR="00B811A6">
        <w:t xml:space="preserve"> provide time records for officers who worked during the Games</w:t>
      </w:r>
      <w:r w:rsidR="00B811A6" w:rsidRPr="00EF504F">
        <w:t>.</w:t>
      </w:r>
      <w:r w:rsidR="00B811A6" w:rsidRPr="00561627">
        <w:rPr>
          <w:i/>
        </w:rPr>
        <w:t xml:space="preserve"> </w:t>
      </w:r>
    </w:p>
    <w:p w14:paraId="1A4CD016" w14:textId="4D95938F" w:rsidR="00015BC4" w:rsidRPr="00015BC4" w:rsidRDefault="009049C1" w:rsidP="00015BC4">
      <w:r w:rsidRPr="000E5942">
        <w:t xml:space="preserve">Inspectors </w:t>
      </w:r>
      <w:r w:rsidR="00015BC4" w:rsidRPr="000E5942">
        <w:t>assess</w:t>
      </w:r>
      <w:r w:rsidR="000E5942" w:rsidRPr="000E5942">
        <w:t>ed</w:t>
      </w:r>
      <w:r w:rsidR="00015BC4" w:rsidRPr="00015BC4">
        <w:t xml:space="preserve"> compliance with the following provisions of the Act:</w:t>
      </w:r>
    </w:p>
    <w:p w14:paraId="7B33E97D" w14:textId="77777777" w:rsidR="00EC7F98" w:rsidRPr="00EC7F98" w:rsidRDefault="00EC7F98" w:rsidP="00EC7F98">
      <w:pPr>
        <w:pStyle w:val="Bullet"/>
      </w:pPr>
      <w:r>
        <w:t>Section 44 – the National Employment Standards</w:t>
      </w:r>
    </w:p>
    <w:p w14:paraId="1191639D" w14:textId="77777777" w:rsidR="00EC7F98" w:rsidRPr="00EC7F98" w:rsidRDefault="00EC7F98" w:rsidP="00EC7F98">
      <w:pPr>
        <w:pStyle w:val="Bullet"/>
      </w:pPr>
      <w:r>
        <w:t>Section 45 – Contravening a Modern Award</w:t>
      </w:r>
    </w:p>
    <w:p w14:paraId="11A7339D" w14:textId="77777777" w:rsidR="00EC7F98" w:rsidRPr="00EC7F98" w:rsidRDefault="00EC7F98" w:rsidP="00EC7F98">
      <w:pPr>
        <w:pStyle w:val="Bullet"/>
      </w:pPr>
      <w:r>
        <w:t>Section 50 – Contravening an Enterprise Agreement</w:t>
      </w:r>
    </w:p>
    <w:p w14:paraId="5673BCA4" w14:textId="77777777" w:rsidR="00EC7F98" w:rsidRPr="00EC7F98" w:rsidRDefault="00EC7F98" w:rsidP="00EC7F98">
      <w:pPr>
        <w:pStyle w:val="Bullet"/>
      </w:pPr>
      <w:r>
        <w:t>Section 323 – Method and frequency of payment</w:t>
      </w:r>
    </w:p>
    <w:p w14:paraId="3118B8AB" w14:textId="77777777" w:rsidR="00EC7F98" w:rsidRPr="00EC7F98" w:rsidRDefault="00EC7F98" w:rsidP="00EC7F98">
      <w:pPr>
        <w:pStyle w:val="Bullet"/>
      </w:pPr>
      <w:r>
        <w:t>Section 535 – Employer obligations in relation to employee records</w:t>
      </w:r>
    </w:p>
    <w:p w14:paraId="01F359E9" w14:textId="77777777" w:rsidR="0033566F" w:rsidRDefault="00EC7F98" w:rsidP="00EC7F98">
      <w:pPr>
        <w:pStyle w:val="Bullet"/>
      </w:pPr>
      <w:r>
        <w:t>Section 536 – Employer obligations in relation to pay slips</w:t>
      </w:r>
      <w:r w:rsidR="0033566F">
        <w:t>.</w:t>
      </w:r>
    </w:p>
    <w:p w14:paraId="2397E973" w14:textId="77777777" w:rsidR="0033566F" w:rsidRDefault="0033566F">
      <w:pPr>
        <w:spacing w:before="0" w:line="240" w:lineRule="auto"/>
        <w:rPr>
          <w:rFonts w:eastAsiaTheme="minorHAnsi" w:cs="Times New Roman"/>
          <w:szCs w:val="22"/>
        </w:rPr>
      </w:pPr>
      <w:r>
        <w:br w:type="page"/>
      </w:r>
    </w:p>
    <w:p w14:paraId="2C7ED2F2" w14:textId="72D40356" w:rsidR="00B811A6" w:rsidRDefault="00B811A6" w:rsidP="00177B9A">
      <w:pPr>
        <w:pStyle w:val="Heading1"/>
      </w:pPr>
      <w:bookmarkStart w:id="11" w:name="_Toc5719204"/>
      <w:r w:rsidRPr="00515A11">
        <w:lastRenderedPageBreak/>
        <w:t>Findings</w:t>
      </w:r>
      <w:bookmarkEnd w:id="11"/>
    </w:p>
    <w:p w14:paraId="23522285" w14:textId="412D13E0" w:rsidR="00934FDC" w:rsidRPr="001E11E3" w:rsidRDefault="0081178C">
      <w:pPr>
        <w:pStyle w:val="Heading2"/>
      </w:pPr>
      <w:bookmarkStart w:id="12" w:name="_Toc5719205"/>
      <w:r>
        <w:t>Instrument c</w:t>
      </w:r>
      <w:r w:rsidR="00934FDC" w:rsidRPr="001E11E3">
        <w:t>overage</w:t>
      </w:r>
      <w:bookmarkEnd w:id="12"/>
    </w:p>
    <w:p w14:paraId="2103175E" w14:textId="39493A09" w:rsidR="00934FDC" w:rsidRDefault="00D00288" w:rsidP="008300EB">
      <w:pPr>
        <w:spacing w:before="240"/>
      </w:pPr>
      <w:r>
        <w:t>S</w:t>
      </w:r>
      <w:r w:rsidR="00934FDC">
        <w:t xml:space="preserve">ecurity officers working for three of the </w:t>
      </w:r>
      <w:r w:rsidR="0081178C">
        <w:t>p</w:t>
      </w:r>
      <w:r w:rsidR="00934FDC">
        <w:t xml:space="preserve">rincipals were covered by the </w:t>
      </w:r>
      <w:r w:rsidR="00934FDC" w:rsidRPr="00607214">
        <w:t>Commonwealth Games Security Services Agreement 2018 (</w:t>
      </w:r>
      <w:r w:rsidR="00934FDC">
        <w:t>the ‘</w:t>
      </w:r>
      <w:r w:rsidR="00934FDC" w:rsidRPr="00607214">
        <w:t>MEEBA</w:t>
      </w:r>
      <w:r w:rsidR="00934FDC">
        <w:t>’</w:t>
      </w:r>
      <w:r w:rsidR="00934FDC" w:rsidRPr="00607214">
        <w:t>).</w:t>
      </w:r>
      <w:r w:rsidR="00934FDC">
        <w:t xml:space="preserve"> </w:t>
      </w:r>
      <w:r w:rsidR="009E1E35">
        <w:t xml:space="preserve">The fourth </w:t>
      </w:r>
      <w:r w:rsidR="0081178C">
        <w:t>p</w:t>
      </w:r>
      <w:r w:rsidR="00934FDC">
        <w:t xml:space="preserve">rincipal (MSS) </w:t>
      </w:r>
      <w:r w:rsidR="00446F0F">
        <w:t xml:space="preserve">signed </w:t>
      </w:r>
      <w:r w:rsidR="009E1E35">
        <w:t xml:space="preserve">a common law contract </w:t>
      </w:r>
      <w:r w:rsidR="00446F0F">
        <w:t>with</w:t>
      </w:r>
      <w:r w:rsidR="00934FDC">
        <w:t xml:space="preserve"> GOLDOC that provided</w:t>
      </w:r>
      <w:r w:rsidR="00446F0F">
        <w:t xml:space="preserve"> </w:t>
      </w:r>
      <w:r w:rsidR="00934FDC">
        <w:t xml:space="preserve">similar employee entitlements. </w:t>
      </w:r>
      <w:r w:rsidR="009E1E35">
        <w:t>N</w:t>
      </w:r>
      <w:r w:rsidR="0081178C">
        <w:t>o</w:t>
      </w:r>
      <w:r w:rsidR="009B7E97">
        <w:t xml:space="preserve"> </w:t>
      </w:r>
      <w:r w:rsidR="0081178C">
        <w:t>sub</w:t>
      </w:r>
      <w:r w:rsidR="00934FDC">
        <w:t>contractors employing security officers for the Games were covered by the MEEBA.</w:t>
      </w:r>
    </w:p>
    <w:p w14:paraId="0EA43CD4" w14:textId="1ED3C43E" w:rsidR="00934FDC" w:rsidRDefault="009E1E35" w:rsidP="00934FDC">
      <w:r>
        <w:t xml:space="preserve">The FWO determined that </w:t>
      </w:r>
      <w:r w:rsidR="00D00288">
        <w:t>employees</w:t>
      </w:r>
      <w:r w:rsidR="0063697E">
        <w:t xml:space="preserve"> not covered by the M</w:t>
      </w:r>
      <w:r w:rsidR="00AD5327">
        <w:t>EEBA</w:t>
      </w:r>
      <w:r w:rsidR="0063697E">
        <w:t xml:space="preserve"> were covered by either the:</w:t>
      </w:r>
    </w:p>
    <w:p w14:paraId="19F70930" w14:textId="460671E4" w:rsidR="00934FDC" w:rsidRPr="00934FDC" w:rsidRDefault="00934FDC" w:rsidP="00D96D77">
      <w:pPr>
        <w:pStyle w:val="Bullet"/>
      </w:pPr>
      <w:r w:rsidRPr="00934FDC">
        <w:t xml:space="preserve">Security Services Industry Award 2010 (the </w:t>
      </w:r>
      <w:r w:rsidR="00141A87">
        <w:t>A</w:t>
      </w:r>
      <w:r w:rsidRPr="00934FDC">
        <w:t xml:space="preserve">ward), </w:t>
      </w:r>
      <w:r w:rsidR="0081178C">
        <w:t>or</w:t>
      </w:r>
    </w:p>
    <w:p w14:paraId="35282438" w14:textId="022F9E45" w:rsidR="00934FDC" w:rsidRDefault="00934FDC" w:rsidP="00D96D77">
      <w:pPr>
        <w:pStyle w:val="Bullet"/>
      </w:pPr>
      <w:proofErr w:type="gramStart"/>
      <w:r w:rsidRPr="00934FDC">
        <w:t>an</w:t>
      </w:r>
      <w:proofErr w:type="gramEnd"/>
      <w:r w:rsidRPr="00934FDC">
        <w:t xml:space="preserve"> Enterprise Agreement (</w:t>
      </w:r>
      <w:r w:rsidR="009B7E97">
        <w:t>Agreement</w:t>
      </w:r>
      <w:r w:rsidRPr="00934FDC">
        <w:t>)</w:t>
      </w:r>
      <w:r>
        <w:t>.</w:t>
      </w:r>
    </w:p>
    <w:p w14:paraId="749F2248" w14:textId="06EB7AB3" w:rsidR="00AD5327" w:rsidRPr="009E1E35" w:rsidRDefault="00D00288" w:rsidP="009E1E35">
      <w:r>
        <w:t>E</w:t>
      </w:r>
      <w:r w:rsidR="00BC2915" w:rsidRPr="009E1E35">
        <w:t xml:space="preserve">mployee entitlements varied </w:t>
      </w:r>
      <w:r w:rsidR="009E1E35">
        <w:t xml:space="preserve">according to </w:t>
      </w:r>
      <w:r>
        <w:t>the</w:t>
      </w:r>
      <w:r w:rsidR="00BC2915" w:rsidRPr="009E1E35">
        <w:t xml:space="preserve"> </w:t>
      </w:r>
      <w:r w:rsidR="00901878">
        <w:t>a</w:t>
      </w:r>
      <w:r w:rsidR="00BC2915" w:rsidRPr="009E1E35">
        <w:t xml:space="preserve">ward </w:t>
      </w:r>
      <w:r w:rsidR="009E1E35">
        <w:t xml:space="preserve">or </w:t>
      </w:r>
      <w:r w:rsidR="00901878">
        <w:t>a</w:t>
      </w:r>
      <w:r w:rsidR="00BC2915" w:rsidRPr="009E1E35">
        <w:t>greement</w:t>
      </w:r>
      <w:r w:rsidR="009E1E35">
        <w:t xml:space="preserve">s that </w:t>
      </w:r>
      <w:r>
        <w:t>applied</w:t>
      </w:r>
      <w:r w:rsidR="00BC2915" w:rsidRPr="009E1E35">
        <w:t xml:space="preserve">. </w:t>
      </w:r>
      <w:r w:rsidR="00AD5327" w:rsidRPr="009E1E35">
        <w:t xml:space="preserve">For example, only </w:t>
      </w:r>
      <w:r w:rsidR="009E1E35">
        <w:t>o</w:t>
      </w:r>
      <w:r w:rsidR="00AD5327" w:rsidRPr="009E1E35">
        <w:t xml:space="preserve">fficers covered by the MEEBA were entitled to: </w:t>
      </w:r>
    </w:p>
    <w:p w14:paraId="00FDD417" w14:textId="4AA7EA82" w:rsidR="00AD5327" w:rsidRPr="00446F0F" w:rsidRDefault="00BC2915" w:rsidP="00D96D77">
      <w:pPr>
        <w:pStyle w:val="Bullet"/>
      </w:pPr>
      <w:r w:rsidRPr="00446F0F">
        <w:t>‘out of pocket</w:t>
      </w:r>
      <w:r w:rsidR="00DB6085">
        <w:t>’</w:t>
      </w:r>
      <w:r w:rsidRPr="00446F0F">
        <w:t xml:space="preserve"> allowance</w:t>
      </w:r>
      <w:r w:rsidR="00DB6085">
        <w:t>s</w:t>
      </w:r>
      <w:r w:rsidRPr="00446F0F">
        <w:t xml:space="preserve"> </w:t>
      </w:r>
    </w:p>
    <w:p w14:paraId="2B16AA25" w14:textId="5F50C2B3" w:rsidR="00AD5327" w:rsidRPr="00446F0F" w:rsidRDefault="00BC2915" w:rsidP="00D96D77">
      <w:pPr>
        <w:pStyle w:val="Bullet"/>
      </w:pPr>
      <w:r w:rsidRPr="00446F0F">
        <w:t>meal allowance</w:t>
      </w:r>
      <w:r w:rsidR="00DB6085">
        <w:t>s</w:t>
      </w:r>
      <w:r w:rsidRPr="00446F0F">
        <w:t xml:space="preserve"> </w:t>
      </w:r>
    </w:p>
    <w:p w14:paraId="3E336BC6" w14:textId="273F18F1" w:rsidR="00BC2915" w:rsidRDefault="00DB6085" w:rsidP="00D96D77">
      <w:pPr>
        <w:pStyle w:val="Bullet"/>
      </w:pPr>
      <w:proofErr w:type="gramStart"/>
      <w:r>
        <w:t>a</w:t>
      </w:r>
      <w:proofErr w:type="gramEnd"/>
      <w:r>
        <w:t xml:space="preserve"> </w:t>
      </w:r>
      <w:r w:rsidR="00AD5327" w:rsidRPr="00446F0F">
        <w:t>3% Games bonus allowance</w:t>
      </w:r>
      <w:r w:rsidR="009E1E35">
        <w:t>.</w:t>
      </w:r>
    </w:p>
    <w:p w14:paraId="3736D30B" w14:textId="743B9D78" w:rsidR="00141A87" w:rsidRDefault="00141A87" w:rsidP="009E1E35">
      <w:r w:rsidRPr="009E1E35">
        <w:t>This varied coverage</w:t>
      </w:r>
      <w:r w:rsidR="00934FDC" w:rsidRPr="009E1E35">
        <w:t xml:space="preserve"> </w:t>
      </w:r>
      <w:r w:rsidRPr="009E1E35">
        <w:t xml:space="preserve">meant that </w:t>
      </w:r>
      <w:r w:rsidR="00934FDC" w:rsidRPr="009E1E35">
        <w:t xml:space="preserve">security officers </w:t>
      </w:r>
      <w:r w:rsidRPr="009E1E35">
        <w:t>didn’t</w:t>
      </w:r>
      <w:r w:rsidR="00934FDC" w:rsidRPr="009E1E35">
        <w:t xml:space="preserve"> </w:t>
      </w:r>
      <w:r w:rsidRPr="009E1E35">
        <w:t xml:space="preserve">know </w:t>
      </w:r>
      <w:r w:rsidR="00934FDC" w:rsidRPr="009E1E35">
        <w:t xml:space="preserve">which </w:t>
      </w:r>
      <w:r w:rsidRPr="009E1E35">
        <w:t xml:space="preserve">award or agreement they should refer </w:t>
      </w:r>
      <w:r w:rsidR="009E1E35" w:rsidRPr="009E1E35">
        <w:t>to and were unclear about their entitlements</w:t>
      </w:r>
      <w:r w:rsidR="009E1E35">
        <w:t>.</w:t>
      </w:r>
    </w:p>
    <w:p w14:paraId="15019F7D" w14:textId="0EEC2E59" w:rsidR="006916E5" w:rsidRPr="001E11E3" w:rsidRDefault="006916E5">
      <w:pPr>
        <w:pStyle w:val="Heading2"/>
      </w:pPr>
      <w:bookmarkStart w:id="13" w:name="_Toc5719206"/>
      <w:r w:rsidRPr="001E11E3">
        <w:t>Record-keeping</w:t>
      </w:r>
      <w:bookmarkEnd w:id="13"/>
    </w:p>
    <w:p w14:paraId="75A4778C" w14:textId="59866CD3" w:rsidR="00665ECC" w:rsidRDefault="00E34690" w:rsidP="00F579E2">
      <w:pPr>
        <w:spacing w:before="240"/>
      </w:pPr>
      <w:r>
        <w:t>D</w:t>
      </w:r>
      <w:r w:rsidR="00D72E8D">
        <w:t xml:space="preserve">ue </w:t>
      </w:r>
      <w:r w:rsidR="00B811A6">
        <w:t xml:space="preserve">to the </w:t>
      </w:r>
      <w:r w:rsidR="006916E5">
        <w:t xml:space="preserve">Games’ </w:t>
      </w:r>
      <w:r w:rsidR="00B811A6">
        <w:t>unique security arrangements</w:t>
      </w:r>
      <w:r w:rsidR="006916E5">
        <w:t>,</w:t>
      </w:r>
      <w:r w:rsidR="00B811A6">
        <w:t xml:space="preserve"> </w:t>
      </w:r>
      <w:r>
        <w:t>and to help ensure it paid princip</w:t>
      </w:r>
      <w:r w:rsidR="00A76D31">
        <w:t xml:space="preserve">al </w:t>
      </w:r>
      <w:r>
        <w:t xml:space="preserve">contractors correctly, </w:t>
      </w:r>
      <w:r w:rsidR="00B811A6">
        <w:t>GOLDOC</w:t>
      </w:r>
      <w:r>
        <w:t xml:space="preserve"> </w:t>
      </w:r>
      <w:r w:rsidR="00B811A6">
        <w:t xml:space="preserve">kept </w:t>
      </w:r>
      <w:r>
        <w:t xml:space="preserve">its own </w:t>
      </w:r>
      <w:r w:rsidR="00764765">
        <w:t>r</w:t>
      </w:r>
      <w:r w:rsidR="00B811A6">
        <w:t xml:space="preserve">ecords of times </w:t>
      </w:r>
      <w:r w:rsidR="00D75DC1">
        <w:t xml:space="preserve">worked by </w:t>
      </w:r>
      <w:r w:rsidR="00B811A6">
        <w:t>security officers</w:t>
      </w:r>
      <w:r w:rsidR="00D75DC1">
        <w:t>.</w:t>
      </w:r>
      <w:r>
        <w:t xml:space="preserve"> </w:t>
      </w:r>
      <w:r w:rsidR="00665ECC">
        <w:t>A</w:t>
      </w:r>
      <w:r>
        <w:t xml:space="preserve">lthough </w:t>
      </w:r>
      <w:r w:rsidR="00665ECC">
        <w:t xml:space="preserve">security </w:t>
      </w:r>
      <w:r>
        <w:t>employer</w:t>
      </w:r>
      <w:r w:rsidR="00D75DC1">
        <w:t>s</w:t>
      </w:r>
      <w:r>
        <w:t xml:space="preserve"> </w:t>
      </w:r>
      <w:r w:rsidR="00D75DC1">
        <w:t>were</w:t>
      </w:r>
      <w:r>
        <w:t xml:space="preserve"> </w:t>
      </w:r>
      <w:r w:rsidR="00D75DC1">
        <w:t xml:space="preserve">themselves </w:t>
      </w:r>
      <w:r>
        <w:t>obligat</w:t>
      </w:r>
      <w:r w:rsidR="00D75DC1">
        <w:t>ed</w:t>
      </w:r>
      <w:r w:rsidR="00665ECC">
        <w:t xml:space="preserve"> under</w:t>
      </w:r>
      <w:r w:rsidR="00D75DC1">
        <w:t xml:space="preserve"> the Act to</w:t>
      </w:r>
      <w:r>
        <w:t xml:space="preserve"> </w:t>
      </w:r>
      <w:r w:rsidR="00D75DC1">
        <w:t>keep and maintain time records,</w:t>
      </w:r>
      <w:r>
        <w:t xml:space="preserve"> </w:t>
      </w:r>
      <w:r w:rsidR="00665ECC">
        <w:t xml:space="preserve">the FWO found </w:t>
      </w:r>
      <w:r w:rsidR="00D75DC1">
        <w:t>they relied instead on</w:t>
      </w:r>
      <w:r>
        <w:t xml:space="preserve"> GOLDOC</w:t>
      </w:r>
      <w:r w:rsidR="00D75DC1">
        <w:t xml:space="preserve">’s record keeping system. </w:t>
      </w:r>
    </w:p>
    <w:p w14:paraId="6CF15944" w14:textId="5D0CBEC3" w:rsidR="00D75DC1" w:rsidRDefault="00D75DC1" w:rsidP="00D75DC1">
      <w:r>
        <w:t xml:space="preserve">GOLDOC </w:t>
      </w:r>
      <w:r w:rsidR="00665ECC">
        <w:t>used</w:t>
      </w:r>
      <w:r>
        <w:t xml:space="preserve"> </w:t>
      </w:r>
      <w:r w:rsidR="00665ECC">
        <w:t>a</w:t>
      </w:r>
      <w:r w:rsidR="00FF1FD2">
        <w:t>n</w:t>
      </w:r>
      <w:r w:rsidR="00665ECC">
        <w:t xml:space="preserve"> </w:t>
      </w:r>
      <w:r>
        <w:t xml:space="preserve">electronic rostering system </w:t>
      </w:r>
      <w:r w:rsidR="00665ECC">
        <w:t xml:space="preserve">to record employee </w:t>
      </w:r>
      <w:r w:rsidR="00FF1FD2">
        <w:t xml:space="preserve">work </w:t>
      </w:r>
      <w:r w:rsidR="00665ECC">
        <w:t>times. The system</w:t>
      </w:r>
      <w:r>
        <w:t>:</w:t>
      </w:r>
    </w:p>
    <w:p w14:paraId="72A556C5" w14:textId="1755A322" w:rsidR="00B811A6" w:rsidRDefault="00CE5382" w:rsidP="00D75DC1">
      <w:pPr>
        <w:pStyle w:val="Bullet"/>
      </w:pPr>
      <w:r>
        <w:t xml:space="preserve">assumed </w:t>
      </w:r>
      <w:r w:rsidR="00764765">
        <w:t xml:space="preserve">security officers </w:t>
      </w:r>
      <w:r w:rsidR="005919C2">
        <w:t xml:space="preserve">would attend and </w:t>
      </w:r>
      <w:r w:rsidR="00B811A6">
        <w:t>complet</w:t>
      </w:r>
      <w:r w:rsidR="005919C2">
        <w:t>e</w:t>
      </w:r>
      <w:r w:rsidR="00B811A6">
        <w:t xml:space="preserve"> each rostered shift </w:t>
      </w:r>
    </w:p>
    <w:p w14:paraId="4BFEB4C8" w14:textId="546AB867" w:rsidR="00B811A6" w:rsidRDefault="00CE5382" w:rsidP="00D75DC1">
      <w:pPr>
        <w:pStyle w:val="Bullet"/>
      </w:pPr>
      <w:proofErr w:type="gramStart"/>
      <w:r>
        <w:t>allowed</w:t>
      </w:r>
      <w:proofErr w:type="gramEnd"/>
      <w:r w:rsidR="00AB13FC">
        <w:t xml:space="preserve"> only</w:t>
      </w:r>
      <w:r>
        <w:t xml:space="preserve"> for </w:t>
      </w:r>
      <w:r w:rsidR="00B811A6">
        <w:t xml:space="preserve">minimal changes to </w:t>
      </w:r>
      <w:r w:rsidR="00764765">
        <w:t>roster</w:t>
      </w:r>
      <w:r w:rsidR="005919C2">
        <w:t>s</w:t>
      </w:r>
      <w:r w:rsidR="00B811A6">
        <w:t>.</w:t>
      </w:r>
    </w:p>
    <w:p w14:paraId="53CDD4B1" w14:textId="4379AD8A" w:rsidR="00764765" w:rsidRDefault="00DB6085" w:rsidP="00B811A6">
      <w:r>
        <w:t xml:space="preserve">However, </w:t>
      </w:r>
      <w:r w:rsidR="00CE5382">
        <w:t xml:space="preserve">set </w:t>
      </w:r>
      <w:r>
        <w:t>r</w:t>
      </w:r>
      <w:r w:rsidR="00764765">
        <w:t xml:space="preserve">osters were not </w:t>
      </w:r>
      <w:r>
        <w:t>followed</w:t>
      </w:r>
      <w:r w:rsidR="00764765">
        <w:t xml:space="preserve"> because:</w:t>
      </w:r>
    </w:p>
    <w:p w14:paraId="002A4140" w14:textId="7795C063" w:rsidR="00DB6085" w:rsidRDefault="00764765" w:rsidP="00D96D77">
      <w:pPr>
        <w:pStyle w:val="Bullet"/>
      </w:pPr>
      <w:r>
        <w:t xml:space="preserve">the security environment of the </w:t>
      </w:r>
      <w:r w:rsidR="00DB6085">
        <w:t xml:space="preserve">Games was </w:t>
      </w:r>
      <w:r w:rsidR="00321494">
        <w:t>fluid, leading to changing labour needs</w:t>
      </w:r>
      <w:r w:rsidR="005919C2">
        <w:t xml:space="preserve"> across events</w:t>
      </w:r>
      <w:r w:rsidR="00321494">
        <w:t xml:space="preserve"> </w:t>
      </w:r>
      <w:r w:rsidR="00DB6085">
        <w:t xml:space="preserve"> </w:t>
      </w:r>
    </w:p>
    <w:p w14:paraId="6C4A60C9" w14:textId="79C32EA4" w:rsidR="00DB6085" w:rsidRDefault="00B811A6" w:rsidP="00D96D77">
      <w:pPr>
        <w:pStyle w:val="Bullet"/>
      </w:pPr>
      <w:proofErr w:type="gramStart"/>
      <w:r>
        <w:t>casual</w:t>
      </w:r>
      <w:proofErr w:type="gramEnd"/>
      <w:r>
        <w:t xml:space="preserve"> staff </w:t>
      </w:r>
      <w:r w:rsidR="00CC0437">
        <w:t xml:space="preserve">were not obligated </w:t>
      </w:r>
      <w:r>
        <w:t>to complete rostered shifts</w:t>
      </w:r>
      <w:r w:rsidR="00DB6085">
        <w:t>.</w:t>
      </w:r>
      <w:r>
        <w:t xml:space="preserve"> </w:t>
      </w:r>
    </w:p>
    <w:p w14:paraId="6B4C8433" w14:textId="34E70AE5" w:rsidR="00D72E8D" w:rsidRPr="00C83A1F" w:rsidRDefault="00DB6085" w:rsidP="00D72E8D">
      <w:r>
        <w:t>As a result</w:t>
      </w:r>
      <w:r w:rsidR="00665ECC">
        <w:t>,</w:t>
      </w:r>
      <w:r w:rsidR="00D75DC1">
        <w:t xml:space="preserve"> </w:t>
      </w:r>
      <w:r w:rsidR="00901878">
        <w:t>sub</w:t>
      </w:r>
      <w:r w:rsidR="00B811A6">
        <w:t>contractors</w:t>
      </w:r>
      <w:r w:rsidR="00665ECC">
        <w:t xml:space="preserve">, </w:t>
      </w:r>
      <w:r w:rsidR="00D651FD">
        <w:t>princip</w:t>
      </w:r>
      <w:r w:rsidR="00A76D31">
        <w:t>al</w:t>
      </w:r>
      <w:r w:rsidR="00D651FD">
        <w:t xml:space="preserve">s </w:t>
      </w:r>
      <w:r w:rsidR="00665ECC">
        <w:t xml:space="preserve">and GOLDOC </w:t>
      </w:r>
      <w:r w:rsidR="00D75DC1">
        <w:t>had to</w:t>
      </w:r>
      <w:r w:rsidR="00900685">
        <w:t xml:space="preserve"> </w:t>
      </w:r>
      <w:r>
        <w:t xml:space="preserve">manually </w:t>
      </w:r>
      <w:r w:rsidR="00B811A6">
        <w:t xml:space="preserve">reconcile </w:t>
      </w:r>
      <w:r w:rsidR="00CE5382">
        <w:t xml:space="preserve">time records for </w:t>
      </w:r>
      <w:r w:rsidR="002F6AB9">
        <w:t>thousands of</w:t>
      </w:r>
      <w:r w:rsidR="00900685">
        <w:t xml:space="preserve"> </w:t>
      </w:r>
      <w:r w:rsidR="00CE5382">
        <w:t xml:space="preserve">security officers against GOLDOC’s electronic rostering system. This </w:t>
      </w:r>
      <w:r w:rsidR="009817A0">
        <w:t>le</w:t>
      </w:r>
      <w:r w:rsidR="00CE5382">
        <w:t>d</w:t>
      </w:r>
      <w:r w:rsidR="009817A0">
        <w:t xml:space="preserve"> t</w:t>
      </w:r>
      <w:r w:rsidR="009348CF">
        <w:t xml:space="preserve">o </w:t>
      </w:r>
      <w:r w:rsidR="00D72E8D">
        <w:t>late</w:t>
      </w:r>
      <w:r w:rsidR="00F579E2">
        <w:t>,</w:t>
      </w:r>
      <w:r w:rsidR="00D72E8D">
        <w:t xml:space="preserve"> and </w:t>
      </w:r>
      <w:r w:rsidR="00DA3DD0">
        <w:t xml:space="preserve">in some cases </w:t>
      </w:r>
      <w:r w:rsidR="00D72E8D">
        <w:t>incorrect</w:t>
      </w:r>
      <w:r w:rsidR="00F579E2">
        <w:t>,</w:t>
      </w:r>
      <w:r w:rsidR="00D72E8D">
        <w:t xml:space="preserve"> employee payments.</w:t>
      </w:r>
    </w:p>
    <w:p w14:paraId="4D7A9D10" w14:textId="375BAE03" w:rsidR="00A36251" w:rsidRPr="001E11E3" w:rsidRDefault="00D72E8D">
      <w:pPr>
        <w:pStyle w:val="Heading2"/>
      </w:pPr>
      <w:bookmarkStart w:id="14" w:name="_Toc5719207"/>
      <w:r w:rsidRPr="001E11E3">
        <w:lastRenderedPageBreak/>
        <w:t>Invoicing and payment</w:t>
      </w:r>
      <w:r w:rsidR="00A36251" w:rsidRPr="001E11E3">
        <w:t xml:space="preserve"> proce</w:t>
      </w:r>
      <w:r w:rsidRPr="001E11E3">
        <w:t>sses</w:t>
      </w:r>
      <w:bookmarkEnd w:id="14"/>
    </w:p>
    <w:p w14:paraId="44F82904" w14:textId="6DDC45BE" w:rsidR="003A66BD" w:rsidRPr="00E34690" w:rsidRDefault="00385EB4" w:rsidP="00F579E2">
      <w:pPr>
        <w:spacing w:before="240"/>
      </w:pPr>
      <w:r>
        <w:t>FWO found</w:t>
      </w:r>
      <w:r w:rsidR="00AC0F6E">
        <w:t xml:space="preserve"> that</w:t>
      </w:r>
      <w:r w:rsidR="003A66BD">
        <w:t xml:space="preserve"> </w:t>
      </w:r>
      <w:r w:rsidR="00E402F5">
        <w:t>employee wages</w:t>
      </w:r>
      <w:r>
        <w:t xml:space="preserve"> </w:t>
      </w:r>
      <w:r w:rsidR="00AC0F6E">
        <w:t xml:space="preserve">were </w:t>
      </w:r>
      <w:r w:rsidR="00D00288">
        <w:t>also impacted</w:t>
      </w:r>
      <w:r w:rsidR="003A66BD">
        <w:t xml:space="preserve"> </w:t>
      </w:r>
      <w:r w:rsidR="00AC0F6E">
        <w:t>by</w:t>
      </w:r>
      <w:r>
        <w:t xml:space="preserve"> </w:t>
      </w:r>
      <w:r w:rsidR="00E402F5">
        <w:t xml:space="preserve">the time taken to process invoices </w:t>
      </w:r>
      <w:r w:rsidR="005919C2">
        <w:t>in the supply chain</w:t>
      </w:r>
      <w:r w:rsidR="00E34690">
        <w:t xml:space="preserve">. </w:t>
      </w:r>
      <w:r w:rsidR="00665ECC">
        <w:t xml:space="preserve">Although </w:t>
      </w:r>
      <w:r w:rsidR="00E34690">
        <w:t xml:space="preserve">GOLDOC </w:t>
      </w:r>
      <w:r w:rsidR="00E402F5">
        <w:t xml:space="preserve">provided </w:t>
      </w:r>
      <w:r w:rsidR="00E402F5" w:rsidRPr="00E34690">
        <w:t xml:space="preserve">40% of the estimated </w:t>
      </w:r>
      <w:r w:rsidR="00665ECC">
        <w:t xml:space="preserve">total </w:t>
      </w:r>
      <w:r w:rsidR="00E34690" w:rsidRPr="00E34690">
        <w:t>labour cost to</w:t>
      </w:r>
      <w:r w:rsidR="00665ECC">
        <w:t xml:space="preserve"> p</w:t>
      </w:r>
      <w:r w:rsidR="00E402F5" w:rsidRPr="00E34690">
        <w:t xml:space="preserve">rincipals </w:t>
      </w:r>
      <w:r w:rsidR="00665ECC">
        <w:t xml:space="preserve">ahead of </w:t>
      </w:r>
      <w:r w:rsidR="00E402F5" w:rsidRPr="00E34690">
        <w:t>the</w:t>
      </w:r>
      <w:r w:rsidR="00665ECC">
        <w:t xml:space="preserve"> event, some employers complained to FWO about the slow movement of money down the supply chain.</w:t>
      </w:r>
      <w:r w:rsidR="00665ECC">
        <w:rPr>
          <w:rStyle w:val="FootnoteReference"/>
        </w:rPr>
        <w:footnoteReference w:id="3"/>
      </w:r>
    </w:p>
    <w:p w14:paraId="1CB5A311" w14:textId="118DE074" w:rsidR="003A66BD" w:rsidRDefault="00CC0437" w:rsidP="003A66BD">
      <w:r>
        <w:t xml:space="preserve">However, the </w:t>
      </w:r>
      <w:r w:rsidR="00DA3DD0">
        <w:t xml:space="preserve">FWO </w:t>
      </w:r>
      <w:r>
        <w:t>noted that</w:t>
      </w:r>
      <w:r w:rsidR="00DA3DD0">
        <w:t xml:space="preserve"> one princip</w:t>
      </w:r>
      <w:r w:rsidR="00A76D31">
        <w:t>al</w:t>
      </w:r>
      <w:r w:rsidR="00DA3DD0">
        <w:t xml:space="preserve"> reduced the time taken to pay employees by maintaining time records independent of GOLDOC and by paying subcontractors without waiting on GOLDOC to pay invoices. </w:t>
      </w:r>
      <w:r w:rsidR="00D7634E">
        <w:t>T</w:t>
      </w:r>
      <w:r w:rsidR="005919C2">
        <w:t xml:space="preserve">he FWO did not receive any </w:t>
      </w:r>
      <w:r w:rsidR="003A66BD">
        <w:t xml:space="preserve">enquiries or requests for assistance from employees of </w:t>
      </w:r>
      <w:r w:rsidR="005919C2">
        <w:t xml:space="preserve">this </w:t>
      </w:r>
      <w:r w:rsidR="00D651FD">
        <w:t xml:space="preserve">principal </w:t>
      </w:r>
      <w:r w:rsidR="003A66BD">
        <w:t>or its subcontractors</w:t>
      </w:r>
      <w:r w:rsidR="002D2E81">
        <w:t>. As a result, they</w:t>
      </w:r>
      <w:r w:rsidR="00D7634E">
        <w:t xml:space="preserve"> </w:t>
      </w:r>
      <w:r w:rsidR="002D2E81">
        <w:t xml:space="preserve">were not audited as part of </w:t>
      </w:r>
      <w:r w:rsidR="00D7634E">
        <w:t xml:space="preserve">the compliance activity. </w:t>
      </w:r>
    </w:p>
    <w:p w14:paraId="684D5A7F" w14:textId="22FB385B" w:rsidR="00B811A6" w:rsidRPr="001E11E3" w:rsidRDefault="00B811A6">
      <w:pPr>
        <w:pStyle w:val="Heading2"/>
      </w:pPr>
      <w:bookmarkStart w:id="15" w:name="_Toc5719208"/>
      <w:r w:rsidRPr="001E11E3">
        <w:t>Contraventions of the Act</w:t>
      </w:r>
      <w:r w:rsidR="00177B9A" w:rsidRPr="001E11E3">
        <w:t xml:space="preserve">, Award </w:t>
      </w:r>
      <w:r w:rsidR="00D651FD" w:rsidRPr="001E11E3">
        <w:t xml:space="preserve">and </w:t>
      </w:r>
      <w:r w:rsidR="00177B9A" w:rsidRPr="001E11E3">
        <w:t>Agreements</w:t>
      </w:r>
      <w:bookmarkEnd w:id="15"/>
    </w:p>
    <w:p w14:paraId="7A95AF19" w14:textId="0CF18024" w:rsidR="00B811A6" w:rsidRPr="00515A11" w:rsidRDefault="00371175" w:rsidP="00F579E2">
      <w:pPr>
        <w:spacing w:before="240"/>
      </w:pPr>
      <w:r>
        <w:t>O</w:t>
      </w:r>
      <w:r w:rsidR="00B811A6" w:rsidRPr="00515A11">
        <w:t xml:space="preserve">f the </w:t>
      </w:r>
      <w:r w:rsidR="00B811A6">
        <w:t>nine</w:t>
      </w:r>
      <w:r w:rsidR="00217D81">
        <w:t xml:space="preserve"> employers (</w:t>
      </w:r>
      <w:r w:rsidR="00B811A6">
        <w:t>principal</w:t>
      </w:r>
      <w:r w:rsidR="00217D81">
        <w:t>s</w:t>
      </w:r>
      <w:r w:rsidR="00B811A6">
        <w:t xml:space="preserve"> and sub-contractors</w:t>
      </w:r>
      <w:r w:rsidR="00217D81">
        <w:t>)</w:t>
      </w:r>
      <w:r w:rsidR="00B811A6">
        <w:t xml:space="preserve"> audited</w:t>
      </w:r>
      <w:r w:rsidR="00B811A6" w:rsidRPr="00515A11">
        <w:t>:</w:t>
      </w:r>
    </w:p>
    <w:p w14:paraId="013C2D4E" w14:textId="0E3E6681" w:rsidR="00177B9A" w:rsidRPr="000A5BA0" w:rsidRDefault="00D651FD" w:rsidP="00D96D77">
      <w:pPr>
        <w:pStyle w:val="Bullet"/>
      </w:pPr>
      <w:r>
        <w:t xml:space="preserve">two </w:t>
      </w:r>
      <w:r w:rsidR="00177B9A">
        <w:t>were in breach of provisions relating to overtime, weekend a</w:t>
      </w:r>
      <w:r w:rsidR="00FF1FD2">
        <w:t>nd public holiday penalty rates</w:t>
      </w:r>
    </w:p>
    <w:p w14:paraId="3C9D0A95" w14:textId="643F5848" w:rsidR="00B811A6" w:rsidRPr="00217D81" w:rsidRDefault="00217D81" w:rsidP="00D96D77">
      <w:pPr>
        <w:pStyle w:val="Bullet"/>
      </w:pPr>
      <w:r>
        <w:t>t</w:t>
      </w:r>
      <w:r w:rsidR="00B811A6">
        <w:t xml:space="preserve">hree contravened the record-keeping and/or pay slip provisions of the Act and the </w:t>
      </w:r>
      <w:r w:rsidR="00B811A6" w:rsidRPr="00217D81">
        <w:t xml:space="preserve">Regulations </w:t>
      </w:r>
    </w:p>
    <w:p w14:paraId="6FABD8E2" w14:textId="75F9D99C" w:rsidR="00B811A6" w:rsidRDefault="00217D81" w:rsidP="00D96D77">
      <w:pPr>
        <w:pStyle w:val="Bullet"/>
      </w:pPr>
      <w:r>
        <w:t>f</w:t>
      </w:r>
      <w:r w:rsidR="00B811A6">
        <w:t xml:space="preserve">ive contravened </w:t>
      </w:r>
      <w:r>
        <w:t>Section</w:t>
      </w:r>
      <w:r w:rsidR="00B811A6">
        <w:t xml:space="preserve"> 323(1</w:t>
      </w:r>
      <w:r w:rsidR="008466A6">
        <w:t>) (</w:t>
      </w:r>
      <w:r w:rsidR="00B811A6">
        <w:t xml:space="preserve">a) of the </w:t>
      </w:r>
      <w:r>
        <w:t xml:space="preserve">Act, </w:t>
      </w:r>
      <w:r w:rsidR="00B811A6">
        <w:t>requir</w:t>
      </w:r>
      <w:r>
        <w:t>ing</w:t>
      </w:r>
      <w:r w:rsidR="00B811A6">
        <w:t xml:space="preserve"> an </w:t>
      </w:r>
      <w:r w:rsidR="00B811A6" w:rsidRPr="0028192D">
        <w:t xml:space="preserve">employer </w:t>
      </w:r>
      <w:r w:rsidR="00B811A6">
        <w:t>to</w:t>
      </w:r>
      <w:r w:rsidR="00B811A6" w:rsidRPr="0028192D">
        <w:t xml:space="preserve"> pay </w:t>
      </w:r>
      <w:r>
        <w:t>employees in full fo</w:t>
      </w:r>
      <w:r w:rsidR="00CE5382">
        <w:t xml:space="preserve">r the work they </w:t>
      </w:r>
      <w:r w:rsidR="008466A6">
        <w:t>perform</w:t>
      </w:r>
      <w:r w:rsidR="00CE5382">
        <w:t xml:space="preserve"> (for the reasons that caused delays and errors in </w:t>
      </w:r>
      <w:r w:rsidR="00FF1FD2">
        <w:t>employee payments, noted above)</w:t>
      </w:r>
    </w:p>
    <w:p w14:paraId="54919A2E" w14:textId="4700554C" w:rsidR="00D85101" w:rsidRDefault="00177B9A" w:rsidP="00177B9A">
      <w:pPr>
        <w:pStyle w:val="Bullet"/>
      </w:pPr>
      <w:proofErr w:type="gramStart"/>
      <w:r>
        <w:t>all</w:t>
      </w:r>
      <w:proofErr w:type="gramEnd"/>
      <w:r>
        <w:t xml:space="preserve"> were in breach of the provisions of the Award o</w:t>
      </w:r>
      <w:r w:rsidR="009B7E97">
        <w:t>r</w:t>
      </w:r>
      <w:r w:rsidR="00AF3766">
        <w:t xml:space="preserve"> </w:t>
      </w:r>
      <w:r>
        <w:t>Agreement that required them to pay their employees on time.</w:t>
      </w:r>
    </w:p>
    <w:p w14:paraId="2CEA2759" w14:textId="77777777" w:rsidR="00D85101" w:rsidRDefault="00D85101" w:rsidP="00D85101">
      <w:pPr>
        <w:rPr>
          <w:rFonts w:ascii="Helvetica" w:hAnsi="Helvetica"/>
          <w:color w:val="263746"/>
          <w:sz w:val="44"/>
          <w:szCs w:val="26"/>
        </w:rPr>
      </w:pPr>
      <w:r>
        <w:br w:type="page"/>
      </w:r>
    </w:p>
    <w:p w14:paraId="15B20137" w14:textId="2DF81B82" w:rsidR="00B811A6" w:rsidRDefault="00D85101" w:rsidP="00177B9A">
      <w:pPr>
        <w:pStyle w:val="Heading1"/>
      </w:pPr>
      <w:bookmarkStart w:id="16" w:name="_Toc5719209"/>
      <w:r>
        <w:lastRenderedPageBreak/>
        <w:t>Compliance and enforcement outcomes</w:t>
      </w:r>
      <w:bookmarkEnd w:id="16"/>
    </w:p>
    <w:p w14:paraId="00F75D9A" w14:textId="77777777" w:rsidR="00AB13FC" w:rsidRDefault="00AB13FC" w:rsidP="00F579E2">
      <w:pPr>
        <w:spacing w:before="240"/>
      </w:pPr>
      <w:r>
        <w:t>Where appropriate, Fair Work Inspectors used compliance and enforcement tools to ensure employers rectified their non-compliance. They issued:</w:t>
      </w:r>
    </w:p>
    <w:p w14:paraId="2CCE9511" w14:textId="5710B7A8" w:rsidR="00AB13FC" w:rsidRPr="002064A7" w:rsidRDefault="00AB13FC" w:rsidP="00AB13FC">
      <w:pPr>
        <w:pStyle w:val="Bullet"/>
        <w:numPr>
          <w:ilvl w:val="0"/>
          <w:numId w:val="6"/>
        </w:numPr>
      </w:pPr>
      <w:proofErr w:type="gramStart"/>
      <w:r>
        <w:t>e</w:t>
      </w:r>
      <w:r w:rsidRPr="002064A7">
        <w:t>ight</w:t>
      </w:r>
      <w:proofErr w:type="gramEnd"/>
      <w:r w:rsidRPr="002064A7">
        <w:t xml:space="preserve"> contravention letters</w:t>
      </w:r>
      <w:r>
        <w:rPr>
          <w:rStyle w:val="FootnoteReference"/>
        </w:rPr>
        <w:footnoteReference w:id="4"/>
      </w:r>
      <w:r w:rsidRPr="002064A7">
        <w:t xml:space="preserve"> requiring employers to take action to rectify </w:t>
      </w:r>
      <w:r>
        <w:t xml:space="preserve">their </w:t>
      </w:r>
      <w:r w:rsidRPr="002064A7">
        <w:t>non-compliance with the Act, Award and/or Agreement</w:t>
      </w:r>
      <w:r w:rsidR="00513986">
        <w:t>.</w:t>
      </w:r>
    </w:p>
    <w:p w14:paraId="0C3988E5" w14:textId="77777777" w:rsidR="00AB13FC" w:rsidRDefault="00AB13FC" w:rsidP="00AB13FC">
      <w:pPr>
        <w:pStyle w:val="Bullet"/>
        <w:numPr>
          <w:ilvl w:val="0"/>
          <w:numId w:val="6"/>
        </w:numPr>
      </w:pPr>
      <w:r>
        <w:t xml:space="preserve">one Formal Caution, putting the employer on notice that FWO may commence legal proceedings if it identifies any future breaches of workplace laws </w:t>
      </w:r>
    </w:p>
    <w:p w14:paraId="16455E65" w14:textId="77777777" w:rsidR="00AB13FC" w:rsidRDefault="00AB13FC" w:rsidP="00AB13FC">
      <w:pPr>
        <w:pStyle w:val="Bullet"/>
        <w:numPr>
          <w:ilvl w:val="0"/>
          <w:numId w:val="6"/>
        </w:numPr>
      </w:pPr>
      <w:proofErr w:type="gramStart"/>
      <w:r>
        <w:t>four</w:t>
      </w:r>
      <w:proofErr w:type="gramEnd"/>
      <w:r>
        <w:t xml:space="preserve"> Infringement Notices, amounting to $12 600 in penalties for record-keeping and pay slip breaches.</w:t>
      </w:r>
    </w:p>
    <w:p w14:paraId="7E43166D" w14:textId="77777777" w:rsidR="00AB13FC" w:rsidRDefault="00AB13FC" w:rsidP="00AB13FC">
      <w:pPr>
        <w:pStyle w:val="ListParagraph"/>
        <w:ind w:left="0"/>
      </w:pPr>
      <w:r>
        <w:t>Fair Work inspectors</w:t>
      </w:r>
      <w:r w:rsidRPr="006273D0">
        <w:t xml:space="preserve"> recovered $</w:t>
      </w:r>
      <w:r>
        <w:t>24 309.79 from five employers for ten workers</w:t>
      </w:r>
      <w:r w:rsidRPr="006273D0">
        <w:t xml:space="preserve">. </w:t>
      </w:r>
      <w:r>
        <w:t>This included:</w:t>
      </w:r>
    </w:p>
    <w:p w14:paraId="6EC051F6" w14:textId="631AB53A" w:rsidR="00AB13FC" w:rsidRDefault="00AB13FC" w:rsidP="00AB13FC">
      <w:pPr>
        <w:pStyle w:val="Bullet"/>
        <w:numPr>
          <w:ilvl w:val="0"/>
          <w:numId w:val="6"/>
        </w:numPr>
      </w:pPr>
      <w:r>
        <w:t xml:space="preserve">$5521.81 </w:t>
      </w:r>
      <w:r w:rsidR="004641C6">
        <w:t>recovered</w:t>
      </w:r>
      <w:r>
        <w:t xml:space="preserve"> from the three princip</w:t>
      </w:r>
      <w:r w:rsidR="00A76D31">
        <w:t>al</w:t>
      </w:r>
      <w:r>
        <w:t xml:space="preserve"> </w:t>
      </w:r>
      <w:r w:rsidR="004641C6">
        <w:t>contractors</w:t>
      </w:r>
    </w:p>
    <w:p w14:paraId="6315446C" w14:textId="06420AED" w:rsidR="00AB13FC" w:rsidRDefault="00AB13FC" w:rsidP="00AB13FC">
      <w:pPr>
        <w:pStyle w:val="Bullet"/>
        <w:numPr>
          <w:ilvl w:val="0"/>
          <w:numId w:val="6"/>
        </w:numPr>
      </w:pPr>
      <w:r>
        <w:t>$15 016.48 recovered from five sub-contractors</w:t>
      </w:r>
      <w:r w:rsidR="00FF1FD2">
        <w:t>.</w:t>
      </w:r>
    </w:p>
    <w:p w14:paraId="41EEDF64" w14:textId="77777777" w:rsidR="00AB13FC" w:rsidRDefault="00AB13FC" w:rsidP="00AB13FC">
      <w:pPr>
        <w:pStyle w:val="ListParagraph"/>
        <w:ind w:left="0"/>
      </w:pPr>
      <w:r>
        <w:t>In most cases, underpayments arose as a result of employees not being paid for all time worked.</w:t>
      </w:r>
    </w:p>
    <w:p w14:paraId="03FCD859" w14:textId="77777777" w:rsidR="00AB13FC" w:rsidRDefault="00AB13FC" w:rsidP="00AB13FC">
      <w:pPr>
        <w:spacing w:before="0" w:line="240" w:lineRule="auto"/>
        <w:rPr>
          <w:rFonts w:ascii="Helvetica" w:hAnsi="Helvetica"/>
          <w:color w:val="263746"/>
          <w:sz w:val="44"/>
          <w:szCs w:val="26"/>
        </w:rPr>
      </w:pPr>
      <w:r>
        <w:br w:type="page"/>
      </w:r>
    </w:p>
    <w:p w14:paraId="08909166" w14:textId="60E735B1" w:rsidR="00B811A6" w:rsidRDefault="00B811A6" w:rsidP="00177B9A">
      <w:pPr>
        <w:pStyle w:val="Heading1"/>
      </w:pPr>
      <w:bookmarkStart w:id="17" w:name="_Toc5719210"/>
      <w:r>
        <w:lastRenderedPageBreak/>
        <w:t>Conclu</w:t>
      </w:r>
      <w:r w:rsidR="00085912">
        <w:t>sion</w:t>
      </w:r>
      <w:bookmarkEnd w:id="17"/>
    </w:p>
    <w:p w14:paraId="2EAA1420" w14:textId="77777777" w:rsidR="00F6258B" w:rsidRDefault="00F6258B" w:rsidP="00F6258B">
      <w:pPr>
        <w:rPr>
          <w:rFonts w:cs="Helvetica"/>
          <w:szCs w:val="22"/>
        </w:rPr>
      </w:pPr>
      <w:r>
        <w:rPr>
          <w:rFonts w:cs="Helvetica"/>
          <w:szCs w:val="22"/>
        </w:rPr>
        <w:t>The FWO’s Commonwealth Games Compliance Activity revealed compliance issues that arose as a result of:</w:t>
      </w:r>
    </w:p>
    <w:p w14:paraId="4DD2E425" w14:textId="77777777" w:rsidR="00F6258B" w:rsidRPr="00F87AA6" w:rsidRDefault="00F6258B" w:rsidP="00F6258B">
      <w:pPr>
        <w:pStyle w:val="Bullet"/>
        <w:numPr>
          <w:ilvl w:val="0"/>
          <w:numId w:val="6"/>
        </w:numPr>
      </w:pPr>
      <w:r w:rsidRPr="00F87AA6">
        <w:t>the size and scope of the event</w:t>
      </w:r>
    </w:p>
    <w:p w14:paraId="2E873516" w14:textId="77777777" w:rsidR="00F6258B" w:rsidRPr="00F87AA6" w:rsidRDefault="00F6258B" w:rsidP="00F6258B">
      <w:pPr>
        <w:pStyle w:val="Bullet"/>
        <w:numPr>
          <w:ilvl w:val="0"/>
          <w:numId w:val="6"/>
        </w:numPr>
      </w:pPr>
      <w:r w:rsidRPr="00F87AA6">
        <w:t>the number of security officers and sub-contractors involved</w:t>
      </w:r>
    </w:p>
    <w:p w14:paraId="140C5813" w14:textId="7223573B" w:rsidR="00F6258B" w:rsidRPr="00F87AA6" w:rsidRDefault="00F6258B" w:rsidP="00F6258B">
      <w:pPr>
        <w:pStyle w:val="Bullet"/>
        <w:numPr>
          <w:ilvl w:val="0"/>
          <w:numId w:val="6"/>
        </w:numPr>
      </w:pPr>
      <w:r>
        <w:t xml:space="preserve">reliance by </w:t>
      </w:r>
      <w:r w:rsidR="00A85702">
        <w:t xml:space="preserve">employing </w:t>
      </w:r>
      <w:r>
        <w:t>princip</w:t>
      </w:r>
      <w:r w:rsidR="00A76D31">
        <w:t>al</w:t>
      </w:r>
      <w:r>
        <w:t xml:space="preserve">s and </w:t>
      </w:r>
      <w:r w:rsidRPr="00F87AA6">
        <w:t>subcontractors</w:t>
      </w:r>
      <w:r>
        <w:t xml:space="preserve"> on</w:t>
      </w:r>
      <w:r w:rsidRPr="00F87AA6">
        <w:t xml:space="preserve"> GOLDOC to </w:t>
      </w:r>
      <w:r>
        <w:t xml:space="preserve">keep and maintain </w:t>
      </w:r>
      <w:r w:rsidR="001B0EA2">
        <w:t>employee time</w:t>
      </w:r>
      <w:r>
        <w:t xml:space="preserve"> records, leading </w:t>
      </w:r>
      <w:r w:rsidR="00D250AB">
        <w:t xml:space="preserve">to </w:t>
      </w:r>
      <w:r>
        <w:t xml:space="preserve">the need </w:t>
      </w:r>
      <w:r w:rsidR="001B0EA2">
        <w:t xml:space="preserve">for </w:t>
      </w:r>
      <w:r w:rsidRPr="00F87AA6">
        <w:t>manual reconcil</w:t>
      </w:r>
      <w:r w:rsidR="009B7E97">
        <w:t>iation</w:t>
      </w:r>
      <w:r w:rsidRPr="00F87AA6">
        <w:t xml:space="preserve"> </w:t>
      </w:r>
    </w:p>
    <w:p w14:paraId="389B8487" w14:textId="6050C348" w:rsidR="00F6258B" w:rsidRDefault="00F6258B" w:rsidP="00F6258B">
      <w:pPr>
        <w:pStyle w:val="Bullet"/>
        <w:numPr>
          <w:ilvl w:val="0"/>
          <w:numId w:val="6"/>
        </w:numPr>
      </w:pPr>
      <w:proofErr w:type="gramStart"/>
      <w:r>
        <w:t>the</w:t>
      </w:r>
      <w:proofErr w:type="gramEnd"/>
      <w:r>
        <w:t xml:space="preserve"> timeframes involved in </w:t>
      </w:r>
      <w:r w:rsidRPr="00F87AA6">
        <w:t>invoic</w:t>
      </w:r>
      <w:r>
        <w:t>e</w:t>
      </w:r>
      <w:r w:rsidRPr="00F87AA6">
        <w:t xml:space="preserve"> </w:t>
      </w:r>
      <w:r>
        <w:t>processing.</w:t>
      </w:r>
    </w:p>
    <w:p w14:paraId="41380EA7" w14:textId="6F903225" w:rsidR="00F6258B" w:rsidRPr="00B34B77" w:rsidRDefault="00EF606F" w:rsidP="00F6258B">
      <w:pPr>
        <w:rPr>
          <w:rFonts w:cs="Helvetica"/>
          <w:szCs w:val="22"/>
        </w:rPr>
      </w:pPr>
      <w:r>
        <w:rPr>
          <w:rFonts w:cs="Helvetica"/>
          <w:szCs w:val="22"/>
        </w:rPr>
        <w:t xml:space="preserve">As a result, employers experienced difficulty in </w:t>
      </w:r>
      <w:r w:rsidR="00F6258B">
        <w:rPr>
          <w:rFonts w:cs="Helvetica"/>
          <w:szCs w:val="22"/>
        </w:rPr>
        <w:t>paying security officers or issuing accurate pay</w:t>
      </w:r>
      <w:r w:rsidR="00FF1FD2">
        <w:rPr>
          <w:rFonts w:cs="Helvetica"/>
          <w:szCs w:val="22"/>
        </w:rPr>
        <w:t xml:space="preserve"> </w:t>
      </w:r>
      <w:r w:rsidR="00F6258B">
        <w:rPr>
          <w:rFonts w:cs="Helvetica"/>
          <w:szCs w:val="22"/>
        </w:rPr>
        <w:t>slips on time. Most security officers were required to wait weeks—in some cases months—for full payment for their work at the Games.</w:t>
      </w:r>
    </w:p>
    <w:p w14:paraId="1E96EDD1" w14:textId="7360CB2A" w:rsidR="00F6258B" w:rsidRDefault="001B0EA2" w:rsidP="00F6258B">
      <w:pPr>
        <w:rPr>
          <w:rFonts w:cs="Helvetica"/>
          <w:szCs w:val="22"/>
        </w:rPr>
      </w:pPr>
      <w:r>
        <w:rPr>
          <w:rFonts w:cs="Helvetica"/>
          <w:szCs w:val="22"/>
        </w:rPr>
        <w:t>Maintain</w:t>
      </w:r>
      <w:r w:rsidR="00D250AB">
        <w:rPr>
          <w:rFonts w:cs="Helvetica"/>
          <w:szCs w:val="22"/>
        </w:rPr>
        <w:t>ing</w:t>
      </w:r>
      <w:r>
        <w:rPr>
          <w:rFonts w:cs="Helvetica"/>
          <w:szCs w:val="22"/>
        </w:rPr>
        <w:t xml:space="preserve"> employee records and </w:t>
      </w:r>
      <w:r w:rsidR="008A4B20">
        <w:rPr>
          <w:rFonts w:cs="Helvetica"/>
          <w:szCs w:val="22"/>
        </w:rPr>
        <w:t>mak</w:t>
      </w:r>
      <w:r w:rsidR="009B7E97">
        <w:rPr>
          <w:rFonts w:cs="Helvetica"/>
          <w:szCs w:val="22"/>
        </w:rPr>
        <w:t>ing</w:t>
      </w:r>
      <w:r w:rsidR="008A4B20">
        <w:rPr>
          <w:rFonts w:cs="Helvetica"/>
          <w:szCs w:val="22"/>
        </w:rPr>
        <w:t xml:space="preserve"> sure </w:t>
      </w:r>
      <w:r>
        <w:rPr>
          <w:rFonts w:cs="Helvetica"/>
          <w:szCs w:val="22"/>
        </w:rPr>
        <w:t xml:space="preserve">there are </w:t>
      </w:r>
      <w:r w:rsidR="00D832CF">
        <w:t>sufficient funds to</w:t>
      </w:r>
      <w:r w:rsidR="00A85702">
        <w:t xml:space="preserve"> </w:t>
      </w:r>
      <w:r w:rsidR="00A85702">
        <w:rPr>
          <w:rFonts w:cs="Helvetica"/>
          <w:szCs w:val="22"/>
        </w:rPr>
        <w:t>pay</w:t>
      </w:r>
      <w:r w:rsidR="00D832CF">
        <w:rPr>
          <w:rFonts w:cs="Helvetica"/>
          <w:szCs w:val="22"/>
        </w:rPr>
        <w:t xml:space="preserve"> </w:t>
      </w:r>
      <w:r w:rsidR="00A85702">
        <w:rPr>
          <w:rFonts w:cs="Helvetica"/>
          <w:szCs w:val="22"/>
        </w:rPr>
        <w:t>wages on time and in full are fundamental</w:t>
      </w:r>
      <w:r w:rsidR="00D832CF">
        <w:rPr>
          <w:rFonts w:cs="Helvetica"/>
          <w:szCs w:val="22"/>
        </w:rPr>
        <w:t xml:space="preserve"> employer obligations</w:t>
      </w:r>
      <w:r w:rsidR="008A4B20">
        <w:rPr>
          <w:rFonts w:cs="Helvetica"/>
          <w:szCs w:val="22"/>
        </w:rPr>
        <w:t>. Pr</w:t>
      </w:r>
      <w:r>
        <w:rPr>
          <w:rFonts w:cs="Helvetica"/>
          <w:szCs w:val="22"/>
        </w:rPr>
        <w:t>incip</w:t>
      </w:r>
      <w:r w:rsidR="00A76D31">
        <w:rPr>
          <w:rFonts w:cs="Helvetica"/>
          <w:szCs w:val="22"/>
        </w:rPr>
        <w:t>al</w:t>
      </w:r>
      <w:r>
        <w:rPr>
          <w:rFonts w:cs="Helvetica"/>
          <w:szCs w:val="22"/>
        </w:rPr>
        <w:t xml:space="preserve">s and subcontractors audited in this activity </w:t>
      </w:r>
      <w:r w:rsidR="008A4B20">
        <w:rPr>
          <w:rFonts w:cs="Helvetica"/>
          <w:szCs w:val="22"/>
        </w:rPr>
        <w:t xml:space="preserve">failed </w:t>
      </w:r>
      <w:r w:rsidR="005F0D1B">
        <w:rPr>
          <w:rFonts w:cs="Helvetica"/>
          <w:szCs w:val="22"/>
        </w:rPr>
        <w:t xml:space="preserve">to </w:t>
      </w:r>
      <w:r w:rsidR="008A4B20">
        <w:rPr>
          <w:rFonts w:cs="Helvetica"/>
          <w:szCs w:val="22"/>
        </w:rPr>
        <w:t>ensure they were able to fulfil the</w:t>
      </w:r>
      <w:r w:rsidR="00ED427A">
        <w:rPr>
          <w:rFonts w:cs="Helvetica"/>
          <w:szCs w:val="22"/>
        </w:rPr>
        <w:t>se basic</w:t>
      </w:r>
      <w:r w:rsidR="008A4B20">
        <w:rPr>
          <w:rFonts w:cs="Helvetica"/>
          <w:szCs w:val="22"/>
        </w:rPr>
        <w:t xml:space="preserve"> </w:t>
      </w:r>
      <w:r w:rsidR="00EF606F">
        <w:rPr>
          <w:rFonts w:cs="Helvetica"/>
          <w:szCs w:val="22"/>
        </w:rPr>
        <w:t xml:space="preserve">commitments to </w:t>
      </w:r>
      <w:r w:rsidR="008A35AB">
        <w:rPr>
          <w:rFonts w:cs="Helvetica"/>
          <w:szCs w:val="22"/>
        </w:rPr>
        <w:t>their employees.</w:t>
      </w:r>
    </w:p>
    <w:p w14:paraId="5F1E52FA" w14:textId="6FDFAA90" w:rsidR="000B1E91" w:rsidRDefault="001852EA" w:rsidP="00745312">
      <w:pPr>
        <w:rPr>
          <w:rFonts w:cs="Helvetica"/>
          <w:szCs w:val="22"/>
        </w:rPr>
      </w:pPr>
      <w:r>
        <w:rPr>
          <w:rFonts w:cs="Helvetica"/>
          <w:szCs w:val="22"/>
        </w:rPr>
        <w:t>The FWO</w:t>
      </w:r>
      <w:r w:rsidR="000B1E91">
        <w:rPr>
          <w:rFonts w:cs="Helvetica"/>
          <w:szCs w:val="22"/>
        </w:rPr>
        <w:t xml:space="preserve"> will continue to engage with security industry employers and their workers</w:t>
      </w:r>
      <w:r w:rsidR="00745312">
        <w:rPr>
          <w:rFonts w:cs="Helvetica"/>
          <w:szCs w:val="22"/>
        </w:rPr>
        <w:t xml:space="preserve"> and</w:t>
      </w:r>
      <w:r w:rsidR="000B1E91">
        <w:rPr>
          <w:rFonts w:cs="Helvetica"/>
          <w:szCs w:val="22"/>
        </w:rPr>
        <w:t xml:space="preserve"> </w:t>
      </w:r>
      <w:r w:rsidR="006877BD">
        <w:rPr>
          <w:rFonts w:cs="Helvetica"/>
          <w:szCs w:val="22"/>
        </w:rPr>
        <w:t>to promote</w:t>
      </w:r>
      <w:r w:rsidR="00745312">
        <w:rPr>
          <w:rFonts w:cs="Helvetica"/>
          <w:szCs w:val="22"/>
        </w:rPr>
        <w:t xml:space="preserve"> </w:t>
      </w:r>
      <w:r w:rsidR="006877BD">
        <w:rPr>
          <w:rFonts w:cs="Helvetica"/>
          <w:szCs w:val="22"/>
        </w:rPr>
        <w:t xml:space="preserve">the </w:t>
      </w:r>
      <w:r w:rsidR="000B1E91">
        <w:rPr>
          <w:rFonts w:cs="Helvetica"/>
          <w:szCs w:val="22"/>
        </w:rPr>
        <w:t>free tools and resources</w:t>
      </w:r>
      <w:r w:rsidR="00745312">
        <w:rPr>
          <w:rFonts w:cs="Helvetica"/>
          <w:szCs w:val="22"/>
        </w:rPr>
        <w:t xml:space="preserve"> it has developed to support complian</w:t>
      </w:r>
      <w:r w:rsidR="006877BD">
        <w:rPr>
          <w:rFonts w:cs="Helvetica"/>
          <w:szCs w:val="22"/>
        </w:rPr>
        <w:t>ce</w:t>
      </w:r>
      <w:r w:rsidR="000B1E91">
        <w:rPr>
          <w:rFonts w:cs="Helvetica"/>
          <w:szCs w:val="22"/>
        </w:rPr>
        <w:t>. This includes:</w:t>
      </w:r>
    </w:p>
    <w:p w14:paraId="296216D8" w14:textId="4F07C34A" w:rsidR="000B1E91" w:rsidRDefault="000B1E91" w:rsidP="000B1E91">
      <w:pPr>
        <w:pStyle w:val="Bullet"/>
        <w:numPr>
          <w:ilvl w:val="0"/>
          <w:numId w:val="22"/>
        </w:numPr>
      </w:pPr>
      <w:r>
        <w:t>PACT</w:t>
      </w:r>
      <w:r w:rsidR="00D4007A">
        <w:t xml:space="preserve"> - which </w:t>
      </w:r>
      <w:r>
        <w:t>calculates award pay rates, leave entitlements and termination pay</w:t>
      </w:r>
      <w:r w:rsidR="00D85101">
        <w:rPr>
          <w:rStyle w:val="FootnoteReference"/>
        </w:rPr>
        <w:footnoteReference w:id="5"/>
      </w:r>
    </w:p>
    <w:p w14:paraId="331314AB" w14:textId="39976BF5" w:rsidR="000B1E91" w:rsidRPr="00B11B89" w:rsidRDefault="000B1E91" w:rsidP="000B1E91">
      <w:pPr>
        <w:pStyle w:val="Bullet"/>
        <w:numPr>
          <w:ilvl w:val="0"/>
          <w:numId w:val="22"/>
        </w:numPr>
        <w:rPr>
          <w:rFonts w:cs="Helvetica"/>
        </w:rPr>
      </w:pPr>
      <w:r>
        <w:t>Online learning centre</w:t>
      </w:r>
      <w:r w:rsidR="00D4007A">
        <w:t xml:space="preserve"> which provides </w:t>
      </w:r>
      <w:r>
        <w:t xml:space="preserve">videos </w:t>
      </w:r>
      <w:r w:rsidR="005F0D1B">
        <w:t>on</w:t>
      </w:r>
      <w:r>
        <w:t xml:space="preserve"> record-keeping and pay slip obligations</w:t>
      </w:r>
      <w:r w:rsidR="00D85101">
        <w:rPr>
          <w:rStyle w:val="FootnoteReference"/>
        </w:rPr>
        <w:footnoteReference w:id="6"/>
      </w:r>
      <w:r>
        <w:t xml:space="preserve">  </w:t>
      </w:r>
    </w:p>
    <w:p w14:paraId="4573CAFE" w14:textId="662A9366" w:rsidR="000B1E91" w:rsidRPr="000B1E91" w:rsidRDefault="000B1E91" w:rsidP="000B1E91">
      <w:pPr>
        <w:pStyle w:val="Bullet"/>
        <w:numPr>
          <w:ilvl w:val="0"/>
          <w:numId w:val="22"/>
        </w:numPr>
      </w:pPr>
      <w:r>
        <w:rPr>
          <w:rFonts w:cs="Helvetica"/>
        </w:rPr>
        <w:t>Record My Hours</w:t>
      </w:r>
      <w:r w:rsidR="00D4007A">
        <w:t xml:space="preserve"> - </w:t>
      </w:r>
      <w:r>
        <w:rPr>
          <w:rFonts w:cs="Helvetica"/>
        </w:rPr>
        <w:t>an app that enables employees to keep a digital record of their hours, add rosters to a calendar and receive not</w:t>
      </w:r>
      <w:r w:rsidR="00D85101">
        <w:rPr>
          <w:rFonts w:cs="Helvetica"/>
        </w:rPr>
        <w:t>ification about upcoming shifts</w:t>
      </w:r>
      <w:r w:rsidR="00D85101">
        <w:rPr>
          <w:rStyle w:val="FootnoteReference"/>
        </w:rPr>
        <w:footnoteReference w:id="7"/>
      </w:r>
    </w:p>
    <w:p w14:paraId="1A8586BB" w14:textId="01BDC5C4" w:rsidR="000B1E91" w:rsidRDefault="00D4007A" w:rsidP="000B1E91">
      <w:pPr>
        <w:pStyle w:val="Bullet"/>
        <w:numPr>
          <w:ilvl w:val="0"/>
          <w:numId w:val="22"/>
        </w:numPr>
      </w:pPr>
      <w:r>
        <w:t xml:space="preserve">My Account – which </w:t>
      </w:r>
      <w:r w:rsidR="000B1E91">
        <w:t xml:space="preserve">provides access to tailored </w:t>
      </w:r>
      <w:r w:rsidR="00D01FB3">
        <w:t xml:space="preserve">updates </w:t>
      </w:r>
      <w:r w:rsidR="000B1E91">
        <w:t>and industry specific information</w:t>
      </w:r>
      <w:r w:rsidR="00D85101">
        <w:t>.</w:t>
      </w:r>
      <w:r w:rsidR="00D85101">
        <w:rPr>
          <w:rStyle w:val="FootnoteReference"/>
        </w:rPr>
        <w:footnoteReference w:id="8"/>
      </w:r>
    </w:p>
    <w:p w14:paraId="6EBAB948" w14:textId="43CA8AE9" w:rsidR="0033566F" w:rsidRDefault="001852EA" w:rsidP="005F0D1B">
      <w:pPr>
        <w:rPr>
          <w:rFonts w:cs="Helvetica"/>
          <w:szCs w:val="22"/>
        </w:rPr>
      </w:pPr>
      <w:r>
        <w:rPr>
          <w:rFonts w:cs="Helvetica"/>
          <w:szCs w:val="22"/>
        </w:rPr>
        <w:t xml:space="preserve">Industries </w:t>
      </w:r>
      <w:r w:rsidR="00D01FB3">
        <w:rPr>
          <w:rFonts w:cs="Helvetica"/>
          <w:szCs w:val="22"/>
        </w:rPr>
        <w:t>using</w:t>
      </w:r>
      <w:r>
        <w:rPr>
          <w:rFonts w:cs="Helvetica"/>
          <w:szCs w:val="22"/>
        </w:rPr>
        <w:t xml:space="preserve"> </w:t>
      </w:r>
      <w:r w:rsidR="00D01FB3">
        <w:rPr>
          <w:rFonts w:cs="Helvetica"/>
          <w:szCs w:val="22"/>
        </w:rPr>
        <w:t xml:space="preserve">labour </w:t>
      </w:r>
      <w:r>
        <w:rPr>
          <w:rFonts w:cs="Helvetica"/>
          <w:szCs w:val="22"/>
        </w:rPr>
        <w:t>supply chains will continue to be a strategic priority for the FWO</w:t>
      </w:r>
      <w:r w:rsidRPr="001852EA">
        <w:rPr>
          <w:rFonts w:cs="Helvetica"/>
          <w:szCs w:val="22"/>
        </w:rPr>
        <w:t>.</w:t>
      </w:r>
      <w:r>
        <w:rPr>
          <w:rFonts w:cs="Helvetica"/>
          <w:szCs w:val="22"/>
        </w:rPr>
        <w:t xml:space="preserve"> Princip</w:t>
      </w:r>
      <w:r w:rsidR="00A76D31">
        <w:rPr>
          <w:rFonts w:cs="Helvetica"/>
          <w:szCs w:val="22"/>
        </w:rPr>
        <w:t>al</w:t>
      </w:r>
      <w:r>
        <w:rPr>
          <w:rFonts w:cs="Helvetica"/>
          <w:szCs w:val="22"/>
        </w:rPr>
        <w:t xml:space="preserve">s and </w:t>
      </w:r>
      <w:r w:rsidR="001556B6">
        <w:rPr>
          <w:rFonts w:cs="Helvetica"/>
          <w:szCs w:val="22"/>
        </w:rPr>
        <w:t>subcontractors</w:t>
      </w:r>
      <w:r>
        <w:rPr>
          <w:rFonts w:cs="Helvetica"/>
          <w:szCs w:val="22"/>
        </w:rPr>
        <w:t xml:space="preserve"> can expect compliance and enforcement </w:t>
      </w:r>
      <w:r w:rsidR="00D01FB3">
        <w:rPr>
          <w:rFonts w:cs="Helvetica"/>
          <w:szCs w:val="22"/>
        </w:rPr>
        <w:t xml:space="preserve">action to </w:t>
      </w:r>
      <w:r>
        <w:rPr>
          <w:rFonts w:cs="Helvetica"/>
          <w:szCs w:val="22"/>
        </w:rPr>
        <w:t xml:space="preserve">recover </w:t>
      </w:r>
      <w:r w:rsidR="00D01FB3">
        <w:rPr>
          <w:rFonts w:cs="Helvetica"/>
          <w:szCs w:val="22"/>
        </w:rPr>
        <w:t xml:space="preserve">unpaid </w:t>
      </w:r>
      <w:r>
        <w:rPr>
          <w:rFonts w:cs="Helvetica"/>
          <w:szCs w:val="22"/>
        </w:rPr>
        <w:t xml:space="preserve">entitlements.  </w:t>
      </w:r>
      <w:r w:rsidR="00E36ACA">
        <w:rPr>
          <w:rFonts w:cs="Helvetica"/>
          <w:szCs w:val="22"/>
        </w:rPr>
        <w:t>Where there is</w:t>
      </w:r>
      <w:r w:rsidR="005F0D1B">
        <w:rPr>
          <w:rFonts w:cs="Helvetica"/>
          <w:szCs w:val="22"/>
        </w:rPr>
        <w:t xml:space="preserve"> </w:t>
      </w:r>
      <w:r w:rsidR="00E36ACA">
        <w:rPr>
          <w:rFonts w:cs="Helvetica"/>
          <w:szCs w:val="22"/>
        </w:rPr>
        <w:t xml:space="preserve">evidence of </w:t>
      </w:r>
      <w:r w:rsidR="00551ECF">
        <w:rPr>
          <w:rFonts w:cs="Helvetica"/>
          <w:szCs w:val="22"/>
        </w:rPr>
        <w:t>serious, systemic</w:t>
      </w:r>
      <w:r w:rsidR="00E36ACA">
        <w:rPr>
          <w:rFonts w:cs="Helvetica"/>
          <w:szCs w:val="22"/>
        </w:rPr>
        <w:t xml:space="preserve"> or deliberate non-compliance, this can include </w:t>
      </w:r>
      <w:r w:rsidR="005F0D1B">
        <w:rPr>
          <w:rFonts w:cs="Helvetica"/>
          <w:szCs w:val="22"/>
        </w:rPr>
        <w:t>court</w:t>
      </w:r>
      <w:r w:rsidR="00E36ACA">
        <w:rPr>
          <w:rFonts w:cs="Helvetica"/>
          <w:szCs w:val="22"/>
        </w:rPr>
        <w:t xml:space="preserve"> proceedings.</w:t>
      </w:r>
      <w:r w:rsidR="00E36ACA">
        <w:rPr>
          <w:rStyle w:val="FootnoteReference"/>
          <w:szCs w:val="22"/>
        </w:rPr>
        <w:footnoteReference w:id="9"/>
      </w:r>
      <w:r w:rsidR="0033566F">
        <w:rPr>
          <w:rFonts w:cs="Helvetica"/>
          <w:szCs w:val="22"/>
        </w:rPr>
        <w:br w:type="page"/>
      </w:r>
    </w:p>
    <w:p w14:paraId="6916A47B" w14:textId="77777777" w:rsidR="0092652D" w:rsidRPr="00242EC3" w:rsidRDefault="0092652D" w:rsidP="0092652D">
      <w:pPr>
        <w:pStyle w:val="Heading1"/>
        <w:rPr>
          <w:rFonts w:asciiTheme="minorHAnsi" w:hAnsiTheme="minorHAnsi" w:cstheme="minorHAnsi"/>
        </w:rPr>
      </w:pPr>
      <w:bookmarkStart w:id="18" w:name="_Toc5280225"/>
      <w:bookmarkStart w:id="19" w:name="_Toc5719211"/>
      <w:r w:rsidRPr="00242EC3">
        <w:rPr>
          <w:rFonts w:asciiTheme="minorHAnsi" w:hAnsiTheme="minorHAnsi" w:cstheme="minorHAnsi"/>
        </w:rPr>
        <w:lastRenderedPageBreak/>
        <w:t>About the Fair Work Ombudsman</w:t>
      </w:r>
      <w:bookmarkEnd w:id="18"/>
      <w:bookmarkEnd w:id="19"/>
      <w:r w:rsidRPr="00242EC3">
        <w:rPr>
          <w:rFonts w:asciiTheme="minorHAnsi" w:hAnsiTheme="minorHAnsi" w:cstheme="minorHAnsi"/>
        </w:rPr>
        <w:t xml:space="preserve"> </w:t>
      </w:r>
    </w:p>
    <w:p w14:paraId="24B0FED7" w14:textId="77777777" w:rsidR="0092652D" w:rsidRPr="00242EC3" w:rsidRDefault="0092652D" w:rsidP="0092652D">
      <w:r w:rsidRPr="00242EC3">
        <w:t xml:space="preserve">The FWO is an independent agency created by the Fair Work Act 2009 on 1 July 2009. </w:t>
      </w:r>
    </w:p>
    <w:p w14:paraId="352D571F" w14:textId="341EB5BB" w:rsidR="0092652D" w:rsidRPr="00242EC3" w:rsidRDefault="0092652D" w:rsidP="0092652D">
      <w:r w:rsidRPr="00242EC3">
        <w:t>Our main role is to promote harmonious, productive</w:t>
      </w:r>
      <w:r w:rsidR="00ED5673">
        <w:t xml:space="preserve">, </w:t>
      </w:r>
      <w:r w:rsidRPr="00242EC3">
        <w:t xml:space="preserve">cooperative </w:t>
      </w:r>
      <w:r w:rsidR="00ED5673">
        <w:t xml:space="preserve">and compliant </w:t>
      </w:r>
      <w:r w:rsidRPr="00242EC3">
        <w:t>workplace</w:t>
      </w:r>
      <w:r w:rsidR="00ED5673">
        <w:t xml:space="preserve"> relations</w:t>
      </w:r>
      <w:r w:rsidR="001C1293">
        <w:t>.</w:t>
      </w:r>
    </w:p>
    <w:p w14:paraId="27741203" w14:textId="77777777" w:rsidR="0092652D" w:rsidRPr="00242EC3" w:rsidRDefault="0092652D" w:rsidP="0092652D">
      <w:r w:rsidRPr="00242EC3">
        <w:t>The FWO supports compliance with Australian workplace laws by:</w:t>
      </w:r>
    </w:p>
    <w:p w14:paraId="2AE3B716" w14:textId="0ABA444B" w:rsidR="0092652D" w:rsidRPr="00242EC3" w:rsidRDefault="008250F2" w:rsidP="0092652D">
      <w:pPr>
        <w:pStyle w:val="Bullet"/>
        <w:rPr>
          <w:lang w:val="en" w:eastAsia="en-AU"/>
        </w:rPr>
      </w:pPr>
      <w:r>
        <w:rPr>
          <w:lang w:val="en" w:eastAsia="en-AU"/>
        </w:rPr>
        <w:t xml:space="preserve">providing education, assistance, advice and guidance to employers, employees, outworkers, outworker entities and </w:t>
      </w:r>
      <w:proofErr w:type="spellStart"/>
      <w:r>
        <w:rPr>
          <w:lang w:val="en" w:eastAsia="en-AU"/>
        </w:rPr>
        <w:t>organisations</w:t>
      </w:r>
      <w:proofErr w:type="spellEnd"/>
    </w:p>
    <w:p w14:paraId="7CF39118" w14:textId="3458D3FE" w:rsidR="0092652D" w:rsidRPr="00242EC3" w:rsidRDefault="008250F2" w:rsidP="0092652D">
      <w:pPr>
        <w:pStyle w:val="Bullet"/>
        <w:rPr>
          <w:lang w:val="en" w:eastAsia="en-AU"/>
        </w:rPr>
      </w:pPr>
      <w:r>
        <w:rPr>
          <w:lang w:val="en" w:eastAsia="en-AU"/>
        </w:rPr>
        <w:t xml:space="preserve">promoting and </w:t>
      </w:r>
      <w:proofErr w:type="spellStart"/>
      <w:r>
        <w:rPr>
          <w:lang w:val="en" w:eastAsia="en-AU"/>
        </w:rPr>
        <w:t>monnitoring</w:t>
      </w:r>
      <w:proofErr w:type="spellEnd"/>
      <w:r>
        <w:rPr>
          <w:lang w:val="en" w:eastAsia="en-AU"/>
        </w:rPr>
        <w:t xml:space="preserve"> compliance with workplace laws</w:t>
      </w:r>
    </w:p>
    <w:p w14:paraId="27123836" w14:textId="4992BFB7" w:rsidR="0092652D" w:rsidRPr="00242EC3" w:rsidRDefault="008250F2" w:rsidP="0092652D">
      <w:pPr>
        <w:pStyle w:val="Bullet"/>
        <w:rPr>
          <w:lang w:val="en" w:eastAsia="en-AU"/>
        </w:rPr>
      </w:pPr>
      <w:r>
        <w:rPr>
          <w:lang w:val="en" w:eastAsia="en-AU"/>
        </w:rPr>
        <w:t xml:space="preserve">inquiring into and investigating breaches of the </w:t>
      </w:r>
      <w:r w:rsidR="0092652D" w:rsidRPr="00242EC3">
        <w:rPr>
          <w:lang w:val="en" w:eastAsia="en-AU"/>
        </w:rPr>
        <w:t xml:space="preserve">Fair Work </w:t>
      </w:r>
      <w:r>
        <w:rPr>
          <w:lang w:val="en" w:eastAsia="en-AU"/>
        </w:rPr>
        <w:t>Act</w:t>
      </w:r>
    </w:p>
    <w:p w14:paraId="01033814" w14:textId="58EFDA5C" w:rsidR="0092652D" w:rsidRPr="00242EC3" w:rsidRDefault="008250F2" w:rsidP="0092652D">
      <w:pPr>
        <w:pStyle w:val="Bullet"/>
        <w:rPr>
          <w:lang w:val="en" w:eastAsia="en-AU"/>
        </w:rPr>
      </w:pPr>
      <w:r>
        <w:rPr>
          <w:lang w:val="en" w:eastAsia="en-AU"/>
        </w:rPr>
        <w:t>taking appropriate enforcement action</w:t>
      </w:r>
    </w:p>
    <w:p w14:paraId="738AFD2D" w14:textId="57EE50E1" w:rsidR="0092652D" w:rsidRPr="00242EC3" w:rsidRDefault="008250F2" w:rsidP="0092652D">
      <w:pPr>
        <w:pStyle w:val="Bullet"/>
        <w:rPr>
          <w:lang w:val="en" w:eastAsia="en-AU"/>
        </w:rPr>
      </w:pPr>
      <w:proofErr w:type="gramStart"/>
      <w:r>
        <w:rPr>
          <w:lang w:val="en" w:eastAsia="en-AU"/>
        </w:rPr>
        <w:t>performing</w:t>
      </w:r>
      <w:proofErr w:type="gramEnd"/>
      <w:r>
        <w:rPr>
          <w:lang w:val="en" w:eastAsia="en-AU"/>
        </w:rPr>
        <w:t xml:space="preserve"> our statutory functions efficiently, effectively, </w:t>
      </w:r>
      <w:proofErr w:type="spellStart"/>
      <w:r>
        <w:rPr>
          <w:lang w:val="en" w:eastAsia="en-AU"/>
        </w:rPr>
        <w:t>econimically</w:t>
      </w:r>
      <w:proofErr w:type="spellEnd"/>
      <w:r>
        <w:rPr>
          <w:lang w:val="en" w:eastAsia="en-AU"/>
        </w:rPr>
        <w:t xml:space="preserve"> and ethically.</w:t>
      </w:r>
    </w:p>
    <w:p w14:paraId="361FA41B" w14:textId="5ED5CDAD" w:rsidR="0092652D" w:rsidRPr="00242EC3" w:rsidRDefault="0092652D" w:rsidP="0092652D">
      <w:r w:rsidRPr="00242EC3">
        <w:t xml:space="preserve">The FWO has a range of resources and publications for employers and employees on our website at www.fairwork.gov.au, including our </w:t>
      </w:r>
      <w:hyperlink r:id="rId9" w:history="1">
        <w:r w:rsidRPr="00D01FB3">
          <w:rPr>
            <w:rStyle w:val="Hyperlink"/>
            <w:rFonts w:cs="Arial"/>
          </w:rPr>
          <w:t>Strategic Intent</w:t>
        </w:r>
      </w:hyperlink>
      <w:r w:rsidRPr="00242EC3">
        <w:t xml:space="preserve"> and </w:t>
      </w:r>
      <w:hyperlink r:id="rId10" w:history="1">
        <w:r w:rsidRPr="00D01FB3">
          <w:rPr>
            <w:rStyle w:val="Hyperlink"/>
            <w:rFonts w:cs="Arial"/>
          </w:rPr>
          <w:t>Compliance and Enforcement Policy</w:t>
        </w:r>
      </w:hyperlink>
      <w:r w:rsidRPr="00242EC3">
        <w:t xml:space="preserve"> that explains how we approach fulfilling our role.</w:t>
      </w:r>
    </w:p>
    <w:p w14:paraId="76E76F74" w14:textId="77777777" w:rsidR="0092652D" w:rsidRPr="00242EC3" w:rsidRDefault="0092652D" w:rsidP="0092652D">
      <w:r w:rsidRPr="00242EC3">
        <w:t xml:space="preserve">For more information about this report or our current compliance and enforcement activities, please contact Lynda </w:t>
      </w:r>
      <w:proofErr w:type="spellStart"/>
      <w:r w:rsidRPr="00242EC3">
        <w:t>McAlary</w:t>
      </w:r>
      <w:proofErr w:type="spellEnd"/>
      <w:r w:rsidRPr="00242EC3">
        <w:t>-Smith, Executive Director Compliance and Enforcement, at</w:t>
      </w:r>
      <w:r>
        <w:t xml:space="preserve"> </w:t>
      </w:r>
      <w:r w:rsidRPr="00242EC3">
        <w:t>lynda.mcalary-smith@fwo.gov.au.</w:t>
      </w:r>
    </w:p>
    <w:p w14:paraId="3A5A33DC" w14:textId="0DC28724" w:rsidR="00BF0029" w:rsidRPr="00CF3B06" w:rsidRDefault="0092652D" w:rsidP="00F6258B">
      <w:r w:rsidRPr="00242EC3">
        <w:t xml:space="preserve">For media enquiries, email </w:t>
      </w:r>
      <w:hyperlink r:id="rId11" w:history="1">
        <w:r>
          <w:rPr>
            <w:rFonts w:eastAsiaTheme="minorEastAsia"/>
          </w:rPr>
          <w:t>media@fwo.gov.au</w:t>
        </w:r>
      </w:hyperlink>
      <w:r>
        <w:rPr>
          <w:rFonts w:eastAsiaTheme="minorEastAsia"/>
        </w:rPr>
        <w:t xml:space="preserve">. </w:t>
      </w:r>
    </w:p>
    <w:sectPr w:rsidR="00BF0029" w:rsidRPr="00CF3B06" w:rsidSect="00F579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276" w:right="992" w:bottom="851" w:left="1276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8E3D3" w14:textId="77777777" w:rsidR="00A02351" w:rsidRDefault="00A02351" w:rsidP="00AB27F9">
      <w:r>
        <w:separator/>
      </w:r>
    </w:p>
  </w:endnote>
  <w:endnote w:type="continuationSeparator" w:id="0">
    <w:p w14:paraId="6A890A2A" w14:textId="77777777" w:rsidR="00A02351" w:rsidRDefault="00A02351" w:rsidP="00AB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ir Work">
    <w:altName w:val="Times New Roman"/>
    <w:panose1 w:val="00000000000000000000"/>
    <w:charset w:val="00"/>
    <w:family w:val="roman"/>
    <w:notTrueType/>
    <w:pitch w:val="variable"/>
    <w:sig w:usb0="00000083" w:usb1="5000204A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B6877" w14:textId="77777777" w:rsidR="00A02351" w:rsidRDefault="00A02351" w:rsidP="00AB27F9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0AB33DE7" w14:textId="77777777" w:rsidR="00A02351" w:rsidRDefault="00A02351" w:rsidP="00AB27F9"/>
  <w:p w14:paraId="195A81E4" w14:textId="77777777" w:rsidR="00A02351" w:rsidRDefault="00A02351"/>
  <w:p w14:paraId="4035D06D" w14:textId="77777777" w:rsidR="00A02351" w:rsidRDefault="00A02351"/>
  <w:p w14:paraId="6B89B090" w14:textId="77777777" w:rsidR="00A02351" w:rsidRDefault="00A023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9E099" w14:textId="5EC03F10" w:rsidR="00A02351" w:rsidRPr="0045600E" w:rsidRDefault="00FF1FD2">
    <w:pPr>
      <w:pStyle w:val="Footer"/>
      <w:jc w:val="right"/>
      <w:rPr>
        <w:color w:val="FFFFFF" w:themeColor="background1"/>
      </w:rPr>
    </w:pPr>
    <w:r>
      <w:rPr>
        <w:color w:val="FFFFFF" w:themeColor="background1"/>
        <w:szCs w:val="18"/>
      </w:rPr>
      <w:fldChar w:fldCharType="begin"/>
    </w:r>
    <w:r>
      <w:rPr>
        <w:color w:val="FFFFFF" w:themeColor="background1"/>
        <w:szCs w:val="18"/>
      </w:rPr>
      <w:instrText xml:space="preserve"> DOCPROPERTY "mvRef" \* MERGEFORMAT </w:instrText>
    </w:r>
    <w:r>
      <w:rPr>
        <w:color w:val="FFFFFF" w:themeColor="background1"/>
        <w:szCs w:val="18"/>
      </w:rPr>
      <w:fldChar w:fldCharType="separate"/>
    </w:r>
    <w:r w:rsidR="00E52826">
      <w:rPr>
        <w:b/>
        <w:bCs/>
        <w:color w:val="FFFFFF" w:themeColor="background1"/>
        <w:szCs w:val="18"/>
        <w:lang w:val="en-US"/>
      </w:rPr>
      <w:t>Error! Unknown document property name.</w:t>
    </w:r>
    <w:r>
      <w:rPr>
        <w:color w:val="FFFFFF" w:themeColor="background1"/>
        <w:szCs w:val="18"/>
      </w:rPr>
      <w:fldChar w:fldCharType="end"/>
    </w:r>
    <w:r w:rsidR="00A02351" w:rsidRPr="0045600E">
      <w:rPr>
        <w:color w:val="FFFFFF" w:themeColor="background1"/>
        <w:szCs w:val="18"/>
      </w:rPr>
      <w:tab/>
    </w:r>
    <w:sdt>
      <w:sdtPr>
        <w:id w:val="-1505813797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1"/>
        </w:rPr>
      </w:sdtEndPr>
      <w:sdtContent>
        <w:r w:rsidR="00A02351" w:rsidRPr="00BF0029">
          <w:rPr>
            <w:sz w:val="20"/>
            <w:szCs w:val="20"/>
          </w:rPr>
          <w:fldChar w:fldCharType="begin"/>
        </w:r>
        <w:r w:rsidR="00A02351" w:rsidRPr="00BF0029">
          <w:rPr>
            <w:sz w:val="20"/>
            <w:szCs w:val="20"/>
          </w:rPr>
          <w:instrText xml:space="preserve"> PAGE   \* MERGEFORMAT </w:instrText>
        </w:r>
        <w:r w:rsidR="00A02351" w:rsidRPr="00BF0029">
          <w:rPr>
            <w:sz w:val="20"/>
            <w:szCs w:val="20"/>
          </w:rPr>
          <w:fldChar w:fldCharType="separate"/>
        </w:r>
        <w:r w:rsidR="00E52826">
          <w:rPr>
            <w:noProof/>
            <w:sz w:val="20"/>
            <w:szCs w:val="20"/>
          </w:rPr>
          <w:t>10</w:t>
        </w:r>
        <w:r w:rsidR="00A02351" w:rsidRPr="00BF0029">
          <w:rPr>
            <w:noProof/>
            <w:sz w:val="20"/>
            <w:szCs w:val="20"/>
          </w:rPr>
          <w:fldChar w:fldCharType="end"/>
        </w:r>
      </w:sdtContent>
    </w:sdt>
  </w:p>
  <w:p w14:paraId="7F3A3D39" w14:textId="77777777" w:rsidR="00A02351" w:rsidRDefault="00A02351" w:rsidP="004B21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D4829" w14:textId="77777777" w:rsidR="00ED5673" w:rsidRDefault="00ED5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F3F70" w14:textId="77777777" w:rsidR="00A02351" w:rsidRDefault="00A02351" w:rsidP="00AB27F9">
      <w:r>
        <w:separator/>
      </w:r>
    </w:p>
  </w:footnote>
  <w:footnote w:type="continuationSeparator" w:id="0">
    <w:p w14:paraId="25E1AC6B" w14:textId="77777777" w:rsidR="00A02351" w:rsidRDefault="00A02351" w:rsidP="00AB27F9">
      <w:r>
        <w:continuationSeparator/>
      </w:r>
    </w:p>
  </w:footnote>
  <w:footnote w:id="1">
    <w:p w14:paraId="1CFC83BD" w14:textId="0B07108F" w:rsidR="00A02351" w:rsidRDefault="00A02351" w:rsidP="00681D79">
      <w:pPr>
        <w:pStyle w:val="FootnoteText"/>
        <w:spacing w:before="0" w:line="240" w:lineRule="auto"/>
      </w:pPr>
      <w:r>
        <w:rPr>
          <w:rStyle w:val="FootnoteReference"/>
        </w:rPr>
        <w:footnoteRef/>
      </w:r>
      <w:r>
        <w:t xml:space="preserve"> </w:t>
      </w:r>
      <w:r w:rsidRPr="004067AD">
        <w:rPr>
          <w:sz w:val="18"/>
          <w:szCs w:val="18"/>
        </w:rPr>
        <w:t>Princip</w:t>
      </w:r>
      <w:r w:rsidR="00A76D31">
        <w:rPr>
          <w:sz w:val="18"/>
          <w:szCs w:val="18"/>
        </w:rPr>
        <w:t>al</w:t>
      </w:r>
      <w:r w:rsidRPr="004067AD">
        <w:rPr>
          <w:sz w:val="18"/>
          <w:szCs w:val="18"/>
        </w:rPr>
        <w:t>s may engage workers directly, in addition to subcontracting out this responsibility. There may also be multiple levels of subcontractors in a supply chain.</w:t>
      </w:r>
    </w:p>
  </w:footnote>
  <w:footnote w:id="2">
    <w:p w14:paraId="5DA03ABE" w14:textId="1C497521" w:rsidR="00A02351" w:rsidRDefault="00A02351" w:rsidP="00FC18C0">
      <w:pPr>
        <w:pStyle w:val="FootnoteText"/>
        <w:spacing w:before="0" w:line="240" w:lineRule="auto"/>
      </w:pPr>
      <w:r>
        <w:rPr>
          <w:rStyle w:val="FootnoteReference"/>
        </w:rPr>
        <w:footnoteRef/>
      </w:r>
      <w:r>
        <w:t xml:space="preserve"> </w:t>
      </w:r>
      <w:r w:rsidRPr="00FC18C0">
        <w:rPr>
          <w:sz w:val="18"/>
          <w:szCs w:val="18"/>
        </w:rPr>
        <w:t>During the 2016-2018 and 2017-2018 financial years the security Industry ranked in the top ten industries by number of disputes lodged with the FWO.</w:t>
      </w:r>
    </w:p>
  </w:footnote>
  <w:footnote w:id="3">
    <w:p w14:paraId="366C70FA" w14:textId="001F2D89" w:rsidR="00665ECC" w:rsidRDefault="00665ECC" w:rsidP="009B7E97">
      <w:pPr>
        <w:spacing w:before="0" w:line="240" w:lineRule="auto"/>
      </w:pPr>
      <w:r>
        <w:rPr>
          <w:rStyle w:val="FootnoteReference"/>
        </w:rPr>
        <w:footnoteRef/>
      </w:r>
      <w:r>
        <w:t xml:space="preserve"> </w:t>
      </w:r>
      <w:r w:rsidRPr="00F6258B">
        <w:rPr>
          <w:sz w:val="18"/>
          <w:szCs w:val="18"/>
        </w:rPr>
        <w:t xml:space="preserve">GOLDOC advised the FWO that it had </w:t>
      </w:r>
      <w:r w:rsidRPr="00F6258B">
        <w:rPr>
          <w:rFonts w:cs="Helvetica"/>
          <w:sz w:val="18"/>
          <w:szCs w:val="18"/>
        </w:rPr>
        <w:t>remitted advance payment to each of the four principal contractors in the total amount of $12</w:t>
      </w:r>
      <w:r w:rsidR="009B7E97">
        <w:rPr>
          <w:rFonts w:cs="Helvetica"/>
          <w:sz w:val="18"/>
          <w:szCs w:val="18"/>
        </w:rPr>
        <w:t xml:space="preserve"> </w:t>
      </w:r>
      <w:r w:rsidRPr="00F6258B">
        <w:rPr>
          <w:rFonts w:cs="Helvetica"/>
          <w:sz w:val="18"/>
          <w:szCs w:val="18"/>
        </w:rPr>
        <w:t>970</w:t>
      </w:r>
      <w:r w:rsidR="009B7E97">
        <w:rPr>
          <w:rFonts w:cs="Helvetica"/>
          <w:sz w:val="18"/>
          <w:szCs w:val="18"/>
        </w:rPr>
        <w:t xml:space="preserve"> </w:t>
      </w:r>
      <w:r w:rsidRPr="00F6258B">
        <w:rPr>
          <w:rFonts w:cs="Helvetica"/>
          <w:sz w:val="18"/>
          <w:szCs w:val="18"/>
        </w:rPr>
        <w:t>985</w:t>
      </w:r>
      <w:r w:rsidR="00F6258B" w:rsidRPr="00F6258B">
        <w:rPr>
          <w:rFonts w:cs="Helvetica"/>
          <w:sz w:val="18"/>
          <w:szCs w:val="18"/>
        </w:rPr>
        <w:t>.</w:t>
      </w:r>
      <w:r w:rsidRPr="00F6258B">
        <w:rPr>
          <w:rFonts w:cs="Helvetica"/>
          <w:sz w:val="18"/>
          <w:szCs w:val="18"/>
        </w:rPr>
        <w:t xml:space="preserve">  </w:t>
      </w:r>
    </w:p>
  </w:footnote>
  <w:footnote w:id="4">
    <w:p w14:paraId="51F09F35" w14:textId="77777777" w:rsidR="00AB13FC" w:rsidRDefault="00AB13FC" w:rsidP="00AB13FC">
      <w:pPr>
        <w:pStyle w:val="FootnoteText"/>
        <w:spacing w:before="0" w:line="240" w:lineRule="auto"/>
      </w:pPr>
      <w:r>
        <w:rPr>
          <w:rStyle w:val="FootnoteReference"/>
        </w:rPr>
        <w:footnoteRef/>
      </w:r>
      <w:r>
        <w:t xml:space="preserve"> </w:t>
      </w:r>
      <w:r w:rsidRPr="008750F1">
        <w:rPr>
          <w:sz w:val="18"/>
          <w:szCs w:val="18"/>
        </w:rPr>
        <w:t>Although nine employers were in breach of their obligations, one went into liquidation before th</w:t>
      </w:r>
      <w:r>
        <w:rPr>
          <w:sz w:val="18"/>
          <w:szCs w:val="18"/>
        </w:rPr>
        <w:t>e</w:t>
      </w:r>
      <w:r w:rsidRPr="008750F1">
        <w:rPr>
          <w:sz w:val="18"/>
          <w:szCs w:val="18"/>
        </w:rPr>
        <w:t xml:space="preserve"> FWO could issue a contravention letter.</w:t>
      </w:r>
    </w:p>
  </w:footnote>
  <w:footnote w:id="5">
    <w:p w14:paraId="6EFA72B7" w14:textId="77777777" w:rsidR="00D85101" w:rsidRDefault="00D85101" w:rsidP="00D4007A">
      <w:pPr>
        <w:pStyle w:val="FootnoteText"/>
        <w:spacing w:before="0" w:line="240" w:lineRule="auto"/>
      </w:pPr>
      <w:r>
        <w:rPr>
          <w:rStyle w:val="FootnoteReference"/>
        </w:rPr>
        <w:footnoteRef/>
      </w:r>
      <w:r>
        <w:t xml:space="preserve"> </w:t>
      </w:r>
      <w:r w:rsidRPr="006C0893">
        <w:rPr>
          <w:sz w:val="18"/>
          <w:szCs w:val="18"/>
          <w:lang w:eastAsia="en-AU"/>
        </w:rPr>
        <w:t>https://calculate.fairwork.gov.au/</w:t>
      </w:r>
    </w:p>
  </w:footnote>
  <w:footnote w:id="6">
    <w:p w14:paraId="1B25BC64" w14:textId="77777777" w:rsidR="00D85101" w:rsidRDefault="00D85101" w:rsidP="00D4007A">
      <w:pPr>
        <w:pStyle w:val="FootnoteText"/>
        <w:spacing w:before="0" w:line="240" w:lineRule="auto"/>
      </w:pPr>
      <w:r>
        <w:rPr>
          <w:rStyle w:val="FootnoteReference"/>
        </w:rPr>
        <w:footnoteRef/>
      </w:r>
      <w:r>
        <w:t xml:space="preserve"> </w:t>
      </w:r>
      <w:r w:rsidRPr="006C0893">
        <w:rPr>
          <w:sz w:val="18"/>
          <w:szCs w:val="18"/>
          <w:lang w:eastAsia="en-AU"/>
        </w:rPr>
        <w:t>https://www.fairwork.gov.au/how-we-will-help/online-training/online-learning-centre</w:t>
      </w:r>
    </w:p>
  </w:footnote>
  <w:footnote w:id="7">
    <w:p w14:paraId="1795B089" w14:textId="07EDBB1C" w:rsidR="00D85101" w:rsidRDefault="00D85101" w:rsidP="00D4007A">
      <w:pPr>
        <w:pStyle w:val="FootnoteText"/>
        <w:spacing w:before="0" w:line="240" w:lineRule="auto"/>
      </w:pPr>
      <w:r>
        <w:rPr>
          <w:rStyle w:val="FootnoteReference"/>
        </w:rPr>
        <w:footnoteRef/>
      </w:r>
      <w:r>
        <w:t xml:space="preserve"> </w:t>
      </w:r>
      <w:r w:rsidRPr="00D85101">
        <w:rPr>
          <w:sz w:val="18"/>
          <w:szCs w:val="18"/>
          <w:lang w:eastAsia="en-AU"/>
        </w:rPr>
        <w:t>https://www.fairwork.gov.au/how-we-will-help/how-we-help-you/record-my-hours-app</w:t>
      </w:r>
    </w:p>
  </w:footnote>
  <w:footnote w:id="8">
    <w:p w14:paraId="34BA360D" w14:textId="77777777" w:rsidR="00D85101" w:rsidRDefault="00D85101" w:rsidP="00D4007A">
      <w:pPr>
        <w:pStyle w:val="FootnoteText"/>
        <w:spacing w:before="0" w:line="240" w:lineRule="auto"/>
      </w:pPr>
      <w:r>
        <w:rPr>
          <w:rStyle w:val="FootnoteReference"/>
        </w:rPr>
        <w:footnoteRef/>
      </w:r>
      <w:r>
        <w:t xml:space="preserve"> </w:t>
      </w:r>
      <w:r w:rsidRPr="006C0893">
        <w:rPr>
          <w:sz w:val="18"/>
          <w:szCs w:val="18"/>
          <w:lang w:eastAsia="en-AU"/>
        </w:rPr>
        <w:t>https://www.fairwork.gov.au/my-account/registerpage.aspx</w:t>
      </w:r>
    </w:p>
  </w:footnote>
  <w:footnote w:id="9">
    <w:p w14:paraId="390CCD64" w14:textId="27B37DD0" w:rsidR="00E36ACA" w:rsidRDefault="00E36ACA" w:rsidP="00D4007A">
      <w:pPr>
        <w:pStyle w:val="FootnoteText"/>
        <w:spacing w:before="0" w:line="240" w:lineRule="auto"/>
      </w:pPr>
      <w:r>
        <w:rPr>
          <w:rStyle w:val="FootnoteReference"/>
        </w:rPr>
        <w:footnoteRef/>
      </w:r>
      <w:r>
        <w:t xml:space="preserve"> </w:t>
      </w:r>
      <w:r w:rsidRPr="00C3030A">
        <w:rPr>
          <w:sz w:val="18"/>
          <w:szCs w:val="18"/>
          <w:lang w:eastAsia="en-AU"/>
        </w:rPr>
        <w:t>Courts may impose penalties up to $12 600 per breach for an individual</w:t>
      </w:r>
      <w:r>
        <w:rPr>
          <w:sz w:val="18"/>
          <w:szCs w:val="18"/>
          <w:lang w:eastAsia="en-AU"/>
        </w:rPr>
        <w:t xml:space="preserve">, </w:t>
      </w:r>
      <w:r w:rsidRPr="00C3030A">
        <w:rPr>
          <w:sz w:val="18"/>
          <w:szCs w:val="18"/>
          <w:lang w:eastAsia="en-AU"/>
        </w:rPr>
        <w:t xml:space="preserve">and $63 000 per </w:t>
      </w:r>
      <w:r>
        <w:rPr>
          <w:sz w:val="18"/>
          <w:szCs w:val="18"/>
          <w:lang w:eastAsia="en-AU"/>
        </w:rPr>
        <w:t>breach</w:t>
      </w:r>
      <w:r w:rsidRPr="00C3030A">
        <w:rPr>
          <w:sz w:val="18"/>
          <w:szCs w:val="18"/>
          <w:lang w:eastAsia="en-AU"/>
        </w:rPr>
        <w:t xml:space="preserve"> for companies. Where non-compliance is proven to be deliberate or systemic, penalties can amount to $126 000 per breach for individuals and $630 000 per for companies</w:t>
      </w:r>
      <w:r>
        <w:rPr>
          <w:sz w:val="18"/>
          <w:szCs w:val="18"/>
          <w:lang w:eastAsia="en-A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4E2AC" w14:textId="77777777" w:rsidR="00ED5673" w:rsidRDefault="00ED5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DC0C" w14:textId="77777777" w:rsidR="00ED5673" w:rsidRDefault="00ED56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C5AAC" w14:textId="77777777" w:rsidR="00A02351" w:rsidRPr="003952ED" w:rsidRDefault="00A02351" w:rsidP="00AB27F9">
    <w:pPr>
      <w:rPr>
        <w:u w:val="single"/>
      </w:rPr>
    </w:pPr>
    <w:r>
      <w:rPr>
        <w:noProof/>
        <w:u w:val="single"/>
        <w:lang w:eastAsia="en-AU"/>
      </w:rPr>
      <w:drawing>
        <wp:anchor distT="0" distB="0" distL="114300" distR="114300" simplePos="0" relativeHeight="251659264" behindDoc="1" locked="0" layoutInCell="1" allowOverlap="1" wp14:anchorId="3BEB137C" wp14:editId="304E717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716227" cy="10847173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act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227" cy="10847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  <w:rPr>
        <w:rFonts w:cs="Times New Roman"/>
      </w:rPr>
    </w:lvl>
  </w:abstractNum>
  <w:abstractNum w:abstractNumId="1" w15:restartNumberingAfterBreak="0">
    <w:nsid w:val="0EC145A8"/>
    <w:multiLevelType w:val="hybridMultilevel"/>
    <w:tmpl w:val="0AB88DB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B1085"/>
    <w:multiLevelType w:val="multilevel"/>
    <w:tmpl w:val="D5105648"/>
    <w:lvl w:ilvl="0">
      <w:start w:val="1"/>
      <w:numFmt w:val="decimal"/>
      <w:pStyle w:val="Callou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967C9A"/>
    <w:multiLevelType w:val="hybridMultilevel"/>
    <w:tmpl w:val="3CC6E30A"/>
    <w:lvl w:ilvl="0" w:tplc="AB86CA3C">
      <w:start w:val="1"/>
      <w:numFmt w:val="bullet"/>
      <w:pStyle w:val="Dotpoint"/>
      <w:lvlText w:val=""/>
      <w:lvlJc w:val="left"/>
      <w:pPr>
        <w:tabs>
          <w:tab w:val="num" w:pos="1385"/>
        </w:tabs>
        <w:ind w:left="1385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360473B8"/>
    <w:multiLevelType w:val="hybridMultilevel"/>
    <w:tmpl w:val="B93CC812"/>
    <w:lvl w:ilvl="0" w:tplc="5366BFA4">
      <w:start w:val="1"/>
      <w:numFmt w:val="bullet"/>
      <w:pStyle w:val="Calloutbullet0"/>
      <w:lvlText w:val="­"/>
      <w:lvlJc w:val="left"/>
      <w:pPr>
        <w:ind w:left="100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B950743"/>
    <w:multiLevelType w:val="hybridMultilevel"/>
    <w:tmpl w:val="99D4C57E"/>
    <w:lvl w:ilvl="0" w:tplc="C2C0B358">
      <w:start w:val="1"/>
      <w:numFmt w:val="bullet"/>
      <w:pStyle w:val="Bullet"/>
      <w:lvlText w:val=""/>
      <w:lvlJc w:val="left"/>
      <w:pPr>
        <w:ind w:left="360" w:hanging="360"/>
      </w:pPr>
      <w:rPr>
        <w:rFonts w:ascii="Wingdings" w:hAnsi="Wingdings" w:hint="default"/>
        <w:color w:val="26374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96BBE"/>
    <w:multiLevelType w:val="multilevel"/>
    <w:tmpl w:val="6AAA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6795D08"/>
    <w:multiLevelType w:val="hybridMultilevel"/>
    <w:tmpl w:val="1E364CA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228D8"/>
    <w:multiLevelType w:val="hybridMultilevel"/>
    <w:tmpl w:val="2DB24D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0E717D"/>
    <w:multiLevelType w:val="hybridMultilevel"/>
    <w:tmpl w:val="3E50E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64FFB"/>
    <w:multiLevelType w:val="hybridMultilevel"/>
    <w:tmpl w:val="2416E0A0"/>
    <w:lvl w:ilvl="0" w:tplc="9C5281C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473DC1"/>
    <w:multiLevelType w:val="hybridMultilevel"/>
    <w:tmpl w:val="D92E54EA"/>
    <w:lvl w:ilvl="0" w:tplc="EC145C1A">
      <w:start w:val="1"/>
      <w:numFmt w:val="bullet"/>
      <w:pStyle w:val="Dotpointtable"/>
      <w:lvlText w:val=""/>
      <w:lvlJc w:val="left"/>
      <w:pPr>
        <w:tabs>
          <w:tab w:val="num" w:pos="595"/>
        </w:tabs>
        <w:ind w:left="595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6B126074"/>
    <w:multiLevelType w:val="multilevel"/>
    <w:tmpl w:val="17601736"/>
    <w:styleLink w:val="Numberletterbullet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35A16A6"/>
    <w:multiLevelType w:val="multilevel"/>
    <w:tmpl w:val="B5FC094A"/>
    <w:styleLink w:val="Bullet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04639"/>
    <w:multiLevelType w:val="hybridMultilevel"/>
    <w:tmpl w:val="FBC6A0B6"/>
    <w:lvl w:ilvl="0" w:tplc="B41ADE6E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3">
    <w:abstractNumId w:val="3"/>
  </w:num>
  <w:num w:numId="4">
    <w:abstractNumId w:val="11"/>
  </w:num>
  <w:num w:numId="5">
    <w:abstractNumId w:val="12"/>
  </w:num>
  <w:num w:numId="6">
    <w:abstractNumId w:val="5"/>
  </w:num>
  <w:num w:numId="7">
    <w:abstractNumId w:val="14"/>
  </w:num>
  <w:num w:numId="8">
    <w:abstractNumId w:val="7"/>
  </w:num>
  <w:num w:numId="9">
    <w:abstractNumId w:val="1"/>
  </w:num>
  <w:num w:numId="10">
    <w:abstractNumId w:val="4"/>
  </w:num>
  <w:num w:numId="11">
    <w:abstractNumId w:val="5"/>
  </w:num>
  <w:num w:numId="12">
    <w:abstractNumId w:val="4"/>
  </w:num>
  <w:num w:numId="13">
    <w:abstractNumId w:val="14"/>
  </w:num>
  <w:num w:numId="14">
    <w:abstractNumId w:val="6"/>
  </w:num>
  <w:num w:numId="15">
    <w:abstractNumId w:val="5"/>
  </w:num>
  <w:num w:numId="16">
    <w:abstractNumId w:val="14"/>
  </w:num>
  <w:num w:numId="17">
    <w:abstractNumId w:val="2"/>
  </w:num>
  <w:num w:numId="18">
    <w:abstractNumId w:val="5"/>
  </w:num>
  <w:num w:numId="19">
    <w:abstractNumId w:val="8"/>
  </w:num>
  <w:num w:numId="20">
    <w:abstractNumId w:val="9"/>
  </w:num>
  <w:num w:numId="21">
    <w:abstractNumId w:val="5"/>
  </w:num>
  <w:num w:numId="2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63"/>
    <w:rsid w:val="0000366A"/>
    <w:rsid w:val="00003FF8"/>
    <w:rsid w:val="00006D48"/>
    <w:rsid w:val="00015BC4"/>
    <w:rsid w:val="00020ED9"/>
    <w:rsid w:val="00043D63"/>
    <w:rsid w:val="00044A07"/>
    <w:rsid w:val="00057AE4"/>
    <w:rsid w:val="00064562"/>
    <w:rsid w:val="000652ED"/>
    <w:rsid w:val="00067031"/>
    <w:rsid w:val="00070178"/>
    <w:rsid w:val="00085912"/>
    <w:rsid w:val="00090047"/>
    <w:rsid w:val="0009420F"/>
    <w:rsid w:val="0009727F"/>
    <w:rsid w:val="000A5FE4"/>
    <w:rsid w:val="000B04DA"/>
    <w:rsid w:val="000B1E91"/>
    <w:rsid w:val="000B4BC1"/>
    <w:rsid w:val="000C1DF4"/>
    <w:rsid w:val="000C359C"/>
    <w:rsid w:val="000C63F1"/>
    <w:rsid w:val="000C6A5F"/>
    <w:rsid w:val="000D29E1"/>
    <w:rsid w:val="000E08E4"/>
    <w:rsid w:val="000E2601"/>
    <w:rsid w:val="000E362E"/>
    <w:rsid w:val="000E37AC"/>
    <w:rsid w:val="000E5942"/>
    <w:rsid w:val="000F0FBA"/>
    <w:rsid w:val="000F2720"/>
    <w:rsid w:val="000F4B5B"/>
    <w:rsid w:val="001014A0"/>
    <w:rsid w:val="00105CEF"/>
    <w:rsid w:val="00106B77"/>
    <w:rsid w:val="00111949"/>
    <w:rsid w:val="0011401F"/>
    <w:rsid w:val="00125A38"/>
    <w:rsid w:val="00127C72"/>
    <w:rsid w:val="00133B21"/>
    <w:rsid w:val="0013580F"/>
    <w:rsid w:val="00141317"/>
    <w:rsid w:val="00141A87"/>
    <w:rsid w:val="00142043"/>
    <w:rsid w:val="001506E4"/>
    <w:rsid w:val="001556B6"/>
    <w:rsid w:val="001607FB"/>
    <w:rsid w:val="0016101D"/>
    <w:rsid w:val="0016465A"/>
    <w:rsid w:val="001676B6"/>
    <w:rsid w:val="0017569A"/>
    <w:rsid w:val="00177B9A"/>
    <w:rsid w:val="00181475"/>
    <w:rsid w:val="001850B4"/>
    <w:rsid w:val="001852EA"/>
    <w:rsid w:val="00190392"/>
    <w:rsid w:val="0019080C"/>
    <w:rsid w:val="00194A0D"/>
    <w:rsid w:val="001A4525"/>
    <w:rsid w:val="001B0EA2"/>
    <w:rsid w:val="001B2781"/>
    <w:rsid w:val="001B2A68"/>
    <w:rsid w:val="001B59DE"/>
    <w:rsid w:val="001C1293"/>
    <w:rsid w:val="001D6D36"/>
    <w:rsid w:val="001D75B0"/>
    <w:rsid w:val="001E11E3"/>
    <w:rsid w:val="001E47B4"/>
    <w:rsid w:val="001F20C3"/>
    <w:rsid w:val="001F3149"/>
    <w:rsid w:val="001F3169"/>
    <w:rsid w:val="00202975"/>
    <w:rsid w:val="00202E5C"/>
    <w:rsid w:val="00205DBE"/>
    <w:rsid w:val="00214011"/>
    <w:rsid w:val="00217D81"/>
    <w:rsid w:val="00244EEE"/>
    <w:rsid w:val="002450DA"/>
    <w:rsid w:val="00252709"/>
    <w:rsid w:val="002533F0"/>
    <w:rsid w:val="0025534A"/>
    <w:rsid w:val="00261BE2"/>
    <w:rsid w:val="00274039"/>
    <w:rsid w:val="00274AEF"/>
    <w:rsid w:val="0028208F"/>
    <w:rsid w:val="0028503A"/>
    <w:rsid w:val="00292AAB"/>
    <w:rsid w:val="002958C4"/>
    <w:rsid w:val="002A4276"/>
    <w:rsid w:val="002B03C2"/>
    <w:rsid w:val="002B5FAD"/>
    <w:rsid w:val="002B621B"/>
    <w:rsid w:val="002C4986"/>
    <w:rsid w:val="002C769D"/>
    <w:rsid w:val="002D2E81"/>
    <w:rsid w:val="002D4156"/>
    <w:rsid w:val="002D7B33"/>
    <w:rsid w:val="002D7D86"/>
    <w:rsid w:val="002E23E2"/>
    <w:rsid w:val="002E6E0C"/>
    <w:rsid w:val="002E7F1A"/>
    <w:rsid w:val="002F0DF6"/>
    <w:rsid w:val="002F497D"/>
    <w:rsid w:val="002F61D0"/>
    <w:rsid w:val="002F6AB9"/>
    <w:rsid w:val="002F7BAA"/>
    <w:rsid w:val="0031467D"/>
    <w:rsid w:val="00315881"/>
    <w:rsid w:val="00315AB8"/>
    <w:rsid w:val="0032006D"/>
    <w:rsid w:val="00321494"/>
    <w:rsid w:val="003215C7"/>
    <w:rsid w:val="00330F14"/>
    <w:rsid w:val="00332317"/>
    <w:rsid w:val="0033566F"/>
    <w:rsid w:val="003362E2"/>
    <w:rsid w:val="0033684C"/>
    <w:rsid w:val="00340E0D"/>
    <w:rsid w:val="003412BC"/>
    <w:rsid w:val="00341A80"/>
    <w:rsid w:val="0034403B"/>
    <w:rsid w:val="00345AD1"/>
    <w:rsid w:val="00357D51"/>
    <w:rsid w:val="00371175"/>
    <w:rsid w:val="00371258"/>
    <w:rsid w:val="003749B1"/>
    <w:rsid w:val="00374EF9"/>
    <w:rsid w:val="00382614"/>
    <w:rsid w:val="0038439E"/>
    <w:rsid w:val="00385EB4"/>
    <w:rsid w:val="003861B5"/>
    <w:rsid w:val="00387F19"/>
    <w:rsid w:val="003952ED"/>
    <w:rsid w:val="003A66BD"/>
    <w:rsid w:val="003B121D"/>
    <w:rsid w:val="003B1C62"/>
    <w:rsid w:val="003B2808"/>
    <w:rsid w:val="003B35B1"/>
    <w:rsid w:val="003B62FE"/>
    <w:rsid w:val="003C493F"/>
    <w:rsid w:val="003C6D5B"/>
    <w:rsid w:val="003D18E2"/>
    <w:rsid w:val="003D2933"/>
    <w:rsid w:val="003E0FDA"/>
    <w:rsid w:val="003E2FB5"/>
    <w:rsid w:val="003F26E3"/>
    <w:rsid w:val="003F3991"/>
    <w:rsid w:val="00400743"/>
    <w:rsid w:val="0040294F"/>
    <w:rsid w:val="00403015"/>
    <w:rsid w:val="004033BF"/>
    <w:rsid w:val="004044C1"/>
    <w:rsid w:val="004046AC"/>
    <w:rsid w:val="0040543F"/>
    <w:rsid w:val="00405844"/>
    <w:rsid w:val="004067AD"/>
    <w:rsid w:val="00410018"/>
    <w:rsid w:val="004171B5"/>
    <w:rsid w:val="00425D03"/>
    <w:rsid w:val="00433812"/>
    <w:rsid w:val="00436CD6"/>
    <w:rsid w:val="00446F0F"/>
    <w:rsid w:val="0045000D"/>
    <w:rsid w:val="00451CB0"/>
    <w:rsid w:val="0045285F"/>
    <w:rsid w:val="0045600E"/>
    <w:rsid w:val="00463F3A"/>
    <w:rsid w:val="004641C6"/>
    <w:rsid w:val="004650C3"/>
    <w:rsid w:val="00467B47"/>
    <w:rsid w:val="00475F07"/>
    <w:rsid w:val="00490807"/>
    <w:rsid w:val="004947D1"/>
    <w:rsid w:val="00494BAC"/>
    <w:rsid w:val="00495DA8"/>
    <w:rsid w:val="00497F76"/>
    <w:rsid w:val="004A29A2"/>
    <w:rsid w:val="004B2104"/>
    <w:rsid w:val="004B22F3"/>
    <w:rsid w:val="004B6A63"/>
    <w:rsid w:val="004C0B58"/>
    <w:rsid w:val="004C33F0"/>
    <w:rsid w:val="004C6B22"/>
    <w:rsid w:val="004D111F"/>
    <w:rsid w:val="004E2431"/>
    <w:rsid w:val="004E3470"/>
    <w:rsid w:val="004E36F6"/>
    <w:rsid w:val="004E7102"/>
    <w:rsid w:val="004E7C5C"/>
    <w:rsid w:val="004F15FA"/>
    <w:rsid w:val="004F3284"/>
    <w:rsid w:val="004F4518"/>
    <w:rsid w:val="00501D43"/>
    <w:rsid w:val="00502485"/>
    <w:rsid w:val="00503E04"/>
    <w:rsid w:val="005103EE"/>
    <w:rsid w:val="005117BB"/>
    <w:rsid w:val="00512B40"/>
    <w:rsid w:val="00513986"/>
    <w:rsid w:val="00523F90"/>
    <w:rsid w:val="00524C21"/>
    <w:rsid w:val="005329C1"/>
    <w:rsid w:val="00533528"/>
    <w:rsid w:val="005430CD"/>
    <w:rsid w:val="0054474D"/>
    <w:rsid w:val="00546C2E"/>
    <w:rsid w:val="00551512"/>
    <w:rsid w:val="00551ECF"/>
    <w:rsid w:val="00552739"/>
    <w:rsid w:val="005538BB"/>
    <w:rsid w:val="00571315"/>
    <w:rsid w:val="0058224C"/>
    <w:rsid w:val="00587007"/>
    <w:rsid w:val="00587A9D"/>
    <w:rsid w:val="005919C2"/>
    <w:rsid w:val="00592A13"/>
    <w:rsid w:val="00593E35"/>
    <w:rsid w:val="00596451"/>
    <w:rsid w:val="005B3334"/>
    <w:rsid w:val="005B3A17"/>
    <w:rsid w:val="005B513C"/>
    <w:rsid w:val="005C390A"/>
    <w:rsid w:val="005D107E"/>
    <w:rsid w:val="005D11DD"/>
    <w:rsid w:val="005E3ED5"/>
    <w:rsid w:val="005F0D1B"/>
    <w:rsid w:val="00602CBE"/>
    <w:rsid w:val="0060649A"/>
    <w:rsid w:val="00607214"/>
    <w:rsid w:val="00607993"/>
    <w:rsid w:val="00612257"/>
    <w:rsid w:val="00616148"/>
    <w:rsid w:val="00624A88"/>
    <w:rsid w:val="0062705E"/>
    <w:rsid w:val="00631685"/>
    <w:rsid w:val="00635BD6"/>
    <w:rsid w:val="0063697E"/>
    <w:rsid w:val="00637381"/>
    <w:rsid w:val="00637D93"/>
    <w:rsid w:val="006615E0"/>
    <w:rsid w:val="00663F9B"/>
    <w:rsid w:val="00665ECC"/>
    <w:rsid w:val="00666A7E"/>
    <w:rsid w:val="00666FD1"/>
    <w:rsid w:val="0067130C"/>
    <w:rsid w:val="006744E0"/>
    <w:rsid w:val="00681844"/>
    <w:rsid w:val="00681D79"/>
    <w:rsid w:val="006824E7"/>
    <w:rsid w:val="006836FC"/>
    <w:rsid w:val="006877BD"/>
    <w:rsid w:val="006878B3"/>
    <w:rsid w:val="006916E5"/>
    <w:rsid w:val="00692449"/>
    <w:rsid w:val="0069564F"/>
    <w:rsid w:val="006A3313"/>
    <w:rsid w:val="006A4099"/>
    <w:rsid w:val="006A412C"/>
    <w:rsid w:val="006B5751"/>
    <w:rsid w:val="006B7D36"/>
    <w:rsid w:val="006C2BEE"/>
    <w:rsid w:val="006D108D"/>
    <w:rsid w:val="006E34AE"/>
    <w:rsid w:val="006E4D7E"/>
    <w:rsid w:val="006E7D24"/>
    <w:rsid w:val="006E7F78"/>
    <w:rsid w:val="007013DD"/>
    <w:rsid w:val="00717C75"/>
    <w:rsid w:val="00736C10"/>
    <w:rsid w:val="00743B2F"/>
    <w:rsid w:val="00745312"/>
    <w:rsid w:val="00761DB9"/>
    <w:rsid w:val="00764765"/>
    <w:rsid w:val="00774166"/>
    <w:rsid w:val="00791818"/>
    <w:rsid w:val="007924BB"/>
    <w:rsid w:val="00795BEF"/>
    <w:rsid w:val="007A2082"/>
    <w:rsid w:val="007A2D49"/>
    <w:rsid w:val="007A6309"/>
    <w:rsid w:val="007B16EE"/>
    <w:rsid w:val="007D66FA"/>
    <w:rsid w:val="007E0353"/>
    <w:rsid w:val="007E1B5B"/>
    <w:rsid w:val="007E3190"/>
    <w:rsid w:val="007E4C63"/>
    <w:rsid w:val="007E6493"/>
    <w:rsid w:val="007F030D"/>
    <w:rsid w:val="007F1895"/>
    <w:rsid w:val="0081178C"/>
    <w:rsid w:val="00813552"/>
    <w:rsid w:val="008205AC"/>
    <w:rsid w:val="008217E4"/>
    <w:rsid w:val="008250F2"/>
    <w:rsid w:val="008300EB"/>
    <w:rsid w:val="008324C6"/>
    <w:rsid w:val="008340F6"/>
    <w:rsid w:val="00840399"/>
    <w:rsid w:val="008466A6"/>
    <w:rsid w:val="00856E98"/>
    <w:rsid w:val="00860091"/>
    <w:rsid w:val="00872779"/>
    <w:rsid w:val="008770CF"/>
    <w:rsid w:val="00877300"/>
    <w:rsid w:val="008850A2"/>
    <w:rsid w:val="0088737E"/>
    <w:rsid w:val="00892902"/>
    <w:rsid w:val="008967E4"/>
    <w:rsid w:val="008979FD"/>
    <w:rsid w:val="008A35AB"/>
    <w:rsid w:val="008A4B20"/>
    <w:rsid w:val="008A55C0"/>
    <w:rsid w:val="008A6906"/>
    <w:rsid w:val="008B4B17"/>
    <w:rsid w:val="008B64FB"/>
    <w:rsid w:val="008B7934"/>
    <w:rsid w:val="008C494F"/>
    <w:rsid w:val="008C68B5"/>
    <w:rsid w:val="008D7319"/>
    <w:rsid w:val="008E46F0"/>
    <w:rsid w:val="008E5CCA"/>
    <w:rsid w:val="008F22E5"/>
    <w:rsid w:val="008F2CC1"/>
    <w:rsid w:val="008F5354"/>
    <w:rsid w:val="008F5A45"/>
    <w:rsid w:val="008F5E6D"/>
    <w:rsid w:val="008F7AFC"/>
    <w:rsid w:val="00900685"/>
    <w:rsid w:val="00901878"/>
    <w:rsid w:val="009049C1"/>
    <w:rsid w:val="00911CB2"/>
    <w:rsid w:val="00911D94"/>
    <w:rsid w:val="0091246E"/>
    <w:rsid w:val="009137A7"/>
    <w:rsid w:val="0092566E"/>
    <w:rsid w:val="00925B42"/>
    <w:rsid w:val="0092652D"/>
    <w:rsid w:val="00930885"/>
    <w:rsid w:val="009344C6"/>
    <w:rsid w:val="009348CF"/>
    <w:rsid w:val="00934FDC"/>
    <w:rsid w:val="0093542C"/>
    <w:rsid w:val="00936511"/>
    <w:rsid w:val="009401AC"/>
    <w:rsid w:val="00941637"/>
    <w:rsid w:val="0095529B"/>
    <w:rsid w:val="00960B57"/>
    <w:rsid w:val="009629F3"/>
    <w:rsid w:val="00972C87"/>
    <w:rsid w:val="00973C4D"/>
    <w:rsid w:val="009742D2"/>
    <w:rsid w:val="0097755D"/>
    <w:rsid w:val="009817A0"/>
    <w:rsid w:val="009943AB"/>
    <w:rsid w:val="00996108"/>
    <w:rsid w:val="009B0B6A"/>
    <w:rsid w:val="009B7E97"/>
    <w:rsid w:val="009C10C3"/>
    <w:rsid w:val="009C14E2"/>
    <w:rsid w:val="009D2725"/>
    <w:rsid w:val="009D7631"/>
    <w:rsid w:val="009E1E35"/>
    <w:rsid w:val="009E226F"/>
    <w:rsid w:val="009F0C25"/>
    <w:rsid w:val="00A02351"/>
    <w:rsid w:val="00A05A24"/>
    <w:rsid w:val="00A07A1B"/>
    <w:rsid w:val="00A12742"/>
    <w:rsid w:val="00A136A4"/>
    <w:rsid w:val="00A15574"/>
    <w:rsid w:val="00A31EED"/>
    <w:rsid w:val="00A32E18"/>
    <w:rsid w:val="00A33740"/>
    <w:rsid w:val="00A341FD"/>
    <w:rsid w:val="00A36251"/>
    <w:rsid w:val="00A40015"/>
    <w:rsid w:val="00A46F23"/>
    <w:rsid w:val="00A50448"/>
    <w:rsid w:val="00A7186B"/>
    <w:rsid w:val="00A71FA8"/>
    <w:rsid w:val="00A73C8E"/>
    <w:rsid w:val="00A76D31"/>
    <w:rsid w:val="00A82E86"/>
    <w:rsid w:val="00A85702"/>
    <w:rsid w:val="00A9000B"/>
    <w:rsid w:val="00A946A9"/>
    <w:rsid w:val="00A95312"/>
    <w:rsid w:val="00AA0A3E"/>
    <w:rsid w:val="00AB098D"/>
    <w:rsid w:val="00AB13FC"/>
    <w:rsid w:val="00AB27F9"/>
    <w:rsid w:val="00AC0F6E"/>
    <w:rsid w:val="00AC17ED"/>
    <w:rsid w:val="00AC229B"/>
    <w:rsid w:val="00AC7EC8"/>
    <w:rsid w:val="00AD0B0A"/>
    <w:rsid w:val="00AD3FD7"/>
    <w:rsid w:val="00AD5327"/>
    <w:rsid w:val="00AD5F7F"/>
    <w:rsid w:val="00AD7ACB"/>
    <w:rsid w:val="00AE0C8C"/>
    <w:rsid w:val="00AF0936"/>
    <w:rsid w:val="00AF3766"/>
    <w:rsid w:val="00B0049B"/>
    <w:rsid w:val="00B00BC8"/>
    <w:rsid w:val="00B0248D"/>
    <w:rsid w:val="00B0742B"/>
    <w:rsid w:val="00B10460"/>
    <w:rsid w:val="00B11DDC"/>
    <w:rsid w:val="00B13C89"/>
    <w:rsid w:val="00B148E4"/>
    <w:rsid w:val="00B14AD9"/>
    <w:rsid w:val="00B206C4"/>
    <w:rsid w:val="00B26E4B"/>
    <w:rsid w:val="00B33C57"/>
    <w:rsid w:val="00B34B77"/>
    <w:rsid w:val="00B42289"/>
    <w:rsid w:val="00B67D04"/>
    <w:rsid w:val="00B77739"/>
    <w:rsid w:val="00B811A6"/>
    <w:rsid w:val="00B842F5"/>
    <w:rsid w:val="00B8655E"/>
    <w:rsid w:val="00B90991"/>
    <w:rsid w:val="00B9339B"/>
    <w:rsid w:val="00B94A6B"/>
    <w:rsid w:val="00B97961"/>
    <w:rsid w:val="00BA11F4"/>
    <w:rsid w:val="00BA1ACC"/>
    <w:rsid w:val="00BA4FF9"/>
    <w:rsid w:val="00BA5C43"/>
    <w:rsid w:val="00BA602C"/>
    <w:rsid w:val="00BB25C4"/>
    <w:rsid w:val="00BB26EF"/>
    <w:rsid w:val="00BB59AA"/>
    <w:rsid w:val="00BB6C91"/>
    <w:rsid w:val="00BC0280"/>
    <w:rsid w:val="00BC2915"/>
    <w:rsid w:val="00BD0563"/>
    <w:rsid w:val="00BD79E5"/>
    <w:rsid w:val="00BE15EC"/>
    <w:rsid w:val="00BE2D35"/>
    <w:rsid w:val="00BF0029"/>
    <w:rsid w:val="00BF7E0B"/>
    <w:rsid w:val="00C00C46"/>
    <w:rsid w:val="00C02BFF"/>
    <w:rsid w:val="00C118E2"/>
    <w:rsid w:val="00C11D0C"/>
    <w:rsid w:val="00C14135"/>
    <w:rsid w:val="00C2298B"/>
    <w:rsid w:val="00C24A7A"/>
    <w:rsid w:val="00C36E87"/>
    <w:rsid w:val="00C423F4"/>
    <w:rsid w:val="00C45950"/>
    <w:rsid w:val="00C46495"/>
    <w:rsid w:val="00C46A9A"/>
    <w:rsid w:val="00C51199"/>
    <w:rsid w:val="00C538CC"/>
    <w:rsid w:val="00C56962"/>
    <w:rsid w:val="00C62ACD"/>
    <w:rsid w:val="00C6446B"/>
    <w:rsid w:val="00C72D97"/>
    <w:rsid w:val="00C81AF7"/>
    <w:rsid w:val="00C9231F"/>
    <w:rsid w:val="00CA7FB9"/>
    <w:rsid w:val="00CC0437"/>
    <w:rsid w:val="00CC3FFC"/>
    <w:rsid w:val="00CC7FFE"/>
    <w:rsid w:val="00CD404B"/>
    <w:rsid w:val="00CD6F15"/>
    <w:rsid w:val="00CE09CC"/>
    <w:rsid w:val="00CE1A4E"/>
    <w:rsid w:val="00CE3D01"/>
    <w:rsid w:val="00CE4F22"/>
    <w:rsid w:val="00CE5382"/>
    <w:rsid w:val="00CE60A1"/>
    <w:rsid w:val="00CE63BE"/>
    <w:rsid w:val="00CE6F25"/>
    <w:rsid w:val="00CF1056"/>
    <w:rsid w:val="00CF3B06"/>
    <w:rsid w:val="00CF6979"/>
    <w:rsid w:val="00D00288"/>
    <w:rsid w:val="00D01FB3"/>
    <w:rsid w:val="00D048A5"/>
    <w:rsid w:val="00D13A87"/>
    <w:rsid w:val="00D153FF"/>
    <w:rsid w:val="00D250AB"/>
    <w:rsid w:val="00D27F43"/>
    <w:rsid w:val="00D32399"/>
    <w:rsid w:val="00D3277B"/>
    <w:rsid w:val="00D363DC"/>
    <w:rsid w:val="00D4007A"/>
    <w:rsid w:val="00D651FD"/>
    <w:rsid w:val="00D6528F"/>
    <w:rsid w:val="00D7039F"/>
    <w:rsid w:val="00D72E8D"/>
    <w:rsid w:val="00D7342F"/>
    <w:rsid w:val="00D7578E"/>
    <w:rsid w:val="00D75DC1"/>
    <w:rsid w:val="00D7634E"/>
    <w:rsid w:val="00D8198B"/>
    <w:rsid w:val="00D832CF"/>
    <w:rsid w:val="00D85101"/>
    <w:rsid w:val="00D916F7"/>
    <w:rsid w:val="00D964E9"/>
    <w:rsid w:val="00D96D77"/>
    <w:rsid w:val="00DA0189"/>
    <w:rsid w:val="00DA096D"/>
    <w:rsid w:val="00DA3DD0"/>
    <w:rsid w:val="00DA57D3"/>
    <w:rsid w:val="00DA674B"/>
    <w:rsid w:val="00DA7E1A"/>
    <w:rsid w:val="00DB2A3D"/>
    <w:rsid w:val="00DB5915"/>
    <w:rsid w:val="00DB6085"/>
    <w:rsid w:val="00DC0961"/>
    <w:rsid w:val="00DC1F8D"/>
    <w:rsid w:val="00DC5A09"/>
    <w:rsid w:val="00DC6E83"/>
    <w:rsid w:val="00DC7AC2"/>
    <w:rsid w:val="00DE7C28"/>
    <w:rsid w:val="00DF4831"/>
    <w:rsid w:val="00DF6D17"/>
    <w:rsid w:val="00E10583"/>
    <w:rsid w:val="00E151A0"/>
    <w:rsid w:val="00E22203"/>
    <w:rsid w:val="00E2399E"/>
    <w:rsid w:val="00E31CDC"/>
    <w:rsid w:val="00E32352"/>
    <w:rsid w:val="00E34690"/>
    <w:rsid w:val="00E36ACA"/>
    <w:rsid w:val="00E402C2"/>
    <w:rsid w:val="00E402F5"/>
    <w:rsid w:val="00E403BA"/>
    <w:rsid w:val="00E46CCA"/>
    <w:rsid w:val="00E47350"/>
    <w:rsid w:val="00E52826"/>
    <w:rsid w:val="00E56B57"/>
    <w:rsid w:val="00E601F8"/>
    <w:rsid w:val="00E61603"/>
    <w:rsid w:val="00E62EBA"/>
    <w:rsid w:val="00E64EE0"/>
    <w:rsid w:val="00E65E59"/>
    <w:rsid w:val="00E71869"/>
    <w:rsid w:val="00E73829"/>
    <w:rsid w:val="00E8678A"/>
    <w:rsid w:val="00E868E8"/>
    <w:rsid w:val="00E944DC"/>
    <w:rsid w:val="00E974A6"/>
    <w:rsid w:val="00EA5329"/>
    <w:rsid w:val="00EA6181"/>
    <w:rsid w:val="00EB1522"/>
    <w:rsid w:val="00EB2C3E"/>
    <w:rsid w:val="00EC55E6"/>
    <w:rsid w:val="00EC7F98"/>
    <w:rsid w:val="00ED0D64"/>
    <w:rsid w:val="00ED295F"/>
    <w:rsid w:val="00ED427A"/>
    <w:rsid w:val="00ED4AEB"/>
    <w:rsid w:val="00ED5673"/>
    <w:rsid w:val="00ED5FD6"/>
    <w:rsid w:val="00ED60EC"/>
    <w:rsid w:val="00EE2EF8"/>
    <w:rsid w:val="00EE3963"/>
    <w:rsid w:val="00EE3A19"/>
    <w:rsid w:val="00EE573C"/>
    <w:rsid w:val="00EE5E3F"/>
    <w:rsid w:val="00EF329E"/>
    <w:rsid w:val="00EF394B"/>
    <w:rsid w:val="00EF606F"/>
    <w:rsid w:val="00EF6D72"/>
    <w:rsid w:val="00F04978"/>
    <w:rsid w:val="00F105AC"/>
    <w:rsid w:val="00F23488"/>
    <w:rsid w:val="00F2588C"/>
    <w:rsid w:val="00F26590"/>
    <w:rsid w:val="00F31E30"/>
    <w:rsid w:val="00F4014E"/>
    <w:rsid w:val="00F44361"/>
    <w:rsid w:val="00F51A80"/>
    <w:rsid w:val="00F55653"/>
    <w:rsid w:val="00F557CB"/>
    <w:rsid w:val="00F573B5"/>
    <w:rsid w:val="00F579E2"/>
    <w:rsid w:val="00F6258B"/>
    <w:rsid w:val="00F66106"/>
    <w:rsid w:val="00F77208"/>
    <w:rsid w:val="00F77D9C"/>
    <w:rsid w:val="00F8218D"/>
    <w:rsid w:val="00F87AA6"/>
    <w:rsid w:val="00F900D3"/>
    <w:rsid w:val="00F94F7D"/>
    <w:rsid w:val="00FA1039"/>
    <w:rsid w:val="00FA137B"/>
    <w:rsid w:val="00FA37A8"/>
    <w:rsid w:val="00FA64BA"/>
    <w:rsid w:val="00FB1516"/>
    <w:rsid w:val="00FB48B9"/>
    <w:rsid w:val="00FC11E0"/>
    <w:rsid w:val="00FC18C0"/>
    <w:rsid w:val="00FD21CA"/>
    <w:rsid w:val="00FE2A0E"/>
    <w:rsid w:val="00FE638A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3DF312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1E11E3"/>
    <w:pPr>
      <w:spacing w:before="120" w:line="360" w:lineRule="auto"/>
    </w:pPr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next w:val="Normal"/>
    <w:link w:val="Heading1Char"/>
    <w:autoRedefine/>
    <w:uiPriority w:val="9"/>
    <w:qFormat/>
    <w:rsid w:val="001E11E3"/>
    <w:pPr>
      <w:keepNext/>
      <w:keepLines/>
      <w:spacing w:before="240" w:after="60"/>
      <w:outlineLvl w:val="0"/>
    </w:pPr>
    <w:rPr>
      <w:rFonts w:ascii="Helvetica" w:hAnsi="Helvetica" w:cs="Arial"/>
      <w:color w:val="263746"/>
      <w:sz w:val="44"/>
      <w:szCs w:val="26"/>
      <w:lang w:eastAsia="en-US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1E11E3"/>
    <w:pPr>
      <w:numPr>
        <w:ilvl w:val="1"/>
      </w:numPr>
      <w:outlineLvl w:val="1"/>
    </w:pPr>
    <w:rPr>
      <w:sz w:val="3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1E11E3"/>
    <w:pPr>
      <w:numPr>
        <w:ilvl w:val="2"/>
      </w:numPr>
      <w:spacing w:before="120" w:after="0"/>
      <w:outlineLvl w:val="2"/>
    </w:pPr>
    <w:rPr>
      <w:color w:val="0194A6"/>
      <w:sz w:val="28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1E11E3"/>
    <w:pPr>
      <w:numPr>
        <w:ilvl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rsid w:val="00105CEF"/>
    <w:pPr>
      <w:keepNext/>
      <w:keepLines/>
      <w:spacing w:line="240" w:lineRule="atLeast"/>
      <w:outlineLvl w:val="4"/>
    </w:pPr>
    <w:rPr>
      <w:spacing w:val="-4"/>
      <w:kern w:val="28"/>
    </w:rPr>
  </w:style>
  <w:style w:type="paragraph" w:styleId="Heading6">
    <w:name w:val="heading 6"/>
    <w:basedOn w:val="Normal"/>
    <w:next w:val="Normal"/>
    <w:link w:val="Heading6Char"/>
    <w:uiPriority w:val="9"/>
    <w:rsid w:val="00105CEF"/>
    <w:pPr>
      <w:keepNext/>
      <w:keepLines/>
      <w:spacing w:before="140" w:line="220" w:lineRule="atLeast"/>
      <w:outlineLvl w:val="5"/>
    </w:pPr>
    <w:rPr>
      <w:i/>
      <w:spacing w:val="-4"/>
      <w:kern w:val="28"/>
    </w:rPr>
  </w:style>
  <w:style w:type="paragraph" w:styleId="Heading7">
    <w:name w:val="heading 7"/>
    <w:basedOn w:val="Normal"/>
    <w:next w:val="Normal"/>
    <w:link w:val="Heading7Char"/>
    <w:uiPriority w:val="9"/>
    <w:rsid w:val="00105CEF"/>
    <w:pPr>
      <w:keepNext/>
      <w:keepLines/>
      <w:spacing w:before="140" w:line="220" w:lineRule="atLeast"/>
      <w:outlineLvl w:val="6"/>
    </w:pPr>
    <w:rPr>
      <w:spacing w:val="-4"/>
      <w:kern w:val="28"/>
    </w:rPr>
  </w:style>
  <w:style w:type="paragraph" w:styleId="Heading8">
    <w:name w:val="heading 8"/>
    <w:basedOn w:val="Normal"/>
    <w:next w:val="Normal"/>
    <w:link w:val="Heading8Char"/>
    <w:uiPriority w:val="9"/>
    <w:rsid w:val="00105CEF"/>
    <w:pPr>
      <w:keepNext/>
      <w:keepLines/>
      <w:spacing w:before="140" w:line="220" w:lineRule="atLeast"/>
      <w:outlineLvl w:val="7"/>
    </w:pPr>
    <w:rPr>
      <w:i/>
      <w:spacing w:val="-4"/>
      <w:kern w:val="28"/>
      <w:sz w:val="18"/>
    </w:rPr>
  </w:style>
  <w:style w:type="paragraph" w:styleId="Heading9">
    <w:name w:val="heading 9"/>
    <w:basedOn w:val="Normal"/>
    <w:next w:val="Normal"/>
    <w:link w:val="Heading9Char"/>
    <w:uiPriority w:val="9"/>
    <w:rsid w:val="00105CEF"/>
    <w:pPr>
      <w:keepNext/>
      <w:keepLines/>
      <w:spacing w:before="140" w:line="220" w:lineRule="atLeast"/>
      <w:outlineLvl w:val="8"/>
    </w:pPr>
    <w:rPr>
      <w:spacing w:val="-4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11E3"/>
    <w:rPr>
      <w:rFonts w:ascii="Helvetica" w:hAnsi="Helvetica" w:cs="Arial"/>
      <w:color w:val="263746"/>
      <w:sz w:val="4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E11E3"/>
    <w:rPr>
      <w:rFonts w:ascii="Helvetica" w:hAnsi="Helvetica" w:cs="Arial"/>
      <w:color w:val="263746"/>
      <w:sz w:val="36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E11E3"/>
    <w:rPr>
      <w:rFonts w:ascii="Helvetica" w:hAnsi="Helvetica" w:cs="Arial"/>
      <w:color w:val="0194A6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1E11E3"/>
    <w:rPr>
      <w:rFonts w:ascii="Helvetica" w:hAnsi="Helvetica" w:cs="Arial"/>
      <w:color w:val="0194A6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05CEF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lang w:val="x-none" w:eastAsia="en-US"/>
    </w:rPr>
  </w:style>
  <w:style w:type="paragraph" w:customStyle="1" w:styleId="Captiontext">
    <w:name w:val="Caption text"/>
    <w:basedOn w:val="BodyText"/>
    <w:rsid w:val="005117BB"/>
    <w:rPr>
      <w:sz w:val="16"/>
    </w:rPr>
  </w:style>
  <w:style w:type="character" w:customStyle="1" w:styleId="FWOBlue">
    <w:name w:val="FWO Blue"/>
    <w:basedOn w:val="DefaultParagraphFont"/>
    <w:rsid w:val="00105CEF"/>
    <w:rPr>
      <w:rFonts w:ascii="Arial" w:hAnsi="Arial" w:cs="Times New Roman"/>
      <w:color w:val="0084C2"/>
    </w:rPr>
  </w:style>
  <w:style w:type="paragraph" w:styleId="Header">
    <w:name w:val="header"/>
    <w:basedOn w:val="Normal"/>
    <w:link w:val="HeaderChar"/>
    <w:rsid w:val="00105CEF"/>
    <w:pPr>
      <w:tabs>
        <w:tab w:val="center" w:pos="4153"/>
        <w:tab w:val="right" w:pos="8306"/>
      </w:tabs>
      <w:spacing w:before="360"/>
      <w:jc w:val="center"/>
    </w:pPr>
    <w:rPr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lang w:val="x-none" w:eastAsia="en-US"/>
    </w:rPr>
  </w:style>
  <w:style w:type="paragraph" w:customStyle="1" w:styleId="Subheading">
    <w:name w:val="Subheading"/>
    <w:basedOn w:val="BodyText"/>
    <w:rsid w:val="00105CE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24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4C21"/>
    <w:rPr>
      <w:rFonts w:ascii="Tahoma" w:hAnsi="Tahoma" w:cs="Tahoma"/>
      <w:sz w:val="16"/>
      <w:szCs w:val="16"/>
      <w:lang w:val="x-none" w:eastAsia="en-US"/>
    </w:rPr>
  </w:style>
  <w:style w:type="paragraph" w:customStyle="1" w:styleId="TableText">
    <w:name w:val="TableText"/>
    <w:basedOn w:val="Normal"/>
    <w:rsid w:val="00105CEF"/>
    <w:pPr>
      <w:spacing w:before="40" w:after="40"/>
    </w:pPr>
    <w:rPr>
      <w:lang w:eastAsia="en-AU"/>
    </w:rPr>
  </w:style>
  <w:style w:type="paragraph" w:customStyle="1" w:styleId="Tabletextheading">
    <w:name w:val="Table text heading"/>
    <w:basedOn w:val="TableText"/>
    <w:rsid w:val="00105CEF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105CEF"/>
    <w:rPr>
      <w:noProof/>
      <w:color w:val="0084C2"/>
      <w:sz w:val="72"/>
      <w:szCs w:val="7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TOC1">
    <w:name w:val="toc 1"/>
    <w:basedOn w:val="Normal"/>
    <w:autoRedefine/>
    <w:uiPriority w:val="39"/>
    <w:rsid w:val="005117BB"/>
    <w:pPr>
      <w:tabs>
        <w:tab w:val="left" w:pos="1560"/>
        <w:tab w:val="right" w:leader="dot" w:pos="8789"/>
      </w:tabs>
      <w:ind w:left="851" w:right="814"/>
    </w:pPr>
    <w:rPr>
      <w:spacing w:val="-4"/>
    </w:rPr>
  </w:style>
  <w:style w:type="paragraph" w:styleId="TOC2">
    <w:name w:val="toc 2"/>
    <w:basedOn w:val="Normal"/>
    <w:autoRedefine/>
    <w:uiPriority w:val="39"/>
    <w:rsid w:val="005117BB"/>
    <w:pPr>
      <w:tabs>
        <w:tab w:val="left" w:pos="1701"/>
        <w:tab w:val="right" w:leader="dot" w:pos="8789"/>
      </w:tabs>
      <w:ind w:left="992"/>
    </w:pPr>
  </w:style>
  <w:style w:type="paragraph" w:styleId="Caption">
    <w:name w:val="caption"/>
    <w:basedOn w:val="Normal"/>
    <w:next w:val="Normal"/>
    <w:uiPriority w:val="35"/>
    <w:rsid w:val="00105CEF"/>
    <w:pPr>
      <w:keepNext/>
      <w:numPr>
        <w:numId w:val="2"/>
      </w:numPr>
      <w:spacing w:before="60" w:after="240" w:line="220" w:lineRule="atLeast"/>
    </w:pPr>
    <w:rPr>
      <w:rFonts w:ascii="Arial Narrow" w:hAnsi="Arial Narrow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105C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Dotpoint">
    <w:name w:val="Dotpoint"/>
    <w:basedOn w:val="Normal"/>
    <w:semiHidden/>
    <w:locked/>
    <w:rsid w:val="00105CEF"/>
    <w:pPr>
      <w:numPr>
        <w:numId w:val="3"/>
      </w:numPr>
    </w:pPr>
  </w:style>
  <w:style w:type="paragraph" w:customStyle="1" w:styleId="Dotpointtable">
    <w:name w:val="Dotpoint table"/>
    <w:basedOn w:val="TableText"/>
    <w:semiHidden/>
    <w:locked/>
    <w:rsid w:val="00105CEF"/>
    <w:pPr>
      <w:numPr>
        <w:numId w:val="4"/>
      </w:numPr>
      <w:spacing w:before="60" w:after="60"/>
    </w:pPr>
    <w:rPr>
      <w:bCs/>
      <w:sz w:val="18"/>
      <w:szCs w:val="28"/>
    </w:rPr>
  </w:style>
  <w:style w:type="paragraph" w:customStyle="1" w:styleId="ExampleText">
    <w:name w:val="Example Text"/>
    <w:basedOn w:val="Normal"/>
    <w:semiHidden/>
    <w:locked/>
    <w:rsid w:val="00105CEF"/>
    <w:pPr>
      <w:spacing w:before="40" w:after="60"/>
    </w:pPr>
    <w:rPr>
      <w:i/>
      <w:vanish/>
      <w:color w:val="0000FF"/>
    </w:rPr>
  </w:style>
  <w:style w:type="paragraph" w:styleId="Footer">
    <w:name w:val="footer"/>
    <w:basedOn w:val="Normal"/>
    <w:link w:val="FooterChar"/>
    <w:uiPriority w:val="99"/>
    <w:rsid w:val="005117BB"/>
    <w:pPr>
      <w:tabs>
        <w:tab w:val="center" w:pos="4153"/>
        <w:tab w:val="right" w:pos="830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17BB"/>
    <w:rPr>
      <w:rFonts w:ascii="Arial" w:hAnsi="Arial" w:cs="Arial"/>
      <w:sz w:val="18"/>
      <w:szCs w:val="24"/>
      <w:lang w:eastAsia="en-US"/>
    </w:rPr>
  </w:style>
  <w:style w:type="character" w:styleId="Hyperlink">
    <w:name w:val="Hyperlink"/>
    <w:basedOn w:val="DefaultParagraphFont"/>
    <w:uiPriority w:val="99"/>
    <w:rsid w:val="00105CEF"/>
    <w:rPr>
      <w:rFonts w:ascii="Arial" w:hAnsi="Arial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105CEF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autoRedefine/>
    <w:uiPriority w:val="39"/>
    <w:rsid w:val="00105CEF"/>
    <w:pPr>
      <w:tabs>
        <w:tab w:val="left" w:pos="1985"/>
        <w:tab w:val="right" w:leader="dot" w:pos="9629"/>
      </w:tabs>
      <w:ind w:left="360"/>
    </w:pPr>
  </w:style>
  <w:style w:type="paragraph" w:styleId="TOC4">
    <w:name w:val="toc 4"/>
    <w:basedOn w:val="Normal"/>
    <w:autoRedefine/>
    <w:uiPriority w:val="39"/>
    <w:semiHidden/>
    <w:rsid w:val="00105CEF"/>
    <w:pPr>
      <w:ind w:left="360"/>
    </w:pPr>
  </w:style>
  <w:style w:type="paragraph" w:styleId="TOC5">
    <w:name w:val="toc 5"/>
    <w:basedOn w:val="Normal"/>
    <w:autoRedefine/>
    <w:uiPriority w:val="39"/>
    <w:semiHidden/>
    <w:rsid w:val="00105CEF"/>
    <w:pPr>
      <w:ind w:left="360"/>
    </w:pPr>
  </w:style>
  <w:style w:type="character" w:customStyle="1" w:styleId="Subtitlered">
    <w:name w:val="Subtitle red"/>
    <w:basedOn w:val="DefaultParagraphFont"/>
    <w:rsid w:val="00E601F8"/>
    <w:rPr>
      <w:rFonts w:ascii="Arial" w:hAnsi="Arial" w:cs="Times New Roman"/>
      <w:color w:val="872434"/>
      <w:sz w:val="32"/>
    </w:rPr>
  </w:style>
  <w:style w:type="character" w:styleId="PageNumber">
    <w:name w:val="page number"/>
    <w:basedOn w:val="DefaultParagraphFont"/>
    <w:uiPriority w:val="99"/>
    <w:rsid w:val="00181475"/>
    <w:rPr>
      <w:rFonts w:ascii="Arial" w:hAnsi="Arial" w:cs="Times New Roman"/>
    </w:rPr>
  </w:style>
  <w:style w:type="paragraph" w:styleId="TOCHeading">
    <w:name w:val="TOC Heading"/>
    <w:basedOn w:val="Heading1"/>
    <w:next w:val="Normal"/>
    <w:uiPriority w:val="39"/>
    <w:unhideWhenUsed/>
    <w:rsid w:val="001F20C3"/>
    <w:pPr>
      <w:spacing w:before="480" w:after="0" w:line="276" w:lineRule="auto"/>
      <w:outlineLvl w:val="9"/>
    </w:pPr>
    <w:rPr>
      <w:rFonts w:asciiTheme="majorHAnsi" w:eastAsiaTheme="majorEastAsia" w:hAnsiTheme="majorHAnsi"/>
      <w:bCs/>
      <w:color w:val="365F91" w:themeColor="accent1" w:themeShade="BF"/>
      <w:szCs w:val="28"/>
      <w:lang w:val="en-US" w:eastAsia="ja-JP"/>
    </w:rPr>
  </w:style>
  <w:style w:type="character" w:styleId="CommentReference">
    <w:name w:val="annotation reference"/>
    <w:basedOn w:val="DefaultParagraphFont"/>
    <w:uiPriority w:val="99"/>
    <w:rsid w:val="00B074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742B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742B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0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0742B"/>
    <w:rPr>
      <w:rFonts w:ascii="Arial" w:hAnsi="Arial" w:cs="Times New Roman"/>
      <w:b/>
      <w:bCs/>
      <w:lang w:val="x-none" w:eastAsia="en-US"/>
    </w:rPr>
  </w:style>
  <w:style w:type="paragraph" w:styleId="ListParagraph">
    <w:name w:val="List Paragraph"/>
    <w:aliases w:val="List Paragraph1,List Paragraph11,Content descriptions,Bullet point,L,CV text,Table text,F5 List Paragraph,Dot pt,List Paragraph111,Medium Grid 1 - Accent 21,Numbered Paragraph,NFP GP Bulleted List,FooterText,numbered,Recommendation"/>
    <w:basedOn w:val="Normal"/>
    <w:link w:val="ListParagraphChar"/>
    <w:uiPriority w:val="34"/>
    <w:qFormat/>
    <w:rsid w:val="005117B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7B16EE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B16EE"/>
    <w:rPr>
      <w:rFonts w:ascii="Arial" w:hAnsi="Arial" w:cs="Times New Roman"/>
      <w:lang w:val="x-none" w:eastAsia="en-US"/>
    </w:rPr>
  </w:style>
  <w:style w:type="character" w:styleId="FootnoteReference">
    <w:name w:val="footnote reference"/>
    <w:basedOn w:val="DefaultParagraphFont"/>
    <w:rsid w:val="007B16EE"/>
    <w:rPr>
      <w:rFonts w:cs="Times New Roman"/>
      <w:vertAlign w:val="superscript"/>
    </w:rPr>
  </w:style>
  <w:style w:type="numbering" w:customStyle="1" w:styleId="Numberletterbullets">
    <w:name w:val="Number/letter bullets"/>
    <w:pPr>
      <w:numPr>
        <w:numId w:val="5"/>
      </w:numPr>
    </w:pPr>
  </w:style>
  <w:style w:type="numbering" w:customStyle="1" w:styleId="BulletLevel1">
    <w:name w:val="Bullet Level 1"/>
    <w:pPr>
      <w:numPr>
        <w:numId w:val="1"/>
      </w:numPr>
    </w:pPr>
  </w:style>
  <w:style w:type="paragraph" w:customStyle="1" w:styleId="Sub-title">
    <w:name w:val="Sub-title"/>
    <w:basedOn w:val="Heading1"/>
    <w:link w:val="Sub-titleChar"/>
    <w:rsid w:val="000E37AC"/>
    <w:rPr>
      <w:szCs w:val="28"/>
    </w:rPr>
  </w:style>
  <w:style w:type="paragraph" w:customStyle="1" w:styleId="Fronttitle">
    <w:name w:val="Front title"/>
    <w:basedOn w:val="Heading1"/>
    <w:link w:val="FronttitleChar"/>
    <w:rsid w:val="000E37AC"/>
    <w:pPr>
      <w:spacing w:before="3600"/>
    </w:pPr>
    <w:rPr>
      <w:sz w:val="56"/>
    </w:rPr>
  </w:style>
  <w:style w:type="character" w:customStyle="1" w:styleId="Sub-titleChar">
    <w:name w:val="Sub-title Char"/>
    <w:basedOn w:val="Heading1Char"/>
    <w:link w:val="Sub-title"/>
    <w:rsid w:val="000E37AC"/>
    <w:rPr>
      <w:rFonts w:ascii="Arial" w:hAnsi="Arial" w:cs="Arial"/>
      <w:b w:val="0"/>
      <w:color w:val="548DD4" w:themeColor="text2" w:themeTint="99"/>
      <w:sz w:val="28"/>
      <w:szCs w:val="28"/>
      <w:lang w:eastAsia="en-US"/>
    </w:rPr>
  </w:style>
  <w:style w:type="paragraph" w:customStyle="1" w:styleId="Casestudytitle">
    <w:name w:val="Case study title"/>
    <w:basedOn w:val="Sub-title"/>
    <w:link w:val="CasestudytitleChar"/>
    <w:autoRedefine/>
    <w:qFormat/>
    <w:rsid w:val="001E11E3"/>
    <w:pPr>
      <w:ind w:left="720"/>
    </w:pPr>
    <w:rPr>
      <w:color w:val="0194A6"/>
      <w:sz w:val="36"/>
    </w:rPr>
  </w:style>
  <w:style w:type="character" w:customStyle="1" w:styleId="FronttitleChar">
    <w:name w:val="Front title Char"/>
    <w:basedOn w:val="Heading1Char"/>
    <w:link w:val="Fronttitle"/>
    <w:rsid w:val="000E37AC"/>
    <w:rPr>
      <w:rFonts w:ascii="Arial" w:hAnsi="Arial" w:cs="Arial"/>
      <w:b w:val="0"/>
      <w:color w:val="548DD4" w:themeColor="text2" w:themeTint="99"/>
      <w:sz w:val="56"/>
      <w:szCs w:val="26"/>
      <w:lang w:eastAsia="en-US"/>
    </w:rPr>
  </w:style>
  <w:style w:type="paragraph" w:customStyle="1" w:styleId="Casestudytext">
    <w:name w:val="Case study text"/>
    <w:basedOn w:val="Normal"/>
    <w:link w:val="CasestudytextChar"/>
    <w:qFormat/>
    <w:rsid w:val="001E11E3"/>
    <w:pPr>
      <w:ind w:left="720"/>
    </w:pPr>
  </w:style>
  <w:style w:type="character" w:customStyle="1" w:styleId="CasestudytitleChar">
    <w:name w:val="Case study title Char"/>
    <w:basedOn w:val="Sub-titleChar"/>
    <w:link w:val="Casestudytitle"/>
    <w:rsid w:val="001E11E3"/>
    <w:rPr>
      <w:rFonts w:ascii="Helvetica" w:hAnsi="Helvetica" w:cs="Arial"/>
      <w:b w:val="0"/>
      <w:color w:val="0194A6"/>
      <w:sz w:val="36"/>
      <w:szCs w:val="28"/>
      <w:lang w:eastAsia="en-US"/>
    </w:rPr>
  </w:style>
  <w:style w:type="character" w:customStyle="1" w:styleId="CasestudytextChar">
    <w:name w:val="Case study text Char"/>
    <w:basedOn w:val="DefaultParagraphFont"/>
    <w:link w:val="Casestudytext"/>
    <w:rsid w:val="001E11E3"/>
    <w:rPr>
      <w:rFonts w:ascii="Arial" w:hAnsi="Arial" w:cs="Arial"/>
      <w:sz w:val="22"/>
      <w:szCs w:val="24"/>
      <w:lang w:eastAsia="en-US"/>
    </w:rPr>
  </w:style>
  <w:style w:type="paragraph" w:customStyle="1" w:styleId="CoverReportTitle">
    <w:name w:val="Cover Report Title"/>
    <w:autoRedefine/>
    <w:rsid w:val="0092566E"/>
    <w:pPr>
      <w:framePr w:w="4820" w:wrap="around" w:vAnchor="page" w:hAnchor="text" w:x="5388" w:y="795"/>
      <w:spacing w:before="4440" w:after="2400" w:line="480" w:lineRule="auto"/>
    </w:pPr>
    <w:rPr>
      <w:rFonts w:ascii="Arial" w:eastAsiaTheme="minorHAnsi" w:hAnsi="Arial"/>
      <w:color w:val="FFFFFF" w:themeColor="background1"/>
      <w:sz w:val="60"/>
      <w:szCs w:val="22"/>
      <w:lang w:eastAsia="en-US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1E11E3"/>
    <w:pPr>
      <w:framePr w:w="0" w:wrap="auto" w:vAnchor="margin" w:xAlign="left" w:yAlign="inline"/>
      <w:spacing w:before="113" w:after="57" w:line="400" w:lineRule="exact"/>
    </w:pPr>
    <w:rPr>
      <w:color w:val="auto"/>
      <w:sz w:val="36"/>
    </w:rPr>
  </w:style>
  <w:style w:type="paragraph" w:customStyle="1" w:styleId="Bullet">
    <w:name w:val="Bullet"/>
    <w:basedOn w:val="Normal"/>
    <w:autoRedefine/>
    <w:qFormat/>
    <w:rsid w:val="001E11E3"/>
    <w:pPr>
      <w:numPr>
        <w:numId w:val="15"/>
      </w:numPr>
      <w:spacing w:after="240" w:line="240" w:lineRule="auto"/>
    </w:pPr>
    <w:rPr>
      <w:rFonts w:eastAsiaTheme="minorHAnsi" w:cs="Times New Roman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1E11E3"/>
    <w:pPr>
      <w:pBdr>
        <w:top w:val="single" w:sz="48" w:space="3" w:color="DDDDDD"/>
        <w:left w:val="single" w:sz="48" w:space="8" w:color="DDDDDD"/>
        <w:bottom w:val="single" w:sz="48" w:space="6" w:color="DDDDDD"/>
        <w:right w:val="single" w:sz="48" w:space="8" w:color="DDDDDD"/>
      </w:pBdr>
      <w:shd w:val="clear" w:color="auto" w:fill="DDDDDD"/>
      <w:spacing w:before="240" w:after="113" w:line="320" w:lineRule="exact"/>
      <w:ind w:left="284" w:right="284"/>
      <w:contextualSpacing/>
    </w:pPr>
    <w:rPr>
      <w:rFonts w:eastAsiaTheme="minorHAnsi" w:cs="Times New Roman"/>
      <w:szCs w:val="22"/>
    </w:rPr>
  </w:style>
  <w:style w:type="character" w:styleId="IntenseEmphasis">
    <w:name w:val="Intense Emphasis"/>
    <w:aliases w:val="Figure Heading"/>
    <w:basedOn w:val="DefaultParagraphFont"/>
    <w:uiPriority w:val="21"/>
    <w:rsid w:val="004B2104"/>
    <w:rPr>
      <w:rFonts w:ascii="Arial" w:hAnsi="Arial"/>
      <w:b/>
      <w:bCs/>
      <w:i w:val="0"/>
      <w:iCs/>
      <w:color w:val="000000" w:themeColor="text1"/>
      <w:sz w:val="22"/>
    </w:rPr>
  </w:style>
  <w:style w:type="paragraph" w:customStyle="1" w:styleId="GlanceYellowHeading">
    <w:name w:val="Glance Yellow Heading"/>
    <w:basedOn w:val="Normal"/>
    <w:next w:val="GlanceHeading"/>
    <w:autoRedefine/>
    <w:rsid w:val="00A46F23"/>
    <w:pPr>
      <w:pBdr>
        <w:top w:val="single" w:sz="48" w:space="1" w:color="BFBFBF" w:themeColor="background1" w:themeShade="BF"/>
      </w:pBdr>
      <w:shd w:val="clear" w:color="auto" w:fill="FFFFFF" w:themeFill="background1"/>
      <w:contextualSpacing/>
      <w:jc w:val="center"/>
      <w:textboxTightWrap w:val="allLines"/>
    </w:pPr>
    <w:rPr>
      <w:rFonts w:eastAsiaTheme="minorHAnsi" w:cs="Times New Roman"/>
      <w:color w:val="0194A6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CF3B06"/>
    <w:pPr>
      <w:keepNext/>
      <w:keepLines/>
      <w:widowControl w:val="0"/>
      <w:spacing w:line="240" w:lineRule="auto"/>
      <w:jc w:val="center"/>
      <w:textboxTightWrap w:val="allLines"/>
    </w:pPr>
    <w:rPr>
      <w:rFonts w:eastAsiaTheme="minorHAnsi" w:cs="Times New Roman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1E11E3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 w:cs="Times New Roman"/>
      <w:szCs w:val="22"/>
    </w:rPr>
  </w:style>
  <w:style w:type="paragraph" w:customStyle="1" w:styleId="CoverReportTitle1">
    <w:name w:val="Cover Report Title1"/>
    <w:basedOn w:val="Normal"/>
    <w:next w:val="CoverReportTitle"/>
    <w:rsid w:val="00205DBE"/>
    <w:pPr>
      <w:framePr w:w="4820" w:wrap="around" w:vAnchor="page" w:hAnchor="text" w:x="5388" w:y="795"/>
      <w:spacing w:line="560" w:lineRule="exact"/>
    </w:pPr>
    <w:rPr>
      <w:rFonts w:ascii="Fair Work" w:eastAsiaTheme="minorHAnsi" w:hAnsi="Fair Work" w:cs="Times New Roman"/>
      <w:color w:val="007CBA"/>
      <w:sz w:val="60"/>
      <w:szCs w:val="22"/>
    </w:rPr>
  </w:style>
  <w:style w:type="paragraph" w:customStyle="1" w:styleId="GreyBubbleBox1">
    <w:name w:val="Grey  Bubble Box1"/>
    <w:basedOn w:val="Normal"/>
    <w:next w:val="Normal"/>
    <w:autoRedefine/>
    <w:qFormat/>
    <w:rsid w:val="001E11E3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 w:cs="Times New Roman"/>
      <w:szCs w:val="22"/>
    </w:rPr>
  </w:style>
  <w:style w:type="character" w:styleId="Emphasis">
    <w:name w:val="Emphasis"/>
    <w:basedOn w:val="DefaultParagraphFont"/>
    <w:rsid w:val="00CF3B06"/>
    <w:rPr>
      <w:i/>
      <w:iCs/>
    </w:rPr>
  </w:style>
  <w:style w:type="character" w:styleId="Strong">
    <w:name w:val="Strong"/>
    <w:basedOn w:val="DefaultParagraphFont"/>
    <w:rsid w:val="00CF3B06"/>
    <w:rPr>
      <w:b/>
      <w:bCs/>
    </w:rPr>
  </w:style>
  <w:style w:type="paragraph" w:styleId="Subtitle">
    <w:name w:val="Subtitle"/>
    <w:basedOn w:val="Normal"/>
    <w:next w:val="Normal"/>
    <w:link w:val="SubtitleChar"/>
    <w:rsid w:val="00CF3B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F3B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Spacing">
    <w:name w:val="No Spacing"/>
    <w:uiPriority w:val="1"/>
    <w:rsid w:val="00CF3B06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E11E3"/>
    <w:rPr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11E3"/>
    <w:rPr>
      <w:rFonts w:ascii="Arial" w:hAnsi="Arial" w:cs="Arial"/>
      <w:i/>
      <w:iCs/>
      <w:color w:val="000000" w:themeColor="text1"/>
      <w:sz w:val="24"/>
      <w:szCs w:val="24"/>
      <w:lang w:eastAsia="en-US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1E11E3"/>
    <w:rPr>
      <w:rFonts w:ascii="Helvetica" w:hAnsi="Helvetica"/>
      <w:b/>
      <w:color w:val="FFFFFF" w:themeColor="background1"/>
      <w:sz w:val="24"/>
    </w:rPr>
  </w:style>
  <w:style w:type="character" w:customStyle="1" w:styleId="CalloutboxChar">
    <w:name w:val="Callout box Char"/>
    <w:basedOn w:val="DefaultParagraphFont"/>
    <w:link w:val="Calloutbox"/>
    <w:rsid w:val="001E11E3"/>
    <w:rPr>
      <w:rFonts w:ascii="Arial" w:eastAsiaTheme="minorHAnsi" w:hAnsi="Arial"/>
      <w:sz w:val="22"/>
      <w:szCs w:val="22"/>
      <w:shd w:val="clear" w:color="auto" w:fill="DDDDDD"/>
      <w:lang w:eastAsia="en-US"/>
    </w:rPr>
  </w:style>
  <w:style w:type="character" w:customStyle="1" w:styleId="CalloutBoxHeadingChar">
    <w:name w:val="Callout Box Heading Char"/>
    <w:basedOn w:val="CalloutboxChar"/>
    <w:link w:val="CalloutBoxHeading"/>
    <w:rsid w:val="001E11E3"/>
    <w:rPr>
      <w:rFonts w:ascii="Helvetica" w:eastAsiaTheme="minorHAnsi" w:hAnsi="Helvetica"/>
      <w:b/>
      <w:color w:val="FFFFFF" w:themeColor="background1"/>
      <w:sz w:val="24"/>
      <w:szCs w:val="22"/>
      <w:shd w:val="clear" w:color="auto" w:fill="DDDDDD"/>
      <w:lang w:eastAsia="en-US"/>
    </w:rPr>
  </w:style>
  <w:style w:type="paragraph" w:customStyle="1" w:styleId="Calloutbox1">
    <w:name w:val="Callout box1"/>
    <w:basedOn w:val="Normal"/>
    <w:next w:val="Normal"/>
    <w:autoRedefine/>
    <w:rsid w:val="005117BB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 w:cs="Times New Roman"/>
      <w:color w:val="FFFFFF" w:themeColor="background1"/>
      <w:szCs w:val="22"/>
    </w:rPr>
  </w:style>
  <w:style w:type="paragraph" w:customStyle="1" w:styleId="GlanceYellowHeading1">
    <w:name w:val="Glance Yellow Heading1"/>
    <w:basedOn w:val="Normal"/>
    <w:next w:val="GlanceHeading"/>
    <w:autoRedefine/>
    <w:rsid w:val="00CF3B06"/>
    <w:pPr>
      <w:pBdr>
        <w:top w:val="single" w:sz="48" w:space="1" w:color="BFBFBF" w:themeColor="background1" w:themeShade="BF"/>
      </w:pBdr>
      <w:shd w:val="clear" w:color="auto" w:fill="E5E5E5"/>
      <w:contextualSpacing/>
      <w:jc w:val="center"/>
      <w:textboxTightWrap w:val="allLines"/>
    </w:pPr>
    <w:rPr>
      <w:rFonts w:eastAsiaTheme="minorHAnsi" w:cs="Times New Roman"/>
      <w:color w:val="10C9DE"/>
      <w:spacing w:val="-10"/>
      <w:sz w:val="56"/>
      <w:szCs w:val="22"/>
    </w:rPr>
  </w:style>
  <w:style w:type="paragraph" w:customStyle="1" w:styleId="StyleCentered">
    <w:name w:val="Style Centered"/>
    <w:basedOn w:val="Normal"/>
    <w:rsid w:val="005117BB"/>
    <w:pPr>
      <w:jc w:val="center"/>
    </w:pPr>
    <w:rPr>
      <w:rFonts w:cs="Times New Roman"/>
      <w:szCs w:val="20"/>
    </w:rPr>
  </w:style>
  <w:style w:type="paragraph" w:customStyle="1" w:styleId="Coverheading">
    <w:name w:val="Cover heading"/>
    <w:basedOn w:val="Normal"/>
    <w:link w:val="CoverheadingChar"/>
    <w:qFormat/>
    <w:rsid w:val="001E11E3"/>
    <w:pPr>
      <w:spacing w:before="4440" w:after="2400" w:line="480" w:lineRule="auto"/>
    </w:pPr>
    <w:rPr>
      <w:rFonts w:ascii="Helvetica" w:eastAsiaTheme="minorHAnsi" w:hAnsi="Helvetica" w:cs="Times New Roman"/>
      <w:color w:val="263746"/>
      <w:sz w:val="60"/>
      <w:szCs w:val="22"/>
    </w:rPr>
  </w:style>
  <w:style w:type="character" w:customStyle="1" w:styleId="CoverheadingChar">
    <w:name w:val="Cover heading Char"/>
    <w:basedOn w:val="DefaultParagraphFont"/>
    <w:link w:val="Coverheading"/>
    <w:rsid w:val="001E11E3"/>
    <w:rPr>
      <w:rFonts w:ascii="Helvetica" w:eastAsiaTheme="minorHAnsi" w:hAnsi="Helvetica"/>
      <w:color w:val="263746"/>
      <w:sz w:val="60"/>
      <w:szCs w:val="22"/>
      <w:lang w:eastAsia="en-US"/>
    </w:rPr>
  </w:style>
  <w:style w:type="paragraph" w:customStyle="1" w:styleId="CalloutItalic">
    <w:name w:val="Callout Italic"/>
    <w:basedOn w:val="Calloutbox"/>
    <w:link w:val="CalloutItalicChar"/>
    <w:qFormat/>
    <w:rsid w:val="001E11E3"/>
    <w:pPr>
      <w:contextualSpacing w:val="0"/>
    </w:pPr>
    <w:rPr>
      <w:i/>
    </w:rPr>
  </w:style>
  <w:style w:type="character" w:customStyle="1" w:styleId="CalloutItalicChar">
    <w:name w:val="Callout Italic Char"/>
    <w:basedOn w:val="CalloutboxChar"/>
    <w:link w:val="CalloutItalic"/>
    <w:rsid w:val="001E11E3"/>
    <w:rPr>
      <w:rFonts w:ascii="Arial" w:eastAsiaTheme="minorHAnsi" w:hAnsi="Arial"/>
      <w:i/>
      <w:sz w:val="22"/>
      <w:szCs w:val="22"/>
      <w:shd w:val="clear" w:color="auto" w:fill="DDDDDD"/>
      <w:lang w:eastAsia="en-US"/>
    </w:rPr>
  </w:style>
  <w:style w:type="paragraph" w:customStyle="1" w:styleId="CalloutBullet">
    <w:name w:val="Callout Bullet"/>
    <w:basedOn w:val="CalloutItalic"/>
    <w:link w:val="CalloutBulletChar"/>
    <w:qFormat/>
    <w:rsid w:val="001E11E3"/>
    <w:pPr>
      <w:numPr>
        <w:numId w:val="17"/>
      </w:numPr>
      <w:ind w:left="567" w:hanging="283"/>
    </w:pPr>
    <w:rPr>
      <w:i w:val="0"/>
    </w:rPr>
  </w:style>
  <w:style w:type="character" w:customStyle="1" w:styleId="CalloutBulletChar">
    <w:name w:val="Callout Bullet Char"/>
    <w:basedOn w:val="CalloutItalicChar"/>
    <w:link w:val="CalloutBullet"/>
    <w:rsid w:val="001E11E3"/>
    <w:rPr>
      <w:rFonts w:ascii="Arial" w:eastAsiaTheme="minorHAnsi" w:hAnsi="Arial"/>
      <w:i w:val="0"/>
      <w:sz w:val="22"/>
      <w:szCs w:val="22"/>
      <w:shd w:val="clear" w:color="auto" w:fill="DDDDDD"/>
      <w:lang w:eastAsia="en-US"/>
    </w:rPr>
  </w:style>
  <w:style w:type="character" w:customStyle="1" w:styleId="ListParagraphChar">
    <w:name w:val="List Paragraph Char"/>
    <w:aliases w:val="List Paragraph1 Char,List Paragraph11 Char,Content descriptions Char,Bullet point Char,L Char,CV text Char,Table text Char,F5 List Paragraph Char,Dot pt Char,List Paragraph111 Char,Medium Grid 1 - Accent 21 Char,FooterText Char"/>
    <w:basedOn w:val="DefaultParagraphFont"/>
    <w:link w:val="ListParagraph"/>
    <w:uiPriority w:val="34"/>
    <w:locked/>
    <w:rsid w:val="00B811A6"/>
    <w:rPr>
      <w:rFonts w:ascii="Arial" w:hAnsi="Arial" w:cs="Arial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490807"/>
    <w:rPr>
      <w:rFonts w:ascii="Arial" w:hAnsi="Arial" w:cs="Arial"/>
      <w:sz w:val="22"/>
      <w:szCs w:val="24"/>
      <w:lang w:eastAsia="en-US"/>
    </w:rPr>
  </w:style>
  <w:style w:type="paragraph" w:customStyle="1" w:styleId="Default">
    <w:name w:val="Default"/>
    <w:rsid w:val="006744E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382614"/>
    <w:rPr>
      <w:color w:val="800080" w:themeColor="followedHyperlink"/>
      <w:u w:val="single"/>
    </w:rPr>
  </w:style>
  <w:style w:type="paragraph" w:customStyle="1" w:styleId="Calloutbullet0">
    <w:name w:val="Callout bullet"/>
    <w:basedOn w:val="Calloutbox"/>
    <w:rsid w:val="00DA674B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FWO/51000927/Young_Workers_Regional_Services/Regional%20Services/Wagga/Pro-Active%20Current%20Matters/MAT-0016-9928%20(Westside%20Petroleum)/SICA%20related%20docs/media@fwo.gov.au.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fairwork.gov.au/about-us/our-vision/compliance-and-enforcement-policy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fairwork.gov.au/about-us/our-vision/strategic-intent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EF0B-D334-4C4E-826F-A36CFDDA27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C742D7-0C4C-4E56-A96F-172185D9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3B6E7496.dotm</Template>
  <TotalTime>0</TotalTime>
  <Pages>10</Pages>
  <Words>1915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Games Compliance Activity Report</vt:lpstr>
    </vt:vector>
  </TitlesOfParts>
  <Manager/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Games Compliance Activity Report</dc:title>
  <dc:subject>Commonwealth Games Compliance Activity Report</dc:subject>
  <dc:creator/>
  <cp:keywords>Commonwealth Games Compliance Activity Report</cp:keywords>
  <cp:lastModifiedBy/>
  <cp:revision>1</cp:revision>
  <dcterms:created xsi:type="dcterms:W3CDTF">2019-06-19T02:52:00Z</dcterms:created>
  <dcterms:modified xsi:type="dcterms:W3CDTF">2019-06-19T03:03:00Z</dcterms:modified>
</cp:coreProperties>
</file>