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F849" w14:textId="7623025A" w:rsidR="006059E9" w:rsidRDefault="00C8186F" w:rsidP="00E75CA5">
      <w:pPr>
        <w:rPr>
          <w:noProof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0D5E62" wp14:editId="7C698320">
            <wp:simplePos x="0" y="0"/>
            <wp:positionH relativeFrom="margin">
              <wp:posOffset>-832485</wp:posOffset>
            </wp:positionH>
            <wp:positionV relativeFrom="paragraph">
              <wp:posOffset>-958850</wp:posOffset>
            </wp:positionV>
            <wp:extent cx="7543800" cy="10675148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13" cy="106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CB50E" w14:textId="5CB3BB3D" w:rsidR="00174429" w:rsidRDefault="00174429" w:rsidP="00E75CA5">
      <w:bookmarkStart w:id="0" w:name="_GoBack"/>
      <w:bookmarkEnd w:id="0"/>
    </w:p>
    <w:p w14:paraId="517F4337" w14:textId="77777777" w:rsidR="003C36DA" w:rsidRDefault="003C36DA" w:rsidP="00E75CA5">
      <w:pPr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0B1A949C" w14:textId="26AA29A4" w:rsidR="00AF74D9" w:rsidRPr="00073307" w:rsidRDefault="004F2D4C" w:rsidP="00E75CA5">
      <w:pPr>
        <w:pStyle w:val="Heading1"/>
      </w:pPr>
      <w:r>
        <w:lastRenderedPageBreak/>
        <w:t>N</w:t>
      </w:r>
      <w:r w:rsidR="00E75CA5">
        <w:t>ational Food and Retail Revisit</w:t>
      </w:r>
    </w:p>
    <w:p w14:paraId="15C3D2D5" w14:textId="77777777" w:rsidR="00AF74D9" w:rsidRDefault="005D5A92" w:rsidP="00E75CA5">
      <w:pPr>
        <w:pStyle w:val="Heading2"/>
      </w:pPr>
      <w:r>
        <w:t>What we did and why</w:t>
      </w:r>
    </w:p>
    <w:p w14:paraId="4EEB4867" w14:textId="5CED7331" w:rsidR="00073307" w:rsidRDefault="00E75CA5" w:rsidP="00E75CA5">
      <w:r>
        <w:t xml:space="preserve">The Fair Work Ombudsman (FWO) </w:t>
      </w:r>
      <w:r w:rsidR="00364402">
        <w:t xml:space="preserve">investigated </w:t>
      </w:r>
      <w:r w:rsidR="0078213A">
        <w:t>171</w:t>
      </w:r>
      <w:r w:rsidR="0001530E" w:rsidRPr="00783A7C">
        <w:t xml:space="preserve"> businesses</w:t>
      </w:r>
      <w:r w:rsidR="0001530E">
        <w:t xml:space="preserve"> in the</w:t>
      </w:r>
      <w:r w:rsidR="00E23115">
        <w:t xml:space="preserve"> fast food, restaurant and cafes (FRAC</w:t>
      </w:r>
      <w:r w:rsidR="00663623">
        <w:t>)</w:t>
      </w:r>
      <w:r w:rsidR="00E23115">
        <w:t xml:space="preserve"> and retail </w:t>
      </w:r>
      <w:r w:rsidR="000A5FBC">
        <w:t>sectors</w:t>
      </w:r>
      <w:r w:rsidR="000E0B1A">
        <w:t xml:space="preserve"> across Australia</w:t>
      </w:r>
      <w:r w:rsidR="000A5FBC">
        <w:t xml:space="preserve"> that had previously </w:t>
      </w:r>
      <w:r w:rsidR="00364402">
        <w:t>breached workplace laws</w:t>
      </w:r>
      <w:r w:rsidR="00073307">
        <w:t xml:space="preserve">. </w:t>
      </w:r>
      <w:r w:rsidR="00364402">
        <w:t xml:space="preserve">The investigations took place </w:t>
      </w:r>
      <w:r>
        <w:t>between March 2019 and March 2020</w:t>
      </w:r>
      <w:r w:rsidR="00961045">
        <w:t>.</w:t>
      </w:r>
    </w:p>
    <w:p w14:paraId="2AD1F735" w14:textId="58A165D3" w:rsidR="0001530E" w:rsidRPr="00783A7C" w:rsidRDefault="0001530E" w:rsidP="00E75CA5">
      <w:r w:rsidRPr="00783A7C">
        <w:t xml:space="preserve">Fair Work Inspectors assessed records against the </w:t>
      </w:r>
      <w:r w:rsidRPr="00783A7C">
        <w:rPr>
          <w:i/>
        </w:rPr>
        <w:t>Fair Work Act 2009</w:t>
      </w:r>
      <w:r w:rsidRPr="00783A7C">
        <w:t xml:space="preserve"> (the Act), the </w:t>
      </w:r>
      <w:r w:rsidRPr="00783A7C">
        <w:rPr>
          <w:i/>
        </w:rPr>
        <w:t>Fair Work Regulations 2009</w:t>
      </w:r>
      <w:r w:rsidRPr="00783A7C">
        <w:t xml:space="preserve"> (the Regulations) and applicable modern awards (e.g.</w:t>
      </w:r>
      <w:r w:rsidR="00615B48">
        <w:t xml:space="preserve"> </w:t>
      </w:r>
      <w:r w:rsidR="00615B48" w:rsidRPr="00615B48">
        <w:rPr>
          <w:i/>
        </w:rPr>
        <w:t>Restaurant Industry Award 2010, Fast Food Industry Award 2010</w:t>
      </w:r>
      <w:r w:rsidR="00615B48">
        <w:t xml:space="preserve"> and the</w:t>
      </w:r>
      <w:r w:rsidRPr="00783A7C">
        <w:t xml:space="preserve"> </w:t>
      </w:r>
      <w:r w:rsidRPr="00783A7C">
        <w:rPr>
          <w:i/>
        </w:rPr>
        <w:t>General Retail Industry Award 2010</w:t>
      </w:r>
      <w:r w:rsidRPr="00783A7C">
        <w:t xml:space="preserve">) and enterprise agreements. </w:t>
      </w:r>
      <w:r>
        <w:t>Education</w:t>
      </w:r>
      <w:r w:rsidR="00771067">
        <w:t xml:space="preserve"> resources were </w:t>
      </w:r>
      <w:r>
        <w:t>provided to employers to assist with compliance.</w:t>
      </w:r>
    </w:p>
    <w:p w14:paraId="1FA0EDEE" w14:textId="4AA7166A" w:rsidR="00F94C5E" w:rsidRDefault="00F94C5E" w:rsidP="00E75CA5">
      <w:pPr>
        <w:pStyle w:val="Heading2"/>
      </w:pPr>
      <w:r>
        <w:t>Our findings</w:t>
      </w:r>
    </w:p>
    <w:p w14:paraId="40481A80" w14:textId="75C50D1C" w:rsidR="0001530E" w:rsidRPr="006B0440" w:rsidRDefault="00387664" w:rsidP="00E75CA5">
      <w:r>
        <w:t>1</w:t>
      </w:r>
      <w:r w:rsidR="00AA01C3">
        <w:t>22</w:t>
      </w:r>
      <w:r>
        <w:t xml:space="preserve"> </w:t>
      </w:r>
      <w:r w:rsidR="00364402">
        <w:t xml:space="preserve">businesses </w:t>
      </w:r>
      <w:r w:rsidR="00AA01C3">
        <w:t>(71</w:t>
      </w:r>
      <w:r w:rsidR="00E75CA5" w:rsidRPr="00B507F3">
        <w:t>%)</w:t>
      </w:r>
      <w:r w:rsidR="00E75CA5" w:rsidRPr="006B0440">
        <w:t xml:space="preserve"> </w:t>
      </w:r>
      <w:r w:rsidR="00B9677B">
        <w:t xml:space="preserve">were found to </w:t>
      </w:r>
      <w:r w:rsidR="00D360AC">
        <w:t xml:space="preserve">non-compliant with </w:t>
      </w:r>
      <w:r w:rsidR="003C227B">
        <w:t>workplace laws</w:t>
      </w:r>
      <w:r w:rsidR="00364402">
        <w:t>:</w:t>
      </w:r>
    </w:p>
    <w:p w14:paraId="292D6E47" w14:textId="2394F1AC" w:rsidR="0001530E" w:rsidRPr="00123C0F" w:rsidRDefault="00AA01C3" w:rsidP="00E75CA5">
      <w:pPr>
        <w:pStyle w:val="Bullet"/>
      </w:pPr>
      <w:r>
        <w:t>61</w:t>
      </w:r>
      <w:r w:rsidR="0001530E" w:rsidRPr="00123C0F">
        <w:t xml:space="preserve"> (</w:t>
      </w:r>
      <w:r>
        <w:t>50</w:t>
      </w:r>
      <w:r w:rsidR="0001530E" w:rsidRPr="00123C0F">
        <w:t xml:space="preserve">%) were </w:t>
      </w:r>
      <w:r w:rsidR="00771067" w:rsidRPr="00123C0F">
        <w:t>not paying staff correctly</w:t>
      </w:r>
    </w:p>
    <w:p w14:paraId="4EEC6219" w14:textId="240808C3" w:rsidR="0001530E" w:rsidRPr="00123C0F" w:rsidRDefault="00AA01C3" w:rsidP="00E75CA5">
      <w:pPr>
        <w:pStyle w:val="Bullet"/>
      </w:pPr>
      <w:r>
        <w:t>19</w:t>
      </w:r>
      <w:r w:rsidR="0001530E" w:rsidRPr="00123C0F">
        <w:t xml:space="preserve"> (</w:t>
      </w:r>
      <w:r w:rsidR="00123C0F" w:rsidRPr="00123C0F">
        <w:t>16</w:t>
      </w:r>
      <w:r w:rsidR="0001530E" w:rsidRPr="00123C0F">
        <w:t xml:space="preserve">%) </w:t>
      </w:r>
      <w:r w:rsidR="00771067" w:rsidRPr="00123C0F">
        <w:t xml:space="preserve">were </w:t>
      </w:r>
      <w:r w:rsidR="0001530E" w:rsidRPr="00123C0F">
        <w:t>non-compliant with pay</w:t>
      </w:r>
      <w:r w:rsidR="00771067" w:rsidRPr="00123C0F">
        <w:t xml:space="preserve"> </w:t>
      </w:r>
      <w:r w:rsidR="0001530E" w:rsidRPr="00123C0F">
        <w:t>slip and record-keeping requirements</w:t>
      </w:r>
    </w:p>
    <w:p w14:paraId="5D7C3DC9" w14:textId="0C27C94A" w:rsidR="0001530E" w:rsidRPr="00123C0F" w:rsidRDefault="00123C0F" w:rsidP="00E75CA5">
      <w:pPr>
        <w:pStyle w:val="Bullet"/>
      </w:pPr>
      <w:r w:rsidRPr="00123C0F">
        <w:t>42</w:t>
      </w:r>
      <w:r w:rsidR="00643BFF" w:rsidRPr="00123C0F">
        <w:t xml:space="preserve"> (</w:t>
      </w:r>
      <w:r w:rsidRPr="00123C0F">
        <w:t>3</w:t>
      </w:r>
      <w:r w:rsidR="00AA01C3">
        <w:t>4</w:t>
      </w:r>
      <w:r w:rsidR="0001530E" w:rsidRPr="00123C0F">
        <w:t>%) breach</w:t>
      </w:r>
      <w:r w:rsidR="00771067" w:rsidRPr="00123C0F">
        <w:t>ed</w:t>
      </w:r>
      <w:r w:rsidR="0001530E" w:rsidRPr="00123C0F">
        <w:t xml:space="preserve"> both their moneta</w:t>
      </w:r>
      <w:r w:rsidR="00947290">
        <w:t>ry and non-monetary obligations</w:t>
      </w:r>
      <w:r w:rsidR="00EC2DE5">
        <w:t>.</w:t>
      </w:r>
      <w:r w:rsidR="00643BFF" w:rsidRPr="00123C0F">
        <w:rPr>
          <w:rStyle w:val="FootnoteReference"/>
        </w:rPr>
        <w:footnoteReference w:id="2"/>
      </w:r>
    </w:p>
    <w:p w14:paraId="025B26A8" w14:textId="12C1E5B7" w:rsidR="0001530E" w:rsidRPr="005B3BB7" w:rsidRDefault="0001530E" w:rsidP="00E75CA5">
      <w:r w:rsidRPr="005B3BB7">
        <w:t xml:space="preserve">The most common breaches </w:t>
      </w:r>
      <w:r w:rsidR="00771067" w:rsidRPr="005B3BB7">
        <w:t>related to</w:t>
      </w:r>
      <w:r w:rsidRPr="005B3BB7">
        <w:t>:</w:t>
      </w:r>
    </w:p>
    <w:p w14:paraId="1EA3CB32" w14:textId="0CB9CB0C" w:rsidR="005B3BB7" w:rsidRPr="005B3BB7" w:rsidRDefault="00EC2DE5" w:rsidP="00E75CA5">
      <w:pPr>
        <w:pStyle w:val="Bullet"/>
      </w:pPr>
      <w:r>
        <w:t>u</w:t>
      </w:r>
      <w:r w:rsidR="005B3BB7">
        <w:t>nder</w:t>
      </w:r>
      <w:r>
        <w:t xml:space="preserve"> </w:t>
      </w:r>
      <w:r w:rsidR="005B3BB7">
        <w:t>/</w:t>
      </w:r>
      <w:r>
        <w:t xml:space="preserve"> </w:t>
      </w:r>
      <w:r w:rsidR="005B3BB7" w:rsidRPr="005B3BB7">
        <w:t xml:space="preserve">non-payment of penalty rates </w:t>
      </w:r>
      <w:r w:rsidR="005B3BB7">
        <w:t>(</w:t>
      </w:r>
      <w:r w:rsidR="00AA01C3">
        <w:t>40</w:t>
      </w:r>
      <w:r>
        <w:t>%)</w:t>
      </w:r>
    </w:p>
    <w:p w14:paraId="45D30DA8" w14:textId="3FAA2197" w:rsidR="005B3BB7" w:rsidRPr="005B3BB7" w:rsidRDefault="005B3BB7" w:rsidP="00E75CA5">
      <w:pPr>
        <w:pStyle w:val="Bullet"/>
      </w:pPr>
      <w:r w:rsidRPr="005B3BB7">
        <w:t>underpayment of the minimum hourly rate (</w:t>
      </w:r>
      <w:r w:rsidR="00AA01C3">
        <w:t>17</w:t>
      </w:r>
      <w:r w:rsidRPr="005B3BB7">
        <w:t>%)</w:t>
      </w:r>
    </w:p>
    <w:p w14:paraId="3B1EA428" w14:textId="49B28261" w:rsidR="00AA01C3" w:rsidRPr="005B3BB7" w:rsidRDefault="00AA01C3" w:rsidP="00AA01C3">
      <w:pPr>
        <w:pStyle w:val="Bullet"/>
      </w:pPr>
      <w:r>
        <w:t xml:space="preserve">under / non-payment of overtime provisions </w:t>
      </w:r>
      <w:r w:rsidRPr="005B3BB7">
        <w:t>(</w:t>
      </w:r>
      <w:r>
        <w:t>10</w:t>
      </w:r>
      <w:r w:rsidRPr="005B3BB7">
        <w:t>%)</w:t>
      </w:r>
      <w:r>
        <w:t>.</w:t>
      </w:r>
    </w:p>
    <w:p w14:paraId="7DE6BE50" w14:textId="4E832864" w:rsidR="0001530E" w:rsidRDefault="00771067" w:rsidP="00E75CA5">
      <w:pPr>
        <w:pStyle w:val="Bullet"/>
      </w:pPr>
      <w:r w:rsidRPr="005B3BB7">
        <w:t xml:space="preserve">failure to provide </w:t>
      </w:r>
      <w:r w:rsidR="0001530E" w:rsidRPr="005B3BB7">
        <w:t>pay slip</w:t>
      </w:r>
      <w:r w:rsidRPr="005B3BB7">
        <w:t>s</w:t>
      </w:r>
      <w:r w:rsidR="0001530E" w:rsidRPr="005B3BB7">
        <w:t xml:space="preserve"> as </w:t>
      </w:r>
      <w:r w:rsidRPr="005B3BB7">
        <w:t xml:space="preserve">per requirements of </w:t>
      </w:r>
      <w:r w:rsidR="0001530E" w:rsidRPr="005B3BB7">
        <w:t>the Act and Regulations (</w:t>
      </w:r>
      <w:r w:rsidR="00364402">
        <w:t>9</w:t>
      </w:r>
      <w:r w:rsidR="0001530E" w:rsidRPr="005B3BB7">
        <w:t>%)</w:t>
      </w:r>
    </w:p>
    <w:p w14:paraId="247D01FE" w14:textId="1CF7A138" w:rsidR="00EC2DE5" w:rsidRPr="0030758F" w:rsidRDefault="00EC2DE5" w:rsidP="00EC2DE5">
      <w:r>
        <w:t xml:space="preserve">The reasons given for </w:t>
      </w:r>
      <w:r w:rsidRPr="0030758F">
        <w:t>non-compliance</w:t>
      </w:r>
      <w:r>
        <w:t xml:space="preserve"> included:</w:t>
      </w:r>
    </w:p>
    <w:p w14:paraId="30219420" w14:textId="2A196EE4" w:rsidR="0001530E" w:rsidRPr="00CC153A" w:rsidRDefault="0001530E" w:rsidP="00E75CA5">
      <w:pPr>
        <w:pStyle w:val="Bullet"/>
      </w:pPr>
      <w:r w:rsidRPr="00CC153A">
        <w:t>lack</w:t>
      </w:r>
      <w:r w:rsidR="00CC153A" w:rsidRPr="00CC153A">
        <w:t xml:space="preserve"> of awareness of obligations (</w:t>
      </w:r>
      <w:r w:rsidR="00CC153A">
        <w:t>5</w:t>
      </w:r>
      <w:r w:rsidR="00AA01C3">
        <w:t>1</w:t>
      </w:r>
      <w:r w:rsidR="00D5523B">
        <w:t>%)</w:t>
      </w:r>
    </w:p>
    <w:p w14:paraId="303C9C88" w14:textId="31979EE5" w:rsidR="00CC153A" w:rsidRPr="00CC153A" w:rsidRDefault="00CC153A" w:rsidP="00E75CA5">
      <w:pPr>
        <w:pStyle w:val="Bullet"/>
      </w:pPr>
      <w:r w:rsidRPr="00CC153A">
        <w:t>misinterpreting award requirements (</w:t>
      </w:r>
      <w:r>
        <w:t>1</w:t>
      </w:r>
      <w:r w:rsidR="00AA01C3">
        <w:t>7</w:t>
      </w:r>
      <w:r w:rsidR="00B9677B">
        <w:t>%)</w:t>
      </w:r>
    </w:p>
    <w:p w14:paraId="094BB188" w14:textId="4A15820B" w:rsidR="00CC153A" w:rsidRPr="00CC153A" w:rsidRDefault="00B9677B" w:rsidP="00364402">
      <w:pPr>
        <w:pStyle w:val="Bullet"/>
      </w:pPr>
      <w:r>
        <w:t>payment of</w:t>
      </w:r>
      <w:r w:rsidR="0001530E" w:rsidRPr="00CC153A">
        <w:t xml:space="preserve"> </w:t>
      </w:r>
      <w:r w:rsidR="00364402">
        <w:t xml:space="preserve">a </w:t>
      </w:r>
      <w:r w:rsidR="0001530E" w:rsidRPr="00CC153A">
        <w:t>flat hourly rate</w:t>
      </w:r>
      <w:r>
        <w:t xml:space="preserve"> insufficient to compensate for award-based </w:t>
      </w:r>
      <w:r w:rsidR="0001530E" w:rsidRPr="00CC153A">
        <w:t>penalties (</w:t>
      </w:r>
      <w:r w:rsidR="00CC153A">
        <w:t>6</w:t>
      </w:r>
      <w:r w:rsidR="0001530E" w:rsidRPr="00CC153A">
        <w:t>%)</w:t>
      </w:r>
      <w:r w:rsidR="00947290">
        <w:t>.</w:t>
      </w:r>
    </w:p>
    <w:p w14:paraId="2363F32C" w14:textId="77777777" w:rsidR="00364402" w:rsidRDefault="00364402">
      <w:pPr>
        <w:spacing w:after="0" w:line="240" w:lineRule="auto"/>
        <w:rPr>
          <w:b/>
          <w:color w:val="1B365D"/>
          <w:sz w:val="32"/>
        </w:rPr>
      </w:pPr>
      <w:r>
        <w:br w:type="page"/>
      </w:r>
    </w:p>
    <w:p w14:paraId="7ACDEA3E" w14:textId="362ACF6A" w:rsidR="00F94C5E" w:rsidRDefault="00A31966" w:rsidP="00E75CA5">
      <w:pPr>
        <w:pStyle w:val="Heading2"/>
      </w:pPr>
      <w:r>
        <w:lastRenderedPageBreak/>
        <w:t>Action taken and next steps</w:t>
      </w:r>
    </w:p>
    <w:p w14:paraId="7CED3B4D" w14:textId="77777777" w:rsidR="00364402" w:rsidRPr="00771067" w:rsidRDefault="00364402" w:rsidP="00364402">
      <w:r>
        <w:t xml:space="preserve">We recovered </w:t>
      </w:r>
      <w:r w:rsidRPr="00364402">
        <w:t>$709,289 from 84 businesses for 796 employees</w:t>
      </w:r>
      <w:r>
        <w:t>.</w:t>
      </w:r>
    </w:p>
    <w:p w14:paraId="1623BED1" w14:textId="5153FA15" w:rsidR="000556EB" w:rsidRPr="006D19EE" w:rsidRDefault="000556EB" w:rsidP="000556EB">
      <w:r>
        <w:t>Fair Work Inspectors issued:</w:t>
      </w:r>
    </w:p>
    <w:p w14:paraId="535523B2" w14:textId="77777777" w:rsidR="00AA01C3" w:rsidRDefault="00AA01C3" w:rsidP="00AA01C3">
      <w:pPr>
        <w:numPr>
          <w:ilvl w:val="0"/>
          <w:numId w:val="30"/>
        </w:numPr>
        <w:spacing w:before="120" w:after="240" w:line="240" w:lineRule="auto"/>
      </w:pPr>
      <w:r>
        <w:t>11 contravention letters</w:t>
      </w:r>
    </w:p>
    <w:p w14:paraId="044744B3" w14:textId="77777777" w:rsidR="00AA01C3" w:rsidRDefault="00AA01C3" w:rsidP="00AA01C3">
      <w:pPr>
        <w:numPr>
          <w:ilvl w:val="0"/>
          <w:numId w:val="30"/>
        </w:numPr>
        <w:spacing w:before="120" w:after="240" w:line="240" w:lineRule="auto"/>
      </w:pPr>
      <w:r>
        <w:t>10 formal cautions</w:t>
      </w:r>
    </w:p>
    <w:p w14:paraId="3D23431F" w14:textId="77777777" w:rsidR="00AA01C3" w:rsidRDefault="00AA01C3" w:rsidP="00AA01C3">
      <w:pPr>
        <w:numPr>
          <w:ilvl w:val="0"/>
          <w:numId w:val="30"/>
        </w:numPr>
        <w:spacing w:before="120" w:after="240" w:line="240" w:lineRule="auto"/>
      </w:pPr>
      <w:r>
        <w:t>16 infringement notices ($31,290 in penalties for pay slip and record-keeping breaches)</w:t>
      </w:r>
    </w:p>
    <w:p w14:paraId="0CD2C9AB" w14:textId="77777777" w:rsidR="00AA01C3" w:rsidRDefault="00AA01C3" w:rsidP="00AA01C3">
      <w:pPr>
        <w:numPr>
          <w:ilvl w:val="0"/>
          <w:numId w:val="30"/>
        </w:numPr>
        <w:spacing w:before="120" w:after="240" w:line="240" w:lineRule="auto"/>
      </w:pPr>
      <w:r>
        <w:t>83 compliance notices ($540,354 back paid to 630 employees)</w:t>
      </w:r>
    </w:p>
    <w:p w14:paraId="42A9DACA" w14:textId="3B33E7E4" w:rsidR="00EC2DE5" w:rsidRDefault="00AA01C3" w:rsidP="00EC2DE5">
      <w:bookmarkStart w:id="1" w:name="_Toc15039103"/>
      <w:r>
        <w:t>Two</w:t>
      </w:r>
      <w:r w:rsidR="00C97D9F">
        <w:t xml:space="preserve"> business</w:t>
      </w:r>
      <w:r>
        <w:t>es</w:t>
      </w:r>
      <w:r w:rsidR="00EC2DE5" w:rsidRPr="00563BE0">
        <w:t xml:space="preserve"> </w:t>
      </w:r>
      <w:r>
        <w:t>are</w:t>
      </w:r>
      <w:r w:rsidR="00C97D9F">
        <w:t xml:space="preserve"> </w:t>
      </w:r>
      <w:r w:rsidR="00EC2DE5">
        <w:t xml:space="preserve">still </w:t>
      </w:r>
      <w:r w:rsidR="00EC2DE5" w:rsidRPr="00563BE0">
        <w:t xml:space="preserve">under investigation </w:t>
      </w:r>
      <w:r w:rsidR="00EC2DE5">
        <w:t xml:space="preserve">for </w:t>
      </w:r>
      <w:r w:rsidR="00EC2DE5" w:rsidRPr="00563BE0">
        <w:t>non-compliance</w:t>
      </w:r>
      <w:r w:rsidR="00EC2DE5">
        <w:t xml:space="preserve"> and may face legal proceedings. </w:t>
      </w:r>
    </w:p>
    <w:bookmarkEnd w:id="1"/>
    <w:p w14:paraId="11F1AE1C" w14:textId="77777777" w:rsidR="00364402" w:rsidRPr="00364402" w:rsidRDefault="00364402" w:rsidP="00364402">
      <w:r w:rsidRPr="00364402">
        <w:t>We expect employers to comply with all workplace relations obligations. To assist them to comply, they can utilise our free tools and resources, including:</w:t>
      </w:r>
    </w:p>
    <w:p w14:paraId="7FB12323" w14:textId="77777777" w:rsidR="00364402" w:rsidRPr="00364402" w:rsidRDefault="00364402" w:rsidP="00364402">
      <w:pPr>
        <w:numPr>
          <w:ilvl w:val="0"/>
          <w:numId w:val="4"/>
        </w:numPr>
        <w:spacing w:before="120" w:after="240" w:line="240" w:lineRule="auto"/>
        <w:rPr>
          <w:rFonts w:eastAsiaTheme="minorHAnsi"/>
          <w:szCs w:val="22"/>
        </w:rPr>
      </w:pPr>
      <w:r w:rsidRPr="00364402">
        <w:rPr>
          <w:rFonts w:eastAsiaTheme="minorHAnsi"/>
          <w:szCs w:val="22"/>
        </w:rPr>
        <w:t>PACT - calculates employee entitlements, including award pay rates, leave entitlements and termination pay</w:t>
      </w:r>
      <w:r w:rsidRPr="00364402">
        <w:rPr>
          <w:rFonts w:eastAsiaTheme="minorHAnsi"/>
          <w:szCs w:val="22"/>
          <w:vertAlign w:val="superscript"/>
        </w:rPr>
        <w:footnoteReference w:id="3"/>
      </w:r>
    </w:p>
    <w:p w14:paraId="499DF40B" w14:textId="77777777" w:rsidR="00364402" w:rsidRPr="00364402" w:rsidRDefault="00364402" w:rsidP="00364402">
      <w:pPr>
        <w:numPr>
          <w:ilvl w:val="0"/>
          <w:numId w:val="4"/>
        </w:numPr>
        <w:spacing w:before="120" w:after="240" w:line="240" w:lineRule="auto"/>
        <w:rPr>
          <w:rFonts w:eastAsiaTheme="minorHAnsi"/>
          <w:szCs w:val="22"/>
        </w:rPr>
      </w:pPr>
      <w:r w:rsidRPr="00364402">
        <w:rPr>
          <w:rFonts w:eastAsiaTheme="minorHAnsi"/>
          <w:szCs w:val="22"/>
        </w:rPr>
        <w:t>My account - interactive service where employers receive tailored information and updates</w:t>
      </w:r>
      <w:r w:rsidRPr="00364402">
        <w:rPr>
          <w:rFonts w:eastAsiaTheme="minorHAnsi"/>
          <w:szCs w:val="22"/>
          <w:vertAlign w:val="superscript"/>
        </w:rPr>
        <w:footnoteReference w:id="4"/>
      </w:r>
    </w:p>
    <w:p w14:paraId="4BA82D6D" w14:textId="77777777" w:rsidR="00364402" w:rsidRPr="00364402" w:rsidRDefault="00364402" w:rsidP="00364402">
      <w:pPr>
        <w:numPr>
          <w:ilvl w:val="0"/>
          <w:numId w:val="4"/>
        </w:numPr>
        <w:spacing w:before="120" w:after="240" w:line="240" w:lineRule="auto"/>
        <w:rPr>
          <w:rFonts w:eastAsiaTheme="minorHAnsi"/>
          <w:szCs w:val="22"/>
        </w:rPr>
      </w:pPr>
      <w:r w:rsidRPr="00364402">
        <w:rPr>
          <w:rFonts w:eastAsiaTheme="minorHAnsi"/>
          <w:szCs w:val="22"/>
        </w:rPr>
        <w:t>Online Learning Centre - award-winning videos on key subjects like hiring employees, managing performance and record-keeping and pay slip obligations</w:t>
      </w:r>
      <w:r w:rsidRPr="00364402">
        <w:rPr>
          <w:rFonts w:eastAsiaTheme="minorHAnsi"/>
          <w:szCs w:val="22"/>
          <w:vertAlign w:val="superscript"/>
        </w:rPr>
        <w:footnoteReference w:id="5"/>
      </w:r>
      <w:r w:rsidRPr="00364402">
        <w:rPr>
          <w:rFonts w:eastAsiaTheme="minorHAnsi"/>
          <w:szCs w:val="22"/>
          <w:vertAlign w:val="superscript"/>
        </w:rPr>
        <w:t xml:space="preserve"> </w:t>
      </w:r>
    </w:p>
    <w:p w14:paraId="0DE389DD" w14:textId="77777777" w:rsidR="00364402" w:rsidRPr="00364402" w:rsidRDefault="00364402" w:rsidP="00364402">
      <w:pPr>
        <w:numPr>
          <w:ilvl w:val="0"/>
          <w:numId w:val="4"/>
        </w:numPr>
        <w:spacing w:before="120" w:after="240" w:line="240" w:lineRule="auto"/>
        <w:rPr>
          <w:rFonts w:eastAsiaTheme="minorHAnsi"/>
          <w:szCs w:val="22"/>
        </w:rPr>
      </w:pPr>
      <w:r w:rsidRPr="00364402">
        <w:rPr>
          <w:rFonts w:eastAsiaTheme="minorHAnsi"/>
          <w:szCs w:val="22"/>
        </w:rPr>
        <w:t>Templates and guides - tools and resources specifically designed to assist businesses with their payslips and record keeping obligations.</w:t>
      </w:r>
      <w:r w:rsidRPr="00364402">
        <w:rPr>
          <w:rFonts w:eastAsiaTheme="minorHAnsi"/>
          <w:szCs w:val="22"/>
          <w:vertAlign w:val="superscript"/>
        </w:rPr>
        <w:footnoteReference w:id="6"/>
      </w:r>
    </w:p>
    <w:p w14:paraId="71248BE6" w14:textId="04CDEBB6" w:rsidR="00CE7A1A" w:rsidRPr="002A65CC" w:rsidRDefault="00364402" w:rsidP="00364402">
      <w:r w:rsidRPr="00364402">
        <w:t>The FWO does not accept that a lack of awareness of obligations under the Act is a valid reason for non-compliance with workplace laws.</w:t>
      </w:r>
    </w:p>
    <w:sectPr w:rsidR="00CE7A1A" w:rsidRPr="002A65CC" w:rsidSect="00DA1AD1"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A6AA" w14:textId="77777777" w:rsidR="00DC09A0" w:rsidRDefault="00DC09A0" w:rsidP="00E75CA5">
      <w:r>
        <w:separator/>
      </w:r>
    </w:p>
  </w:endnote>
  <w:endnote w:type="continuationSeparator" w:id="0">
    <w:p w14:paraId="136AFBE3" w14:textId="77777777" w:rsidR="00DC09A0" w:rsidRDefault="00DC09A0" w:rsidP="00E75CA5">
      <w:r>
        <w:continuationSeparator/>
      </w:r>
    </w:p>
  </w:endnote>
  <w:endnote w:type="continuationNotice" w:id="1">
    <w:p w14:paraId="68B5C7D3" w14:textId="77777777" w:rsidR="00DC09A0" w:rsidRDefault="00DC09A0" w:rsidP="00E75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B5E3" w14:textId="77777777" w:rsidR="00DC09A0" w:rsidRDefault="00DC09A0" w:rsidP="00E75CA5">
      <w:r>
        <w:separator/>
      </w:r>
    </w:p>
  </w:footnote>
  <w:footnote w:type="continuationSeparator" w:id="0">
    <w:p w14:paraId="13F28019" w14:textId="77777777" w:rsidR="00DC09A0" w:rsidRDefault="00DC09A0" w:rsidP="00E75CA5">
      <w:r>
        <w:continuationSeparator/>
      </w:r>
    </w:p>
  </w:footnote>
  <w:footnote w:type="continuationNotice" w:id="1">
    <w:p w14:paraId="12642FD5" w14:textId="77777777" w:rsidR="00DC09A0" w:rsidRDefault="00DC09A0" w:rsidP="00E75CA5"/>
  </w:footnote>
  <w:footnote w:id="2">
    <w:p w14:paraId="6BCCCEAD" w14:textId="3AFD3627" w:rsidR="00643BFF" w:rsidRPr="00EC2DE5" w:rsidRDefault="00643BFF" w:rsidP="00E75CA5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EC2DE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EC2DE5">
        <w:rPr>
          <w:rFonts w:asciiTheme="minorHAnsi" w:hAnsiTheme="minorHAnsi" w:cstheme="minorHAnsi"/>
          <w:sz w:val="18"/>
          <w:szCs w:val="18"/>
        </w:rPr>
        <w:t xml:space="preserve"> Percentages have been rounded to the nearest whole number</w:t>
      </w:r>
    </w:p>
  </w:footnote>
  <w:footnote w:id="3">
    <w:p w14:paraId="63FF38BB" w14:textId="77777777" w:rsidR="00364402" w:rsidRPr="00FC7B69" w:rsidRDefault="00364402" w:rsidP="00C8186F">
      <w:pPr>
        <w:pStyle w:val="FootnoteText"/>
        <w:spacing w:before="0" w:line="240" w:lineRule="auto"/>
        <w:rPr>
          <w:rStyle w:val="FootnoteReference"/>
          <w:rFonts w:cstheme="minorHAnsi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1" w:tooltip="Find wages and penalty rates for employees." w:history="1">
        <w:r w:rsidRPr="00FC7B69">
          <w:rPr>
            <w:rStyle w:val="FootnoteReference"/>
            <w:rFonts w:cstheme="minorHAnsi"/>
          </w:rPr>
          <w:t>https://calculate.fairwork.gov.au/</w:t>
        </w:r>
      </w:hyperlink>
      <w:r w:rsidRPr="00FC7B69">
        <w:rPr>
          <w:rStyle w:val="FootnoteReference"/>
          <w:rFonts w:cstheme="minorHAnsi"/>
        </w:rPr>
        <w:t xml:space="preserve"> </w:t>
      </w:r>
    </w:p>
  </w:footnote>
  <w:footnote w:id="4">
    <w:p w14:paraId="513059A4" w14:textId="77777777" w:rsidR="00364402" w:rsidRPr="00FC7B69" w:rsidRDefault="00364402" w:rsidP="00C8186F">
      <w:pPr>
        <w:pStyle w:val="FootnoteText"/>
        <w:spacing w:before="0" w:line="240" w:lineRule="auto"/>
        <w:rPr>
          <w:rStyle w:val="FootnoteReference"/>
          <w:rFonts w:cstheme="minorHAnsi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2" w:tooltip="Register an account" w:history="1">
        <w:r w:rsidRPr="00FC7B69">
          <w:rPr>
            <w:rStyle w:val="FootnoteReference"/>
            <w:rFonts w:cstheme="minorHAnsi"/>
          </w:rPr>
          <w:t>https://www.fairwork.gov.au/my-account/registerpage.aspx</w:t>
        </w:r>
      </w:hyperlink>
      <w:r w:rsidRPr="00FC7B69">
        <w:rPr>
          <w:rStyle w:val="FootnoteReference"/>
          <w:rFonts w:cstheme="minorHAnsi"/>
        </w:rPr>
        <w:t xml:space="preserve"> </w:t>
      </w:r>
    </w:p>
  </w:footnote>
  <w:footnote w:id="5">
    <w:p w14:paraId="46EBBE25" w14:textId="52D32AE2" w:rsidR="00364402" w:rsidRPr="00FC7B69" w:rsidRDefault="00364402" w:rsidP="00C8186F">
      <w:pPr>
        <w:pStyle w:val="FootnoteText"/>
        <w:spacing w:before="0" w:line="240" w:lineRule="auto"/>
        <w:rPr>
          <w:rStyle w:val="FootnoteReference"/>
          <w:rFonts w:cstheme="minorHAnsi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3" w:tooltip="Online learning centre" w:history="1">
        <w:r w:rsidRPr="00FC7B69">
          <w:rPr>
            <w:rStyle w:val="FootnoteReference"/>
            <w:rFonts w:cstheme="minorHAnsi"/>
          </w:rPr>
          <w:t>https://www.fairwork.gov.au/how-we-will-help/online-training/online-learning-centre</w:t>
        </w:r>
      </w:hyperlink>
    </w:p>
  </w:footnote>
  <w:footnote w:id="6">
    <w:p w14:paraId="5CEA7BEA" w14:textId="0A20F6DF" w:rsidR="00364402" w:rsidRDefault="00364402" w:rsidP="00C8186F">
      <w:pPr>
        <w:pStyle w:val="FootnoteText"/>
        <w:spacing w:line="240" w:lineRule="auto"/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4" w:history="1">
        <w:r w:rsidRPr="00FC7B69">
          <w:rPr>
            <w:rStyle w:val="FootnoteReference"/>
            <w:rFonts w:cstheme="minorHAnsi"/>
          </w:rPr>
          <w:t>https://www.fairwork.gov.au/how-we-will-help/templates-and-guides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18"/>
  </w:num>
  <w:num w:numId="7">
    <w:abstractNumId w:val="7"/>
  </w:num>
  <w:num w:numId="8">
    <w:abstractNumId w:val="12"/>
  </w:num>
  <w:num w:numId="9">
    <w:abstractNumId w:val="20"/>
  </w:num>
  <w:num w:numId="10">
    <w:abstractNumId w:val="19"/>
  </w:num>
  <w:num w:numId="11">
    <w:abstractNumId w:val="16"/>
  </w:num>
  <w:num w:numId="12">
    <w:abstractNumId w:val="21"/>
  </w:num>
  <w:num w:numId="13">
    <w:abstractNumId w:val="24"/>
  </w:num>
  <w:num w:numId="14">
    <w:abstractNumId w:val="0"/>
  </w:num>
  <w:num w:numId="15">
    <w:abstractNumId w:val="10"/>
  </w:num>
  <w:num w:numId="16">
    <w:abstractNumId w:val="23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25"/>
  </w:num>
  <w:num w:numId="22">
    <w:abstractNumId w:val="2"/>
  </w:num>
  <w:num w:numId="23">
    <w:abstractNumId w:val="22"/>
  </w:num>
  <w:num w:numId="24">
    <w:abstractNumId w:val="9"/>
  </w:num>
  <w:num w:numId="25">
    <w:abstractNumId w:val="6"/>
  </w:num>
  <w:num w:numId="26">
    <w:abstractNumId w:val="14"/>
  </w:num>
  <w:num w:numId="27">
    <w:abstractNumId w:val="17"/>
  </w:num>
  <w:num w:numId="28">
    <w:abstractNumId w:val="15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92"/>
    <w:rsid w:val="0000351D"/>
    <w:rsid w:val="00011400"/>
    <w:rsid w:val="00013275"/>
    <w:rsid w:val="00014C04"/>
    <w:rsid w:val="0001530E"/>
    <w:rsid w:val="000318D5"/>
    <w:rsid w:val="00033E9B"/>
    <w:rsid w:val="00053693"/>
    <w:rsid w:val="000556EB"/>
    <w:rsid w:val="000732BA"/>
    <w:rsid w:val="00073307"/>
    <w:rsid w:val="0007401F"/>
    <w:rsid w:val="00090775"/>
    <w:rsid w:val="00093049"/>
    <w:rsid w:val="000A0BB1"/>
    <w:rsid w:val="000A45F4"/>
    <w:rsid w:val="000A5FBC"/>
    <w:rsid w:val="000B2A24"/>
    <w:rsid w:val="000B7D1C"/>
    <w:rsid w:val="000C0DF8"/>
    <w:rsid w:val="000C1898"/>
    <w:rsid w:val="000C2CD2"/>
    <w:rsid w:val="000D46B8"/>
    <w:rsid w:val="000E01ED"/>
    <w:rsid w:val="000E08E8"/>
    <w:rsid w:val="000E0B1A"/>
    <w:rsid w:val="000E3C54"/>
    <w:rsid w:val="00100FA4"/>
    <w:rsid w:val="001049FB"/>
    <w:rsid w:val="00123C0F"/>
    <w:rsid w:val="0014201D"/>
    <w:rsid w:val="00166274"/>
    <w:rsid w:val="00174429"/>
    <w:rsid w:val="0018384F"/>
    <w:rsid w:val="001C47EA"/>
    <w:rsid w:val="001C7CFE"/>
    <w:rsid w:val="001D3234"/>
    <w:rsid w:val="001D3773"/>
    <w:rsid w:val="001E0C0E"/>
    <w:rsid w:val="001F69CA"/>
    <w:rsid w:val="00232CA4"/>
    <w:rsid w:val="002424D0"/>
    <w:rsid w:val="00247295"/>
    <w:rsid w:val="002666D5"/>
    <w:rsid w:val="0026797B"/>
    <w:rsid w:val="002A5A4D"/>
    <w:rsid w:val="002A65CC"/>
    <w:rsid w:val="002E0DB1"/>
    <w:rsid w:val="002E28E8"/>
    <w:rsid w:val="002E78A5"/>
    <w:rsid w:val="00331519"/>
    <w:rsid w:val="00333193"/>
    <w:rsid w:val="0035400D"/>
    <w:rsid w:val="00364402"/>
    <w:rsid w:val="00371024"/>
    <w:rsid w:val="00377962"/>
    <w:rsid w:val="003806CA"/>
    <w:rsid w:val="00387664"/>
    <w:rsid w:val="003B31C0"/>
    <w:rsid w:val="003B39E2"/>
    <w:rsid w:val="003B5656"/>
    <w:rsid w:val="003B5812"/>
    <w:rsid w:val="003C227B"/>
    <w:rsid w:val="003C36DA"/>
    <w:rsid w:val="003D2DB5"/>
    <w:rsid w:val="003D3891"/>
    <w:rsid w:val="00423288"/>
    <w:rsid w:val="00440DF5"/>
    <w:rsid w:val="00456006"/>
    <w:rsid w:val="004654FA"/>
    <w:rsid w:val="00465E7E"/>
    <w:rsid w:val="00483507"/>
    <w:rsid w:val="00486F77"/>
    <w:rsid w:val="004874D2"/>
    <w:rsid w:val="004A1A32"/>
    <w:rsid w:val="004A3817"/>
    <w:rsid w:val="004A6C35"/>
    <w:rsid w:val="004B5F95"/>
    <w:rsid w:val="004C1847"/>
    <w:rsid w:val="004D223B"/>
    <w:rsid w:val="004F0A17"/>
    <w:rsid w:val="004F2D4C"/>
    <w:rsid w:val="00520458"/>
    <w:rsid w:val="005261A5"/>
    <w:rsid w:val="00533983"/>
    <w:rsid w:val="00575D9A"/>
    <w:rsid w:val="00593BFB"/>
    <w:rsid w:val="005A0320"/>
    <w:rsid w:val="005B3BB7"/>
    <w:rsid w:val="005B4E93"/>
    <w:rsid w:val="005C6D94"/>
    <w:rsid w:val="005D5A92"/>
    <w:rsid w:val="006059E9"/>
    <w:rsid w:val="00612470"/>
    <w:rsid w:val="006139FB"/>
    <w:rsid w:val="00615B48"/>
    <w:rsid w:val="0062768F"/>
    <w:rsid w:val="00643BFF"/>
    <w:rsid w:val="00643C4B"/>
    <w:rsid w:val="00647D11"/>
    <w:rsid w:val="006532D3"/>
    <w:rsid w:val="00663623"/>
    <w:rsid w:val="0069313C"/>
    <w:rsid w:val="00694033"/>
    <w:rsid w:val="006B1080"/>
    <w:rsid w:val="006D19EE"/>
    <w:rsid w:val="006D4A6F"/>
    <w:rsid w:val="006E54F5"/>
    <w:rsid w:val="006F4DA6"/>
    <w:rsid w:val="00703886"/>
    <w:rsid w:val="0072110A"/>
    <w:rsid w:val="00727206"/>
    <w:rsid w:val="00732D91"/>
    <w:rsid w:val="007371EB"/>
    <w:rsid w:val="007479AD"/>
    <w:rsid w:val="00750DF7"/>
    <w:rsid w:val="00752E5E"/>
    <w:rsid w:val="00753483"/>
    <w:rsid w:val="00763A33"/>
    <w:rsid w:val="00771067"/>
    <w:rsid w:val="007729B7"/>
    <w:rsid w:val="0078213A"/>
    <w:rsid w:val="00786E3C"/>
    <w:rsid w:val="007900FB"/>
    <w:rsid w:val="00791AB0"/>
    <w:rsid w:val="007A0B86"/>
    <w:rsid w:val="007A6811"/>
    <w:rsid w:val="007A6D98"/>
    <w:rsid w:val="007B043E"/>
    <w:rsid w:val="007B5C9B"/>
    <w:rsid w:val="007B6AC8"/>
    <w:rsid w:val="007C01BA"/>
    <w:rsid w:val="007C2DA0"/>
    <w:rsid w:val="007C507C"/>
    <w:rsid w:val="007D19A1"/>
    <w:rsid w:val="007E5FAD"/>
    <w:rsid w:val="00803A9A"/>
    <w:rsid w:val="00810E0C"/>
    <w:rsid w:val="008114FB"/>
    <w:rsid w:val="00822E60"/>
    <w:rsid w:val="008258AC"/>
    <w:rsid w:val="0083679C"/>
    <w:rsid w:val="00840520"/>
    <w:rsid w:val="00856542"/>
    <w:rsid w:val="008A1058"/>
    <w:rsid w:val="008A2053"/>
    <w:rsid w:val="009060B0"/>
    <w:rsid w:val="00906409"/>
    <w:rsid w:val="0091192A"/>
    <w:rsid w:val="009147FE"/>
    <w:rsid w:val="00932C9C"/>
    <w:rsid w:val="009470A4"/>
    <w:rsid w:val="00947290"/>
    <w:rsid w:val="00961045"/>
    <w:rsid w:val="009830B4"/>
    <w:rsid w:val="00993703"/>
    <w:rsid w:val="009946F6"/>
    <w:rsid w:val="00995EBE"/>
    <w:rsid w:val="00997DD8"/>
    <w:rsid w:val="009A294E"/>
    <w:rsid w:val="009C0C7F"/>
    <w:rsid w:val="009C61A2"/>
    <w:rsid w:val="009E2EF8"/>
    <w:rsid w:val="009E3A02"/>
    <w:rsid w:val="009E5D7B"/>
    <w:rsid w:val="009E5DC3"/>
    <w:rsid w:val="009F4608"/>
    <w:rsid w:val="00A04703"/>
    <w:rsid w:val="00A1044D"/>
    <w:rsid w:val="00A2104B"/>
    <w:rsid w:val="00A25A80"/>
    <w:rsid w:val="00A267BA"/>
    <w:rsid w:val="00A31966"/>
    <w:rsid w:val="00A41C93"/>
    <w:rsid w:val="00A84034"/>
    <w:rsid w:val="00A841DA"/>
    <w:rsid w:val="00A97F48"/>
    <w:rsid w:val="00AA01C3"/>
    <w:rsid w:val="00AA0244"/>
    <w:rsid w:val="00AA1953"/>
    <w:rsid w:val="00AA308C"/>
    <w:rsid w:val="00AB465A"/>
    <w:rsid w:val="00AB5511"/>
    <w:rsid w:val="00AD4CF6"/>
    <w:rsid w:val="00AE4954"/>
    <w:rsid w:val="00AF0EAF"/>
    <w:rsid w:val="00AF2331"/>
    <w:rsid w:val="00AF74D9"/>
    <w:rsid w:val="00B02B68"/>
    <w:rsid w:val="00B03B2B"/>
    <w:rsid w:val="00B270B1"/>
    <w:rsid w:val="00B43CC3"/>
    <w:rsid w:val="00B474FA"/>
    <w:rsid w:val="00B478AD"/>
    <w:rsid w:val="00B50641"/>
    <w:rsid w:val="00B56C5A"/>
    <w:rsid w:val="00B640EC"/>
    <w:rsid w:val="00B657E5"/>
    <w:rsid w:val="00B746E5"/>
    <w:rsid w:val="00B775C1"/>
    <w:rsid w:val="00B8128F"/>
    <w:rsid w:val="00B91121"/>
    <w:rsid w:val="00B9677B"/>
    <w:rsid w:val="00BA5269"/>
    <w:rsid w:val="00BA59D7"/>
    <w:rsid w:val="00BA68A3"/>
    <w:rsid w:val="00BB53D7"/>
    <w:rsid w:val="00BB613F"/>
    <w:rsid w:val="00BC0303"/>
    <w:rsid w:val="00BF66C0"/>
    <w:rsid w:val="00C079AD"/>
    <w:rsid w:val="00C208A3"/>
    <w:rsid w:val="00C30565"/>
    <w:rsid w:val="00C346A5"/>
    <w:rsid w:val="00C64364"/>
    <w:rsid w:val="00C72594"/>
    <w:rsid w:val="00C8186F"/>
    <w:rsid w:val="00C93B8D"/>
    <w:rsid w:val="00C94F81"/>
    <w:rsid w:val="00C967FD"/>
    <w:rsid w:val="00C9798E"/>
    <w:rsid w:val="00C97D9F"/>
    <w:rsid w:val="00CA3551"/>
    <w:rsid w:val="00CA39F1"/>
    <w:rsid w:val="00CC153A"/>
    <w:rsid w:val="00CD049C"/>
    <w:rsid w:val="00CE6055"/>
    <w:rsid w:val="00CE6883"/>
    <w:rsid w:val="00CE72FC"/>
    <w:rsid w:val="00CE7A1A"/>
    <w:rsid w:val="00CE7CD4"/>
    <w:rsid w:val="00CF5AFE"/>
    <w:rsid w:val="00D1126F"/>
    <w:rsid w:val="00D11BC7"/>
    <w:rsid w:val="00D171E3"/>
    <w:rsid w:val="00D17674"/>
    <w:rsid w:val="00D20453"/>
    <w:rsid w:val="00D2094E"/>
    <w:rsid w:val="00D316FC"/>
    <w:rsid w:val="00D360AC"/>
    <w:rsid w:val="00D5523B"/>
    <w:rsid w:val="00D55ED6"/>
    <w:rsid w:val="00D803E6"/>
    <w:rsid w:val="00D94DBF"/>
    <w:rsid w:val="00D95B26"/>
    <w:rsid w:val="00D960E2"/>
    <w:rsid w:val="00DA1AD1"/>
    <w:rsid w:val="00DA7095"/>
    <w:rsid w:val="00DB083C"/>
    <w:rsid w:val="00DC09A0"/>
    <w:rsid w:val="00E07270"/>
    <w:rsid w:val="00E13A01"/>
    <w:rsid w:val="00E23115"/>
    <w:rsid w:val="00E31A99"/>
    <w:rsid w:val="00E3299B"/>
    <w:rsid w:val="00E47482"/>
    <w:rsid w:val="00E52830"/>
    <w:rsid w:val="00E62AC7"/>
    <w:rsid w:val="00E65A3D"/>
    <w:rsid w:val="00E70539"/>
    <w:rsid w:val="00E75CA5"/>
    <w:rsid w:val="00E80136"/>
    <w:rsid w:val="00E83691"/>
    <w:rsid w:val="00E948A7"/>
    <w:rsid w:val="00EA6B05"/>
    <w:rsid w:val="00EB6998"/>
    <w:rsid w:val="00EC2DE5"/>
    <w:rsid w:val="00EC654D"/>
    <w:rsid w:val="00EE58D0"/>
    <w:rsid w:val="00EE6873"/>
    <w:rsid w:val="00EE6F1A"/>
    <w:rsid w:val="00EF0D4B"/>
    <w:rsid w:val="00F17515"/>
    <w:rsid w:val="00F210A5"/>
    <w:rsid w:val="00F2468C"/>
    <w:rsid w:val="00F25090"/>
    <w:rsid w:val="00F53BF8"/>
    <w:rsid w:val="00F63E75"/>
    <w:rsid w:val="00F71CE1"/>
    <w:rsid w:val="00F8077E"/>
    <w:rsid w:val="00F83193"/>
    <w:rsid w:val="00F87CD3"/>
    <w:rsid w:val="00F941BF"/>
    <w:rsid w:val="00F94C5E"/>
    <w:rsid w:val="00FB30A9"/>
    <w:rsid w:val="00FB711F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CF6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aragraph"/>
    <w:qFormat/>
    <w:rsid w:val="00E75CA5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3307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48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73307"/>
    <w:rPr>
      <w:rFonts w:ascii="Calibri Light" w:hAnsi="Calibri Light" w:cs="Arial"/>
      <w:color w:val="1B365D"/>
      <w:sz w:val="4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how-we-will-help/online-training/online-learning-centre" TargetMode="External"/><Relationship Id="rId2" Type="http://schemas.openxmlformats.org/officeDocument/2006/relationships/hyperlink" Target="https://www.fairwork.gov.au/my-account/registerpage.aspx" TargetMode="External"/><Relationship Id="rId1" Type="http://schemas.openxmlformats.org/officeDocument/2006/relationships/hyperlink" Target="https://calculate.fairwork.gov.au/" TargetMode="External"/><Relationship Id="rId4" Type="http://schemas.openxmlformats.org/officeDocument/2006/relationships/hyperlink" Target="https://www.fairwork.gov.au/how-we-will-help/templates-and-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Food and Retail Revisit</vt:lpstr>
    </vt:vector>
  </TitlesOfParts>
  <Manager/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Food and Retail Revisit</dc:title>
  <dc:subject>National Food and Retail Revisit</dc:subject>
  <dc:creator/>
  <cp:keywords/>
  <cp:lastModifiedBy/>
  <cp:revision>1</cp:revision>
  <dcterms:created xsi:type="dcterms:W3CDTF">2020-09-09T00:14:00Z</dcterms:created>
  <dcterms:modified xsi:type="dcterms:W3CDTF">2020-09-09T00:15:00Z</dcterms:modified>
  <cp:category>Food, retail</cp:category>
</cp:coreProperties>
</file>