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1958B" w14:textId="77777777" w:rsidR="006059E9" w:rsidRDefault="006059E9" w:rsidP="002A65CC">
      <w:pPr>
        <w:rPr>
          <w:noProof/>
          <w:lang w:eastAsia="en-AU"/>
        </w:rPr>
      </w:pPr>
    </w:p>
    <w:p w14:paraId="7D22C956" w14:textId="77777777" w:rsidR="00AF74D9" w:rsidRPr="009C4EEF" w:rsidRDefault="00040980" w:rsidP="00FD7C4E">
      <w:pPr>
        <w:pStyle w:val="Heading1"/>
      </w:pPr>
      <w:r>
        <w:t>Korean Fast Food, Restaurants &amp; Cafes</w:t>
      </w:r>
      <w:r w:rsidR="00EA200F">
        <w:t xml:space="preserve"> </w:t>
      </w:r>
    </w:p>
    <w:p w14:paraId="3A92F243" w14:textId="77777777" w:rsidR="00AF74D9" w:rsidRDefault="00222C9B" w:rsidP="00AF74D9">
      <w:pPr>
        <w:pStyle w:val="Heading2"/>
      </w:pPr>
      <w:r>
        <w:t xml:space="preserve">Proactive Investigation </w:t>
      </w:r>
    </w:p>
    <w:p w14:paraId="3264BE4C" w14:textId="77777777" w:rsidR="00EA1219" w:rsidRDefault="00EA1219" w:rsidP="00040980">
      <w:r>
        <w:t xml:space="preserve">Between </w:t>
      </w:r>
      <w:r w:rsidRPr="00FA59D5">
        <w:t xml:space="preserve">August 2019 </w:t>
      </w:r>
      <w:r>
        <w:t xml:space="preserve">and December </w:t>
      </w:r>
      <w:r w:rsidRPr="00FA59D5">
        <w:t>2019</w:t>
      </w:r>
      <w:r>
        <w:t>, the Fair Work Ombudsman investigated 5</w:t>
      </w:r>
      <w:r w:rsidR="00B47D7B">
        <w:t>1</w:t>
      </w:r>
      <w:r>
        <w:t xml:space="preserve"> Fast Food, Restaurant &amp; Café (FRAC) businesses employing Korean workers across Australia.</w:t>
      </w:r>
    </w:p>
    <w:p w14:paraId="5DE527CC" w14:textId="77777777" w:rsidR="002C3E3B" w:rsidRDefault="00EA1219" w:rsidP="00040980">
      <w:r>
        <w:t>Th</w:t>
      </w:r>
      <w:r w:rsidR="009E6D5C">
        <w:t xml:space="preserve">e aim of this activity was to build upon </w:t>
      </w:r>
      <w:r>
        <w:t xml:space="preserve">previous investigations </w:t>
      </w:r>
      <w:r w:rsidR="009E6D5C">
        <w:t xml:space="preserve">disclosing </w:t>
      </w:r>
      <w:r>
        <w:t xml:space="preserve">high non-compliance </w:t>
      </w:r>
      <w:r w:rsidR="009E6D5C">
        <w:t xml:space="preserve">impacting </w:t>
      </w:r>
      <w:r w:rsidRPr="00871417">
        <w:t>vulnerable</w:t>
      </w:r>
      <w:r w:rsidR="00FC326C">
        <w:t xml:space="preserve"> (young, student</w:t>
      </w:r>
      <w:r w:rsidR="002C3E3B">
        <w:t xml:space="preserve">) workers </w:t>
      </w:r>
      <w:r>
        <w:t xml:space="preserve">from Korea. </w:t>
      </w:r>
    </w:p>
    <w:p w14:paraId="3B34B42C" w14:textId="77777777" w:rsidR="00040980" w:rsidRPr="00FC0EA3" w:rsidRDefault="002C3E3B" w:rsidP="00040980">
      <w:r>
        <w:t>The activit</w:t>
      </w:r>
      <w:r w:rsidR="00B23842">
        <w:t>y</w:t>
      </w:r>
      <w:r>
        <w:t xml:space="preserve"> incorporated </w:t>
      </w:r>
      <w:r w:rsidR="00EA1219">
        <w:t xml:space="preserve">intelligence </w:t>
      </w:r>
      <w:r>
        <w:t xml:space="preserve">the FWO had received </w:t>
      </w:r>
      <w:r w:rsidR="00667267">
        <w:t>alleging</w:t>
      </w:r>
      <w:r w:rsidR="008F4D6D">
        <w:t xml:space="preserve"> exploitation of Korean workers</w:t>
      </w:r>
      <w:r w:rsidR="00667267">
        <w:t xml:space="preserve"> by employers</w:t>
      </w:r>
      <w:r w:rsidR="001441D1">
        <w:t xml:space="preserve"> </w:t>
      </w:r>
      <w:r w:rsidR="009E0DC5">
        <w:t xml:space="preserve">not issuing pay slips </w:t>
      </w:r>
      <w:r w:rsidR="008C2361">
        <w:t xml:space="preserve">to conceal the low rates of </w:t>
      </w:r>
      <w:r w:rsidR="001441D1">
        <w:t>pay</w:t>
      </w:r>
      <w:r w:rsidR="00040980" w:rsidRPr="00FC0EA3">
        <w:t>.</w:t>
      </w:r>
    </w:p>
    <w:p w14:paraId="6FF0C782" w14:textId="77777777" w:rsidR="00B443B8" w:rsidRPr="00391391" w:rsidRDefault="008C2361" w:rsidP="00B443B8">
      <w:pPr>
        <w:jc w:val="both"/>
        <w:rPr>
          <w:rFonts w:ascii="Verdana" w:hAnsi="Verdana"/>
          <w:sz w:val="19"/>
          <w:szCs w:val="19"/>
        </w:rPr>
      </w:pPr>
      <w:r>
        <w:t xml:space="preserve">The proactive investigation involved </w:t>
      </w:r>
      <w:r w:rsidR="00D465AE" w:rsidRPr="00783A7C">
        <w:t xml:space="preserve">Fair Work Inspectors </w:t>
      </w:r>
      <w:r w:rsidR="00B443B8" w:rsidRPr="00391391">
        <w:rPr>
          <w:rFonts w:ascii="Verdana" w:hAnsi="Verdana"/>
          <w:sz w:val="19"/>
          <w:szCs w:val="19"/>
        </w:rPr>
        <w:t>interview</w:t>
      </w:r>
      <w:r w:rsidR="00B443B8">
        <w:rPr>
          <w:rFonts w:ascii="Verdana" w:hAnsi="Verdana"/>
          <w:sz w:val="19"/>
          <w:szCs w:val="19"/>
        </w:rPr>
        <w:t>ing</w:t>
      </w:r>
      <w:r w:rsidR="00B443B8" w:rsidRPr="00391391">
        <w:rPr>
          <w:rFonts w:ascii="Verdana" w:hAnsi="Verdana"/>
          <w:sz w:val="19"/>
          <w:szCs w:val="19"/>
        </w:rPr>
        <w:t xml:space="preserve"> employees, managers and storeowners </w:t>
      </w:r>
      <w:r w:rsidR="00B443B8">
        <w:rPr>
          <w:rFonts w:ascii="Verdana" w:hAnsi="Verdana"/>
          <w:sz w:val="19"/>
          <w:szCs w:val="19"/>
        </w:rPr>
        <w:t xml:space="preserve">during site visits </w:t>
      </w:r>
      <w:r w:rsidR="00B443B8" w:rsidRPr="00391391">
        <w:rPr>
          <w:rFonts w:ascii="Verdana" w:hAnsi="Verdana"/>
          <w:sz w:val="19"/>
          <w:szCs w:val="19"/>
        </w:rPr>
        <w:t>and check</w:t>
      </w:r>
      <w:r w:rsidR="00B443B8">
        <w:rPr>
          <w:rFonts w:ascii="Verdana" w:hAnsi="Verdana"/>
          <w:sz w:val="19"/>
          <w:szCs w:val="19"/>
        </w:rPr>
        <w:t>ing</w:t>
      </w:r>
      <w:r w:rsidR="00B443B8" w:rsidRPr="00391391">
        <w:rPr>
          <w:rFonts w:ascii="Verdana" w:hAnsi="Verdana"/>
          <w:sz w:val="19"/>
          <w:szCs w:val="19"/>
        </w:rPr>
        <w:t xml:space="preserve"> employment records and pay</w:t>
      </w:r>
      <w:r w:rsidR="00B443B8">
        <w:rPr>
          <w:rFonts w:ascii="Verdana" w:hAnsi="Verdana"/>
          <w:sz w:val="19"/>
          <w:szCs w:val="19"/>
        </w:rPr>
        <w:t xml:space="preserve"> </w:t>
      </w:r>
      <w:r w:rsidR="00B443B8" w:rsidRPr="00391391">
        <w:rPr>
          <w:rFonts w:ascii="Verdana" w:hAnsi="Verdana"/>
          <w:sz w:val="19"/>
          <w:szCs w:val="19"/>
        </w:rPr>
        <w:t>slips.</w:t>
      </w:r>
      <w:r w:rsidR="00B443B8">
        <w:rPr>
          <w:rFonts w:ascii="Verdana" w:hAnsi="Verdana"/>
          <w:sz w:val="19"/>
          <w:szCs w:val="19"/>
        </w:rPr>
        <w:t xml:space="preserve">  </w:t>
      </w:r>
      <w:r w:rsidR="003F228F">
        <w:rPr>
          <w:rFonts w:ascii="Verdana" w:hAnsi="Verdana"/>
          <w:sz w:val="19"/>
          <w:szCs w:val="19"/>
        </w:rPr>
        <w:t xml:space="preserve">To determine compliance, Inspectors </w:t>
      </w:r>
      <w:r w:rsidR="00D465AE" w:rsidRPr="00783A7C">
        <w:t>assess</w:t>
      </w:r>
      <w:r w:rsidR="003F228F">
        <w:t>ed</w:t>
      </w:r>
      <w:r w:rsidR="00D465AE" w:rsidRPr="00783A7C">
        <w:t xml:space="preserve"> records against the </w:t>
      </w:r>
      <w:r w:rsidR="00D465AE" w:rsidRPr="00783A7C">
        <w:rPr>
          <w:i/>
        </w:rPr>
        <w:t>Fair Work Act 2009</w:t>
      </w:r>
      <w:r w:rsidR="001529A2">
        <w:t>,</w:t>
      </w:r>
      <w:r w:rsidR="00725F4E">
        <w:t xml:space="preserve"> </w:t>
      </w:r>
      <w:r w:rsidR="00D465AE" w:rsidRPr="00783A7C">
        <w:t xml:space="preserve">the </w:t>
      </w:r>
      <w:r w:rsidR="00D465AE" w:rsidRPr="00783A7C">
        <w:rPr>
          <w:i/>
        </w:rPr>
        <w:t>Fair Work Regulations 2009</w:t>
      </w:r>
      <w:r w:rsidR="001529A2">
        <w:t>,</w:t>
      </w:r>
      <w:r w:rsidR="00725F4E">
        <w:t xml:space="preserve"> </w:t>
      </w:r>
      <w:r w:rsidR="00D465AE" w:rsidRPr="00783A7C">
        <w:t xml:space="preserve">awards (e.g. </w:t>
      </w:r>
      <w:r w:rsidR="00D465AE" w:rsidRPr="00563BE0">
        <w:rPr>
          <w:i/>
        </w:rPr>
        <w:t>Fast Food Industry Award 2010</w:t>
      </w:r>
      <w:r w:rsidR="00D465AE">
        <w:t xml:space="preserve"> and </w:t>
      </w:r>
      <w:r w:rsidR="00D465AE" w:rsidRPr="00563BE0">
        <w:rPr>
          <w:i/>
        </w:rPr>
        <w:t>Restaurant Industry Award 2010</w:t>
      </w:r>
      <w:r w:rsidR="00D465AE">
        <w:rPr>
          <w:i/>
        </w:rPr>
        <w:t>)</w:t>
      </w:r>
      <w:r w:rsidR="00D465AE" w:rsidRPr="00563BE0">
        <w:rPr>
          <w:i/>
        </w:rPr>
        <w:t xml:space="preserve"> </w:t>
      </w:r>
      <w:r w:rsidR="00EE0F17">
        <w:t>and enterprise agreements.</w:t>
      </w:r>
      <w:r w:rsidR="00B443B8" w:rsidRPr="00B443B8">
        <w:rPr>
          <w:rFonts w:ascii="Verdana" w:hAnsi="Verdana"/>
          <w:sz w:val="19"/>
          <w:szCs w:val="19"/>
        </w:rPr>
        <w:t xml:space="preserve"> </w:t>
      </w:r>
    </w:p>
    <w:p w14:paraId="0322CA08" w14:textId="77777777" w:rsidR="00F94C5E" w:rsidRDefault="00D57325" w:rsidP="00F94C5E">
      <w:pPr>
        <w:pStyle w:val="Heading2"/>
      </w:pPr>
      <w:r>
        <w:t>F</w:t>
      </w:r>
      <w:r w:rsidR="00F94C5E">
        <w:t>indings</w:t>
      </w:r>
    </w:p>
    <w:p w14:paraId="68AD357F" w14:textId="77777777" w:rsidR="000316C6" w:rsidRDefault="00CE39BE" w:rsidP="00EA1219">
      <w:pPr>
        <w:rPr>
          <w:szCs w:val="22"/>
        </w:rPr>
      </w:pPr>
      <w:r>
        <w:rPr>
          <w:szCs w:val="22"/>
        </w:rPr>
        <w:t>3</w:t>
      </w:r>
      <w:r w:rsidR="00B47D7B">
        <w:rPr>
          <w:szCs w:val="22"/>
        </w:rPr>
        <w:t>6</w:t>
      </w:r>
      <w:r w:rsidR="000316C6">
        <w:rPr>
          <w:szCs w:val="22"/>
        </w:rPr>
        <w:t xml:space="preserve"> businesses (7</w:t>
      </w:r>
      <w:r w:rsidR="00B47D7B">
        <w:rPr>
          <w:szCs w:val="22"/>
        </w:rPr>
        <w:t>1</w:t>
      </w:r>
      <w:r w:rsidR="000316C6">
        <w:rPr>
          <w:szCs w:val="22"/>
        </w:rPr>
        <w:t>%) were non-compliant with workplace laws</w:t>
      </w:r>
      <w:r w:rsidR="00D470AE">
        <w:rPr>
          <w:szCs w:val="22"/>
        </w:rPr>
        <w:t>:</w:t>
      </w:r>
    </w:p>
    <w:p w14:paraId="57EA49DD" w14:textId="77777777" w:rsidR="00D465AE" w:rsidRPr="00736E56" w:rsidRDefault="00D97B85" w:rsidP="00DF5EDB">
      <w:pPr>
        <w:pStyle w:val="Bullet"/>
      </w:pPr>
      <w:r w:rsidRPr="00736E56">
        <w:t>9 (</w:t>
      </w:r>
      <w:r w:rsidR="00736E56" w:rsidRPr="00736E56">
        <w:t>2</w:t>
      </w:r>
      <w:r w:rsidR="00B47D7B">
        <w:t>5</w:t>
      </w:r>
      <w:r w:rsidR="00D465AE" w:rsidRPr="00736E56">
        <w:t>%</w:t>
      </w:r>
      <w:r w:rsidR="00736E56" w:rsidRPr="00736E56">
        <w:t>)</w:t>
      </w:r>
      <w:r w:rsidR="00D465AE" w:rsidRPr="00736E56">
        <w:t xml:space="preserve"> were not paying staff correctly</w:t>
      </w:r>
    </w:p>
    <w:p w14:paraId="52209660" w14:textId="77777777" w:rsidR="00D465AE" w:rsidRPr="00736E56" w:rsidRDefault="00D97B85" w:rsidP="00DF5EDB">
      <w:pPr>
        <w:pStyle w:val="Bullet"/>
      </w:pPr>
      <w:r w:rsidRPr="00736E56">
        <w:t>1</w:t>
      </w:r>
      <w:r w:rsidR="00EF66E1">
        <w:t>4</w:t>
      </w:r>
      <w:r w:rsidR="00736E56" w:rsidRPr="00736E56">
        <w:t xml:space="preserve"> (3</w:t>
      </w:r>
      <w:r w:rsidR="00EF66E1">
        <w:t>9</w:t>
      </w:r>
      <w:r w:rsidR="00736E56" w:rsidRPr="00736E56">
        <w:t xml:space="preserve">%) </w:t>
      </w:r>
      <w:r w:rsidR="00D465AE" w:rsidRPr="00736E56">
        <w:t>were not meeting pay slip and/or record-keeping requirements</w:t>
      </w:r>
    </w:p>
    <w:p w14:paraId="4735BAB7" w14:textId="77777777" w:rsidR="00D465AE" w:rsidRPr="00736E56" w:rsidRDefault="00D97B85" w:rsidP="00DF5EDB">
      <w:pPr>
        <w:pStyle w:val="Bullet"/>
      </w:pPr>
      <w:r w:rsidRPr="00736E56">
        <w:t>13</w:t>
      </w:r>
      <w:r w:rsidR="00736E56" w:rsidRPr="00736E56">
        <w:t xml:space="preserve"> (3</w:t>
      </w:r>
      <w:r w:rsidR="00B47D7B">
        <w:t>6</w:t>
      </w:r>
      <w:r w:rsidR="00736E56" w:rsidRPr="00736E56">
        <w:t>%)</w:t>
      </w:r>
      <w:r w:rsidR="00D465AE" w:rsidRPr="00736E56">
        <w:t xml:space="preserve"> breached both their monetary and non-monetary obligations.</w:t>
      </w:r>
      <w:r w:rsidR="00EF66E1">
        <w:t xml:space="preserve"> </w:t>
      </w:r>
    </w:p>
    <w:p w14:paraId="7348D026" w14:textId="77777777" w:rsidR="00EA1219" w:rsidRDefault="000316C6" w:rsidP="00EA1219">
      <w:pPr>
        <w:rPr>
          <w:szCs w:val="22"/>
        </w:rPr>
      </w:pPr>
      <w:r>
        <w:rPr>
          <w:szCs w:val="22"/>
        </w:rPr>
        <w:t>The most common breaches related to:</w:t>
      </w:r>
    </w:p>
    <w:p w14:paraId="4B66418F" w14:textId="77777777" w:rsidR="00CE39BE" w:rsidRPr="004A060D" w:rsidRDefault="00CE39BE" w:rsidP="00DF5EDB">
      <w:pPr>
        <w:pStyle w:val="Bullet"/>
      </w:pPr>
      <w:r w:rsidRPr="004A060D">
        <w:t xml:space="preserve">weekend </w:t>
      </w:r>
      <w:r>
        <w:t xml:space="preserve">and </w:t>
      </w:r>
      <w:r w:rsidRPr="004A060D">
        <w:t>public holiday penalty rates</w:t>
      </w:r>
      <w:r>
        <w:t xml:space="preserve"> (26%)</w:t>
      </w:r>
    </w:p>
    <w:p w14:paraId="2CEDD940" w14:textId="77777777" w:rsidR="00CE39BE" w:rsidRDefault="00CE39BE" w:rsidP="00DF5EDB">
      <w:pPr>
        <w:pStyle w:val="Bullet"/>
      </w:pPr>
      <w:r w:rsidRPr="004A060D">
        <w:t>pay slips</w:t>
      </w:r>
      <w:r>
        <w:t xml:space="preserve"> (22%)</w:t>
      </w:r>
      <w:bookmarkStart w:id="0" w:name="_GoBack"/>
      <w:bookmarkEnd w:id="0"/>
    </w:p>
    <w:p w14:paraId="3BB43EF9" w14:textId="77777777" w:rsidR="00EA1219" w:rsidRPr="004A060D" w:rsidRDefault="00CE39BE" w:rsidP="00DF5EDB">
      <w:pPr>
        <w:pStyle w:val="Bullet"/>
      </w:pPr>
      <w:r>
        <w:t xml:space="preserve">minimum </w:t>
      </w:r>
      <w:r w:rsidR="00EA1219" w:rsidRPr="004A060D">
        <w:t>hourly rates</w:t>
      </w:r>
      <w:r>
        <w:t xml:space="preserve"> of pay (17%)</w:t>
      </w:r>
    </w:p>
    <w:p w14:paraId="0CE09E51" w14:textId="77777777" w:rsidR="00EA1219" w:rsidRPr="004A060D" w:rsidRDefault="00CE39BE" w:rsidP="00DF5EDB">
      <w:pPr>
        <w:pStyle w:val="Bullet"/>
      </w:pPr>
      <w:r w:rsidRPr="00DF5EDB">
        <w:t>entitlements</w:t>
      </w:r>
      <w:r w:rsidR="00DF5EDB">
        <w:t xml:space="preserve"> e.g. </w:t>
      </w:r>
      <w:proofErr w:type="gramStart"/>
      <w:r w:rsidR="00DF5EDB">
        <w:t>breaks</w:t>
      </w:r>
      <w:proofErr w:type="gramEnd"/>
      <w:r w:rsidR="00DF5EDB">
        <w:t>, rostering, superannuation</w:t>
      </w:r>
      <w:r>
        <w:t xml:space="preserve"> (13%</w:t>
      </w:r>
      <w:r w:rsidR="00D465AE">
        <w:t>)</w:t>
      </w:r>
    </w:p>
    <w:p w14:paraId="20264452" w14:textId="77777777" w:rsidR="00EA1219" w:rsidRPr="004A060D" w:rsidRDefault="00EA1219" w:rsidP="00DF5EDB">
      <w:pPr>
        <w:pStyle w:val="Bullet"/>
      </w:pPr>
      <w:r w:rsidRPr="004A060D">
        <w:t>record</w:t>
      </w:r>
      <w:r w:rsidR="00CE39BE">
        <w:t>-keeping (13%)</w:t>
      </w:r>
      <w:r>
        <w:t>.</w:t>
      </w:r>
    </w:p>
    <w:p w14:paraId="7717CEC9" w14:textId="77777777" w:rsidR="00EA1219" w:rsidRDefault="004A640F" w:rsidP="00EA1219">
      <w:pPr>
        <w:rPr>
          <w:szCs w:val="22"/>
        </w:rPr>
      </w:pPr>
      <w:r>
        <w:rPr>
          <w:szCs w:val="22"/>
        </w:rPr>
        <w:t>A s</w:t>
      </w:r>
      <w:r w:rsidR="00EA1219" w:rsidRPr="000C4757">
        <w:rPr>
          <w:szCs w:val="22"/>
        </w:rPr>
        <w:t xml:space="preserve">ignificant number of employees affected were </w:t>
      </w:r>
      <w:r w:rsidR="000316C6">
        <w:rPr>
          <w:szCs w:val="22"/>
        </w:rPr>
        <w:t>student visa holders.</w:t>
      </w:r>
    </w:p>
    <w:p w14:paraId="6764DC6B" w14:textId="77777777" w:rsidR="00F94C5E" w:rsidRDefault="00A31966" w:rsidP="006059E9">
      <w:pPr>
        <w:pStyle w:val="Heading2"/>
      </w:pPr>
      <w:r>
        <w:t>Action taken and next steps</w:t>
      </w:r>
    </w:p>
    <w:p w14:paraId="2368E830" w14:textId="77777777" w:rsidR="00EA1219" w:rsidRPr="001F3EBC" w:rsidRDefault="00146C4A" w:rsidP="00EA1219">
      <w:pPr>
        <w:rPr>
          <w:szCs w:val="22"/>
        </w:rPr>
      </w:pPr>
      <w:r>
        <w:rPr>
          <w:szCs w:val="22"/>
        </w:rPr>
        <w:t xml:space="preserve">The FWO </w:t>
      </w:r>
      <w:r w:rsidR="00EE0F17">
        <w:rPr>
          <w:szCs w:val="22"/>
        </w:rPr>
        <w:t xml:space="preserve">recovered </w:t>
      </w:r>
      <w:r w:rsidR="00D97B85">
        <w:rPr>
          <w:szCs w:val="22"/>
        </w:rPr>
        <w:t>$161,551</w:t>
      </w:r>
      <w:r w:rsidR="00EA1219" w:rsidRPr="00EE0F17">
        <w:rPr>
          <w:szCs w:val="22"/>
        </w:rPr>
        <w:t xml:space="preserve"> </w:t>
      </w:r>
      <w:r w:rsidR="00EE0F17">
        <w:rPr>
          <w:szCs w:val="22"/>
        </w:rPr>
        <w:t xml:space="preserve">from </w:t>
      </w:r>
      <w:r w:rsidR="00D97B85">
        <w:rPr>
          <w:szCs w:val="22"/>
        </w:rPr>
        <w:t>22</w:t>
      </w:r>
      <w:r w:rsidR="00EE0F17">
        <w:rPr>
          <w:szCs w:val="22"/>
        </w:rPr>
        <w:t xml:space="preserve"> businesses </w:t>
      </w:r>
      <w:r w:rsidR="00EA1219" w:rsidRPr="00EE0F17">
        <w:rPr>
          <w:szCs w:val="22"/>
        </w:rPr>
        <w:t>for 284 employees</w:t>
      </w:r>
      <w:r w:rsidR="00EE0F17">
        <w:rPr>
          <w:szCs w:val="22"/>
        </w:rPr>
        <w:t>.</w:t>
      </w:r>
    </w:p>
    <w:p w14:paraId="0AA041D2" w14:textId="77777777" w:rsidR="00EE0F17" w:rsidRDefault="00EE0F17" w:rsidP="00EA1219">
      <w:pPr>
        <w:rPr>
          <w:szCs w:val="22"/>
        </w:rPr>
      </w:pPr>
      <w:r>
        <w:rPr>
          <w:szCs w:val="22"/>
        </w:rPr>
        <w:lastRenderedPageBreak/>
        <w:t>Fair Work Inspectors issued:</w:t>
      </w:r>
    </w:p>
    <w:p w14:paraId="4109DA99" w14:textId="77777777" w:rsidR="00EE0F17" w:rsidRDefault="00EE0F17" w:rsidP="00B23842">
      <w:pPr>
        <w:pStyle w:val="Bullet"/>
        <w:numPr>
          <w:ilvl w:val="0"/>
          <w:numId w:val="32"/>
        </w:numPr>
      </w:pPr>
      <w:r>
        <w:t>2 formal cautions</w:t>
      </w:r>
    </w:p>
    <w:p w14:paraId="3213FA19" w14:textId="77777777" w:rsidR="00EE0F17" w:rsidRPr="00EE0F17" w:rsidRDefault="00EA1219" w:rsidP="00B23842">
      <w:pPr>
        <w:pStyle w:val="Bullet"/>
        <w:numPr>
          <w:ilvl w:val="0"/>
          <w:numId w:val="32"/>
        </w:numPr>
      </w:pPr>
      <w:r>
        <w:t>34</w:t>
      </w:r>
      <w:r w:rsidRPr="001F3EBC">
        <w:t xml:space="preserve"> </w:t>
      </w:r>
      <w:r w:rsidR="00EE0F17">
        <w:t>i</w:t>
      </w:r>
      <w:r w:rsidRPr="001F3EBC">
        <w:t xml:space="preserve">nfringement </w:t>
      </w:r>
      <w:r w:rsidR="00EE0F17">
        <w:t>n</w:t>
      </w:r>
      <w:r w:rsidRPr="001F3EBC">
        <w:t>otices</w:t>
      </w:r>
      <w:r>
        <w:t xml:space="preserve"> </w:t>
      </w:r>
      <w:r w:rsidR="00EE0F17" w:rsidRPr="00EE0F17">
        <w:t xml:space="preserve">totalling </w:t>
      </w:r>
      <w:r w:rsidR="00EE0F17" w:rsidRPr="00736E56">
        <w:t>$</w:t>
      </w:r>
      <w:r w:rsidR="00D97B85" w:rsidRPr="00736E56">
        <w:t>39,480</w:t>
      </w:r>
      <w:r w:rsidR="00EE0F17">
        <w:t xml:space="preserve"> </w:t>
      </w:r>
      <w:r w:rsidR="00EE0F17" w:rsidRPr="00EE0F17">
        <w:t>in penalties for pay slip and record-keeping breaches</w:t>
      </w:r>
    </w:p>
    <w:p w14:paraId="436E54BE" w14:textId="77777777" w:rsidR="00CE7A1A" w:rsidRDefault="00EA1219" w:rsidP="00B23842">
      <w:pPr>
        <w:pStyle w:val="Bullet"/>
        <w:numPr>
          <w:ilvl w:val="0"/>
          <w:numId w:val="32"/>
        </w:numPr>
      </w:pPr>
      <w:r>
        <w:t>20</w:t>
      </w:r>
      <w:r w:rsidRPr="001F3EBC">
        <w:t xml:space="preserve"> </w:t>
      </w:r>
      <w:r w:rsidR="00EE0F17">
        <w:t>c</w:t>
      </w:r>
      <w:r w:rsidRPr="001F3EBC">
        <w:t xml:space="preserve">ompliance </w:t>
      </w:r>
      <w:r w:rsidR="00EE0F17">
        <w:t>n</w:t>
      </w:r>
      <w:r w:rsidRPr="001F3EBC">
        <w:t>otices</w:t>
      </w:r>
      <w:r w:rsidR="00EE0F17">
        <w:t xml:space="preserve"> for the underpayments</w:t>
      </w:r>
      <w:r>
        <w:t>.</w:t>
      </w:r>
    </w:p>
    <w:p w14:paraId="7AB5D7AF" w14:textId="77777777" w:rsidR="00EE0F17" w:rsidRPr="00C1692F" w:rsidRDefault="00146C4A" w:rsidP="00EE0F17">
      <w:r>
        <w:t>The FWO</w:t>
      </w:r>
      <w:r w:rsidR="00EE0F17">
        <w:t xml:space="preserve"> support compliance in </w:t>
      </w:r>
      <w:r w:rsidR="00EE0F17" w:rsidRPr="00C1692F">
        <w:t>the</w:t>
      </w:r>
      <w:r w:rsidR="00EE0F17">
        <w:t xml:space="preserve"> FRAC sector through:</w:t>
      </w:r>
    </w:p>
    <w:p w14:paraId="2D204C89" w14:textId="77777777" w:rsidR="00EE0F17" w:rsidRPr="007B39E6" w:rsidRDefault="00EE0F17" w:rsidP="00DF5EDB">
      <w:pPr>
        <w:pStyle w:val="Bullet"/>
        <w:numPr>
          <w:ilvl w:val="0"/>
          <w:numId w:val="31"/>
        </w:numPr>
      </w:pPr>
      <w:r w:rsidRPr="007B39E6">
        <w:t xml:space="preserve">business and stakeholder </w:t>
      </w:r>
      <w:r>
        <w:t xml:space="preserve">engagement </w:t>
      </w:r>
      <w:r w:rsidRPr="007B39E6">
        <w:t>to educate and drive behaviour change</w:t>
      </w:r>
    </w:p>
    <w:p w14:paraId="4B24F644" w14:textId="77777777" w:rsidR="00EE0F17" w:rsidRPr="007B39E6" w:rsidRDefault="00EE0F17" w:rsidP="00DF5EDB">
      <w:pPr>
        <w:pStyle w:val="Bullet"/>
        <w:numPr>
          <w:ilvl w:val="0"/>
          <w:numId w:val="31"/>
        </w:numPr>
      </w:pPr>
      <w:r>
        <w:t>targeted</w:t>
      </w:r>
      <w:r w:rsidRPr="007B39E6">
        <w:t xml:space="preserve"> </w:t>
      </w:r>
      <w:r w:rsidR="00D97B85">
        <w:t xml:space="preserve">and translated </w:t>
      </w:r>
      <w:r w:rsidRPr="007B39E6">
        <w:t>communications to increase awareness of and engagement with workplace laws</w:t>
      </w:r>
    </w:p>
    <w:p w14:paraId="64086804" w14:textId="77777777" w:rsidR="00EE0F17" w:rsidRPr="007B39E6" w:rsidRDefault="00EE0F17" w:rsidP="00DF5EDB">
      <w:pPr>
        <w:pStyle w:val="Bullet"/>
        <w:numPr>
          <w:ilvl w:val="0"/>
          <w:numId w:val="31"/>
        </w:numPr>
      </w:pPr>
      <w:r w:rsidRPr="00C1692F">
        <w:t xml:space="preserve">dedicated </w:t>
      </w:r>
      <w:r>
        <w:t xml:space="preserve">online information </w:t>
      </w:r>
      <w:r w:rsidRPr="00C1692F">
        <w:t>and resources</w:t>
      </w:r>
      <w:r w:rsidRPr="007B39E6">
        <w:t xml:space="preserve"> to make compliance easier for employers, such as our interactive </w:t>
      </w:r>
      <w:r w:rsidRPr="007B39E6">
        <w:rPr>
          <w:i/>
        </w:rPr>
        <w:t>Fast Food Industry 2010</w:t>
      </w:r>
      <w:r w:rsidRPr="007B39E6">
        <w:t xml:space="preserve"> and </w:t>
      </w:r>
      <w:r w:rsidRPr="007B39E6">
        <w:rPr>
          <w:i/>
        </w:rPr>
        <w:t>Restaurant Industry Award 2010</w:t>
      </w:r>
      <w:r w:rsidRPr="007B39E6">
        <w:t xml:space="preserve"> tools</w:t>
      </w:r>
      <w:r w:rsidRPr="007B39E6">
        <w:rPr>
          <w:vertAlign w:val="superscript"/>
        </w:rPr>
        <w:footnoteReference w:id="2"/>
      </w:r>
    </w:p>
    <w:p w14:paraId="318B4F13" w14:textId="77777777" w:rsidR="00EE0F17" w:rsidRPr="002A65CC" w:rsidRDefault="00EE0F17" w:rsidP="00DF5EDB">
      <w:pPr>
        <w:pStyle w:val="Bullet"/>
        <w:numPr>
          <w:ilvl w:val="0"/>
          <w:numId w:val="31"/>
        </w:numPr>
      </w:pPr>
      <w:r w:rsidRPr="00764779">
        <w:t xml:space="preserve">a </w:t>
      </w:r>
      <w:r>
        <w:t>continued focus on compliance monitoring and enforcement activities in high-risk sectors.</w:t>
      </w:r>
    </w:p>
    <w:p w14:paraId="48655BC7" w14:textId="77777777" w:rsidR="00EE0F17" w:rsidRPr="002A65CC" w:rsidRDefault="00EE0F17" w:rsidP="00736E56">
      <w:r>
        <w:t>T</w:t>
      </w:r>
      <w:r w:rsidRPr="00440AAF">
        <w:t xml:space="preserve">he FWO </w:t>
      </w:r>
      <w:r w:rsidRPr="00AF149D">
        <w:t>expects employers to comply with all basic</w:t>
      </w:r>
      <w:r w:rsidRPr="00CC7123">
        <w:t xml:space="preserve"> workplace relations obligations</w:t>
      </w:r>
      <w:r w:rsidRPr="00AF149D">
        <w:t xml:space="preserve"> and </w:t>
      </w:r>
      <w:r w:rsidR="00AA7DA1">
        <w:t xml:space="preserve">encourages all employers </w:t>
      </w:r>
      <w:r>
        <w:t xml:space="preserve">to </w:t>
      </w:r>
      <w:r w:rsidRPr="00440AAF">
        <w:t xml:space="preserve">utilise </w:t>
      </w:r>
      <w:r>
        <w:t xml:space="preserve">our free </w:t>
      </w:r>
      <w:r w:rsidR="00736E56">
        <w:t xml:space="preserve">online </w:t>
      </w:r>
      <w:r>
        <w:t>tools and resources</w:t>
      </w:r>
      <w:r w:rsidR="00736E56">
        <w:t xml:space="preserve">. </w:t>
      </w:r>
      <w:r w:rsidR="00EB2BBA">
        <w:t xml:space="preserve">The </w:t>
      </w:r>
      <w:r w:rsidR="00AA7DA1">
        <w:t>FWO provides comprehensive and easy to use guidance materials, template letters</w:t>
      </w:r>
      <w:r w:rsidR="00EB2BBA">
        <w:t xml:space="preserve"> and</w:t>
      </w:r>
      <w:r w:rsidR="00AA7DA1">
        <w:t xml:space="preserve"> online </w:t>
      </w:r>
      <w:proofErr w:type="spellStart"/>
      <w:r w:rsidR="00AA7DA1">
        <w:t>education</w:t>
      </w:r>
      <w:r w:rsidR="00EB2BBA">
        <w:t>in</w:t>
      </w:r>
      <w:proofErr w:type="spellEnd"/>
      <w:r w:rsidR="00EB2BBA">
        <w:t xml:space="preserve"> more than 30 languages</w:t>
      </w:r>
      <w:r w:rsidR="00AA7DA1">
        <w:t xml:space="preserve">.  We have tailored and up to date resources for small businesses.  </w:t>
      </w:r>
      <w:proofErr w:type="gramStart"/>
      <w:r w:rsidR="00AA7DA1">
        <w:t>All of</w:t>
      </w:r>
      <w:proofErr w:type="gramEnd"/>
      <w:r w:rsidR="00AA7DA1">
        <w:t xml:space="preserve"> these resources are available at no cost to employers. </w:t>
      </w:r>
      <w:r>
        <w:t xml:space="preserve">A lack of awareness of obligations under the </w:t>
      </w:r>
      <w:r w:rsidRPr="0014201D">
        <w:rPr>
          <w:i/>
        </w:rPr>
        <w:t>Fair Work Act 2009</w:t>
      </w:r>
      <w:r>
        <w:t xml:space="preserve"> is not a valid reason for non-compliance.</w:t>
      </w:r>
    </w:p>
    <w:sectPr w:rsidR="00EE0F17" w:rsidRPr="002A65CC" w:rsidSect="00DA1AD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225" w:bottom="1418" w:left="1321" w:header="284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53117" w14:textId="77777777" w:rsidR="00F01F7A" w:rsidRDefault="00F01F7A" w:rsidP="00AB465A">
      <w:pPr>
        <w:spacing w:after="0" w:line="240" w:lineRule="auto"/>
      </w:pPr>
      <w:r>
        <w:separator/>
      </w:r>
    </w:p>
  </w:endnote>
  <w:endnote w:type="continuationSeparator" w:id="0">
    <w:p w14:paraId="19CEE76D" w14:textId="77777777" w:rsidR="00F01F7A" w:rsidRDefault="00F01F7A" w:rsidP="00AB465A">
      <w:pPr>
        <w:spacing w:after="0" w:line="240" w:lineRule="auto"/>
      </w:pPr>
      <w:r>
        <w:continuationSeparator/>
      </w:r>
    </w:p>
  </w:endnote>
  <w:endnote w:type="continuationNotice" w:id="1">
    <w:p w14:paraId="21B98586" w14:textId="77777777" w:rsidR="00F01F7A" w:rsidRDefault="00F01F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71EA7" w14:textId="77777777" w:rsidR="0069313C" w:rsidRPr="00DA1AD1" w:rsidRDefault="0069313C" w:rsidP="00DA1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2AD06" w14:textId="09C40347" w:rsidR="0069313C" w:rsidRPr="00DA1AD1" w:rsidRDefault="0069313C" w:rsidP="00DA1AD1">
    <w:pPr>
      <w:pStyle w:val="Footer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EACE5" w14:textId="77777777" w:rsidR="00F01F7A" w:rsidRDefault="00F01F7A" w:rsidP="00AB465A">
      <w:pPr>
        <w:spacing w:after="0" w:line="240" w:lineRule="auto"/>
      </w:pPr>
      <w:r>
        <w:separator/>
      </w:r>
    </w:p>
  </w:footnote>
  <w:footnote w:type="continuationSeparator" w:id="0">
    <w:p w14:paraId="0498FD59" w14:textId="77777777" w:rsidR="00F01F7A" w:rsidRDefault="00F01F7A" w:rsidP="00AB465A">
      <w:pPr>
        <w:spacing w:after="0" w:line="240" w:lineRule="auto"/>
      </w:pPr>
      <w:r>
        <w:continuationSeparator/>
      </w:r>
    </w:p>
  </w:footnote>
  <w:footnote w:type="continuationNotice" w:id="1">
    <w:p w14:paraId="21F5EB59" w14:textId="77777777" w:rsidR="00F01F7A" w:rsidRDefault="00F01F7A">
      <w:pPr>
        <w:spacing w:after="0" w:line="240" w:lineRule="auto"/>
      </w:pPr>
    </w:p>
  </w:footnote>
  <w:footnote w:id="2">
    <w:p w14:paraId="4432150B" w14:textId="77777777" w:rsidR="00EE0F17" w:rsidRPr="00BD0824" w:rsidRDefault="00EE0F17" w:rsidP="00EE0F17">
      <w:pPr>
        <w:pStyle w:val="FootnoteText"/>
        <w:spacing w:before="0" w:line="240" w:lineRule="auto"/>
        <w:rPr>
          <w:rFonts w:asciiTheme="minorHAnsi" w:hAnsiTheme="minorHAnsi" w:cstheme="minorHAnsi"/>
          <w:sz w:val="16"/>
          <w:szCs w:val="16"/>
        </w:rPr>
      </w:pPr>
      <w:r w:rsidRPr="00D5789A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D5789A">
        <w:rPr>
          <w:rFonts w:asciiTheme="minorHAnsi" w:hAnsiTheme="minorHAnsi" w:cstheme="minorHAnsi"/>
          <w:sz w:val="16"/>
          <w:szCs w:val="16"/>
        </w:rPr>
        <w:t xml:space="preserve"> </w:t>
      </w:r>
      <w:hyperlink r:id="rId1" w:history="1">
        <w:r w:rsidRPr="00BC690D">
          <w:rPr>
            <w:rStyle w:val="Hyperlink"/>
            <w:rFonts w:asciiTheme="minorHAnsi" w:hAnsiTheme="minorHAnsi" w:cs="Arial"/>
            <w:sz w:val="16"/>
            <w:szCs w:val="16"/>
          </w:rPr>
          <w:t>https://www.fairwork.gov.au/find-help-for/fast-food-restaurants-cafes</w:t>
        </w:r>
      </w:hyperlink>
      <w:r>
        <w:rPr>
          <w:rFonts w:asciiTheme="minorHAnsi" w:hAnsiTheme="minorHAnsi"/>
          <w:sz w:val="16"/>
          <w:szCs w:val="16"/>
        </w:rPr>
        <w:t xml:space="preserve"> </w:t>
      </w:r>
      <w:r w:rsidRPr="00BD0824">
        <w:rPr>
          <w:rFonts w:asciiTheme="minorHAnsi" w:hAnsiTheme="minorHAnsi" w:cstheme="minorHAnsi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7C62B" w14:textId="268EA207" w:rsidR="0069313C" w:rsidRDefault="006931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A0C6A" w14:textId="2760EB1E" w:rsidR="0069313C" w:rsidRPr="00583EDF" w:rsidRDefault="0069313C" w:rsidP="00BA68A3">
    <w:pPr>
      <w:tabs>
        <w:tab w:val="center" w:pos="4820"/>
        <w:tab w:val="right" w:pos="9639"/>
      </w:tabs>
      <w:spacing w:after="0"/>
      <w:ind w:left="-851"/>
      <w:rPr>
        <w:rFonts w:cs="HelveticaNeue-Light"/>
        <w:color w:val="000000"/>
        <w:sz w:val="32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8F9"/>
    <w:multiLevelType w:val="hybridMultilevel"/>
    <w:tmpl w:val="ECBC89DA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3DEB"/>
    <w:multiLevelType w:val="hybridMultilevel"/>
    <w:tmpl w:val="3CD66A46"/>
    <w:lvl w:ilvl="0" w:tplc="B3C06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811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94BC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E0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AC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9CF2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8F9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0E8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949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753F"/>
    <w:multiLevelType w:val="hybridMultilevel"/>
    <w:tmpl w:val="6A0CB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66F6B"/>
    <w:multiLevelType w:val="hybridMultilevel"/>
    <w:tmpl w:val="4E2687CA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74EA2"/>
    <w:multiLevelType w:val="hybridMultilevel"/>
    <w:tmpl w:val="809C764E"/>
    <w:lvl w:ilvl="0" w:tplc="21E4875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D7D5F"/>
    <w:multiLevelType w:val="hybridMultilevel"/>
    <w:tmpl w:val="1A7442FE"/>
    <w:lvl w:ilvl="0" w:tplc="6A3E5C12">
      <w:start w:val="1"/>
      <w:numFmt w:val="bullet"/>
      <w:pStyle w:val="Bullet"/>
      <w:lvlText w:val=""/>
      <w:lvlJc w:val="left"/>
      <w:pPr>
        <w:ind w:left="720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15D16"/>
    <w:multiLevelType w:val="hybridMultilevel"/>
    <w:tmpl w:val="B8E0072C"/>
    <w:lvl w:ilvl="0" w:tplc="65A4A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35972"/>
    <w:multiLevelType w:val="hybridMultilevel"/>
    <w:tmpl w:val="564AD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15A8D"/>
    <w:multiLevelType w:val="hybridMultilevel"/>
    <w:tmpl w:val="46F0C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E0E63"/>
    <w:multiLevelType w:val="hybridMultilevel"/>
    <w:tmpl w:val="30B87B5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80FA0"/>
    <w:multiLevelType w:val="hybridMultilevel"/>
    <w:tmpl w:val="E72E7680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40A47"/>
    <w:multiLevelType w:val="hybridMultilevel"/>
    <w:tmpl w:val="E1B0D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F2678"/>
    <w:multiLevelType w:val="hybridMultilevel"/>
    <w:tmpl w:val="21CC0BC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9205B"/>
    <w:multiLevelType w:val="hybridMultilevel"/>
    <w:tmpl w:val="18F49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356E4"/>
    <w:multiLevelType w:val="hybridMultilevel"/>
    <w:tmpl w:val="82C67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42963"/>
    <w:multiLevelType w:val="hybridMultilevel"/>
    <w:tmpl w:val="C19AC8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D6CFD"/>
    <w:multiLevelType w:val="hybridMultilevel"/>
    <w:tmpl w:val="06403F2A"/>
    <w:lvl w:ilvl="0" w:tplc="6CCEBA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082EF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64C73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6C6265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94B40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73028E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E01D3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8C463C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8AEC46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83579E"/>
    <w:multiLevelType w:val="hybridMultilevel"/>
    <w:tmpl w:val="2DC2D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93405"/>
    <w:multiLevelType w:val="hybridMultilevel"/>
    <w:tmpl w:val="006C7C92"/>
    <w:lvl w:ilvl="0" w:tplc="4D228F0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F0505"/>
    <w:multiLevelType w:val="hybridMultilevel"/>
    <w:tmpl w:val="37A63F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11BE6"/>
    <w:multiLevelType w:val="hybridMultilevel"/>
    <w:tmpl w:val="1188C9C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B548FB"/>
    <w:multiLevelType w:val="hybridMultilevel"/>
    <w:tmpl w:val="2BBC2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73DCF"/>
    <w:multiLevelType w:val="hybridMultilevel"/>
    <w:tmpl w:val="D24E88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451523"/>
    <w:multiLevelType w:val="hybridMultilevel"/>
    <w:tmpl w:val="2DDE176C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772B0"/>
    <w:multiLevelType w:val="hybridMultilevel"/>
    <w:tmpl w:val="5900EFBE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C635B"/>
    <w:multiLevelType w:val="hybridMultilevel"/>
    <w:tmpl w:val="E8127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64E01"/>
    <w:multiLevelType w:val="hybridMultilevel"/>
    <w:tmpl w:val="96722C26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27A6D"/>
    <w:multiLevelType w:val="hybridMultilevel"/>
    <w:tmpl w:val="6764E5A2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44483"/>
    <w:multiLevelType w:val="hybridMultilevel"/>
    <w:tmpl w:val="91F62686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21"/>
  </w:num>
  <w:num w:numId="7">
    <w:abstractNumId w:val="9"/>
  </w:num>
  <w:num w:numId="8">
    <w:abstractNumId w:val="14"/>
  </w:num>
  <w:num w:numId="9">
    <w:abstractNumId w:val="23"/>
  </w:num>
  <w:num w:numId="10">
    <w:abstractNumId w:val="22"/>
  </w:num>
  <w:num w:numId="11">
    <w:abstractNumId w:val="19"/>
  </w:num>
  <w:num w:numId="12">
    <w:abstractNumId w:val="24"/>
  </w:num>
  <w:num w:numId="13">
    <w:abstractNumId w:val="28"/>
  </w:num>
  <w:num w:numId="14">
    <w:abstractNumId w:val="0"/>
  </w:num>
  <w:num w:numId="15">
    <w:abstractNumId w:val="12"/>
  </w:num>
  <w:num w:numId="16">
    <w:abstractNumId w:val="27"/>
  </w:num>
  <w:num w:numId="17">
    <w:abstractNumId w:val="10"/>
  </w:num>
  <w:num w:numId="18">
    <w:abstractNumId w:val="2"/>
  </w:num>
  <w:num w:numId="19">
    <w:abstractNumId w:val="13"/>
  </w:num>
  <w:num w:numId="20">
    <w:abstractNumId w:val="7"/>
  </w:num>
  <w:num w:numId="21">
    <w:abstractNumId w:val="29"/>
  </w:num>
  <w:num w:numId="22">
    <w:abstractNumId w:val="3"/>
  </w:num>
  <w:num w:numId="23">
    <w:abstractNumId w:val="25"/>
  </w:num>
  <w:num w:numId="24">
    <w:abstractNumId w:val="11"/>
  </w:num>
  <w:num w:numId="25">
    <w:abstractNumId w:val="8"/>
  </w:num>
  <w:num w:numId="26">
    <w:abstractNumId w:val="16"/>
  </w:num>
  <w:num w:numId="27">
    <w:abstractNumId w:val="20"/>
  </w:num>
  <w:num w:numId="28">
    <w:abstractNumId w:val="18"/>
  </w:num>
  <w:num w:numId="29">
    <w:abstractNumId w:val="17"/>
  </w:num>
  <w:num w:numId="30">
    <w:abstractNumId w:val="1"/>
  </w:num>
  <w:num w:numId="31">
    <w:abstractNumId w:val="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980"/>
    <w:rsid w:val="00011400"/>
    <w:rsid w:val="000117A3"/>
    <w:rsid w:val="00013275"/>
    <w:rsid w:val="00014C04"/>
    <w:rsid w:val="000316C6"/>
    <w:rsid w:val="000318D5"/>
    <w:rsid w:val="00033E9B"/>
    <w:rsid w:val="00040980"/>
    <w:rsid w:val="00053693"/>
    <w:rsid w:val="000732BA"/>
    <w:rsid w:val="0007401F"/>
    <w:rsid w:val="00093049"/>
    <w:rsid w:val="000A0BB1"/>
    <w:rsid w:val="000A45F4"/>
    <w:rsid w:val="000B2A24"/>
    <w:rsid w:val="000B7D1C"/>
    <w:rsid w:val="000C0DF8"/>
    <w:rsid w:val="000C2CD2"/>
    <w:rsid w:val="000D46B8"/>
    <w:rsid w:val="000E08E8"/>
    <w:rsid w:val="000E3C54"/>
    <w:rsid w:val="00100FA4"/>
    <w:rsid w:val="0014201D"/>
    <w:rsid w:val="001441D1"/>
    <w:rsid w:val="00146C4A"/>
    <w:rsid w:val="001529A2"/>
    <w:rsid w:val="00166274"/>
    <w:rsid w:val="00174429"/>
    <w:rsid w:val="0018384F"/>
    <w:rsid w:val="00193A10"/>
    <w:rsid w:val="001955C6"/>
    <w:rsid w:val="001C47EA"/>
    <w:rsid w:val="001C6646"/>
    <w:rsid w:val="001C7CFE"/>
    <w:rsid w:val="001D3234"/>
    <w:rsid w:val="001D3773"/>
    <w:rsid w:val="001E0C0E"/>
    <w:rsid w:val="001F69CA"/>
    <w:rsid w:val="00222C9B"/>
    <w:rsid w:val="00232CA4"/>
    <w:rsid w:val="002424CA"/>
    <w:rsid w:val="002424D0"/>
    <w:rsid w:val="002666D5"/>
    <w:rsid w:val="0026797B"/>
    <w:rsid w:val="002874CC"/>
    <w:rsid w:val="002A5A4D"/>
    <w:rsid w:val="002A65CC"/>
    <w:rsid w:val="002B1AB3"/>
    <w:rsid w:val="002C3E3B"/>
    <w:rsid w:val="002E0DB1"/>
    <w:rsid w:val="002E28E8"/>
    <w:rsid w:val="002E78A5"/>
    <w:rsid w:val="00331519"/>
    <w:rsid w:val="00333193"/>
    <w:rsid w:val="003467A4"/>
    <w:rsid w:val="0035400D"/>
    <w:rsid w:val="00371024"/>
    <w:rsid w:val="00377962"/>
    <w:rsid w:val="00382655"/>
    <w:rsid w:val="003B31C0"/>
    <w:rsid w:val="003B39E2"/>
    <w:rsid w:val="003B5656"/>
    <w:rsid w:val="003C36DA"/>
    <w:rsid w:val="003D3891"/>
    <w:rsid w:val="003F228F"/>
    <w:rsid w:val="00433811"/>
    <w:rsid w:val="00440DF5"/>
    <w:rsid w:val="00443268"/>
    <w:rsid w:val="00456006"/>
    <w:rsid w:val="004654FA"/>
    <w:rsid w:val="00465E7E"/>
    <w:rsid w:val="00483507"/>
    <w:rsid w:val="00486F77"/>
    <w:rsid w:val="004874D2"/>
    <w:rsid w:val="004962EA"/>
    <w:rsid w:val="004A1A32"/>
    <w:rsid w:val="004A640F"/>
    <w:rsid w:val="004B5F95"/>
    <w:rsid w:val="004C1847"/>
    <w:rsid w:val="004D223B"/>
    <w:rsid w:val="004F0A17"/>
    <w:rsid w:val="00520458"/>
    <w:rsid w:val="005261A5"/>
    <w:rsid w:val="00567C35"/>
    <w:rsid w:val="00593BFB"/>
    <w:rsid w:val="005D5A92"/>
    <w:rsid w:val="005F741C"/>
    <w:rsid w:val="006059E9"/>
    <w:rsid w:val="00612470"/>
    <w:rsid w:val="006139FB"/>
    <w:rsid w:val="0061745B"/>
    <w:rsid w:val="0062768F"/>
    <w:rsid w:val="00643C4B"/>
    <w:rsid w:val="00647D11"/>
    <w:rsid w:val="006518DB"/>
    <w:rsid w:val="00664341"/>
    <w:rsid w:val="00667267"/>
    <w:rsid w:val="0069313C"/>
    <w:rsid w:val="00694033"/>
    <w:rsid w:val="006B1080"/>
    <w:rsid w:val="006B4B5C"/>
    <w:rsid w:val="006D19EE"/>
    <w:rsid w:val="006D4A6F"/>
    <w:rsid w:val="006E54F5"/>
    <w:rsid w:val="006F043D"/>
    <w:rsid w:val="006F4DA6"/>
    <w:rsid w:val="00703886"/>
    <w:rsid w:val="0072110A"/>
    <w:rsid w:val="00725F4E"/>
    <w:rsid w:val="00727206"/>
    <w:rsid w:val="00732D91"/>
    <w:rsid w:val="00736E56"/>
    <w:rsid w:val="007479AD"/>
    <w:rsid w:val="00750DF7"/>
    <w:rsid w:val="00752E5E"/>
    <w:rsid w:val="00753483"/>
    <w:rsid w:val="00763A33"/>
    <w:rsid w:val="007729B7"/>
    <w:rsid w:val="00786E3C"/>
    <w:rsid w:val="007900FB"/>
    <w:rsid w:val="00791AB0"/>
    <w:rsid w:val="007A0B86"/>
    <w:rsid w:val="007A6811"/>
    <w:rsid w:val="007A6D98"/>
    <w:rsid w:val="007A74DB"/>
    <w:rsid w:val="007B043E"/>
    <w:rsid w:val="007B5C9B"/>
    <w:rsid w:val="007B6AC8"/>
    <w:rsid w:val="007C01BA"/>
    <w:rsid w:val="007C2DA0"/>
    <w:rsid w:val="007C507C"/>
    <w:rsid w:val="007D19A1"/>
    <w:rsid w:val="007D2659"/>
    <w:rsid w:val="007E244B"/>
    <w:rsid w:val="007E5FAD"/>
    <w:rsid w:val="007F398A"/>
    <w:rsid w:val="00803A9A"/>
    <w:rsid w:val="00810E0C"/>
    <w:rsid w:val="008114FB"/>
    <w:rsid w:val="008258AC"/>
    <w:rsid w:val="00827386"/>
    <w:rsid w:val="0083679C"/>
    <w:rsid w:val="00840520"/>
    <w:rsid w:val="00856542"/>
    <w:rsid w:val="008A1058"/>
    <w:rsid w:val="008A2053"/>
    <w:rsid w:val="008B66E4"/>
    <w:rsid w:val="008C2361"/>
    <w:rsid w:val="008F4D6D"/>
    <w:rsid w:val="009060B0"/>
    <w:rsid w:val="00906409"/>
    <w:rsid w:val="009147FE"/>
    <w:rsid w:val="00932C9C"/>
    <w:rsid w:val="009470A4"/>
    <w:rsid w:val="00981787"/>
    <w:rsid w:val="009830B4"/>
    <w:rsid w:val="009902E3"/>
    <w:rsid w:val="00993703"/>
    <w:rsid w:val="009946F6"/>
    <w:rsid w:val="00995EBE"/>
    <w:rsid w:val="00997DD8"/>
    <w:rsid w:val="009A294E"/>
    <w:rsid w:val="009C0C7F"/>
    <w:rsid w:val="009C61A2"/>
    <w:rsid w:val="009E0DC5"/>
    <w:rsid w:val="009E2EF8"/>
    <w:rsid w:val="009E5D7B"/>
    <w:rsid w:val="009E6D5C"/>
    <w:rsid w:val="009F4608"/>
    <w:rsid w:val="00A04703"/>
    <w:rsid w:val="00A1044D"/>
    <w:rsid w:val="00A25A80"/>
    <w:rsid w:val="00A267BA"/>
    <w:rsid w:val="00A31966"/>
    <w:rsid w:val="00A41C93"/>
    <w:rsid w:val="00A841DA"/>
    <w:rsid w:val="00A85C27"/>
    <w:rsid w:val="00A97F48"/>
    <w:rsid w:val="00AA0244"/>
    <w:rsid w:val="00AA1953"/>
    <w:rsid w:val="00AA7DA1"/>
    <w:rsid w:val="00AB465A"/>
    <w:rsid w:val="00AB5511"/>
    <w:rsid w:val="00AD4CF6"/>
    <w:rsid w:val="00AE4954"/>
    <w:rsid w:val="00AE6514"/>
    <w:rsid w:val="00AF0EAF"/>
    <w:rsid w:val="00AF74D9"/>
    <w:rsid w:val="00B02B68"/>
    <w:rsid w:val="00B03B2B"/>
    <w:rsid w:val="00B23842"/>
    <w:rsid w:val="00B443B8"/>
    <w:rsid w:val="00B474FA"/>
    <w:rsid w:val="00B478AD"/>
    <w:rsid w:val="00B47D7B"/>
    <w:rsid w:val="00B50641"/>
    <w:rsid w:val="00B56C5A"/>
    <w:rsid w:val="00B746E5"/>
    <w:rsid w:val="00B775C1"/>
    <w:rsid w:val="00B8128F"/>
    <w:rsid w:val="00B91121"/>
    <w:rsid w:val="00BA5269"/>
    <w:rsid w:val="00BA59D7"/>
    <w:rsid w:val="00BA68A3"/>
    <w:rsid w:val="00BB53D7"/>
    <w:rsid w:val="00BB613F"/>
    <w:rsid w:val="00BC0303"/>
    <w:rsid w:val="00BF1F30"/>
    <w:rsid w:val="00BF5E37"/>
    <w:rsid w:val="00BF66C0"/>
    <w:rsid w:val="00C079AD"/>
    <w:rsid w:val="00C208A3"/>
    <w:rsid w:val="00C30565"/>
    <w:rsid w:val="00C346A5"/>
    <w:rsid w:val="00C72594"/>
    <w:rsid w:val="00C93B8D"/>
    <w:rsid w:val="00C94F81"/>
    <w:rsid w:val="00CA3551"/>
    <w:rsid w:val="00CA39F1"/>
    <w:rsid w:val="00CC2DBA"/>
    <w:rsid w:val="00CD049C"/>
    <w:rsid w:val="00CE39BE"/>
    <w:rsid w:val="00CE6055"/>
    <w:rsid w:val="00CE6883"/>
    <w:rsid w:val="00CE72FC"/>
    <w:rsid w:val="00CE7A1A"/>
    <w:rsid w:val="00CE7CD4"/>
    <w:rsid w:val="00CF5AFE"/>
    <w:rsid w:val="00D05C44"/>
    <w:rsid w:val="00D11BC7"/>
    <w:rsid w:val="00D171E3"/>
    <w:rsid w:val="00D17674"/>
    <w:rsid w:val="00D20453"/>
    <w:rsid w:val="00D2094E"/>
    <w:rsid w:val="00D316FC"/>
    <w:rsid w:val="00D465AE"/>
    <w:rsid w:val="00D470AE"/>
    <w:rsid w:val="00D57325"/>
    <w:rsid w:val="00D753D3"/>
    <w:rsid w:val="00D803E6"/>
    <w:rsid w:val="00D95B26"/>
    <w:rsid w:val="00D960E2"/>
    <w:rsid w:val="00D97B85"/>
    <w:rsid w:val="00DA1AD1"/>
    <w:rsid w:val="00DA7095"/>
    <w:rsid w:val="00DB083C"/>
    <w:rsid w:val="00DF5EDB"/>
    <w:rsid w:val="00E13A01"/>
    <w:rsid w:val="00E31A99"/>
    <w:rsid w:val="00E3299B"/>
    <w:rsid w:val="00E47482"/>
    <w:rsid w:val="00E52830"/>
    <w:rsid w:val="00E62AC7"/>
    <w:rsid w:val="00E65A3D"/>
    <w:rsid w:val="00E70539"/>
    <w:rsid w:val="00E80136"/>
    <w:rsid w:val="00E83691"/>
    <w:rsid w:val="00EA1219"/>
    <w:rsid w:val="00EA200F"/>
    <w:rsid w:val="00EA6B05"/>
    <w:rsid w:val="00EB2BBA"/>
    <w:rsid w:val="00EB6998"/>
    <w:rsid w:val="00EC654D"/>
    <w:rsid w:val="00EE0F17"/>
    <w:rsid w:val="00EE6873"/>
    <w:rsid w:val="00EE6F1A"/>
    <w:rsid w:val="00EF0D4B"/>
    <w:rsid w:val="00EF66E1"/>
    <w:rsid w:val="00F01F7A"/>
    <w:rsid w:val="00F210A5"/>
    <w:rsid w:val="00F2468C"/>
    <w:rsid w:val="00F25090"/>
    <w:rsid w:val="00F43DC5"/>
    <w:rsid w:val="00F53BF8"/>
    <w:rsid w:val="00F63E75"/>
    <w:rsid w:val="00F71CE1"/>
    <w:rsid w:val="00F8077E"/>
    <w:rsid w:val="00F83193"/>
    <w:rsid w:val="00F87CD3"/>
    <w:rsid w:val="00F941BF"/>
    <w:rsid w:val="00F94C5E"/>
    <w:rsid w:val="00FA4D82"/>
    <w:rsid w:val="00FB30A9"/>
    <w:rsid w:val="00FB711F"/>
    <w:rsid w:val="00FC326C"/>
    <w:rsid w:val="00FC3CB8"/>
    <w:rsid w:val="00FD7C4E"/>
    <w:rsid w:val="00FE3F8D"/>
    <w:rsid w:val="00FE67F4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432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Paragraph"/>
    <w:qFormat/>
    <w:rsid w:val="002A65CC"/>
    <w:pPr>
      <w:spacing w:after="120" w:line="360" w:lineRule="auto"/>
    </w:pPr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65CC"/>
    <w:pPr>
      <w:keepNext/>
      <w:keepLines/>
      <w:spacing w:before="240" w:after="60" w:line="240" w:lineRule="auto"/>
      <w:outlineLvl w:val="0"/>
    </w:pPr>
    <w:rPr>
      <w:rFonts w:ascii="Calibri Light" w:hAnsi="Calibri Light"/>
      <w:color w:val="1B365D"/>
      <w:sz w:val="60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995EBE"/>
    <w:pPr>
      <w:numPr>
        <w:ilvl w:val="1"/>
      </w:numPr>
      <w:spacing w:before="180"/>
      <w:outlineLvl w:val="1"/>
    </w:pPr>
    <w:rPr>
      <w:rFonts w:asciiTheme="minorHAnsi" w:hAnsiTheme="minorHAnsi"/>
      <w:b/>
      <w:sz w:val="32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995EBE"/>
    <w:pPr>
      <w:numPr>
        <w:ilvl w:val="2"/>
      </w:numPr>
      <w:spacing w:before="120" w:after="0"/>
      <w:outlineLvl w:val="2"/>
    </w:pPr>
    <w:rPr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outlineLvl w:val="3"/>
    </w:pPr>
    <w:rPr>
      <w:rFonts w:eastAsiaTheme="minorEastAsia" w:cs="Times New Roman"/>
      <w:b w:val="0"/>
      <w:bCs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after="0" w:line="480" w:lineRule="auto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DF5EDB"/>
    <w:pPr>
      <w:numPr>
        <w:numId w:val="4"/>
      </w:numPr>
      <w:spacing w:before="120" w:after="240" w:line="240" w:lineRule="auto"/>
    </w:pPr>
    <w:rPr>
      <w:rFonts w:eastAsiaTheme="minorHAnsi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995EBE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after="113" w:line="320" w:lineRule="exact"/>
      <w:ind w:left="284" w:right="284"/>
      <w:contextualSpacing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995EBE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paragraph" w:customStyle="1" w:styleId="GlanceYellowHeading">
    <w:name w:val="Glance Yellow Heading"/>
    <w:basedOn w:val="Normal"/>
    <w:next w:val="GlanceHeading"/>
    <w:autoRedefine/>
    <w:rsid w:val="00D11BC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D11BC7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995EBE"/>
    <w:rPr>
      <w:b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995EBE"/>
    <w:rPr>
      <w:rFonts w:asciiTheme="minorHAnsi" w:eastAsiaTheme="minorHAnsi" w:hAnsiTheme="minorHAnsi" w:cs="Arial"/>
      <w:b/>
      <w:sz w:val="24"/>
      <w:szCs w:val="22"/>
      <w:shd w:val="clear" w:color="auto" w:fill="E7F2FA"/>
    </w:rPr>
  </w:style>
  <w:style w:type="paragraph" w:customStyle="1" w:styleId="Calloutbox1">
    <w:name w:val="Callout box1"/>
    <w:basedOn w:val="Normal"/>
    <w:next w:val="Normal"/>
    <w:autoRedefine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65CC"/>
    <w:rPr>
      <w:rFonts w:ascii="Calibri Light" w:hAnsi="Calibri Light" w:cs="Arial"/>
      <w:color w:val="1B365D"/>
      <w:sz w:val="6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95EBE"/>
    <w:rPr>
      <w:rFonts w:asciiTheme="minorHAnsi" w:hAnsiTheme="minorHAnsi" w:cs="Arial"/>
      <w:b/>
      <w:color w:val="1B365D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EBE"/>
    <w:rPr>
      <w:rFonts w:asciiTheme="minorHAnsi" w:hAnsiTheme="minorHAnsi" w:cs="Arial"/>
      <w:b/>
      <w:color w:val="1B365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C079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79AD"/>
    <w:rPr>
      <w:rFonts w:asciiTheme="minorHAnsi" w:hAnsiTheme="minorHAnsi" w:cs="Arial"/>
      <w:i/>
      <w:iCs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A65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CC"/>
    <w:rPr>
      <w:rFonts w:ascii="Arial" w:hAnsi="Arial" w:cs="Arial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65CC"/>
    <w:rPr>
      <w:rFonts w:ascii="Arial" w:hAnsi="Arial" w:cs="Arial"/>
      <w:sz w:val="22"/>
      <w:szCs w:val="24"/>
    </w:rPr>
  </w:style>
  <w:style w:type="character" w:styleId="FootnoteReference">
    <w:name w:val="footnote reference"/>
    <w:basedOn w:val="DefaultParagraphFont"/>
    <w:uiPriority w:val="99"/>
    <w:rsid w:val="002A65C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F94C5E"/>
    <w:rPr>
      <w:rFonts w:ascii="Arial" w:hAnsi="Arial" w:cs="Times New Roman"/>
      <w:color w:val="0000FF"/>
      <w:u w:val="single"/>
    </w:rPr>
  </w:style>
  <w:style w:type="paragraph" w:styleId="ListParagraph">
    <w:name w:val="List Paragraph"/>
    <w:aliases w:val="List Paragraph1,List Paragraph11,Recommendation,Brief List Paragraph 1,DDM Gen Text,L,Numbered paragraph,CV text,Table text,F5 List Paragraph,Dot pt,List Paragraph111,Medium Grid 1 - Accent 21,Numbered Paragraph,List Paragraph2,Bullets"/>
    <w:basedOn w:val="Normal"/>
    <w:link w:val="ListParagraphChar"/>
    <w:uiPriority w:val="34"/>
    <w:qFormat/>
    <w:rsid w:val="00F94C5E"/>
    <w:pPr>
      <w:spacing w:before="120" w:after="0"/>
      <w:ind w:left="720"/>
      <w:contextualSpacing/>
    </w:pPr>
    <w:rPr>
      <w:rFonts w:ascii="Arial" w:hAnsi="Arial"/>
    </w:rPr>
  </w:style>
  <w:style w:type="character" w:customStyle="1" w:styleId="ListParagraphChar">
    <w:name w:val="List Paragraph Char"/>
    <w:aliases w:val="List Paragraph1 Char,List Paragraph11 Char,Recommendation Char,Brief List Paragraph 1 Char,DDM Gen Text Char,L Char,Numbered paragraph Char,CV text Char,Table text Char,F5 List Paragraph Char,Dot pt Char,List Paragraph111 Char"/>
    <w:basedOn w:val="DefaultParagraphFont"/>
    <w:link w:val="ListParagraph"/>
    <w:uiPriority w:val="34"/>
    <w:locked/>
    <w:rsid w:val="00F94C5E"/>
    <w:rPr>
      <w:rFonts w:ascii="Arial" w:hAnsi="Arial" w:cs="Arial"/>
      <w:sz w:val="22"/>
      <w:szCs w:val="24"/>
    </w:rPr>
  </w:style>
  <w:style w:type="table" w:styleId="TableGrid">
    <w:name w:val="Table Grid"/>
    <w:basedOn w:val="TableNormal"/>
    <w:uiPriority w:val="59"/>
    <w:rsid w:val="004C1847"/>
    <w:pPr>
      <w:spacing w:before="120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6A5"/>
    <w:pPr>
      <w:spacing w:before="0" w:after="120" w:line="240" w:lineRule="auto"/>
    </w:pPr>
    <w:rPr>
      <w:rFonts w:ascii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6A5"/>
    <w:rPr>
      <w:rFonts w:asciiTheme="minorHAnsi" w:hAnsiTheme="minorHAnsi" w:cs="Arial"/>
      <w:b/>
      <w:bCs/>
      <w:sz w:val="22"/>
      <w:szCs w:val="24"/>
    </w:rPr>
  </w:style>
  <w:style w:type="paragraph" w:styleId="Caption">
    <w:name w:val="caption"/>
    <w:basedOn w:val="Normal"/>
    <w:next w:val="Normal"/>
    <w:uiPriority w:val="35"/>
    <w:unhideWhenUsed/>
    <w:rsid w:val="009060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147F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662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en-AU"/>
    </w:rPr>
  </w:style>
  <w:style w:type="character" w:customStyle="1" w:styleId="veryhardreadability">
    <w:name w:val="veryhardreadability"/>
    <w:basedOn w:val="DefaultParagraphFont"/>
    <w:rsid w:val="00F8077E"/>
  </w:style>
  <w:style w:type="character" w:customStyle="1" w:styleId="adverb">
    <w:name w:val="adverb"/>
    <w:basedOn w:val="DefaultParagraphFont"/>
    <w:rsid w:val="00F8077E"/>
  </w:style>
  <w:style w:type="character" w:customStyle="1" w:styleId="complexword">
    <w:name w:val="complexword"/>
    <w:basedOn w:val="DefaultParagraphFont"/>
    <w:rsid w:val="00F8077E"/>
  </w:style>
  <w:style w:type="character" w:customStyle="1" w:styleId="passivevoice">
    <w:name w:val="passivevoice"/>
    <w:basedOn w:val="DefaultParagraphFont"/>
    <w:rsid w:val="00F8077E"/>
  </w:style>
  <w:style w:type="character" w:styleId="FollowedHyperlink">
    <w:name w:val="FollowedHyperlink"/>
    <w:basedOn w:val="DefaultParagraphFont"/>
    <w:uiPriority w:val="99"/>
    <w:semiHidden/>
    <w:unhideWhenUsed/>
    <w:rsid w:val="007A6D9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F741C"/>
    <w:rPr>
      <w:rFonts w:asciiTheme="minorHAnsi" w:hAnsiTheme="minorHAnsi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irwork.gov.au/find-help-for/fast-food-restaurants-caf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6279E-1F58-404B-954C-28754460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Korean FRAC report</vt:lpstr>
    </vt:vector>
  </TitlesOfParts>
  <Manager/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Korean FRAC report</dc:title>
  <dc:subject>Korean FRAC report</dc:subject>
  <dc:creator/>
  <cp:keywords>FRAC, Korean, Report</cp:keywords>
  <cp:lastModifiedBy/>
  <cp:revision>1</cp:revision>
  <dcterms:created xsi:type="dcterms:W3CDTF">2020-09-24T05:06:00Z</dcterms:created>
  <dcterms:modified xsi:type="dcterms:W3CDTF">2020-09-24T05:09:00Z</dcterms:modified>
</cp:coreProperties>
</file>