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2F849" w14:textId="2A849A40" w:rsidR="006059E9" w:rsidRDefault="00A3464C" w:rsidP="002A65CC">
      <w:pPr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CA6CE14" wp14:editId="0B13FFA6">
            <wp:simplePos x="0" y="0"/>
            <wp:positionH relativeFrom="column">
              <wp:posOffset>-825187</wp:posOffset>
            </wp:positionH>
            <wp:positionV relativeFrom="paragraph">
              <wp:posOffset>-973566</wp:posOffset>
            </wp:positionV>
            <wp:extent cx="7548878" cy="1067123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od-precints-jul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78" cy="10671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D5592" w14:textId="32ECFDF1" w:rsidR="007B043E" w:rsidRDefault="006059E9" w:rsidP="002A65CC">
      <w:r>
        <w:rPr>
          <w:noProof/>
          <w:lang w:eastAsia="en-AU"/>
        </w:rPr>
        <w:t>[infographic]</w:t>
      </w:r>
    </w:p>
    <w:p w14:paraId="01DCB50E" w14:textId="693882B9" w:rsidR="00174429" w:rsidRDefault="00174429" w:rsidP="002A65CC"/>
    <w:p w14:paraId="517F4337" w14:textId="77777777" w:rsidR="003C36DA" w:rsidRDefault="003C36DA">
      <w:pPr>
        <w:spacing w:after="0" w:line="240" w:lineRule="auto"/>
        <w:rPr>
          <w:rFonts w:ascii="Calibri Light" w:hAnsi="Calibri Light"/>
          <w:color w:val="1B365D"/>
          <w:sz w:val="60"/>
          <w:szCs w:val="26"/>
        </w:rPr>
      </w:pPr>
      <w:r>
        <w:br w:type="page"/>
      </w:r>
    </w:p>
    <w:p w14:paraId="03B4A77E" w14:textId="5102EC3D" w:rsidR="00F44A2D" w:rsidRPr="00F44A2D" w:rsidRDefault="004327F0" w:rsidP="00F44A2D">
      <w:pPr>
        <w:pStyle w:val="Heading1"/>
      </w:pPr>
      <w:r>
        <w:lastRenderedPageBreak/>
        <w:t xml:space="preserve">Food Precincts </w:t>
      </w:r>
      <w:r w:rsidR="005A1EC7">
        <w:t>Investigations</w:t>
      </w:r>
      <w:r w:rsidR="00F27A24">
        <w:t xml:space="preserve">: </w:t>
      </w:r>
      <w:r w:rsidR="00F44A2D" w:rsidRPr="00F44A2D">
        <w:t>Melbourne L</w:t>
      </w:r>
      <w:r w:rsidR="002B1F33">
        <w:t>aneways and Brisbane’s West End</w:t>
      </w:r>
    </w:p>
    <w:p w14:paraId="15C3D2D5" w14:textId="1AF049CC" w:rsidR="00AF74D9" w:rsidRDefault="005D5A92" w:rsidP="00F44A2D">
      <w:pPr>
        <w:pStyle w:val="Heading2"/>
      </w:pPr>
      <w:r>
        <w:t>What we did and why</w:t>
      </w:r>
    </w:p>
    <w:p w14:paraId="1EC3D474" w14:textId="65714B53" w:rsidR="00F27A24" w:rsidRDefault="0001530E" w:rsidP="00F27A24">
      <w:r>
        <w:t xml:space="preserve">The Fair Work Ombudsman (FWO) </w:t>
      </w:r>
      <w:r w:rsidR="005A1EC7">
        <w:t xml:space="preserve">investigated </w:t>
      </w:r>
      <w:r w:rsidR="003C68BC">
        <w:t>93</w:t>
      </w:r>
      <w:r w:rsidRPr="00783A7C">
        <w:t xml:space="preserve"> </w:t>
      </w:r>
      <w:r w:rsidR="00F27A24">
        <w:t xml:space="preserve">fast food, restaurants and café (FRAC) </w:t>
      </w:r>
      <w:r w:rsidRPr="00783A7C">
        <w:t>businesses</w:t>
      </w:r>
      <w:r>
        <w:t xml:space="preserve"> in</w:t>
      </w:r>
      <w:r w:rsidR="00F27A24">
        <w:t>:</w:t>
      </w:r>
    </w:p>
    <w:p w14:paraId="7AF17637" w14:textId="10200EFB" w:rsidR="00F27A24" w:rsidRDefault="00F27A24" w:rsidP="00F27A24">
      <w:pPr>
        <w:pStyle w:val="Bullet"/>
      </w:pPr>
      <w:r w:rsidRPr="00F27A24">
        <w:t>Ha</w:t>
      </w:r>
      <w:r>
        <w:t>rdware Lane and Degraves Street</w:t>
      </w:r>
      <w:r w:rsidRPr="00F27A24">
        <w:t xml:space="preserve"> </w:t>
      </w:r>
      <w:r w:rsidR="006B2365">
        <w:t>(</w:t>
      </w:r>
      <w:r w:rsidR="00240463" w:rsidRPr="00F27A24">
        <w:t>two of Melbourne’s pop</w:t>
      </w:r>
      <w:r>
        <w:t>ular CBD laneway dining strips</w:t>
      </w:r>
      <w:r w:rsidR="006B2365">
        <w:t>)</w:t>
      </w:r>
    </w:p>
    <w:p w14:paraId="4EDA10A9" w14:textId="70EF5F46" w:rsidR="00FB3CAB" w:rsidRPr="00F27A24" w:rsidRDefault="006B2365" w:rsidP="00F27A24">
      <w:pPr>
        <w:pStyle w:val="Bullet"/>
      </w:pPr>
      <w:r>
        <w:t>Brisbane’s West End</w:t>
      </w:r>
      <w:r w:rsidR="00A551DC" w:rsidRPr="00F27A24">
        <w:t xml:space="preserve">. </w:t>
      </w:r>
      <w:r w:rsidR="00073307" w:rsidRPr="00F27A24">
        <w:t xml:space="preserve"> </w:t>
      </w:r>
    </w:p>
    <w:p w14:paraId="51F7C74B" w14:textId="349DA0C2" w:rsidR="00544267" w:rsidRDefault="00544267" w:rsidP="00F27A24">
      <w:r>
        <w:t>This</w:t>
      </w:r>
      <w:r w:rsidR="00F27A24">
        <w:t xml:space="preserve"> is the third in a series </w:t>
      </w:r>
      <w:r w:rsidR="00A551DC">
        <w:t xml:space="preserve">of activities examining non-compliance in </w:t>
      </w:r>
      <w:r w:rsidR="00240463">
        <w:t xml:space="preserve">popular </w:t>
      </w:r>
      <w:r w:rsidR="00F27A24">
        <w:t xml:space="preserve">‘cheap eats’ food precincts. </w:t>
      </w:r>
      <w:r w:rsidR="002366C4">
        <w:t xml:space="preserve">These precincts are </w:t>
      </w:r>
      <w:r w:rsidR="00F27A24">
        <w:t xml:space="preserve">high-density and </w:t>
      </w:r>
      <w:r w:rsidR="002366C4">
        <w:t>highly competitive</w:t>
      </w:r>
      <w:r w:rsidR="00E70766">
        <w:t>,</w:t>
      </w:r>
      <w:r w:rsidR="002366C4">
        <w:t xml:space="preserve"> </w:t>
      </w:r>
      <w:r w:rsidR="006B2365">
        <w:t xml:space="preserve">with </w:t>
      </w:r>
      <w:r w:rsidR="002366C4">
        <w:t xml:space="preserve">businesses </w:t>
      </w:r>
      <w:r w:rsidR="00F27A24">
        <w:t xml:space="preserve">competing on price to </w:t>
      </w:r>
      <w:r w:rsidR="002366C4">
        <w:t xml:space="preserve">attract customers. </w:t>
      </w:r>
      <w:r w:rsidR="006B2365">
        <w:t xml:space="preserve">Open </w:t>
      </w:r>
      <w:r w:rsidR="006D0CF1">
        <w:t>long hours</w:t>
      </w:r>
      <w:r w:rsidR="006B2365">
        <w:t xml:space="preserve"> and</w:t>
      </w:r>
      <w:r w:rsidR="006D0CF1">
        <w:t xml:space="preserve"> seven days a week, businesses may be required to pay penalty rates and overtime. However, a</w:t>
      </w:r>
      <w:r w:rsidR="002366C4">
        <w:t xml:space="preserve">s profit margins </w:t>
      </w:r>
      <w:r w:rsidR="00F27A24">
        <w:t>narrow</w:t>
      </w:r>
      <w:r w:rsidR="002366C4">
        <w:t xml:space="preserve">, </w:t>
      </w:r>
      <w:r w:rsidR="00F27A24">
        <w:t xml:space="preserve">employee wages are often impacted </w:t>
      </w:r>
      <w:r w:rsidR="006D0CF1">
        <w:t xml:space="preserve">in the </w:t>
      </w:r>
      <w:r w:rsidR="006B2365">
        <w:t>drive</w:t>
      </w:r>
      <w:r w:rsidR="006D0CF1">
        <w:t xml:space="preserve"> to </w:t>
      </w:r>
      <w:r w:rsidR="00F27A24">
        <w:t xml:space="preserve">reduce </w:t>
      </w:r>
      <w:r w:rsidR="002366C4">
        <w:t>costs</w:t>
      </w:r>
      <w:r w:rsidR="006D0CF1">
        <w:t>.</w:t>
      </w:r>
    </w:p>
    <w:p w14:paraId="185F792F" w14:textId="30992C45" w:rsidR="009448A0" w:rsidRDefault="006D0CF1" w:rsidP="00F27A24">
      <w:r>
        <w:t xml:space="preserve">Workers are </w:t>
      </w:r>
      <w:r w:rsidR="006B2365">
        <w:t xml:space="preserve">typically </w:t>
      </w:r>
      <w:r w:rsidR="009448A0">
        <w:t>young, students and migrants</w:t>
      </w:r>
      <w:r w:rsidR="00544267">
        <w:t>, often</w:t>
      </w:r>
      <w:r w:rsidR="009448A0">
        <w:t xml:space="preserve"> enteri</w:t>
      </w:r>
      <w:r w:rsidR="00544267">
        <w:t xml:space="preserve">ng the Australian labour market for the first time. </w:t>
      </w:r>
      <w:r>
        <w:t xml:space="preserve">They </w:t>
      </w:r>
      <w:r w:rsidR="00FC7B69">
        <w:t xml:space="preserve">can be </w:t>
      </w:r>
      <w:r w:rsidR="009448A0">
        <w:t>vulnerable to exploitation, due to a lack of awareness or understanding of their entitlements, and an unwillingness to raise concerns with their employer or the FWO.</w:t>
      </w:r>
    </w:p>
    <w:p w14:paraId="55D1E155" w14:textId="1B99FC21" w:rsidR="00563BE0" w:rsidRDefault="00E70766" w:rsidP="00F27A24">
      <w:r>
        <w:lastRenderedPageBreak/>
        <w:t xml:space="preserve">Hardware Lane and Degraves Street </w:t>
      </w:r>
      <w:r w:rsidR="006D0CF1">
        <w:t>are well established</w:t>
      </w:r>
      <w:r>
        <w:t xml:space="preserve"> </w:t>
      </w:r>
      <w:r w:rsidR="006D0CF1">
        <w:t xml:space="preserve">dining </w:t>
      </w:r>
      <w:r>
        <w:t>strips in Melbourne’s CBD</w:t>
      </w:r>
      <w:r w:rsidR="006D0CF1">
        <w:t xml:space="preserve"> that exemplify Melbourne’s </w:t>
      </w:r>
      <w:r>
        <w:t xml:space="preserve">famous ‘laneway culture’, attracting large numbers of tourists and locals. </w:t>
      </w:r>
      <w:r w:rsidR="007A6266">
        <w:t>Audits in the laneways were carried out between December 2018 and March 2020.</w:t>
      </w:r>
    </w:p>
    <w:p w14:paraId="3B63AEEF" w14:textId="74D378D0" w:rsidR="001B6709" w:rsidRDefault="007747D3" w:rsidP="00F27A24">
      <w:r>
        <w:t xml:space="preserve">Brisbane’s West End </w:t>
      </w:r>
      <w:r w:rsidR="00D42511">
        <w:t>attract</w:t>
      </w:r>
      <w:r w:rsidR="0050537B">
        <w:t>s</w:t>
      </w:r>
      <w:r w:rsidR="00D42511">
        <w:t xml:space="preserve"> </w:t>
      </w:r>
      <w:r w:rsidR="008969A8">
        <w:t xml:space="preserve">students and young professionals </w:t>
      </w:r>
      <w:r w:rsidR="007A6266">
        <w:t xml:space="preserve">to its growing and </w:t>
      </w:r>
      <w:r w:rsidR="00994075">
        <w:t xml:space="preserve">vibrant food, music and art scene. </w:t>
      </w:r>
      <w:r w:rsidR="007A6266">
        <w:t xml:space="preserve">With more restaurants and bars opening and many domestic </w:t>
      </w:r>
      <w:r w:rsidR="00994075">
        <w:t xml:space="preserve">and international students </w:t>
      </w:r>
      <w:r w:rsidR="007A6266">
        <w:t>living in the area, it was target</w:t>
      </w:r>
      <w:r w:rsidR="001E1B55">
        <w:t>ed</w:t>
      </w:r>
      <w:r w:rsidR="007A6266">
        <w:t xml:space="preserve"> </w:t>
      </w:r>
      <w:r w:rsidR="001A6223">
        <w:t xml:space="preserve">between </w:t>
      </w:r>
      <w:r w:rsidR="001B6709">
        <w:t>July 2019 and February 2020.</w:t>
      </w:r>
    </w:p>
    <w:p w14:paraId="2AD1F735" w14:textId="5F3D7CC8" w:rsidR="0001530E" w:rsidRDefault="0001530E" w:rsidP="00F27A24">
      <w:r w:rsidRPr="00783A7C">
        <w:t xml:space="preserve">Fair Work Inspectors assessed </w:t>
      </w:r>
      <w:r w:rsidR="00FC7B69">
        <w:t xml:space="preserve">employment </w:t>
      </w:r>
      <w:r w:rsidRPr="00783A7C">
        <w:t xml:space="preserve">records against the </w:t>
      </w:r>
      <w:r w:rsidRPr="00783A7C">
        <w:rPr>
          <w:i/>
        </w:rPr>
        <w:t>Fair Work Act 2009</w:t>
      </w:r>
      <w:r w:rsidRPr="00783A7C">
        <w:t xml:space="preserve"> (the Act), the </w:t>
      </w:r>
      <w:r w:rsidRPr="00783A7C">
        <w:rPr>
          <w:i/>
        </w:rPr>
        <w:t>Fair Work Regulations 2009</w:t>
      </w:r>
      <w:r w:rsidR="00234234">
        <w:t xml:space="preserve"> (the Regulations)</w:t>
      </w:r>
      <w:r w:rsidR="006B2365">
        <w:t xml:space="preserve"> </w:t>
      </w:r>
      <w:r w:rsidR="00234234">
        <w:t xml:space="preserve">and </w:t>
      </w:r>
      <w:r w:rsidRPr="00783A7C">
        <w:t xml:space="preserve">applicable awards (e.g. </w:t>
      </w:r>
      <w:r w:rsidR="00563BE0" w:rsidRPr="00563BE0">
        <w:rPr>
          <w:i/>
        </w:rPr>
        <w:t>Fast Food Industry Award 2010</w:t>
      </w:r>
      <w:r w:rsidR="009448A0">
        <w:t xml:space="preserve"> and </w:t>
      </w:r>
      <w:r w:rsidR="00563BE0" w:rsidRPr="00563BE0">
        <w:rPr>
          <w:i/>
        </w:rPr>
        <w:t>Restaurant Industry Award 2010</w:t>
      </w:r>
      <w:r w:rsidR="009448A0">
        <w:rPr>
          <w:i/>
        </w:rPr>
        <w:t>)</w:t>
      </w:r>
      <w:r w:rsidR="00563BE0" w:rsidRPr="00563BE0">
        <w:rPr>
          <w:i/>
        </w:rPr>
        <w:t xml:space="preserve"> </w:t>
      </w:r>
      <w:r w:rsidRPr="00783A7C">
        <w:t xml:space="preserve">and enterprise agreements. </w:t>
      </w:r>
      <w:r>
        <w:t>Education</w:t>
      </w:r>
      <w:r w:rsidR="00FC7B69">
        <w:t>al</w:t>
      </w:r>
      <w:r w:rsidR="00771067">
        <w:t xml:space="preserve"> resources were </w:t>
      </w:r>
      <w:r w:rsidR="00FC7B69">
        <w:t xml:space="preserve">given </w:t>
      </w:r>
      <w:r>
        <w:t>to employers to assist with compliance.</w:t>
      </w:r>
    </w:p>
    <w:p w14:paraId="2DD22639" w14:textId="77777777" w:rsidR="00D45A54" w:rsidRDefault="00D45A54" w:rsidP="00D45A54">
      <w:pPr>
        <w:pStyle w:val="Heading2"/>
      </w:pPr>
    </w:p>
    <w:p w14:paraId="15493F03" w14:textId="77777777" w:rsidR="00D45A54" w:rsidRDefault="00D45A54" w:rsidP="00D45A54">
      <w:pPr>
        <w:rPr>
          <w:color w:val="1B365D"/>
          <w:sz w:val="32"/>
        </w:rPr>
      </w:pPr>
      <w:r>
        <w:br w:type="page"/>
      </w:r>
    </w:p>
    <w:p w14:paraId="1FA0EDEE" w14:textId="4AA7166A" w:rsidR="00F94C5E" w:rsidRDefault="00F94C5E" w:rsidP="00D45A54">
      <w:pPr>
        <w:pStyle w:val="Heading2"/>
      </w:pPr>
      <w:r>
        <w:lastRenderedPageBreak/>
        <w:t>Our findings</w:t>
      </w:r>
    </w:p>
    <w:p w14:paraId="460F4E24" w14:textId="44B7174C" w:rsidR="003C68BC" w:rsidRDefault="003C68BC" w:rsidP="00544267">
      <w:pPr>
        <w:spacing w:before="240"/>
        <w:jc w:val="both"/>
      </w:pPr>
      <w:r>
        <w:t>80</w:t>
      </w:r>
      <w:r w:rsidR="0001530E" w:rsidRPr="00B507F3">
        <w:t xml:space="preserve"> (</w:t>
      </w:r>
      <w:r>
        <w:t>86</w:t>
      </w:r>
      <w:r w:rsidR="0001530E" w:rsidRPr="00B507F3">
        <w:t>%)</w:t>
      </w:r>
      <w:r w:rsidR="0001530E" w:rsidRPr="006B0440">
        <w:t xml:space="preserve"> </w:t>
      </w:r>
      <w:r w:rsidR="0001530E">
        <w:t>of</w:t>
      </w:r>
      <w:r>
        <w:t xml:space="preserve"> the 93</w:t>
      </w:r>
      <w:r w:rsidR="0001530E">
        <w:t xml:space="preserve"> businesses </w:t>
      </w:r>
      <w:r w:rsidR="005A1EC7">
        <w:t xml:space="preserve">investigated </w:t>
      </w:r>
      <w:r w:rsidR="0001530E">
        <w:t xml:space="preserve">had </w:t>
      </w:r>
      <w:r w:rsidR="0001530E" w:rsidRPr="006B0440">
        <w:t>breach</w:t>
      </w:r>
      <w:r w:rsidR="0001530E">
        <w:t>ed</w:t>
      </w:r>
      <w:r w:rsidR="001E1B55">
        <w:t xml:space="preserve"> </w:t>
      </w:r>
      <w:r w:rsidR="00234234">
        <w:t xml:space="preserve">Australian </w:t>
      </w:r>
      <w:r w:rsidR="001E1B55">
        <w:t>workplace laws:</w:t>
      </w:r>
    </w:p>
    <w:p w14:paraId="292D6E47" w14:textId="5A11E68F" w:rsidR="0001530E" w:rsidRPr="00F27A24" w:rsidRDefault="003C68BC" w:rsidP="00F27A24">
      <w:pPr>
        <w:pStyle w:val="Bullet"/>
      </w:pPr>
      <w:r w:rsidRPr="00F27A24">
        <w:t>25</w:t>
      </w:r>
      <w:r w:rsidR="00563BE0" w:rsidRPr="00F27A24">
        <w:t xml:space="preserve"> </w:t>
      </w:r>
      <w:r w:rsidR="0001530E" w:rsidRPr="00F27A24">
        <w:t>(</w:t>
      </w:r>
      <w:r w:rsidRPr="00F27A24">
        <w:t>31</w:t>
      </w:r>
      <w:r w:rsidR="0001530E" w:rsidRPr="00F27A24">
        <w:t xml:space="preserve">%) were </w:t>
      </w:r>
      <w:r w:rsidR="00771067" w:rsidRPr="00F27A24">
        <w:t>not paying staff correctly</w:t>
      </w:r>
    </w:p>
    <w:p w14:paraId="4EEC6219" w14:textId="08145E9C" w:rsidR="0001530E" w:rsidRPr="00F27A24" w:rsidRDefault="003C68BC" w:rsidP="00F27A24">
      <w:pPr>
        <w:pStyle w:val="Bullet"/>
      </w:pPr>
      <w:r w:rsidRPr="00F27A24">
        <w:t>18</w:t>
      </w:r>
      <w:r w:rsidR="0001530E" w:rsidRPr="00F27A24">
        <w:t xml:space="preserve"> (</w:t>
      </w:r>
      <w:r w:rsidRPr="00F27A24">
        <w:t>23</w:t>
      </w:r>
      <w:r w:rsidR="0001530E" w:rsidRPr="00F27A24">
        <w:t xml:space="preserve">%) </w:t>
      </w:r>
      <w:r w:rsidR="00771067" w:rsidRPr="00F27A24">
        <w:t xml:space="preserve">were </w:t>
      </w:r>
      <w:r w:rsidR="0001530E" w:rsidRPr="00F27A24">
        <w:t>non-compliant with pay</w:t>
      </w:r>
      <w:r w:rsidR="00771067" w:rsidRPr="00F27A24">
        <w:t xml:space="preserve"> </w:t>
      </w:r>
      <w:r w:rsidR="0001530E" w:rsidRPr="00F27A24">
        <w:t>slip and record-keeping requirements</w:t>
      </w:r>
    </w:p>
    <w:p w14:paraId="5D7C3DC9" w14:textId="071C4E25" w:rsidR="0001530E" w:rsidRPr="00F27A24" w:rsidRDefault="003C68BC" w:rsidP="00F27A24">
      <w:pPr>
        <w:pStyle w:val="Bullet"/>
      </w:pPr>
      <w:r w:rsidRPr="00F27A24">
        <w:t>37</w:t>
      </w:r>
      <w:r w:rsidR="00643BFF" w:rsidRPr="00F27A24">
        <w:t xml:space="preserve"> (</w:t>
      </w:r>
      <w:r w:rsidRPr="00F27A24">
        <w:t>46</w:t>
      </w:r>
      <w:r w:rsidR="0001530E" w:rsidRPr="00F27A24">
        <w:t>%) breach</w:t>
      </w:r>
      <w:r w:rsidR="00771067" w:rsidRPr="00F27A24">
        <w:t>ed</w:t>
      </w:r>
      <w:r w:rsidR="0001530E" w:rsidRPr="00F27A24">
        <w:t xml:space="preserve"> both their monetary and non-monetary obligations.</w:t>
      </w:r>
      <w:r w:rsidR="00643BFF" w:rsidRPr="00F27A24">
        <w:rPr>
          <w:vertAlign w:val="superscript"/>
        </w:rPr>
        <w:footnoteReference w:id="2"/>
      </w:r>
    </w:p>
    <w:p w14:paraId="025B26A8" w14:textId="1FCEB1F4" w:rsidR="0001530E" w:rsidRPr="0030758F" w:rsidRDefault="0001530E" w:rsidP="006B2365">
      <w:r w:rsidRPr="0030758F">
        <w:t xml:space="preserve">The most common breaches </w:t>
      </w:r>
      <w:r w:rsidR="00771067">
        <w:t>related to</w:t>
      </w:r>
      <w:r w:rsidRPr="0030758F">
        <w:t>:</w:t>
      </w:r>
    </w:p>
    <w:p w14:paraId="4B008024" w14:textId="65353D28" w:rsidR="00EE0CD7" w:rsidRDefault="001E1B55" w:rsidP="00F27A24">
      <w:pPr>
        <w:pStyle w:val="Bullet"/>
        <w:numPr>
          <w:ilvl w:val="0"/>
          <w:numId w:val="36"/>
        </w:numPr>
      </w:pPr>
      <w:r>
        <w:t>u</w:t>
      </w:r>
      <w:r w:rsidR="00EE0CD7">
        <w:t>nder</w:t>
      </w:r>
      <w:r>
        <w:t xml:space="preserve"> </w:t>
      </w:r>
      <w:r w:rsidR="00EE0CD7">
        <w:t>/</w:t>
      </w:r>
      <w:r>
        <w:t xml:space="preserve"> </w:t>
      </w:r>
      <w:r w:rsidR="00EE0CD7" w:rsidRPr="0030758F">
        <w:t xml:space="preserve">non-payment of penalty rates </w:t>
      </w:r>
      <w:r w:rsidR="00EE0CD7">
        <w:t>(</w:t>
      </w:r>
      <w:r w:rsidR="003C68BC">
        <w:t>32</w:t>
      </w:r>
      <w:r w:rsidR="00EE0CD7" w:rsidRPr="00B507F3">
        <w:t>%)</w:t>
      </w:r>
    </w:p>
    <w:p w14:paraId="1820079E" w14:textId="27A1478A" w:rsidR="0001530E" w:rsidRDefault="0001530E" w:rsidP="00F27A24">
      <w:pPr>
        <w:pStyle w:val="Bullet"/>
        <w:numPr>
          <w:ilvl w:val="0"/>
          <w:numId w:val="36"/>
        </w:numPr>
      </w:pPr>
      <w:r w:rsidRPr="0030758F">
        <w:t>underpayment of minimum hourly rate</w:t>
      </w:r>
      <w:r w:rsidR="00234234">
        <w:t>s</w:t>
      </w:r>
      <w:r w:rsidRPr="0030758F">
        <w:t xml:space="preserve"> (</w:t>
      </w:r>
      <w:r w:rsidR="003C68BC">
        <w:t>21</w:t>
      </w:r>
      <w:r w:rsidRPr="00B507F3">
        <w:t>%</w:t>
      </w:r>
      <w:r w:rsidRPr="0030758F">
        <w:t>)</w:t>
      </w:r>
    </w:p>
    <w:p w14:paraId="2F199E7D" w14:textId="02E39F90" w:rsidR="003C68BC" w:rsidRPr="0030758F" w:rsidRDefault="003C68BC" w:rsidP="00F27A24">
      <w:pPr>
        <w:pStyle w:val="Bullet"/>
        <w:numPr>
          <w:ilvl w:val="0"/>
          <w:numId w:val="36"/>
        </w:numPr>
      </w:pPr>
      <w:r>
        <w:t xml:space="preserve">failure to provide </w:t>
      </w:r>
      <w:r w:rsidRPr="0030758F">
        <w:t>pay slip</w:t>
      </w:r>
      <w:r>
        <w:t>s</w:t>
      </w:r>
      <w:r w:rsidRPr="0030758F">
        <w:t xml:space="preserve"> as </w:t>
      </w:r>
      <w:r>
        <w:t xml:space="preserve">per </w:t>
      </w:r>
      <w:r w:rsidRPr="0030758F">
        <w:t xml:space="preserve">the Act and Regulations </w:t>
      </w:r>
      <w:r w:rsidRPr="00B507F3">
        <w:t>(</w:t>
      </w:r>
      <w:r>
        <w:t>14</w:t>
      </w:r>
      <w:r w:rsidRPr="00B507F3">
        <w:t>%)</w:t>
      </w:r>
      <w:r w:rsidRPr="0030758F">
        <w:t xml:space="preserve"> </w:t>
      </w:r>
    </w:p>
    <w:p w14:paraId="6A1E449C" w14:textId="344D4F62" w:rsidR="00EE0CD7" w:rsidRPr="0030758F" w:rsidRDefault="004D32D3" w:rsidP="00F27A24">
      <w:pPr>
        <w:pStyle w:val="Bullet"/>
        <w:numPr>
          <w:ilvl w:val="0"/>
          <w:numId w:val="36"/>
        </w:numPr>
      </w:pPr>
      <w:r>
        <w:t>failure to comply with record-</w:t>
      </w:r>
      <w:r w:rsidR="00EE0CD7">
        <w:t xml:space="preserve">keeping requirements </w:t>
      </w:r>
      <w:r w:rsidR="001E1B55">
        <w:t xml:space="preserve">in </w:t>
      </w:r>
      <w:r w:rsidR="00EE0CD7">
        <w:t>the Act and Regulations (</w:t>
      </w:r>
      <w:r w:rsidR="003C68BC">
        <w:t>12</w:t>
      </w:r>
      <w:r w:rsidR="00EE0CD7">
        <w:t>%)</w:t>
      </w:r>
      <w:r w:rsidR="006B2365">
        <w:t>.</w:t>
      </w:r>
    </w:p>
    <w:p w14:paraId="2C82C739" w14:textId="77777777" w:rsidR="0001530E" w:rsidRPr="0030758F" w:rsidRDefault="0001530E" w:rsidP="006B2365">
      <w:r w:rsidRPr="0030758F">
        <w:t>Reasons for non-compliance given by employers included:</w:t>
      </w:r>
    </w:p>
    <w:p w14:paraId="4664B589" w14:textId="37B04561" w:rsidR="00563BE0" w:rsidRPr="00563BE0" w:rsidRDefault="001E1B55" w:rsidP="00F27A24">
      <w:pPr>
        <w:pStyle w:val="Bullet"/>
        <w:numPr>
          <w:ilvl w:val="0"/>
          <w:numId w:val="35"/>
        </w:numPr>
        <w:rPr>
          <w:b/>
        </w:rPr>
      </w:pPr>
      <w:r>
        <w:t>lack of awareness</w:t>
      </w:r>
      <w:r w:rsidR="006B2365" w:rsidRPr="00563BE0">
        <w:t xml:space="preserve"> of all workplace relations obligations</w:t>
      </w:r>
      <w:r w:rsidR="006B2365">
        <w:t xml:space="preserve"> (</w:t>
      </w:r>
      <w:r w:rsidR="003C68BC">
        <w:t>64</w:t>
      </w:r>
      <w:r w:rsidR="00563BE0" w:rsidRPr="00563BE0">
        <w:t>%</w:t>
      </w:r>
      <w:r w:rsidR="006B2365">
        <w:t>)</w:t>
      </w:r>
      <w:r w:rsidR="00563BE0" w:rsidRPr="00563BE0">
        <w:t xml:space="preserve"> </w:t>
      </w:r>
    </w:p>
    <w:p w14:paraId="7BB5E7C9" w14:textId="0DAEB58C" w:rsidR="003C68BC" w:rsidRPr="00563BE0" w:rsidRDefault="00BB6A41" w:rsidP="00F27A24">
      <w:pPr>
        <w:pStyle w:val="Bullet"/>
        <w:numPr>
          <w:ilvl w:val="0"/>
          <w:numId w:val="35"/>
        </w:numPr>
        <w:rPr>
          <w:b/>
        </w:rPr>
      </w:pPr>
      <w:r>
        <w:lastRenderedPageBreak/>
        <w:t>paying</w:t>
      </w:r>
      <w:r w:rsidR="006B2365" w:rsidRPr="00563BE0">
        <w:t xml:space="preserve"> flat hourly rates to save on admin</w:t>
      </w:r>
      <w:r>
        <w:t>istration</w:t>
      </w:r>
      <w:r w:rsidR="006B2365" w:rsidRPr="00563BE0">
        <w:t xml:space="preserve"> costs</w:t>
      </w:r>
      <w:r>
        <w:t xml:space="preserve"> but failing to adequately compensate employees </w:t>
      </w:r>
      <w:r w:rsidR="009E64AE">
        <w:t xml:space="preserve">for </w:t>
      </w:r>
      <w:r>
        <w:t>their full entitlement</w:t>
      </w:r>
      <w:r w:rsidR="00234234">
        <w:t>s</w:t>
      </w:r>
      <w:r>
        <w:t xml:space="preserve"> to weekend penalty rates</w:t>
      </w:r>
      <w:r w:rsidR="006B2365">
        <w:t xml:space="preserve"> (</w:t>
      </w:r>
      <w:r w:rsidR="003C68BC">
        <w:t>11</w:t>
      </w:r>
      <w:r w:rsidR="003C68BC" w:rsidRPr="00563BE0">
        <w:t>%</w:t>
      </w:r>
      <w:r w:rsidR="006B2365">
        <w:t>)</w:t>
      </w:r>
      <w:r w:rsidR="003C68BC" w:rsidRPr="00563BE0">
        <w:t xml:space="preserve"> </w:t>
      </w:r>
    </w:p>
    <w:p w14:paraId="209514AD" w14:textId="71424901" w:rsidR="00563BE0" w:rsidRPr="00563BE0" w:rsidRDefault="00234234" w:rsidP="00F27A24">
      <w:pPr>
        <w:pStyle w:val="Bullet"/>
        <w:numPr>
          <w:ilvl w:val="0"/>
          <w:numId w:val="35"/>
        </w:numPr>
        <w:rPr>
          <w:b/>
        </w:rPr>
      </w:pPr>
      <w:r w:rsidRPr="00563BE0">
        <w:t>misinterpret</w:t>
      </w:r>
      <w:r>
        <w:t>ing</w:t>
      </w:r>
      <w:r w:rsidRPr="00563BE0">
        <w:t xml:space="preserve"> </w:t>
      </w:r>
      <w:r w:rsidR="006B2365" w:rsidRPr="00563BE0">
        <w:t>award requirements</w:t>
      </w:r>
      <w:r w:rsidR="006B2365">
        <w:t xml:space="preserve"> (</w:t>
      </w:r>
      <w:r w:rsidR="003C68BC">
        <w:t>10</w:t>
      </w:r>
      <w:r w:rsidR="00563BE0" w:rsidRPr="00563BE0">
        <w:t>%</w:t>
      </w:r>
      <w:r w:rsidR="006B2365">
        <w:t>)</w:t>
      </w:r>
      <w:r w:rsidR="00563BE0" w:rsidRPr="00563BE0">
        <w:t xml:space="preserve"> </w:t>
      </w:r>
    </w:p>
    <w:p w14:paraId="1246E467" w14:textId="7B5D8072" w:rsidR="00563BE0" w:rsidRPr="00563BE0" w:rsidRDefault="006B2365" w:rsidP="00F27A24">
      <w:pPr>
        <w:pStyle w:val="Bullet"/>
        <w:numPr>
          <w:ilvl w:val="0"/>
          <w:numId w:val="35"/>
        </w:numPr>
        <w:rPr>
          <w:b/>
        </w:rPr>
      </w:pPr>
      <w:r>
        <w:t>‘</w:t>
      </w:r>
      <w:r w:rsidRPr="00563BE0">
        <w:t>other’ reasons</w:t>
      </w:r>
      <w:r>
        <w:t xml:space="preserve"> e.g</w:t>
      </w:r>
      <w:r w:rsidR="001E1B55">
        <w:t>.</w:t>
      </w:r>
      <w:r>
        <w:t xml:space="preserve"> </w:t>
      </w:r>
      <w:r w:rsidRPr="00563BE0">
        <w:t xml:space="preserve">payroll </w:t>
      </w:r>
      <w:r>
        <w:t xml:space="preserve">system / </w:t>
      </w:r>
      <w:r w:rsidRPr="00563BE0">
        <w:t xml:space="preserve">software issues </w:t>
      </w:r>
      <w:r>
        <w:t>(</w:t>
      </w:r>
      <w:r w:rsidR="003C68BC">
        <w:t>7</w:t>
      </w:r>
      <w:r w:rsidR="00563BE0" w:rsidRPr="00563BE0">
        <w:t>%</w:t>
      </w:r>
      <w:r>
        <w:t>)</w:t>
      </w:r>
      <w:r w:rsidR="00563BE0" w:rsidRPr="00563BE0">
        <w:t xml:space="preserve"> </w:t>
      </w:r>
    </w:p>
    <w:p w14:paraId="6681DB21" w14:textId="16F79D55" w:rsidR="00507D50" w:rsidRPr="00507D50" w:rsidRDefault="00D42511" w:rsidP="00507D50">
      <w:pPr>
        <w:pStyle w:val="Bullet"/>
        <w:numPr>
          <w:ilvl w:val="0"/>
          <w:numId w:val="35"/>
        </w:numPr>
        <w:rPr>
          <w:b/>
        </w:rPr>
      </w:pPr>
      <w:r w:rsidRPr="00563BE0">
        <w:t>miss</w:t>
      </w:r>
      <w:r>
        <w:t>ing</w:t>
      </w:r>
      <w:r w:rsidRPr="00563BE0">
        <w:t xml:space="preserve"> </w:t>
      </w:r>
      <w:r w:rsidR="006B2365" w:rsidRPr="00563BE0">
        <w:t xml:space="preserve">the </w:t>
      </w:r>
      <w:r w:rsidR="00BB6A41">
        <w:t xml:space="preserve">annual </w:t>
      </w:r>
      <w:r w:rsidR="006B2365" w:rsidRPr="00563BE0">
        <w:t>July wage increase</w:t>
      </w:r>
      <w:r w:rsidR="006B2365">
        <w:t xml:space="preserve"> (</w:t>
      </w:r>
      <w:r w:rsidR="003C68BC">
        <w:t>5</w:t>
      </w:r>
      <w:r w:rsidR="006B2365">
        <w:t>%).</w:t>
      </w:r>
    </w:p>
    <w:p w14:paraId="7148FE38" w14:textId="3460CD2C" w:rsidR="00507D50" w:rsidRDefault="00507D50" w:rsidP="00507D50">
      <w:r>
        <w:t>Compliance results in each precinct are tabled below.</w:t>
      </w:r>
    </w:p>
    <w:p w14:paraId="48D9A3CF" w14:textId="77777777" w:rsidR="00507D50" w:rsidRDefault="00507D50" w:rsidP="00507D50">
      <w:pPr>
        <w:pStyle w:val="Heading3"/>
      </w:pPr>
      <w:r>
        <w:t xml:space="preserve">Table </w:t>
      </w:r>
      <w:r w:rsidR="00F33103">
        <w:fldChar w:fldCharType="begin"/>
      </w:r>
      <w:r w:rsidR="00F33103">
        <w:instrText xml:space="preserve"> SEQ Table \* ARABIC </w:instrText>
      </w:r>
      <w:r w:rsidR="00F33103">
        <w:fldChar w:fldCharType="separate"/>
      </w:r>
      <w:r>
        <w:rPr>
          <w:noProof/>
        </w:rPr>
        <w:t>1</w:t>
      </w:r>
      <w:r w:rsidR="00F33103">
        <w:rPr>
          <w:noProof/>
        </w:rPr>
        <w:fldChar w:fldCharType="end"/>
      </w:r>
      <w:r>
        <w:t xml:space="preserve">: Compliance results by precinct </w:t>
      </w:r>
      <w:r w:rsidRPr="006B2365">
        <w:t>location</w:t>
      </w:r>
    </w:p>
    <w:tbl>
      <w:tblPr>
        <w:tblStyle w:val="TableGrid"/>
        <w:tblW w:w="10154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1418"/>
        <w:gridCol w:w="944"/>
        <w:gridCol w:w="1276"/>
        <w:gridCol w:w="1134"/>
        <w:gridCol w:w="1843"/>
      </w:tblGrid>
      <w:tr w:rsidR="00507D50" w:rsidRPr="00D51D69" w14:paraId="51942F2F" w14:textId="77777777" w:rsidTr="005A1EC7">
        <w:trPr>
          <w:tblHeader/>
        </w:trPr>
        <w:tc>
          <w:tcPr>
            <w:tcW w:w="1413" w:type="dxa"/>
            <w:shd w:val="clear" w:color="auto" w:fill="DAEEF3" w:themeFill="accent5" w:themeFillTint="33"/>
          </w:tcPr>
          <w:p w14:paraId="606E063A" w14:textId="77777777" w:rsidR="00507D50" w:rsidRPr="00D51D69" w:rsidRDefault="00507D50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7F1CA97" w14:textId="5E8ABD29" w:rsidR="00507D50" w:rsidRPr="00D51D69" w:rsidRDefault="00507D50" w:rsidP="005A1EC7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 xml:space="preserve">Total </w:t>
            </w:r>
            <w:r w:rsidR="005A1EC7">
              <w:rPr>
                <w:b/>
                <w:sz w:val="18"/>
                <w:szCs w:val="18"/>
              </w:rPr>
              <w:t>businesses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11F5F5CC" w14:textId="77777777" w:rsidR="00507D50" w:rsidRPr="00D51D69" w:rsidRDefault="00507D50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Non-compliant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3E35F2A" w14:textId="77777777" w:rsidR="00507D50" w:rsidRPr="00D51D69" w:rsidRDefault="00507D50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Contravention letters</w:t>
            </w:r>
          </w:p>
        </w:tc>
        <w:tc>
          <w:tcPr>
            <w:tcW w:w="944" w:type="dxa"/>
            <w:shd w:val="clear" w:color="auto" w:fill="DAEEF3" w:themeFill="accent5" w:themeFillTint="33"/>
          </w:tcPr>
          <w:p w14:paraId="64C68FBE" w14:textId="77777777" w:rsidR="00507D50" w:rsidRPr="00D51D69" w:rsidRDefault="00507D50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Formal cautions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308562C9" w14:textId="77777777" w:rsidR="00507D50" w:rsidRPr="00D51D69" w:rsidRDefault="00507D50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Infringement notices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82B8F0A" w14:textId="77777777" w:rsidR="00507D50" w:rsidRPr="00D51D69" w:rsidRDefault="00507D50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Compliance notices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A1B3A31" w14:textId="77777777" w:rsidR="00507D50" w:rsidRPr="00D51D69" w:rsidRDefault="00507D50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Monies recovered</w:t>
            </w:r>
          </w:p>
        </w:tc>
      </w:tr>
      <w:tr w:rsidR="00507D50" w:rsidRPr="009D61F5" w14:paraId="2E9C3952" w14:textId="77777777" w:rsidTr="005A1EC7">
        <w:tc>
          <w:tcPr>
            <w:tcW w:w="1413" w:type="dxa"/>
          </w:tcPr>
          <w:p w14:paraId="3CE2FF8E" w14:textId="4464EDB0" w:rsidR="00507D50" w:rsidRPr="000C0766" w:rsidRDefault="00507D50" w:rsidP="00507D50">
            <w:pPr>
              <w:rPr>
                <w:b/>
                <w:bCs/>
                <w:sz w:val="18"/>
                <w:szCs w:val="18"/>
              </w:rPr>
            </w:pPr>
            <w:r w:rsidRPr="000C0766">
              <w:rPr>
                <w:b/>
                <w:bCs/>
                <w:sz w:val="18"/>
                <w:szCs w:val="18"/>
              </w:rPr>
              <w:t>Melbourne</w:t>
            </w:r>
            <w:r>
              <w:rPr>
                <w:b/>
                <w:bCs/>
                <w:sz w:val="18"/>
                <w:szCs w:val="18"/>
              </w:rPr>
              <w:t xml:space="preserve"> Laneways</w:t>
            </w:r>
          </w:p>
        </w:tc>
        <w:tc>
          <w:tcPr>
            <w:tcW w:w="1134" w:type="dxa"/>
          </w:tcPr>
          <w:p w14:paraId="6B72D07C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</w:tcPr>
          <w:p w14:paraId="2EB52673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Pr="009D61F5">
              <w:rPr>
                <w:sz w:val="18"/>
                <w:szCs w:val="18"/>
              </w:rPr>
              <w:t>%</w:t>
            </w:r>
          </w:p>
        </w:tc>
        <w:tc>
          <w:tcPr>
            <w:tcW w:w="1418" w:type="dxa"/>
          </w:tcPr>
          <w:p w14:paraId="7690D7ED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44" w:type="dxa"/>
          </w:tcPr>
          <w:p w14:paraId="2DB88A3F" w14:textId="72F9DD0F" w:rsidR="00507D50" w:rsidRPr="009D61F5" w:rsidRDefault="0006199A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14:paraId="1B9C6323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14:paraId="5993FDCB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1D7C4AE9" w14:textId="19EE97B2" w:rsidR="00507D50" w:rsidRDefault="00507D50" w:rsidP="00D45A54">
            <w:pPr>
              <w:spacing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</w:t>
            </w:r>
            <w:r w:rsidR="0006199A" w:rsidRPr="0006199A">
              <w:rPr>
                <w:sz w:val="18"/>
                <w:szCs w:val="18"/>
              </w:rPr>
              <w:t>194,365</w:t>
            </w:r>
          </w:p>
          <w:p w14:paraId="44529147" w14:textId="66A66CEF" w:rsidR="00507D50" w:rsidRPr="009D61F5" w:rsidRDefault="00507D50" w:rsidP="0006199A">
            <w:pPr>
              <w:spacing w:before="0"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(</w:t>
            </w:r>
            <w:r w:rsidR="0006199A">
              <w:rPr>
                <w:sz w:val="18"/>
                <w:szCs w:val="18"/>
              </w:rPr>
              <w:t>186</w:t>
            </w:r>
            <w:r w:rsidR="0006199A" w:rsidRPr="009D61F5">
              <w:rPr>
                <w:sz w:val="18"/>
                <w:szCs w:val="18"/>
              </w:rPr>
              <w:t xml:space="preserve"> </w:t>
            </w:r>
            <w:r w:rsidRPr="009D61F5">
              <w:rPr>
                <w:sz w:val="18"/>
                <w:szCs w:val="18"/>
              </w:rPr>
              <w:t xml:space="preserve">employees </w:t>
            </w:r>
            <w:r>
              <w:rPr>
                <w:sz w:val="18"/>
                <w:szCs w:val="18"/>
              </w:rPr>
              <w:t xml:space="preserve">/ 25 </w:t>
            </w:r>
            <w:r w:rsidRPr="009D61F5">
              <w:rPr>
                <w:sz w:val="18"/>
                <w:szCs w:val="18"/>
              </w:rPr>
              <w:t>business</w:t>
            </w:r>
            <w:r>
              <w:rPr>
                <w:sz w:val="18"/>
                <w:szCs w:val="18"/>
              </w:rPr>
              <w:t>es</w:t>
            </w:r>
            <w:r w:rsidRPr="009D61F5">
              <w:rPr>
                <w:sz w:val="18"/>
                <w:szCs w:val="18"/>
              </w:rPr>
              <w:t>)</w:t>
            </w:r>
          </w:p>
        </w:tc>
      </w:tr>
      <w:tr w:rsidR="00507D50" w:rsidRPr="009D61F5" w14:paraId="522BD023" w14:textId="77777777" w:rsidTr="005A1EC7">
        <w:tc>
          <w:tcPr>
            <w:tcW w:w="1413" w:type="dxa"/>
          </w:tcPr>
          <w:p w14:paraId="3A4FC12D" w14:textId="0F285947" w:rsidR="00507D50" w:rsidRPr="000C0766" w:rsidRDefault="00507D50" w:rsidP="00507D50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Brisbane West End</w:t>
            </w:r>
          </w:p>
        </w:tc>
        <w:tc>
          <w:tcPr>
            <w:tcW w:w="1134" w:type="dxa"/>
          </w:tcPr>
          <w:p w14:paraId="20B2B2A4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14:paraId="027C0883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88%</w:t>
            </w:r>
          </w:p>
        </w:tc>
        <w:tc>
          <w:tcPr>
            <w:tcW w:w="1418" w:type="dxa"/>
          </w:tcPr>
          <w:p w14:paraId="6B5F2F47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</w:tcPr>
          <w:p w14:paraId="3DA59EA5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5C4076C" w14:textId="77777777" w:rsidR="00507D50" w:rsidRPr="009D61F5" w:rsidRDefault="00507D50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14:paraId="1C5D67CB" w14:textId="2E010B71" w:rsidR="00507D50" w:rsidRPr="009D61F5" w:rsidRDefault="00507D50" w:rsidP="000619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6199A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46639B01" w14:textId="68A6B81B" w:rsidR="00507D50" w:rsidRDefault="00507D50" w:rsidP="00D45A54">
            <w:pPr>
              <w:spacing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</w:t>
            </w:r>
            <w:r w:rsidR="0006199A">
              <w:rPr>
                <w:sz w:val="18"/>
                <w:szCs w:val="18"/>
              </w:rPr>
              <w:t>309,073</w:t>
            </w:r>
          </w:p>
          <w:p w14:paraId="763E6168" w14:textId="69CDC2EC" w:rsidR="00507D50" w:rsidRPr="009D61F5" w:rsidRDefault="00507D50" w:rsidP="0006199A">
            <w:pPr>
              <w:spacing w:before="0"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(</w:t>
            </w:r>
            <w:r w:rsidR="0006199A">
              <w:rPr>
                <w:sz w:val="18"/>
                <w:szCs w:val="18"/>
              </w:rPr>
              <w:t>369</w:t>
            </w:r>
            <w:r w:rsidR="0006199A" w:rsidRPr="009D61F5">
              <w:rPr>
                <w:sz w:val="18"/>
                <w:szCs w:val="18"/>
              </w:rPr>
              <w:t xml:space="preserve"> </w:t>
            </w:r>
            <w:r w:rsidRPr="009D61F5">
              <w:rPr>
                <w:sz w:val="18"/>
                <w:szCs w:val="18"/>
              </w:rPr>
              <w:t xml:space="preserve">employees </w:t>
            </w:r>
            <w:r>
              <w:rPr>
                <w:sz w:val="18"/>
                <w:szCs w:val="18"/>
              </w:rPr>
              <w:t xml:space="preserve">/ </w:t>
            </w:r>
            <w:r w:rsidR="0006199A">
              <w:rPr>
                <w:sz w:val="18"/>
                <w:szCs w:val="18"/>
              </w:rPr>
              <w:t xml:space="preserve">28 </w:t>
            </w:r>
            <w:r w:rsidRPr="009D61F5">
              <w:rPr>
                <w:sz w:val="18"/>
                <w:szCs w:val="18"/>
              </w:rPr>
              <w:t>businesses)</w:t>
            </w:r>
          </w:p>
        </w:tc>
      </w:tr>
    </w:tbl>
    <w:p w14:paraId="7D4AFB79" w14:textId="77777777" w:rsidR="001E1B55" w:rsidRDefault="001E1B55" w:rsidP="00666782"/>
    <w:p w14:paraId="75DCA434" w14:textId="409E489E" w:rsidR="00507D50" w:rsidRDefault="00666782" w:rsidP="00666782">
      <w:r>
        <w:t>For background, compliance results in precincts audited previously are included below.</w:t>
      </w:r>
    </w:p>
    <w:p w14:paraId="1340795E" w14:textId="77777777" w:rsidR="00666782" w:rsidRDefault="00666782" w:rsidP="00666782">
      <w:pPr>
        <w:pStyle w:val="Heading3"/>
        <w:contextualSpacing/>
      </w:pPr>
      <w:r>
        <w:lastRenderedPageBreak/>
        <w:t>Table 2: Compliance results in previous food precinct activities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1417"/>
        <w:gridCol w:w="851"/>
        <w:gridCol w:w="1276"/>
        <w:gridCol w:w="1134"/>
        <w:gridCol w:w="1559"/>
      </w:tblGrid>
      <w:tr w:rsidR="00666782" w:rsidRPr="00D51D69" w14:paraId="225D1B0B" w14:textId="77777777" w:rsidTr="00FF1912">
        <w:trPr>
          <w:trHeight w:val="644"/>
          <w:tblHeader/>
        </w:trPr>
        <w:tc>
          <w:tcPr>
            <w:tcW w:w="1555" w:type="dxa"/>
            <w:shd w:val="clear" w:color="auto" w:fill="DAEEF3" w:themeFill="accent5" w:themeFillTint="33"/>
          </w:tcPr>
          <w:p w14:paraId="6B3F7694" w14:textId="77777777" w:rsidR="00666782" w:rsidRPr="00D51D69" w:rsidRDefault="00666782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7CB50A8A" w14:textId="4C306304" w:rsidR="00666782" w:rsidRPr="00D51D69" w:rsidRDefault="00666782" w:rsidP="005A1EC7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 xml:space="preserve">Total </w:t>
            </w:r>
            <w:r w:rsidR="005A1EC7">
              <w:rPr>
                <w:b/>
                <w:sz w:val="18"/>
                <w:szCs w:val="18"/>
              </w:rPr>
              <w:t>businesses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8625D39" w14:textId="77777777" w:rsidR="00666782" w:rsidRPr="00D51D69" w:rsidRDefault="00666782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Non-compliant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009F2EC0" w14:textId="77777777" w:rsidR="00666782" w:rsidRPr="00D51D69" w:rsidRDefault="00666782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Contravention letters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75D12376" w14:textId="77777777" w:rsidR="00666782" w:rsidRPr="00D51D69" w:rsidRDefault="00666782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Formal cautions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34A4A0B" w14:textId="77777777" w:rsidR="00666782" w:rsidRPr="00D51D69" w:rsidRDefault="00666782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Infringement notices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14:paraId="04078E32" w14:textId="77777777" w:rsidR="00666782" w:rsidRPr="00D51D69" w:rsidRDefault="00666782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Compliance notices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0E6D3EE" w14:textId="77777777" w:rsidR="00666782" w:rsidRPr="00D51D69" w:rsidRDefault="00666782" w:rsidP="00D45A54">
            <w:pPr>
              <w:rPr>
                <w:b/>
                <w:sz w:val="18"/>
                <w:szCs w:val="18"/>
              </w:rPr>
            </w:pPr>
            <w:r w:rsidRPr="00D51D69">
              <w:rPr>
                <w:b/>
                <w:sz w:val="18"/>
                <w:szCs w:val="18"/>
              </w:rPr>
              <w:t>Monies recovered</w:t>
            </w:r>
          </w:p>
        </w:tc>
      </w:tr>
      <w:tr w:rsidR="00666782" w:rsidRPr="009D61F5" w14:paraId="663A723D" w14:textId="77777777" w:rsidTr="00FF1912">
        <w:trPr>
          <w:trHeight w:val="848"/>
        </w:trPr>
        <w:tc>
          <w:tcPr>
            <w:tcW w:w="1555" w:type="dxa"/>
          </w:tcPr>
          <w:p w14:paraId="68E336B5" w14:textId="77777777" w:rsidR="00666782" w:rsidRPr="000C0766" w:rsidRDefault="00666782" w:rsidP="00D45A54">
            <w:pPr>
              <w:spacing w:after="0"/>
              <w:rPr>
                <w:b/>
                <w:bCs/>
                <w:sz w:val="18"/>
                <w:szCs w:val="18"/>
              </w:rPr>
            </w:pPr>
            <w:r w:rsidRPr="000C0766">
              <w:rPr>
                <w:b/>
                <w:bCs/>
                <w:sz w:val="18"/>
                <w:szCs w:val="18"/>
              </w:rPr>
              <w:t>Melbourne</w:t>
            </w:r>
            <w:r>
              <w:rPr>
                <w:b/>
                <w:bCs/>
                <w:sz w:val="18"/>
                <w:szCs w:val="18"/>
              </w:rPr>
              <w:t xml:space="preserve"> Streets (VIC)</w:t>
            </w:r>
          </w:p>
        </w:tc>
        <w:tc>
          <w:tcPr>
            <w:tcW w:w="1134" w:type="dxa"/>
          </w:tcPr>
          <w:p w14:paraId="6FB6A30E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4C9A401A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85%</w:t>
            </w:r>
          </w:p>
        </w:tc>
        <w:tc>
          <w:tcPr>
            <w:tcW w:w="1417" w:type="dxa"/>
          </w:tcPr>
          <w:p w14:paraId="549A1490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14:paraId="3613C077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2ECB5B24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4A74399C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7D30517" w14:textId="77777777" w:rsidR="00666782" w:rsidRDefault="00666782" w:rsidP="00D45A54">
            <w:pPr>
              <w:spacing w:after="0"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 xml:space="preserve">$77,116 </w:t>
            </w:r>
          </w:p>
          <w:p w14:paraId="25772105" w14:textId="77777777" w:rsidR="00666782" w:rsidRPr="009D61F5" w:rsidRDefault="00666782" w:rsidP="00D45A54">
            <w:pPr>
              <w:spacing w:before="0" w:after="0"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 xml:space="preserve">(91 employees </w:t>
            </w:r>
            <w:r>
              <w:rPr>
                <w:sz w:val="18"/>
                <w:szCs w:val="18"/>
              </w:rPr>
              <w:t xml:space="preserve">/ </w:t>
            </w:r>
            <w:r w:rsidRPr="009D61F5">
              <w:rPr>
                <w:sz w:val="18"/>
                <w:szCs w:val="18"/>
              </w:rPr>
              <w:t>18 business</w:t>
            </w:r>
            <w:r>
              <w:rPr>
                <w:sz w:val="18"/>
                <w:szCs w:val="18"/>
              </w:rPr>
              <w:t>es</w:t>
            </w:r>
            <w:r w:rsidRPr="009D61F5">
              <w:rPr>
                <w:sz w:val="18"/>
                <w:szCs w:val="18"/>
              </w:rPr>
              <w:t>)</w:t>
            </w:r>
          </w:p>
        </w:tc>
      </w:tr>
      <w:tr w:rsidR="00666782" w:rsidRPr="009D61F5" w14:paraId="59A2190C" w14:textId="77777777" w:rsidTr="00FF1912">
        <w:tc>
          <w:tcPr>
            <w:tcW w:w="1555" w:type="dxa"/>
          </w:tcPr>
          <w:p w14:paraId="6B3D7B8E" w14:textId="77777777" w:rsidR="00666782" w:rsidRPr="007B39E6" w:rsidRDefault="00666782" w:rsidP="00D45A54">
            <w:pPr>
              <w:spacing w:after="0"/>
              <w:rPr>
                <w:b/>
                <w:bCs/>
                <w:sz w:val="18"/>
                <w:szCs w:val="18"/>
              </w:rPr>
            </w:pPr>
            <w:r w:rsidRPr="000C0766">
              <w:rPr>
                <w:b/>
                <w:bCs/>
                <w:sz w:val="18"/>
                <w:szCs w:val="18"/>
              </w:rPr>
              <w:t>Adelaide &amp; Northbridge</w:t>
            </w:r>
            <w:r w:rsidRPr="000C0766">
              <w:rPr>
                <w:rStyle w:val="FootnoteReference"/>
                <w:b/>
                <w:bCs/>
                <w:sz w:val="18"/>
                <w:szCs w:val="18"/>
              </w:rPr>
              <w:footnoteReference w:id="3"/>
            </w:r>
            <w:r>
              <w:rPr>
                <w:b/>
                <w:bCs/>
                <w:sz w:val="18"/>
                <w:szCs w:val="18"/>
              </w:rPr>
              <w:br/>
              <w:t>(SA &amp; WA)</w:t>
            </w:r>
          </w:p>
        </w:tc>
        <w:tc>
          <w:tcPr>
            <w:tcW w:w="1134" w:type="dxa"/>
          </w:tcPr>
          <w:p w14:paraId="30B9D7EB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</w:tcPr>
          <w:p w14:paraId="649D2A69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69%</w:t>
            </w:r>
          </w:p>
        </w:tc>
        <w:tc>
          <w:tcPr>
            <w:tcW w:w="1417" w:type="dxa"/>
          </w:tcPr>
          <w:p w14:paraId="7C70E864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129033E6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4123C3DD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141DCFCD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14:paraId="56B9AF22" w14:textId="77777777" w:rsidR="00666782" w:rsidRDefault="00666782" w:rsidP="00D45A54">
            <w:pPr>
              <w:spacing w:after="0"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$159,364</w:t>
            </w:r>
          </w:p>
          <w:p w14:paraId="2C808604" w14:textId="77777777" w:rsidR="00666782" w:rsidRPr="009D61F5" w:rsidRDefault="00666782" w:rsidP="00D45A54">
            <w:pPr>
              <w:spacing w:before="0" w:after="0"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 xml:space="preserve">(231 employees </w:t>
            </w:r>
            <w:r>
              <w:rPr>
                <w:sz w:val="18"/>
                <w:szCs w:val="18"/>
              </w:rPr>
              <w:t xml:space="preserve">/ </w:t>
            </w:r>
            <w:r w:rsidRPr="009D61F5">
              <w:rPr>
                <w:sz w:val="18"/>
                <w:szCs w:val="18"/>
              </w:rPr>
              <w:t>36 businesses)</w:t>
            </w:r>
          </w:p>
        </w:tc>
      </w:tr>
      <w:tr w:rsidR="00666782" w:rsidRPr="009D61F5" w14:paraId="12813521" w14:textId="77777777" w:rsidTr="00FF1912">
        <w:tc>
          <w:tcPr>
            <w:tcW w:w="1555" w:type="dxa"/>
          </w:tcPr>
          <w:p w14:paraId="3AA7DA25" w14:textId="77777777" w:rsidR="00666782" w:rsidRPr="000C0766" w:rsidRDefault="00666782" w:rsidP="00D45A54">
            <w:pPr>
              <w:spacing w:after="0"/>
              <w:rPr>
                <w:b/>
                <w:sz w:val="18"/>
                <w:szCs w:val="18"/>
              </w:rPr>
            </w:pPr>
            <w:r w:rsidRPr="000C0766">
              <w:rPr>
                <w:b/>
                <w:bCs/>
                <w:sz w:val="18"/>
                <w:szCs w:val="18"/>
              </w:rPr>
              <w:t>Newtown</w:t>
            </w:r>
            <w:r>
              <w:rPr>
                <w:b/>
                <w:bCs/>
                <w:sz w:val="18"/>
                <w:szCs w:val="18"/>
              </w:rPr>
              <w:t xml:space="preserve"> (NSW)</w:t>
            </w:r>
            <w:r>
              <w:rPr>
                <w:rStyle w:val="FootnoteReference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134" w:type="dxa"/>
          </w:tcPr>
          <w:p w14:paraId="54688FC9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14:paraId="4A6103C3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74%</w:t>
            </w:r>
          </w:p>
        </w:tc>
        <w:tc>
          <w:tcPr>
            <w:tcW w:w="1417" w:type="dxa"/>
          </w:tcPr>
          <w:p w14:paraId="06DA1F58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14:paraId="78F11BBA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4C1A794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2446C018" w14:textId="77777777" w:rsidR="00666782" w:rsidRPr="009D61F5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9441EB4" w14:textId="77777777" w:rsidR="00666782" w:rsidRDefault="00666782" w:rsidP="00D45A54">
            <w:pPr>
              <w:spacing w:after="0"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$80</w:t>
            </w:r>
            <w:r>
              <w:rPr>
                <w:sz w:val="18"/>
                <w:szCs w:val="18"/>
              </w:rPr>
              <w:t>,</w:t>
            </w:r>
            <w:r w:rsidRPr="009D61F5">
              <w:rPr>
                <w:sz w:val="18"/>
                <w:szCs w:val="18"/>
              </w:rPr>
              <w:t xml:space="preserve">194 </w:t>
            </w:r>
          </w:p>
          <w:p w14:paraId="555AABE4" w14:textId="77777777" w:rsidR="00666782" w:rsidRPr="009D61F5" w:rsidRDefault="00666782" w:rsidP="00D45A54">
            <w:pPr>
              <w:spacing w:before="0"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D61F5">
              <w:rPr>
                <w:sz w:val="18"/>
                <w:szCs w:val="18"/>
              </w:rPr>
              <w:t xml:space="preserve">286 employees </w:t>
            </w:r>
            <w:r>
              <w:rPr>
                <w:sz w:val="18"/>
                <w:szCs w:val="18"/>
              </w:rPr>
              <w:t>/</w:t>
            </w:r>
            <w:r w:rsidRPr="009D61F5">
              <w:rPr>
                <w:sz w:val="18"/>
                <w:szCs w:val="18"/>
              </w:rPr>
              <w:t xml:space="preserve"> 25 </w:t>
            </w:r>
            <w:r>
              <w:rPr>
                <w:sz w:val="18"/>
                <w:szCs w:val="18"/>
              </w:rPr>
              <w:t>businesses)</w:t>
            </w:r>
          </w:p>
        </w:tc>
      </w:tr>
      <w:tr w:rsidR="00666782" w:rsidRPr="009D61F5" w14:paraId="3514C3F9" w14:textId="77777777" w:rsidTr="00FF1912">
        <w:tc>
          <w:tcPr>
            <w:tcW w:w="1555" w:type="dxa"/>
          </w:tcPr>
          <w:p w14:paraId="01DFEAAA" w14:textId="77777777" w:rsidR="00666782" w:rsidRPr="000C0766" w:rsidRDefault="00666782" w:rsidP="00D45A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Fortitude Valley (QLD)</w:t>
            </w:r>
          </w:p>
        </w:tc>
        <w:tc>
          <w:tcPr>
            <w:tcW w:w="1134" w:type="dxa"/>
          </w:tcPr>
          <w:p w14:paraId="063A2DAA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</w:tcPr>
          <w:p w14:paraId="00F68531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417" w:type="dxa"/>
          </w:tcPr>
          <w:p w14:paraId="0C605647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66DA8FD3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69CC92A1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14:paraId="682222E5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00A1A76D" w14:textId="77777777" w:rsidR="00666782" w:rsidRDefault="00666782" w:rsidP="00D45A54">
            <w:pPr>
              <w:spacing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64,941</w:t>
            </w:r>
          </w:p>
          <w:p w14:paraId="54A0BA37" w14:textId="77777777" w:rsidR="00666782" w:rsidRPr="009D61F5" w:rsidRDefault="00666782" w:rsidP="00D45A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(180</w:t>
            </w:r>
            <w:r w:rsidRPr="009D61F5">
              <w:rPr>
                <w:sz w:val="18"/>
                <w:szCs w:val="18"/>
              </w:rPr>
              <w:t xml:space="preserve"> employees </w:t>
            </w:r>
            <w:r>
              <w:rPr>
                <w:sz w:val="18"/>
                <w:szCs w:val="18"/>
              </w:rPr>
              <w:t>/</w:t>
            </w:r>
            <w:r w:rsidRPr="009D61F5">
              <w:rPr>
                <w:sz w:val="18"/>
                <w:szCs w:val="18"/>
              </w:rPr>
              <w:t xml:space="preserve"> 25 </w:t>
            </w:r>
            <w:r>
              <w:rPr>
                <w:sz w:val="18"/>
                <w:szCs w:val="18"/>
              </w:rPr>
              <w:t>businesses)</w:t>
            </w:r>
          </w:p>
        </w:tc>
      </w:tr>
      <w:tr w:rsidR="00666782" w:rsidRPr="009D61F5" w14:paraId="5C6C80C6" w14:textId="77777777" w:rsidTr="00FF1912">
        <w:tc>
          <w:tcPr>
            <w:tcW w:w="1555" w:type="dxa"/>
          </w:tcPr>
          <w:p w14:paraId="78AEED49" w14:textId="77777777" w:rsidR="00666782" w:rsidRPr="000C0766" w:rsidRDefault="00666782" w:rsidP="00D45A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Glebe Point Road (NSW)</w:t>
            </w:r>
          </w:p>
        </w:tc>
        <w:tc>
          <w:tcPr>
            <w:tcW w:w="1134" w:type="dxa"/>
          </w:tcPr>
          <w:p w14:paraId="69D214CF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14:paraId="3B753CD0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70%</w:t>
            </w:r>
          </w:p>
        </w:tc>
        <w:tc>
          <w:tcPr>
            <w:tcW w:w="1417" w:type="dxa"/>
          </w:tcPr>
          <w:p w14:paraId="1BAADBD2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04BFBC1E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14:paraId="4AA0808C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0A7056CD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14:paraId="12BEA515" w14:textId="77777777" w:rsidR="00666782" w:rsidRDefault="00666782" w:rsidP="00D45A54">
            <w:pPr>
              <w:spacing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188,125</w:t>
            </w:r>
            <w:r w:rsidRPr="009D61F5">
              <w:rPr>
                <w:sz w:val="18"/>
                <w:szCs w:val="18"/>
              </w:rPr>
              <w:t xml:space="preserve"> </w:t>
            </w:r>
          </w:p>
          <w:p w14:paraId="36CFC95B" w14:textId="77777777" w:rsidR="00666782" w:rsidRPr="009D61F5" w:rsidRDefault="00666782" w:rsidP="00D45A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(176</w:t>
            </w:r>
            <w:r w:rsidRPr="009D61F5">
              <w:rPr>
                <w:sz w:val="18"/>
                <w:szCs w:val="18"/>
              </w:rPr>
              <w:t xml:space="preserve"> employees </w:t>
            </w:r>
            <w:r>
              <w:rPr>
                <w:sz w:val="18"/>
                <w:szCs w:val="18"/>
              </w:rPr>
              <w:t>/ 29</w:t>
            </w:r>
            <w:r w:rsidRPr="009D6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businesses)</w:t>
            </w:r>
          </w:p>
        </w:tc>
      </w:tr>
      <w:tr w:rsidR="00666782" w:rsidRPr="009D61F5" w14:paraId="7E146D3B" w14:textId="77777777" w:rsidTr="00FF1912">
        <w:tc>
          <w:tcPr>
            <w:tcW w:w="1555" w:type="dxa"/>
          </w:tcPr>
          <w:p w14:paraId="4995082B" w14:textId="77777777" w:rsidR="00666782" w:rsidRPr="000C0766" w:rsidRDefault="00666782" w:rsidP="00D45A5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Victoria Street, Richmond (VIC)</w:t>
            </w:r>
            <w:r>
              <w:rPr>
                <w:rStyle w:val="FootnoteReference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134" w:type="dxa"/>
          </w:tcPr>
          <w:p w14:paraId="75672419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</w:tcPr>
          <w:p w14:paraId="10E0C20E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81%</w:t>
            </w:r>
          </w:p>
        </w:tc>
        <w:tc>
          <w:tcPr>
            <w:tcW w:w="1417" w:type="dxa"/>
          </w:tcPr>
          <w:p w14:paraId="19814704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</w:tcPr>
          <w:p w14:paraId="0F8E1336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276" w:type="dxa"/>
          </w:tcPr>
          <w:p w14:paraId="5883BF47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14DFDA1" w14:textId="77777777" w:rsidR="00666782" w:rsidRDefault="00666782" w:rsidP="00D45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807E67A" w14:textId="77777777" w:rsidR="00666782" w:rsidRDefault="00666782" w:rsidP="00D45A54">
            <w:pPr>
              <w:spacing w:line="276" w:lineRule="auto"/>
              <w:rPr>
                <w:sz w:val="18"/>
                <w:szCs w:val="18"/>
              </w:rPr>
            </w:pPr>
            <w:r w:rsidRPr="009D61F5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218,838</w:t>
            </w:r>
            <w:r w:rsidRPr="009D61F5">
              <w:rPr>
                <w:sz w:val="18"/>
                <w:szCs w:val="18"/>
              </w:rPr>
              <w:t xml:space="preserve"> </w:t>
            </w:r>
          </w:p>
          <w:p w14:paraId="222199C2" w14:textId="77777777" w:rsidR="00666782" w:rsidRPr="009D61F5" w:rsidRDefault="00666782" w:rsidP="00D45A5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(260</w:t>
            </w:r>
            <w:r w:rsidRPr="009D61F5">
              <w:rPr>
                <w:sz w:val="18"/>
                <w:szCs w:val="18"/>
              </w:rPr>
              <w:t xml:space="preserve"> employees </w:t>
            </w:r>
            <w:r>
              <w:rPr>
                <w:sz w:val="18"/>
                <w:szCs w:val="18"/>
              </w:rPr>
              <w:t>/</w:t>
            </w:r>
            <w:r w:rsidRPr="009D6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48</w:t>
            </w:r>
            <w:r w:rsidRPr="009D61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businesses)</w:t>
            </w:r>
          </w:p>
        </w:tc>
      </w:tr>
    </w:tbl>
    <w:p w14:paraId="7ACDEA3E" w14:textId="53C5AA4A" w:rsidR="00F94C5E" w:rsidRDefault="00A31966" w:rsidP="00544267">
      <w:pPr>
        <w:pStyle w:val="Heading2"/>
        <w:jc w:val="both"/>
      </w:pPr>
      <w:r>
        <w:lastRenderedPageBreak/>
        <w:t>Action taken and next steps</w:t>
      </w:r>
    </w:p>
    <w:p w14:paraId="5593424A" w14:textId="478564FA" w:rsidR="00771067" w:rsidRDefault="00771067" w:rsidP="006B2365">
      <w:r w:rsidRPr="006D19EE">
        <w:t>Employers were required to fix non-compliance and provide evidence of action taken, for example proof of payment of outstanding employee entitlements</w:t>
      </w:r>
      <w:r w:rsidRPr="009147FE">
        <w:t>.</w:t>
      </w:r>
    </w:p>
    <w:p w14:paraId="1496D3D7" w14:textId="38F50A85" w:rsidR="00771067" w:rsidRPr="00771067" w:rsidRDefault="00771067" w:rsidP="006B2365">
      <w:r w:rsidRPr="004D32D3">
        <w:t xml:space="preserve">We recovered </w:t>
      </w:r>
      <w:r w:rsidR="00867484" w:rsidRPr="00867484">
        <w:t xml:space="preserve">$503,438 </w:t>
      </w:r>
      <w:r w:rsidR="00E1095E">
        <w:t>from</w:t>
      </w:r>
      <w:r w:rsidR="00867484" w:rsidRPr="00867484">
        <w:t xml:space="preserve"> 53 businesses for 555 employees</w:t>
      </w:r>
      <w:r w:rsidR="00563BE0" w:rsidRPr="004D32D3">
        <w:t>.</w:t>
      </w:r>
      <w:r w:rsidR="001544FA" w:rsidRPr="004D32D3">
        <w:t xml:space="preserve"> Recoveries </w:t>
      </w:r>
      <w:r w:rsidR="0089769C">
        <w:t>from</w:t>
      </w:r>
      <w:r w:rsidR="0089769C" w:rsidRPr="004D32D3">
        <w:t xml:space="preserve"> </w:t>
      </w:r>
      <w:r w:rsidR="001544FA" w:rsidRPr="004D32D3">
        <w:t>individual businesses</w:t>
      </w:r>
      <w:r w:rsidR="001544FA">
        <w:t xml:space="preserve"> ranged from $</w:t>
      </w:r>
      <w:r w:rsidR="0089769C">
        <w:t>30</w:t>
      </w:r>
      <w:r w:rsidR="001544FA">
        <w:t xml:space="preserve"> for </w:t>
      </w:r>
      <w:r w:rsidR="0089769C">
        <w:t>1</w:t>
      </w:r>
      <w:r w:rsidR="001544FA">
        <w:t xml:space="preserve"> employee</w:t>
      </w:r>
      <w:r w:rsidR="006B2365">
        <w:t>,</w:t>
      </w:r>
      <w:r w:rsidR="001544FA">
        <w:t xml:space="preserve"> to $</w:t>
      </w:r>
      <w:r w:rsidR="00867484">
        <w:t>62,215</w:t>
      </w:r>
      <w:r w:rsidR="001544FA">
        <w:t xml:space="preserve"> for </w:t>
      </w:r>
      <w:r w:rsidR="0043502D">
        <w:t>47 employees</w:t>
      </w:r>
      <w:r w:rsidR="001544FA">
        <w:t>.</w:t>
      </w:r>
    </w:p>
    <w:p w14:paraId="637F9B5E" w14:textId="67371222" w:rsidR="00771067" w:rsidRPr="006D19EE" w:rsidRDefault="00771067" w:rsidP="00544267">
      <w:pPr>
        <w:jc w:val="both"/>
      </w:pPr>
      <w:r>
        <w:t>Fair Work Inspectors issued:</w:t>
      </w:r>
    </w:p>
    <w:p w14:paraId="7C12339B" w14:textId="65C3D257" w:rsidR="00563BE0" w:rsidRPr="00507D50" w:rsidRDefault="002E1886" w:rsidP="00507D50">
      <w:pPr>
        <w:pStyle w:val="Bullet"/>
      </w:pPr>
      <w:bookmarkStart w:id="1" w:name="_Toc15039103"/>
      <w:r w:rsidRPr="00507D50">
        <w:t xml:space="preserve">1 </w:t>
      </w:r>
      <w:r w:rsidR="006B2365" w:rsidRPr="00507D50">
        <w:t>contravention l</w:t>
      </w:r>
      <w:r w:rsidR="00563BE0" w:rsidRPr="00507D50">
        <w:t>etter</w:t>
      </w:r>
    </w:p>
    <w:p w14:paraId="1CA26F41" w14:textId="3C9AD89D" w:rsidR="00BB6A41" w:rsidRPr="00507D50" w:rsidRDefault="00867484" w:rsidP="00BB6A41">
      <w:pPr>
        <w:pStyle w:val="Bullet"/>
      </w:pPr>
      <w:r>
        <w:t>19</w:t>
      </w:r>
      <w:r w:rsidR="006B2365" w:rsidRPr="00507D50">
        <w:t xml:space="preserve"> formal c</w:t>
      </w:r>
      <w:r w:rsidR="00563BE0" w:rsidRPr="00507D50">
        <w:t>autions</w:t>
      </w:r>
      <w:r w:rsidR="00BB6A41">
        <w:t xml:space="preserve">, advising of contraventions and </w:t>
      </w:r>
      <w:r w:rsidR="00BB6A41" w:rsidRPr="00507D50">
        <w:t>putting the employer on notice about consequences of continued non-compliance</w:t>
      </w:r>
    </w:p>
    <w:p w14:paraId="24A968A4" w14:textId="77777777" w:rsidR="00A644CB" w:rsidRDefault="00A644CB" w:rsidP="00507D50">
      <w:pPr>
        <w:pStyle w:val="Bullet"/>
      </w:pPr>
      <w:r w:rsidRPr="00507D50">
        <w:t>51 infringement notices, totalling $101,220 in penalties for pay slip and record-keeping breaches</w:t>
      </w:r>
    </w:p>
    <w:p w14:paraId="28C48151" w14:textId="38F8860D" w:rsidR="00544267" w:rsidRPr="00507D50" w:rsidRDefault="002E1886" w:rsidP="00A644CB">
      <w:pPr>
        <w:pStyle w:val="Bullet"/>
      </w:pPr>
      <w:r w:rsidRPr="00507D50">
        <w:t>4</w:t>
      </w:r>
      <w:r w:rsidR="00813485" w:rsidRPr="00507D50">
        <w:t>2</w:t>
      </w:r>
      <w:r w:rsidR="00563BE0" w:rsidRPr="00507D50">
        <w:t xml:space="preserve"> </w:t>
      </w:r>
      <w:r w:rsidR="006B2365" w:rsidRPr="00507D50">
        <w:t>c</w:t>
      </w:r>
      <w:r w:rsidR="00563BE0" w:rsidRPr="00507D50">
        <w:t xml:space="preserve">ompliance </w:t>
      </w:r>
      <w:r w:rsidR="006B2365" w:rsidRPr="00507D50">
        <w:t>n</w:t>
      </w:r>
      <w:r w:rsidR="00563BE0" w:rsidRPr="00507D50">
        <w:t xml:space="preserve">otices, with back payments totalling </w:t>
      </w:r>
      <w:r w:rsidR="00867484" w:rsidRPr="00867484">
        <w:t>$443,164 for 473 employees</w:t>
      </w:r>
      <w:r w:rsidR="006B2365" w:rsidRPr="00867484">
        <w:t>.</w:t>
      </w:r>
    </w:p>
    <w:p w14:paraId="47B2C67D" w14:textId="70413509" w:rsidR="001E0EA5" w:rsidRDefault="009E64AE" w:rsidP="001E0EA5">
      <w:r>
        <w:t xml:space="preserve">One litigation has commenced against </w:t>
      </w:r>
      <w:r w:rsidRPr="009E64AE">
        <w:t>Shri Krishna Pty Ltd, which operates three Little Cupcakes retail stores in Melbourne</w:t>
      </w:r>
      <w:r>
        <w:t>, including on</w:t>
      </w:r>
      <w:r w:rsidR="001E0EA5">
        <w:t>e</w:t>
      </w:r>
      <w:r>
        <w:t xml:space="preserve"> </w:t>
      </w:r>
      <w:r w:rsidR="001E0EA5">
        <w:t xml:space="preserve">on </w:t>
      </w:r>
      <w:r w:rsidRPr="009E64AE">
        <w:t>Degraves Street</w:t>
      </w:r>
      <w:r>
        <w:t xml:space="preserve">. </w:t>
      </w:r>
      <w:r w:rsidR="001E0EA5" w:rsidRPr="001E0EA5">
        <w:t xml:space="preserve">The FWO alleges 35 employees </w:t>
      </w:r>
      <w:r w:rsidR="001E0EA5">
        <w:t xml:space="preserve">(including 10 juniors aged under 21 years) were </w:t>
      </w:r>
      <w:r w:rsidR="001E0EA5" w:rsidRPr="001E0EA5">
        <w:t xml:space="preserve">underpaid a </w:t>
      </w:r>
      <w:r w:rsidR="001E0EA5">
        <w:t xml:space="preserve">total of </w:t>
      </w:r>
      <w:r w:rsidR="001E0EA5">
        <w:lastRenderedPageBreak/>
        <w:t xml:space="preserve">$57,179.69. </w:t>
      </w:r>
      <w:r w:rsidR="001E0EA5" w:rsidRPr="001E0EA5">
        <w:t xml:space="preserve">The company faces </w:t>
      </w:r>
      <w:bookmarkStart w:id="2" w:name="_Hlk49854991"/>
      <w:r w:rsidR="001E0EA5" w:rsidRPr="001E0EA5">
        <w:t>penalties of up to</w:t>
      </w:r>
      <w:r w:rsidR="00CC2C8A">
        <w:t xml:space="preserve"> </w:t>
      </w:r>
      <w:r w:rsidR="00CC2C8A" w:rsidRPr="00CC2C8A">
        <w:t xml:space="preserve">$63,000 per contravention, </w:t>
      </w:r>
      <w:r w:rsidR="00CC2C8A">
        <w:t xml:space="preserve">and director </w:t>
      </w:r>
      <w:r w:rsidR="00CC2C8A" w:rsidRPr="001E0EA5">
        <w:t>Shreyansh Dharmesh</w:t>
      </w:r>
      <w:r w:rsidR="00CC2C8A">
        <w:rPr>
          <w:rFonts w:ascii="Verdana" w:hAnsi="Verdana"/>
          <w:sz w:val="20"/>
          <w:szCs w:val="20"/>
          <w:lang w:val="en-US"/>
        </w:rPr>
        <w:t xml:space="preserve"> </w:t>
      </w:r>
      <w:r w:rsidR="00CC2C8A" w:rsidRPr="001E0EA5">
        <w:t xml:space="preserve">Shah </w:t>
      </w:r>
      <w:r w:rsidR="00CC2C8A" w:rsidRPr="00CC2C8A">
        <w:t>faces penalties of up to $12,600 per contravention</w:t>
      </w:r>
      <w:bookmarkEnd w:id="2"/>
      <w:r w:rsidR="00CC2C8A" w:rsidRPr="00CC2C8A">
        <w:t>.</w:t>
      </w:r>
      <w:r w:rsidR="00FC7B69">
        <w:rPr>
          <w:rStyle w:val="FootnoteReference"/>
        </w:rPr>
        <w:footnoteReference w:id="6"/>
      </w:r>
    </w:p>
    <w:p w14:paraId="57366442" w14:textId="6C6C2C85" w:rsidR="00E6260F" w:rsidRDefault="00507D50" w:rsidP="00507D50">
      <w:r>
        <w:t xml:space="preserve">Legal action is being considered against two </w:t>
      </w:r>
      <w:r w:rsidR="00FC7B69">
        <w:t>employers</w:t>
      </w:r>
      <w:r>
        <w:t xml:space="preserve"> for failing to </w:t>
      </w:r>
      <w:r w:rsidR="00E6260F">
        <w:t xml:space="preserve">comply with a </w:t>
      </w:r>
      <w:r>
        <w:t>c</w:t>
      </w:r>
      <w:r w:rsidR="00E6260F">
        <w:t>omplian</w:t>
      </w:r>
      <w:r w:rsidR="008B541F">
        <w:t xml:space="preserve">ce </w:t>
      </w:r>
      <w:r>
        <w:t>n</w:t>
      </w:r>
      <w:r w:rsidR="008B541F">
        <w:t>otice.</w:t>
      </w:r>
    </w:p>
    <w:p w14:paraId="0FFC598E" w14:textId="2937B942" w:rsidR="00563BE0" w:rsidRDefault="00507D50" w:rsidP="00507D50">
      <w:r>
        <w:t xml:space="preserve">We are </w:t>
      </w:r>
      <w:r w:rsidR="00E6260F">
        <w:t xml:space="preserve">in discussions with another 4 </w:t>
      </w:r>
      <w:r w:rsidR="00FC7B69">
        <w:t>employers</w:t>
      </w:r>
      <w:r w:rsidR="00F627F5">
        <w:t xml:space="preserve"> who were </w:t>
      </w:r>
      <w:r>
        <w:t>issued c</w:t>
      </w:r>
      <w:r w:rsidR="00E6260F">
        <w:t xml:space="preserve">ompliance </w:t>
      </w:r>
      <w:r>
        <w:t>n</w:t>
      </w:r>
      <w:r w:rsidR="00E6260F">
        <w:t>otices</w:t>
      </w:r>
      <w:r w:rsidR="00234234">
        <w:t>,</w:t>
      </w:r>
      <w:r w:rsidR="00E6260F" w:rsidRPr="00E6260F">
        <w:t xml:space="preserve"> </w:t>
      </w:r>
      <w:r>
        <w:t xml:space="preserve">that are claiming </w:t>
      </w:r>
      <w:r w:rsidR="00E6260F">
        <w:t xml:space="preserve">severe </w:t>
      </w:r>
      <w:r w:rsidR="00BB6A41">
        <w:t xml:space="preserve">financial </w:t>
      </w:r>
      <w:r w:rsidR="00E6260F">
        <w:t xml:space="preserve">hardship due to the </w:t>
      </w:r>
      <w:r w:rsidR="00E6260F" w:rsidRPr="00E6260F">
        <w:t xml:space="preserve">COVID-19 pandemic. </w:t>
      </w:r>
      <w:r w:rsidR="009E64AE">
        <w:t>F</w:t>
      </w:r>
      <w:r w:rsidR="00BB6A41">
        <w:t>urther e</w:t>
      </w:r>
      <w:r w:rsidR="00544267">
        <w:t xml:space="preserve">nforcement </w:t>
      </w:r>
      <w:r w:rsidR="00BB6A41">
        <w:t xml:space="preserve">action </w:t>
      </w:r>
      <w:r>
        <w:t xml:space="preserve">will </w:t>
      </w:r>
      <w:r w:rsidR="00E6260F">
        <w:t xml:space="preserve">depend </w:t>
      </w:r>
      <w:r w:rsidR="001E1B55">
        <w:t xml:space="preserve">on </w:t>
      </w:r>
      <w:r w:rsidR="00D42511">
        <w:t xml:space="preserve">factors including </w:t>
      </w:r>
      <w:r w:rsidR="00E6260F">
        <w:t>each business</w:t>
      </w:r>
      <w:r>
        <w:t>’</w:t>
      </w:r>
      <w:r w:rsidR="00D42511">
        <w:t>s</w:t>
      </w:r>
      <w:r w:rsidR="00BB6A41">
        <w:t xml:space="preserve"> response and commitment to remedying </w:t>
      </w:r>
      <w:r w:rsidR="00544267">
        <w:t>the non-compliance</w:t>
      </w:r>
      <w:r w:rsidR="00E6260F" w:rsidRPr="00E6260F">
        <w:t>.</w:t>
      </w:r>
      <w:r w:rsidR="00D42511">
        <w:t xml:space="preserve"> The FWO </w:t>
      </w:r>
      <w:r w:rsidR="00D42511" w:rsidRPr="00D42511">
        <w:t>continue</w:t>
      </w:r>
      <w:r w:rsidR="00D42511">
        <w:t>s</w:t>
      </w:r>
      <w:r w:rsidR="00D42511" w:rsidRPr="00D42511">
        <w:t xml:space="preserve"> to enforce workplace laws in a proportionate manner during the </w:t>
      </w:r>
      <w:r w:rsidR="00924FC7" w:rsidRPr="00D42511">
        <w:t>pandemic</w:t>
      </w:r>
      <w:r w:rsidR="00E1095E">
        <w:t>;</w:t>
      </w:r>
      <w:r w:rsidR="00924FC7" w:rsidRPr="00D42511">
        <w:t xml:space="preserve"> </w:t>
      </w:r>
      <w:r w:rsidR="00D42511" w:rsidRPr="00D42511">
        <w:t>hold</w:t>
      </w:r>
      <w:r w:rsidR="00E1095E">
        <w:t>ing</w:t>
      </w:r>
      <w:r w:rsidR="00D42511" w:rsidRPr="00D42511">
        <w:t xml:space="preserve"> employers to account in order to protect employees</w:t>
      </w:r>
      <w:r w:rsidR="00D42511">
        <w:t>.</w:t>
      </w:r>
    </w:p>
    <w:p w14:paraId="43E6083B" w14:textId="43FEF284" w:rsidR="007B39E6" w:rsidRPr="00C1692F" w:rsidRDefault="00507D50" w:rsidP="00507D50">
      <w:r>
        <w:t>We support</w:t>
      </w:r>
      <w:r w:rsidR="007B39E6">
        <w:t xml:space="preserve"> compliance in </w:t>
      </w:r>
      <w:r w:rsidR="007B39E6" w:rsidRPr="00C1692F">
        <w:t>the</w:t>
      </w:r>
      <w:r w:rsidR="007B39E6">
        <w:t xml:space="preserve"> FRAC sector through:</w:t>
      </w:r>
    </w:p>
    <w:p w14:paraId="6AD6AB54" w14:textId="178A6AFB" w:rsidR="007B39E6" w:rsidRPr="007B39E6" w:rsidRDefault="007B39E6" w:rsidP="00507D50">
      <w:pPr>
        <w:pStyle w:val="Bullet"/>
      </w:pPr>
      <w:r w:rsidRPr="007B39E6">
        <w:t xml:space="preserve">business and stakeholder </w:t>
      </w:r>
      <w:r w:rsidR="00666782">
        <w:t xml:space="preserve">engagement </w:t>
      </w:r>
      <w:r w:rsidRPr="007B39E6">
        <w:t>to educate and drive behaviour change</w:t>
      </w:r>
    </w:p>
    <w:p w14:paraId="4877A4EF" w14:textId="065A2F6B" w:rsidR="007B39E6" w:rsidRPr="007B39E6" w:rsidRDefault="00666782" w:rsidP="00507D50">
      <w:pPr>
        <w:pStyle w:val="Bullet"/>
      </w:pPr>
      <w:r>
        <w:t>targeted</w:t>
      </w:r>
      <w:r w:rsidR="007B39E6" w:rsidRPr="007B39E6">
        <w:t xml:space="preserve"> communications to increase awareness of and engagement with workplace laws</w:t>
      </w:r>
    </w:p>
    <w:p w14:paraId="47604540" w14:textId="73DCF159" w:rsidR="00663623" w:rsidRPr="007B39E6" w:rsidRDefault="00666782" w:rsidP="00507D50">
      <w:pPr>
        <w:pStyle w:val="Bullet"/>
      </w:pPr>
      <w:r w:rsidRPr="00C1692F">
        <w:lastRenderedPageBreak/>
        <w:t xml:space="preserve">dedicated </w:t>
      </w:r>
      <w:r>
        <w:t xml:space="preserve">online information </w:t>
      </w:r>
      <w:r w:rsidRPr="00C1692F">
        <w:t>and resources</w:t>
      </w:r>
      <w:r w:rsidRPr="007B39E6">
        <w:t xml:space="preserve"> </w:t>
      </w:r>
      <w:r w:rsidR="007B39E6" w:rsidRPr="007B39E6">
        <w:t xml:space="preserve">to make compliance easier for employers, such as our interactive </w:t>
      </w:r>
      <w:r w:rsidR="007B39E6" w:rsidRPr="007B39E6">
        <w:rPr>
          <w:i/>
        </w:rPr>
        <w:t>Fast Food Industry 2010</w:t>
      </w:r>
      <w:r w:rsidR="007B39E6" w:rsidRPr="007B39E6">
        <w:t xml:space="preserve"> and </w:t>
      </w:r>
      <w:r w:rsidR="007B39E6" w:rsidRPr="007B39E6">
        <w:rPr>
          <w:i/>
        </w:rPr>
        <w:t>Restaurant Industry Award 2010</w:t>
      </w:r>
      <w:r w:rsidR="007B39E6" w:rsidRPr="007B39E6">
        <w:t xml:space="preserve"> tools</w:t>
      </w:r>
      <w:r w:rsidR="007B39E6" w:rsidRPr="007B39E6">
        <w:rPr>
          <w:vertAlign w:val="superscript"/>
        </w:rPr>
        <w:footnoteReference w:id="7"/>
      </w:r>
    </w:p>
    <w:p w14:paraId="534D7979" w14:textId="7E70047F" w:rsidR="00663623" w:rsidRPr="002A65CC" w:rsidRDefault="00666782" w:rsidP="00507D50">
      <w:pPr>
        <w:pStyle w:val="Bullet"/>
      </w:pPr>
      <w:r w:rsidRPr="00764779">
        <w:t xml:space="preserve">a </w:t>
      </w:r>
      <w:r>
        <w:t>continued focus on compliance monitoring and</w:t>
      </w:r>
      <w:r w:rsidR="001E1B55">
        <w:t xml:space="preserve"> enforcement activities in high-</w:t>
      </w:r>
      <w:r>
        <w:t>risk sectors</w:t>
      </w:r>
      <w:r w:rsidR="00663623">
        <w:t>.</w:t>
      </w:r>
    </w:p>
    <w:bookmarkEnd w:id="1"/>
    <w:p w14:paraId="5595E6D1" w14:textId="483A61FA" w:rsidR="00FC7B69" w:rsidRDefault="00FC7B69" w:rsidP="00FC7B69">
      <w:r>
        <w:t>We</w:t>
      </w:r>
      <w:r w:rsidRPr="00440AAF">
        <w:t xml:space="preserve"> </w:t>
      </w:r>
      <w:r>
        <w:t>expect</w:t>
      </w:r>
      <w:r w:rsidRPr="00AF149D">
        <w:t xml:space="preserve"> employers to comply with all </w:t>
      </w:r>
      <w:r w:rsidRPr="00CC7123">
        <w:t>workplace relations obligations</w:t>
      </w:r>
      <w:r>
        <w:t>.</w:t>
      </w:r>
      <w:r w:rsidRPr="00AF149D">
        <w:t xml:space="preserve"> </w:t>
      </w:r>
      <w:r>
        <w:t xml:space="preserve">To assist them to comply, they can </w:t>
      </w:r>
      <w:r w:rsidRPr="00440AAF">
        <w:t xml:space="preserve">utilise </w:t>
      </w:r>
      <w:r>
        <w:t>our free tools and resources, including:</w:t>
      </w:r>
    </w:p>
    <w:p w14:paraId="72C4B15F" w14:textId="77777777" w:rsidR="00FC7B69" w:rsidRPr="006C5968" w:rsidRDefault="00FC7B69" w:rsidP="00FC7B69">
      <w:pPr>
        <w:pStyle w:val="Bullet"/>
        <w:numPr>
          <w:ilvl w:val="0"/>
          <w:numId w:val="4"/>
        </w:numPr>
      </w:pPr>
      <w:r w:rsidRPr="006C5968">
        <w:t>PACT - calculates employee entitlements, including award pay rates, leave entitlements and termination pay</w:t>
      </w:r>
      <w:r w:rsidRPr="006C5968">
        <w:rPr>
          <w:rStyle w:val="FootnoteReference"/>
          <w:rFonts w:cs="Arial"/>
        </w:rPr>
        <w:footnoteReference w:id="8"/>
      </w:r>
    </w:p>
    <w:p w14:paraId="7ED5745B" w14:textId="77777777" w:rsidR="00FC7B69" w:rsidRPr="006C5968" w:rsidRDefault="00FC7B69" w:rsidP="00FC7B69">
      <w:pPr>
        <w:pStyle w:val="Bullet"/>
        <w:numPr>
          <w:ilvl w:val="0"/>
          <w:numId w:val="4"/>
        </w:numPr>
      </w:pPr>
      <w:r w:rsidRPr="006C5968">
        <w:t>My account - interactive service where employers receive tailored information and updates</w:t>
      </w:r>
      <w:r w:rsidRPr="006C5968">
        <w:rPr>
          <w:rStyle w:val="FootnoteReference"/>
          <w:rFonts w:cs="Arial"/>
        </w:rPr>
        <w:footnoteReference w:id="9"/>
      </w:r>
    </w:p>
    <w:p w14:paraId="5DDDC829" w14:textId="77777777" w:rsidR="00FC7B69" w:rsidRPr="006C5968" w:rsidRDefault="00FC7B69" w:rsidP="00FC7B69">
      <w:pPr>
        <w:pStyle w:val="Bullet"/>
        <w:numPr>
          <w:ilvl w:val="0"/>
          <w:numId w:val="4"/>
        </w:numPr>
      </w:pPr>
      <w:r w:rsidRPr="006C5968">
        <w:t>Online Learning Centre - award-winning videos on key subjects like hiring employees, managing performance and record-keeping and pay slip obligations</w:t>
      </w:r>
      <w:r w:rsidRPr="006C5968">
        <w:rPr>
          <w:rStyle w:val="FootnoteReference"/>
          <w:rFonts w:cs="Arial"/>
        </w:rPr>
        <w:footnoteReference w:id="10"/>
      </w:r>
      <w:r w:rsidRPr="006C5968">
        <w:rPr>
          <w:vertAlign w:val="superscript"/>
        </w:rPr>
        <w:t xml:space="preserve"> </w:t>
      </w:r>
    </w:p>
    <w:p w14:paraId="2054A589" w14:textId="77777777" w:rsidR="00FC7B69" w:rsidRPr="006C5968" w:rsidRDefault="00FC7B69" w:rsidP="00FC7B69">
      <w:pPr>
        <w:pStyle w:val="Bullet"/>
        <w:numPr>
          <w:ilvl w:val="0"/>
          <w:numId w:val="4"/>
        </w:numPr>
      </w:pPr>
      <w:r w:rsidRPr="006C5968">
        <w:t>Templates and guides - tools and resources specifically designed to assist businesses with their payslips and record keeping obligations.</w:t>
      </w:r>
      <w:r w:rsidRPr="006C5968">
        <w:rPr>
          <w:rStyle w:val="FootnoteReference"/>
          <w:rFonts w:cs="Arial"/>
        </w:rPr>
        <w:footnoteReference w:id="11"/>
      </w:r>
    </w:p>
    <w:p w14:paraId="6A5F4E09" w14:textId="77777777" w:rsidR="00FC7B69" w:rsidRPr="002A65CC" w:rsidRDefault="00FC7B69" w:rsidP="00FC7B69">
      <w:r>
        <w:lastRenderedPageBreak/>
        <w:t>The FWO does not accept that a lack of awareness of obligations under the Act is a valid reason for non-compliance with workplace laws.</w:t>
      </w:r>
    </w:p>
    <w:p w14:paraId="513CA878" w14:textId="77777777" w:rsidR="00FC7B69" w:rsidRDefault="00FC7B69" w:rsidP="00666782"/>
    <w:p w14:paraId="2F68B74B" w14:textId="2608EAEE" w:rsidR="00544267" w:rsidRDefault="00544267">
      <w:pPr>
        <w:spacing w:after="0" w:line="240" w:lineRule="auto"/>
        <w:rPr>
          <w:b/>
          <w:color w:val="1B365D"/>
          <w:sz w:val="24"/>
          <w:szCs w:val="20"/>
        </w:rPr>
      </w:pPr>
    </w:p>
    <w:sectPr w:rsidR="00544267" w:rsidSect="00DA1AD1">
      <w:headerReference w:type="first" r:id="rId8"/>
      <w:pgSz w:w="11906" w:h="16838"/>
      <w:pgMar w:top="1560" w:right="1225" w:bottom="1418" w:left="1321" w:header="284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EA359" w14:textId="77777777" w:rsidR="00354844" w:rsidRDefault="00354844" w:rsidP="00AB465A">
      <w:pPr>
        <w:spacing w:after="0" w:line="240" w:lineRule="auto"/>
      </w:pPr>
      <w:r>
        <w:separator/>
      </w:r>
    </w:p>
  </w:endnote>
  <w:endnote w:type="continuationSeparator" w:id="0">
    <w:p w14:paraId="05960A84" w14:textId="77777777" w:rsidR="00354844" w:rsidRDefault="00354844" w:rsidP="00AB465A">
      <w:pPr>
        <w:spacing w:after="0" w:line="240" w:lineRule="auto"/>
      </w:pPr>
      <w:r>
        <w:continuationSeparator/>
      </w:r>
    </w:p>
  </w:endnote>
  <w:endnote w:type="continuationNotice" w:id="1">
    <w:p w14:paraId="67308D10" w14:textId="77777777" w:rsidR="00354844" w:rsidRDefault="00354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FEE77" w14:textId="77777777" w:rsidR="00354844" w:rsidRDefault="00354844" w:rsidP="00AB465A">
      <w:pPr>
        <w:spacing w:after="0" w:line="240" w:lineRule="auto"/>
      </w:pPr>
      <w:r>
        <w:separator/>
      </w:r>
    </w:p>
  </w:footnote>
  <w:footnote w:type="continuationSeparator" w:id="0">
    <w:p w14:paraId="3ADCD44F" w14:textId="77777777" w:rsidR="00354844" w:rsidRDefault="00354844" w:rsidP="00AB465A">
      <w:pPr>
        <w:spacing w:after="0" w:line="240" w:lineRule="auto"/>
      </w:pPr>
      <w:r>
        <w:continuationSeparator/>
      </w:r>
    </w:p>
  </w:footnote>
  <w:footnote w:type="continuationNotice" w:id="1">
    <w:p w14:paraId="0AF46EBA" w14:textId="77777777" w:rsidR="00354844" w:rsidRDefault="00354844">
      <w:pPr>
        <w:spacing w:after="0" w:line="240" w:lineRule="auto"/>
      </w:pPr>
    </w:p>
  </w:footnote>
  <w:footnote w:id="2">
    <w:p w14:paraId="6BCCCEAD" w14:textId="2101117F" w:rsidR="00354844" w:rsidRDefault="00354844" w:rsidP="005B4E93">
      <w:pPr>
        <w:pStyle w:val="FootnoteText"/>
        <w:spacing w:before="0" w:line="240" w:lineRule="auto"/>
      </w:pPr>
      <w:r w:rsidRPr="00643BFF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643BFF">
        <w:rPr>
          <w:rFonts w:asciiTheme="minorHAnsi" w:hAnsiTheme="minorHAnsi" w:cstheme="minorHAnsi"/>
          <w:sz w:val="18"/>
          <w:szCs w:val="18"/>
        </w:rPr>
        <w:t xml:space="preserve"> </w:t>
      </w:r>
      <w:r w:rsidRPr="00643BFF">
        <w:rPr>
          <w:rFonts w:asciiTheme="minorHAnsi" w:hAnsiTheme="minorHAnsi" w:cstheme="minorHAnsi"/>
          <w:sz w:val="18"/>
        </w:rPr>
        <w:t>Percentages have been rounded to the nearest whole number</w:t>
      </w:r>
    </w:p>
  </w:footnote>
  <w:footnote w:id="3">
    <w:p w14:paraId="161F07ED" w14:textId="5424ECE7" w:rsidR="00354844" w:rsidRPr="00D5789A" w:rsidRDefault="00354844" w:rsidP="00666782">
      <w:pPr>
        <w:pStyle w:val="FootnoteText"/>
        <w:spacing w:before="0" w:line="240" w:lineRule="auto"/>
        <w:rPr>
          <w:rFonts w:asciiTheme="minorHAnsi" w:hAnsiTheme="minorHAnsi" w:cstheme="minorHAnsi"/>
          <w:sz w:val="16"/>
          <w:szCs w:val="16"/>
        </w:rPr>
      </w:pPr>
      <w:r w:rsidRPr="00D5789A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5789A">
        <w:rPr>
          <w:rFonts w:asciiTheme="minorHAnsi" w:hAnsiTheme="minorHAnsi" w:cstheme="minorHAnsi"/>
          <w:sz w:val="16"/>
          <w:szCs w:val="16"/>
        </w:rPr>
        <w:t xml:space="preserve"> Visits to businesses in Adelaide and Northbridge were conducted as one activity</w:t>
      </w:r>
    </w:p>
  </w:footnote>
  <w:footnote w:id="4">
    <w:p w14:paraId="3F7FD3A8" w14:textId="77777777" w:rsidR="00354844" w:rsidRPr="00130355" w:rsidRDefault="00354844" w:rsidP="00666782">
      <w:pPr>
        <w:pStyle w:val="FootnoteText"/>
        <w:spacing w:line="240" w:lineRule="auto"/>
        <w:rPr>
          <w:rFonts w:asciiTheme="minorHAnsi" w:hAnsiTheme="minorHAnsi"/>
          <w:sz w:val="16"/>
          <w:szCs w:val="16"/>
        </w:rPr>
      </w:pPr>
      <w:r w:rsidRPr="00130355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130355">
        <w:rPr>
          <w:rFonts w:asciiTheme="minorHAnsi" w:hAnsiTheme="minorHAnsi"/>
          <w:sz w:val="16"/>
          <w:szCs w:val="16"/>
        </w:rPr>
        <w:t xml:space="preserve"> https://www.fairwork.gov.au/ArticleDocuments/1151/food-precincts-activity-sica-report-2.pdf.aspx</w:t>
      </w:r>
    </w:p>
  </w:footnote>
  <w:footnote w:id="5">
    <w:p w14:paraId="25E7B597" w14:textId="77777777" w:rsidR="00354844" w:rsidRPr="00750277" w:rsidRDefault="00354844" w:rsidP="00666782">
      <w:pPr>
        <w:pStyle w:val="FootnoteText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50277">
        <w:rPr>
          <w:rStyle w:val="FootnoteReference"/>
          <w:rFonts w:asciiTheme="minorHAnsi" w:hAnsiTheme="minorHAnsi" w:cstheme="minorHAnsi"/>
          <w:sz w:val="16"/>
          <w:szCs w:val="18"/>
        </w:rPr>
        <w:footnoteRef/>
      </w:r>
      <w:r w:rsidRPr="00750277">
        <w:rPr>
          <w:rFonts w:asciiTheme="minorHAnsi" w:hAnsiTheme="minorHAnsi" w:cstheme="minorHAnsi"/>
          <w:sz w:val="16"/>
          <w:szCs w:val="18"/>
        </w:rPr>
        <w:t xml:space="preserve"> https://www.fairwork.gov.au/ArticleDocuments/1386/fwo-food-precincts-report.pdf.aspx</w:t>
      </w:r>
    </w:p>
  </w:footnote>
  <w:footnote w:id="6">
    <w:p w14:paraId="652DB690" w14:textId="7237EE5A" w:rsidR="00354844" w:rsidRPr="00FC7B69" w:rsidRDefault="00354844" w:rsidP="00FC7B69">
      <w:pPr>
        <w:pStyle w:val="FootnoteText"/>
        <w:spacing w:before="0" w:line="240" w:lineRule="auto"/>
        <w:rPr>
          <w:rStyle w:val="FootnoteReference"/>
          <w:rFonts w:cstheme="minorHAnsi"/>
          <w:sz w:val="18"/>
        </w:rPr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FWO media release: http://www.fairwork.gov.au/about-us/news-and-media-releases/2020-media-releases/july-2020/20200717-shri-krishna-guru-litigation-media-release</w:t>
      </w:r>
    </w:p>
  </w:footnote>
  <w:footnote w:id="7">
    <w:p w14:paraId="4BA94AB4" w14:textId="0D4DE4C4" w:rsidR="00354844" w:rsidRPr="00FC7B69" w:rsidRDefault="00354844" w:rsidP="00FC7B69">
      <w:pPr>
        <w:pStyle w:val="FootnoteText"/>
        <w:spacing w:before="0" w:line="240" w:lineRule="auto"/>
        <w:rPr>
          <w:rStyle w:val="FootnoteReference"/>
          <w:rFonts w:cstheme="minorHAnsi"/>
          <w:sz w:val="18"/>
        </w:rPr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  <w:sz w:val="18"/>
        </w:rPr>
        <w:t xml:space="preserve"> </w:t>
      </w:r>
      <w:hyperlink r:id="rId1" w:history="1">
        <w:r w:rsidRPr="00FC7B69">
          <w:rPr>
            <w:rStyle w:val="FootnoteReference"/>
            <w:rFonts w:cstheme="minorHAnsi"/>
            <w:sz w:val="18"/>
          </w:rPr>
          <w:t>https://www.fairwork.gov.au/find-help-for/fast-food-restaurants-cafes</w:t>
        </w:r>
      </w:hyperlink>
      <w:r w:rsidRPr="00FC7B69">
        <w:rPr>
          <w:rStyle w:val="FootnoteReference"/>
          <w:rFonts w:cstheme="minorHAnsi"/>
          <w:sz w:val="18"/>
        </w:rPr>
        <w:t xml:space="preserve">  </w:t>
      </w:r>
    </w:p>
  </w:footnote>
  <w:footnote w:id="8">
    <w:p w14:paraId="7FF89C46" w14:textId="77777777" w:rsidR="00354844" w:rsidRPr="00FC7B69" w:rsidRDefault="00354844" w:rsidP="00FC7B69">
      <w:pPr>
        <w:pStyle w:val="FootnoteText"/>
        <w:spacing w:before="0" w:line="240" w:lineRule="auto"/>
        <w:rPr>
          <w:rStyle w:val="FootnoteReference"/>
          <w:rFonts w:cstheme="minorHAnsi"/>
        </w:rPr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</w:t>
      </w:r>
      <w:hyperlink r:id="rId2" w:tooltip="Find wages and penalty rates for employees." w:history="1">
        <w:r w:rsidRPr="00FC7B69">
          <w:rPr>
            <w:rStyle w:val="FootnoteReference"/>
            <w:rFonts w:cstheme="minorHAnsi"/>
          </w:rPr>
          <w:t>https://calculate.fairwork.gov.au/</w:t>
        </w:r>
      </w:hyperlink>
      <w:r w:rsidRPr="00FC7B69">
        <w:rPr>
          <w:rStyle w:val="FootnoteReference"/>
          <w:rFonts w:cstheme="minorHAnsi"/>
        </w:rPr>
        <w:t xml:space="preserve"> </w:t>
      </w:r>
    </w:p>
  </w:footnote>
  <w:footnote w:id="9">
    <w:p w14:paraId="7F90328B" w14:textId="77777777" w:rsidR="00354844" w:rsidRPr="00FC7B69" w:rsidRDefault="00354844" w:rsidP="00FC7B69">
      <w:pPr>
        <w:pStyle w:val="FootnoteText"/>
        <w:spacing w:before="0" w:line="240" w:lineRule="auto"/>
        <w:rPr>
          <w:rStyle w:val="FootnoteReference"/>
          <w:rFonts w:cstheme="minorHAnsi"/>
        </w:rPr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</w:t>
      </w:r>
      <w:hyperlink r:id="rId3" w:tooltip="Register an account" w:history="1">
        <w:r w:rsidRPr="00FC7B69">
          <w:rPr>
            <w:rStyle w:val="FootnoteReference"/>
            <w:rFonts w:cstheme="minorHAnsi"/>
          </w:rPr>
          <w:t>https://www.fairwork.gov.au/my-account/registerpage.aspx</w:t>
        </w:r>
      </w:hyperlink>
      <w:r w:rsidRPr="00FC7B69">
        <w:rPr>
          <w:rStyle w:val="FootnoteReference"/>
          <w:rFonts w:cstheme="minorHAnsi"/>
        </w:rPr>
        <w:t xml:space="preserve"> </w:t>
      </w:r>
    </w:p>
  </w:footnote>
  <w:footnote w:id="10">
    <w:p w14:paraId="59F00E48" w14:textId="77777777" w:rsidR="00354844" w:rsidRPr="00FC7B69" w:rsidRDefault="00354844" w:rsidP="00FC7B69">
      <w:pPr>
        <w:pStyle w:val="FootnoteText"/>
        <w:spacing w:before="0" w:line="240" w:lineRule="auto"/>
        <w:rPr>
          <w:rStyle w:val="FootnoteReference"/>
          <w:rFonts w:cstheme="minorHAnsi"/>
        </w:rPr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</w:t>
      </w:r>
      <w:hyperlink r:id="rId4" w:tooltip="Online learning centre" w:history="1">
        <w:r w:rsidRPr="00FC7B69">
          <w:rPr>
            <w:rStyle w:val="FootnoteReference"/>
            <w:rFonts w:cstheme="minorHAnsi"/>
          </w:rPr>
          <w:t>https://www.fairwork.gov.au/how-we-will-help/online-training/online-learning-centre</w:t>
        </w:r>
      </w:hyperlink>
      <w:r w:rsidRPr="00FC7B69">
        <w:rPr>
          <w:rStyle w:val="FootnoteReference"/>
          <w:rFonts w:cstheme="minorHAnsi"/>
        </w:rPr>
        <w:t xml:space="preserve"> </w:t>
      </w:r>
    </w:p>
  </w:footnote>
  <w:footnote w:id="11">
    <w:p w14:paraId="6960CFDF" w14:textId="77777777" w:rsidR="00354844" w:rsidRDefault="00354844" w:rsidP="00FC7B69">
      <w:pPr>
        <w:pStyle w:val="FootnoteText"/>
      </w:pPr>
      <w:r w:rsidRPr="00FC7B69">
        <w:rPr>
          <w:rStyle w:val="FootnoteReference"/>
          <w:rFonts w:asciiTheme="minorHAnsi" w:hAnsiTheme="minorHAnsi" w:cstheme="minorHAnsi"/>
          <w:sz w:val="18"/>
        </w:rPr>
        <w:footnoteRef/>
      </w:r>
      <w:r w:rsidRPr="00FC7B69">
        <w:rPr>
          <w:rStyle w:val="FootnoteReference"/>
          <w:rFonts w:cstheme="minorHAnsi"/>
        </w:rPr>
        <w:t xml:space="preserve"> </w:t>
      </w:r>
      <w:hyperlink r:id="rId5" w:history="1">
        <w:r w:rsidRPr="00FC7B69">
          <w:rPr>
            <w:rStyle w:val="FootnoteReference"/>
            <w:rFonts w:cstheme="minorHAnsi"/>
          </w:rPr>
          <w:t>https://www.fairwork.gov.au/how-we-will-help/templates-and-guides</w:t>
        </w:r>
      </w:hyperlink>
      <w:r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CAB8B" w14:textId="0BF5002B" w:rsidR="00354844" w:rsidRPr="00583EDF" w:rsidRDefault="00354844" w:rsidP="00BA68A3">
    <w:pPr>
      <w:tabs>
        <w:tab w:val="center" w:pos="4820"/>
        <w:tab w:val="right" w:pos="9639"/>
      </w:tabs>
      <w:spacing w:after="0"/>
      <w:ind w:left="-851"/>
      <w:rPr>
        <w:rFonts w:cs="HelveticaNeue-Light"/>
        <w:color w:val="000000"/>
        <w:sz w:val="32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8F9"/>
    <w:multiLevelType w:val="hybridMultilevel"/>
    <w:tmpl w:val="ECBC89DA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53F"/>
    <w:multiLevelType w:val="hybridMultilevel"/>
    <w:tmpl w:val="6A0CB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6F6B"/>
    <w:multiLevelType w:val="hybridMultilevel"/>
    <w:tmpl w:val="4E2687CA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4EA2"/>
    <w:multiLevelType w:val="hybridMultilevel"/>
    <w:tmpl w:val="809C764E"/>
    <w:lvl w:ilvl="0" w:tplc="21E4875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1B365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D7D5F"/>
    <w:multiLevelType w:val="hybridMultilevel"/>
    <w:tmpl w:val="56B6F214"/>
    <w:lvl w:ilvl="0" w:tplc="8F0057E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15D16"/>
    <w:multiLevelType w:val="hybridMultilevel"/>
    <w:tmpl w:val="B8E0072C"/>
    <w:lvl w:ilvl="0" w:tplc="65A4A65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35972"/>
    <w:multiLevelType w:val="hybridMultilevel"/>
    <w:tmpl w:val="564AD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A8D"/>
    <w:multiLevelType w:val="hybridMultilevel"/>
    <w:tmpl w:val="46F0C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E0E63"/>
    <w:multiLevelType w:val="hybridMultilevel"/>
    <w:tmpl w:val="30B87B5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A3BAE"/>
    <w:multiLevelType w:val="hybridMultilevel"/>
    <w:tmpl w:val="87DC7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80FA0"/>
    <w:multiLevelType w:val="hybridMultilevel"/>
    <w:tmpl w:val="E72E7680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0A47"/>
    <w:multiLevelType w:val="hybridMultilevel"/>
    <w:tmpl w:val="E1B0D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12E9"/>
    <w:multiLevelType w:val="hybridMultilevel"/>
    <w:tmpl w:val="3E90A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F2678"/>
    <w:multiLevelType w:val="hybridMultilevel"/>
    <w:tmpl w:val="21CC0B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9205B"/>
    <w:multiLevelType w:val="hybridMultilevel"/>
    <w:tmpl w:val="18F49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D248F"/>
    <w:multiLevelType w:val="hybridMultilevel"/>
    <w:tmpl w:val="8FF4E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356E4"/>
    <w:multiLevelType w:val="hybridMultilevel"/>
    <w:tmpl w:val="82C67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50743"/>
    <w:multiLevelType w:val="hybridMultilevel"/>
    <w:tmpl w:val="8C76F9A4"/>
    <w:lvl w:ilvl="0" w:tplc="8DE61D5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94A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21DC7"/>
    <w:multiLevelType w:val="hybridMultilevel"/>
    <w:tmpl w:val="425E6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42963"/>
    <w:multiLevelType w:val="hybridMultilevel"/>
    <w:tmpl w:val="C19AC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3579E"/>
    <w:multiLevelType w:val="hybridMultilevel"/>
    <w:tmpl w:val="2DC2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FFB"/>
    <w:multiLevelType w:val="hybridMultilevel"/>
    <w:tmpl w:val="6F266A08"/>
    <w:lvl w:ilvl="0" w:tplc="1278E3B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C93405"/>
    <w:multiLevelType w:val="hybridMultilevel"/>
    <w:tmpl w:val="006C7C92"/>
    <w:lvl w:ilvl="0" w:tplc="4D228F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A395D"/>
    <w:multiLevelType w:val="hybridMultilevel"/>
    <w:tmpl w:val="41B41E1A"/>
    <w:lvl w:ilvl="0" w:tplc="47B4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3746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F0505"/>
    <w:multiLevelType w:val="hybridMultilevel"/>
    <w:tmpl w:val="37A63F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61DA0"/>
    <w:multiLevelType w:val="hybridMultilevel"/>
    <w:tmpl w:val="78143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D00"/>
    <w:multiLevelType w:val="hybridMultilevel"/>
    <w:tmpl w:val="344C9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11BE6"/>
    <w:multiLevelType w:val="hybridMultilevel"/>
    <w:tmpl w:val="1188C9C8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B548FB"/>
    <w:multiLevelType w:val="hybridMultilevel"/>
    <w:tmpl w:val="2BBC2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73DCF"/>
    <w:multiLevelType w:val="hybridMultilevel"/>
    <w:tmpl w:val="D24E8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451523"/>
    <w:multiLevelType w:val="hybridMultilevel"/>
    <w:tmpl w:val="2DDE176C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772B0"/>
    <w:multiLevelType w:val="hybridMultilevel"/>
    <w:tmpl w:val="5900EFBE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05FA8"/>
    <w:multiLevelType w:val="hybridMultilevel"/>
    <w:tmpl w:val="08AAD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64E01"/>
    <w:multiLevelType w:val="hybridMultilevel"/>
    <w:tmpl w:val="96722C26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27A6D"/>
    <w:multiLevelType w:val="hybridMultilevel"/>
    <w:tmpl w:val="6764E5A2"/>
    <w:lvl w:ilvl="0" w:tplc="67768C3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26374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44483"/>
    <w:multiLevelType w:val="hybridMultilevel"/>
    <w:tmpl w:val="91F62686"/>
    <w:lvl w:ilvl="0" w:tplc="2B66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7"/>
  </w:num>
  <w:num w:numId="7">
    <w:abstractNumId w:val="8"/>
  </w:num>
  <w:num w:numId="8">
    <w:abstractNumId w:val="16"/>
  </w:num>
  <w:num w:numId="9">
    <w:abstractNumId w:val="29"/>
  </w:num>
  <w:num w:numId="10">
    <w:abstractNumId w:val="28"/>
  </w:num>
  <w:num w:numId="11">
    <w:abstractNumId w:val="22"/>
  </w:num>
  <w:num w:numId="12">
    <w:abstractNumId w:val="30"/>
  </w:num>
  <w:num w:numId="13">
    <w:abstractNumId w:val="34"/>
  </w:num>
  <w:num w:numId="14">
    <w:abstractNumId w:val="0"/>
  </w:num>
  <w:num w:numId="15">
    <w:abstractNumId w:val="13"/>
  </w:num>
  <w:num w:numId="16">
    <w:abstractNumId w:val="33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35"/>
  </w:num>
  <w:num w:numId="22">
    <w:abstractNumId w:val="2"/>
  </w:num>
  <w:num w:numId="23">
    <w:abstractNumId w:val="31"/>
  </w:num>
  <w:num w:numId="24">
    <w:abstractNumId w:val="11"/>
  </w:num>
  <w:num w:numId="25">
    <w:abstractNumId w:val="7"/>
  </w:num>
  <w:num w:numId="26">
    <w:abstractNumId w:val="19"/>
  </w:num>
  <w:num w:numId="27">
    <w:abstractNumId w:val="24"/>
  </w:num>
  <w:num w:numId="28">
    <w:abstractNumId w:val="20"/>
  </w:num>
  <w:num w:numId="29">
    <w:abstractNumId w:val="21"/>
  </w:num>
  <w:num w:numId="30">
    <w:abstractNumId w:val="9"/>
  </w:num>
  <w:num w:numId="31">
    <w:abstractNumId w:val="18"/>
  </w:num>
  <w:num w:numId="32">
    <w:abstractNumId w:val="23"/>
  </w:num>
  <w:num w:numId="33">
    <w:abstractNumId w:val="15"/>
  </w:num>
  <w:num w:numId="34">
    <w:abstractNumId w:val="25"/>
  </w:num>
  <w:num w:numId="35">
    <w:abstractNumId w:val="12"/>
  </w:num>
  <w:num w:numId="36">
    <w:abstractNumId w:val="32"/>
  </w:num>
  <w:num w:numId="37">
    <w:abstractNumId w:val="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92"/>
    <w:rsid w:val="0000351D"/>
    <w:rsid w:val="00011400"/>
    <w:rsid w:val="00013275"/>
    <w:rsid w:val="00014C04"/>
    <w:rsid w:val="0001530E"/>
    <w:rsid w:val="000318D5"/>
    <w:rsid w:val="00033E9B"/>
    <w:rsid w:val="00053693"/>
    <w:rsid w:val="0006199A"/>
    <w:rsid w:val="000732BA"/>
    <w:rsid w:val="00073307"/>
    <w:rsid w:val="0007401F"/>
    <w:rsid w:val="000773B4"/>
    <w:rsid w:val="00093049"/>
    <w:rsid w:val="000948F0"/>
    <w:rsid w:val="00095633"/>
    <w:rsid w:val="000A0BB1"/>
    <w:rsid w:val="000A45F4"/>
    <w:rsid w:val="000B2A24"/>
    <w:rsid w:val="000B7D1C"/>
    <w:rsid w:val="000C0DF8"/>
    <w:rsid w:val="000C2CD2"/>
    <w:rsid w:val="000D46B8"/>
    <w:rsid w:val="000D747D"/>
    <w:rsid w:val="000E08E8"/>
    <w:rsid w:val="000E3C54"/>
    <w:rsid w:val="000F2B38"/>
    <w:rsid w:val="000F5C34"/>
    <w:rsid w:val="00100FA4"/>
    <w:rsid w:val="001049FB"/>
    <w:rsid w:val="00130355"/>
    <w:rsid w:val="00135EA9"/>
    <w:rsid w:val="0014201D"/>
    <w:rsid w:val="001544FA"/>
    <w:rsid w:val="00166274"/>
    <w:rsid w:val="0017425C"/>
    <w:rsid w:val="00174429"/>
    <w:rsid w:val="0018384F"/>
    <w:rsid w:val="001A2651"/>
    <w:rsid w:val="001A6223"/>
    <w:rsid w:val="001B6709"/>
    <w:rsid w:val="001C47EA"/>
    <w:rsid w:val="001C7CFE"/>
    <w:rsid w:val="001D3234"/>
    <w:rsid w:val="001D3773"/>
    <w:rsid w:val="001E0C0E"/>
    <w:rsid w:val="001E0EA5"/>
    <w:rsid w:val="001E1B55"/>
    <w:rsid w:val="001F69CA"/>
    <w:rsid w:val="00213CE6"/>
    <w:rsid w:val="00225B4E"/>
    <w:rsid w:val="00232CA4"/>
    <w:rsid w:val="00234234"/>
    <w:rsid w:val="002366C4"/>
    <w:rsid w:val="00240463"/>
    <w:rsid w:val="002424D0"/>
    <w:rsid w:val="002666D5"/>
    <w:rsid w:val="0026797B"/>
    <w:rsid w:val="00285267"/>
    <w:rsid w:val="002A5A4D"/>
    <w:rsid w:val="002A65CC"/>
    <w:rsid w:val="002B0117"/>
    <w:rsid w:val="002B1F33"/>
    <w:rsid w:val="002D1BA6"/>
    <w:rsid w:val="002D5C24"/>
    <w:rsid w:val="002E0DB1"/>
    <w:rsid w:val="002E1886"/>
    <w:rsid w:val="002E28E8"/>
    <w:rsid w:val="002E78A5"/>
    <w:rsid w:val="00330FAF"/>
    <w:rsid w:val="00331519"/>
    <w:rsid w:val="00333193"/>
    <w:rsid w:val="0035400D"/>
    <w:rsid w:val="00354844"/>
    <w:rsid w:val="00371024"/>
    <w:rsid w:val="00377962"/>
    <w:rsid w:val="00386FAF"/>
    <w:rsid w:val="00391CDD"/>
    <w:rsid w:val="003B31C0"/>
    <w:rsid w:val="003B39E2"/>
    <w:rsid w:val="003B5656"/>
    <w:rsid w:val="003B5812"/>
    <w:rsid w:val="003C227B"/>
    <w:rsid w:val="003C36DA"/>
    <w:rsid w:val="003C68BC"/>
    <w:rsid w:val="003D3891"/>
    <w:rsid w:val="00423288"/>
    <w:rsid w:val="004327F0"/>
    <w:rsid w:val="0043502D"/>
    <w:rsid w:val="00440DF5"/>
    <w:rsid w:val="00456006"/>
    <w:rsid w:val="004654FA"/>
    <w:rsid w:val="00465E7E"/>
    <w:rsid w:val="00482AED"/>
    <w:rsid w:val="00483507"/>
    <w:rsid w:val="00486106"/>
    <w:rsid w:val="00486F77"/>
    <w:rsid w:val="004874D2"/>
    <w:rsid w:val="004A1A32"/>
    <w:rsid w:val="004A3817"/>
    <w:rsid w:val="004B5F95"/>
    <w:rsid w:val="004C1847"/>
    <w:rsid w:val="004D223B"/>
    <w:rsid w:val="004D32D3"/>
    <w:rsid w:val="004F0A17"/>
    <w:rsid w:val="004F2D4C"/>
    <w:rsid w:val="0050537B"/>
    <w:rsid w:val="00507D50"/>
    <w:rsid w:val="00510DF5"/>
    <w:rsid w:val="00520458"/>
    <w:rsid w:val="005261A5"/>
    <w:rsid w:val="00544267"/>
    <w:rsid w:val="0056129D"/>
    <w:rsid w:val="00563BE0"/>
    <w:rsid w:val="00575D9A"/>
    <w:rsid w:val="00593BFB"/>
    <w:rsid w:val="005A1EC7"/>
    <w:rsid w:val="005B4D67"/>
    <w:rsid w:val="005B4E93"/>
    <w:rsid w:val="005C33F0"/>
    <w:rsid w:val="005C47F9"/>
    <w:rsid w:val="005D5A92"/>
    <w:rsid w:val="005D6200"/>
    <w:rsid w:val="005E5A78"/>
    <w:rsid w:val="005F441B"/>
    <w:rsid w:val="006059E9"/>
    <w:rsid w:val="00612470"/>
    <w:rsid w:val="006137FE"/>
    <w:rsid w:val="006139FB"/>
    <w:rsid w:val="0062768F"/>
    <w:rsid w:val="00643BFF"/>
    <w:rsid w:val="00643C4B"/>
    <w:rsid w:val="0064512F"/>
    <w:rsid w:val="00647D11"/>
    <w:rsid w:val="006532D3"/>
    <w:rsid w:val="00663623"/>
    <w:rsid w:val="00666782"/>
    <w:rsid w:val="0069313C"/>
    <w:rsid w:val="00694033"/>
    <w:rsid w:val="006B1080"/>
    <w:rsid w:val="006B2365"/>
    <w:rsid w:val="006C63F3"/>
    <w:rsid w:val="006D0CF1"/>
    <w:rsid w:val="006D19EE"/>
    <w:rsid w:val="006D4A6F"/>
    <w:rsid w:val="006E54F5"/>
    <w:rsid w:val="006F4DA6"/>
    <w:rsid w:val="00702365"/>
    <w:rsid w:val="00703886"/>
    <w:rsid w:val="0072110A"/>
    <w:rsid w:val="00727206"/>
    <w:rsid w:val="00732D91"/>
    <w:rsid w:val="007479AD"/>
    <w:rsid w:val="00750277"/>
    <w:rsid w:val="00750DF7"/>
    <w:rsid w:val="00752E5E"/>
    <w:rsid w:val="00753483"/>
    <w:rsid w:val="00760E09"/>
    <w:rsid w:val="00763A33"/>
    <w:rsid w:val="00771067"/>
    <w:rsid w:val="007729B7"/>
    <w:rsid w:val="007747D3"/>
    <w:rsid w:val="00786E3C"/>
    <w:rsid w:val="007900FB"/>
    <w:rsid w:val="00791AB0"/>
    <w:rsid w:val="007A0B86"/>
    <w:rsid w:val="007A6266"/>
    <w:rsid w:val="007A6811"/>
    <w:rsid w:val="007A6D98"/>
    <w:rsid w:val="007B043E"/>
    <w:rsid w:val="007B39E6"/>
    <w:rsid w:val="007B5C9B"/>
    <w:rsid w:val="007B6AC8"/>
    <w:rsid w:val="007C01BA"/>
    <w:rsid w:val="007C2DA0"/>
    <w:rsid w:val="007C507C"/>
    <w:rsid w:val="007D19A1"/>
    <w:rsid w:val="007E5FAD"/>
    <w:rsid w:val="00803A9A"/>
    <w:rsid w:val="00804390"/>
    <w:rsid w:val="00810E0C"/>
    <w:rsid w:val="008114FB"/>
    <w:rsid w:val="00813485"/>
    <w:rsid w:val="00822E60"/>
    <w:rsid w:val="008258AC"/>
    <w:rsid w:val="00836528"/>
    <w:rsid w:val="0083679C"/>
    <w:rsid w:val="00840520"/>
    <w:rsid w:val="00854379"/>
    <w:rsid w:val="00856542"/>
    <w:rsid w:val="00867484"/>
    <w:rsid w:val="008969A8"/>
    <w:rsid w:val="0089769C"/>
    <w:rsid w:val="008A1058"/>
    <w:rsid w:val="008A2053"/>
    <w:rsid w:val="008B541F"/>
    <w:rsid w:val="008E72A5"/>
    <w:rsid w:val="009060B0"/>
    <w:rsid w:val="00906409"/>
    <w:rsid w:val="009147FE"/>
    <w:rsid w:val="00922671"/>
    <w:rsid w:val="00924FC7"/>
    <w:rsid w:val="00932C9C"/>
    <w:rsid w:val="009448A0"/>
    <w:rsid w:val="009470A4"/>
    <w:rsid w:val="009830B4"/>
    <w:rsid w:val="00986506"/>
    <w:rsid w:val="00993703"/>
    <w:rsid w:val="00994075"/>
    <w:rsid w:val="009946F6"/>
    <w:rsid w:val="00995EBE"/>
    <w:rsid w:val="00997DD8"/>
    <w:rsid w:val="009A294E"/>
    <w:rsid w:val="009C0C7F"/>
    <w:rsid w:val="009C61A2"/>
    <w:rsid w:val="009D2C7E"/>
    <w:rsid w:val="009E2EF8"/>
    <w:rsid w:val="009E5D7B"/>
    <w:rsid w:val="009E5DC3"/>
    <w:rsid w:val="009E64AE"/>
    <w:rsid w:val="009F4608"/>
    <w:rsid w:val="00A04703"/>
    <w:rsid w:val="00A1044D"/>
    <w:rsid w:val="00A25A80"/>
    <w:rsid w:val="00A267BA"/>
    <w:rsid w:val="00A31966"/>
    <w:rsid w:val="00A3464C"/>
    <w:rsid w:val="00A41C93"/>
    <w:rsid w:val="00A551DC"/>
    <w:rsid w:val="00A644CB"/>
    <w:rsid w:val="00A841DA"/>
    <w:rsid w:val="00A91222"/>
    <w:rsid w:val="00A94305"/>
    <w:rsid w:val="00A97F48"/>
    <w:rsid w:val="00AA0244"/>
    <w:rsid w:val="00AA1953"/>
    <w:rsid w:val="00AB465A"/>
    <w:rsid w:val="00AB5511"/>
    <w:rsid w:val="00AD4CF6"/>
    <w:rsid w:val="00AE4954"/>
    <w:rsid w:val="00AF0EAF"/>
    <w:rsid w:val="00AF74D9"/>
    <w:rsid w:val="00B02B68"/>
    <w:rsid w:val="00B03B2B"/>
    <w:rsid w:val="00B270B1"/>
    <w:rsid w:val="00B32861"/>
    <w:rsid w:val="00B37844"/>
    <w:rsid w:val="00B474FA"/>
    <w:rsid w:val="00B478AD"/>
    <w:rsid w:val="00B50641"/>
    <w:rsid w:val="00B56C5A"/>
    <w:rsid w:val="00B6057D"/>
    <w:rsid w:val="00B640EC"/>
    <w:rsid w:val="00B657E5"/>
    <w:rsid w:val="00B746E5"/>
    <w:rsid w:val="00B775C1"/>
    <w:rsid w:val="00B8128F"/>
    <w:rsid w:val="00B91121"/>
    <w:rsid w:val="00BA5269"/>
    <w:rsid w:val="00BA59D7"/>
    <w:rsid w:val="00BA68A3"/>
    <w:rsid w:val="00BB53D7"/>
    <w:rsid w:val="00BB613F"/>
    <w:rsid w:val="00BB6A41"/>
    <w:rsid w:val="00BC0128"/>
    <w:rsid w:val="00BC0303"/>
    <w:rsid w:val="00BF66C0"/>
    <w:rsid w:val="00C079AD"/>
    <w:rsid w:val="00C208A3"/>
    <w:rsid w:val="00C30565"/>
    <w:rsid w:val="00C346A5"/>
    <w:rsid w:val="00C350CB"/>
    <w:rsid w:val="00C72594"/>
    <w:rsid w:val="00C93B8D"/>
    <w:rsid w:val="00C94F81"/>
    <w:rsid w:val="00C967FD"/>
    <w:rsid w:val="00CA14F8"/>
    <w:rsid w:val="00CA3551"/>
    <w:rsid w:val="00CA39F1"/>
    <w:rsid w:val="00CC2C8A"/>
    <w:rsid w:val="00CD049C"/>
    <w:rsid w:val="00CE6055"/>
    <w:rsid w:val="00CE6883"/>
    <w:rsid w:val="00CE72FC"/>
    <w:rsid w:val="00CE732D"/>
    <w:rsid w:val="00CE7A1A"/>
    <w:rsid w:val="00CE7CD4"/>
    <w:rsid w:val="00CF5AFE"/>
    <w:rsid w:val="00D11BC7"/>
    <w:rsid w:val="00D171E3"/>
    <w:rsid w:val="00D17674"/>
    <w:rsid w:val="00D20453"/>
    <w:rsid w:val="00D2094E"/>
    <w:rsid w:val="00D316FC"/>
    <w:rsid w:val="00D42511"/>
    <w:rsid w:val="00D42659"/>
    <w:rsid w:val="00D45A54"/>
    <w:rsid w:val="00D803E6"/>
    <w:rsid w:val="00D94DBF"/>
    <w:rsid w:val="00D95B26"/>
    <w:rsid w:val="00D960E2"/>
    <w:rsid w:val="00D96638"/>
    <w:rsid w:val="00DA1AD1"/>
    <w:rsid w:val="00DA7095"/>
    <w:rsid w:val="00DB083C"/>
    <w:rsid w:val="00DC09A0"/>
    <w:rsid w:val="00DE3A1F"/>
    <w:rsid w:val="00E1095E"/>
    <w:rsid w:val="00E13A01"/>
    <w:rsid w:val="00E14088"/>
    <w:rsid w:val="00E179EC"/>
    <w:rsid w:val="00E276A4"/>
    <w:rsid w:val="00E31A99"/>
    <w:rsid w:val="00E3299B"/>
    <w:rsid w:val="00E47482"/>
    <w:rsid w:val="00E52830"/>
    <w:rsid w:val="00E61191"/>
    <w:rsid w:val="00E6260F"/>
    <w:rsid w:val="00E62AC7"/>
    <w:rsid w:val="00E62F03"/>
    <w:rsid w:val="00E65A3D"/>
    <w:rsid w:val="00E70539"/>
    <w:rsid w:val="00E70766"/>
    <w:rsid w:val="00E77C02"/>
    <w:rsid w:val="00E80136"/>
    <w:rsid w:val="00E83691"/>
    <w:rsid w:val="00EA206E"/>
    <w:rsid w:val="00EA6B05"/>
    <w:rsid w:val="00EB6998"/>
    <w:rsid w:val="00EC654D"/>
    <w:rsid w:val="00ED559D"/>
    <w:rsid w:val="00EE0CD7"/>
    <w:rsid w:val="00EE6873"/>
    <w:rsid w:val="00EE6F1A"/>
    <w:rsid w:val="00EF0D4B"/>
    <w:rsid w:val="00F210A5"/>
    <w:rsid w:val="00F2468C"/>
    <w:rsid w:val="00F25090"/>
    <w:rsid w:val="00F271CC"/>
    <w:rsid w:val="00F27A24"/>
    <w:rsid w:val="00F44A2D"/>
    <w:rsid w:val="00F53BF8"/>
    <w:rsid w:val="00F60AA9"/>
    <w:rsid w:val="00F627F5"/>
    <w:rsid w:val="00F63E75"/>
    <w:rsid w:val="00F71CE1"/>
    <w:rsid w:val="00F73ADF"/>
    <w:rsid w:val="00F74BCF"/>
    <w:rsid w:val="00F8077E"/>
    <w:rsid w:val="00F83193"/>
    <w:rsid w:val="00F87CD3"/>
    <w:rsid w:val="00F941BF"/>
    <w:rsid w:val="00F94C5E"/>
    <w:rsid w:val="00FB30A9"/>
    <w:rsid w:val="00FB3CAB"/>
    <w:rsid w:val="00FB711F"/>
    <w:rsid w:val="00FC3CB8"/>
    <w:rsid w:val="00FC7B69"/>
    <w:rsid w:val="00FD7C4E"/>
    <w:rsid w:val="00FE3F8D"/>
    <w:rsid w:val="00FE67F4"/>
    <w:rsid w:val="00FF1912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5CF63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"/>
    <w:qFormat/>
    <w:rsid w:val="002A65CC"/>
    <w:pPr>
      <w:spacing w:after="120" w:line="360" w:lineRule="auto"/>
    </w:pPr>
    <w:rPr>
      <w:rFonts w:asciiTheme="minorHAnsi" w:hAnsiTheme="minorHAnsi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4A2D"/>
    <w:pPr>
      <w:keepNext/>
      <w:keepLines/>
      <w:spacing w:before="240" w:after="60" w:line="240" w:lineRule="auto"/>
      <w:outlineLvl w:val="0"/>
    </w:pPr>
    <w:rPr>
      <w:rFonts w:ascii="Calibri Light" w:hAnsi="Calibri Light"/>
      <w:color w:val="1B365D"/>
      <w:sz w:val="44"/>
      <w:szCs w:val="2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995EBE"/>
    <w:pPr>
      <w:numPr>
        <w:ilvl w:val="1"/>
      </w:numPr>
      <w:spacing w:before="180"/>
      <w:outlineLvl w:val="1"/>
    </w:pPr>
    <w:rPr>
      <w:rFonts w:asciiTheme="minorHAnsi" w:hAnsiTheme="minorHAnsi"/>
      <w:b/>
      <w:sz w:val="32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6B2365"/>
    <w:pPr>
      <w:numPr>
        <w:ilvl w:val="2"/>
      </w:numPr>
      <w:spacing w:before="120" w:after="0" w:line="360" w:lineRule="auto"/>
      <w:outlineLvl w:val="2"/>
    </w:pPr>
    <w:rPr>
      <w:sz w:val="24"/>
      <w:szCs w:val="2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11BC7"/>
    <w:pPr>
      <w:numPr>
        <w:ilvl w:val="0"/>
      </w:numPr>
      <w:outlineLvl w:val="3"/>
    </w:pPr>
    <w:rPr>
      <w:rFonts w:eastAsiaTheme="minorEastAsia" w:cs="Times New Roman"/>
      <w:b w:val="0"/>
      <w:bCs/>
      <w:color w:val="auto"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sestudytitle">
    <w:name w:val="Case study title"/>
    <w:basedOn w:val="Normal"/>
    <w:link w:val="CasestudytitleChar"/>
    <w:autoRedefine/>
    <w:rsid w:val="00D11BC7"/>
    <w:pPr>
      <w:keepNext/>
      <w:keepLines/>
      <w:spacing w:before="240" w:after="60"/>
      <w:ind w:left="720"/>
      <w:outlineLvl w:val="0"/>
    </w:pPr>
    <w:rPr>
      <w:color w:val="0194A6"/>
      <w:sz w:val="36"/>
      <w:szCs w:val="28"/>
    </w:rPr>
  </w:style>
  <w:style w:type="character" w:customStyle="1" w:styleId="CasestudytitleChar">
    <w:name w:val="Case study title Char"/>
    <w:basedOn w:val="DefaultParagraphFont"/>
    <w:link w:val="Casestudytitle"/>
    <w:rsid w:val="00D11BC7"/>
    <w:rPr>
      <w:rFonts w:ascii="Helvetica" w:hAnsi="Helvetica" w:cs="Arial"/>
      <w:color w:val="0194A6"/>
      <w:sz w:val="36"/>
      <w:szCs w:val="28"/>
    </w:rPr>
  </w:style>
  <w:style w:type="paragraph" w:customStyle="1" w:styleId="Casestudytext">
    <w:name w:val="Case study text"/>
    <w:basedOn w:val="Normal"/>
    <w:link w:val="CasestudytextChar"/>
    <w:qFormat/>
    <w:rsid w:val="00D11BC7"/>
    <w:pPr>
      <w:ind w:left="720"/>
    </w:pPr>
  </w:style>
  <w:style w:type="character" w:customStyle="1" w:styleId="CasestudytextChar">
    <w:name w:val="Case study text Char"/>
    <w:basedOn w:val="DefaultParagraphFont"/>
    <w:link w:val="Casestudytext"/>
    <w:rsid w:val="00D11BC7"/>
    <w:rPr>
      <w:rFonts w:ascii="Helvetica" w:hAnsi="Helvetica" w:cs="Arial"/>
      <w:sz w:val="22"/>
      <w:szCs w:val="24"/>
    </w:rPr>
  </w:style>
  <w:style w:type="paragraph" w:customStyle="1" w:styleId="CoverReportTitle">
    <w:name w:val="Cover Report Title"/>
    <w:basedOn w:val="Normal"/>
    <w:autoRedefine/>
    <w:qFormat/>
    <w:rsid w:val="00D11BC7"/>
    <w:pPr>
      <w:framePr w:w="4820" w:wrap="around" w:vAnchor="page" w:hAnchor="text" w:x="5388" w:y="795"/>
      <w:spacing w:after="0" w:line="480" w:lineRule="auto"/>
    </w:pPr>
    <w:rPr>
      <w:rFonts w:eastAsiaTheme="minorHAnsi"/>
      <w:color w:val="FFFFFF" w:themeColor="background1"/>
      <w:sz w:val="60"/>
      <w:szCs w:val="22"/>
    </w:rPr>
  </w:style>
  <w:style w:type="paragraph" w:customStyle="1" w:styleId="CoverReportSubTitle">
    <w:name w:val="Cover Report Sub Title"/>
    <w:basedOn w:val="CoverReportTitle"/>
    <w:next w:val="Normal"/>
    <w:autoRedefine/>
    <w:qFormat/>
    <w:rsid w:val="00D11BC7"/>
    <w:pPr>
      <w:framePr w:wrap="around"/>
      <w:spacing w:before="113" w:after="57" w:line="400" w:lineRule="exact"/>
    </w:pPr>
    <w:rPr>
      <w:sz w:val="36"/>
    </w:rPr>
  </w:style>
  <w:style w:type="paragraph" w:customStyle="1" w:styleId="Bullet">
    <w:name w:val="Bullet"/>
    <w:basedOn w:val="Normal"/>
    <w:autoRedefine/>
    <w:qFormat/>
    <w:rsid w:val="00F27A24"/>
    <w:pPr>
      <w:numPr>
        <w:numId w:val="37"/>
      </w:numPr>
      <w:spacing w:before="120" w:after="240" w:line="240" w:lineRule="auto"/>
    </w:pPr>
    <w:rPr>
      <w:rFonts w:eastAsiaTheme="minorHAnsi"/>
      <w:szCs w:val="2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995EBE"/>
    <w:pPr>
      <w:pBdr>
        <w:left w:val="single" w:sz="24" w:space="4" w:color="9BCBEB"/>
        <w:right w:val="single" w:sz="24" w:space="4" w:color="9BCBEB"/>
      </w:pBdr>
      <w:shd w:val="clear" w:color="auto" w:fill="E7F2FA"/>
      <w:spacing w:before="240" w:after="113" w:line="320" w:lineRule="exact"/>
      <w:ind w:left="284" w:right="284"/>
      <w:contextualSpacing/>
    </w:pPr>
    <w:rPr>
      <w:rFonts w:eastAsiaTheme="minorHAnsi"/>
      <w:szCs w:val="22"/>
    </w:rPr>
  </w:style>
  <w:style w:type="character" w:customStyle="1" w:styleId="CalloutboxChar">
    <w:name w:val="Callout box Char"/>
    <w:basedOn w:val="DefaultParagraphFont"/>
    <w:link w:val="Calloutbox"/>
    <w:rsid w:val="00995EBE"/>
    <w:rPr>
      <w:rFonts w:asciiTheme="minorHAnsi" w:eastAsiaTheme="minorHAnsi" w:hAnsiTheme="minorHAnsi" w:cs="Arial"/>
      <w:sz w:val="22"/>
      <w:szCs w:val="22"/>
      <w:shd w:val="clear" w:color="auto" w:fill="E7F2FA"/>
    </w:rPr>
  </w:style>
  <w:style w:type="paragraph" w:customStyle="1" w:styleId="GlanceYellowHeading">
    <w:name w:val="Glance Yellow Heading"/>
    <w:basedOn w:val="Normal"/>
    <w:next w:val="GlanceHeading"/>
    <w:autoRedefine/>
    <w:rsid w:val="00D11BC7"/>
    <w:pPr>
      <w:pBdr>
        <w:top w:val="single" w:sz="48" w:space="1" w:color="BFBFBF" w:themeColor="background1" w:themeShade="BF"/>
      </w:pBdr>
      <w:shd w:val="clear" w:color="auto" w:fill="E5E5E5"/>
      <w:spacing w:after="0"/>
      <w:contextualSpacing/>
      <w:jc w:val="center"/>
      <w:textboxTightWrap w:val="allLines"/>
    </w:pPr>
    <w:rPr>
      <w:rFonts w:eastAsiaTheme="minorHAnsi"/>
      <w:color w:val="10C9DE"/>
      <w:spacing w:val="-10"/>
      <w:sz w:val="56"/>
      <w:szCs w:val="22"/>
    </w:rPr>
  </w:style>
  <w:style w:type="paragraph" w:customStyle="1" w:styleId="GlanceHeading">
    <w:name w:val="Glance Heading"/>
    <w:basedOn w:val="Normal"/>
    <w:next w:val="GlanceBody"/>
    <w:autoRedefine/>
    <w:rsid w:val="00D11BC7"/>
    <w:pPr>
      <w:keepNext/>
      <w:keepLines/>
      <w:widowControl w:val="0"/>
      <w:spacing w:after="0" w:line="240" w:lineRule="auto"/>
      <w:jc w:val="center"/>
      <w:textboxTightWrap w:val="allLines"/>
    </w:pPr>
    <w:rPr>
      <w:rFonts w:eastAsiaTheme="minorHAnsi"/>
      <w:b/>
      <w:color w:val="0194A6"/>
      <w:sz w:val="96"/>
      <w:szCs w:val="22"/>
    </w:rPr>
  </w:style>
  <w:style w:type="paragraph" w:customStyle="1" w:styleId="GlanceBody">
    <w:name w:val="Glance Body"/>
    <w:basedOn w:val="Normal"/>
    <w:autoRedefine/>
    <w:qFormat/>
    <w:rsid w:val="00D11BC7"/>
    <w:pPr>
      <w:pBdr>
        <w:bottom w:val="single" w:sz="2" w:space="8" w:color="BFBFBF" w:themeColor="background1" w:themeShade="BF"/>
      </w:pBdr>
      <w:spacing w:after="113" w:line="240" w:lineRule="auto"/>
      <w:jc w:val="center"/>
    </w:pPr>
    <w:rPr>
      <w:rFonts w:eastAsiaTheme="minorHAnsi"/>
      <w:szCs w:val="22"/>
    </w:rPr>
  </w:style>
  <w:style w:type="paragraph" w:customStyle="1" w:styleId="GreyBubbleBox1">
    <w:name w:val="Grey  Bubble Box1"/>
    <w:basedOn w:val="Normal"/>
    <w:next w:val="Normal"/>
    <w:autoRedefine/>
    <w:rsid w:val="00D11BC7"/>
    <w:pPr>
      <w:pBdr>
        <w:top w:val="single" w:sz="48" w:space="3" w:color="E5E5E5"/>
        <w:left w:val="single" w:sz="48" w:space="8" w:color="E5E5E5"/>
        <w:bottom w:val="single" w:sz="48" w:space="6" w:color="E5E5E5"/>
        <w:right w:val="single" w:sz="48" w:space="8" w:color="E5E5E5"/>
      </w:pBdr>
      <w:shd w:val="clear" w:color="auto" w:fill="E5E5E5"/>
      <w:spacing w:before="240" w:after="113" w:line="320" w:lineRule="exact"/>
      <w:ind w:left="284" w:right="284"/>
      <w:contextualSpacing/>
    </w:pPr>
    <w:rPr>
      <w:rFonts w:eastAsiaTheme="minorHAnsi"/>
      <w:color w:val="0194A6"/>
      <w:szCs w:val="22"/>
    </w:rPr>
  </w:style>
  <w:style w:type="paragraph" w:customStyle="1" w:styleId="CalloutBoxHeading">
    <w:name w:val="Callout Box Heading"/>
    <w:basedOn w:val="Calloutbox"/>
    <w:link w:val="CalloutBoxHeadingChar"/>
    <w:autoRedefine/>
    <w:qFormat/>
    <w:rsid w:val="00995EBE"/>
    <w:rPr>
      <w:b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995EBE"/>
    <w:rPr>
      <w:rFonts w:asciiTheme="minorHAnsi" w:eastAsiaTheme="minorHAnsi" w:hAnsiTheme="minorHAnsi" w:cs="Arial"/>
      <w:b/>
      <w:sz w:val="24"/>
      <w:szCs w:val="22"/>
      <w:shd w:val="clear" w:color="auto" w:fill="E7F2FA"/>
    </w:rPr>
  </w:style>
  <w:style w:type="paragraph" w:customStyle="1" w:styleId="Calloutbox1">
    <w:name w:val="Callout box1"/>
    <w:basedOn w:val="Normal"/>
    <w:next w:val="Normal"/>
    <w:autoRedefine/>
    <w:rsid w:val="00D11BC7"/>
    <w:pPr>
      <w:pBdr>
        <w:top w:val="single" w:sz="48" w:space="3" w:color="017F8F"/>
        <w:left w:val="single" w:sz="48" w:space="8" w:color="017F8F"/>
        <w:bottom w:val="single" w:sz="48" w:space="6" w:color="017F8F"/>
        <w:right w:val="single" w:sz="48" w:space="8" w:color="017F8F"/>
      </w:pBdr>
      <w:shd w:val="clear" w:color="auto" w:fill="000000" w:themeFill="text1"/>
      <w:spacing w:before="240" w:after="113" w:line="320" w:lineRule="exact"/>
      <w:ind w:left="284" w:right="284"/>
      <w:contextualSpacing/>
    </w:pPr>
    <w:rPr>
      <w:rFonts w:eastAsiaTheme="minorHAnsi"/>
      <w:color w:val="FFFFFF" w:themeColor="background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44A2D"/>
    <w:rPr>
      <w:rFonts w:ascii="Calibri Light" w:hAnsi="Calibri Light" w:cs="Arial"/>
      <w:color w:val="1B365D"/>
      <w:sz w:val="4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995EBE"/>
    <w:rPr>
      <w:rFonts w:asciiTheme="minorHAnsi" w:hAnsiTheme="minorHAnsi" w:cs="Arial"/>
      <w:b/>
      <w:color w:val="1B365D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2365"/>
    <w:rPr>
      <w:rFonts w:asciiTheme="minorHAnsi" w:hAnsiTheme="minorHAnsi" w:cs="Arial"/>
      <w:b/>
      <w:color w:val="1B365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BC7"/>
    <w:rPr>
      <w:rFonts w:asciiTheme="minorHAnsi" w:eastAsiaTheme="minorEastAsia" w:hAnsiTheme="minorHAnsi"/>
      <w:b/>
      <w:bCs/>
      <w:sz w:val="28"/>
      <w:szCs w:val="28"/>
      <w:lang w:val="x-none"/>
    </w:rPr>
  </w:style>
  <w:style w:type="paragraph" w:styleId="Quote">
    <w:name w:val="Quote"/>
    <w:basedOn w:val="Normal"/>
    <w:next w:val="Normal"/>
    <w:link w:val="QuoteChar"/>
    <w:uiPriority w:val="29"/>
    <w:qFormat/>
    <w:rsid w:val="00C079A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79AD"/>
    <w:rPr>
      <w:rFonts w:asciiTheme="minorHAnsi" w:hAnsiTheme="minorHAnsi" w:cs="Arial"/>
      <w:i/>
      <w:iCs/>
      <w:color w:val="000000" w:themeColor="text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65A"/>
    <w:rPr>
      <w:rFonts w:ascii="Helvetica" w:hAnsi="Helvetica" w:cs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65A"/>
    <w:rPr>
      <w:rFonts w:ascii="Helvetica" w:hAnsi="Helvetica" w:cs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2A65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5CC"/>
    <w:rPr>
      <w:rFonts w:ascii="Arial" w:hAnsi="Arial" w:cs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rsid w:val="002A65CC"/>
    <w:pPr>
      <w:spacing w:before="120" w:after="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65CC"/>
    <w:rPr>
      <w:rFonts w:ascii="Arial" w:hAnsi="Arial" w:cs="Arial"/>
      <w:sz w:val="22"/>
      <w:szCs w:val="24"/>
    </w:rPr>
  </w:style>
  <w:style w:type="character" w:styleId="FootnoteReference">
    <w:name w:val="footnote reference"/>
    <w:basedOn w:val="DefaultParagraphFont"/>
    <w:uiPriority w:val="99"/>
    <w:rsid w:val="002A65C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94C5E"/>
    <w:rPr>
      <w:rFonts w:ascii="Arial" w:hAnsi="Arial" w:cs="Times New Roman"/>
      <w:color w:val="0000FF"/>
      <w:u w:val="single"/>
    </w:rPr>
  </w:style>
  <w:style w:type="paragraph" w:styleId="ListParagraph">
    <w:name w:val="List Paragraph"/>
    <w:aliases w:val="List Paragraph1,List Paragraph11,Recommendation,Brief List Paragraph 1,DDM Gen Text,L,Numbered paragraph,CV text,Table text,F5 List Paragraph,Dot pt,List Paragraph111,Medium Grid 1 - Accent 21,Numbered Paragraph,List Paragraph2,Bullets"/>
    <w:basedOn w:val="Normal"/>
    <w:link w:val="ListParagraphChar"/>
    <w:uiPriority w:val="34"/>
    <w:qFormat/>
    <w:rsid w:val="00F94C5E"/>
    <w:pPr>
      <w:spacing w:before="120" w:after="0"/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aliases w:val="List Paragraph1 Char,List Paragraph11 Char,Recommendation Char,Brief List Paragraph 1 Char,DDM Gen Text Char,L Char,Numbered paragraph Char,CV text Char,Table text Char,F5 List Paragraph Char,Dot pt Char,List Paragraph111 Char"/>
    <w:basedOn w:val="DefaultParagraphFont"/>
    <w:link w:val="ListParagraph"/>
    <w:uiPriority w:val="34"/>
    <w:locked/>
    <w:rsid w:val="00F94C5E"/>
    <w:rPr>
      <w:rFonts w:ascii="Arial" w:hAnsi="Arial" w:cs="Arial"/>
      <w:sz w:val="22"/>
      <w:szCs w:val="24"/>
    </w:rPr>
  </w:style>
  <w:style w:type="table" w:styleId="TableGrid">
    <w:name w:val="Table Grid"/>
    <w:basedOn w:val="TableNormal"/>
    <w:uiPriority w:val="59"/>
    <w:rsid w:val="004C1847"/>
    <w:pPr>
      <w:spacing w:before="120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A5"/>
    <w:pPr>
      <w:spacing w:before="0" w:after="120" w:line="240" w:lineRule="auto"/>
    </w:pPr>
    <w:rPr>
      <w:rFonts w:ascii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A5"/>
    <w:rPr>
      <w:rFonts w:asciiTheme="minorHAnsi" w:hAnsiTheme="minorHAnsi" w:cs="Arial"/>
      <w:b/>
      <w:bCs/>
      <w:sz w:val="22"/>
      <w:szCs w:val="24"/>
    </w:rPr>
  </w:style>
  <w:style w:type="paragraph" w:styleId="Caption">
    <w:name w:val="caption"/>
    <w:basedOn w:val="Normal"/>
    <w:next w:val="Normal"/>
    <w:uiPriority w:val="35"/>
    <w:unhideWhenUsed/>
    <w:rsid w:val="009060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147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662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AU"/>
    </w:rPr>
  </w:style>
  <w:style w:type="character" w:customStyle="1" w:styleId="veryhardreadability">
    <w:name w:val="veryhardreadability"/>
    <w:basedOn w:val="DefaultParagraphFont"/>
    <w:rsid w:val="00F8077E"/>
  </w:style>
  <w:style w:type="character" w:customStyle="1" w:styleId="adverb">
    <w:name w:val="adverb"/>
    <w:basedOn w:val="DefaultParagraphFont"/>
    <w:rsid w:val="00F8077E"/>
  </w:style>
  <w:style w:type="character" w:customStyle="1" w:styleId="complexword">
    <w:name w:val="complexword"/>
    <w:basedOn w:val="DefaultParagraphFont"/>
    <w:rsid w:val="00F8077E"/>
  </w:style>
  <w:style w:type="character" w:customStyle="1" w:styleId="passivevoice">
    <w:name w:val="passivevoice"/>
    <w:basedOn w:val="DefaultParagraphFont"/>
    <w:rsid w:val="00F8077E"/>
  </w:style>
  <w:style w:type="character" w:styleId="FollowedHyperlink">
    <w:name w:val="FollowedHyperlink"/>
    <w:basedOn w:val="DefaultParagraphFont"/>
    <w:uiPriority w:val="99"/>
    <w:semiHidden/>
    <w:unhideWhenUsed/>
    <w:rsid w:val="007A6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irwork.gov.au/my-account/registerpage.aspx" TargetMode="External"/><Relationship Id="rId2" Type="http://schemas.openxmlformats.org/officeDocument/2006/relationships/hyperlink" Target="https://calculate.fairwork.gov.au/" TargetMode="External"/><Relationship Id="rId1" Type="http://schemas.openxmlformats.org/officeDocument/2006/relationships/hyperlink" Target="https://www.fairwork.gov.au/find-help-for/fast-food-restaurants-cafes" TargetMode="External"/><Relationship Id="rId5" Type="http://schemas.openxmlformats.org/officeDocument/2006/relationships/hyperlink" Target="https://www.fairwork.gov.au/how-we-will-help/templates-and-guides" TargetMode="External"/><Relationship Id="rId4" Type="http://schemas.openxmlformats.org/officeDocument/2006/relationships/hyperlink" Target="https://www.fairwork.gov.au/how-we-will-help/online-training/online-learning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Precincts - Mel Laneways and Bris Westend</vt:lpstr>
    </vt:vector>
  </TitlesOfParts>
  <Manager/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Precincts - Melbourne Laneways and Brisbane Westend</dc:title>
  <dc:subject>Food Precincts - Mel Laneways and Bris Westend</dc:subject>
  <dc:creator/>
  <cp:keywords>Food precincts</cp:keywords>
  <cp:lastModifiedBy/>
  <cp:revision>1</cp:revision>
  <dcterms:created xsi:type="dcterms:W3CDTF">2020-09-02T04:00:00Z</dcterms:created>
  <dcterms:modified xsi:type="dcterms:W3CDTF">2020-09-02T04:01:00Z</dcterms:modified>
</cp:coreProperties>
</file>