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BB867" w14:textId="77777777" w:rsidR="00995EBE" w:rsidRPr="009C4EEF" w:rsidRDefault="00A94C33" w:rsidP="00995EBE">
      <w:pPr>
        <w:pStyle w:val="Heading1"/>
      </w:pPr>
      <w:r>
        <w:t xml:space="preserve">Chemist Warehouse </w:t>
      </w:r>
      <w:r w:rsidR="008730F0">
        <w:t>c</w:t>
      </w:r>
      <w:r>
        <w:t xml:space="preserve">ompliance </w:t>
      </w:r>
      <w:bookmarkStart w:id="0" w:name="_GoBack"/>
      <w:bookmarkEnd w:id="0"/>
      <w:r w:rsidR="008730F0">
        <w:t>p</w:t>
      </w:r>
      <w:r w:rsidR="00B37CF8">
        <w:t>artnership</w:t>
      </w:r>
    </w:p>
    <w:p w14:paraId="578E4A2B" w14:textId="77777777" w:rsidR="00A94C33" w:rsidRPr="00611696" w:rsidRDefault="00A94C33" w:rsidP="00A94C33">
      <w:r w:rsidRPr="00611696">
        <w:t xml:space="preserve">CW Retail Services Pty Ltd [ACN 606 509 791] (Chemist Warehouse) </w:t>
      </w:r>
      <w:r w:rsidR="00AC062C">
        <w:t xml:space="preserve">operates </w:t>
      </w:r>
      <w:r w:rsidRPr="00611696">
        <w:t xml:space="preserve">a retail pharmacy franchise business with a significant presence in </w:t>
      </w:r>
      <w:r>
        <w:t>Australia</w:t>
      </w:r>
      <w:r w:rsidR="00F72D97">
        <w:t xml:space="preserve"> (</w:t>
      </w:r>
      <w:r>
        <w:t xml:space="preserve">more than </w:t>
      </w:r>
      <w:r w:rsidR="00895694">
        <w:t>14</w:t>
      </w:r>
      <w:r>
        <w:t>,</w:t>
      </w:r>
      <w:r w:rsidRPr="00611696">
        <w:t>000 staff</w:t>
      </w:r>
      <w:r>
        <w:t xml:space="preserve"> </w:t>
      </w:r>
      <w:r w:rsidR="00F72D97">
        <w:t>in</w:t>
      </w:r>
      <w:r>
        <w:t xml:space="preserve"> </w:t>
      </w:r>
      <w:r w:rsidR="00895694">
        <w:t xml:space="preserve">400 </w:t>
      </w:r>
      <w:r>
        <w:t>plus stores</w:t>
      </w:r>
      <w:r w:rsidR="00F72D97">
        <w:t>)</w:t>
      </w:r>
      <w:r w:rsidRPr="00611696">
        <w:t>.</w:t>
      </w:r>
    </w:p>
    <w:p w14:paraId="08C02C1D" w14:textId="0BAC1E77" w:rsidR="00DB1F86" w:rsidRDefault="008653A9" w:rsidP="0050188C">
      <w:pPr>
        <w:rPr>
          <w:szCs w:val="22"/>
        </w:rPr>
      </w:pPr>
      <w:r>
        <w:rPr>
          <w:szCs w:val="22"/>
        </w:rPr>
        <w:t xml:space="preserve">Chemist Warehouse entered into a 3-year </w:t>
      </w:r>
      <w:hyperlink r:id="rId7" w:history="1">
        <w:r w:rsidRPr="005154A9">
          <w:rPr>
            <w:rStyle w:val="Hyperlink"/>
            <w:rFonts w:asciiTheme="minorHAnsi" w:hAnsiTheme="minorHAnsi" w:cs="Arial"/>
            <w:szCs w:val="22"/>
          </w:rPr>
          <w:t>compliance partnership</w:t>
        </w:r>
      </w:hyperlink>
      <w:r>
        <w:rPr>
          <w:szCs w:val="22"/>
        </w:rPr>
        <w:t xml:space="preserve"> with the Fair Work Ombudsman (FWO) in November 2016, after FWO audits and Chemist Warehouse’s own review discovered non-compliance across the network. Non-compliance at that time related to payment for online training hours undertaken outside of an employee’s working hours.</w:t>
      </w:r>
      <w:r w:rsidRPr="00611696">
        <w:rPr>
          <w:rStyle w:val="FootnoteReference"/>
          <w:szCs w:val="22"/>
        </w:rPr>
        <w:t xml:space="preserve"> </w:t>
      </w:r>
      <w:r w:rsidR="00DB1F86" w:rsidRPr="00611696">
        <w:rPr>
          <w:rStyle w:val="FootnoteReference"/>
          <w:szCs w:val="22"/>
        </w:rPr>
        <w:footnoteReference w:id="2"/>
      </w:r>
    </w:p>
    <w:p w14:paraId="4F691BDE" w14:textId="77777777" w:rsidR="0050188C" w:rsidRDefault="00F72D97" w:rsidP="0050188C">
      <w:r>
        <w:t xml:space="preserve">The terms of </w:t>
      </w:r>
      <w:r w:rsidR="00FD37D2">
        <w:t xml:space="preserve">the </w:t>
      </w:r>
      <w:r>
        <w:t>partnership we</w:t>
      </w:r>
      <w:r w:rsidR="00A94C33" w:rsidRPr="00611696">
        <w:t>re in</w:t>
      </w:r>
      <w:r w:rsidR="00A94C33" w:rsidRPr="00611696">
        <w:rPr>
          <w:szCs w:val="22"/>
        </w:rPr>
        <w:t xml:space="preserve"> a Proactive Compliance Deed </w:t>
      </w:r>
      <w:r w:rsidR="00A94C33" w:rsidRPr="00611696">
        <w:t>(PCD)</w:t>
      </w:r>
      <w:r w:rsidR="00A94C33">
        <w:t>.</w:t>
      </w:r>
      <w:r w:rsidR="00A94C33" w:rsidRPr="00611696">
        <w:rPr>
          <w:rStyle w:val="FootnoteReference"/>
        </w:rPr>
        <w:footnoteReference w:id="3"/>
      </w:r>
      <w:r w:rsidR="0050188C">
        <w:t xml:space="preserve"> Its main aim was to ensure </w:t>
      </w:r>
      <w:r w:rsidR="00A94C33" w:rsidRPr="00611696">
        <w:t>compliance across the franchise network</w:t>
      </w:r>
      <w:r w:rsidR="0050188C">
        <w:t xml:space="preserve"> by implementing:</w:t>
      </w:r>
    </w:p>
    <w:p w14:paraId="0E5EEA7E" w14:textId="77777777" w:rsidR="00A94C33" w:rsidRPr="00611696" w:rsidRDefault="00A94C33" w:rsidP="0050188C">
      <w:pPr>
        <w:pStyle w:val="Bullet"/>
      </w:pPr>
      <w:r w:rsidRPr="00611696">
        <w:t>workplace relations</w:t>
      </w:r>
      <w:r w:rsidR="0050188C">
        <w:t xml:space="preserve"> resources, </w:t>
      </w:r>
      <w:r w:rsidRPr="00611696">
        <w:t xml:space="preserve">training and support </w:t>
      </w:r>
      <w:r w:rsidR="0050188C">
        <w:t xml:space="preserve">for </w:t>
      </w:r>
      <w:r w:rsidRPr="00611696">
        <w:t>franchisees</w:t>
      </w:r>
      <w:r w:rsidR="00FC7484">
        <w:t xml:space="preserve"> and employees</w:t>
      </w:r>
    </w:p>
    <w:p w14:paraId="6A56AB41" w14:textId="77777777" w:rsidR="00A94C33" w:rsidRPr="00611696" w:rsidRDefault="001E0B6E" w:rsidP="0050188C">
      <w:pPr>
        <w:pStyle w:val="Bullet"/>
      </w:pPr>
      <w:r>
        <w:t xml:space="preserve">a </w:t>
      </w:r>
      <w:r w:rsidR="00FC7484">
        <w:t xml:space="preserve">telephone hotline and email account service </w:t>
      </w:r>
      <w:r w:rsidR="0050188C">
        <w:t xml:space="preserve">for </w:t>
      </w:r>
      <w:r w:rsidR="00A94C33" w:rsidRPr="00611696">
        <w:t xml:space="preserve">employees to </w:t>
      </w:r>
      <w:r w:rsidR="00FC7484">
        <w:t>make enquiries, lodge complaints or report potential non-compliance, including underpayment of wages</w:t>
      </w:r>
    </w:p>
    <w:p w14:paraId="19F4C165" w14:textId="77777777" w:rsidR="00A94C33" w:rsidRPr="00611696" w:rsidRDefault="0050188C" w:rsidP="0050188C">
      <w:pPr>
        <w:pStyle w:val="Bullet"/>
      </w:pPr>
      <w:r>
        <w:t xml:space="preserve">independent </w:t>
      </w:r>
      <w:r w:rsidR="00A94C33" w:rsidRPr="00611696">
        <w:t>audit</w:t>
      </w:r>
      <w:r>
        <w:t>s</w:t>
      </w:r>
    </w:p>
    <w:p w14:paraId="5DABFEEE" w14:textId="77777777" w:rsidR="00FC7484" w:rsidRDefault="00A94C33" w:rsidP="0050188C">
      <w:pPr>
        <w:pStyle w:val="Bullet"/>
      </w:pPr>
      <w:r w:rsidRPr="00611696">
        <w:t>referral of requests for assistance</w:t>
      </w:r>
      <w:r w:rsidR="0050188C">
        <w:t xml:space="preserve"> </w:t>
      </w:r>
      <w:r w:rsidR="00FC7484">
        <w:t xml:space="preserve">by </w:t>
      </w:r>
      <w:r w:rsidR="007149E8">
        <w:t xml:space="preserve">the </w:t>
      </w:r>
      <w:r w:rsidR="00FC7484">
        <w:t xml:space="preserve">FWO </w:t>
      </w:r>
      <w:r w:rsidR="0050188C">
        <w:t xml:space="preserve">to Chemist Warehouse </w:t>
      </w:r>
      <w:r w:rsidRPr="00611696">
        <w:t xml:space="preserve">for </w:t>
      </w:r>
      <w:r w:rsidR="00FC7484">
        <w:t>self-</w:t>
      </w:r>
      <w:r w:rsidRPr="00611696">
        <w:t>resolution</w:t>
      </w:r>
    </w:p>
    <w:p w14:paraId="2A5FD5FE" w14:textId="77777777" w:rsidR="00A94C33" w:rsidRPr="00611696" w:rsidRDefault="00FC7484" w:rsidP="0050188C">
      <w:pPr>
        <w:pStyle w:val="Bullet"/>
      </w:pPr>
      <w:r>
        <w:t>improvements to Chemist Warehouse’s HR systems and processes</w:t>
      </w:r>
      <w:r w:rsidR="00A94C33" w:rsidRPr="00611696">
        <w:t>.</w:t>
      </w:r>
    </w:p>
    <w:p w14:paraId="39A12978" w14:textId="77777777" w:rsidR="0050188C" w:rsidRDefault="004C19C4" w:rsidP="00A94C33">
      <w:pPr>
        <w:rPr>
          <w:szCs w:val="22"/>
          <w:lang w:val="en-US"/>
        </w:rPr>
      </w:pPr>
      <w:r>
        <w:rPr>
          <w:szCs w:val="22"/>
          <w:lang w:val="en-US"/>
        </w:rPr>
        <w:t>O</w:t>
      </w:r>
      <w:r w:rsidR="0050188C">
        <w:rPr>
          <w:szCs w:val="22"/>
          <w:lang w:val="en-US"/>
        </w:rPr>
        <w:t>utcomes of the partnership</w:t>
      </w:r>
      <w:r w:rsidR="003E1AD6">
        <w:rPr>
          <w:szCs w:val="22"/>
          <w:lang w:val="en-US"/>
        </w:rPr>
        <w:t xml:space="preserve"> against each of the key commitments under the PCD</w:t>
      </w:r>
      <w:r>
        <w:rPr>
          <w:szCs w:val="22"/>
          <w:lang w:val="en-US"/>
        </w:rPr>
        <w:t xml:space="preserve"> are detailed below</w:t>
      </w:r>
      <w:r w:rsidR="003E1AD6">
        <w:rPr>
          <w:szCs w:val="22"/>
          <w:lang w:val="en-US"/>
        </w:rPr>
        <w:t xml:space="preserve">. </w:t>
      </w:r>
      <w:r w:rsidR="00440D09">
        <w:rPr>
          <w:szCs w:val="22"/>
          <w:lang w:val="en-US"/>
        </w:rPr>
        <w:t>This follows a</w:t>
      </w:r>
      <w:r w:rsidR="0050188C">
        <w:rPr>
          <w:szCs w:val="22"/>
          <w:lang w:val="en-US"/>
        </w:rPr>
        <w:t xml:space="preserve">n interim progress report </w:t>
      </w:r>
      <w:r w:rsidR="00440D09">
        <w:rPr>
          <w:szCs w:val="22"/>
          <w:lang w:val="en-US"/>
        </w:rPr>
        <w:t xml:space="preserve">that </w:t>
      </w:r>
      <w:r w:rsidR="0050188C">
        <w:rPr>
          <w:szCs w:val="22"/>
          <w:lang w:val="en-US"/>
        </w:rPr>
        <w:t>was published in 2018.</w:t>
      </w:r>
      <w:r w:rsidR="0050188C">
        <w:rPr>
          <w:rStyle w:val="FootnoteReference"/>
          <w:szCs w:val="22"/>
          <w:lang w:val="en-US"/>
        </w:rPr>
        <w:footnoteReference w:id="4"/>
      </w:r>
    </w:p>
    <w:p w14:paraId="76C0C345" w14:textId="77777777" w:rsidR="00A94C33" w:rsidRDefault="00B263F4" w:rsidP="003E1AD6">
      <w:pPr>
        <w:pStyle w:val="Heading2"/>
      </w:pPr>
      <w:r>
        <w:t>Communication</w:t>
      </w:r>
    </w:p>
    <w:p w14:paraId="5C1036BC" w14:textId="77777777" w:rsidR="00287EBF" w:rsidRPr="003E1AD6" w:rsidRDefault="00287EBF" w:rsidP="00287EBF">
      <w:r>
        <w:t xml:space="preserve">Chemist Warehouse met requirements </w:t>
      </w:r>
      <w:r w:rsidR="00B263F4">
        <w:t>t</w:t>
      </w:r>
      <w:r>
        <w:t xml:space="preserve">o communicate with franchisees and staff about the </w:t>
      </w:r>
      <w:r w:rsidR="0099750D">
        <w:t>compliance partnership</w:t>
      </w:r>
      <w:r w:rsidR="00B263F4">
        <w:t xml:space="preserve"> (</w:t>
      </w:r>
      <w:r w:rsidR="00EA5090">
        <w:t xml:space="preserve">as per </w:t>
      </w:r>
      <w:r w:rsidR="00B263F4">
        <w:t>Clause 3</w:t>
      </w:r>
      <w:r w:rsidR="00EA5090">
        <w:t xml:space="preserve"> of the PCD</w:t>
      </w:r>
      <w:r w:rsidR="00B263F4">
        <w:t>)</w:t>
      </w:r>
      <w:r w:rsidR="0099750D">
        <w:t xml:space="preserve">, </w:t>
      </w:r>
      <w:r w:rsidR="00EA5090">
        <w:t>including</w:t>
      </w:r>
      <w:r>
        <w:t>:</w:t>
      </w:r>
    </w:p>
    <w:p w14:paraId="7510B01F" w14:textId="77777777" w:rsidR="00287EBF" w:rsidRPr="008730F0" w:rsidRDefault="00287EBF" w:rsidP="008730F0">
      <w:pPr>
        <w:pStyle w:val="Bullet"/>
      </w:pPr>
      <w:r w:rsidRPr="008730F0">
        <w:t>establishment of a dedicated employee hotline</w:t>
      </w:r>
      <w:r w:rsidR="008730F0" w:rsidRPr="008730F0">
        <w:t xml:space="preserve"> and</w:t>
      </w:r>
      <w:r w:rsidR="00B2425F" w:rsidRPr="008730F0">
        <w:t xml:space="preserve"> email</w:t>
      </w:r>
      <w:r w:rsidRPr="008730F0">
        <w:t xml:space="preserve"> </w:t>
      </w:r>
      <w:r w:rsidR="008730F0" w:rsidRPr="008730F0">
        <w:t xml:space="preserve">for confidential enquiries and complaints, and an </w:t>
      </w:r>
      <w:r w:rsidRPr="008730F0">
        <w:t>enquiry register</w:t>
      </w:r>
      <w:r w:rsidR="00EA5090" w:rsidRPr="008730F0">
        <w:t xml:space="preserve"> (Clause 7)</w:t>
      </w:r>
    </w:p>
    <w:p w14:paraId="1C418FB2" w14:textId="77777777" w:rsidR="00287EBF" w:rsidRPr="008730F0" w:rsidRDefault="00810DDE" w:rsidP="008730F0">
      <w:pPr>
        <w:pStyle w:val="Bullet"/>
      </w:pPr>
      <w:r w:rsidRPr="008730F0">
        <w:lastRenderedPageBreak/>
        <w:t xml:space="preserve">notification about commencement of the PCD sent to </w:t>
      </w:r>
      <w:r w:rsidR="00287EBF" w:rsidRPr="008730F0">
        <w:t>f</w:t>
      </w:r>
      <w:r w:rsidR="003E1AD6" w:rsidRPr="008730F0">
        <w:t xml:space="preserve">ranchisees </w:t>
      </w:r>
      <w:r w:rsidR="006B4C3D">
        <w:t xml:space="preserve">and employees </w:t>
      </w:r>
      <w:r w:rsidR="00287EBF" w:rsidRPr="008730F0">
        <w:t>within 14 days</w:t>
      </w:r>
      <w:r w:rsidRPr="008730F0">
        <w:t xml:space="preserve"> along with </w:t>
      </w:r>
      <w:r w:rsidR="003E1AD6" w:rsidRPr="008730F0">
        <w:t xml:space="preserve">an advance copy of </w:t>
      </w:r>
      <w:r w:rsidR="007149E8">
        <w:t xml:space="preserve">the FWO </w:t>
      </w:r>
      <w:r w:rsidR="003E1AD6" w:rsidRPr="008730F0">
        <w:t xml:space="preserve">media release announcing </w:t>
      </w:r>
      <w:r w:rsidR="00113C02" w:rsidRPr="008730F0">
        <w:t xml:space="preserve">the </w:t>
      </w:r>
      <w:r w:rsidR="003E1AD6" w:rsidRPr="008730F0">
        <w:t>PCD</w:t>
      </w:r>
      <w:r w:rsidR="00113C02" w:rsidRPr="00603CC4">
        <w:rPr>
          <w:rStyle w:val="FootnoteReference"/>
          <w:rFonts w:cs="Arial"/>
        </w:rPr>
        <w:footnoteReference w:id="5"/>
      </w:r>
    </w:p>
    <w:p w14:paraId="1A327203" w14:textId="77777777" w:rsidR="00287EBF" w:rsidRPr="008730F0" w:rsidRDefault="00810DDE" w:rsidP="008730F0">
      <w:pPr>
        <w:pStyle w:val="Bullet"/>
      </w:pPr>
      <w:r w:rsidRPr="008730F0">
        <w:t xml:space="preserve">posting an </w:t>
      </w:r>
      <w:r w:rsidR="003E1AD6" w:rsidRPr="008730F0">
        <w:t xml:space="preserve">HR Bulletin </w:t>
      </w:r>
      <w:r w:rsidRPr="008730F0">
        <w:t>on store noticeboards</w:t>
      </w:r>
    </w:p>
    <w:p w14:paraId="1C4CA878" w14:textId="77777777" w:rsidR="00810DDE" w:rsidRPr="008730F0" w:rsidRDefault="00810DDE" w:rsidP="008730F0">
      <w:pPr>
        <w:pStyle w:val="Bullet"/>
      </w:pPr>
      <w:r w:rsidRPr="008730F0">
        <w:t>in-store briefings for all staff by owners and managers</w:t>
      </w:r>
    </w:p>
    <w:p w14:paraId="43E7D318" w14:textId="77777777" w:rsidR="00113C02" w:rsidRPr="008730F0" w:rsidRDefault="00810DDE" w:rsidP="008730F0">
      <w:pPr>
        <w:pStyle w:val="Bullet"/>
      </w:pPr>
      <w:r w:rsidRPr="008730F0">
        <w:t xml:space="preserve">displaying the </w:t>
      </w:r>
      <w:r w:rsidR="00287EBF" w:rsidRPr="008730F0">
        <w:t>employee h</w:t>
      </w:r>
      <w:r w:rsidR="00113C02" w:rsidRPr="008730F0">
        <w:t xml:space="preserve">otline </w:t>
      </w:r>
      <w:r w:rsidR="00287EBF" w:rsidRPr="008730F0">
        <w:t>and Fair Work Infoline numbers in store</w:t>
      </w:r>
    </w:p>
    <w:p w14:paraId="2F9A0ED8" w14:textId="77777777" w:rsidR="00810DDE" w:rsidRPr="008730F0" w:rsidRDefault="00810DDE" w:rsidP="008730F0">
      <w:pPr>
        <w:pStyle w:val="Bullet"/>
      </w:pPr>
      <w:r w:rsidRPr="008730F0">
        <w:t>including PCD and hotline number on the Chemist Warehouse intranet</w:t>
      </w:r>
    </w:p>
    <w:p w14:paraId="4438471D" w14:textId="77777777" w:rsidR="00113C02" w:rsidRPr="008730F0" w:rsidRDefault="00810DDE" w:rsidP="008730F0">
      <w:pPr>
        <w:pStyle w:val="Bullet"/>
      </w:pPr>
      <w:r w:rsidRPr="008730F0">
        <w:t>inserting a clause about the PCD and hotline number into standard employment contracts.</w:t>
      </w:r>
    </w:p>
    <w:p w14:paraId="3E0D0AC9" w14:textId="77777777" w:rsidR="00BB71C3" w:rsidRPr="00113C02" w:rsidRDefault="00BB71C3" w:rsidP="00BB71C3">
      <w:r>
        <w:t>Chemist Warehouse reports that it continues to offer the confidential hotline service to employees now that the compliance partnership has concluded.</w:t>
      </w:r>
    </w:p>
    <w:p w14:paraId="1563A667" w14:textId="77777777" w:rsidR="009F57B4" w:rsidRDefault="009F57B4" w:rsidP="00B263F4">
      <w:pPr>
        <w:pStyle w:val="Heading2"/>
      </w:pPr>
      <w:r>
        <w:t>Workplace relations training</w:t>
      </w:r>
    </w:p>
    <w:p w14:paraId="2AF367AE" w14:textId="77777777" w:rsidR="009F57B4" w:rsidRPr="00D907C5" w:rsidRDefault="009F57B4" w:rsidP="00D907C5">
      <w:r w:rsidRPr="00611696">
        <w:t xml:space="preserve">Chemist Warehouse appointed its National HR Manager to the role of ‘HR Specialist’ and </w:t>
      </w:r>
      <w:r w:rsidR="001B38F4">
        <w:t xml:space="preserve">instructed </w:t>
      </w:r>
      <w:r w:rsidRPr="00611696">
        <w:t>the</w:t>
      </w:r>
      <w:r w:rsidR="00D907C5">
        <w:t>m</w:t>
      </w:r>
      <w:r w:rsidRPr="00611696">
        <w:t xml:space="preserve"> </w:t>
      </w:r>
      <w:r w:rsidR="00D907C5">
        <w:t xml:space="preserve">to </w:t>
      </w:r>
      <w:r w:rsidRPr="00D907C5">
        <w:t xml:space="preserve">design and implement </w:t>
      </w:r>
      <w:r w:rsidR="00FC7484">
        <w:t xml:space="preserve">ongoing </w:t>
      </w:r>
      <w:r w:rsidR="009F3740">
        <w:t xml:space="preserve">training for franchise </w:t>
      </w:r>
      <w:r w:rsidR="00FC7484">
        <w:t xml:space="preserve">directors, </w:t>
      </w:r>
      <w:r w:rsidR="001B38F4">
        <w:t>managers</w:t>
      </w:r>
      <w:r w:rsidR="006B4C3D">
        <w:t xml:space="preserve">, </w:t>
      </w:r>
      <w:r w:rsidR="001B38F4">
        <w:t>supervisors</w:t>
      </w:r>
      <w:r w:rsidR="001B38F4" w:rsidRPr="001B38F4">
        <w:t xml:space="preserve"> </w:t>
      </w:r>
      <w:r w:rsidR="006B4C3D">
        <w:t xml:space="preserve">and employees </w:t>
      </w:r>
      <w:r w:rsidR="001B38F4">
        <w:t>(Clause 11).</w:t>
      </w:r>
    </w:p>
    <w:p w14:paraId="56DD42C5" w14:textId="77777777" w:rsidR="009F57B4" w:rsidRPr="00611696" w:rsidRDefault="001B38F4" w:rsidP="009F57B4">
      <w:pPr>
        <w:spacing w:before="120"/>
      </w:pPr>
      <w:r>
        <w:t xml:space="preserve">563 owners, managers and supervisors completed </w:t>
      </w:r>
      <w:r w:rsidR="00F72D97">
        <w:t xml:space="preserve">the </w:t>
      </w:r>
      <w:r>
        <w:t>training that was rolled out in 2018</w:t>
      </w:r>
      <w:r w:rsidR="00D907C5">
        <w:t>. Delivered face-to-face by members of the HR team, the program cover</w:t>
      </w:r>
      <w:r w:rsidR="00F72D97">
        <w:t>ed</w:t>
      </w:r>
      <w:r w:rsidR="009F57B4" w:rsidRPr="00611696">
        <w:t>:</w:t>
      </w:r>
    </w:p>
    <w:p w14:paraId="01576121" w14:textId="77777777" w:rsidR="009F57B4" w:rsidRPr="009F3740" w:rsidRDefault="009F57B4" w:rsidP="009F3740">
      <w:pPr>
        <w:pStyle w:val="Bullet"/>
      </w:pPr>
      <w:r w:rsidRPr="009F3740">
        <w:t xml:space="preserve">the </w:t>
      </w:r>
      <w:r w:rsidR="00D907C5" w:rsidRPr="001E0B6E">
        <w:rPr>
          <w:i/>
        </w:rPr>
        <w:t xml:space="preserve">Fair Work </w:t>
      </w:r>
      <w:r w:rsidRPr="001E0B6E">
        <w:rPr>
          <w:i/>
        </w:rPr>
        <w:t>Act</w:t>
      </w:r>
      <w:r w:rsidR="00D907C5" w:rsidRPr="001E0B6E">
        <w:rPr>
          <w:i/>
        </w:rPr>
        <w:t xml:space="preserve"> 2009</w:t>
      </w:r>
      <w:r w:rsidR="00605605">
        <w:t xml:space="preserve"> (the Act)</w:t>
      </w:r>
    </w:p>
    <w:p w14:paraId="1035CF23" w14:textId="77777777" w:rsidR="00D907C5" w:rsidRPr="009F3740" w:rsidRDefault="00D907C5" w:rsidP="009F3740">
      <w:pPr>
        <w:pStyle w:val="Bullet"/>
      </w:pPr>
      <w:r w:rsidRPr="009F3740">
        <w:t>the National Employment Standards (NES)</w:t>
      </w:r>
    </w:p>
    <w:p w14:paraId="7B582244" w14:textId="77777777" w:rsidR="00D907C5" w:rsidRPr="009F3740" w:rsidRDefault="00D907C5" w:rsidP="009F3740">
      <w:pPr>
        <w:pStyle w:val="Bullet"/>
      </w:pPr>
      <w:r w:rsidRPr="009F3740">
        <w:t>employment contracts</w:t>
      </w:r>
    </w:p>
    <w:p w14:paraId="7F278B04" w14:textId="77777777" w:rsidR="009F57B4" w:rsidRPr="009F3740" w:rsidRDefault="00D907C5" w:rsidP="009F3740">
      <w:pPr>
        <w:pStyle w:val="Bullet"/>
      </w:pPr>
      <w:r w:rsidRPr="009F3740">
        <w:t>applying a</w:t>
      </w:r>
      <w:r w:rsidR="009F57B4" w:rsidRPr="009F3740">
        <w:t>ward</w:t>
      </w:r>
      <w:r w:rsidRPr="009F3740">
        <w:t>s in the workplace</w:t>
      </w:r>
    </w:p>
    <w:p w14:paraId="2B0D07E0" w14:textId="77777777" w:rsidR="00D907C5" w:rsidRPr="009F3740" w:rsidRDefault="00D907C5" w:rsidP="009F3740">
      <w:pPr>
        <w:pStyle w:val="Bullet"/>
      </w:pPr>
      <w:r w:rsidRPr="009F3740">
        <w:t>types of employment</w:t>
      </w:r>
    </w:p>
    <w:p w14:paraId="2DF3D3C0" w14:textId="77777777" w:rsidR="00D907C5" w:rsidRPr="009F3740" w:rsidRDefault="00D907C5" w:rsidP="009F3740">
      <w:pPr>
        <w:pStyle w:val="Bullet"/>
      </w:pPr>
      <w:r w:rsidRPr="009F3740">
        <w:t>hours of work, overtime and penalty rates</w:t>
      </w:r>
    </w:p>
    <w:p w14:paraId="7E0F2924" w14:textId="77777777" w:rsidR="00D907C5" w:rsidRPr="009F3740" w:rsidRDefault="00D907C5" w:rsidP="009F3740">
      <w:pPr>
        <w:pStyle w:val="Bullet"/>
      </w:pPr>
      <w:r w:rsidRPr="009F3740">
        <w:t>breaks, time in lieu and allowances</w:t>
      </w:r>
    </w:p>
    <w:p w14:paraId="26AA335B" w14:textId="77777777" w:rsidR="009F57B4" w:rsidRPr="009F3740" w:rsidRDefault="00D907C5" w:rsidP="009F3740">
      <w:pPr>
        <w:pStyle w:val="Bullet"/>
      </w:pPr>
      <w:r w:rsidRPr="009F3740">
        <w:t>leave and public holidays</w:t>
      </w:r>
      <w:r w:rsidR="009F57B4" w:rsidRPr="009F3740">
        <w:t>.</w:t>
      </w:r>
    </w:p>
    <w:p w14:paraId="6A80E579" w14:textId="77777777" w:rsidR="009F3740" w:rsidRDefault="009F3740" w:rsidP="009F57B4">
      <w:r>
        <w:t xml:space="preserve">The </w:t>
      </w:r>
      <w:r w:rsidR="00FC331E">
        <w:t xml:space="preserve">Chemist Warehouse </w:t>
      </w:r>
      <w:r>
        <w:t xml:space="preserve">HR team </w:t>
      </w:r>
      <w:r w:rsidR="001E0B28">
        <w:t>continues to field</w:t>
      </w:r>
      <w:r>
        <w:t xml:space="preserve"> enquiries </w:t>
      </w:r>
      <w:r w:rsidR="00A5637B">
        <w:t xml:space="preserve">from </w:t>
      </w:r>
      <w:r w:rsidR="001E0B6E">
        <w:t>directors, officers, managers and supervisors</w:t>
      </w:r>
      <w:r w:rsidR="001E0B6E" w:rsidRPr="001B38F4">
        <w:t xml:space="preserve"> </w:t>
      </w:r>
      <w:r>
        <w:t xml:space="preserve">about interpreting awards and employee conditions following the </w:t>
      </w:r>
      <w:r w:rsidR="00895694">
        <w:t xml:space="preserve">initial </w:t>
      </w:r>
      <w:r>
        <w:t>training</w:t>
      </w:r>
      <w:r w:rsidR="007A1F74">
        <w:t>, showing</w:t>
      </w:r>
      <w:r>
        <w:t xml:space="preserve"> </w:t>
      </w:r>
      <w:r w:rsidRPr="00EA5090">
        <w:t>positive</w:t>
      </w:r>
      <w:r>
        <w:t xml:space="preserve"> engagement with the need to meet </w:t>
      </w:r>
      <w:r w:rsidR="00895694">
        <w:t xml:space="preserve">workplace </w:t>
      </w:r>
      <w:r w:rsidR="00B531AB">
        <w:t>obligations.</w:t>
      </w:r>
    </w:p>
    <w:p w14:paraId="6DF054BB" w14:textId="77777777" w:rsidR="00B531AB" w:rsidRDefault="00B531AB" w:rsidP="009F57B4">
      <w:r>
        <w:t xml:space="preserve">Other workplace relations training </w:t>
      </w:r>
      <w:r w:rsidR="009802BA">
        <w:t xml:space="preserve">resources and </w:t>
      </w:r>
      <w:r>
        <w:t xml:space="preserve">initiatives </w:t>
      </w:r>
      <w:r w:rsidR="009802BA">
        <w:t>introduced during the compliance partnership included</w:t>
      </w:r>
      <w:r>
        <w:t>:</w:t>
      </w:r>
    </w:p>
    <w:p w14:paraId="37EF7ADA" w14:textId="77777777" w:rsidR="00B531AB" w:rsidRPr="00FD37D2" w:rsidRDefault="009802BA" w:rsidP="00FD37D2">
      <w:pPr>
        <w:pStyle w:val="Bullet"/>
      </w:pPr>
      <w:r w:rsidRPr="00FD37D2">
        <w:lastRenderedPageBreak/>
        <w:t xml:space="preserve">an </w:t>
      </w:r>
      <w:r w:rsidR="00B531AB" w:rsidRPr="00FD37D2">
        <w:t>HR Store Pack</w:t>
      </w:r>
      <w:r w:rsidR="006B4C3D">
        <w:t xml:space="preserve"> for employees</w:t>
      </w:r>
      <w:r w:rsidR="00B531AB" w:rsidRPr="00FD37D2">
        <w:t xml:space="preserve">: displayed in stores and discussed in team briefings, noting the hotline, HR policies and procedures and where to find them, HR Road Map, </w:t>
      </w:r>
      <w:r w:rsidRPr="00FD37D2">
        <w:t>c</w:t>
      </w:r>
      <w:r w:rsidR="00B531AB" w:rsidRPr="00FD37D2">
        <w:t xml:space="preserve">ode of </w:t>
      </w:r>
      <w:r w:rsidRPr="00FD37D2">
        <w:t>c</w:t>
      </w:r>
      <w:r w:rsidR="00B531AB" w:rsidRPr="00FD37D2">
        <w:t>onduct</w:t>
      </w:r>
    </w:p>
    <w:p w14:paraId="7948CCD7" w14:textId="77777777" w:rsidR="00F62DBA" w:rsidRPr="00FD37D2" w:rsidRDefault="00F62DBA" w:rsidP="00FD37D2">
      <w:pPr>
        <w:pStyle w:val="Bullet"/>
      </w:pPr>
      <w:r w:rsidRPr="00FD37D2">
        <w:t>HR Internal Guides</w:t>
      </w:r>
      <w:r w:rsidR="006B4C3D">
        <w:t xml:space="preserve"> for managers and employees</w:t>
      </w:r>
      <w:r w:rsidRPr="00FD37D2">
        <w:t>: on a range of topics, including parental leave and family and domestic violence</w:t>
      </w:r>
    </w:p>
    <w:p w14:paraId="78E75787" w14:textId="77777777" w:rsidR="009802BA" w:rsidRPr="00FD37D2" w:rsidRDefault="00B531AB" w:rsidP="00FD37D2">
      <w:pPr>
        <w:pStyle w:val="Bullet"/>
      </w:pPr>
      <w:r w:rsidRPr="00FD37D2">
        <w:t>HR News</w:t>
      </w:r>
      <w:r w:rsidR="009802BA" w:rsidRPr="00FD37D2">
        <w:t xml:space="preserve"> flyers</w:t>
      </w:r>
      <w:r w:rsidR="006B4C3D">
        <w:t xml:space="preserve"> for managers and employees</w:t>
      </w:r>
      <w:r w:rsidRPr="00FD37D2">
        <w:t>: answering questions about employee entitlements, including leave, breaks, fixed term contracts, casuals, rostering and w</w:t>
      </w:r>
      <w:r w:rsidR="009802BA" w:rsidRPr="00FD37D2">
        <w:t>orkforce planning for Christmas</w:t>
      </w:r>
    </w:p>
    <w:p w14:paraId="5E15C6F5" w14:textId="77777777" w:rsidR="00B531AB" w:rsidRPr="00FD37D2" w:rsidRDefault="00B531AB" w:rsidP="00FD37D2">
      <w:pPr>
        <w:pStyle w:val="Bullet"/>
      </w:pPr>
      <w:r w:rsidRPr="00FD37D2">
        <w:t>Manager Briefings</w:t>
      </w:r>
      <w:r w:rsidR="009802BA" w:rsidRPr="00FD37D2">
        <w:t>:</w:t>
      </w:r>
      <w:r w:rsidRPr="00FD37D2">
        <w:t xml:space="preserve"> as part of the internal retail management program</w:t>
      </w:r>
      <w:r w:rsidR="00F72D97" w:rsidRPr="00FD37D2">
        <w:t xml:space="preserve"> for new owners and managers</w:t>
      </w:r>
      <w:r w:rsidRPr="00FD37D2">
        <w:t xml:space="preserve">, </w:t>
      </w:r>
      <w:r w:rsidR="009802BA" w:rsidRPr="00FD37D2">
        <w:t xml:space="preserve">outlining the </w:t>
      </w:r>
      <w:r w:rsidRPr="00FD37D2">
        <w:t xml:space="preserve">NES, </w:t>
      </w:r>
      <w:r w:rsidR="009802BA" w:rsidRPr="00FD37D2">
        <w:t>award principals and conditions, p</w:t>
      </w:r>
      <w:r w:rsidRPr="00FD37D2">
        <w:t xml:space="preserve">erformance </w:t>
      </w:r>
      <w:r w:rsidR="009802BA" w:rsidRPr="00FD37D2">
        <w:t>management, c</w:t>
      </w:r>
      <w:r w:rsidRPr="00FD37D2">
        <w:t xml:space="preserve">ode of </w:t>
      </w:r>
      <w:r w:rsidR="009802BA" w:rsidRPr="00FD37D2">
        <w:t xml:space="preserve">conduct, HR policies, </w:t>
      </w:r>
      <w:r w:rsidRPr="00FD37D2">
        <w:t>procedures</w:t>
      </w:r>
      <w:r w:rsidR="009802BA" w:rsidRPr="00FD37D2">
        <w:t>, and resources</w:t>
      </w:r>
    </w:p>
    <w:p w14:paraId="047E9B05" w14:textId="77777777" w:rsidR="00F62DBA" w:rsidRPr="00FD37D2" w:rsidRDefault="00F62DBA" w:rsidP="00FD37D2">
      <w:pPr>
        <w:pStyle w:val="Bullet"/>
      </w:pPr>
      <w:r w:rsidRPr="00FD37D2">
        <w:t>an HR Store Audit Checklist: used in twice yearly store</w:t>
      </w:r>
      <w:r w:rsidR="00440D09" w:rsidRPr="00FD37D2">
        <w:t xml:space="preserve"> checks, covering records management, employee entitlements, </w:t>
      </w:r>
      <w:r w:rsidR="007D73E9">
        <w:t xml:space="preserve">and </w:t>
      </w:r>
      <w:r w:rsidR="00440D09" w:rsidRPr="00FD37D2">
        <w:t>the hotline</w:t>
      </w:r>
    </w:p>
    <w:p w14:paraId="080DC585" w14:textId="77777777" w:rsidR="009802BA" w:rsidRPr="00FD37D2" w:rsidRDefault="009802BA" w:rsidP="00FD37D2">
      <w:pPr>
        <w:pStyle w:val="Bullet"/>
      </w:pPr>
      <w:r w:rsidRPr="00FD37D2">
        <w:t xml:space="preserve">a </w:t>
      </w:r>
      <w:r w:rsidR="00B531AB" w:rsidRPr="00FD37D2">
        <w:t>New Manager Induction Checklist</w:t>
      </w:r>
      <w:r w:rsidRPr="00FD37D2">
        <w:t>:</w:t>
      </w:r>
      <w:r w:rsidR="00B531AB" w:rsidRPr="00FD37D2">
        <w:t xml:space="preserve"> </w:t>
      </w:r>
      <w:r w:rsidRPr="00FD37D2">
        <w:t xml:space="preserve">on </w:t>
      </w:r>
      <w:r w:rsidR="00B531AB" w:rsidRPr="00FD37D2">
        <w:t xml:space="preserve">the basics </w:t>
      </w:r>
      <w:r w:rsidRPr="00FD37D2">
        <w:t xml:space="preserve">of </w:t>
      </w:r>
      <w:r w:rsidR="00B531AB" w:rsidRPr="00FD37D2">
        <w:t>managing people from a</w:t>
      </w:r>
      <w:r w:rsidRPr="00FD37D2">
        <w:t>n</w:t>
      </w:r>
      <w:r w:rsidR="00B531AB" w:rsidRPr="00FD37D2">
        <w:t xml:space="preserve"> HR compliance perspective, </w:t>
      </w:r>
      <w:r w:rsidRPr="00FD37D2">
        <w:t xml:space="preserve">including </w:t>
      </w:r>
      <w:r w:rsidR="00B531AB" w:rsidRPr="00FD37D2">
        <w:t>awards, entitl</w:t>
      </w:r>
      <w:r w:rsidR="00F72D97" w:rsidRPr="00FD37D2">
        <w:t>ements, policies and procedures</w:t>
      </w:r>
    </w:p>
    <w:p w14:paraId="135F235C" w14:textId="77777777" w:rsidR="009802BA" w:rsidRPr="00FD37D2" w:rsidRDefault="009802BA" w:rsidP="00FD37D2">
      <w:pPr>
        <w:pStyle w:val="Bullet"/>
      </w:pPr>
      <w:r w:rsidRPr="00FD37D2">
        <w:t xml:space="preserve">an </w:t>
      </w:r>
      <w:r w:rsidR="00B531AB" w:rsidRPr="00FD37D2">
        <w:t>Employee Road Map</w:t>
      </w:r>
      <w:r w:rsidRPr="00FD37D2">
        <w:t>:</w:t>
      </w:r>
      <w:r w:rsidR="00B531AB" w:rsidRPr="00FD37D2">
        <w:t xml:space="preserve"> </w:t>
      </w:r>
      <w:r w:rsidRPr="00FD37D2">
        <w:t xml:space="preserve">showing </w:t>
      </w:r>
      <w:r w:rsidR="00B531AB" w:rsidRPr="00FD37D2">
        <w:t xml:space="preserve">who and where to go to for </w:t>
      </w:r>
      <w:r w:rsidRPr="00FD37D2">
        <w:t>assistance</w:t>
      </w:r>
    </w:p>
    <w:p w14:paraId="43DC420F" w14:textId="77777777" w:rsidR="00B531AB" w:rsidRPr="00FD37D2" w:rsidRDefault="00B531AB" w:rsidP="00FD37D2">
      <w:pPr>
        <w:pStyle w:val="Bullet"/>
      </w:pPr>
      <w:r w:rsidRPr="00FD37D2">
        <w:t>Workforce Reviews</w:t>
      </w:r>
      <w:r w:rsidR="009802BA" w:rsidRPr="00FD37D2">
        <w:t>:</w:t>
      </w:r>
      <w:r w:rsidRPr="00FD37D2">
        <w:t xml:space="preserve"> </w:t>
      </w:r>
      <w:r w:rsidR="009802BA" w:rsidRPr="00FD37D2">
        <w:t xml:space="preserve">individual store assessments of </w:t>
      </w:r>
      <w:r w:rsidRPr="00FD37D2">
        <w:t xml:space="preserve">workplace </w:t>
      </w:r>
      <w:r w:rsidR="00F72D97" w:rsidRPr="00FD37D2">
        <w:t>practices, terms and conditions</w:t>
      </w:r>
      <w:r w:rsidRPr="00FD37D2">
        <w:t xml:space="preserve"> and </w:t>
      </w:r>
      <w:r w:rsidR="00F72D97" w:rsidRPr="00FD37D2">
        <w:t>employee engagement</w:t>
      </w:r>
      <w:r w:rsidR="009802BA" w:rsidRPr="00FD37D2">
        <w:t xml:space="preserve">, involving </w:t>
      </w:r>
      <w:r w:rsidRPr="00FD37D2">
        <w:t xml:space="preserve">one-on-one interviews with </w:t>
      </w:r>
      <w:r w:rsidR="009802BA" w:rsidRPr="00FD37D2">
        <w:t xml:space="preserve">employees and a </w:t>
      </w:r>
      <w:r w:rsidRPr="00FD37D2">
        <w:t xml:space="preserve">report identifying trends and recommendations for head office </w:t>
      </w:r>
      <w:r w:rsidR="009802BA" w:rsidRPr="00FD37D2">
        <w:t>and</w:t>
      </w:r>
      <w:r w:rsidRPr="00FD37D2">
        <w:t xml:space="preserve"> the franchisee.</w:t>
      </w:r>
    </w:p>
    <w:p w14:paraId="73DF17C8" w14:textId="77777777" w:rsidR="003E1AD6" w:rsidRDefault="009F57B4" w:rsidP="009802BA">
      <w:pPr>
        <w:pStyle w:val="Heading2"/>
      </w:pPr>
      <w:r>
        <w:t>Systems and processes</w:t>
      </w:r>
    </w:p>
    <w:p w14:paraId="50A047CB" w14:textId="77777777" w:rsidR="005262DC" w:rsidRDefault="009F3740" w:rsidP="009F3740">
      <w:r w:rsidRPr="00611696">
        <w:t>Chemist Warehouse implement</w:t>
      </w:r>
      <w:r w:rsidR="00B37CF8">
        <w:t>ed</w:t>
      </w:r>
      <w:r w:rsidRPr="00611696">
        <w:t xml:space="preserve"> </w:t>
      </w:r>
      <w:r>
        <w:t xml:space="preserve">system and process </w:t>
      </w:r>
      <w:r w:rsidRPr="00611696">
        <w:t xml:space="preserve">changes to </w:t>
      </w:r>
      <w:r>
        <w:t xml:space="preserve">address </w:t>
      </w:r>
      <w:r w:rsidR="005262DC">
        <w:t xml:space="preserve">governance issues, particularly </w:t>
      </w:r>
      <w:r w:rsidR="00B37CF8">
        <w:t xml:space="preserve">to improve </w:t>
      </w:r>
      <w:r w:rsidR="005262DC">
        <w:t>recording of hours worked and training attendance (Clause 4).</w:t>
      </w:r>
      <w:r w:rsidR="00605605">
        <w:t xml:space="preserve"> </w:t>
      </w:r>
      <w:r w:rsidR="001C2B8D">
        <w:t>System updates and new systems include</w:t>
      </w:r>
      <w:r w:rsidR="00B37CF8">
        <w:t>d</w:t>
      </w:r>
      <w:r w:rsidR="001C2B8D">
        <w:t>:</w:t>
      </w:r>
    </w:p>
    <w:p w14:paraId="2FEF2591" w14:textId="77777777" w:rsidR="005262DC" w:rsidRDefault="00390626" w:rsidP="00FD37D2">
      <w:pPr>
        <w:pStyle w:val="Bullet"/>
      </w:pPr>
      <w:r>
        <w:t xml:space="preserve">an </w:t>
      </w:r>
      <w:r w:rsidR="005262DC">
        <w:t>upgraded on-boarding and staff transfer system (</w:t>
      </w:r>
      <w:proofErr w:type="spellStart"/>
      <w:r w:rsidR="005262DC">
        <w:t>myTeam</w:t>
      </w:r>
      <w:proofErr w:type="spellEnd"/>
      <w:r w:rsidR="005262DC">
        <w:t xml:space="preserve">) to simplify employment of new staff </w:t>
      </w:r>
      <w:r w:rsidR="001C2B8D">
        <w:t xml:space="preserve">under correct terms and conditions </w:t>
      </w:r>
      <w:r w:rsidR="005262DC">
        <w:t>and variations to employmen</w:t>
      </w:r>
      <w:r w:rsidR="001C2B8D">
        <w:t>t arrangements</w:t>
      </w:r>
    </w:p>
    <w:p w14:paraId="0480F7F5" w14:textId="77777777" w:rsidR="005262DC" w:rsidRDefault="00390626" w:rsidP="00FD37D2">
      <w:pPr>
        <w:pStyle w:val="Bullet"/>
      </w:pPr>
      <w:r>
        <w:t xml:space="preserve">an </w:t>
      </w:r>
      <w:r w:rsidR="005262DC">
        <w:t xml:space="preserve">upgraded </w:t>
      </w:r>
      <w:r w:rsidR="00991F30">
        <w:t xml:space="preserve">old </w:t>
      </w:r>
      <w:r w:rsidR="005262DC">
        <w:t>payroll system (</w:t>
      </w:r>
      <w:proofErr w:type="spellStart"/>
      <w:r w:rsidR="005262DC">
        <w:t>PayGlobal</w:t>
      </w:r>
      <w:proofErr w:type="spellEnd"/>
      <w:r w:rsidR="005262DC">
        <w:t>) to remove restrictions in recording time and attendance in training (system constraint</w:t>
      </w:r>
      <w:r w:rsidR="001C2B8D">
        <w:t>s</w:t>
      </w:r>
      <w:r w:rsidR="005262DC">
        <w:t xml:space="preserve"> identified as a contributing factor to previous underpayments)</w:t>
      </w:r>
    </w:p>
    <w:p w14:paraId="62B52208" w14:textId="77777777" w:rsidR="005262DC" w:rsidRDefault="005262DC" w:rsidP="00FD37D2">
      <w:pPr>
        <w:pStyle w:val="Bullet"/>
      </w:pPr>
      <w:r>
        <w:t xml:space="preserve">a new </w:t>
      </w:r>
      <w:r w:rsidR="00991F30">
        <w:t xml:space="preserve">payroll system </w:t>
      </w:r>
      <w:r>
        <w:t>(Kronos)</w:t>
      </w:r>
      <w:r w:rsidR="00605605">
        <w:t xml:space="preserve"> </w:t>
      </w:r>
      <w:r w:rsidR="001C2B8D">
        <w:t xml:space="preserve">in 2018 </w:t>
      </w:r>
      <w:r w:rsidR="00605605">
        <w:t xml:space="preserve">to better administer </w:t>
      </w:r>
      <w:r w:rsidR="00991F30">
        <w:t xml:space="preserve">time, attendance and rostering and </w:t>
      </w:r>
      <w:r w:rsidR="00605605">
        <w:t>compliance with workplace relations obligations un</w:t>
      </w:r>
      <w:r w:rsidR="0059705C">
        <w:t>der the Act, the NES and awards</w:t>
      </w:r>
    </w:p>
    <w:p w14:paraId="59E7774E" w14:textId="77777777" w:rsidR="005262DC" w:rsidRDefault="005262DC" w:rsidP="00FD37D2">
      <w:pPr>
        <w:pStyle w:val="Bullet"/>
      </w:pPr>
      <w:r>
        <w:t xml:space="preserve">integration between </w:t>
      </w:r>
      <w:proofErr w:type="spellStart"/>
      <w:r>
        <w:t>myTe</w:t>
      </w:r>
      <w:r w:rsidR="00605605">
        <w:t>am</w:t>
      </w:r>
      <w:proofErr w:type="spellEnd"/>
      <w:r w:rsidR="00605605">
        <w:t xml:space="preserve"> and Kronos</w:t>
      </w:r>
    </w:p>
    <w:p w14:paraId="1FD8C27B" w14:textId="77777777" w:rsidR="00605605" w:rsidRDefault="001C2B8D" w:rsidP="00FD37D2">
      <w:pPr>
        <w:pStyle w:val="Bullet"/>
      </w:pPr>
      <w:r>
        <w:t xml:space="preserve">a </w:t>
      </w:r>
      <w:r w:rsidR="00605605">
        <w:t>new online training portal for staff induction, requiring completion on-site and within rostered hours</w:t>
      </w:r>
    </w:p>
    <w:p w14:paraId="59A9A5AD" w14:textId="77777777" w:rsidR="00EA5090" w:rsidRDefault="00EA5090" w:rsidP="00FD37D2">
      <w:pPr>
        <w:pStyle w:val="Bullet"/>
      </w:pPr>
      <w:r>
        <w:t xml:space="preserve">automated </w:t>
      </w:r>
      <w:r w:rsidR="001C2B8D">
        <w:t xml:space="preserve">payroll </w:t>
      </w:r>
      <w:r>
        <w:t xml:space="preserve">adjustments to reflect national wage increases </w:t>
      </w:r>
      <w:r w:rsidR="001C2B8D">
        <w:t xml:space="preserve">and </w:t>
      </w:r>
      <w:r>
        <w:t>ensure minimum hourly rates don’t fall below award rates.</w:t>
      </w:r>
    </w:p>
    <w:p w14:paraId="5C45B224" w14:textId="77777777" w:rsidR="00B37CF8" w:rsidRDefault="00EA5090" w:rsidP="00EA5090">
      <w:r>
        <w:t xml:space="preserve">Chemist Warehouse reports that </w:t>
      </w:r>
      <w:r w:rsidR="005B42FE">
        <w:t xml:space="preserve">franchisee </w:t>
      </w:r>
      <w:r w:rsidR="001C2B8D">
        <w:t xml:space="preserve">owners and managers appreciate </w:t>
      </w:r>
      <w:r w:rsidR="00B37CF8">
        <w:t>the</w:t>
      </w:r>
      <w:r w:rsidR="00345118">
        <w:t>se</w:t>
      </w:r>
      <w:r w:rsidR="00B37CF8">
        <w:t xml:space="preserve"> </w:t>
      </w:r>
      <w:r>
        <w:t>changes</w:t>
      </w:r>
      <w:r w:rsidR="001C2B8D">
        <w:t xml:space="preserve"> </w:t>
      </w:r>
      <w:r>
        <w:t xml:space="preserve">and </w:t>
      </w:r>
      <w:r w:rsidR="00345118">
        <w:t xml:space="preserve">feel </w:t>
      </w:r>
      <w:r w:rsidR="001C2B8D">
        <w:t xml:space="preserve">more competent and </w:t>
      </w:r>
      <w:r>
        <w:t>confi</w:t>
      </w:r>
      <w:r w:rsidR="001C2B8D">
        <w:t>dent</w:t>
      </w:r>
      <w:r>
        <w:t xml:space="preserve"> in workplace relations compliance.</w:t>
      </w:r>
      <w:r w:rsidR="00B37CF8">
        <w:t xml:space="preserve"> </w:t>
      </w:r>
    </w:p>
    <w:p w14:paraId="78CFF62D" w14:textId="77777777" w:rsidR="001C2B8D" w:rsidRDefault="00B37CF8" w:rsidP="00EA5090">
      <w:r>
        <w:lastRenderedPageBreak/>
        <w:t xml:space="preserve">In its final report to </w:t>
      </w:r>
      <w:r w:rsidR="005B42FE">
        <w:t>the FWO</w:t>
      </w:r>
      <w:r>
        <w:t xml:space="preserve">, Chemist Warehouse said </w:t>
      </w:r>
      <w:r w:rsidR="005B42FE">
        <w:t xml:space="preserve">the </w:t>
      </w:r>
      <w:r>
        <w:t xml:space="preserve">compliance partnership has benefited the business and led to continual investment </w:t>
      </w:r>
      <w:r w:rsidR="00390626">
        <w:t>to support compliance with Australian workplace laws</w:t>
      </w:r>
      <w:r>
        <w:t>.</w:t>
      </w:r>
    </w:p>
    <w:p w14:paraId="5D241A27" w14:textId="77777777" w:rsidR="009802BA" w:rsidRDefault="00B37CF8" w:rsidP="009802BA">
      <w:pPr>
        <w:pStyle w:val="Heading2"/>
      </w:pPr>
      <w:r>
        <w:t>Self-resolution of workplace disputes</w:t>
      </w:r>
    </w:p>
    <w:p w14:paraId="4D0C231B" w14:textId="29AD95EF" w:rsidR="009802BA" w:rsidRDefault="00EA08FB" w:rsidP="007D73E9">
      <w:r>
        <w:t xml:space="preserve">As per </w:t>
      </w:r>
      <w:r w:rsidR="005154A9" w:rsidRPr="005154A9">
        <w:t>clauses 7 and 9 of the PCD</w:t>
      </w:r>
      <w:r>
        <w:t xml:space="preserve">, </w:t>
      </w:r>
      <w:r w:rsidR="00B2425F">
        <w:t xml:space="preserve">Chemist Warehouse committed to self-resolving employee queries about pay and conditions, including </w:t>
      </w:r>
      <w:r w:rsidR="00FC7484">
        <w:t>establishing a dedicated employee hotline and email for confidential enquiries and complaints (Clause 7)</w:t>
      </w:r>
      <w:r w:rsidR="007D73E9">
        <w:t xml:space="preserve">, </w:t>
      </w:r>
      <w:r w:rsidR="00FC7484">
        <w:t xml:space="preserve">and managing </w:t>
      </w:r>
      <w:r w:rsidR="00B2425F">
        <w:t xml:space="preserve">requests for assistance from current and former employees </w:t>
      </w:r>
      <w:r w:rsidR="00442687">
        <w:t xml:space="preserve">referred by the FWO </w:t>
      </w:r>
      <w:r w:rsidR="009802BA" w:rsidRPr="00611696">
        <w:t>(</w:t>
      </w:r>
      <w:r w:rsidR="009802BA">
        <w:t>C</w:t>
      </w:r>
      <w:r w:rsidR="009802BA" w:rsidRPr="00611696">
        <w:t>lause 9).</w:t>
      </w:r>
    </w:p>
    <w:p w14:paraId="65ABB3F3" w14:textId="77777777" w:rsidR="009802BA" w:rsidRDefault="00442687" w:rsidP="00442687">
      <w:r>
        <w:t xml:space="preserve">The HR Services Team resolved </w:t>
      </w:r>
      <w:r w:rsidR="00716C9E">
        <w:t>342</w:t>
      </w:r>
      <w:r w:rsidR="00B2425F">
        <w:t xml:space="preserve"> individual cases over the three-year period of the PCD, including:</w:t>
      </w:r>
    </w:p>
    <w:p w14:paraId="072355C3" w14:textId="77777777" w:rsidR="00B531AB" w:rsidRPr="00FD37D2" w:rsidRDefault="00B2425F" w:rsidP="00FD37D2">
      <w:pPr>
        <w:pStyle w:val="Bullet"/>
      </w:pPr>
      <w:r w:rsidRPr="00FD37D2">
        <w:t>141 h</w:t>
      </w:r>
      <w:r w:rsidR="00B531AB" w:rsidRPr="00FD37D2">
        <w:t>otline queries</w:t>
      </w:r>
    </w:p>
    <w:p w14:paraId="719DBD34" w14:textId="77777777" w:rsidR="00B531AB" w:rsidRPr="00FD37D2" w:rsidRDefault="00B2425F" w:rsidP="00FD37D2">
      <w:pPr>
        <w:pStyle w:val="Bullet"/>
      </w:pPr>
      <w:r w:rsidRPr="00FD37D2">
        <w:t>195 e</w:t>
      </w:r>
      <w:r w:rsidR="00B531AB" w:rsidRPr="00FD37D2">
        <w:t xml:space="preserve">mail queries </w:t>
      </w:r>
    </w:p>
    <w:p w14:paraId="4B7069E7" w14:textId="77777777" w:rsidR="00B531AB" w:rsidRPr="00FD37D2" w:rsidRDefault="00716C9E" w:rsidP="00FD37D2">
      <w:pPr>
        <w:pStyle w:val="Bullet"/>
      </w:pPr>
      <w:r w:rsidRPr="00FD37D2">
        <w:t xml:space="preserve">6 </w:t>
      </w:r>
      <w:r w:rsidR="00B531AB" w:rsidRPr="00FD37D2">
        <w:t xml:space="preserve">FWO </w:t>
      </w:r>
      <w:r w:rsidR="00B2425F" w:rsidRPr="00FD37D2">
        <w:t>r</w:t>
      </w:r>
      <w:r w:rsidR="00B531AB" w:rsidRPr="00FD37D2">
        <w:t>eferrals</w:t>
      </w:r>
      <w:r w:rsidR="00B2425F" w:rsidRPr="00FD37D2">
        <w:t>.</w:t>
      </w:r>
    </w:p>
    <w:p w14:paraId="329BA00E" w14:textId="77777777" w:rsidR="00716C9E" w:rsidRDefault="00B2425F" w:rsidP="00442687">
      <w:r>
        <w:t>The vast majority (276 cases</w:t>
      </w:r>
      <w:r w:rsidR="00716C9E">
        <w:t xml:space="preserve"> / 81%</w:t>
      </w:r>
      <w:r>
        <w:t xml:space="preserve">) were in the first year of the PCD </w:t>
      </w:r>
      <w:r w:rsidR="00716C9E">
        <w:t xml:space="preserve">(prior to introduction of </w:t>
      </w:r>
      <w:r w:rsidR="00390626">
        <w:t xml:space="preserve">the </w:t>
      </w:r>
      <w:r w:rsidR="00FD37D2">
        <w:t>new payroll system</w:t>
      </w:r>
      <w:r w:rsidR="00716C9E">
        <w:t xml:space="preserve">) and </w:t>
      </w:r>
      <w:r>
        <w:t xml:space="preserve">related to </w:t>
      </w:r>
      <w:r w:rsidR="00716C9E">
        <w:t xml:space="preserve">the </w:t>
      </w:r>
      <w:r w:rsidR="00651E98">
        <w:t xml:space="preserve">unpaid </w:t>
      </w:r>
      <w:r w:rsidR="00895694">
        <w:t xml:space="preserve">online </w:t>
      </w:r>
      <w:r w:rsidR="00651E98">
        <w:t>training issue</w:t>
      </w:r>
      <w:r>
        <w:t xml:space="preserve"> that </w:t>
      </w:r>
      <w:r w:rsidR="00716C9E">
        <w:t xml:space="preserve">had </w:t>
      </w:r>
      <w:r>
        <w:t>led to the compliance partnership</w:t>
      </w:r>
      <w:r w:rsidR="00651E98">
        <w:t xml:space="preserve"> (235 cases / 69%)</w:t>
      </w:r>
      <w:r>
        <w:t xml:space="preserve">. </w:t>
      </w:r>
      <w:r w:rsidR="00BB71C3">
        <w:t>Other queries were about classification of employment, rosters, leave, termination pay and general HR queries.</w:t>
      </w:r>
    </w:p>
    <w:p w14:paraId="17580A76" w14:textId="77777777" w:rsidR="00B531AB" w:rsidRDefault="00B531AB" w:rsidP="00442687">
      <w:r>
        <w:t xml:space="preserve">Most </w:t>
      </w:r>
      <w:r w:rsidR="00716C9E">
        <w:t xml:space="preserve">cases </w:t>
      </w:r>
      <w:r>
        <w:t xml:space="preserve">were closed </w:t>
      </w:r>
      <w:r w:rsidR="00442687">
        <w:t>within 28</w:t>
      </w:r>
      <w:r>
        <w:t xml:space="preserve"> days </w:t>
      </w:r>
      <w:r w:rsidR="00442687">
        <w:t>as required under the terms of the PCD.</w:t>
      </w:r>
    </w:p>
    <w:p w14:paraId="27960E63" w14:textId="77777777" w:rsidR="00442687" w:rsidRDefault="00442687" w:rsidP="00442687">
      <w:r w:rsidRPr="000C15EB">
        <w:t>A total of $</w:t>
      </w:r>
      <w:r w:rsidR="009B2D10" w:rsidRPr="000C15EB">
        <w:t>99,062.98</w:t>
      </w:r>
      <w:r w:rsidRPr="000C15EB">
        <w:t xml:space="preserve"> was </w:t>
      </w:r>
      <w:r w:rsidR="006C69DB" w:rsidRPr="000C15EB">
        <w:t>back paid</w:t>
      </w:r>
      <w:r w:rsidRPr="000C15EB">
        <w:t xml:space="preserve"> to</w:t>
      </w:r>
      <w:r w:rsidR="00BB71C3" w:rsidRPr="000C15EB">
        <w:t xml:space="preserve"> </w:t>
      </w:r>
      <w:r w:rsidR="000C15EB" w:rsidRPr="000C15EB">
        <w:t>118</w:t>
      </w:r>
      <w:r w:rsidRPr="000C15EB">
        <w:t xml:space="preserve"> employees</w:t>
      </w:r>
      <w:r w:rsidR="00BB71C3" w:rsidRPr="000C15EB">
        <w:t>.</w:t>
      </w:r>
    </w:p>
    <w:p w14:paraId="42B2A450" w14:textId="77777777" w:rsidR="00BB71C3" w:rsidRDefault="00BB71C3" w:rsidP="00BB71C3">
      <w:pPr>
        <w:pStyle w:val="Heading2"/>
      </w:pPr>
      <w:r>
        <w:t>Independent audits</w:t>
      </w:r>
    </w:p>
    <w:p w14:paraId="5A565B51" w14:textId="77777777" w:rsidR="00537672" w:rsidRPr="00611696" w:rsidRDefault="00537672" w:rsidP="00537672">
      <w:r w:rsidRPr="00611696">
        <w:t xml:space="preserve">Chemist Warehouse </w:t>
      </w:r>
      <w:r>
        <w:t xml:space="preserve">was </w:t>
      </w:r>
      <w:r w:rsidRPr="00611696">
        <w:t>required to engage an independent</w:t>
      </w:r>
      <w:r w:rsidR="00C75106">
        <w:t xml:space="preserve"> external</w:t>
      </w:r>
      <w:r w:rsidRPr="00611696">
        <w:t xml:space="preserve"> accounting professional, auditor or employment law specialist to conduct three audits of its franchise network (</w:t>
      </w:r>
      <w:r>
        <w:t>C</w:t>
      </w:r>
      <w:r w:rsidRPr="00611696">
        <w:t>lause 6</w:t>
      </w:r>
      <w:r>
        <w:t>)</w:t>
      </w:r>
      <w:r w:rsidRPr="00611696">
        <w:t xml:space="preserve">. The audits </w:t>
      </w:r>
      <w:r>
        <w:t xml:space="preserve">were to </w:t>
      </w:r>
      <w:r w:rsidRPr="00611696">
        <w:t xml:space="preserve">include a sample of employees from </w:t>
      </w:r>
      <w:r>
        <w:t xml:space="preserve">all retail outlets </w:t>
      </w:r>
      <w:r w:rsidRPr="00611696">
        <w:t>and assess a four-week period</w:t>
      </w:r>
      <w:r w:rsidR="00F72D97">
        <w:t xml:space="preserve"> per location</w:t>
      </w:r>
      <w:r w:rsidRPr="00611696">
        <w:t>.</w:t>
      </w:r>
    </w:p>
    <w:p w14:paraId="3DFA0C7D" w14:textId="77777777" w:rsidR="00537672" w:rsidRPr="00611696" w:rsidRDefault="00537672" w:rsidP="00537672">
      <w:r w:rsidRPr="00611696">
        <w:t xml:space="preserve">Chemist Warehouse engaged </w:t>
      </w:r>
      <w:r>
        <w:t xml:space="preserve">workplace relations specialist legal firm </w:t>
      </w:r>
      <w:r w:rsidRPr="00611696">
        <w:rPr>
          <w:rFonts w:eastAsiaTheme="minorEastAsia"/>
        </w:rPr>
        <w:t>FCB Group</w:t>
      </w:r>
      <w:r>
        <w:rPr>
          <w:rFonts w:eastAsiaTheme="minorEastAsia"/>
        </w:rPr>
        <w:t>, who examined</w:t>
      </w:r>
      <w:r w:rsidRPr="00611696">
        <w:t xml:space="preserve">: </w:t>
      </w:r>
    </w:p>
    <w:p w14:paraId="3CBDFDFD" w14:textId="77777777" w:rsidR="00537672" w:rsidRPr="00FD37D2" w:rsidRDefault="00537672" w:rsidP="00FD37D2">
      <w:pPr>
        <w:pStyle w:val="Bullet"/>
      </w:pPr>
      <w:r w:rsidRPr="00FD37D2">
        <w:t>classification and status of employees</w:t>
      </w:r>
    </w:p>
    <w:p w14:paraId="5FC59FEF" w14:textId="77777777" w:rsidR="00537672" w:rsidRPr="00FD37D2" w:rsidRDefault="00537672" w:rsidP="00FD37D2">
      <w:pPr>
        <w:pStyle w:val="Bullet"/>
      </w:pPr>
      <w:r w:rsidRPr="00FD37D2">
        <w:t>accuracy and consistency of employee records</w:t>
      </w:r>
    </w:p>
    <w:p w14:paraId="3B95898A" w14:textId="77777777" w:rsidR="00537672" w:rsidRPr="00FD37D2" w:rsidRDefault="00537672" w:rsidP="00FD37D2">
      <w:pPr>
        <w:pStyle w:val="Bullet"/>
      </w:pPr>
      <w:r w:rsidRPr="00FD37D2">
        <w:t>correct rates of pay for ordinary hours, loadings, allowances, penalty rates, leave and termination payments</w:t>
      </w:r>
    </w:p>
    <w:p w14:paraId="72CA3451" w14:textId="77777777" w:rsidR="00537672" w:rsidRPr="00FD37D2" w:rsidRDefault="00537672" w:rsidP="00FD37D2">
      <w:pPr>
        <w:pStyle w:val="Bullet"/>
      </w:pPr>
      <w:r w:rsidRPr="00FD37D2">
        <w:t xml:space="preserve">pay slip and </w:t>
      </w:r>
      <w:r w:rsidR="00CC20D3" w:rsidRPr="00FD37D2">
        <w:t>employ</w:t>
      </w:r>
      <w:r w:rsidR="00CC20D3">
        <w:t>ee</w:t>
      </w:r>
      <w:r w:rsidR="00CC20D3" w:rsidRPr="00FD37D2">
        <w:t xml:space="preserve"> </w:t>
      </w:r>
      <w:r w:rsidRPr="00FD37D2">
        <w:t>records</w:t>
      </w:r>
    </w:p>
    <w:p w14:paraId="524608AD" w14:textId="77777777" w:rsidR="00537672" w:rsidRPr="00FD37D2" w:rsidRDefault="00537672" w:rsidP="00FD37D2">
      <w:pPr>
        <w:pStyle w:val="Bullet"/>
      </w:pPr>
      <w:r w:rsidRPr="00FD37D2">
        <w:t xml:space="preserve">training </w:t>
      </w:r>
      <w:r w:rsidR="00CC20D3">
        <w:t xml:space="preserve">attendance and </w:t>
      </w:r>
      <w:r w:rsidRPr="00FD37D2">
        <w:t>log-in and log-out times, and payments for training undertaken.</w:t>
      </w:r>
    </w:p>
    <w:p w14:paraId="63C7BB6C" w14:textId="77777777" w:rsidR="007D73E9" w:rsidRDefault="007D73E9">
      <w:pPr>
        <w:spacing w:after="0" w:line="240" w:lineRule="auto"/>
        <w:rPr>
          <w:b/>
          <w:color w:val="1B365D"/>
          <w:sz w:val="24"/>
          <w:szCs w:val="20"/>
        </w:rPr>
      </w:pPr>
      <w:r>
        <w:br w:type="page"/>
      </w:r>
    </w:p>
    <w:p w14:paraId="006E11A1" w14:textId="77777777" w:rsidR="00537672" w:rsidRPr="002D4D24" w:rsidRDefault="007A1F74" w:rsidP="007A1F74">
      <w:pPr>
        <w:pStyle w:val="Heading3"/>
        <w:rPr>
          <w:sz w:val="18"/>
          <w:szCs w:val="18"/>
        </w:rPr>
      </w:pPr>
      <w:r>
        <w:lastRenderedPageBreak/>
        <w:t>Table 1: Audit findings</w:t>
      </w:r>
    </w:p>
    <w:tbl>
      <w:tblPr>
        <w:tblStyle w:val="GridTable1Light-Accent1"/>
        <w:tblW w:w="0" w:type="auto"/>
        <w:tblLook w:val="04A0" w:firstRow="1" w:lastRow="0" w:firstColumn="1" w:lastColumn="0" w:noHBand="0" w:noVBand="1"/>
        <w:tblCaption w:val="Table 1: Audit findings"/>
        <w:tblDescription w:val="Summary of the three audits conducted (in terms timeframe, number of stores and staff) and the findings of each audit (number of staff underpaid and the total value of underpayments). Showing the value of underpayments declined from $9,766 for 376 staff in Audit 1, to $1,314 for 204 staff in Audit 2, to $459 for 240 staff in Audit 3."/>
      </w:tblPr>
      <w:tblGrid>
        <w:gridCol w:w="1740"/>
        <w:gridCol w:w="2535"/>
        <w:gridCol w:w="2539"/>
        <w:gridCol w:w="2536"/>
      </w:tblGrid>
      <w:tr w:rsidR="000E0326" w14:paraId="6C7BCF0F" w14:textId="77777777" w:rsidTr="00710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9A6F67A" w14:textId="77777777" w:rsidR="00537672" w:rsidRPr="000E0326" w:rsidRDefault="00537672" w:rsidP="00F72D97">
            <w:pPr>
              <w:spacing w:line="240" w:lineRule="auto"/>
              <w:rPr>
                <w:b w:val="0"/>
              </w:rPr>
            </w:pPr>
          </w:p>
        </w:tc>
        <w:tc>
          <w:tcPr>
            <w:tcW w:w="2573" w:type="dxa"/>
          </w:tcPr>
          <w:p w14:paraId="354A6783" w14:textId="77777777" w:rsidR="00537672" w:rsidRDefault="00537672" w:rsidP="00F72D97">
            <w:pPr>
              <w:spacing w:line="240" w:lineRule="auto"/>
              <w:jc w:val="center"/>
              <w:cnfStyle w:val="100000000000" w:firstRow="1" w:lastRow="0" w:firstColumn="0" w:lastColumn="0" w:oddVBand="0" w:evenVBand="0" w:oddHBand="0" w:evenHBand="0" w:firstRowFirstColumn="0" w:firstRowLastColumn="0" w:lastRowFirstColumn="0" w:lastRowLastColumn="0"/>
            </w:pPr>
            <w:r>
              <w:t>Audit 1</w:t>
            </w:r>
          </w:p>
          <w:p w14:paraId="0271CC9F" w14:textId="77777777" w:rsidR="00537672" w:rsidRPr="000E0326" w:rsidRDefault="00537672" w:rsidP="00F72D97">
            <w:pPr>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0E0326">
              <w:rPr>
                <w:b w:val="0"/>
              </w:rPr>
              <w:t xml:space="preserve">April </w:t>
            </w:r>
            <w:r w:rsidR="000E0326">
              <w:rPr>
                <w:b w:val="0"/>
              </w:rPr>
              <w:t xml:space="preserve">- </w:t>
            </w:r>
            <w:r w:rsidRPr="000E0326">
              <w:rPr>
                <w:b w:val="0"/>
              </w:rPr>
              <w:t>May 2017</w:t>
            </w:r>
          </w:p>
        </w:tc>
        <w:tc>
          <w:tcPr>
            <w:tcW w:w="2573" w:type="dxa"/>
          </w:tcPr>
          <w:p w14:paraId="62C3982F" w14:textId="77777777" w:rsidR="00537672" w:rsidRDefault="00537672" w:rsidP="00F72D97">
            <w:pPr>
              <w:spacing w:line="240" w:lineRule="auto"/>
              <w:jc w:val="center"/>
              <w:cnfStyle w:val="100000000000" w:firstRow="1" w:lastRow="0" w:firstColumn="0" w:lastColumn="0" w:oddVBand="0" w:evenVBand="0" w:oddHBand="0" w:evenHBand="0" w:firstRowFirstColumn="0" w:firstRowLastColumn="0" w:lastRowFirstColumn="0" w:lastRowLastColumn="0"/>
            </w:pPr>
            <w:r>
              <w:t>Audit 2</w:t>
            </w:r>
          </w:p>
          <w:p w14:paraId="04B22FEA" w14:textId="77777777" w:rsidR="00537672" w:rsidRPr="000E0326" w:rsidRDefault="00537672" w:rsidP="00F72D97">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0E0326">
              <w:rPr>
                <w:b w:val="0"/>
              </w:rPr>
              <w:t xml:space="preserve">February </w:t>
            </w:r>
            <w:r w:rsidR="000E0326" w:rsidRPr="000E0326">
              <w:rPr>
                <w:b w:val="0"/>
              </w:rPr>
              <w:t>- March 2018</w:t>
            </w:r>
          </w:p>
        </w:tc>
        <w:tc>
          <w:tcPr>
            <w:tcW w:w="2574" w:type="dxa"/>
          </w:tcPr>
          <w:p w14:paraId="42E4D4DC" w14:textId="77777777" w:rsidR="00537672" w:rsidRDefault="00537672" w:rsidP="00F72D97">
            <w:pPr>
              <w:spacing w:line="240" w:lineRule="auto"/>
              <w:jc w:val="center"/>
              <w:cnfStyle w:val="100000000000" w:firstRow="1" w:lastRow="0" w:firstColumn="0" w:lastColumn="0" w:oddVBand="0" w:evenVBand="0" w:oddHBand="0" w:evenHBand="0" w:firstRowFirstColumn="0" w:firstRowLastColumn="0" w:lastRowFirstColumn="0" w:lastRowLastColumn="0"/>
            </w:pPr>
            <w:r>
              <w:t>Audit 3</w:t>
            </w:r>
          </w:p>
          <w:p w14:paraId="5FC6E63E" w14:textId="77777777" w:rsidR="00537672" w:rsidRPr="000E0326" w:rsidRDefault="000E0326" w:rsidP="00F72D97">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0E0326">
              <w:rPr>
                <w:b w:val="0"/>
              </w:rPr>
              <w:t>July - August 2019</w:t>
            </w:r>
          </w:p>
        </w:tc>
      </w:tr>
      <w:tr w:rsidR="00395B11" w14:paraId="4F5CCA79" w14:textId="77777777" w:rsidTr="007108B7">
        <w:tc>
          <w:tcPr>
            <w:cnfStyle w:val="001000000000" w:firstRow="0" w:lastRow="0" w:firstColumn="1" w:lastColumn="0" w:oddVBand="0" w:evenVBand="0" w:oddHBand="0" w:evenHBand="0" w:firstRowFirstColumn="0" w:firstRowLastColumn="0" w:lastRowFirstColumn="0" w:lastRowLastColumn="0"/>
            <w:tcW w:w="1630" w:type="dxa"/>
          </w:tcPr>
          <w:p w14:paraId="64C359EC" w14:textId="77777777" w:rsidR="00537672" w:rsidRPr="000E0326" w:rsidRDefault="00537672" w:rsidP="00F72D97">
            <w:pPr>
              <w:spacing w:line="240" w:lineRule="auto"/>
              <w:rPr>
                <w:b w:val="0"/>
              </w:rPr>
            </w:pPr>
            <w:r w:rsidRPr="000E0326">
              <w:rPr>
                <w:b w:val="0"/>
              </w:rPr>
              <w:t>Stores</w:t>
            </w:r>
          </w:p>
        </w:tc>
        <w:tc>
          <w:tcPr>
            <w:tcW w:w="2573" w:type="dxa"/>
          </w:tcPr>
          <w:p w14:paraId="355DAD18" w14:textId="77777777" w:rsidR="00537672" w:rsidRDefault="00537672"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302</w:t>
            </w:r>
          </w:p>
        </w:tc>
        <w:tc>
          <w:tcPr>
            <w:tcW w:w="2573" w:type="dxa"/>
          </w:tcPr>
          <w:p w14:paraId="65C63CF2" w14:textId="77777777" w:rsidR="00537672" w:rsidRDefault="00537672"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293</w:t>
            </w:r>
          </w:p>
        </w:tc>
        <w:tc>
          <w:tcPr>
            <w:tcW w:w="2574" w:type="dxa"/>
          </w:tcPr>
          <w:p w14:paraId="011CF7D8" w14:textId="77777777" w:rsidR="00537672" w:rsidRDefault="00537672"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rsidRPr="00CF15BD">
              <w:t>312</w:t>
            </w:r>
          </w:p>
        </w:tc>
      </w:tr>
      <w:tr w:rsidR="00395B11" w14:paraId="5EB0B827" w14:textId="77777777" w:rsidTr="007108B7">
        <w:tc>
          <w:tcPr>
            <w:cnfStyle w:val="001000000000" w:firstRow="0" w:lastRow="0" w:firstColumn="1" w:lastColumn="0" w:oddVBand="0" w:evenVBand="0" w:oddHBand="0" w:evenHBand="0" w:firstRowFirstColumn="0" w:firstRowLastColumn="0" w:lastRowFirstColumn="0" w:lastRowLastColumn="0"/>
            <w:tcW w:w="1630" w:type="dxa"/>
          </w:tcPr>
          <w:p w14:paraId="35D055DB" w14:textId="77777777" w:rsidR="00537672" w:rsidRPr="000E0326" w:rsidRDefault="00537672" w:rsidP="00F72D97">
            <w:pPr>
              <w:spacing w:line="240" w:lineRule="auto"/>
              <w:rPr>
                <w:b w:val="0"/>
              </w:rPr>
            </w:pPr>
            <w:r w:rsidRPr="000E0326">
              <w:rPr>
                <w:b w:val="0"/>
              </w:rPr>
              <w:t>Staff</w:t>
            </w:r>
          </w:p>
        </w:tc>
        <w:tc>
          <w:tcPr>
            <w:tcW w:w="2573" w:type="dxa"/>
          </w:tcPr>
          <w:p w14:paraId="147A85F5" w14:textId="77777777" w:rsidR="00537672" w:rsidRDefault="000E0326"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998</w:t>
            </w:r>
          </w:p>
        </w:tc>
        <w:tc>
          <w:tcPr>
            <w:tcW w:w="2573" w:type="dxa"/>
          </w:tcPr>
          <w:p w14:paraId="3B71C1D9" w14:textId="77777777" w:rsidR="00537672" w:rsidRDefault="000E0326"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718</w:t>
            </w:r>
          </w:p>
        </w:tc>
        <w:tc>
          <w:tcPr>
            <w:tcW w:w="2574" w:type="dxa"/>
          </w:tcPr>
          <w:p w14:paraId="1626845E" w14:textId="77777777" w:rsidR="00537672" w:rsidRDefault="000E0326"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805</w:t>
            </w:r>
          </w:p>
        </w:tc>
      </w:tr>
      <w:tr w:rsidR="00395B11" w14:paraId="2FD3EDF6" w14:textId="77777777" w:rsidTr="007108B7">
        <w:tc>
          <w:tcPr>
            <w:cnfStyle w:val="001000000000" w:firstRow="0" w:lastRow="0" w:firstColumn="1" w:lastColumn="0" w:oddVBand="0" w:evenVBand="0" w:oddHBand="0" w:evenHBand="0" w:firstRowFirstColumn="0" w:firstRowLastColumn="0" w:lastRowFirstColumn="0" w:lastRowLastColumn="0"/>
            <w:tcW w:w="1630" w:type="dxa"/>
          </w:tcPr>
          <w:p w14:paraId="3C959E3D" w14:textId="77777777" w:rsidR="00537672" w:rsidRPr="000E0326" w:rsidRDefault="00537672" w:rsidP="00F72D97">
            <w:pPr>
              <w:spacing w:line="240" w:lineRule="auto"/>
              <w:rPr>
                <w:b w:val="0"/>
              </w:rPr>
            </w:pPr>
            <w:r w:rsidRPr="000E0326">
              <w:rPr>
                <w:b w:val="0"/>
              </w:rPr>
              <w:t xml:space="preserve">Staff </w:t>
            </w:r>
            <w:r w:rsidR="000E0326" w:rsidRPr="000E0326">
              <w:rPr>
                <w:b w:val="0"/>
              </w:rPr>
              <w:t>u</w:t>
            </w:r>
            <w:r w:rsidRPr="000E0326">
              <w:rPr>
                <w:b w:val="0"/>
              </w:rPr>
              <w:t>nderpaid</w:t>
            </w:r>
          </w:p>
        </w:tc>
        <w:tc>
          <w:tcPr>
            <w:tcW w:w="2573" w:type="dxa"/>
          </w:tcPr>
          <w:p w14:paraId="52E45D7B" w14:textId="77777777" w:rsidR="00537672" w:rsidRPr="007108B7" w:rsidRDefault="00E939AC"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376 (38</w:t>
            </w:r>
            <w:r w:rsidR="000E0326" w:rsidRPr="007108B7">
              <w:t>%)</w:t>
            </w:r>
          </w:p>
        </w:tc>
        <w:tc>
          <w:tcPr>
            <w:tcW w:w="2573" w:type="dxa"/>
          </w:tcPr>
          <w:p w14:paraId="1DE310ED" w14:textId="77777777" w:rsidR="00537672" w:rsidRPr="002D4D24" w:rsidRDefault="00EC7446" w:rsidP="00F72D97">
            <w:pPr>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t>204 (2</w:t>
            </w:r>
            <w:r w:rsidR="00E939AC">
              <w:t>8</w:t>
            </w:r>
            <w:r w:rsidR="00537672" w:rsidRPr="007108B7">
              <w:t>%)</w:t>
            </w:r>
          </w:p>
        </w:tc>
        <w:tc>
          <w:tcPr>
            <w:tcW w:w="2574" w:type="dxa"/>
          </w:tcPr>
          <w:p w14:paraId="2B0D1463" w14:textId="77777777" w:rsidR="00537672" w:rsidRPr="007108B7" w:rsidRDefault="00EC7446"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240</w:t>
            </w:r>
            <w:r w:rsidR="00E939AC">
              <w:t xml:space="preserve"> (30</w:t>
            </w:r>
            <w:r w:rsidR="007108B7" w:rsidRPr="007108B7">
              <w:t>%)</w:t>
            </w:r>
          </w:p>
        </w:tc>
      </w:tr>
      <w:tr w:rsidR="00395B11" w14:paraId="62A2BB42" w14:textId="77777777" w:rsidTr="007108B7">
        <w:tc>
          <w:tcPr>
            <w:cnfStyle w:val="001000000000" w:firstRow="0" w:lastRow="0" w:firstColumn="1" w:lastColumn="0" w:oddVBand="0" w:evenVBand="0" w:oddHBand="0" w:evenHBand="0" w:firstRowFirstColumn="0" w:firstRowLastColumn="0" w:lastRowFirstColumn="0" w:lastRowLastColumn="0"/>
            <w:tcW w:w="1630" w:type="dxa"/>
          </w:tcPr>
          <w:p w14:paraId="705CC198" w14:textId="77777777" w:rsidR="00395B11" w:rsidRPr="000E0326" w:rsidRDefault="00395B11" w:rsidP="00F72D97">
            <w:pPr>
              <w:spacing w:line="240" w:lineRule="auto"/>
              <w:rPr>
                <w:b w:val="0"/>
              </w:rPr>
            </w:pPr>
            <w:r>
              <w:rPr>
                <w:b w:val="0"/>
              </w:rPr>
              <w:t>Total underpayment</w:t>
            </w:r>
            <w:r w:rsidR="00B910E8">
              <w:rPr>
                <w:b w:val="0"/>
              </w:rPr>
              <w:t>s</w:t>
            </w:r>
            <w:r w:rsidR="007A1F74">
              <w:rPr>
                <w:b w:val="0"/>
              </w:rPr>
              <w:t>*</w:t>
            </w:r>
          </w:p>
        </w:tc>
        <w:tc>
          <w:tcPr>
            <w:tcW w:w="2573" w:type="dxa"/>
          </w:tcPr>
          <w:p w14:paraId="317BCC25" w14:textId="77777777" w:rsidR="00395B11" w:rsidRPr="007108B7" w:rsidRDefault="00E939AC"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t>$9,766</w:t>
            </w:r>
          </w:p>
        </w:tc>
        <w:tc>
          <w:tcPr>
            <w:tcW w:w="2573" w:type="dxa"/>
          </w:tcPr>
          <w:p w14:paraId="75537EE1" w14:textId="77777777" w:rsidR="00651E98" w:rsidRDefault="00651E98" w:rsidP="00F72D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$1,314</w:t>
            </w:r>
          </w:p>
          <w:p w14:paraId="1F377CF8" w14:textId="77777777" w:rsidR="00395B11" w:rsidRPr="002D4D24" w:rsidRDefault="00395B11" w:rsidP="00F72D97">
            <w:pPr>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2574" w:type="dxa"/>
          </w:tcPr>
          <w:p w14:paraId="2EC1FA0E" w14:textId="77777777" w:rsidR="00395B11" w:rsidRPr="00651E98" w:rsidRDefault="00651E98" w:rsidP="00F72D97">
            <w:pPr>
              <w:spacing w:line="240" w:lineRule="auto"/>
              <w:jc w:val="center"/>
              <w:cnfStyle w:val="000000000000" w:firstRow="0" w:lastRow="0" w:firstColumn="0" w:lastColumn="0" w:oddVBand="0" w:evenVBand="0" w:oddHBand="0" w:evenHBand="0" w:firstRowFirstColumn="0" w:firstRowLastColumn="0" w:lastRowFirstColumn="0" w:lastRowLastColumn="0"/>
            </w:pPr>
            <w:r w:rsidRPr="00651E98">
              <w:t>$459</w:t>
            </w:r>
          </w:p>
        </w:tc>
      </w:tr>
    </w:tbl>
    <w:p w14:paraId="17F6BA75" w14:textId="77777777" w:rsidR="007A1F74" w:rsidRPr="00E5751F" w:rsidRDefault="007A1F74" w:rsidP="007A1F74">
      <w:pPr>
        <w:rPr>
          <w:i/>
          <w:sz w:val="20"/>
        </w:rPr>
      </w:pPr>
      <w:r w:rsidRPr="00E5751F">
        <w:rPr>
          <w:i/>
          <w:sz w:val="20"/>
        </w:rPr>
        <w:t xml:space="preserve">* Across all three audits </w:t>
      </w:r>
      <w:proofErr w:type="gramStart"/>
      <w:r w:rsidRPr="00E5751F">
        <w:rPr>
          <w:i/>
          <w:sz w:val="20"/>
        </w:rPr>
        <w:t>the majority of</w:t>
      </w:r>
      <w:proofErr w:type="gramEnd"/>
      <w:r w:rsidRPr="00E5751F">
        <w:rPr>
          <w:i/>
          <w:sz w:val="20"/>
        </w:rPr>
        <w:t xml:space="preserve"> underpayments were under $1</w:t>
      </w:r>
      <w:r w:rsidR="00E20048">
        <w:rPr>
          <w:i/>
          <w:sz w:val="20"/>
        </w:rPr>
        <w:t xml:space="preserve"> and due to rounding errors</w:t>
      </w:r>
      <w:r w:rsidRPr="00E5751F">
        <w:rPr>
          <w:i/>
          <w:sz w:val="20"/>
        </w:rPr>
        <w:t>.</w:t>
      </w:r>
    </w:p>
    <w:p w14:paraId="6F5BC80F" w14:textId="77777777" w:rsidR="00380497" w:rsidRDefault="00380497" w:rsidP="005E4D37">
      <w:r>
        <w:t>Throughout the process</w:t>
      </w:r>
      <w:r w:rsidR="00CC20D3">
        <w:t>,</w:t>
      </w:r>
      <w:r>
        <w:t xml:space="preserve"> </w:t>
      </w:r>
      <w:r w:rsidRPr="00611696">
        <w:t xml:space="preserve">FCB Group </w:t>
      </w:r>
      <w:r>
        <w:t xml:space="preserve">worked with Chemist Warehouse, individual store owners or managers and staff to determine how underpayments arose. FCB Group largely </w:t>
      </w:r>
      <w:r w:rsidRPr="00611696">
        <w:t xml:space="preserve">attributed </w:t>
      </w:r>
      <w:r>
        <w:t xml:space="preserve">underpayments to </w:t>
      </w:r>
      <w:r w:rsidRPr="00611696">
        <w:t>payroll system deficiencies</w:t>
      </w:r>
      <w:r>
        <w:t xml:space="preserve"> when the </w:t>
      </w:r>
      <w:r w:rsidR="00CC20D3">
        <w:t xml:space="preserve">former </w:t>
      </w:r>
      <w:proofErr w:type="spellStart"/>
      <w:r>
        <w:t>PayGlobal</w:t>
      </w:r>
      <w:proofErr w:type="spellEnd"/>
      <w:r>
        <w:t xml:space="preserve"> system was still in place and then manual errors by store managers who</w:t>
      </w:r>
      <w:r w:rsidR="005E4D37">
        <w:t xml:space="preserve"> were new to the </w:t>
      </w:r>
      <w:r w:rsidR="00CC20D3">
        <w:t xml:space="preserve">replacement </w:t>
      </w:r>
      <w:r w:rsidR="005E4D37">
        <w:t>Kronos system.</w:t>
      </w:r>
    </w:p>
    <w:p w14:paraId="2F16D213" w14:textId="77777777" w:rsidR="00380497" w:rsidRDefault="00380497" w:rsidP="001B38F4">
      <w:r>
        <w:t>FCB concluded in their final report that “</w:t>
      </w:r>
      <w:r w:rsidRPr="00217E2E">
        <w:rPr>
          <w:lang w:val="x-none"/>
        </w:rPr>
        <w:t>there are no systemic issues</w:t>
      </w:r>
      <w:r>
        <w:rPr>
          <w:lang w:val="x-none"/>
        </w:rPr>
        <w:t xml:space="preserve"> that need to be addressed</w:t>
      </w:r>
      <w:r>
        <w:t>” and that “CW Retail have a compliant payroll system”.</w:t>
      </w:r>
    </w:p>
    <w:p w14:paraId="1985E8AA" w14:textId="77777777" w:rsidR="00903953" w:rsidRDefault="00903953" w:rsidP="001B38F4">
      <w:r>
        <w:t>In its final report to us, Chemist Warehouse reflected on a range of benefits and opportunities arising from the independent audit</w:t>
      </w:r>
      <w:r w:rsidR="001B38F4">
        <w:t>s</w:t>
      </w:r>
      <w:r>
        <w:t>, including the ability to:</w:t>
      </w:r>
    </w:p>
    <w:p w14:paraId="413B795B" w14:textId="77777777" w:rsidR="00903953" w:rsidRPr="00FD37D2" w:rsidRDefault="00903953" w:rsidP="00FD37D2">
      <w:pPr>
        <w:pStyle w:val="Bullet"/>
      </w:pPr>
      <w:r w:rsidRPr="00FD37D2">
        <w:t xml:space="preserve">understand where payroll variances were occurring and make </w:t>
      </w:r>
      <w:r w:rsidR="00F62DBA" w:rsidRPr="00FD37D2">
        <w:t xml:space="preserve">timely </w:t>
      </w:r>
      <w:r w:rsidRPr="00FD37D2">
        <w:t>adjustments</w:t>
      </w:r>
    </w:p>
    <w:p w14:paraId="21AB695C" w14:textId="77777777" w:rsidR="00903953" w:rsidRPr="00FD37D2" w:rsidRDefault="00903953" w:rsidP="00FD37D2">
      <w:pPr>
        <w:pStyle w:val="Bullet"/>
      </w:pPr>
      <w:r w:rsidRPr="00FD37D2">
        <w:t xml:space="preserve">identify </w:t>
      </w:r>
      <w:r w:rsidR="00F62DBA" w:rsidRPr="00FD37D2">
        <w:t xml:space="preserve">the </w:t>
      </w:r>
      <w:r w:rsidRPr="00FD37D2">
        <w:t xml:space="preserve">need for training and support for </w:t>
      </w:r>
      <w:r w:rsidR="00F62DBA" w:rsidRPr="00FD37D2">
        <w:t xml:space="preserve">individual </w:t>
      </w:r>
      <w:r w:rsidRPr="00FD37D2">
        <w:t>owners and managers</w:t>
      </w:r>
    </w:p>
    <w:p w14:paraId="47F5A4F8" w14:textId="77777777" w:rsidR="00F62DBA" w:rsidRPr="00FD37D2" w:rsidRDefault="00F62DBA" w:rsidP="00FD37D2">
      <w:pPr>
        <w:pStyle w:val="Bullet"/>
      </w:pPr>
      <w:r w:rsidRPr="00FD37D2">
        <w:t>adopt specialist advice in implementing sustainable compliance measures.</w:t>
      </w:r>
    </w:p>
    <w:p w14:paraId="35C6A0ED" w14:textId="77777777" w:rsidR="00903953" w:rsidRDefault="00903953" w:rsidP="001B38F4">
      <w:r>
        <w:t xml:space="preserve">Chemist Warehouse </w:t>
      </w:r>
      <w:r w:rsidR="00CC20D3">
        <w:t xml:space="preserve">has indicated that it </w:t>
      </w:r>
      <w:r>
        <w:t xml:space="preserve">is continuing to work </w:t>
      </w:r>
      <w:r w:rsidR="00895694">
        <w:t xml:space="preserve">in partnership </w:t>
      </w:r>
      <w:r>
        <w:t>with FCB</w:t>
      </w:r>
      <w:r w:rsidR="007A1F74">
        <w:t xml:space="preserve"> Group</w:t>
      </w:r>
      <w:r w:rsidR="00895694" w:rsidRPr="00895694">
        <w:t xml:space="preserve"> </w:t>
      </w:r>
      <w:r w:rsidR="00895694">
        <w:t>to ensure ongoing compliance with workplace laws.</w:t>
      </w:r>
    </w:p>
    <w:p w14:paraId="20186DFB" w14:textId="77777777" w:rsidR="00345118" w:rsidRPr="00611696" w:rsidRDefault="00345118" w:rsidP="00345118">
      <w:pPr>
        <w:pStyle w:val="Heading2"/>
      </w:pPr>
      <w:r w:rsidRPr="00611696">
        <w:t>Reporting to the FWO</w:t>
      </w:r>
    </w:p>
    <w:p w14:paraId="643FED67" w14:textId="77777777" w:rsidR="00345118" w:rsidRPr="00611696" w:rsidRDefault="00345118" w:rsidP="00345118">
      <w:r w:rsidRPr="00611696">
        <w:t xml:space="preserve">Chemist Warehouse satisfied its obligation to </w:t>
      </w:r>
      <w:r>
        <w:t xml:space="preserve">share reports </w:t>
      </w:r>
      <w:r w:rsidRPr="00611696">
        <w:t>on hotline enquiries</w:t>
      </w:r>
      <w:r>
        <w:t>,</w:t>
      </w:r>
      <w:r w:rsidRPr="00611696">
        <w:t xml:space="preserve"> </w:t>
      </w:r>
      <w:r w:rsidR="00FD37D2">
        <w:t>independent audit results</w:t>
      </w:r>
      <w:r>
        <w:t xml:space="preserve"> and to </w:t>
      </w:r>
      <w:r w:rsidRPr="00611696">
        <w:t>provide three annual progress reports</w:t>
      </w:r>
      <w:r>
        <w:t xml:space="preserve"> (Clause </w:t>
      </w:r>
      <w:r w:rsidRPr="00611696">
        <w:t>13</w:t>
      </w:r>
      <w:r>
        <w:t>), describing:</w:t>
      </w:r>
    </w:p>
    <w:p w14:paraId="0383839B" w14:textId="77777777" w:rsidR="00345118" w:rsidRPr="00FD37D2" w:rsidRDefault="00345118" w:rsidP="00FD37D2">
      <w:pPr>
        <w:pStyle w:val="Bullet"/>
      </w:pPr>
      <w:r w:rsidRPr="00FD37D2">
        <w:t xml:space="preserve">actions taken to address the requirements of the </w:t>
      </w:r>
      <w:r w:rsidR="006C69DB" w:rsidRPr="00FD37D2">
        <w:t>PCD,</w:t>
      </w:r>
      <w:r w:rsidR="00FD37D2">
        <w:t xml:space="preserve"> and workplace issues encountered</w:t>
      </w:r>
    </w:p>
    <w:p w14:paraId="675C7619" w14:textId="77777777" w:rsidR="00345118" w:rsidRPr="00FD37D2" w:rsidRDefault="00345118" w:rsidP="00FD37D2">
      <w:pPr>
        <w:pStyle w:val="Bullet"/>
      </w:pPr>
      <w:r w:rsidRPr="00FD37D2">
        <w:t xml:space="preserve">outcomes </w:t>
      </w:r>
      <w:r w:rsidR="00FD37D2">
        <w:t xml:space="preserve">of </w:t>
      </w:r>
      <w:r w:rsidRPr="00FD37D2">
        <w:t xml:space="preserve">requests for assistance referred by the FWO </w:t>
      </w:r>
    </w:p>
    <w:p w14:paraId="612B7E0A" w14:textId="77777777" w:rsidR="00345118" w:rsidRPr="00FD37D2" w:rsidRDefault="00345118" w:rsidP="00FD37D2">
      <w:pPr>
        <w:pStyle w:val="Bullet"/>
      </w:pPr>
      <w:r w:rsidRPr="00FD37D2">
        <w:t>compliance systems and processes</w:t>
      </w:r>
    </w:p>
    <w:p w14:paraId="5C8F211E" w14:textId="77777777" w:rsidR="00345118" w:rsidRPr="00FD37D2" w:rsidRDefault="00345118" w:rsidP="00FD37D2">
      <w:pPr>
        <w:pStyle w:val="Bullet"/>
      </w:pPr>
      <w:r w:rsidRPr="00FD37D2">
        <w:t>workplace relations training undertaken</w:t>
      </w:r>
    </w:p>
    <w:p w14:paraId="79F673C8" w14:textId="77777777" w:rsidR="00395B11" w:rsidRPr="007A1F74" w:rsidRDefault="00345118" w:rsidP="00E20048">
      <w:pPr>
        <w:pStyle w:val="Bullet"/>
        <w:tabs>
          <w:tab w:val="left" w:pos="1320"/>
        </w:tabs>
        <w:rPr>
          <w:rFonts w:ascii="Calibri" w:hAnsi="Calibri" w:cs="Calibri"/>
          <w:sz w:val="23"/>
        </w:rPr>
      </w:pPr>
      <w:r w:rsidRPr="00FD37D2">
        <w:t xml:space="preserve">benefits </w:t>
      </w:r>
      <w:r w:rsidR="00FC331E">
        <w:t xml:space="preserve">and </w:t>
      </w:r>
      <w:r w:rsidRPr="00FD37D2">
        <w:t>learnings from the compliance partnership.</w:t>
      </w:r>
    </w:p>
    <w:sectPr w:rsidR="00395B11" w:rsidRPr="007A1F74" w:rsidSect="00DB083C">
      <w:footerReference w:type="default" r:id="rId8"/>
      <w:headerReference w:type="first" r:id="rId9"/>
      <w:footerReference w:type="first" r:id="rId10"/>
      <w:pgSz w:w="11906" w:h="16838"/>
      <w:pgMar w:top="1985" w:right="1225" w:bottom="1701" w:left="1321" w:header="284"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2E998" w14:textId="77777777" w:rsidR="004E35A4" w:rsidRDefault="004E35A4" w:rsidP="00AB465A">
      <w:pPr>
        <w:spacing w:after="0" w:line="240" w:lineRule="auto"/>
      </w:pPr>
      <w:r>
        <w:separator/>
      </w:r>
    </w:p>
  </w:endnote>
  <w:endnote w:type="continuationSeparator" w:id="0">
    <w:p w14:paraId="20723AEA" w14:textId="77777777" w:rsidR="004E35A4" w:rsidRDefault="004E35A4" w:rsidP="00AB465A">
      <w:pPr>
        <w:spacing w:after="0" w:line="240" w:lineRule="auto"/>
      </w:pPr>
      <w:r>
        <w:continuationSeparator/>
      </w:r>
    </w:p>
  </w:endnote>
  <w:endnote w:type="continuationNotice" w:id="1">
    <w:p w14:paraId="29AB26D9" w14:textId="77777777" w:rsidR="004E35A4" w:rsidRDefault="004E3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12D1" w14:textId="3F7BBF38" w:rsidR="000948A5" w:rsidRPr="004B0400" w:rsidRDefault="000948A5" w:rsidP="004B0400">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212E" w14:textId="2384EE47" w:rsidR="000948A5" w:rsidRPr="002309D9" w:rsidRDefault="000948A5" w:rsidP="002309D9">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6392" w14:textId="77777777" w:rsidR="004E35A4" w:rsidRDefault="004E35A4" w:rsidP="00AB465A">
      <w:pPr>
        <w:spacing w:after="0" w:line="240" w:lineRule="auto"/>
      </w:pPr>
      <w:r>
        <w:separator/>
      </w:r>
    </w:p>
  </w:footnote>
  <w:footnote w:type="continuationSeparator" w:id="0">
    <w:p w14:paraId="1572ABF0" w14:textId="77777777" w:rsidR="004E35A4" w:rsidRDefault="004E35A4" w:rsidP="00AB465A">
      <w:pPr>
        <w:spacing w:after="0" w:line="240" w:lineRule="auto"/>
      </w:pPr>
      <w:r>
        <w:continuationSeparator/>
      </w:r>
    </w:p>
  </w:footnote>
  <w:footnote w:type="continuationNotice" w:id="1">
    <w:p w14:paraId="4AFDDD6B" w14:textId="77777777" w:rsidR="004E35A4" w:rsidRDefault="004E35A4">
      <w:pPr>
        <w:spacing w:after="0" w:line="240" w:lineRule="auto"/>
      </w:pPr>
    </w:p>
  </w:footnote>
  <w:footnote w:id="2">
    <w:p w14:paraId="0C0779CC" w14:textId="77777777" w:rsidR="000948A5" w:rsidRPr="00EA5090" w:rsidRDefault="000948A5" w:rsidP="00DB1F86">
      <w:pPr>
        <w:pStyle w:val="Footnote"/>
      </w:pPr>
      <w:r w:rsidRPr="00DB1F86">
        <w:rPr>
          <w:rStyle w:val="FootnoteReference"/>
          <w:rFonts w:cs="Arial"/>
          <w:vertAlign w:val="baseline"/>
        </w:rPr>
        <w:footnoteRef/>
      </w:r>
      <w:r>
        <w:rPr>
          <w:rStyle w:val="FootnoteReference"/>
          <w:rFonts w:cs="Arial"/>
          <w:vertAlign w:val="baseline"/>
        </w:rPr>
        <w:t xml:space="preserve"> FWO </w:t>
      </w:r>
      <w:r>
        <w:t xml:space="preserve">report: </w:t>
      </w:r>
      <w:hyperlink r:id="rId1" w:history="1">
        <w:r w:rsidRPr="001F08DA">
          <w:rPr>
            <w:rStyle w:val="Hyperlink"/>
            <w:rFonts w:asciiTheme="minorHAnsi" w:hAnsiTheme="minorHAnsi" w:cs="Arial"/>
          </w:rPr>
          <w:t>https://www.fairwork.gov.au/ArticleDocuments/714/national-compliance-monitoring-campaign-report-number-2.docx.aspx</w:t>
        </w:r>
      </w:hyperlink>
    </w:p>
  </w:footnote>
  <w:footnote w:id="3">
    <w:p w14:paraId="15D84228" w14:textId="77777777" w:rsidR="000948A5" w:rsidRPr="00C93DBD" w:rsidRDefault="000948A5" w:rsidP="0099750D">
      <w:pPr>
        <w:pStyle w:val="Footnote"/>
      </w:pPr>
      <w:r w:rsidRPr="008A6E27">
        <w:rPr>
          <w:rStyle w:val="FootnoteReference"/>
        </w:rPr>
        <w:footnoteRef/>
      </w:r>
      <w:r w:rsidRPr="008A6E27">
        <w:rPr>
          <w:rStyle w:val="FootnoteReference"/>
        </w:rPr>
        <w:t xml:space="preserve"> </w:t>
      </w:r>
      <w:r w:rsidRPr="008A6E27">
        <w:t xml:space="preserve">FWO media release: </w:t>
      </w:r>
      <w:hyperlink r:id="rId2" w:tooltip="Chemist Warehouse added to the growing big brands list of Fair Work Ombudsman partners media release" w:history="1">
        <w:r w:rsidRPr="0099750D">
          <w:rPr>
            <w:rStyle w:val="Hyperlink"/>
            <w:rFonts w:asciiTheme="minorHAnsi" w:hAnsiTheme="minorHAnsi"/>
          </w:rPr>
          <w:t>https://www.fairwork.gov.au/about-us/news-and-media-releases/2016-media-releases/december-2016/20161201-chemist-warehouse-mr</w:t>
        </w:r>
      </w:hyperlink>
    </w:p>
  </w:footnote>
  <w:footnote w:id="4">
    <w:p w14:paraId="246EB11B" w14:textId="77777777" w:rsidR="000948A5" w:rsidRDefault="000948A5" w:rsidP="0099750D">
      <w:pPr>
        <w:pStyle w:val="Footnote"/>
      </w:pPr>
      <w:r>
        <w:rPr>
          <w:rStyle w:val="FootnoteReference"/>
        </w:rPr>
        <w:footnoteRef/>
      </w:r>
      <w:r>
        <w:t xml:space="preserve"> FWO report: </w:t>
      </w:r>
      <w:hyperlink r:id="rId3" w:history="1">
        <w:r w:rsidRPr="001F08DA">
          <w:rPr>
            <w:rStyle w:val="Hyperlink"/>
            <w:rFonts w:asciiTheme="minorHAnsi" w:hAnsiTheme="minorHAnsi" w:cs="Arial"/>
          </w:rPr>
          <w:t>https://www.fairwork.gov.au/ArticleDocuments/762/chemist-warehouse-proactive-compliance-deed-interim-report.docx.aspx</w:t>
        </w:r>
      </w:hyperlink>
    </w:p>
  </w:footnote>
  <w:footnote w:id="5">
    <w:p w14:paraId="458D119B" w14:textId="77777777" w:rsidR="000948A5" w:rsidRPr="003E1AD6" w:rsidRDefault="000948A5" w:rsidP="00113C02">
      <w:pPr>
        <w:pStyle w:val="Footnote"/>
        <w:rPr>
          <w:rFonts w:ascii="Calibri" w:hAnsi="Calibri" w:cs="Calibri"/>
        </w:rPr>
      </w:pPr>
      <w:r>
        <w:rPr>
          <w:rStyle w:val="FootnoteReference"/>
        </w:rPr>
        <w:footnoteRef/>
      </w:r>
      <w:r>
        <w:t xml:space="preserve"> FWO media release: </w:t>
      </w:r>
      <w:hyperlink r:id="rId4" w:history="1">
        <w:r w:rsidRPr="003E1AD6">
          <w:rPr>
            <w:rStyle w:val="Hyperlink"/>
            <w:rFonts w:ascii="Calibri" w:hAnsi="Calibri" w:cs="Calibri"/>
          </w:rPr>
          <w:t>https://www.fairwork.gov.au/about-us/news-and-media-releases/archived-media-releases/2016-media-releases/december-2016/20161201-chemist-warehouse-mr</w:t>
        </w:r>
      </w:hyperlink>
    </w:p>
    <w:p w14:paraId="4FE93502" w14:textId="77777777" w:rsidR="000948A5" w:rsidRDefault="000948A5" w:rsidP="00113C02">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3C8B" w14:textId="4DEC1C97" w:rsidR="000948A5" w:rsidRPr="00583EDF" w:rsidRDefault="000948A5" w:rsidP="00603CC4">
    <w:pPr>
      <w:tabs>
        <w:tab w:val="center" w:pos="4820"/>
        <w:tab w:val="right" w:pos="9639"/>
      </w:tabs>
      <w:spacing w:after="0"/>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EA2"/>
    <w:multiLevelType w:val="hybridMultilevel"/>
    <w:tmpl w:val="F20A093A"/>
    <w:lvl w:ilvl="0" w:tplc="77A68534">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BF500A2"/>
    <w:multiLevelType w:val="hybridMultilevel"/>
    <w:tmpl w:val="CB04DF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D1D7485"/>
    <w:multiLevelType w:val="hybridMultilevel"/>
    <w:tmpl w:val="447EE160"/>
    <w:lvl w:ilvl="0" w:tplc="A078A7D6">
      <w:start w:val="1"/>
      <w:numFmt w:val="bullet"/>
      <w:lvlText w:val=""/>
      <w:lvlJc w:val="left"/>
      <w:pPr>
        <w:ind w:left="360" w:hanging="360"/>
      </w:pPr>
      <w:rPr>
        <w:rFonts w:ascii="Wingdings" w:hAnsi="Wingdings" w:hint="default"/>
        <w:color w:val="44273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023A84"/>
    <w:multiLevelType w:val="multilevel"/>
    <w:tmpl w:val="4D38F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C2950"/>
    <w:multiLevelType w:val="hybridMultilevel"/>
    <w:tmpl w:val="193E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041E70"/>
    <w:multiLevelType w:val="hybridMultilevel"/>
    <w:tmpl w:val="E1BEEA46"/>
    <w:lvl w:ilvl="0" w:tplc="6BAE61D6">
      <w:start w:val="2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F3749B"/>
    <w:multiLevelType w:val="hybridMultilevel"/>
    <w:tmpl w:val="50068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F52375"/>
    <w:multiLevelType w:val="hybridMultilevel"/>
    <w:tmpl w:val="E730D7AA"/>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3"/>
  </w:num>
  <w:num w:numId="6">
    <w:abstractNumId w:val="5"/>
  </w:num>
  <w:num w:numId="7">
    <w:abstractNumId w:val="6"/>
  </w:num>
  <w:num w:numId="8">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abstractNumId w:val="9"/>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BE"/>
    <w:rsid w:val="0008268D"/>
    <w:rsid w:val="00093049"/>
    <w:rsid w:val="000948A5"/>
    <w:rsid w:val="000C15EB"/>
    <w:rsid w:val="000D46B8"/>
    <w:rsid w:val="000E0326"/>
    <w:rsid w:val="00113C02"/>
    <w:rsid w:val="0013092E"/>
    <w:rsid w:val="001400D9"/>
    <w:rsid w:val="00174429"/>
    <w:rsid w:val="00190C99"/>
    <w:rsid w:val="001B38F4"/>
    <w:rsid w:val="001C2B8D"/>
    <w:rsid w:val="001E0B28"/>
    <w:rsid w:val="001E0B6E"/>
    <w:rsid w:val="00201FBC"/>
    <w:rsid w:val="00217AF2"/>
    <w:rsid w:val="002236D4"/>
    <w:rsid w:val="002309D9"/>
    <w:rsid w:val="00232CA4"/>
    <w:rsid w:val="002666D5"/>
    <w:rsid w:val="0026797B"/>
    <w:rsid w:val="00287EBF"/>
    <w:rsid w:val="002A7803"/>
    <w:rsid w:val="002D4D24"/>
    <w:rsid w:val="002E28E8"/>
    <w:rsid w:val="002E47D2"/>
    <w:rsid w:val="002E78A5"/>
    <w:rsid w:val="00345118"/>
    <w:rsid w:val="003566B9"/>
    <w:rsid w:val="00380497"/>
    <w:rsid w:val="00390626"/>
    <w:rsid w:val="00395B11"/>
    <w:rsid w:val="003A57F4"/>
    <w:rsid w:val="003E1AD6"/>
    <w:rsid w:val="00440D09"/>
    <w:rsid w:val="00442687"/>
    <w:rsid w:val="0045085B"/>
    <w:rsid w:val="00465E7E"/>
    <w:rsid w:val="00483507"/>
    <w:rsid w:val="00486F77"/>
    <w:rsid w:val="004874D2"/>
    <w:rsid w:val="004B0400"/>
    <w:rsid w:val="004C19C4"/>
    <w:rsid w:val="004E35A4"/>
    <w:rsid w:val="0050188C"/>
    <w:rsid w:val="005154A9"/>
    <w:rsid w:val="005261A5"/>
    <w:rsid w:val="005262DC"/>
    <w:rsid w:val="00537672"/>
    <w:rsid w:val="005775E6"/>
    <w:rsid w:val="0059705C"/>
    <w:rsid w:val="005B42FE"/>
    <w:rsid w:val="005C5BCB"/>
    <w:rsid w:val="005E4D37"/>
    <w:rsid w:val="00603CC4"/>
    <w:rsid w:val="00605605"/>
    <w:rsid w:val="0061070F"/>
    <w:rsid w:val="00651E98"/>
    <w:rsid w:val="0067258D"/>
    <w:rsid w:val="006B4C3D"/>
    <w:rsid w:val="006C69DB"/>
    <w:rsid w:val="00703886"/>
    <w:rsid w:val="007108B7"/>
    <w:rsid w:val="007149E8"/>
    <w:rsid w:val="00716C9E"/>
    <w:rsid w:val="00727206"/>
    <w:rsid w:val="00786E3C"/>
    <w:rsid w:val="007A1F74"/>
    <w:rsid w:val="007A4C65"/>
    <w:rsid w:val="007A6811"/>
    <w:rsid w:val="007B6AC8"/>
    <w:rsid w:val="007D19A1"/>
    <w:rsid w:val="007D73E9"/>
    <w:rsid w:val="007E5FAD"/>
    <w:rsid w:val="00803A9A"/>
    <w:rsid w:val="00810DDE"/>
    <w:rsid w:val="00840520"/>
    <w:rsid w:val="00842B77"/>
    <w:rsid w:val="00851497"/>
    <w:rsid w:val="008653A9"/>
    <w:rsid w:val="008730F0"/>
    <w:rsid w:val="00895694"/>
    <w:rsid w:val="00900F02"/>
    <w:rsid w:val="00903953"/>
    <w:rsid w:val="009470A4"/>
    <w:rsid w:val="009802BA"/>
    <w:rsid w:val="00991F30"/>
    <w:rsid w:val="009946F6"/>
    <w:rsid w:val="00995EBE"/>
    <w:rsid w:val="0099750D"/>
    <w:rsid w:val="009B2D10"/>
    <w:rsid w:val="009F3740"/>
    <w:rsid w:val="009F57B4"/>
    <w:rsid w:val="00A25A80"/>
    <w:rsid w:val="00A267BA"/>
    <w:rsid w:val="00A5637B"/>
    <w:rsid w:val="00A828BD"/>
    <w:rsid w:val="00A841DA"/>
    <w:rsid w:val="00A94C33"/>
    <w:rsid w:val="00A97F48"/>
    <w:rsid w:val="00AA0244"/>
    <w:rsid w:val="00AA1953"/>
    <w:rsid w:val="00AB465A"/>
    <w:rsid w:val="00AB5511"/>
    <w:rsid w:val="00AC062C"/>
    <w:rsid w:val="00B02B68"/>
    <w:rsid w:val="00B2425F"/>
    <w:rsid w:val="00B263CC"/>
    <w:rsid w:val="00B263F4"/>
    <w:rsid w:val="00B37CF8"/>
    <w:rsid w:val="00B478AD"/>
    <w:rsid w:val="00B531AB"/>
    <w:rsid w:val="00B56C5A"/>
    <w:rsid w:val="00B65A3F"/>
    <w:rsid w:val="00B910E8"/>
    <w:rsid w:val="00BA5269"/>
    <w:rsid w:val="00BB53D7"/>
    <w:rsid w:val="00BB71C3"/>
    <w:rsid w:val="00BC0303"/>
    <w:rsid w:val="00BD5AD4"/>
    <w:rsid w:val="00BF77B8"/>
    <w:rsid w:val="00C079AD"/>
    <w:rsid w:val="00C72594"/>
    <w:rsid w:val="00C75106"/>
    <w:rsid w:val="00CA39F1"/>
    <w:rsid w:val="00CC20D3"/>
    <w:rsid w:val="00CE6055"/>
    <w:rsid w:val="00CF0E06"/>
    <w:rsid w:val="00CF6AF6"/>
    <w:rsid w:val="00D00676"/>
    <w:rsid w:val="00D11BC7"/>
    <w:rsid w:val="00D20453"/>
    <w:rsid w:val="00D907C5"/>
    <w:rsid w:val="00D95B26"/>
    <w:rsid w:val="00DA7095"/>
    <w:rsid w:val="00DB083C"/>
    <w:rsid w:val="00DB1F86"/>
    <w:rsid w:val="00E00414"/>
    <w:rsid w:val="00E13A01"/>
    <w:rsid w:val="00E20048"/>
    <w:rsid w:val="00E35B85"/>
    <w:rsid w:val="00E62AC7"/>
    <w:rsid w:val="00E80136"/>
    <w:rsid w:val="00E939AC"/>
    <w:rsid w:val="00EA08FB"/>
    <w:rsid w:val="00EA1792"/>
    <w:rsid w:val="00EA5090"/>
    <w:rsid w:val="00EA6B05"/>
    <w:rsid w:val="00EC7446"/>
    <w:rsid w:val="00EE53DD"/>
    <w:rsid w:val="00F62DBA"/>
    <w:rsid w:val="00F72D97"/>
    <w:rsid w:val="00F95A60"/>
    <w:rsid w:val="00FC331E"/>
    <w:rsid w:val="00FC7484"/>
    <w:rsid w:val="00FD37D2"/>
    <w:rsid w:val="00FF6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2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Paragraph"/>
    <w:qFormat/>
    <w:rsid w:val="00A94C33"/>
    <w:pPr>
      <w:spacing w:after="120" w:line="360" w:lineRule="auto"/>
    </w:pPr>
    <w:rPr>
      <w:rFonts w:asciiTheme="minorHAnsi" w:hAnsiTheme="minorHAnsi" w:cs="Arial"/>
      <w:sz w:val="22"/>
      <w:szCs w:val="24"/>
    </w:rPr>
  </w:style>
  <w:style w:type="paragraph" w:styleId="Heading1">
    <w:name w:val="heading 1"/>
    <w:basedOn w:val="Normal"/>
    <w:next w:val="Normal"/>
    <w:link w:val="Heading1Char"/>
    <w:autoRedefine/>
    <w:uiPriority w:val="9"/>
    <w:qFormat/>
    <w:rsid w:val="00CF0E06"/>
    <w:pPr>
      <w:keepNext/>
      <w:keepLine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995EBE"/>
    <w:pPr>
      <w:numPr>
        <w:ilvl w:val="1"/>
      </w:numPr>
      <w:spacing w:before="180"/>
      <w:outlineLvl w:val="1"/>
    </w:pPr>
    <w:rPr>
      <w:rFonts w:asciiTheme="minorHAnsi" w:hAnsiTheme="minorHAnsi"/>
      <w:b/>
      <w:sz w:val="32"/>
      <w:szCs w:val="24"/>
    </w:rPr>
  </w:style>
  <w:style w:type="paragraph" w:styleId="Heading3">
    <w:name w:val="heading 3"/>
    <w:basedOn w:val="Heading2"/>
    <w:next w:val="Normal"/>
    <w:link w:val="Heading3Char"/>
    <w:autoRedefine/>
    <w:uiPriority w:val="9"/>
    <w:qFormat/>
    <w:rsid w:val="00995EBE"/>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D11BC7"/>
    <w:pPr>
      <w:numPr>
        <w:ilvl w:val="0"/>
      </w:numPr>
      <w:outlineLvl w:val="3"/>
    </w:pPr>
    <w:rPr>
      <w:rFonts w:eastAsiaTheme="minorEastAsia"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2309D9"/>
    <w:pPr>
      <w:numPr>
        <w:numId w:val="3"/>
      </w:numPr>
      <w:spacing w:before="120" w:after="240" w:line="320" w:lineRule="exact"/>
      <w:ind w:left="641" w:right="284" w:hanging="357"/>
      <w:contextualSpacing/>
    </w:pPr>
    <w:rPr>
      <w:rFonts w:eastAsiaTheme="minorHAnsi"/>
      <w:szCs w:val="22"/>
    </w:rPr>
  </w:style>
  <w:style w:type="paragraph" w:customStyle="1" w:styleId="Calloutbox">
    <w:name w:val="Callout box"/>
    <w:basedOn w:val="Normal"/>
    <w:next w:val="Normal"/>
    <w:link w:val="CalloutboxChar"/>
    <w:autoRedefine/>
    <w:qFormat/>
    <w:rsid w:val="002309D9"/>
    <w:pPr>
      <w:pBdr>
        <w:left w:val="single" w:sz="24" w:space="4" w:color="9BCBEB"/>
        <w:right w:val="single" w:sz="24" w:space="4" w:color="9BCBEB"/>
      </w:pBdr>
      <w:shd w:val="clear" w:color="auto" w:fill="E7F2FA"/>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2309D9"/>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CF0E06"/>
    <w:rPr>
      <w:rFonts w:ascii="Calibri Light" w:hAnsi="Calibri Light" w:cs="Arial"/>
      <w:color w:val="1B365D"/>
      <w:sz w:val="60"/>
      <w:szCs w:val="26"/>
    </w:rPr>
  </w:style>
  <w:style w:type="character" w:customStyle="1" w:styleId="Heading2Char">
    <w:name w:val="Heading 2 Char"/>
    <w:basedOn w:val="DefaultParagraphFont"/>
    <w:link w:val="Heading2"/>
    <w:uiPriority w:val="9"/>
    <w:rsid w:val="00995EBE"/>
    <w:rPr>
      <w:rFonts w:asciiTheme="minorHAnsi" w:hAnsiTheme="minorHAnsi" w:cs="Arial"/>
      <w:b/>
      <w:color w:val="1B365D"/>
      <w:sz w:val="32"/>
      <w:szCs w:val="24"/>
    </w:rPr>
  </w:style>
  <w:style w:type="character" w:customStyle="1" w:styleId="Heading3Char">
    <w:name w:val="Heading 3 Char"/>
    <w:basedOn w:val="DefaultParagraphFont"/>
    <w:link w:val="Heading3"/>
    <w:uiPriority w:val="9"/>
    <w:rsid w:val="00995EBE"/>
    <w:rPr>
      <w:rFonts w:asciiTheme="minorHAnsi" w:hAnsiTheme="minorHAnsi" w:cs="Arial"/>
      <w:b/>
      <w:color w:val="1B365D"/>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character" w:styleId="FootnoteReference">
    <w:name w:val="footnote reference"/>
    <w:basedOn w:val="DefaultParagraphFont"/>
    <w:rsid w:val="002309D9"/>
    <w:rPr>
      <w:rFonts w:cs="Times New Roman"/>
      <w:vertAlign w:val="superscript"/>
    </w:rPr>
  </w:style>
  <w:style w:type="paragraph" w:customStyle="1" w:styleId="Footnote">
    <w:name w:val="Footnote"/>
    <w:basedOn w:val="FootnoteText"/>
    <w:qFormat/>
    <w:rsid w:val="002309D9"/>
    <w:pPr>
      <w:spacing w:after="120"/>
    </w:pPr>
    <w:rPr>
      <w:sz w:val="18"/>
      <w:szCs w:val="18"/>
    </w:rPr>
  </w:style>
  <w:style w:type="paragraph" w:styleId="FootnoteText">
    <w:name w:val="footnote text"/>
    <w:basedOn w:val="Normal"/>
    <w:link w:val="FootnoteTextChar"/>
    <w:uiPriority w:val="99"/>
    <w:semiHidden/>
    <w:unhideWhenUsed/>
    <w:rsid w:val="002309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9D9"/>
    <w:rPr>
      <w:rFonts w:asciiTheme="minorHAnsi" w:hAnsiTheme="minorHAnsi" w:cs="Arial"/>
    </w:rPr>
  </w:style>
  <w:style w:type="paragraph" w:customStyle="1" w:styleId="Calloutboxbullets">
    <w:name w:val="Callout box bullets"/>
    <w:basedOn w:val="Calloutbox"/>
    <w:link w:val="CalloutboxbulletsChar"/>
    <w:qFormat/>
    <w:rsid w:val="00217AF2"/>
    <w:pPr>
      <w:numPr>
        <w:numId w:val="4"/>
      </w:numPr>
      <w:spacing w:before="120" w:after="240"/>
      <w:ind w:left="641" w:hanging="357"/>
    </w:pPr>
    <w:rPr>
      <w:lang w:eastAsia="en-AU"/>
    </w:rPr>
  </w:style>
  <w:style w:type="character" w:customStyle="1" w:styleId="CalloutboxbulletsChar">
    <w:name w:val="Callout box bullets Char"/>
    <w:basedOn w:val="CalloutboxChar"/>
    <w:link w:val="Calloutboxbullets"/>
    <w:rsid w:val="00217AF2"/>
    <w:rPr>
      <w:rFonts w:asciiTheme="minorHAnsi" w:eastAsiaTheme="minorHAnsi" w:hAnsiTheme="minorHAnsi" w:cs="Arial"/>
      <w:sz w:val="22"/>
      <w:szCs w:val="22"/>
      <w:shd w:val="clear" w:color="auto" w:fill="E7F2FA"/>
      <w:lang w:eastAsia="en-AU"/>
    </w:rPr>
  </w:style>
  <w:style w:type="character" w:styleId="Hyperlink">
    <w:name w:val="Hyperlink"/>
    <w:basedOn w:val="DefaultParagraphFont"/>
    <w:uiPriority w:val="99"/>
    <w:rsid w:val="00A94C33"/>
    <w:rPr>
      <w:rFonts w:ascii="Arial" w:hAnsi="Arial" w:cs="Times New Roman"/>
      <w:color w:val="0000FF"/>
      <w:u w:val="single"/>
    </w:rPr>
  </w:style>
  <w:style w:type="paragraph" w:customStyle="1" w:styleId="Footnotes">
    <w:name w:val="Footnotes"/>
    <w:basedOn w:val="FootnoteText"/>
    <w:qFormat/>
    <w:rsid w:val="00A94C33"/>
    <w:rPr>
      <w:rFonts w:ascii="Arial" w:hAnsi="Arial"/>
      <w:sz w:val="16"/>
      <w:szCs w:val="24"/>
    </w:rPr>
  </w:style>
  <w:style w:type="paragraph" w:styleId="NormalWeb">
    <w:name w:val="Normal (Web)"/>
    <w:basedOn w:val="Normal"/>
    <w:uiPriority w:val="99"/>
    <w:unhideWhenUsed/>
    <w:rsid w:val="003E1AD6"/>
    <w:pPr>
      <w:spacing w:before="100" w:beforeAutospacing="1" w:after="100" w:afterAutospacing="1" w:line="240" w:lineRule="auto"/>
    </w:pPr>
    <w:rPr>
      <w:rFonts w:ascii="Times New Roman" w:eastAsiaTheme="minorEastAsia" w:hAnsi="Times New Roman" w:cs="Times New Roman"/>
      <w:sz w:val="24"/>
      <w:lang w:eastAsia="en-AU"/>
    </w:rPr>
  </w:style>
  <w:style w:type="paragraph" w:styleId="ListParagraph">
    <w:name w:val="List Paragraph"/>
    <w:aliases w:val="List Paragraph1,List Paragraph11,Recommendation,Brief List Paragraph 1,DDM Gen Text"/>
    <w:basedOn w:val="Normal"/>
    <w:link w:val="ListParagraphChar"/>
    <w:uiPriority w:val="34"/>
    <w:qFormat/>
    <w:rsid w:val="005262DC"/>
    <w:pPr>
      <w:ind w:left="720"/>
      <w:contextualSpacing/>
    </w:pPr>
  </w:style>
  <w:style w:type="character" w:styleId="CommentReference">
    <w:name w:val="annotation reference"/>
    <w:basedOn w:val="DefaultParagraphFont"/>
    <w:uiPriority w:val="99"/>
    <w:semiHidden/>
    <w:unhideWhenUsed/>
    <w:rsid w:val="00B2425F"/>
    <w:rPr>
      <w:sz w:val="16"/>
      <w:szCs w:val="16"/>
    </w:rPr>
  </w:style>
  <w:style w:type="paragraph" w:styleId="CommentText">
    <w:name w:val="annotation text"/>
    <w:basedOn w:val="Normal"/>
    <w:link w:val="CommentTextChar"/>
    <w:uiPriority w:val="99"/>
    <w:semiHidden/>
    <w:unhideWhenUsed/>
    <w:rsid w:val="00B2425F"/>
    <w:pPr>
      <w:spacing w:line="240" w:lineRule="auto"/>
    </w:pPr>
    <w:rPr>
      <w:sz w:val="20"/>
      <w:szCs w:val="20"/>
    </w:rPr>
  </w:style>
  <w:style w:type="character" w:customStyle="1" w:styleId="CommentTextChar">
    <w:name w:val="Comment Text Char"/>
    <w:basedOn w:val="DefaultParagraphFont"/>
    <w:link w:val="CommentText"/>
    <w:uiPriority w:val="99"/>
    <w:semiHidden/>
    <w:rsid w:val="00B2425F"/>
    <w:rPr>
      <w:rFonts w:asciiTheme="minorHAnsi" w:hAnsiTheme="minorHAnsi" w:cs="Arial"/>
    </w:rPr>
  </w:style>
  <w:style w:type="paragraph" w:styleId="CommentSubject">
    <w:name w:val="annotation subject"/>
    <w:basedOn w:val="CommentText"/>
    <w:next w:val="CommentText"/>
    <w:link w:val="CommentSubjectChar"/>
    <w:uiPriority w:val="99"/>
    <w:semiHidden/>
    <w:unhideWhenUsed/>
    <w:rsid w:val="00B2425F"/>
    <w:rPr>
      <w:b/>
      <w:bCs/>
    </w:rPr>
  </w:style>
  <w:style w:type="character" w:customStyle="1" w:styleId="CommentSubjectChar">
    <w:name w:val="Comment Subject Char"/>
    <w:basedOn w:val="CommentTextChar"/>
    <w:link w:val="CommentSubject"/>
    <w:uiPriority w:val="99"/>
    <w:semiHidden/>
    <w:rsid w:val="00B2425F"/>
    <w:rPr>
      <w:rFonts w:asciiTheme="minorHAnsi" w:hAnsiTheme="minorHAnsi" w:cs="Arial"/>
      <w:b/>
      <w:bCs/>
    </w:rPr>
  </w:style>
  <w:style w:type="character" w:customStyle="1" w:styleId="ListParagraphChar">
    <w:name w:val="List Paragraph Char"/>
    <w:aliases w:val="List Paragraph1 Char,List Paragraph11 Char,Recommendation Char,Brief List Paragraph 1 Char,DDM Gen Text Char"/>
    <w:basedOn w:val="DefaultParagraphFont"/>
    <w:link w:val="ListParagraph"/>
    <w:uiPriority w:val="34"/>
    <w:locked/>
    <w:rsid w:val="00537672"/>
    <w:rPr>
      <w:rFonts w:asciiTheme="minorHAnsi" w:hAnsiTheme="minorHAnsi" w:cs="Arial"/>
      <w:sz w:val="22"/>
      <w:szCs w:val="24"/>
    </w:rPr>
  </w:style>
  <w:style w:type="character" w:styleId="FollowedHyperlink">
    <w:name w:val="FollowedHyperlink"/>
    <w:basedOn w:val="DefaultParagraphFont"/>
    <w:uiPriority w:val="99"/>
    <w:semiHidden/>
    <w:unhideWhenUsed/>
    <w:rsid w:val="00537672"/>
    <w:rPr>
      <w:color w:val="800080" w:themeColor="followedHyperlink"/>
      <w:u w:val="single"/>
    </w:rPr>
  </w:style>
  <w:style w:type="table" w:styleId="TableGrid">
    <w:name w:val="Table Grid"/>
    <w:basedOn w:val="TableNormal"/>
    <w:uiPriority w:val="39"/>
    <w:rsid w:val="005376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E03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0E032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B263CC"/>
    <w:rPr>
      <w:rFonts w:asciiTheme="minorHAnsi" w:hAnsiTheme="minorHAnsi" w:cs="Arial"/>
      <w:sz w:val="22"/>
      <w:szCs w:val="24"/>
    </w:rPr>
  </w:style>
  <w:style w:type="character" w:styleId="UnresolvedMention">
    <w:name w:val="Unresolved Mention"/>
    <w:basedOn w:val="DefaultParagraphFont"/>
    <w:uiPriority w:val="99"/>
    <w:semiHidden/>
    <w:unhideWhenUsed/>
    <w:rsid w:val="00EA0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4258">
      <w:bodyDiv w:val="1"/>
      <w:marLeft w:val="0"/>
      <w:marRight w:val="0"/>
      <w:marTop w:val="0"/>
      <w:marBottom w:val="0"/>
      <w:divBdr>
        <w:top w:val="none" w:sz="0" w:space="0" w:color="auto"/>
        <w:left w:val="none" w:sz="0" w:space="0" w:color="auto"/>
        <w:bottom w:val="none" w:sz="0" w:space="0" w:color="auto"/>
        <w:right w:val="none" w:sz="0" w:space="0" w:color="auto"/>
      </w:divBdr>
    </w:div>
    <w:div w:id="7628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irwork.gov.au/ArticleDocuments/762/chemist-warehouse-pcd.doc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ArticleDocuments/762/chemist-warehouse-proactive-compliance-deed-interim-report.docx.aspx" TargetMode="External"/><Relationship Id="rId2" Type="http://schemas.openxmlformats.org/officeDocument/2006/relationships/hyperlink" Target="https://www.fairwork.gov.au/about-us/news-and-media-releases/2016-media-releases/december-2016/20161201-chemist-warehouse-mr" TargetMode="External"/><Relationship Id="rId1" Type="http://schemas.openxmlformats.org/officeDocument/2006/relationships/hyperlink" Target="https://www.fairwork.gov.au/ArticleDocuments/714/national-compliance-monitoring-campaign-report-number-2.docx.aspx" TargetMode="External"/><Relationship Id="rId4" Type="http://schemas.openxmlformats.org/officeDocument/2006/relationships/hyperlink" Target="https://www.fairwork.gov.au/about-us/news-and-media-releases/archived-media-releases/2016-media-releases/december-2016/20161201-chemist-warehouse-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8288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Chemist Warehouse PDC report</vt:lpstr>
    </vt:vector>
  </TitlesOfParts>
  <Manager/>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 Warehouse PDC report</dc:title>
  <dc:subject>Chemist Warehouse PDC report</dc:subject>
  <dc:creator/>
  <cp:keywords>Chemist Warehouse, PCD</cp:keywords>
  <cp:lastModifiedBy/>
  <cp:revision>1</cp:revision>
  <dcterms:created xsi:type="dcterms:W3CDTF">2020-10-01T22:24:00Z</dcterms:created>
  <dcterms:modified xsi:type="dcterms:W3CDTF">2020-10-01T22:24:00Z</dcterms:modified>
</cp:coreProperties>
</file>