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BCEAE" w14:textId="3A5EBCFF" w:rsidR="00E62158" w:rsidDel="00580AB5" w:rsidRDefault="00E62158" w:rsidP="000D02BD">
      <w:pPr>
        <w:rPr>
          <w:noProof/>
        </w:rPr>
      </w:pPr>
    </w:p>
    <w:p w14:paraId="26EC32BB" w14:textId="5F854B77" w:rsidR="00E62158" w:rsidDel="00580AB5" w:rsidRDefault="00E62158" w:rsidP="000D02BD">
      <w:pPr>
        <w:rPr>
          <w:noProof/>
        </w:rPr>
      </w:pPr>
    </w:p>
    <w:p w14:paraId="474A104F" w14:textId="17AD035A" w:rsidR="00E62158" w:rsidDel="00580AB5" w:rsidRDefault="00E62158" w:rsidP="000D02BD">
      <w:pPr>
        <w:rPr>
          <w:noProof/>
        </w:rPr>
      </w:pPr>
    </w:p>
    <w:p w14:paraId="3657E6FA" w14:textId="6366557B" w:rsidR="00E62158" w:rsidDel="00580AB5" w:rsidRDefault="00E62158" w:rsidP="000D02BD">
      <w:pPr>
        <w:rPr>
          <w:noProof/>
        </w:rPr>
      </w:pPr>
    </w:p>
    <w:p w14:paraId="1A7B74F8" w14:textId="25DA9F45" w:rsidR="00E62158" w:rsidDel="00580AB5" w:rsidRDefault="008D0E04" w:rsidP="000D02BD">
      <w:pPr>
        <w:rPr>
          <w:noProof/>
        </w:rPr>
      </w:pPr>
      <w:r w:rsidRPr="005E5C59">
        <w:rPr>
          <w:rFonts w:ascii="Aptos" w:eastAsia="Aptos" w:hAnsi="Aptos" w:cs="Iskoola Pota"/>
          <w:noProof/>
          <w:color w:val="auto"/>
          <w:sz w:val="24"/>
          <w:szCs w:val="24"/>
        </w:rPr>
        <mc:AlternateContent>
          <mc:Choice Requires="wps">
            <w:drawing>
              <wp:anchor distT="45720" distB="45720" distL="114300" distR="114300" simplePos="0" relativeHeight="251658240" behindDoc="0" locked="0" layoutInCell="1" allowOverlap="1" wp14:anchorId="4F1CD9FB" wp14:editId="3237F948">
                <wp:simplePos x="0" y="0"/>
                <wp:positionH relativeFrom="column">
                  <wp:posOffset>-577850</wp:posOffset>
                </wp:positionH>
                <wp:positionV relativeFrom="paragraph">
                  <wp:posOffset>242570</wp:posOffset>
                </wp:positionV>
                <wp:extent cx="6400800" cy="2082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082800"/>
                        </a:xfrm>
                        <a:prstGeom prst="rect">
                          <a:avLst/>
                        </a:prstGeom>
                        <a:noFill/>
                        <a:ln w="9525">
                          <a:noFill/>
                          <a:miter lim="800000"/>
                          <a:headEnd/>
                          <a:tailEnd/>
                        </a:ln>
                      </wps:spPr>
                      <wps:txbx>
                        <w:txbxContent>
                          <w:p w14:paraId="74707F44" w14:textId="77777777" w:rsidR="008D0E04" w:rsidRPr="0067108F" w:rsidRDefault="008D0E04" w:rsidP="008D0E04">
                            <w:pPr>
                              <w:spacing w:line="192" w:lineRule="auto"/>
                              <w:rPr>
                                <w:rFonts w:asciiTheme="majorHAnsi" w:hAnsiTheme="majorHAnsi" w:cstheme="majorHAnsi"/>
                                <w:b/>
                                <w:bCs/>
                                <w:color w:val="093266"/>
                                <w:sz w:val="88"/>
                                <w:szCs w:val="88"/>
                              </w:rPr>
                            </w:pPr>
                            <w:r w:rsidRPr="0067108F">
                              <w:rPr>
                                <w:rFonts w:asciiTheme="majorHAnsi" w:hAnsiTheme="majorHAnsi" w:cstheme="majorHAnsi"/>
                                <w:b/>
                                <w:bCs/>
                                <w:color w:val="093266"/>
                                <w:sz w:val="88"/>
                                <w:szCs w:val="88"/>
                              </w:rPr>
                              <w:t xml:space="preserve">Black Coal Mining Industry </w:t>
                            </w:r>
                          </w:p>
                          <w:p w14:paraId="1ACF4286" w14:textId="77777777" w:rsidR="008D0E04" w:rsidRPr="0067108F" w:rsidRDefault="008D0E04" w:rsidP="008D0E04">
                            <w:pPr>
                              <w:spacing w:line="240" w:lineRule="auto"/>
                              <w:rPr>
                                <w:rFonts w:cstheme="minorHAnsi"/>
                                <w:color w:val="093266"/>
                                <w:sz w:val="52"/>
                                <w:szCs w:val="52"/>
                              </w:rPr>
                            </w:pPr>
                            <w:r w:rsidRPr="0067108F">
                              <w:rPr>
                                <w:rFonts w:cstheme="minorHAnsi"/>
                                <w:color w:val="093266"/>
                                <w:sz w:val="52"/>
                                <w:szCs w:val="52"/>
                              </w:rPr>
                              <w:t>A Report on the Fair Work Ombudsman’s investigation under the Fair Work Act 2009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1CD9FB" id="_x0000_t202" coordsize="21600,21600" o:spt="202" path="m,l,21600r21600,l21600,xe">
                <v:stroke joinstyle="miter"/>
                <v:path gradientshapeok="t" o:connecttype="rect"/>
              </v:shapetype>
              <v:shape id="Text Box 2" o:spid="_x0000_s1026" type="#_x0000_t202" style="position:absolute;margin-left:-45.5pt;margin-top:19.1pt;width:7in;height:16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" filled="f" stroked="f">
                <v:textbox>
                  <w:txbxContent>
                    <w:p w14:paraId="74707F44" w14:textId="77777777" w:rsidR="008D0E04" w:rsidRPr="0067108F" w:rsidRDefault="008D0E04" w:rsidP="008D0E04">
                      <w:pPr>
                        <w:spacing w:line="192" w:lineRule="auto"/>
                        <w:rPr>
                          <w:rFonts w:asciiTheme="majorHAnsi" w:hAnsiTheme="majorHAnsi" w:cstheme="majorHAnsi"/>
                          <w:b/>
                          <w:bCs/>
                          <w:color w:val="093266"/>
                          <w:sz w:val="88"/>
                          <w:szCs w:val="88"/>
                        </w:rPr>
                      </w:pPr>
                      <w:r w:rsidRPr="0067108F">
                        <w:rPr>
                          <w:rFonts w:asciiTheme="majorHAnsi" w:hAnsiTheme="majorHAnsi" w:cstheme="majorHAnsi"/>
                          <w:b/>
                          <w:bCs/>
                          <w:color w:val="093266"/>
                          <w:sz w:val="88"/>
                          <w:szCs w:val="88"/>
                        </w:rPr>
                        <w:t xml:space="preserve">Black Coal Mining Industry </w:t>
                      </w:r>
                    </w:p>
                    <w:p w14:paraId="1ACF4286" w14:textId="77777777" w:rsidR="008D0E04" w:rsidRPr="0067108F" w:rsidRDefault="008D0E04" w:rsidP="008D0E04">
                      <w:pPr>
                        <w:spacing w:line="240" w:lineRule="auto"/>
                        <w:rPr>
                          <w:rFonts w:cstheme="minorHAnsi"/>
                          <w:color w:val="093266"/>
                          <w:sz w:val="52"/>
                          <w:szCs w:val="52"/>
                        </w:rPr>
                      </w:pPr>
                      <w:r w:rsidRPr="0067108F">
                        <w:rPr>
                          <w:rFonts w:cstheme="minorHAnsi"/>
                          <w:color w:val="093266"/>
                          <w:sz w:val="52"/>
                          <w:szCs w:val="52"/>
                        </w:rPr>
                        <w:t>A Report on the Fair Work Ombudsman’s investigation under the Fair Work Act 2009</w:t>
                      </w:r>
                    </w:p>
                  </w:txbxContent>
                </v:textbox>
                <w10:wrap type="square"/>
              </v:shape>
            </w:pict>
          </mc:Fallback>
        </mc:AlternateContent>
      </w:r>
    </w:p>
    <w:p w14:paraId="632F1B34" w14:textId="200AEB8A" w:rsidR="00E62158" w:rsidDel="00580AB5" w:rsidRDefault="00E62158" w:rsidP="000D02BD">
      <w:pPr>
        <w:rPr>
          <w:noProof/>
        </w:rPr>
      </w:pPr>
    </w:p>
    <w:p w14:paraId="501385C6" w14:textId="5DFAD630" w:rsidR="00E62158" w:rsidDel="00580AB5" w:rsidRDefault="00E62158" w:rsidP="000D02BD">
      <w:pPr>
        <w:rPr>
          <w:noProof/>
        </w:rPr>
      </w:pPr>
    </w:p>
    <w:p w14:paraId="4EF5BD2F" w14:textId="7AF7CD18" w:rsidR="00E62158" w:rsidDel="00580AB5" w:rsidRDefault="00E62158" w:rsidP="000D02BD">
      <w:pPr>
        <w:rPr>
          <w:noProof/>
        </w:rPr>
      </w:pPr>
    </w:p>
    <w:p w14:paraId="53C79B29" w14:textId="0F8413DF" w:rsidR="00E62158" w:rsidDel="00580AB5" w:rsidRDefault="00E62158" w:rsidP="000D02BD">
      <w:pPr>
        <w:rPr>
          <w:noProof/>
        </w:rPr>
      </w:pPr>
    </w:p>
    <w:p w14:paraId="102111FC" w14:textId="58FB191E" w:rsidR="00E62158" w:rsidDel="00580AB5" w:rsidRDefault="00E62158" w:rsidP="000D02BD">
      <w:pPr>
        <w:rPr>
          <w:noProof/>
        </w:rPr>
      </w:pPr>
    </w:p>
    <w:p w14:paraId="3E173A43" w14:textId="33FF7C33" w:rsidR="00E62158" w:rsidDel="00580AB5" w:rsidRDefault="00E62158" w:rsidP="000D02BD">
      <w:pPr>
        <w:rPr>
          <w:noProof/>
        </w:rPr>
      </w:pPr>
    </w:p>
    <w:p w14:paraId="0678BB4C" w14:textId="04AD798A" w:rsidR="00E62158" w:rsidDel="00580AB5" w:rsidRDefault="00E62158" w:rsidP="000D02BD">
      <w:pPr>
        <w:rPr>
          <w:noProof/>
        </w:rPr>
      </w:pPr>
    </w:p>
    <w:p w14:paraId="42EEC1D6" w14:textId="717F142A" w:rsidR="00E62158" w:rsidDel="00580AB5" w:rsidRDefault="00E62158" w:rsidP="000D02BD">
      <w:pPr>
        <w:rPr>
          <w:noProof/>
        </w:rPr>
      </w:pPr>
    </w:p>
    <w:p w14:paraId="75465970" w14:textId="33357F94" w:rsidR="00E62158" w:rsidDel="00580AB5" w:rsidRDefault="00E62158" w:rsidP="000D02BD">
      <w:pPr>
        <w:rPr>
          <w:noProof/>
        </w:rPr>
      </w:pPr>
    </w:p>
    <w:p w14:paraId="49A79C56" w14:textId="266C0F08" w:rsidR="00E62158" w:rsidDel="00580AB5" w:rsidRDefault="00E62158" w:rsidP="000D02BD">
      <w:pPr>
        <w:rPr>
          <w:noProof/>
        </w:rPr>
      </w:pPr>
    </w:p>
    <w:p w14:paraId="3CAD3742" w14:textId="1A897D93" w:rsidR="00E62158" w:rsidDel="00580AB5" w:rsidRDefault="00E62158" w:rsidP="000D02BD">
      <w:pPr>
        <w:rPr>
          <w:noProof/>
        </w:rPr>
      </w:pPr>
    </w:p>
    <w:p w14:paraId="5FEFE8EB" w14:textId="27A337D0" w:rsidR="00E62158" w:rsidDel="00580AB5" w:rsidRDefault="00E62158" w:rsidP="000D02BD">
      <w:pPr>
        <w:rPr>
          <w:noProof/>
        </w:rPr>
      </w:pPr>
    </w:p>
    <w:p w14:paraId="7F7965C1" w14:textId="77777777" w:rsidR="00E62158" w:rsidRDefault="00E62158" w:rsidP="000D02BD">
      <w:pPr>
        <w:rPr>
          <w:noProof/>
        </w:rPr>
      </w:pPr>
    </w:p>
    <w:p w14:paraId="700E4BB6" w14:textId="4518622A" w:rsidR="00580AB5" w:rsidRDefault="008D0E04" w:rsidP="000D02BD">
      <w:pPr>
        <w:spacing w:before="0"/>
        <w:rPr>
          <w:rFonts w:asciiTheme="majorHAnsi" w:eastAsiaTheme="majorEastAsia" w:hAnsiTheme="majorHAnsi" w:cstheme="majorBidi"/>
          <w:color w:val="1B365D" w:themeColor="text1"/>
          <w:sz w:val="32"/>
          <w:szCs w:val="32"/>
        </w:rPr>
      </w:pPr>
      <w:r>
        <w:rPr>
          <w:noProof/>
        </w:rPr>
        <mc:AlternateContent>
          <mc:Choice Requires="wps">
            <w:drawing>
              <wp:anchor distT="0" distB="0" distL="114300" distR="114300" simplePos="0" relativeHeight="251658241" behindDoc="0" locked="0" layoutInCell="1" allowOverlap="1" wp14:anchorId="35F9D682" wp14:editId="3A40AFFF">
                <wp:simplePos x="0" y="0"/>
                <wp:positionH relativeFrom="column">
                  <wp:posOffset>-469900</wp:posOffset>
                </wp:positionH>
                <wp:positionV relativeFrom="paragraph">
                  <wp:posOffset>1593215</wp:posOffset>
                </wp:positionV>
                <wp:extent cx="5638800" cy="650413"/>
                <wp:effectExtent l="0" t="0" r="0" b="0"/>
                <wp:wrapNone/>
                <wp:docPr id="788866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650413"/>
                        </a:xfrm>
                        <a:prstGeom prst="rect">
                          <a:avLst/>
                        </a:prstGeom>
                        <a:noFill/>
                        <a:ln w="9525">
                          <a:noFill/>
                          <a:miter lim="800000"/>
                          <a:headEnd/>
                          <a:tailEnd/>
                        </a:ln>
                      </wps:spPr>
                      <wps:txbx>
                        <w:txbxContent>
                          <w:p w14:paraId="5D23D2FF" w14:textId="77777777" w:rsidR="008D0E04" w:rsidRPr="0067108F" w:rsidRDefault="008D0E04" w:rsidP="008D0E04">
                            <w:pPr>
                              <w:spacing w:line="240" w:lineRule="auto"/>
                              <w:rPr>
                                <w:rFonts w:ascii="Calibri" w:hAnsi="Calibri" w:cs="Calibri"/>
                                <w:color w:val="1B365D" w:themeColor="text1"/>
                                <w:sz w:val="18"/>
                                <w:szCs w:val="18"/>
                              </w:rPr>
                            </w:pPr>
                            <w:r w:rsidRPr="0067108F">
                              <w:rPr>
                                <w:rFonts w:ascii="Calibri" w:hAnsi="Calibri" w:cs="Calibri"/>
                                <w:color w:val="1B365D" w:themeColor="text1"/>
                                <w:sz w:val="18"/>
                                <w:szCs w:val="18"/>
                              </w:rPr>
                              <w:t>October 2026</w:t>
                            </w:r>
                          </w:p>
                          <w:p w14:paraId="426268B6" w14:textId="77777777" w:rsidR="008D0E04" w:rsidRPr="0067108F" w:rsidRDefault="008D0E04" w:rsidP="008D0E04">
                            <w:pPr>
                              <w:spacing w:line="240" w:lineRule="auto"/>
                              <w:rPr>
                                <w:rFonts w:ascii="Calibri" w:hAnsi="Calibri" w:cs="Calibri"/>
                                <w:color w:val="1B365D" w:themeColor="text1"/>
                                <w:sz w:val="18"/>
                                <w:szCs w:val="18"/>
                              </w:rPr>
                            </w:pPr>
                            <w:r w:rsidRPr="0067108F">
                              <w:rPr>
                                <w:rStyle w:val="SubtitleChar"/>
                                <w:rFonts w:ascii="Calibri" w:hAnsi="Calibri" w:cs="Calibri"/>
                                <w:color w:val="1B365D" w:themeColor="text1"/>
                                <w:sz w:val="18"/>
                                <w:szCs w:val="18"/>
                              </w:rPr>
                              <w:t xml:space="preserve">© </w:t>
                            </w:r>
                            <w:r w:rsidRPr="0067108F">
                              <w:rPr>
                                <w:color w:val="1B365D" w:themeColor="text1"/>
                                <w:sz w:val="18"/>
                                <w:szCs w:val="18"/>
                              </w:rPr>
                              <w:t>Commonwealth of Australia</w:t>
                            </w:r>
                          </w:p>
                          <w:p w14:paraId="5457F36B" w14:textId="77777777" w:rsidR="008D0E04" w:rsidRPr="00E31322" w:rsidRDefault="008D0E04" w:rsidP="008D0E04">
                            <w:pPr>
                              <w:spacing w:line="240" w:lineRule="auto"/>
                              <w:rPr>
                                <w:color w:val="1B365D" w:themeColor="text1"/>
                                <w:sz w:val="56"/>
                                <w:szCs w:val="56"/>
                              </w:rPr>
                            </w:pPr>
                          </w:p>
                        </w:txbxContent>
                      </wps:txbx>
                      <wps:bodyPr rot="0" vert="horz" wrap="square" lIns="91440" tIns="45720" rIns="91440" bIns="45720" anchor="t" anchorCtr="0">
                        <a:noAutofit/>
                      </wps:bodyPr>
                    </wps:wsp>
                  </a:graphicData>
                </a:graphic>
              </wp:anchor>
            </w:drawing>
          </mc:Choice>
          <mc:Fallback>
            <w:pict>
              <v:shape w14:anchorId="35F9D682" id="_x0000_s1027" type="#_x0000_t202" style="position:absolute;margin-left:-37pt;margin-top:125.45pt;width:444pt;height:51.2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" filled="f" stroked="f">
                <v:textbox>
                  <w:txbxContent>
                    <w:p w14:paraId="5D23D2FF" w14:textId="77777777" w:rsidR="008D0E04" w:rsidRPr="0067108F" w:rsidRDefault="008D0E04" w:rsidP="008D0E04">
                      <w:pPr>
                        <w:spacing w:line="240" w:lineRule="auto"/>
                        <w:rPr>
                          <w:rFonts w:ascii="Calibri" w:hAnsi="Calibri" w:cs="Calibri"/>
                          <w:color w:val="1B365D" w:themeColor="text1"/>
                          <w:sz w:val="18"/>
                          <w:szCs w:val="18"/>
                        </w:rPr>
                      </w:pPr>
                      <w:r w:rsidRPr="0067108F">
                        <w:rPr>
                          <w:rFonts w:ascii="Calibri" w:hAnsi="Calibri" w:cs="Calibri"/>
                          <w:color w:val="1B365D" w:themeColor="text1"/>
                          <w:sz w:val="18"/>
                          <w:szCs w:val="18"/>
                        </w:rPr>
                        <w:t>October 2026</w:t>
                      </w:r>
                    </w:p>
                    <w:p w14:paraId="426268B6" w14:textId="77777777" w:rsidR="008D0E04" w:rsidRPr="0067108F" w:rsidRDefault="008D0E04" w:rsidP="008D0E04">
                      <w:pPr>
                        <w:spacing w:line="240" w:lineRule="auto"/>
                        <w:rPr>
                          <w:rFonts w:ascii="Calibri" w:hAnsi="Calibri" w:cs="Calibri"/>
                          <w:color w:val="1B365D" w:themeColor="text1"/>
                          <w:sz w:val="18"/>
                          <w:szCs w:val="18"/>
                        </w:rPr>
                      </w:pPr>
                      <w:r w:rsidRPr="0067108F">
                        <w:rPr>
                          <w:rStyle w:val="SubtitleChar"/>
                          <w:rFonts w:ascii="Calibri" w:hAnsi="Calibri" w:cs="Calibri"/>
                          <w:color w:val="1B365D" w:themeColor="text1"/>
                          <w:sz w:val="18"/>
                          <w:szCs w:val="18"/>
                        </w:rPr>
                        <w:t xml:space="preserve">© </w:t>
                      </w:r>
                      <w:r w:rsidRPr="0067108F">
                        <w:rPr>
                          <w:color w:val="1B365D" w:themeColor="text1"/>
                          <w:sz w:val="18"/>
                          <w:szCs w:val="18"/>
                        </w:rPr>
                        <w:t>Commonwealth of Australia</w:t>
                      </w:r>
                    </w:p>
                    <w:p w14:paraId="5457F36B" w14:textId="77777777" w:rsidR="008D0E04" w:rsidRPr="00E31322" w:rsidRDefault="008D0E04" w:rsidP="008D0E04">
                      <w:pPr>
                        <w:spacing w:line="240" w:lineRule="auto"/>
                        <w:rPr>
                          <w:color w:val="1B365D" w:themeColor="text1"/>
                          <w:sz w:val="56"/>
                          <w:szCs w:val="56"/>
                        </w:rPr>
                      </w:pPr>
                    </w:p>
                  </w:txbxContent>
                </v:textbox>
              </v:shape>
            </w:pict>
          </mc:Fallback>
        </mc:AlternateContent>
      </w:r>
      <w:r w:rsidR="00580AB5">
        <w:br w:type="page"/>
      </w:r>
    </w:p>
    <w:p w14:paraId="1DB43872" w14:textId="641DD5F0" w:rsidR="70825CF3" w:rsidRDefault="70825CF3" w:rsidP="000D02BD">
      <w:pPr>
        <w:spacing w:after="120" w:line="240" w:lineRule="auto"/>
      </w:pPr>
      <w:r>
        <w:lastRenderedPageBreak/>
        <w:t xml:space="preserve">The Fair Work Ombudsman acknowledges the Traditional Custodians of Country throughout Australia and their continuing connection to land, waters, skies, and community. </w:t>
      </w:r>
    </w:p>
    <w:p w14:paraId="6FC757B6" w14:textId="1224D49C" w:rsidR="1CDFB183" w:rsidRDefault="1CDFB183" w:rsidP="000D02BD">
      <w:pPr>
        <w:spacing w:after="120" w:line="240" w:lineRule="auto"/>
      </w:pPr>
      <w:r>
        <w:t>We pay our respect to them, their Cultures, and Elders past and present, and extend that respect to all Aboriginal and Torres Strait Islander people today.</w:t>
      </w:r>
    </w:p>
    <w:p w14:paraId="6BE8896F" w14:textId="77777777" w:rsidR="00822C88" w:rsidRDefault="00822C88" w:rsidP="000D02BD">
      <w:pPr>
        <w:spacing w:after="120" w:line="240" w:lineRule="auto"/>
      </w:pPr>
    </w:p>
    <w:p w14:paraId="02FF04ED" w14:textId="6643FC01" w:rsidR="1CDFB183" w:rsidRDefault="1CDFB183" w:rsidP="000D02BD">
      <w:pPr>
        <w:spacing w:after="120" w:line="240" w:lineRule="auto"/>
      </w:pPr>
      <w:r>
        <w:rPr>
          <w:noProof/>
        </w:rPr>
        <w:drawing>
          <wp:inline distT="0" distB="0" distL="0" distR="0" wp14:anchorId="2041CB78" wp14:editId="4885F8E9">
            <wp:extent cx="2708031" cy="3696915"/>
            <wp:effectExtent l="0" t="0" r="0" b="0"/>
            <wp:docPr id="433288939" name="Picture 1" descr="artwork by Timothy Buck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88939" name="Picture 1" descr="artwork by Timothy Buckley"/>
                    <pic:cNvPicPr/>
                  </pic:nvPicPr>
                  <pic:blipFill>
                    <a:blip r:embed="rId8">
                      <a:extLst>
                        <a:ext uri="{28A0092B-C50C-407E-A947-70E740481C1C}">
                          <a14:useLocalDpi xmlns:a14="http://schemas.microsoft.com/office/drawing/2010/main" val="0"/>
                        </a:ext>
                      </a:extLst>
                    </a:blip>
                    <a:stretch>
                      <a:fillRect/>
                    </a:stretch>
                  </pic:blipFill>
                  <pic:spPr>
                    <a:xfrm>
                      <a:off x="0" y="0"/>
                      <a:ext cx="2708031" cy="3696915"/>
                    </a:xfrm>
                    <a:prstGeom prst="rect">
                      <a:avLst/>
                    </a:prstGeom>
                  </pic:spPr>
                </pic:pic>
              </a:graphicData>
            </a:graphic>
          </wp:inline>
        </w:drawing>
      </w:r>
    </w:p>
    <w:p w14:paraId="2A2037D4" w14:textId="6D9FC731" w:rsidR="21E0B633" w:rsidRDefault="21E0B633" w:rsidP="000D02BD">
      <w:pPr>
        <w:spacing w:after="120" w:line="240" w:lineRule="auto"/>
      </w:pPr>
    </w:p>
    <w:p w14:paraId="1200E41B" w14:textId="770FF00F" w:rsidR="70825CF3" w:rsidRDefault="70825CF3" w:rsidP="000D02BD">
      <w:pPr>
        <w:rPr>
          <w:b/>
          <w:bCs/>
        </w:rPr>
      </w:pPr>
      <w:r w:rsidRPr="21E0B633">
        <w:rPr>
          <w:b/>
          <w:bCs/>
        </w:rPr>
        <w:t>Our artwork: Stepping forward</w:t>
      </w:r>
    </w:p>
    <w:p w14:paraId="5B4799DE" w14:textId="1930D316" w:rsidR="70825CF3" w:rsidRDefault="70825CF3" w:rsidP="000D02BD">
      <w:pPr>
        <w:spacing w:after="120" w:line="240" w:lineRule="auto"/>
      </w:pPr>
      <w:r>
        <w:t xml:space="preserve">Stepping forward represents taking the next step on the journey towards reconciliation and the potential possible when everyone is included. </w:t>
      </w:r>
    </w:p>
    <w:p w14:paraId="0D10AD96" w14:textId="3A8E4EEE" w:rsidR="70825CF3" w:rsidRDefault="70825CF3" w:rsidP="000D02BD">
      <w:pPr>
        <w:spacing w:after="120" w:line="240" w:lineRule="auto"/>
      </w:pPr>
      <w:r>
        <w:t>Connecting with diverse peoples; meeting, listening</w:t>
      </w:r>
      <w:r w:rsidR="206BFB70">
        <w:t xml:space="preserve"> </w:t>
      </w:r>
      <w:r>
        <w:t>and sharing together, can build respect and trust. Working in concert for a common purpose and</w:t>
      </w:r>
      <w:r w:rsidR="4FB05913">
        <w:t xml:space="preserve"> </w:t>
      </w:r>
      <w:r>
        <w:t>united in the mission to make meaningful change.</w:t>
      </w:r>
    </w:p>
    <w:p w14:paraId="0D146488" w14:textId="751A38FA" w:rsidR="70825CF3" w:rsidRDefault="70825CF3" w:rsidP="000D02BD">
      <w:pPr>
        <w:spacing w:before="0" w:after="0" w:line="240" w:lineRule="auto"/>
      </w:pPr>
      <w:r>
        <w:t>It serves as a reminder of the dynamism and</w:t>
      </w:r>
      <w:r w:rsidR="47F0AD35">
        <w:t xml:space="preserve"> </w:t>
      </w:r>
      <w:r>
        <w:t>vibrancy of First Nations peoples and the lands from</w:t>
      </w:r>
    </w:p>
    <w:p w14:paraId="19139558" w14:textId="08DC2FA7" w:rsidR="70825CF3" w:rsidRDefault="70825CF3" w:rsidP="000D02BD">
      <w:pPr>
        <w:spacing w:before="0" w:after="0" w:line="240" w:lineRule="auto"/>
      </w:pPr>
      <w:r>
        <w:t>which they come, making the emergence of new</w:t>
      </w:r>
      <w:r w:rsidR="02C6683F">
        <w:t xml:space="preserve"> </w:t>
      </w:r>
      <w:r>
        <w:t>ideas and ways of being possible that enables the</w:t>
      </w:r>
      <w:r w:rsidR="5E453D2B">
        <w:t xml:space="preserve"> </w:t>
      </w:r>
      <w:r>
        <w:t>envisioning of a brighter future.</w:t>
      </w:r>
    </w:p>
    <w:p w14:paraId="2187DAE1" w14:textId="39888E85" w:rsidR="21E0B633" w:rsidRDefault="21E0B633" w:rsidP="000D02BD">
      <w:pPr>
        <w:spacing w:after="120" w:line="240" w:lineRule="auto"/>
        <w:rPr>
          <w:b/>
          <w:bCs/>
        </w:rPr>
      </w:pPr>
    </w:p>
    <w:p w14:paraId="052FDC9D" w14:textId="09526F3C" w:rsidR="70825CF3" w:rsidRDefault="70825CF3" w:rsidP="000D02BD">
      <w:pPr>
        <w:spacing w:after="120" w:line="240" w:lineRule="auto"/>
      </w:pPr>
      <w:r w:rsidRPr="21E0B633">
        <w:rPr>
          <w:b/>
          <w:bCs/>
        </w:rPr>
        <w:t xml:space="preserve">Artist: </w:t>
      </w:r>
      <w:r>
        <w:t>Timothy Buckley</w:t>
      </w:r>
    </w:p>
    <w:p w14:paraId="651E38A8" w14:textId="77777777" w:rsidR="00C85390" w:rsidRDefault="00C85390" w:rsidP="000D02BD">
      <w:pPr>
        <w:spacing w:after="120" w:line="240" w:lineRule="auto"/>
      </w:pPr>
    </w:p>
    <w:p w14:paraId="1383DD60" w14:textId="77777777" w:rsidR="00C85390" w:rsidRDefault="00C85390" w:rsidP="000D02BD">
      <w:pPr>
        <w:spacing w:after="120" w:line="240" w:lineRule="auto"/>
      </w:pPr>
    </w:p>
    <w:p w14:paraId="2F4079D2" w14:textId="77777777" w:rsidR="00C85390" w:rsidRDefault="00C85390" w:rsidP="000D02BD">
      <w:pPr>
        <w:spacing w:after="120" w:line="240" w:lineRule="auto"/>
      </w:pPr>
    </w:p>
    <w:p w14:paraId="4FCE1ABD" w14:textId="77777777" w:rsidR="00C85390" w:rsidRDefault="00C85390" w:rsidP="000D02BD">
      <w:pPr>
        <w:spacing w:after="120" w:line="240" w:lineRule="auto"/>
      </w:pPr>
    </w:p>
    <w:p w14:paraId="3179001E" w14:textId="0670E8D6" w:rsidR="15044756" w:rsidRDefault="15044756" w:rsidP="000D02BD"/>
    <w:sdt>
      <w:sdtPr>
        <w:rPr>
          <w:rFonts w:asciiTheme="minorHAnsi" w:eastAsiaTheme="minorHAnsi" w:hAnsiTheme="minorHAnsi" w:cstheme="minorBidi"/>
          <w:color w:val="000000"/>
          <w:kern w:val="2"/>
          <w:sz w:val="22"/>
          <w:szCs w:val="22"/>
          <w:lang w:val="en-AU"/>
          <w14:ligatures w14:val="standardContextual"/>
        </w:rPr>
        <w:id w:val="1337260481"/>
        <w:docPartObj>
          <w:docPartGallery w:val="Table of Contents"/>
          <w:docPartUnique/>
        </w:docPartObj>
      </w:sdtPr>
      <w:sdtEndPr>
        <w:rPr>
          <w:b/>
          <w:bCs/>
          <w:noProof/>
        </w:rPr>
      </w:sdtEndPr>
      <w:sdtContent>
        <w:p w14:paraId="47E85223" w14:textId="3642483E" w:rsidR="00351868" w:rsidRPr="0067108F" w:rsidRDefault="00351868" w:rsidP="000D02BD">
          <w:pPr>
            <w:pStyle w:val="TOCHeading"/>
            <w:spacing w:after="240"/>
            <w:rPr>
              <w:rStyle w:val="Heading1Char"/>
            </w:rPr>
          </w:pPr>
          <w:r w:rsidRPr="0067108F">
            <w:rPr>
              <w:rStyle w:val="Heading1Char"/>
            </w:rPr>
            <w:t>Contents</w:t>
          </w:r>
        </w:p>
        <w:p w14:paraId="798B6CA1" w14:textId="0EC60703" w:rsidR="005A4F83" w:rsidRDefault="00351868" w:rsidP="000D02BD">
          <w:pPr>
            <w:pStyle w:val="TOC1"/>
            <w:tabs>
              <w:tab w:val="right" w:leader="dot" w:pos="9016"/>
            </w:tabs>
            <w:rPr>
              <w:rFonts w:eastAsiaTheme="minorEastAsia"/>
              <w:noProof/>
              <w:color w:val="auto"/>
              <w:sz w:val="24"/>
              <w:szCs w:val="24"/>
              <w:lang w:eastAsia="en-AU"/>
            </w:rPr>
          </w:pPr>
          <w:r>
            <w:fldChar w:fldCharType="begin"/>
          </w:r>
          <w:r>
            <w:instrText xml:space="preserve"> TOC \o "1-3" \h \z \u </w:instrText>
          </w:r>
          <w:r>
            <w:fldChar w:fldCharType="separate"/>
          </w:r>
          <w:hyperlink w:anchor="_Toc240378421" w:history="1">
            <w:r w:rsidR="005A4F83" w:rsidRPr="00161B67">
              <w:rPr>
                <w:rStyle w:val="Hyperlink"/>
                <w:noProof/>
              </w:rPr>
              <w:t>Background</w:t>
            </w:r>
            <w:r w:rsidR="005A4F83">
              <w:rPr>
                <w:noProof/>
                <w:webHidden/>
              </w:rPr>
              <w:tab/>
            </w:r>
            <w:r w:rsidR="005A4F83">
              <w:rPr>
                <w:noProof/>
                <w:webHidden/>
              </w:rPr>
              <w:fldChar w:fldCharType="begin"/>
            </w:r>
            <w:r w:rsidR="005A4F83">
              <w:rPr>
                <w:noProof/>
                <w:webHidden/>
              </w:rPr>
              <w:instrText xml:space="preserve"> PAGEREF _Toc240378421 \h </w:instrText>
            </w:r>
            <w:r w:rsidR="005A4F83">
              <w:rPr>
                <w:noProof/>
                <w:webHidden/>
              </w:rPr>
            </w:r>
            <w:r w:rsidR="005A4F83">
              <w:rPr>
                <w:noProof/>
                <w:webHidden/>
              </w:rPr>
              <w:fldChar w:fldCharType="separate"/>
            </w:r>
            <w:r w:rsidR="005A4F83">
              <w:rPr>
                <w:noProof/>
                <w:webHidden/>
              </w:rPr>
              <w:t>4</w:t>
            </w:r>
            <w:r w:rsidR="005A4F83">
              <w:rPr>
                <w:noProof/>
                <w:webHidden/>
              </w:rPr>
              <w:fldChar w:fldCharType="end"/>
            </w:r>
          </w:hyperlink>
        </w:p>
        <w:p w14:paraId="74D361A2" w14:textId="677D518F" w:rsidR="005A4F83" w:rsidRDefault="005A4F83" w:rsidP="000D02BD">
          <w:pPr>
            <w:pStyle w:val="TOC1"/>
            <w:tabs>
              <w:tab w:val="right" w:leader="dot" w:pos="9016"/>
            </w:tabs>
            <w:rPr>
              <w:rFonts w:eastAsiaTheme="minorEastAsia"/>
              <w:noProof/>
              <w:color w:val="auto"/>
              <w:sz w:val="24"/>
              <w:szCs w:val="24"/>
              <w:lang w:eastAsia="en-AU"/>
            </w:rPr>
          </w:pPr>
          <w:hyperlink w:anchor="_Toc240378422" w:history="1">
            <w:r w:rsidRPr="00161B67">
              <w:rPr>
                <w:rStyle w:val="Hyperlink"/>
                <w:noProof/>
              </w:rPr>
              <w:t>Objective</w:t>
            </w:r>
            <w:r>
              <w:rPr>
                <w:noProof/>
                <w:webHidden/>
              </w:rPr>
              <w:tab/>
            </w:r>
            <w:r>
              <w:rPr>
                <w:noProof/>
                <w:webHidden/>
              </w:rPr>
              <w:fldChar w:fldCharType="begin"/>
            </w:r>
            <w:r>
              <w:rPr>
                <w:noProof/>
                <w:webHidden/>
              </w:rPr>
              <w:instrText xml:space="preserve"> PAGEREF _Toc240378422 \h </w:instrText>
            </w:r>
            <w:r>
              <w:rPr>
                <w:noProof/>
                <w:webHidden/>
              </w:rPr>
            </w:r>
            <w:r>
              <w:rPr>
                <w:noProof/>
                <w:webHidden/>
              </w:rPr>
              <w:fldChar w:fldCharType="separate"/>
            </w:r>
            <w:r>
              <w:rPr>
                <w:noProof/>
                <w:webHidden/>
              </w:rPr>
              <w:t>4</w:t>
            </w:r>
            <w:r>
              <w:rPr>
                <w:noProof/>
                <w:webHidden/>
              </w:rPr>
              <w:fldChar w:fldCharType="end"/>
            </w:r>
          </w:hyperlink>
        </w:p>
        <w:p w14:paraId="6C557B82" w14:textId="4423867E" w:rsidR="005A4F83" w:rsidRDefault="005A4F83" w:rsidP="000D02BD">
          <w:pPr>
            <w:pStyle w:val="TOC2"/>
            <w:tabs>
              <w:tab w:val="right" w:leader="dot" w:pos="9016"/>
            </w:tabs>
            <w:rPr>
              <w:rFonts w:eastAsiaTheme="minorEastAsia"/>
              <w:noProof/>
              <w:color w:val="auto"/>
              <w:sz w:val="24"/>
              <w:szCs w:val="24"/>
              <w:lang w:eastAsia="en-AU"/>
            </w:rPr>
          </w:pPr>
          <w:hyperlink w:anchor="_Toc240378423" w:history="1">
            <w:r w:rsidRPr="00161B67">
              <w:rPr>
                <w:rStyle w:val="Hyperlink"/>
                <w:noProof/>
              </w:rPr>
              <w:t>Enhancing awareness of the investigation</w:t>
            </w:r>
            <w:r>
              <w:rPr>
                <w:noProof/>
                <w:webHidden/>
              </w:rPr>
              <w:tab/>
            </w:r>
            <w:r>
              <w:rPr>
                <w:noProof/>
                <w:webHidden/>
              </w:rPr>
              <w:fldChar w:fldCharType="begin"/>
            </w:r>
            <w:r>
              <w:rPr>
                <w:noProof/>
                <w:webHidden/>
              </w:rPr>
              <w:instrText xml:space="preserve"> PAGEREF _Toc240378423 \h </w:instrText>
            </w:r>
            <w:r>
              <w:rPr>
                <w:noProof/>
                <w:webHidden/>
              </w:rPr>
            </w:r>
            <w:r>
              <w:rPr>
                <w:noProof/>
                <w:webHidden/>
              </w:rPr>
              <w:fldChar w:fldCharType="separate"/>
            </w:r>
            <w:r>
              <w:rPr>
                <w:noProof/>
                <w:webHidden/>
              </w:rPr>
              <w:t>4</w:t>
            </w:r>
            <w:r>
              <w:rPr>
                <w:noProof/>
                <w:webHidden/>
              </w:rPr>
              <w:fldChar w:fldCharType="end"/>
            </w:r>
          </w:hyperlink>
        </w:p>
        <w:p w14:paraId="26702D94" w14:textId="5EB863C9" w:rsidR="005A4F83" w:rsidRDefault="005A4F83" w:rsidP="000D02BD">
          <w:pPr>
            <w:pStyle w:val="TOC2"/>
            <w:tabs>
              <w:tab w:val="right" w:leader="dot" w:pos="9016"/>
            </w:tabs>
            <w:rPr>
              <w:rFonts w:eastAsiaTheme="minorEastAsia"/>
              <w:noProof/>
              <w:color w:val="auto"/>
              <w:sz w:val="24"/>
              <w:szCs w:val="24"/>
              <w:lang w:eastAsia="en-AU"/>
            </w:rPr>
          </w:pPr>
          <w:hyperlink w:anchor="_Toc240378424" w:history="1">
            <w:r w:rsidRPr="00161B67">
              <w:rPr>
                <w:rStyle w:val="Hyperlink"/>
                <w:noProof/>
              </w:rPr>
              <w:t>Investigation Description</w:t>
            </w:r>
            <w:r>
              <w:rPr>
                <w:noProof/>
                <w:webHidden/>
              </w:rPr>
              <w:tab/>
            </w:r>
            <w:r>
              <w:rPr>
                <w:noProof/>
                <w:webHidden/>
              </w:rPr>
              <w:fldChar w:fldCharType="begin"/>
            </w:r>
            <w:r>
              <w:rPr>
                <w:noProof/>
                <w:webHidden/>
              </w:rPr>
              <w:instrText xml:space="preserve"> PAGEREF _Toc240378424 \h </w:instrText>
            </w:r>
            <w:r>
              <w:rPr>
                <w:noProof/>
                <w:webHidden/>
              </w:rPr>
            </w:r>
            <w:r>
              <w:rPr>
                <w:noProof/>
                <w:webHidden/>
              </w:rPr>
              <w:fldChar w:fldCharType="separate"/>
            </w:r>
            <w:r>
              <w:rPr>
                <w:noProof/>
                <w:webHidden/>
              </w:rPr>
              <w:t>4</w:t>
            </w:r>
            <w:r>
              <w:rPr>
                <w:noProof/>
                <w:webHidden/>
              </w:rPr>
              <w:fldChar w:fldCharType="end"/>
            </w:r>
          </w:hyperlink>
        </w:p>
        <w:p w14:paraId="38914A47" w14:textId="37AD3A23" w:rsidR="005A4F83" w:rsidRDefault="005A4F83" w:rsidP="000D02BD">
          <w:pPr>
            <w:pStyle w:val="TOC2"/>
            <w:tabs>
              <w:tab w:val="right" w:leader="dot" w:pos="9016"/>
            </w:tabs>
            <w:rPr>
              <w:rFonts w:eastAsiaTheme="minorEastAsia"/>
              <w:noProof/>
              <w:color w:val="auto"/>
              <w:sz w:val="24"/>
              <w:szCs w:val="24"/>
              <w:lang w:eastAsia="en-AU"/>
            </w:rPr>
          </w:pPr>
          <w:hyperlink w:anchor="_Toc240378425" w:history="1">
            <w:r w:rsidRPr="00161B67">
              <w:rPr>
                <w:rStyle w:val="Hyperlink"/>
                <w:noProof/>
              </w:rPr>
              <w:t>Characterisation of investigation cohorts</w:t>
            </w:r>
            <w:r>
              <w:rPr>
                <w:noProof/>
                <w:webHidden/>
              </w:rPr>
              <w:tab/>
            </w:r>
            <w:r>
              <w:rPr>
                <w:noProof/>
                <w:webHidden/>
              </w:rPr>
              <w:fldChar w:fldCharType="begin"/>
            </w:r>
            <w:r>
              <w:rPr>
                <w:noProof/>
                <w:webHidden/>
              </w:rPr>
              <w:instrText xml:space="preserve"> PAGEREF _Toc240378425 \h </w:instrText>
            </w:r>
            <w:r>
              <w:rPr>
                <w:noProof/>
                <w:webHidden/>
              </w:rPr>
            </w:r>
            <w:r>
              <w:rPr>
                <w:noProof/>
                <w:webHidden/>
              </w:rPr>
              <w:fldChar w:fldCharType="separate"/>
            </w:r>
            <w:r>
              <w:rPr>
                <w:noProof/>
                <w:webHidden/>
              </w:rPr>
              <w:t>5</w:t>
            </w:r>
            <w:r>
              <w:rPr>
                <w:noProof/>
                <w:webHidden/>
              </w:rPr>
              <w:fldChar w:fldCharType="end"/>
            </w:r>
          </w:hyperlink>
        </w:p>
        <w:p w14:paraId="38DB5285" w14:textId="00CBBEC1" w:rsidR="005A4F83" w:rsidRDefault="005A4F83" w:rsidP="000D02BD">
          <w:pPr>
            <w:pStyle w:val="TOC3"/>
            <w:tabs>
              <w:tab w:val="left" w:pos="960"/>
              <w:tab w:val="right" w:leader="dot" w:pos="9016"/>
            </w:tabs>
            <w:rPr>
              <w:noProof/>
            </w:rPr>
          </w:pPr>
          <w:hyperlink w:anchor="_Toc240378426" w:history="1">
            <w:r w:rsidRPr="00161B67">
              <w:rPr>
                <w:rStyle w:val="Hyperlink"/>
                <w:noProof/>
              </w:rPr>
              <w:t>1.</w:t>
            </w:r>
            <w:r>
              <w:rPr>
                <w:noProof/>
              </w:rPr>
              <w:tab/>
            </w:r>
            <w:r w:rsidRPr="00161B67">
              <w:rPr>
                <w:rStyle w:val="Hyperlink"/>
                <w:noProof/>
              </w:rPr>
              <w:t>The role of the BCMI Award and enterprise agreements in the BCMI</w:t>
            </w:r>
            <w:r>
              <w:rPr>
                <w:noProof/>
                <w:webHidden/>
              </w:rPr>
              <w:tab/>
            </w:r>
            <w:r>
              <w:rPr>
                <w:noProof/>
                <w:webHidden/>
              </w:rPr>
              <w:fldChar w:fldCharType="begin"/>
            </w:r>
            <w:r>
              <w:rPr>
                <w:noProof/>
                <w:webHidden/>
              </w:rPr>
              <w:instrText xml:space="preserve"> PAGEREF _Toc240378426 \h </w:instrText>
            </w:r>
            <w:r>
              <w:rPr>
                <w:noProof/>
                <w:webHidden/>
              </w:rPr>
            </w:r>
            <w:r>
              <w:rPr>
                <w:noProof/>
                <w:webHidden/>
              </w:rPr>
              <w:fldChar w:fldCharType="separate"/>
            </w:r>
            <w:r>
              <w:rPr>
                <w:noProof/>
                <w:webHidden/>
              </w:rPr>
              <w:t>5</w:t>
            </w:r>
            <w:r>
              <w:rPr>
                <w:noProof/>
                <w:webHidden/>
              </w:rPr>
              <w:fldChar w:fldCharType="end"/>
            </w:r>
          </w:hyperlink>
        </w:p>
        <w:p w14:paraId="50F99228" w14:textId="73768AE6" w:rsidR="005A4F83" w:rsidRDefault="005A4F83" w:rsidP="000D02BD">
          <w:pPr>
            <w:pStyle w:val="TOC3"/>
            <w:tabs>
              <w:tab w:val="left" w:pos="960"/>
              <w:tab w:val="right" w:leader="dot" w:pos="9016"/>
            </w:tabs>
            <w:rPr>
              <w:noProof/>
            </w:rPr>
          </w:pPr>
          <w:hyperlink w:anchor="_Toc240378427" w:history="1">
            <w:r w:rsidRPr="00161B67">
              <w:rPr>
                <w:rStyle w:val="Hyperlink"/>
                <w:noProof/>
              </w:rPr>
              <w:t>2.</w:t>
            </w:r>
            <w:r>
              <w:rPr>
                <w:noProof/>
              </w:rPr>
              <w:tab/>
            </w:r>
            <w:r w:rsidRPr="00161B67">
              <w:rPr>
                <w:rStyle w:val="Hyperlink"/>
                <w:noProof/>
              </w:rPr>
              <w:t>Engagement and classification of workers as casual employees in the BCMI</w:t>
            </w:r>
            <w:r>
              <w:rPr>
                <w:noProof/>
                <w:webHidden/>
              </w:rPr>
              <w:tab/>
            </w:r>
            <w:r>
              <w:rPr>
                <w:noProof/>
                <w:webHidden/>
              </w:rPr>
              <w:fldChar w:fldCharType="begin"/>
            </w:r>
            <w:r>
              <w:rPr>
                <w:noProof/>
                <w:webHidden/>
              </w:rPr>
              <w:instrText xml:space="preserve"> PAGEREF _Toc240378427 \h </w:instrText>
            </w:r>
            <w:r>
              <w:rPr>
                <w:noProof/>
                <w:webHidden/>
              </w:rPr>
            </w:r>
            <w:r>
              <w:rPr>
                <w:noProof/>
                <w:webHidden/>
              </w:rPr>
              <w:fldChar w:fldCharType="separate"/>
            </w:r>
            <w:r>
              <w:rPr>
                <w:noProof/>
                <w:webHidden/>
              </w:rPr>
              <w:t>7</w:t>
            </w:r>
            <w:r>
              <w:rPr>
                <w:noProof/>
                <w:webHidden/>
              </w:rPr>
              <w:fldChar w:fldCharType="end"/>
            </w:r>
          </w:hyperlink>
        </w:p>
        <w:p w14:paraId="1168DA35" w14:textId="25A3D02E" w:rsidR="005A4F83" w:rsidRDefault="005A4F83" w:rsidP="000D02BD">
          <w:pPr>
            <w:pStyle w:val="TOC2"/>
            <w:tabs>
              <w:tab w:val="right" w:leader="dot" w:pos="9016"/>
            </w:tabs>
            <w:rPr>
              <w:rFonts w:eastAsiaTheme="minorEastAsia"/>
              <w:noProof/>
              <w:color w:val="auto"/>
              <w:sz w:val="24"/>
              <w:szCs w:val="24"/>
              <w:lang w:eastAsia="en-AU"/>
            </w:rPr>
          </w:pPr>
          <w:hyperlink w:anchor="_Toc240378428" w:history="1">
            <w:r w:rsidRPr="00161B67">
              <w:rPr>
                <w:rStyle w:val="Hyperlink"/>
                <w:noProof/>
              </w:rPr>
              <w:t>Interaction between casual employment definitions in the Fair Work Act, enterprise agreements and relevant awards</w:t>
            </w:r>
            <w:r>
              <w:rPr>
                <w:noProof/>
                <w:webHidden/>
              </w:rPr>
              <w:tab/>
            </w:r>
            <w:r>
              <w:rPr>
                <w:noProof/>
                <w:webHidden/>
              </w:rPr>
              <w:fldChar w:fldCharType="begin"/>
            </w:r>
            <w:r>
              <w:rPr>
                <w:noProof/>
                <w:webHidden/>
              </w:rPr>
              <w:instrText xml:space="preserve"> PAGEREF _Toc240378428 \h </w:instrText>
            </w:r>
            <w:r>
              <w:rPr>
                <w:noProof/>
                <w:webHidden/>
              </w:rPr>
            </w:r>
            <w:r>
              <w:rPr>
                <w:noProof/>
                <w:webHidden/>
              </w:rPr>
              <w:fldChar w:fldCharType="separate"/>
            </w:r>
            <w:r>
              <w:rPr>
                <w:noProof/>
                <w:webHidden/>
              </w:rPr>
              <w:t>8</w:t>
            </w:r>
            <w:r>
              <w:rPr>
                <w:noProof/>
                <w:webHidden/>
              </w:rPr>
              <w:fldChar w:fldCharType="end"/>
            </w:r>
          </w:hyperlink>
        </w:p>
        <w:p w14:paraId="7E87D647" w14:textId="0A9F8C34" w:rsidR="005A4F83" w:rsidRDefault="005A4F83" w:rsidP="000D02BD">
          <w:pPr>
            <w:pStyle w:val="TOC1"/>
            <w:tabs>
              <w:tab w:val="right" w:leader="dot" w:pos="9016"/>
            </w:tabs>
            <w:rPr>
              <w:rFonts w:eastAsiaTheme="minorEastAsia"/>
              <w:noProof/>
              <w:color w:val="auto"/>
              <w:sz w:val="24"/>
              <w:szCs w:val="24"/>
              <w:lang w:eastAsia="en-AU"/>
            </w:rPr>
          </w:pPr>
          <w:hyperlink w:anchor="_Toc240378429" w:history="1">
            <w:r w:rsidRPr="00161B67">
              <w:rPr>
                <w:rStyle w:val="Hyperlink"/>
                <w:noProof/>
              </w:rPr>
              <w:t>Findings</w:t>
            </w:r>
            <w:r>
              <w:rPr>
                <w:noProof/>
                <w:webHidden/>
              </w:rPr>
              <w:tab/>
            </w:r>
            <w:r>
              <w:rPr>
                <w:noProof/>
                <w:webHidden/>
              </w:rPr>
              <w:fldChar w:fldCharType="begin"/>
            </w:r>
            <w:r>
              <w:rPr>
                <w:noProof/>
                <w:webHidden/>
              </w:rPr>
              <w:instrText xml:space="preserve"> PAGEREF _Toc240378429 \h </w:instrText>
            </w:r>
            <w:r>
              <w:rPr>
                <w:noProof/>
                <w:webHidden/>
              </w:rPr>
            </w:r>
            <w:r>
              <w:rPr>
                <w:noProof/>
                <w:webHidden/>
              </w:rPr>
              <w:fldChar w:fldCharType="separate"/>
            </w:r>
            <w:r>
              <w:rPr>
                <w:noProof/>
                <w:webHidden/>
              </w:rPr>
              <w:t>8</w:t>
            </w:r>
            <w:r>
              <w:rPr>
                <w:noProof/>
                <w:webHidden/>
              </w:rPr>
              <w:fldChar w:fldCharType="end"/>
            </w:r>
          </w:hyperlink>
        </w:p>
        <w:p w14:paraId="3C345662" w14:textId="13B06500" w:rsidR="005A4F83" w:rsidRDefault="005A4F83" w:rsidP="000D02BD">
          <w:pPr>
            <w:pStyle w:val="TOC2"/>
            <w:tabs>
              <w:tab w:val="right" w:leader="dot" w:pos="9016"/>
            </w:tabs>
            <w:rPr>
              <w:rFonts w:eastAsiaTheme="minorEastAsia"/>
              <w:noProof/>
              <w:color w:val="auto"/>
              <w:sz w:val="24"/>
              <w:szCs w:val="24"/>
              <w:lang w:eastAsia="en-AU"/>
            </w:rPr>
          </w:pPr>
          <w:hyperlink w:anchor="_Toc240378430" w:history="1">
            <w:r w:rsidRPr="00161B67">
              <w:rPr>
                <w:rStyle w:val="Hyperlink"/>
                <w:noProof/>
              </w:rPr>
              <w:t>First cohort</w:t>
            </w:r>
            <w:r>
              <w:rPr>
                <w:noProof/>
                <w:webHidden/>
              </w:rPr>
              <w:tab/>
            </w:r>
            <w:r>
              <w:rPr>
                <w:noProof/>
                <w:webHidden/>
              </w:rPr>
              <w:fldChar w:fldCharType="begin"/>
            </w:r>
            <w:r>
              <w:rPr>
                <w:noProof/>
                <w:webHidden/>
              </w:rPr>
              <w:instrText xml:space="preserve"> PAGEREF _Toc240378430 \h </w:instrText>
            </w:r>
            <w:r>
              <w:rPr>
                <w:noProof/>
                <w:webHidden/>
              </w:rPr>
            </w:r>
            <w:r>
              <w:rPr>
                <w:noProof/>
                <w:webHidden/>
              </w:rPr>
              <w:fldChar w:fldCharType="separate"/>
            </w:r>
            <w:r>
              <w:rPr>
                <w:noProof/>
                <w:webHidden/>
              </w:rPr>
              <w:t>9</w:t>
            </w:r>
            <w:r>
              <w:rPr>
                <w:noProof/>
                <w:webHidden/>
              </w:rPr>
              <w:fldChar w:fldCharType="end"/>
            </w:r>
          </w:hyperlink>
        </w:p>
        <w:p w14:paraId="3EE2B95B" w14:textId="605AE014" w:rsidR="005A4F83" w:rsidRDefault="005A4F83" w:rsidP="000D02BD">
          <w:pPr>
            <w:pStyle w:val="TOC2"/>
            <w:tabs>
              <w:tab w:val="right" w:leader="dot" w:pos="9016"/>
            </w:tabs>
            <w:rPr>
              <w:rFonts w:eastAsiaTheme="minorEastAsia"/>
              <w:noProof/>
              <w:color w:val="auto"/>
              <w:sz w:val="24"/>
              <w:szCs w:val="24"/>
              <w:lang w:eastAsia="en-AU"/>
            </w:rPr>
          </w:pPr>
          <w:hyperlink w:anchor="_Toc240378431" w:history="1">
            <w:r w:rsidRPr="00161B67">
              <w:rPr>
                <w:rStyle w:val="Hyperlink"/>
                <w:noProof/>
              </w:rPr>
              <w:t>Second cohort</w:t>
            </w:r>
            <w:r>
              <w:rPr>
                <w:noProof/>
                <w:webHidden/>
              </w:rPr>
              <w:tab/>
            </w:r>
            <w:r>
              <w:rPr>
                <w:noProof/>
                <w:webHidden/>
              </w:rPr>
              <w:fldChar w:fldCharType="begin"/>
            </w:r>
            <w:r>
              <w:rPr>
                <w:noProof/>
                <w:webHidden/>
              </w:rPr>
              <w:instrText xml:space="preserve"> PAGEREF _Toc240378431 \h </w:instrText>
            </w:r>
            <w:r>
              <w:rPr>
                <w:noProof/>
                <w:webHidden/>
              </w:rPr>
            </w:r>
            <w:r>
              <w:rPr>
                <w:noProof/>
                <w:webHidden/>
              </w:rPr>
              <w:fldChar w:fldCharType="separate"/>
            </w:r>
            <w:r>
              <w:rPr>
                <w:noProof/>
                <w:webHidden/>
              </w:rPr>
              <w:t>9</w:t>
            </w:r>
            <w:r>
              <w:rPr>
                <w:noProof/>
                <w:webHidden/>
              </w:rPr>
              <w:fldChar w:fldCharType="end"/>
            </w:r>
          </w:hyperlink>
        </w:p>
        <w:p w14:paraId="1AEDA40A" w14:textId="2DAD99D6" w:rsidR="005A4F83" w:rsidRDefault="005A4F83" w:rsidP="000D02BD">
          <w:pPr>
            <w:pStyle w:val="TOC2"/>
            <w:tabs>
              <w:tab w:val="right" w:leader="dot" w:pos="9016"/>
            </w:tabs>
            <w:rPr>
              <w:rFonts w:eastAsiaTheme="minorEastAsia"/>
              <w:noProof/>
              <w:color w:val="auto"/>
              <w:sz w:val="24"/>
              <w:szCs w:val="24"/>
              <w:lang w:eastAsia="en-AU"/>
            </w:rPr>
          </w:pPr>
          <w:hyperlink w:anchor="_Toc240378432" w:history="1">
            <w:r w:rsidRPr="00161B67">
              <w:rPr>
                <w:rStyle w:val="Hyperlink"/>
                <w:noProof/>
              </w:rPr>
              <w:t>Enforcement outcomes</w:t>
            </w:r>
            <w:r>
              <w:rPr>
                <w:noProof/>
                <w:webHidden/>
              </w:rPr>
              <w:tab/>
            </w:r>
            <w:r>
              <w:rPr>
                <w:noProof/>
                <w:webHidden/>
              </w:rPr>
              <w:fldChar w:fldCharType="begin"/>
            </w:r>
            <w:r>
              <w:rPr>
                <w:noProof/>
                <w:webHidden/>
              </w:rPr>
              <w:instrText xml:space="preserve"> PAGEREF _Toc240378432 \h </w:instrText>
            </w:r>
            <w:r>
              <w:rPr>
                <w:noProof/>
                <w:webHidden/>
              </w:rPr>
            </w:r>
            <w:r>
              <w:rPr>
                <w:noProof/>
                <w:webHidden/>
              </w:rPr>
              <w:fldChar w:fldCharType="separate"/>
            </w:r>
            <w:r>
              <w:rPr>
                <w:noProof/>
                <w:webHidden/>
              </w:rPr>
              <w:t>11</w:t>
            </w:r>
            <w:r>
              <w:rPr>
                <w:noProof/>
                <w:webHidden/>
              </w:rPr>
              <w:fldChar w:fldCharType="end"/>
            </w:r>
          </w:hyperlink>
        </w:p>
        <w:p w14:paraId="29BACE27" w14:textId="533CA9F0" w:rsidR="005A4F83" w:rsidRDefault="005A4F83" w:rsidP="000D02BD">
          <w:pPr>
            <w:pStyle w:val="TOC1"/>
            <w:tabs>
              <w:tab w:val="right" w:leader="dot" w:pos="9016"/>
            </w:tabs>
            <w:rPr>
              <w:rFonts w:eastAsiaTheme="minorEastAsia"/>
              <w:noProof/>
              <w:color w:val="auto"/>
              <w:sz w:val="24"/>
              <w:szCs w:val="24"/>
              <w:lang w:eastAsia="en-AU"/>
            </w:rPr>
          </w:pPr>
          <w:hyperlink w:anchor="_Toc240378433" w:history="1">
            <w:r w:rsidRPr="00161B67">
              <w:rPr>
                <w:rStyle w:val="Hyperlink"/>
                <w:noProof/>
              </w:rPr>
              <w:t>Conclusion</w:t>
            </w:r>
            <w:r>
              <w:rPr>
                <w:noProof/>
                <w:webHidden/>
              </w:rPr>
              <w:tab/>
            </w:r>
            <w:r>
              <w:rPr>
                <w:noProof/>
                <w:webHidden/>
              </w:rPr>
              <w:fldChar w:fldCharType="begin"/>
            </w:r>
            <w:r>
              <w:rPr>
                <w:noProof/>
                <w:webHidden/>
              </w:rPr>
              <w:instrText xml:space="preserve"> PAGEREF _Toc240378433 \h </w:instrText>
            </w:r>
            <w:r>
              <w:rPr>
                <w:noProof/>
                <w:webHidden/>
              </w:rPr>
            </w:r>
            <w:r>
              <w:rPr>
                <w:noProof/>
                <w:webHidden/>
              </w:rPr>
              <w:fldChar w:fldCharType="separate"/>
            </w:r>
            <w:r>
              <w:rPr>
                <w:noProof/>
                <w:webHidden/>
              </w:rPr>
              <w:t>11</w:t>
            </w:r>
            <w:r>
              <w:rPr>
                <w:noProof/>
                <w:webHidden/>
              </w:rPr>
              <w:fldChar w:fldCharType="end"/>
            </w:r>
          </w:hyperlink>
        </w:p>
        <w:p w14:paraId="7E8382AF" w14:textId="77ADDFC3" w:rsidR="005A4F83" w:rsidRDefault="005A4F83" w:rsidP="000D02BD">
          <w:pPr>
            <w:pStyle w:val="TOC1"/>
            <w:tabs>
              <w:tab w:val="right" w:leader="dot" w:pos="9016"/>
            </w:tabs>
            <w:rPr>
              <w:rFonts w:eastAsiaTheme="minorEastAsia"/>
              <w:noProof/>
              <w:color w:val="auto"/>
              <w:sz w:val="24"/>
              <w:szCs w:val="24"/>
              <w:lang w:eastAsia="en-AU"/>
            </w:rPr>
          </w:pPr>
          <w:hyperlink w:anchor="_Toc240378434" w:history="1">
            <w:r w:rsidRPr="00161B67">
              <w:rPr>
                <w:rStyle w:val="Hyperlink"/>
                <w:noProof/>
              </w:rPr>
              <w:t>Acknowledgements</w:t>
            </w:r>
            <w:r>
              <w:rPr>
                <w:noProof/>
                <w:webHidden/>
              </w:rPr>
              <w:tab/>
            </w:r>
            <w:r>
              <w:rPr>
                <w:noProof/>
                <w:webHidden/>
              </w:rPr>
              <w:fldChar w:fldCharType="begin"/>
            </w:r>
            <w:r>
              <w:rPr>
                <w:noProof/>
                <w:webHidden/>
              </w:rPr>
              <w:instrText xml:space="preserve"> PAGEREF _Toc240378434 \h </w:instrText>
            </w:r>
            <w:r>
              <w:rPr>
                <w:noProof/>
                <w:webHidden/>
              </w:rPr>
            </w:r>
            <w:r>
              <w:rPr>
                <w:noProof/>
                <w:webHidden/>
              </w:rPr>
              <w:fldChar w:fldCharType="separate"/>
            </w:r>
            <w:r>
              <w:rPr>
                <w:noProof/>
                <w:webHidden/>
              </w:rPr>
              <w:t>11</w:t>
            </w:r>
            <w:r>
              <w:rPr>
                <w:noProof/>
                <w:webHidden/>
              </w:rPr>
              <w:fldChar w:fldCharType="end"/>
            </w:r>
          </w:hyperlink>
        </w:p>
        <w:p w14:paraId="36A3F67C" w14:textId="669D2932" w:rsidR="00351868" w:rsidRDefault="00351868" w:rsidP="000D02BD">
          <w:r>
            <w:rPr>
              <w:b/>
              <w:bCs/>
              <w:noProof/>
            </w:rPr>
            <w:fldChar w:fldCharType="end"/>
          </w:r>
        </w:p>
      </w:sdtContent>
    </w:sdt>
    <w:p w14:paraId="4B310BBD" w14:textId="77777777" w:rsidR="005A4F83" w:rsidRDefault="005A4F83" w:rsidP="000D02BD">
      <w:pPr>
        <w:spacing w:before="0"/>
        <w:rPr>
          <w:rFonts w:ascii="Calibri" w:hAnsi="Calibri" w:cs="Calibri"/>
          <w:b/>
          <w:bCs/>
          <w:color w:val="1B365D" w:themeColor="text2"/>
          <w:sz w:val="28"/>
          <w:szCs w:val="28"/>
        </w:rPr>
      </w:pPr>
      <w:r>
        <w:rPr>
          <w:rFonts w:ascii="Calibri" w:hAnsi="Calibri" w:cs="Calibri"/>
          <w:b/>
          <w:bCs/>
          <w:color w:val="1B365D" w:themeColor="text2"/>
          <w:sz w:val="28"/>
          <w:szCs w:val="28"/>
        </w:rPr>
        <w:br w:type="page"/>
      </w:r>
    </w:p>
    <w:p w14:paraId="54499FDE" w14:textId="2BE60106" w:rsidR="3FD9EE50" w:rsidRPr="0067108F" w:rsidRDefault="7B917202" w:rsidP="000D02BD">
      <w:pPr>
        <w:pStyle w:val="Heading1"/>
      </w:pPr>
      <w:bookmarkStart w:id="0" w:name="_Toc240378167"/>
      <w:bookmarkStart w:id="1" w:name="_Toc240378421"/>
      <w:r w:rsidRPr="0067108F">
        <w:lastRenderedPageBreak/>
        <w:t>Background</w:t>
      </w:r>
      <w:bookmarkEnd w:id="0"/>
      <w:bookmarkEnd w:id="1"/>
    </w:p>
    <w:p w14:paraId="153FA39D" w14:textId="7D01AD11" w:rsidR="00F82CE0" w:rsidRDefault="00E62158" w:rsidP="000D02BD">
      <w:pPr>
        <w:rPr>
          <w:rFonts w:ascii="Calibri" w:hAnsi="Calibri" w:cs="Calibri"/>
          <w:color w:val="auto"/>
        </w:rPr>
      </w:pPr>
      <w:r w:rsidRPr="03C29B72">
        <w:rPr>
          <w:rFonts w:ascii="Calibri" w:hAnsi="Calibri" w:cs="Calibri"/>
          <w:color w:val="auto"/>
        </w:rPr>
        <w:t xml:space="preserve">On 6 August 2024, </w:t>
      </w:r>
      <w:r w:rsidR="5957C2C7" w:rsidRPr="03C29B72">
        <w:rPr>
          <w:rFonts w:ascii="Calibri" w:hAnsi="Calibri" w:cs="Calibri"/>
          <w:color w:val="auto"/>
        </w:rPr>
        <w:t xml:space="preserve">the then </w:t>
      </w:r>
      <w:r w:rsidRPr="03C29B72">
        <w:rPr>
          <w:rFonts w:ascii="Calibri" w:hAnsi="Calibri" w:cs="Calibri"/>
          <w:color w:val="auto"/>
        </w:rPr>
        <w:t xml:space="preserve">Minister for Employment and Workplace Relations, </w:t>
      </w:r>
      <w:r w:rsidR="72E60B4C" w:rsidRPr="03C29B72">
        <w:rPr>
          <w:rFonts w:ascii="Calibri" w:hAnsi="Calibri" w:cs="Calibri"/>
          <w:color w:val="auto"/>
        </w:rPr>
        <w:t xml:space="preserve">Senator the Honourable Murray Watt, </w:t>
      </w:r>
      <w:r w:rsidRPr="03C29B72">
        <w:rPr>
          <w:rFonts w:ascii="Calibri" w:hAnsi="Calibri" w:cs="Calibri"/>
          <w:color w:val="auto"/>
        </w:rPr>
        <w:t xml:space="preserve">wrote to </w:t>
      </w:r>
      <w:r w:rsidR="008A06FB" w:rsidRPr="03C29B72">
        <w:rPr>
          <w:rFonts w:ascii="Calibri" w:hAnsi="Calibri" w:cs="Calibri"/>
          <w:color w:val="auto"/>
        </w:rPr>
        <w:t>the</w:t>
      </w:r>
      <w:r w:rsidRPr="03C29B72">
        <w:rPr>
          <w:rFonts w:ascii="Calibri" w:hAnsi="Calibri" w:cs="Calibri"/>
          <w:color w:val="auto"/>
        </w:rPr>
        <w:t xml:space="preserve"> </w:t>
      </w:r>
      <w:r w:rsidR="008A06FB" w:rsidRPr="03C29B72">
        <w:rPr>
          <w:rFonts w:ascii="Calibri" w:hAnsi="Calibri" w:cs="Calibri"/>
          <w:color w:val="auto"/>
        </w:rPr>
        <w:t>F</w:t>
      </w:r>
      <w:r w:rsidR="00650906" w:rsidRPr="03C29B72">
        <w:rPr>
          <w:rFonts w:ascii="Calibri" w:hAnsi="Calibri" w:cs="Calibri"/>
          <w:color w:val="auto"/>
        </w:rPr>
        <w:t>air Work Ombudsman (</w:t>
      </w:r>
      <w:r w:rsidR="00650906" w:rsidRPr="03C29B72">
        <w:rPr>
          <w:rFonts w:ascii="Calibri" w:hAnsi="Calibri" w:cs="Calibri"/>
          <w:b/>
          <w:bCs/>
          <w:color w:val="auto"/>
        </w:rPr>
        <w:t>FWO</w:t>
      </w:r>
      <w:r w:rsidR="00650906" w:rsidRPr="03C29B72">
        <w:rPr>
          <w:rFonts w:ascii="Calibri" w:hAnsi="Calibri" w:cs="Calibri"/>
          <w:color w:val="auto"/>
        </w:rPr>
        <w:t>)</w:t>
      </w:r>
      <w:r w:rsidRPr="03C29B72">
        <w:rPr>
          <w:rFonts w:ascii="Calibri" w:hAnsi="Calibri" w:cs="Calibri"/>
          <w:color w:val="auto"/>
        </w:rPr>
        <w:t xml:space="preserve"> requesting </w:t>
      </w:r>
      <w:r w:rsidR="005D63DF">
        <w:rPr>
          <w:rFonts w:ascii="Calibri" w:hAnsi="Calibri" w:cs="Calibri"/>
          <w:color w:val="auto"/>
        </w:rPr>
        <w:t>we</w:t>
      </w:r>
      <w:r w:rsidR="008A06FB" w:rsidRPr="03C29B72">
        <w:rPr>
          <w:rFonts w:ascii="Calibri" w:hAnsi="Calibri" w:cs="Calibri"/>
          <w:color w:val="auto"/>
        </w:rPr>
        <w:t xml:space="preserve"> </w:t>
      </w:r>
      <w:r w:rsidR="009201E1">
        <w:rPr>
          <w:rFonts w:ascii="Calibri" w:hAnsi="Calibri" w:cs="Calibri"/>
          <w:color w:val="auto"/>
        </w:rPr>
        <w:t xml:space="preserve">consider </w:t>
      </w:r>
      <w:r w:rsidRPr="03C29B72">
        <w:rPr>
          <w:rFonts w:ascii="Calibri" w:hAnsi="Calibri" w:cs="Calibri"/>
          <w:color w:val="auto"/>
        </w:rPr>
        <w:t>undertak</w:t>
      </w:r>
      <w:r w:rsidR="009201E1">
        <w:rPr>
          <w:rFonts w:ascii="Calibri" w:hAnsi="Calibri" w:cs="Calibri"/>
          <w:color w:val="auto"/>
        </w:rPr>
        <w:t>ing</w:t>
      </w:r>
      <w:r w:rsidRPr="03C29B72">
        <w:rPr>
          <w:rFonts w:ascii="Calibri" w:hAnsi="Calibri" w:cs="Calibri"/>
          <w:color w:val="auto"/>
        </w:rPr>
        <w:t xml:space="preserve"> an investigation into the payment </w:t>
      </w:r>
      <w:r w:rsidR="004F7C63">
        <w:rPr>
          <w:rFonts w:ascii="Calibri" w:hAnsi="Calibri" w:cs="Calibri"/>
          <w:color w:val="auto"/>
        </w:rPr>
        <w:t>of</w:t>
      </w:r>
      <w:r w:rsidRPr="03C29B72">
        <w:rPr>
          <w:rFonts w:ascii="Calibri" w:hAnsi="Calibri" w:cs="Calibri"/>
          <w:color w:val="auto"/>
        </w:rPr>
        <w:t xml:space="preserve"> casual coal miners working </w:t>
      </w:r>
      <w:r w:rsidR="001947D9">
        <w:rPr>
          <w:rFonts w:ascii="Calibri" w:hAnsi="Calibri" w:cs="Calibri"/>
          <w:color w:val="auto"/>
        </w:rPr>
        <w:t xml:space="preserve">under enterprise agreements </w:t>
      </w:r>
      <w:r w:rsidR="00F23564" w:rsidRPr="03C29B72">
        <w:rPr>
          <w:rFonts w:ascii="Calibri" w:hAnsi="Calibri" w:cs="Calibri"/>
          <w:color w:val="auto"/>
        </w:rPr>
        <w:t>i</w:t>
      </w:r>
      <w:r w:rsidRPr="03C29B72">
        <w:rPr>
          <w:rFonts w:ascii="Calibri" w:hAnsi="Calibri" w:cs="Calibri"/>
          <w:color w:val="auto"/>
        </w:rPr>
        <w:t xml:space="preserve">n the </w:t>
      </w:r>
      <w:r w:rsidR="00650906" w:rsidRPr="03C29B72">
        <w:rPr>
          <w:rFonts w:ascii="Calibri" w:hAnsi="Calibri" w:cs="Calibri"/>
          <w:color w:val="auto"/>
        </w:rPr>
        <w:t>Black Coal Mining Industry (</w:t>
      </w:r>
      <w:r w:rsidRPr="03C29B72">
        <w:rPr>
          <w:rFonts w:ascii="Calibri" w:hAnsi="Calibri" w:cs="Calibri"/>
          <w:b/>
          <w:bCs/>
          <w:color w:val="auto"/>
        </w:rPr>
        <w:t>BCMI</w:t>
      </w:r>
      <w:r w:rsidR="00650906" w:rsidRPr="03C29B72">
        <w:rPr>
          <w:rFonts w:ascii="Calibri" w:hAnsi="Calibri" w:cs="Calibri"/>
          <w:color w:val="auto"/>
        </w:rPr>
        <w:t>)</w:t>
      </w:r>
      <w:r w:rsidRPr="03C29B72">
        <w:rPr>
          <w:rFonts w:ascii="Calibri" w:hAnsi="Calibri" w:cs="Calibri"/>
          <w:color w:val="auto"/>
        </w:rPr>
        <w:t>.</w:t>
      </w:r>
    </w:p>
    <w:p w14:paraId="38CD2A48" w14:textId="77777777" w:rsidR="00F82CE0" w:rsidRDefault="00E62158" w:rsidP="000D02BD">
      <w:pPr>
        <w:rPr>
          <w:rFonts w:ascii="Calibri" w:hAnsi="Calibri" w:cs="Calibri"/>
          <w:color w:val="auto"/>
        </w:rPr>
      </w:pPr>
      <w:r w:rsidRPr="21E0B633">
        <w:rPr>
          <w:rFonts w:ascii="Calibri" w:hAnsi="Calibri" w:cs="Calibri"/>
          <w:color w:val="auto"/>
        </w:rPr>
        <w:t xml:space="preserve">This request followed a second reading amendment passed by the Senate on 16 May 2024 in connection with the </w:t>
      </w:r>
      <w:r w:rsidRPr="0067108F">
        <w:rPr>
          <w:rFonts w:ascii="Calibri" w:hAnsi="Calibri" w:cs="Calibri"/>
          <w:color w:val="auto"/>
        </w:rPr>
        <w:t>Fair Work Amendment Bill 2024</w:t>
      </w:r>
      <w:r w:rsidRPr="21E0B633">
        <w:rPr>
          <w:rFonts w:ascii="Calibri" w:hAnsi="Calibri" w:cs="Calibri"/>
          <w:color w:val="auto"/>
        </w:rPr>
        <w:t>.</w:t>
      </w:r>
    </w:p>
    <w:p w14:paraId="76F31A10" w14:textId="3F133D0B" w:rsidR="00F82CE0" w:rsidRPr="00C8075F" w:rsidRDefault="00306F90" w:rsidP="000D02BD">
      <w:pPr>
        <w:rPr>
          <w:rFonts w:ascii="Calibri" w:hAnsi="Calibri" w:cs="Calibri"/>
          <w:color w:val="auto"/>
        </w:rPr>
      </w:pPr>
      <w:r w:rsidRPr="291548F4">
        <w:rPr>
          <w:rFonts w:ascii="Calibri" w:hAnsi="Calibri" w:cs="Calibri"/>
          <w:color w:val="auto"/>
        </w:rPr>
        <w:t xml:space="preserve">The </w:t>
      </w:r>
      <w:r w:rsidR="00F23564" w:rsidRPr="291548F4">
        <w:rPr>
          <w:rFonts w:ascii="Calibri" w:hAnsi="Calibri" w:cs="Calibri"/>
          <w:color w:val="auto"/>
        </w:rPr>
        <w:t>amendment</w:t>
      </w:r>
      <w:r w:rsidRPr="291548F4">
        <w:rPr>
          <w:rFonts w:ascii="Calibri" w:hAnsi="Calibri" w:cs="Calibri"/>
          <w:color w:val="auto"/>
        </w:rPr>
        <w:t xml:space="preserve"> </w:t>
      </w:r>
      <w:r w:rsidR="009D0BD7" w:rsidRPr="291548F4">
        <w:rPr>
          <w:rFonts w:ascii="Calibri" w:hAnsi="Calibri" w:cs="Calibri"/>
          <w:color w:val="auto"/>
        </w:rPr>
        <w:t xml:space="preserve">arose from </w:t>
      </w:r>
      <w:r w:rsidR="38D7995C" w:rsidRPr="291548F4">
        <w:rPr>
          <w:rFonts w:ascii="Calibri" w:hAnsi="Calibri" w:cs="Calibri"/>
          <w:color w:val="auto"/>
        </w:rPr>
        <w:t xml:space="preserve">Senator </w:t>
      </w:r>
      <w:r w:rsidR="00E62158" w:rsidRPr="291548F4">
        <w:rPr>
          <w:rFonts w:ascii="Calibri" w:hAnsi="Calibri" w:cs="Calibri"/>
          <w:color w:val="auto"/>
        </w:rPr>
        <w:t>Malcolm Roberts</w:t>
      </w:r>
      <w:r w:rsidR="009D0BD7" w:rsidRPr="291548F4">
        <w:rPr>
          <w:rFonts w:ascii="Calibri" w:hAnsi="Calibri" w:cs="Calibri"/>
          <w:color w:val="auto"/>
        </w:rPr>
        <w:t xml:space="preserve">’ </w:t>
      </w:r>
      <w:r w:rsidR="61A4B891" w:rsidRPr="291548F4">
        <w:rPr>
          <w:rFonts w:ascii="Calibri" w:hAnsi="Calibri" w:cs="Calibri"/>
          <w:color w:val="auto"/>
        </w:rPr>
        <w:t>(</w:t>
      </w:r>
      <w:r w:rsidR="00F23564" w:rsidRPr="291548F4">
        <w:rPr>
          <w:rFonts w:ascii="Calibri" w:hAnsi="Calibri" w:cs="Calibri"/>
          <w:color w:val="auto"/>
        </w:rPr>
        <w:t xml:space="preserve">Senator for </w:t>
      </w:r>
      <w:r w:rsidR="009D0BD7" w:rsidRPr="291548F4">
        <w:rPr>
          <w:rFonts w:ascii="Calibri" w:hAnsi="Calibri" w:cs="Calibri"/>
          <w:color w:val="auto"/>
        </w:rPr>
        <w:t>Queensland</w:t>
      </w:r>
      <w:r w:rsidR="3AE7A209" w:rsidRPr="291548F4">
        <w:rPr>
          <w:rFonts w:ascii="Calibri" w:hAnsi="Calibri" w:cs="Calibri"/>
          <w:color w:val="auto"/>
        </w:rPr>
        <w:t>)</w:t>
      </w:r>
      <w:r w:rsidR="00E62158" w:rsidRPr="291548F4">
        <w:rPr>
          <w:rFonts w:ascii="Calibri" w:hAnsi="Calibri" w:cs="Calibri"/>
          <w:color w:val="auto"/>
        </w:rPr>
        <w:t xml:space="preserve"> allegations of </w:t>
      </w:r>
      <w:r w:rsidR="009D0BD7" w:rsidRPr="291548F4">
        <w:rPr>
          <w:rFonts w:ascii="Calibri" w:hAnsi="Calibri" w:cs="Calibri"/>
          <w:color w:val="auto"/>
        </w:rPr>
        <w:t>extensive underpayments</w:t>
      </w:r>
      <w:r w:rsidR="00E62158" w:rsidRPr="291548F4">
        <w:rPr>
          <w:rFonts w:ascii="Calibri" w:hAnsi="Calibri" w:cs="Calibri"/>
          <w:color w:val="auto"/>
        </w:rPr>
        <w:t xml:space="preserve"> within the BCMI</w:t>
      </w:r>
      <w:r w:rsidR="00763F88" w:rsidRPr="291548F4">
        <w:rPr>
          <w:rFonts w:ascii="Calibri" w:hAnsi="Calibri" w:cs="Calibri"/>
          <w:color w:val="auto"/>
        </w:rPr>
        <w:t>, including assertions there ma</w:t>
      </w:r>
      <w:r w:rsidR="00E62158" w:rsidRPr="291548F4">
        <w:rPr>
          <w:rFonts w:ascii="Calibri" w:hAnsi="Calibri" w:cs="Calibri"/>
          <w:color w:val="auto"/>
        </w:rPr>
        <w:t xml:space="preserve">y be underpayments exceeding $100 million, arising from five labour hire companies negotiating </w:t>
      </w:r>
      <w:r w:rsidR="002008E1" w:rsidRPr="291548F4">
        <w:rPr>
          <w:rFonts w:ascii="Calibri" w:hAnsi="Calibri" w:cs="Calibri"/>
          <w:color w:val="auto"/>
        </w:rPr>
        <w:t>enterprise a</w:t>
      </w:r>
      <w:r w:rsidR="00D554DD" w:rsidRPr="291548F4">
        <w:rPr>
          <w:rFonts w:ascii="Calibri" w:hAnsi="Calibri" w:cs="Calibri"/>
          <w:color w:val="auto"/>
        </w:rPr>
        <w:t xml:space="preserve">greements </w:t>
      </w:r>
      <w:r w:rsidR="00E62158" w:rsidRPr="291548F4">
        <w:rPr>
          <w:rFonts w:ascii="Calibri" w:hAnsi="Calibri" w:cs="Calibri"/>
          <w:color w:val="auto"/>
        </w:rPr>
        <w:t>with a union that do not provide casual employees with the standard 25 per cent loading.</w:t>
      </w:r>
    </w:p>
    <w:p w14:paraId="018C48DF" w14:textId="77777777" w:rsidR="00F82CE0" w:rsidRDefault="44E183DA" w:rsidP="000D02BD">
      <w:pPr>
        <w:pStyle w:val="Heading1"/>
        <w:spacing w:before="240"/>
        <w:rPr>
          <w:rFonts w:ascii="Calibri" w:hAnsi="Calibri" w:cs="Calibri"/>
          <w:b/>
          <w:bCs/>
          <w:sz w:val="28"/>
          <w:szCs w:val="28"/>
        </w:rPr>
      </w:pPr>
      <w:bookmarkStart w:id="2" w:name="_Toc240378168"/>
      <w:bookmarkStart w:id="3" w:name="_Toc240378422"/>
      <w:r w:rsidRPr="0067108F">
        <w:t>Objective</w:t>
      </w:r>
      <w:bookmarkEnd w:id="2"/>
      <w:bookmarkEnd w:id="3"/>
    </w:p>
    <w:p w14:paraId="30BC15F0" w14:textId="43192040" w:rsidR="00F82CE0" w:rsidRDefault="00D75C44" w:rsidP="000D02BD">
      <w:pPr>
        <w:rPr>
          <w:rFonts w:ascii="Calibri" w:hAnsi="Calibri" w:cs="Calibri"/>
          <w:color w:val="auto"/>
        </w:rPr>
      </w:pPr>
      <w:r>
        <w:rPr>
          <w:rFonts w:ascii="Calibri" w:hAnsi="Calibri" w:cs="Calibri"/>
          <w:color w:val="auto"/>
        </w:rPr>
        <w:t>Following</w:t>
      </w:r>
      <w:r w:rsidR="00DD573F">
        <w:rPr>
          <w:rFonts w:ascii="Calibri" w:hAnsi="Calibri" w:cs="Calibri"/>
          <w:color w:val="auto"/>
        </w:rPr>
        <w:t xml:space="preserve"> the</w:t>
      </w:r>
      <w:r w:rsidR="00CF3A01">
        <w:rPr>
          <w:rFonts w:ascii="Calibri" w:hAnsi="Calibri" w:cs="Calibri"/>
          <w:color w:val="auto"/>
        </w:rPr>
        <w:t xml:space="preserve"> Ministerial</w:t>
      </w:r>
      <w:r>
        <w:rPr>
          <w:rFonts w:ascii="Calibri" w:hAnsi="Calibri" w:cs="Calibri"/>
          <w:color w:val="auto"/>
        </w:rPr>
        <w:t xml:space="preserve"> correspondence</w:t>
      </w:r>
      <w:r w:rsidR="008F5B00">
        <w:rPr>
          <w:rFonts w:ascii="Calibri" w:hAnsi="Calibri" w:cs="Calibri"/>
          <w:color w:val="auto"/>
        </w:rPr>
        <w:t xml:space="preserve"> and in accordance with the FWO’s </w:t>
      </w:r>
      <w:hyperlink r:id="rId9">
        <w:r w:rsidR="008F5B00" w:rsidRPr="2A3DC0A2">
          <w:rPr>
            <w:rStyle w:val="Hyperlink"/>
            <w:rFonts w:ascii="Calibri" w:hAnsi="Calibri" w:cs="Calibri"/>
          </w:rPr>
          <w:t>Compliance and Enforcement Policy</w:t>
        </w:r>
      </w:hyperlink>
      <w:r w:rsidR="00CD3A05">
        <w:rPr>
          <w:rFonts w:ascii="Calibri" w:hAnsi="Calibri" w:cs="Calibri"/>
          <w:color w:val="auto"/>
        </w:rPr>
        <w:t>,</w:t>
      </w:r>
      <w:r w:rsidR="00DD573F">
        <w:rPr>
          <w:rFonts w:ascii="Calibri" w:hAnsi="Calibri" w:cs="Calibri"/>
          <w:color w:val="auto"/>
        </w:rPr>
        <w:t xml:space="preserve"> </w:t>
      </w:r>
      <w:r w:rsidR="00693A16">
        <w:rPr>
          <w:rFonts w:ascii="Calibri" w:hAnsi="Calibri" w:cs="Calibri"/>
          <w:color w:val="auto"/>
        </w:rPr>
        <w:t>the FWO</w:t>
      </w:r>
      <w:r>
        <w:rPr>
          <w:rFonts w:ascii="Calibri" w:hAnsi="Calibri" w:cs="Calibri"/>
          <w:color w:val="auto"/>
        </w:rPr>
        <w:t xml:space="preserve"> </w:t>
      </w:r>
      <w:r w:rsidR="00DB0344">
        <w:rPr>
          <w:rFonts w:ascii="Calibri" w:hAnsi="Calibri" w:cs="Calibri"/>
          <w:color w:val="auto"/>
        </w:rPr>
        <w:t>commence</w:t>
      </w:r>
      <w:r w:rsidR="00E62DF9">
        <w:rPr>
          <w:rFonts w:ascii="Calibri" w:hAnsi="Calibri" w:cs="Calibri"/>
          <w:color w:val="auto"/>
        </w:rPr>
        <w:t>d</w:t>
      </w:r>
      <w:r w:rsidR="00DB0344">
        <w:rPr>
          <w:rFonts w:ascii="Calibri" w:hAnsi="Calibri" w:cs="Calibri"/>
          <w:color w:val="auto"/>
        </w:rPr>
        <w:t xml:space="preserve"> an investigation under the </w:t>
      </w:r>
      <w:r w:rsidR="00DB0344">
        <w:rPr>
          <w:rFonts w:ascii="Calibri" w:hAnsi="Calibri" w:cs="Calibri"/>
          <w:i/>
          <w:iCs/>
          <w:color w:val="auto"/>
        </w:rPr>
        <w:t>Fair Work Act 2009</w:t>
      </w:r>
      <w:r w:rsidR="002002DE">
        <w:rPr>
          <w:rFonts w:ascii="Calibri" w:hAnsi="Calibri" w:cs="Calibri"/>
          <w:color w:val="auto"/>
        </w:rPr>
        <w:t xml:space="preserve"> (</w:t>
      </w:r>
      <w:r w:rsidR="002002DE" w:rsidRPr="0067108F">
        <w:rPr>
          <w:rFonts w:ascii="Calibri" w:hAnsi="Calibri" w:cs="Calibri"/>
          <w:color w:val="auto"/>
        </w:rPr>
        <w:t>Fair Work Act</w:t>
      </w:r>
      <w:r w:rsidR="002002DE">
        <w:rPr>
          <w:rFonts w:ascii="Calibri" w:hAnsi="Calibri" w:cs="Calibri"/>
          <w:color w:val="auto"/>
        </w:rPr>
        <w:t>)</w:t>
      </w:r>
      <w:r w:rsidR="00EE63FF">
        <w:rPr>
          <w:rFonts w:ascii="Calibri" w:hAnsi="Calibri" w:cs="Calibri"/>
          <w:color w:val="auto"/>
        </w:rPr>
        <w:t xml:space="preserve"> into the payment of </w:t>
      </w:r>
      <w:r w:rsidR="00137966">
        <w:rPr>
          <w:rFonts w:ascii="Calibri" w:hAnsi="Calibri" w:cs="Calibri"/>
          <w:color w:val="auto"/>
        </w:rPr>
        <w:t>workers</w:t>
      </w:r>
      <w:r w:rsidR="00EE63FF">
        <w:rPr>
          <w:rFonts w:ascii="Calibri" w:hAnsi="Calibri" w:cs="Calibri"/>
          <w:color w:val="auto"/>
        </w:rPr>
        <w:t xml:space="preserve"> in the BCMI</w:t>
      </w:r>
      <w:r w:rsidR="006755B9">
        <w:rPr>
          <w:rFonts w:ascii="Calibri" w:hAnsi="Calibri" w:cs="Calibri"/>
          <w:color w:val="auto"/>
        </w:rPr>
        <w:t>,</w:t>
      </w:r>
      <w:r w:rsidR="00EC3AA4">
        <w:rPr>
          <w:rFonts w:ascii="Calibri" w:hAnsi="Calibri" w:cs="Calibri"/>
          <w:color w:val="auto"/>
        </w:rPr>
        <w:t xml:space="preserve"> including casuals engaged under enterprise agreements</w:t>
      </w:r>
      <w:r w:rsidR="00EE63FF">
        <w:rPr>
          <w:rFonts w:ascii="Calibri" w:hAnsi="Calibri" w:cs="Calibri"/>
          <w:color w:val="auto"/>
        </w:rPr>
        <w:t xml:space="preserve">. </w:t>
      </w:r>
    </w:p>
    <w:p w14:paraId="32798D90" w14:textId="1C298685" w:rsidR="00C66897" w:rsidRPr="0067108F" w:rsidRDefault="352EBB00" w:rsidP="000D02BD">
      <w:pPr>
        <w:pStyle w:val="Heading2"/>
        <w:rPr>
          <w:rFonts w:ascii="Calibri" w:hAnsi="Calibri" w:cs="Calibri"/>
        </w:rPr>
      </w:pPr>
      <w:bookmarkStart w:id="4" w:name="_Toc240378169"/>
      <w:bookmarkStart w:id="5" w:name="_Toc240378423"/>
      <w:r w:rsidRPr="0067108F">
        <w:t>Enhancing awareness of the investigation</w:t>
      </w:r>
      <w:bookmarkEnd w:id="4"/>
      <w:bookmarkEnd w:id="5"/>
    </w:p>
    <w:p w14:paraId="7C3888A7" w14:textId="77777777" w:rsidR="00C66897" w:rsidRDefault="00C66897" w:rsidP="000D02BD">
      <w:pPr>
        <w:rPr>
          <w:rFonts w:ascii="Calibri" w:hAnsi="Calibri" w:cs="Calibri"/>
          <w:color w:val="auto"/>
        </w:rPr>
      </w:pPr>
      <w:r>
        <w:rPr>
          <w:rFonts w:ascii="Calibri" w:hAnsi="Calibri" w:cs="Calibri"/>
        </w:rPr>
        <w:t>O</w:t>
      </w:r>
      <w:r w:rsidRPr="00FF3382">
        <w:rPr>
          <w:rFonts w:ascii="Calibri" w:hAnsi="Calibri" w:cs="Calibri"/>
        </w:rPr>
        <w:t>n 14 May 2025</w:t>
      </w:r>
      <w:r>
        <w:rPr>
          <w:rFonts w:ascii="Calibri" w:hAnsi="Calibri" w:cs="Calibri"/>
        </w:rPr>
        <w:t>,</w:t>
      </w:r>
      <w:r w:rsidRPr="00FF3382">
        <w:rPr>
          <w:rFonts w:ascii="Calibri" w:hAnsi="Calibri" w:cs="Calibri"/>
        </w:rPr>
        <w:t xml:space="preserve"> </w:t>
      </w:r>
      <w:r>
        <w:rPr>
          <w:rFonts w:ascii="Calibri" w:hAnsi="Calibri" w:cs="Calibri"/>
        </w:rPr>
        <w:t>t</w:t>
      </w:r>
      <w:r w:rsidRPr="00FF3382">
        <w:rPr>
          <w:rFonts w:ascii="Calibri" w:hAnsi="Calibri" w:cs="Calibri"/>
        </w:rPr>
        <w:t xml:space="preserve">he </w:t>
      </w:r>
      <w:r>
        <w:rPr>
          <w:rFonts w:ascii="Calibri" w:hAnsi="Calibri" w:cs="Calibri"/>
        </w:rPr>
        <w:t>BCMI</w:t>
      </w:r>
      <w:r w:rsidRPr="00FF3382">
        <w:rPr>
          <w:rFonts w:ascii="Calibri" w:hAnsi="Calibri" w:cs="Calibri"/>
        </w:rPr>
        <w:t xml:space="preserve"> Investigation page was published on </w:t>
      </w:r>
      <w:r>
        <w:rPr>
          <w:rFonts w:ascii="Calibri" w:hAnsi="Calibri" w:cs="Calibri"/>
        </w:rPr>
        <w:t>our</w:t>
      </w:r>
      <w:r w:rsidRPr="00FF3382">
        <w:rPr>
          <w:rFonts w:ascii="Calibri" w:hAnsi="Calibri" w:cs="Calibri"/>
        </w:rPr>
        <w:t xml:space="preserve"> website (</w:t>
      </w:r>
      <w:hyperlink r:id="rId10">
        <w:r w:rsidRPr="35497383">
          <w:rPr>
            <w:rStyle w:val="Hyperlink"/>
            <w:rFonts w:ascii="Calibri" w:hAnsi="Calibri" w:cs="Calibri"/>
          </w:rPr>
          <w:t>Black Coal Mining Industry Investigation - Fair Work Ombudsman</w:t>
        </w:r>
      </w:hyperlink>
      <w:r w:rsidRPr="35497383">
        <w:rPr>
          <w:rFonts w:ascii="Calibri" w:hAnsi="Calibri" w:cs="Calibri"/>
        </w:rPr>
        <w:t>).</w:t>
      </w:r>
      <w:r w:rsidRPr="00FF3382">
        <w:rPr>
          <w:rFonts w:ascii="Calibri" w:hAnsi="Calibri" w:cs="Calibri"/>
          <w:color w:val="auto"/>
        </w:rPr>
        <w:t xml:space="preserve">  </w:t>
      </w:r>
    </w:p>
    <w:p w14:paraId="1FDF697A" w14:textId="6787810B" w:rsidR="00C66897" w:rsidRDefault="00C66897" w:rsidP="000D02BD">
      <w:pPr>
        <w:rPr>
          <w:rFonts w:ascii="Calibri" w:hAnsi="Calibri" w:cs="Calibri"/>
          <w:color w:val="auto"/>
        </w:rPr>
      </w:pPr>
      <w:r w:rsidRPr="291548F4">
        <w:rPr>
          <w:rFonts w:ascii="Calibri" w:hAnsi="Calibri" w:cs="Calibri"/>
          <w:color w:val="auto"/>
        </w:rPr>
        <w:t xml:space="preserve">On 21 May 2025, Facebook and LinkedIn posts were shared with details of the BCMI investigation and a link to the FWO website. The website </w:t>
      </w:r>
      <w:r w:rsidR="00960FEF" w:rsidRPr="291548F4">
        <w:rPr>
          <w:rFonts w:ascii="Calibri" w:hAnsi="Calibri" w:cs="Calibri"/>
          <w:color w:val="auto"/>
        </w:rPr>
        <w:t>include</w:t>
      </w:r>
      <w:r w:rsidR="00960FEF">
        <w:rPr>
          <w:rFonts w:ascii="Calibri" w:hAnsi="Calibri" w:cs="Calibri"/>
          <w:color w:val="auto"/>
        </w:rPr>
        <w:t>d</w:t>
      </w:r>
      <w:r w:rsidR="00960FEF" w:rsidRPr="291548F4">
        <w:rPr>
          <w:rFonts w:ascii="Calibri" w:hAnsi="Calibri" w:cs="Calibri"/>
          <w:color w:val="auto"/>
        </w:rPr>
        <w:t xml:space="preserve"> </w:t>
      </w:r>
      <w:r w:rsidRPr="291548F4">
        <w:rPr>
          <w:rFonts w:ascii="Calibri" w:hAnsi="Calibri" w:cs="Calibri"/>
          <w:color w:val="auto"/>
        </w:rPr>
        <w:t xml:space="preserve">a link to </w:t>
      </w:r>
      <w:r>
        <w:rPr>
          <w:rFonts w:ascii="Calibri" w:hAnsi="Calibri" w:cs="Calibri"/>
          <w:color w:val="auto"/>
        </w:rPr>
        <w:t>our</w:t>
      </w:r>
      <w:r w:rsidRPr="291548F4">
        <w:rPr>
          <w:rFonts w:ascii="Calibri" w:hAnsi="Calibri" w:cs="Calibri"/>
          <w:color w:val="auto"/>
        </w:rPr>
        <w:t xml:space="preserve"> anonymous report form </w:t>
      </w:r>
      <w:r>
        <w:rPr>
          <w:rFonts w:ascii="Calibri" w:hAnsi="Calibri" w:cs="Calibri"/>
          <w:color w:val="auto"/>
        </w:rPr>
        <w:t>that</w:t>
      </w:r>
      <w:r w:rsidRPr="291548F4">
        <w:rPr>
          <w:rFonts w:ascii="Calibri" w:hAnsi="Calibri" w:cs="Calibri"/>
          <w:color w:val="auto"/>
        </w:rPr>
        <w:t xml:space="preserve"> allow</w:t>
      </w:r>
      <w:r>
        <w:rPr>
          <w:rFonts w:ascii="Calibri" w:hAnsi="Calibri" w:cs="Calibri"/>
          <w:color w:val="auto"/>
        </w:rPr>
        <w:t>s</w:t>
      </w:r>
      <w:r w:rsidRPr="291548F4">
        <w:rPr>
          <w:rFonts w:ascii="Calibri" w:hAnsi="Calibri" w:cs="Calibri"/>
          <w:color w:val="auto"/>
        </w:rPr>
        <w:t xml:space="preserve"> information to be shared anonymously.</w:t>
      </w:r>
    </w:p>
    <w:p w14:paraId="7CCCD5FF" w14:textId="7F2F67CD" w:rsidR="00505C2C" w:rsidRDefault="00C66897" w:rsidP="000D02BD">
      <w:pPr>
        <w:rPr>
          <w:rFonts w:ascii="Calibri" w:hAnsi="Calibri" w:cs="Calibri"/>
          <w:b/>
          <w:bCs/>
          <w:color w:val="1B365D" w:themeColor="text2"/>
          <w:sz w:val="28"/>
          <w:szCs w:val="28"/>
        </w:rPr>
      </w:pPr>
      <w:r w:rsidRPr="00D94ABF">
        <w:rPr>
          <w:rFonts w:ascii="Calibri" w:hAnsi="Calibri" w:cs="Calibri"/>
          <w:color w:val="auto"/>
        </w:rPr>
        <w:t xml:space="preserve">On 4 September 2025, </w:t>
      </w:r>
      <w:r>
        <w:rPr>
          <w:rFonts w:ascii="Calibri" w:hAnsi="Calibri" w:cs="Calibri"/>
          <w:color w:val="auto"/>
        </w:rPr>
        <w:t>we</w:t>
      </w:r>
      <w:r w:rsidR="00E75EF5">
        <w:rPr>
          <w:rFonts w:ascii="Calibri" w:hAnsi="Calibri" w:cs="Calibri"/>
          <w:color w:val="auto"/>
        </w:rPr>
        <w:t xml:space="preserve"> also</w:t>
      </w:r>
      <w:r w:rsidRPr="00D94ABF">
        <w:rPr>
          <w:rFonts w:ascii="Calibri" w:hAnsi="Calibri" w:cs="Calibri"/>
          <w:color w:val="auto"/>
        </w:rPr>
        <w:t xml:space="preserve"> wrote to BCMI employers who </w:t>
      </w:r>
      <w:r>
        <w:rPr>
          <w:rFonts w:ascii="Calibri" w:hAnsi="Calibri" w:cs="Calibri"/>
          <w:color w:val="auto"/>
        </w:rPr>
        <w:t>were</w:t>
      </w:r>
      <w:r w:rsidRPr="00D94ABF">
        <w:rPr>
          <w:rFonts w:ascii="Calibri" w:hAnsi="Calibri" w:cs="Calibri"/>
          <w:color w:val="auto"/>
        </w:rPr>
        <w:t xml:space="preserve"> identified by way of membership </w:t>
      </w:r>
      <w:r w:rsidRPr="00006905">
        <w:rPr>
          <w:rFonts w:ascii="Calibri" w:hAnsi="Calibri" w:cs="Calibri"/>
          <w:color w:val="auto"/>
        </w:rPr>
        <w:t>w</w:t>
      </w:r>
      <w:r w:rsidRPr="0092599C">
        <w:rPr>
          <w:rFonts w:ascii="Calibri" w:hAnsi="Calibri" w:cs="Calibri"/>
          <w:color w:val="auto"/>
        </w:rPr>
        <w:t xml:space="preserve">ith the Minerals Council of Australia </w:t>
      </w:r>
      <w:r w:rsidRPr="00006905">
        <w:rPr>
          <w:rFonts w:ascii="Calibri" w:hAnsi="Calibri" w:cs="Calibri"/>
          <w:color w:val="auto"/>
        </w:rPr>
        <w:t>and</w:t>
      </w:r>
      <w:r w:rsidRPr="00D94ABF">
        <w:rPr>
          <w:rFonts w:ascii="Calibri" w:hAnsi="Calibri" w:cs="Calibri"/>
          <w:color w:val="auto"/>
        </w:rPr>
        <w:t xml:space="preserve"> encouraged them to review their compliance </w:t>
      </w:r>
      <w:r w:rsidR="00D543CE">
        <w:rPr>
          <w:rFonts w:ascii="Calibri" w:hAnsi="Calibri" w:cs="Calibri"/>
          <w:color w:val="auto"/>
        </w:rPr>
        <w:t>with workplace laws</w:t>
      </w:r>
      <w:r w:rsidRPr="00D94ABF">
        <w:rPr>
          <w:rFonts w:ascii="Calibri" w:hAnsi="Calibri" w:cs="Calibri"/>
          <w:color w:val="auto"/>
        </w:rPr>
        <w:t xml:space="preserve"> and, if required, report any non-compliance. </w:t>
      </w:r>
      <w:r w:rsidR="00505C2C">
        <w:rPr>
          <w:rFonts w:ascii="Calibri" w:hAnsi="Calibri" w:cs="Calibri"/>
          <w:color w:val="auto"/>
        </w:rPr>
        <w:t xml:space="preserve"> </w:t>
      </w:r>
    </w:p>
    <w:p w14:paraId="4F505DDA" w14:textId="2260F612" w:rsidR="00F82CE0" w:rsidRDefault="7990FE22" w:rsidP="000D02BD">
      <w:pPr>
        <w:pStyle w:val="Heading2"/>
        <w:rPr>
          <w:rFonts w:ascii="Calibri" w:hAnsi="Calibri" w:cs="Calibri"/>
          <w:sz w:val="28"/>
          <w:szCs w:val="28"/>
        </w:rPr>
      </w:pPr>
      <w:bookmarkStart w:id="6" w:name="_Toc240378170"/>
      <w:bookmarkStart w:id="7" w:name="_Toc240378424"/>
      <w:r w:rsidRPr="0067108F">
        <w:t>I</w:t>
      </w:r>
      <w:r w:rsidR="352EBB00" w:rsidRPr="0067108F">
        <w:t xml:space="preserve">nvestigation </w:t>
      </w:r>
      <w:r w:rsidR="44E183DA" w:rsidRPr="0067108F">
        <w:t>Description</w:t>
      </w:r>
      <w:bookmarkEnd w:id="6"/>
      <w:bookmarkEnd w:id="7"/>
    </w:p>
    <w:p w14:paraId="554C3693" w14:textId="4CB692DF" w:rsidR="00C8566D" w:rsidRDefault="00C67F62" w:rsidP="000D02BD">
      <w:r>
        <w:rPr>
          <w:rFonts w:ascii="Calibri" w:hAnsi="Calibri" w:cs="Calibri"/>
          <w:color w:val="auto"/>
        </w:rPr>
        <w:t>Following th</w:t>
      </w:r>
      <w:r w:rsidR="00550E77">
        <w:rPr>
          <w:rFonts w:ascii="Calibri" w:hAnsi="Calibri" w:cs="Calibri"/>
          <w:color w:val="auto"/>
        </w:rPr>
        <w:t>os</w:t>
      </w:r>
      <w:r>
        <w:rPr>
          <w:rFonts w:ascii="Calibri" w:hAnsi="Calibri" w:cs="Calibri"/>
          <w:color w:val="auto"/>
        </w:rPr>
        <w:t>e awareness enhancing activities, t</w:t>
      </w:r>
      <w:r w:rsidR="00C8566D" w:rsidRPr="00541FCC">
        <w:rPr>
          <w:rFonts w:ascii="Calibri" w:hAnsi="Calibri" w:cs="Calibri"/>
          <w:color w:val="auto"/>
        </w:rPr>
        <w:t xml:space="preserve">he investigation </w:t>
      </w:r>
      <w:r w:rsidR="00550E77">
        <w:rPr>
          <w:rFonts w:ascii="Calibri" w:hAnsi="Calibri" w:cs="Calibri"/>
          <w:color w:val="auto"/>
        </w:rPr>
        <w:t xml:space="preserve">ultimately </w:t>
      </w:r>
      <w:r w:rsidR="00C8566D" w:rsidRPr="00541FCC">
        <w:rPr>
          <w:rFonts w:ascii="Calibri" w:hAnsi="Calibri" w:cs="Calibri"/>
          <w:color w:val="auto"/>
        </w:rPr>
        <w:t>encompassed 56 cases</w:t>
      </w:r>
      <w:r w:rsidR="00550E77">
        <w:rPr>
          <w:rFonts w:ascii="Calibri" w:hAnsi="Calibri" w:cs="Calibri"/>
          <w:color w:val="auto"/>
        </w:rPr>
        <w:t xml:space="preserve"> in total. This</w:t>
      </w:r>
      <w:r w:rsidR="00C8566D" w:rsidRPr="00541FCC">
        <w:rPr>
          <w:rFonts w:ascii="Calibri" w:hAnsi="Calibri" w:cs="Calibri"/>
          <w:color w:val="auto"/>
        </w:rPr>
        <w:t xml:space="preserve"> includ</w:t>
      </w:r>
      <w:r w:rsidR="00550E77">
        <w:rPr>
          <w:rFonts w:ascii="Calibri" w:hAnsi="Calibri" w:cs="Calibri"/>
          <w:color w:val="auto"/>
        </w:rPr>
        <w:t>ed</w:t>
      </w:r>
      <w:r w:rsidR="00C8566D" w:rsidRPr="00541FCC">
        <w:rPr>
          <w:rFonts w:ascii="Calibri" w:hAnsi="Calibri" w:cs="Calibri"/>
          <w:color w:val="auto"/>
        </w:rPr>
        <w:t xml:space="preserve"> responding to 52 requests for assistance from individual BCMI employees alleging underpayment and 4 self-reported cases of non-compliance.</w:t>
      </w:r>
    </w:p>
    <w:p w14:paraId="161FA6B0" w14:textId="4759C57E" w:rsidR="00902C66" w:rsidRDefault="00C75765" w:rsidP="000D02BD">
      <w:pPr>
        <w:rPr>
          <w:rFonts w:ascii="Calibri" w:hAnsi="Calibri" w:cs="Calibri"/>
          <w:color w:val="auto"/>
        </w:rPr>
      </w:pPr>
      <w:r>
        <w:rPr>
          <w:rFonts w:ascii="Calibri" w:hAnsi="Calibri" w:cs="Calibri"/>
          <w:color w:val="auto"/>
        </w:rPr>
        <w:t>Our</w:t>
      </w:r>
      <w:r w:rsidR="004D3715">
        <w:rPr>
          <w:rFonts w:ascii="Calibri" w:hAnsi="Calibri" w:cs="Calibri"/>
          <w:color w:val="auto"/>
        </w:rPr>
        <w:t xml:space="preserve"> investigation involved</w:t>
      </w:r>
      <w:r w:rsidR="00E62158">
        <w:rPr>
          <w:rStyle w:val="FootnoteReference"/>
          <w:rFonts w:ascii="Calibri" w:hAnsi="Calibri" w:cs="Calibri"/>
          <w:color w:val="auto"/>
        </w:rPr>
        <w:footnoteReference w:id="1"/>
      </w:r>
      <w:r w:rsidR="00902C66">
        <w:rPr>
          <w:rFonts w:ascii="Calibri" w:hAnsi="Calibri" w:cs="Calibri"/>
          <w:color w:val="auto"/>
        </w:rPr>
        <w:t xml:space="preserve"> examin</w:t>
      </w:r>
      <w:r w:rsidR="008835ED">
        <w:rPr>
          <w:rFonts w:ascii="Calibri" w:hAnsi="Calibri" w:cs="Calibri"/>
          <w:color w:val="auto"/>
        </w:rPr>
        <w:t xml:space="preserve">ing </w:t>
      </w:r>
      <w:r w:rsidR="008E6BDA">
        <w:rPr>
          <w:rFonts w:ascii="Calibri" w:hAnsi="Calibri" w:cs="Calibri"/>
          <w:color w:val="auto"/>
        </w:rPr>
        <w:t>2</w:t>
      </w:r>
      <w:r w:rsidR="000215C1">
        <w:rPr>
          <w:rFonts w:ascii="Calibri" w:hAnsi="Calibri" w:cs="Calibri"/>
          <w:color w:val="auto"/>
        </w:rPr>
        <w:t xml:space="preserve"> </w:t>
      </w:r>
      <w:r w:rsidR="008835ED">
        <w:rPr>
          <w:rFonts w:ascii="Calibri" w:hAnsi="Calibri" w:cs="Calibri"/>
          <w:color w:val="auto"/>
        </w:rPr>
        <w:t xml:space="preserve">key elements </w:t>
      </w:r>
      <w:r w:rsidR="00A01FBC">
        <w:rPr>
          <w:rFonts w:ascii="Calibri" w:hAnsi="Calibri" w:cs="Calibri"/>
          <w:color w:val="auto"/>
        </w:rPr>
        <w:t>particular to the BCMI sector</w:t>
      </w:r>
      <w:r w:rsidR="00EB31B2">
        <w:rPr>
          <w:rFonts w:ascii="Calibri" w:hAnsi="Calibri" w:cs="Calibri"/>
          <w:color w:val="auto"/>
        </w:rPr>
        <w:t>, which this report deals with in turn below</w:t>
      </w:r>
      <w:r w:rsidR="00902C66">
        <w:rPr>
          <w:rFonts w:ascii="Calibri" w:hAnsi="Calibri" w:cs="Calibri"/>
          <w:color w:val="auto"/>
        </w:rPr>
        <w:t xml:space="preserve">: </w:t>
      </w:r>
    </w:p>
    <w:p w14:paraId="454F60FB" w14:textId="321E6ECF" w:rsidR="00EB31B2" w:rsidRDefault="00DF5D5A" w:rsidP="000D02BD">
      <w:pPr>
        <w:pStyle w:val="ListParagraph"/>
        <w:numPr>
          <w:ilvl w:val="0"/>
          <w:numId w:val="17"/>
        </w:numPr>
        <w:tabs>
          <w:tab w:val="num" w:pos="360"/>
        </w:tabs>
        <w:spacing w:before="0" w:after="120"/>
        <w:ind w:left="714" w:hanging="357"/>
        <w:contextualSpacing w:val="0"/>
        <w:rPr>
          <w:rFonts w:ascii="Calibri" w:hAnsi="Calibri" w:cs="Calibri"/>
          <w:color w:val="auto"/>
        </w:rPr>
      </w:pPr>
      <w:r>
        <w:rPr>
          <w:rFonts w:ascii="Calibri" w:hAnsi="Calibri" w:cs="Calibri"/>
          <w:color w:val="auto"/>
        </w:rPr>
        <w:t>the role of</w:t>
      </w:r>
      <w:r w:rsidR="00EB31B2" w:rsidRPr="00E812E7">
        <w:rPr>
          <w:rFonts w:ascii="Calibri" w:hAnsi="Calibri" w:cs="Calibri"/>
          <w:color w:val="auto"/>
        </w:rPr>
        <w:t xml:space="preserve"> the </w:t>
      </w:r>
      <w:r w:rsidR="00EB31B2" w:rsidRPr="0067108F">
        <w:rPr>
          <w:rFonts w:ascii="Calibri" w:hAnsi="Calibri" w:cs="Calibri"/>
          <w:color w:val="auto"/>
        </w:rPr>
        <w:t>Black Coal Mining Industry Award 2020</w:t>
      </w:r>
      <w:r w:rsidR="00EB31B2" w:rsidRPr="00E812E7">
        <w:rPr>
          <w:rFonts w:ascii="Calibri" w:hAnsi="Calibri" w:cs="Calibri"/>
          <w:color w:val="auto"/>
        </w:rPr>
        <w:t xml:space="preserve"> (</w:t>
      </w:r>
      <w:r w:rsidR="00EB31B2" w:rsidRPr="0067108F">
        <w:rPr>
          <w:rFonts w:ascii="Calibri" w:hAnsi="Calibri" w:cs="Calibri"/>
          <w:color w:val="auto"/>
        </w:rPr>
        <w:t>BCMI Award</w:t>
      </w:r>
      <w:r w:rsidR="00EB31B2" w:rsidRPr="1C618E24">
        <w:rPr>
          <w:rFonts w:ascii="Calibri" w:hAnsi="Calibri" w:cs="Calibri"/>
          <w:color w:val="auto"/>
        </w:rPr>
        <w:t>)</w:t>
      </w:r>
      <w:r w:rsidR="00EB31B2" w:rsidRPr="1C618E24">
        <w:rPr>
          <w:rStyle w:val="FootnoteReference"/>
          <w:rFonts w:ascii="Calibri" w:hAnsi="Calibri" w:cs="Calibri"/>
          <w:color w:val="auto"/>
        </w:rPr>
        <w:footnoteReference w:id="2"/>
      </w:r>
      <w:r w:rsidR="00AB7698">
        <w:rPr>
          <w:rFonts w:ascii="Calibri" w:hAnsi="Calibri" w:cs="Calibri"/>
          <w:color w:val="auto"/>
        </w:rPr>
        <w:t xml:space="preserve"> and enterprise agreements in the BCMI</w:t>
      </w:r>
    </w:p>
    <w:p w14:paraId="2B83386F" w14:textId="48E1BBD0" w:rsidR="006E7685" w:rsidRDefault="006E7685" w:rsidP="000D02BD">
      <w:pPr>
        <w:pStyle w:val="ListParagraph"/>
        <w:numPr>
          <w:ilvl w:val="0"/>
          <w:numId w:val="17"/>
        </w:numPr>
        <w:rPr>
          <w:rFonts w:ascii="Calibri" w:hAnsi="Calibri" w:cs="Calibri"/>
          <w:color w:val="auto"/>
        </w:rPr>
      </w:pPr>
      <w:r>
        <w:rPr>
          <w:rFonts w:ascii="Calibri" w:hAnsi="Calibri" w:cs="Calibri"/>
          <w:color w:val="auto"/>
        </w:rPr>
        <w:t>the engagement and classification of casual workers in the BCMI</w:t>
      </w:r>
      <w:r w:rsidR="000215C1">
        <w:rPr>
          <w:rFonts w:ascii="Calibri" w:hAnsi="Calibri" w:cs="Calibri"/>
          <w:color w:val="auto"/>
        </w:rPr>
        <w:t>.</w:t>
      </w:r>
    </w:p>
    <w:p w14:paraId="315BF96F" w14:textId="61BDB9D7" w:rsidR="00D440ED" w:rsidRDefault="00440965" w:rsidP="000D02BD">
      <w:pPr>
        <w:rPr>
          <w:rFonts w:ascii="Calibri" w:hAnsi="Calibri" w:cs="Calibri"/>
          <w:color w:val="auto"/>
        </w:rPr>
      </w:pPr>
      <w:r>
        <w:rPr>
          <w:rFonts w:ascii="Calibri" w:hAnsi="Calibri" w:cs="Calibri"/>
          <w:color w:val="auto"/>
        </w:rPr>
        <w:t xml:space="preserve">Applying these </w:t>
      </w:r>
      <w:r w:rsidR="00824222">
        <w:rPr>
          <w:rFonts w:ascii="Calibri" w:hAnsi="Calibri" w:cs="Calibri"/>
          <w:color w:val="auto"/>
        </w:rPr>
        <w:t>2</w:t>
      </w:r>
      <w:r>
        <w:rPr>
          <w:rFonts w:ascii="Calibri" w:hAnsi="Calibri" w:cs="Calibri"/>
          <w:color w:val="auto"/>
        </w:rPr>
        <w:t xml:space="preserve"> key elements, this report also sets out </w:t>
      </w:r>
      <w:r w:rsidR="0010739D" w:rsidRPr="006101E8">
        <w:rPr>
          <w:rFonts w:ascii="Calibri" w:hAnsi="Calibri" w:cs="Calibri"/>
          <w:color w:val="auto"/>
        </w:rPr>
        <w:t>o</w:t>
      </w:r>
      <w:r w:rsidR="0010739D" w:rsidRPr="009F20D5">
        <w:rPr>
          <w:rFonts w:ascii="Calibri" w:hAnsi="Calibri" w:cs="Calibri"/>
          <w:color w:val="auto"/>
        </w:rPr>
        <w:t xml:space="preserve">ur findings in relation to </w:t>
      </w:r>
      <w:r w:rsidR="00BC5CB0">
        <w:rPr>
          <w:rFonts w:ascii="Calibri" w:hAnsi="Calibri" w:cs="Calibri"/>
          <w:color w:val="auto"/>
        </w:rPr>
        <w:t xml:space="preserve">the </w:t>
      </w:r>
      <w:r w:rsidR="00BC5CB0" w:rsidRPr="008835ED">
        <w:rPr>
          <w:rFonts w:ascii="Calibri" w:hAnsi="Calibri" w:cs="Calibri"/>
          <w:color w:val="auto"/>
        </w:rPr>
        <w:t>nature, type and extent of any underpayments involving coal miners</w:t>
      </w:r>
      <w:r w:rsidR="00EB31B2">
        <w:rPr>
          <w:rFonts w:ascii="Calibri" w:hAnsi="Calibri" w:cs="Calibri"/>
          <w:color w:val="auto"/>
        </w:rPr>
        <w:t>.</w:t>
      </w:r>
    </w:p>
    <w:p w14:paraId="61A0A101" w14:textId="77777777" w:rsidR="00D440ED" w:rsidRDefault="00D440ED" w:rsidP="000D02BD">
      <w:r>
        <w:lastRenderedPageBreak/>
        <w:t>The investigation</w:t>
      </w:r>
      <w:r w:rsidRPr="291548F4">
        <w:t xml:space="preserve"> involved the collection of </w:t>
      </w:r>
      <w:r>
        <w:t xml:space="preserve">evidence </w:t>
      </w:r>
      <w:r w:rsidRPr="291548F4">
        <w:t>to identify the:</w:t>
      </w:r>
    </w:p>
    <w:p w14:paraId="6A4D9B9F" w14:textId="4E18F516" w:rsidR="00D440ED" w:rsidRDefault="00D440ED" w:rsidP="000D02BD">
      <w:pPr>
        <w:pStyle w:val="ListParagraph"/>
        <w:numPr>
          <w:ilvl w:val="0"/>
          <w:numId w:val="23"/>
        </w:numPr>
      </w:pPr>
      <w:r>
        <w:t>correct employing entity</w:t>
      </w:r>
    </w:p>
    <w:p w14:paraId="74914DC8" w14:textId="77777777" w:rsidR="00353101" w:rsidRPr="00A65DBB" w:rsidRDefault="00353101" w:rsidP="000D02BD">
      <w:pPr>
        <w:pStyle w:val="ListParagraph"/>
        <w:numPr>
          <w:ilvl w:val="0"/>
          <w:numId w:val="23"/>
        </w:numPr>
      </w:pPr>
      <w:r>
        <w:t>type of employment (casual, part-time, full-time)</w:t>
      </w:r>
    </w:p>
    <w:p w14:paraId="3E58110E" w14:textId="2E7F3931" w:rsidR="00D440ED" w:rsidRDefault="00D440ED" w:rsidP="000D02BD">
      <w:pPr>
        <w:pStyle w:val="ListParagraph"/>
        <w:numPr>
          <w:ilvl w:val="0"/>
          <w:numId w:val="23"/>
        </w:numPr>
      </w:pPr>
      <w:r>
        <w:t>relevant industrial instrument(s)</w:t>
      </w:r>
    </w:p>
    <w:p w14:paraId="53932E4F" w14:textId="548DCF7E" w:rsidR="00D440ED" w:rsidRDefault="00D440ED" w:rsidP="000D02BD">
      <w:pPr>
        <w:pStyle w:val="ListParagraph"/>
        <w:numPr>
          <w:ilvl w:val="0"/>
          <w:numId w:val="23"/>
        </w:numPr>
      </w:pPr>
      <w:r>
        <w:t>period of employment</w:t>
      </w:r>
    </w:p>
    <w:p w14:paraId="3A8D01F7" w14:textId="07E4E81C" w:rsidR="00D440ED" w:rsidRPr="00B02AD8" w:rsidRDefault="00D440ED" w:rsidP="000D02BD">
      <w:pPr>
        <w:pStyle w:val="ListParagraph"/>
        <w:numPr>
          <w:ilvl w:val="0"/>
          <w:numId w:val="23"/>
        </w:numPr>
      </w:pPr>
      <w:r>
        <w:t>e</w:t>
      </w:r>
      <w:r w:rsidRPr="00B02AD8">
        <w:t>mployee classification / job role</w:t>
      </w:r>
      <w:r>
        <w:t xml:space="preserve"> / duties</w:t>
      </w:r>
    </w:p>
    <w:p w14:paraId="4E912A29" w14:textId="3A972770" w:rsidR="00D440ED" w:rsidRPr="00B02AD8" w:rsidRDefault="00D440ED" w:rsidP="000D02BD">
      <w:pPr>
        <w:pStyle w:val="ListParagraph"/>
        <w:numPr>
          <w:ilvl w:val="0"/>
          <w:numId w:val="23"/>
        </w:numPr>
      </w:pPr>
      <w:r>
        <w:t>r</w:t>
      </w:r>
      <w:r w:rsidRPr="00B02AD8">
        <w:t xml:space="preserve">elevant interactions between </w:t>
      </w:r>
      <w:r>
        <w:t>the BCMI Award</w:t>
      </w:r>
      <w:r w:rsidRPr="00B02AD8">
        <w:t xml:space="preserve"> and </w:t>
      </w:r>
      <w:r>
        <w:t>a</w:t>
      </w:r>
      <w:r w:rsidRPr="00B02AD8">
        <w:t>greements</w:t>
      </w:r>
      <w:r>
        <w:t xml:space="preserve"> and</w:t>
      </w:r>
    </w:p>
    <w:p w14:paraId="67AECB96" w14:textId="77777777" w:rsidR="0094367D" w:rsidRPr="0054197B" w:rsidRDefault="00D440ED" w:rsidP="000D02BD">
      <w:pPr>
        <w:pStyle w:val="ListParagraph"/>
        <w:numPr>
          <w:ilvl w:val="0"/>
          <w:numId w:val="23"/>
        </w:numPr>
      </w:pPr>
      <w:r>
        <w:t xml:space="preserve">compliance with, or </w:t>
      </w:r>
      <w:r w:rsidRPr="291548F4">
        <w:t>any contraventions of workplace laws.</w:t>
      </w:r>
      <w:r w:rsidR="0094367D" w:rsidRPr="0094367D">
        <w:rPr>
          <w:rFonts w:ascii="Calibri" w:hAnsi="Calibri" w:cs="Calibri"/>
          <w:color w:val="auto"/>
        </w:rPr>
        <w:t xml:space="preserve"> </w:t>
      </w:r>
    </w:p>
    <w:p w14:paraId="7DCC030B" w14:textId="1908D1CC" w:rsidR="00814999" w:rsidRPr="00B60AFB" w:rsidRDefault="0641C909" w:rsidP="000D02BD">
      <w:pPr>
        <w:pStyle w:val="Heading2"/>
        <w:rPr>
          <w:rFonts w:ascii="Calibri" w:hAnsi="Calibri" w:cs="Calibri"/>
        </w:rPr>
      </w:pPr>
      <w:bookmarkStart w:id="8" w:name="_Toc240378171"/>
      <w:bookmarkStart w:id="9" w:name="_Toc240378425"/>
      <w:r w:rsidRPr="0067108F">
        <w:t>Characterisation of investigation cohorts</w:t>
      </w:r>
      <w:bookmarkEnd w:id="8"/>
      <w:bookmarkEnd w:id="9"/>
      <w:r w:rsidR="1EB13DE7" w:rsidRPr="0067108F">
        <w:t xml:space="preserve"> </w:t>
      </w:r>
    </w:p>
    <w:p w14:paraId="092337D2" w14:textId="3C628712" w:rsidR="00DF2B5A" w:rsidRPr="00A71EC5" w:rsidRDefault="00814999" w:rsidP="000D02BD">
      <w:pPr>
        <w:spacing w:after="240" w:line="240" w:lineRule="auto"/>
        <w:rPr>
          <w:rFonts w:cstheme="minorHAnsi"/>
        </w:rPr>
      </w:pPr>
      <w:r w:rsidRPr="00CE0D67">
        <w:rPr>
          <w:rFonts w:cstheme="minorHAnsi"/>
        </w:rPr>
        <w:t xml:space="preserve">Broadly, the </w:t>
      </w:r>
      <w:r w:rsidR="0009575E" w:rsidRPr="00CE0D67">
        <w:rPr>
          <w:rFonts w:cstheme="minorHAnsi"/>
        </w:rPr>
        <w:t xml:space="preserve">56 </w:t>
      </w:r>
      <w:r w:rsidRPr="00CE0D67">
        <w:rPr>
          <w:rFonts w:cstheme="minorHAnsi"/>
        </w:rPr>
        <w:t>cases</w:t>
      </w:r>
      <w:r w:rsidR="0009575E">
        <w:rPr>
          <w:rFonts w:cstheme="minorHAnsi"/>
        </w:rPr>
        <w:t xml:space="preserve"> investigated</w:t>
      </w:r>
      <w:r w:rsidRPr="00A71EC5">
        <w:rPr>
          <w:rFonts w:cstheme="minorHAnsi"/>
        </w:rPr>
        <w:t xml:space="preserve"> f</w:t>
      </w:r>
      <w:r>
        <w:rPr>
          <w:rFonts w:cstheme="minorHAnsi"/>
        </w:rPr>
        <w:t xml:space="preserve">ell </w:t>
      </w:r>
      <w:r w:rsidRPr="00A71EC5">
        <w:rPr>
          <w:rFonts w:cstheme="minorHAnsi"/>
        </w:rPr>
        <w:t>into three cohorts:</w:t>
      </w:r>
    </w:p>
    <w:p w14:paraId="41BE8BDF" w14:textId="615CD38C" w:rsidR="00A41B55" w:rsidRPr="00A41B55" w:rsidRDefault="00814999" w:rsidP="000D02BD">
      <w:pPr>
        <w:pStyle w:val="ListParagraph"/>
        <w:numPr>
          <w:ilvl w:val="0"/>
          <w:numId w:val="25"/>
        </w:numPr>
        <w:ind w:left="380" w:hanging="357"/>
        <w:contextualSpacing w:val="0"/>
        <w:rPr>
          <w:rFonts w:ascii="Calibri" w:eastAsia="Calibri" w:hAnsi="Calibri" w:cs="Calibri"/>
        </w:rPr>
      </w:pPr>
      <w:r w:rsidRPr="40AFE22C">
        <w:t xml:space="preserve">The </w:t>
      </w:r>
      <w:r w:rsidRPr="40AFE22C">
        <w:rPr>
          <w:b/>
        </w:rPr>
        <w:t>first cohort</w:t>
      </w:r>
      <w:r w:rsidR="009A67A6" w:rsidRPr="40AFE22C">
        <w:t xml:space="preserve"> </w:t>
      </w:r>
      <w:r w:rsidRPr="40AFE22C">
        <w:t>include</w:t>
      </w:r>
      <w:r w:rsidR="006554B3" w:rsidRPr="40AFE22C">
        <w:t xml:space="preserve">d </w:t>
      </w:r>
      <w:proofErr w:type="gramStart"/>
      <w:r w:rsidR="006554B3" w:rsidRPr="40AFE22C">
        <w:t xml:space="preserve">the majority </w:t>
      </w:r>
      <w:r w:rsidRPr="40AFE22C">
        <w:t>of</w:t>
      </w:r>
      <w:proofErr w:type="gramEnd"/>
      <w:r w:rsidRPr="40AFE22C">
        <w:t xml:space="preserve"> cases </w:t>
      </w:r>
      <w:r w:rsidR="00A41B55" w:rsidRPr="40AFE22C">
        <w:t>[</w:t>
      </w:r>
      <w:r w:rsidR="00A41B55" w:rsidRPr="40AFE22C">
        <w:rPr>
          <w:b/>
        </w:rPr>
        <w:t>38</w:t>
      </w:r>
      <w:r w:rsidR="00A41B55" w:rsidRPr="40AFE22C">
        <w:t>]</w:t>
      </w:r>
      <w:r w:rsidR="00CD6D5E">
        <w:t>,</w:t>
      </w:r>
      <w:r w:rsidR="00A41B55" w:rsidRPr="40AFE22C">
        <w:t xml:space="preserve"> </w:t>
      </w:r>
      <w:r w:rsidRPr="40AFE22C">
        <w:t>which concern</w:t>
      </w:r>
      <w:r w:rsidR="008036F0" w:rsidRPr="40AFE22C">
        <w:t>ed</w:t>
      </w:r>
      <w:r w:rsidR="00E943DB">
        <w:t xml:space="preserve"> </w:t>
      </w:r>
      <w:proofErr w:type="gramStart"/>
      <w:r w:rsidR="00E943DB">
        <w:t>a number of</w:t>
      </w:r>
      <w:proofErr w:type="gramEnd"/>
      <w:r w:rsidR="00E943DB">
        <w:t xml:space="preserve"> issues within the FWO’s jurisdiction including</w:t>
      </w:r>
      <w:r w:rsidR="008036F0" w:rsidRPr="40AFE22C">
        <w:t xml:space="preserve"> </w:t>
      </w:r>
      <w:r w:rsidRPr="40AFE22C">
        <w:t>potential underpayment or other concerns relating to</w:t>
      </w:r>
      <w:r w:rsidR="00A94566" w:rsidRPr="40AFE22C">
        <w:t xml:space="preserve"> individual worker’s</w:t>
      </w:r>
      <w:r w:rsidRPr="40AFE22C">
        <w:t xml:space="preserve"> employee entitlements.</w:t>
      </w:r>
      <w:r w:rsidR="00A41B55" w:rsidRPr="40AFE22C">
        <w:t xml:space="preserve"> </w:t>
      </w:r>
    </w:p>
    <w:p w14:paraId="21E126DA" w14:textId="4C173246" w:rsidR="00814999" w:rsidRPr="00A71EC5" w:rsidRDefault="00814999" w:rsidP="000D02BD">
      <w:pPr>
        <w:pStyle w:val="ListParagraph"/>
        <w:numPr>
          <w:ilvl w:val="0"/>
          <w:numId w:val="25"/>
        </w:numPr>
        <w:spacing w:before="0" w:after="120" w:line="240" w:lineRule="auto"/>
        <w:ind w:left="380" w:hanging="357"/>
        <w:contextualSpacing w:val="0"/>
      </w:pPr>
      <w:r w:rsidRPr="6A5128D4">
        <w:t xml:space="preserve">The </w:t>
      </w:r>
      <w:r w:rsidRPr="6A5128D4">
        <w:rPr>
          <w:b/>
        </w:rPr>
        <w:t xml:space="preserve">second cohort </w:t>
      </w:r>
      <w:r w:rsidRPr="6A5128D4">
        <w:t>relate</w:t>
      </w:r>
      <w:r w:rsidR="00565E67">
        <w:t>d</w:t>
      </w:r>
      <w:r w:rsidRPr="6A5128D4">
        <w:t xml:space="preserve"> to self-reports</w:t>
      </w:r>
      <w:r w:rsidR="00CE0D67" w:rsidRPr="6A5128D4">
        <w:t xml:space="preserve"> [</w:t>
      </w:r>
      <w:r w:rsidR="00CE0D67" w:rsidRPr="6A5128D4">
        <w:rPr>
          <w:b/>
        </w:rPr>
        <w:t>4</w:t>
      </w:r>
      <w:r w:rsidR="00CE0D67" w:rsidRPr="6A5128D4">
        <w:t>]</w:t>
      </w:r>
      <w:r w:rsidRPr="6A5128D4">
        <w:t xml:space="preserve"> by </w:t>
      </w:r>
      <w:r w:rsidR="00A94566" w:rsidRPr="6A5128D4">
        <w:t>companies</w:t>
      </w:r>
      <w:r w:rsidRPr="6A5128D4">
        <w:t xml:space="preserve">, </w:t>
      </w:r>
      <w:r>
        <w:t xml:space="preserve">each of which broadly related to leave entitlements </w:t>
      </w:r>
      <w:r w:rsidR="1FC93E70">
        <w:t xml:space="preserve">and base rates of pay. </w:t>
      </w:r>
    </w:p>
    <w:p w14:paraId="6105C64A" w14:textId="30F076B3" w:rsidR="00814999" w:rsidRDefault="00814999" w:rsidP="000D02BD">
      <w:pPr>
        <w:pStyle w:val="ListParagraph"/>
        <w:numPr>
          <w:ilvl w:val="0"/>
          <w:numId w:val="25"/>
        </w:numPr>
        <w:spacing w:before="241" w:after="0" w:line="240" w:lineRule="auto"/>
        <w:ind w:left="380" w:hanging="357"/>
      </w:pPr>
      <w:r w:rsidRPr="79A30949">
        <w:t xml:space="preserve">The </w:t>
      </w:r>
      <w:r w:rsidRPr="79A30949">
        <w:rPr>
          <w:b/>
        </w:rPr>
        <w:t xml:space="preserve">third cohort </w:t>
      </w:r>
      <w:r w:rsidR="00D22DDC" w:rsidRPr="79A30949">
        <w:t xml:space="preserve">comprised </w:t>
      </w:r>
      <w:r w:rsidRPr="79A30949">
        <w:rPr>
          <w:b/>
        </w:rPr>
        <w:t>14</w:t>
      </w:r>
      <w:r w:rsidRPr="79A30949">
        <w:t xml:space="preserve"> </w:t>
      </w:r>
      <w:r w:rsidR="00773436" w:rsidRPr="79A30949">
        <w:t>cases</w:t>
      </w:r>
      <w:r w:rsidRPr="79A30949">
        <w:t>, which</w:t>
      </w:r>
      <w:r w:rsidR="00773436" w:rsidRPr="79A30949">
        <w:t xml:space="preserve"> </w:t>
      </w:r>
      <w:r w:rsidR="004D6004" w:rsidRPr="79A30949">
        <w:t xml:space="preserve">largely </w:t>
      </w:r>
      <w:r w:rsidR="00773436" w:rsidRPr="79A30949">
        <w:t xml:space="preserve">involved </w:t>
      </w:r>
      <w:r w:rsidR="00F52286">
        <w:t xml:space="preserve">historical </w:t>
      </w:r>
      <w:r w:rsidRPr="79A30949">
        <w:t xml:space="preserve">complaints regarding the interaction between casual employment in operational roles under </w:t>
      </w:r>
      <w:proofErr w:type="gramStart"/>
      <w:r w:rsidRPr="79A30949">
        <w:t>a number of</w:t>
      </w:r>
      <w:proofErr w:type="gramEnd"/>
      <w:r w:rsidRPr="79A30949">
        <w:t xml:space="preserve"> enterprise agreements and the </w:t>
      </w:r>
      <w:r w:rsidR="00727F06" w:rsidRPr="4C03E56D">
        <w:t>BCMI</w:t>
      </w:r>
      <w:r w:rsidRPr="4C03E56D">
        <w:t xml:space="preserve"> Award</w:t>
      </w:r>
      <w:r w:rsidR="5D9203AE" w:rsidRPr="4C03E56D">
        <w:t>.</w:t>
      </w:r>
      <w:r w:rsidR="00BB5612">
        <w:t xml:space="preserve"> </w:t>
      </w:r>
    </w:p>
    <w:p w14:paraId="77C03473" w14:textId="39D8FE85" w:rsidR="00CE0D67" w:rsidRDefault="00CE0D67" w:rsidP="000D02BD">
      <w:pPr>
        <w:pStyle w:val="ListParagraph"/>
        <w:spacing w:before="241" w:after="0" w:line="240" w:lineRule="auto"/>
        <w:ind w:left="380" w:hanging="357"/>
      </w:pPr>
    </w:p>
    <w:p w14:paraId="79973EEA" w14:textId="611E2136" w:rsidR="00CD6D5E" w:rsidRDefault="00BB5612" w:rsidP="000D02BD">
      <w:pPr>
        <w:pStyle w:val="ListParagraph"/>
        <w:spacing w:before="241" w:after="0" w:line="240" w:lineRule="auto"/>
        <w:ind w:left="23"/>
      </w:pPr>
      <w:r w:rsidRPr="00BB5612">
        <w:t xml:space="preserve">We note that </w:t>
      </w:r>
      <w:proofErr w:type="gramStart"/>
      <w:r w:rsidRPr="00BB5612">
        <w:t>the majority of</w:t>
      </w:r>
      <w:proofErr w:type="gramEnd"/>
      <w:r w:rsidRPr="00BB5612">
        <w:t xml:space="preserve"> the claims for individuals in the third cohort concern</w:t>
      </w:r>
      <w:r w:rsidR="00AB5BFB">
        <w:t>ed</w:t>
      </w:r>
      <w:r w:rsidRPr="00BB5612">
        <w:t xml:space="preserve"> alleged underpayments or other breaches of the Fair Work Act which are substantially or entirely outside the six-year statutory limitations period (as set out in section 544 and 545 of the Fair Work Act). Some of these cases stretched as far back as 10 years or more. While the FWO was able to investigate these claims, the historical nature of the underpayments (in addition to other potential issues) limited the enforcement options available to the FWO or other parties with standing for any entitlements identified.</w:t>
      </w:r>
    </w:p>
    <w:p w14:paraId="01A22218" w14:textId="77777777" w:rsidR="00BB5612" w:rsidRDefault="00BB5612" w:rsidP="000D02BD">
      <w:pPr>
        <w:pStyle w:val="ListParagraph"/>
        <w:spacing w:before="241" w:after="0" w:line="240" w:lineRule="auto"/>
        <w:ind w:left="380" w:hanging="357"/>
      </w:pPr>
    </w:p>
    <w:p w14:paraId="080B0FB3" w14:textId="79F6831B" w:rsidR="00EB31B2" w:rsidRPr="0067108F" w:rsidRDefault="1A6FA7A2" w:rsidP="000D02BD">
      <w:pPr>
        <w:pStyle w:val="Heading3"/>
        <w:rPr>
          <w:rStyle w:val="Heading2Char"/>
          <w:rFonts w:ascii="Calibri" w:eastAsiaTheme="minorHAnsi" w:hAnsi="Calibri" w:cs="Calibri"/>
          <w:b/>
          <w:bCs/>
          <w:sz w:val="22"/>
          <w:szCs w:val="22"/>
        </w:rPr>
      </w:pPr>
      <w:bookmarkStart w:id="10" w:name="_Toc240378426"/>
      <w:r w:rsidRPr="006B5BDD">
        <w:t>The role</w:t>
      </w:r>
      <w:r w:rsidR="6E2034A6" w:rsidRPr="006B5BDD">
        <w:t xml:space="preserve"> of the BCMI Award</w:t>
      </w:r>
      <w:r w:rsidR="428748E7" w:rsidRPr="006B5BDD">
        <w:t xml:space="preserve"> and enterprise agreements in the BCMI</w:t>
      </w:r>
      <w:bookmarkEnd w:id="10"/>
    </w:p>
    <w:p w14:paraId="2B6602A5" w14:textId="77777777" w:rsidR="00EB31B2" w:rsidRDefault="00EB31B2" w:rsidP="000D02BD">
      <w:pPr>
        <w:pStyle w:val="BodyText"/>
        <w:spacing w:before="0"/>
        <w:ind w:right="58"/>
        <w:rPr>
          <w:rFonts w:asciiTheme="minorHAnsi" w:hAnsiTheme="minorHAnsi" w:cstheme="minorBidi"/>
        </w:rPr>
      </w:pPr>
      <w:r>
        <w:rPr>
          <w:rFonts w:asciiTheme="minorHAnsi" w:hAnsiTheme="minorHAnsi" w:cstheme="minorBidi"/>
        </w:rPr>
        <w:t>A particular issue arises in the black coal mining industry regarding the interaction between casual employment and the BCMI Award, which covers black coal mining employees and their employers. The BCMI Award provides for casual employment only in respect of classifications in Schedule B (Staff Employees). The BCMI Award does not provide for casual employment for employees in classifications in Schedule A (Production and Engineering Employees).</w:t>
      </w:r>
      <w:r>
        <w:rPr>
          <w:rStyle w:val="FootnoteReference"/>
          <w:rFonts w:asciiTheme="minorHAnsi" w:hAnsiTheme="minorHAnsi" w:cstheme="minorBidi"/>
        </w:rPr>
        <w:footnoteReference w:id="3"/>
      </w:r>
      <w:r>
        <w:rPr>
          <w:rFonts w:asciiTheme="minorHAnsi" w:hAnsiTheme="minorHAnsi" w:cstheme="minorBidi"/>
        </w:rPr>
        <w:t xml:space="preserve"> </w:t>
      </w:r>
    </w:p>
    <w:p w14:paraId="03804BC3" w14:textId="77777777" w:rsidR="00EB31B2" w:rsidRDefault="00EB31B2" w:rsidP="000D02BD">
      <w:pPr>
        <w:pStyle w:val="BodyText"/>
        <w:spacing w:before="0"/>
        <w:ind w:right="58"/>
        <w:rPr>
          <w:rFonts w:asciiTheme="minorHAnsi" w:hAnsiTheme="minorHAnsi" w:cstheme="minorBidi"/>
        </w:rPr>
      </w:pPr>
    </w:p>
    <w:p w14:paraId="57DA2383" w14:textId="2100BD76" w:rsidR="004B1DBB" w:rsidRDefault="004B1DBB" w:rsidP="000D02BD">
      <w:pPr>
        <w:pStyle w:val="BodyText"/>
        <w:spacing w:before="0"/>
        <w:ind w:right="58"/>
        <w:rPr>
          <w:rFonts w:asciiTheme="minorHAnsi" w:hAnsiTheme="minorHAnsi" w:cstheme="minorBidi"/>
          <w:lang w:val="en-AU"/>
        </w:rPr>
      </w:pPr>
      <w:r>
        <w:rPr>
          <w:rFonts w:asciiTheme="minorHAnsi" w:hAnsiTheme="minorHAnsi" w:cstheme="minorBidi"/>
        </w:rPr>
        <w:t xml:space="preserve">Further, a range of enterprise agreements within the black coal mining industry expressly include provision </w:t>
      </w:r>
      <w:r w:rsidRPr="004B1DBB">
        <w:rPr>
          <w:rFonts w:asciiTheme="minorHAnsi" w:hAnsiTheme="minorHAnsi" w:cstheme="minorBidi"/>
          <w:lang w:val="en-AU"/>
        </w:rPr>
        <w:t xml:space="preserve">for casual employment in production and engineering roles. Where an enterprise agreement applies to an employee, the </w:t>
      </w:r>
      <w:r w:rsidR="005B6B47">
        <w:rPr>
          <w:rFonts w:asciiTheme="minorHAnsi" w:hAnsiTheme="minorHAnsi" w:cstheme="minorBidi"/>
          <w:lang w:val="en-AU"/>
        </w:rPr>
        <w:t>BCMI</w:t>
      </w:r>
      <w:r w:rsidRPr="004B1DBB">
        <w:rPr>
          <w:rFonts w:asciiTheme="minorHAnsi" w:hAnsiTheme="minorHAnsi" w:cstheme="minorBidi"/>
          <w:lang w:val="en-AU"/>
        </w:rPr>
        <w:t xml:space="preserve"> Award will not apply, such that wages and entitlements are derived from the applicable enterprise agreement and not the Award.</w:t>
      </w:r>
    </w:p>
    <w:p w14:paraId="087742B9" w14:textId="77777777" w:rsidR="004B1DBB" w:rsidRDefault="004B1DBB" w:rsidP="000D02BD">
      <w:pPr>
        <w:pStyle w:val="BodyText"/>
        <w:spacing w:before="0"/>
        <w:ind w:right="58"/>
        <w:rPr>
          <w:rFonts w:asciiTheme="minorHAnsi" w:hAnsiTheme="minorHAnsi" w:cstheme="minorBidi"/>
        </w:rPr>
      </w:pPr>
    </w:p>
    <w:p w14:paraId="6BE726D1" w14:textId="10098258" w:rsidR="00EB31B2" w:rsidRDefault="00EB31B2" w:rsidP="000D02BD">
      <w:pPr>
        <w:pStyle w:val="BodyText"/>
        <w:spacing w:before="0"/>
        <w:ind w:right="58"/>
        <w:rPr>
          <w:rFonts w:asciiTheme="minorHAnsi" w:hAnsiTheme="minorHAnsi" w:cstheme="minorBidi"/>
        </w:rPr>
      </w:pPr>
      <w:r w:rsidRPr="27AF5D5C">
        <w:rPr>
          <w:rFonts w:asciiTheme="minorHAnsi" w:hAnsiTheme="minorHAnsi" w:cstheme="minorBidi"/>
        </w:rPr>
        <w:t xml:space="preserve">As the national workplace relations regulator, the FWO applies the law as it stands, which includes </w:t>
      </w:r>
      <w:r w:rsidRPr="27AF5D5C">
        <w:rPr>
          <w:rFonts w:asciiTheme="minorHAnsi" w:hAnsiTheme="minorHAnsi" w:cstheme="minorBidi"/>
        </w:rPr>
        <w:lastRenderedPageBreak/>
        <w:t>the terms of enterprise agreements that have been approved by the Fair Work Commission.</w:t>
      </w:r>
      <w:r w:rsidRPr="27AF5D5C">
        <w:rPr>
          <w:rStyle w:val="FootnoteReference"/>
          <w:rFonts w:asciiTheme="minorHAnsi" w:hAnsiTheme="minorHAnsi" w:cstheme="minorBidi"/>
        </w:rPr>
        <w:footnoteReference w:id="4"/>
      </w:r>
      <w:r w:rsidRPr="27AF5D5C">
        <w:rPr>
          <w:rFonts w:asciiTheme="minorHAnsi" w:hAnsiTheme="minorHAnsi" w:cstheme="minorBidi"/>
        </w:rPr>
        <w:t xml:space="preserve"> </w:t>
      </w:r>
    </w:p>
    <w:p w14:paraId="5F486A58" w14:textId="77777777" w:rsidR="00BA3C3C" w:rsidRDefault="00BA3C3C" w:rsidP="000D02BD">
      <w:pPr>
        <w:pStyle w:val="BodyText"/>
        <w:spacing w:before="0"/>
        <w:ind w:right="58"/>
        <w:rPr>
          <w:rFonts w:asciiTheme="minorHAnsi" w:hAnsiTheme="minorHAnsi" w:cstheme="minorBidi"/>
        </w:rPr>
      </w:pPr>
    </w:p>
    <w:p w14:paraId="2E301CFE" w14:textId="0F062AE1" w:rsidR="00BA3C3C" w:rsidRPr="00A71EC5" w:rsidRDefault="00BA3C3C" w:rsidP="000D02BD">
      <w:pPr>
        <w:pStyle w:val="BodyText"/>
        <w:spacing w:before="0"/>
        <w:ind w:right="58"/>
        <w:rPr>
          <w:rFonts w:asciiTheme="minorHAnsi" w:hAnsiTheme="minorHAnsi" w:cstheme="minorBidi"/>
        </w:rPr>
      </w:pPr>
      <w:r>
        <w:rPr>
          <w:rFonts w:asciiTheme="minorHAnsi" w:hAnsiTheme="minorHAnsi" w:cstheme="minorBidi"/>
        </w:rPr>
        <w:t xml:space="preserve">For completeness, </w:t>
      </w:r>
      <w:r w:rsidR="0076382F">
        <w:rPr>
          <w:rFonts w:asciiTheme="minorHAnsi" w:hAnsiTheme="minorHAnsi" w:cstheme="minorBidi"/>
        </w:rPr>
        <w:t xml:space="preserve">even </w:t>
      </w:r>
      <w:r>
        <w:rPr>
          <w:rFonts w:asciiTheme="minorHAnsi" w:hAnsiTheme="minorHAnsi" w:cstheme="minorBidi"/>
        </w:rPr>
        <w:t xml:space="preserve">where an enterprise agreement does not apply to an employee and the BCMI Award would otherwise apply, </w:t>
      </w:r>
      <w:r w:rsidR="007D18C9">
        <w:rPr>
          <w:rFonts w:asciiTheme="minorHAnsi" w:hAnsiTheme="minorHAnsi" w:cstheme="minorBidi"/>
        </w:rPr>
        <w:t xml:space="preserve">it is not clear what the legal consequences </w:t>
      </w:r>
      <w:r w:rsidR="001C5043">
        <w:rPr>
          <w:rFonts w:asciiTheme="minorHAnsi" w:hAnsiTheme="minorHAnsi" w:cstheme="minorBidi"/>
        </w:rPr>
        <w:t xml:space="preserve">are when </w:t>
      </w:r>
      <w:r w:rsidR="00497236">
        <w:rPr>
          <w:rFonts w:asciiTheme="minorHAnsi" w:hAnsiTheme="minorHAnsi" w:cstheme="minorBidi"/>
        </w:rPr>
        <w:t xml:space="preserve">they are engaged as a casual employee in a position </w:t>
      </w:r>
      <w:r w:rsidR="00522562">
        <w:rPr>
          <w:rFonts w:asciiTheme="minorHAnsi" w:hAnsiTheme="minorHAnsi" w:cstheme="minorBidi"/>
        </w:rPr>
        <w:t>covered by Schedule A to the BCMI Award</w:t>
      </w:r>
      <w:r w:rsidR="002F66A3">
        <w:rPr>
          <w:rFonts w:asciiTheme="minorHAnsi" w:hAnsiTheme="minorHAnsi" w:cstheme="minorBidi"/>
        </w:rPr>
        <w:t>.</w:t>
      </w:r>
      <w:r w:rsidR="00D30A7C" w:rsidRPr="15F8FB7F">
        <w:rPr>
          <w:rStyle w:val="FootnoteReference"/>
          <w:rFonts w:asciiTheme="minorHAnsi" w:hAnsiTheme="minorHAnsi" w:cstheme="minorBidi"/>
          <w:spacing w:val="-3"/>
        </w:rPr>
        <w:footnoteReference w:id="5"/>
      </w:r>
      <w:r w:rsidR="00DB350B">
        <w:rPr>
          <w:rFonts w:asciiTheme="minorHAnsi" w:hAnsiTheme="minorHAnsi" w:cstheme="minorBidi"/>
        </w:rPr>
        <w:t xml:space="preserve"> </w:t>
      </w:r>
      <w:r w:rsidR="00D30A7C">
        <w:rPr>
          <w:rFonts w:asciiTheme="minorHAnsi" w:hAnsiTheme="minorHAnsi" w:cstheme="minorBidi"/>
        </w:rPr>
        <w:t>There are a</w:t>
      </w:r>
      <w:r w:rsidR="00D30A7C" w:rsidRPr="15F8FB7F">
        <w:rPr>
          <w:rFonts w:asciiTheme="minorHAnsi" w:hAnsiTheme="minorHAnsi" w:cstheme="minorBidi"/>
        </w:rPr>
        <w:t xml:space="preserve"> number of </w:t>
      </w:r>
      <w:r w:rsidR="00D30A7C">
        <w:rPr>
          <w:rFonts w:asciiTheme="minorHAnsi" w:hAnsiTheme="minorHAnsi" w:cstheme="minorBidi"/>
        </w:rPr>
        <w:t>possibilities depending on how the BCMI Award is interpreted</w:t>
      </w:r>
      <w:r w:rsidR="00D30A7C" w:rsidRPr="15F8FB7F">
        <w:rPr>
          <w:rFonts w:asciiTheme="minorHAnsi" w:hAnsiTheme="minorHAnsi" w:cstheme="minorBidi"/>
        </w:rPr>
        <w:t>, including:</w:t>
      </w:r>
    </w:p>
    <w:p w14:paraId="456E4FC2" w14:textId="77777777" w:rsidR="00EB31B2" w:rsidRPr="00A71EC5" w:rsidRDefault="00EB31B2" w:rsidP="000D02BD">
      <w:pPr>
        <w:pStyle w:val="BodyText"/>
        <w:spacing w:before="0"/>
        <w:ind w:left="0" w:right="58"/>
        <w:rPr>
          <w:rFonts w:asciiTheme="minorHAnsi" w:hAnsiTheme="minorHAnsi" w:cstheme="minorHAnsi"/>
        </w:rPr>
      </w:pPr>
    </w:p>
    <w:p w14:paraId="33F69C78" w14:textId="5F5DFBE0" w:rsidR="00EB31B2" w:rsidRPr="00CF7369" w:rsidRDefault="004A360E" w:rsidP="000D02BD">
      <w:pPr>
        <w:pStyle w:val="ListParagraph"/>
        <w:widowControl w:val="0"/>
        <w:numPr>
          <w:ilvl w:val="0"/>
          <w:numId w:val="24"/>
        </w:numPr>
        <w:tabs>
          <w:tab w:val="left" w:pos="742"/>
        </w:tabs>
        <w:autoSpaceDE w:val="0"/>
        <w:autoSpaceDN w:val="0"/>
        <w:spacing w:before="0" w:after="120" w:line="240" w:lineRule="auto"/>
        <w:ind w:right="152"/>
        <w:contextualSpacing w:val="0"/>
        <w:rPr>
          <w:rFonts w:cstheme="minorHAnsi"/>
        </w:rPr>
      </w:pPr>
      <w:r w:rsidRPr="00A71EC5">
        <w:rPr>
          <w:rFonts w:cstheme="minorHAnsi"/>
          <w:b/>
        </w:rPr>
        <w:t xml:space="preserve">the employee is a casual and the </w:t>
      </w:r>
      <w:r>
        <w:rPr>
          <w:rFonts w:cstheme="minorHAnsi"/>
          <w:b/>
        </w:rPr>
        <w:t>BCMI</w:t>
      </w:r>
      <w:r w:rsidRPr="00A71EC5">
        <w:rPr>
          <w:rFonts w:cstheme="minorHAnsi"/>
          <w:b/>
        </w:rPr>
        <w:t xml:space="preserve"> Award does not apply: </w:t>
      </w:r>
      <w:r w:rsidRPr="00A71EC5">
        <w:rPr>
          <w:rFonts w:cstheme="minorHAnsi"/>
        </w:rPr>
        <w:t xml:space="preserve">the </w:t>
      </w:r>
      <w:r>
        <w:rPr>
          <w:rFonts w:cstheme="minorHAnsi"/>
        </w:rPr>
        <w:t>BCMI</w:t>
      </w:r>
      <w:r w:rsidRPr="00A71EC5">
        <w:rPr>
          <w:rFonts w:cstheme="minorHAnsi"/>
        </w:rPr>
        <w:t xml:space="preserve"> Award does</w:t>
      </w:r>
      <w:r w:rsidRPr="00A71EC5">
        <w:rPr>
          <w:rFonts w:cstheme="minorHAnsi"/>
          <w:spacing w:val="-3"/>
        </w:rPr>
        <w:t xml:space="preserve"> </w:t>
      </w:r>
      <w:r w:rsidRPr="00A71EC5">
        <w:rPr>
          <w:rFonts w:cstheme="minorHAnsi"/>
        </w:rPr>
        <w:t>not</w:t>
      </w:r>
      <w:r w:rsidRPr="00A71EC5">
        <w:rPr>
          <w:rFonts w:cstheme="minorHAnsi"/>
          <w:spacing w:val="-2"/>
        </w:rPr>
        <w:t xml:space="preserve"> </w:t>
      </w:r>
      <w:r w:rsidRPr="00A71EC5">
        <w:rPr>
          <w:rFonts w:cstheme="minorHAnsi"/>
        </w:rPr>
        <w:t>apply</w:t>
      </w:r>
      <w:r w:rsidRPr="00A71EC5">
        <w:rPr>
          <w:rFonts w:cstheme="minorHAnsi"/>
          <w:spacing w:val="-2"/>
        </w:rPr>
        <w:t xml:space="preserve"> </w:t>
      </w:r>
      <w:r w:rsidRPr="00A71EC5">
        <w:rPr>
          <w:rFonts w:cstheme="minorHAnsi"/>
        </w:rPr>
        <w:t>to</w:t>
      </w:r>
      <w:r w:rsidRPr="00A71EC5">
        <w:rPr>
          <w:rFonts w:cstheme="minorHAnsi"/>
          <w:spacing w:val="-2"/>
        </w:rPr>
        <w:t xml:space="preserve"> </w:t>
      </w:r>
      <w:r w:rsidRPr="00A71EC5">
        <w:rPr>
          <w:rFonts w:cstheme="minorHAnsi"/>
        </w:rPr>
        <w:t>the</w:t>
      </w:r>
      <w:r w:rsidRPr="00A71EC5">
        <w:rPr>
          <w:rFonts w:cstheme="minorHAnsi"/>
          <w:spacing w:val="-2"/>
        </w:rPr>
        <w:t xml:space="preserve"> </w:t>
      </w:r>
      <w:r w:rsidRPr="00A71EC5">
        <w:rPr>
          <w:rFonts w:cstheme="minorHAnsi"/>
        </w:rPr>
        <w:t>person,</w:t>
      </w:r>
      <w:r w:rsidRPr="00A71EC5">
        <w:rPr>
          <w:rFonts w:cstheme="minorHAnsi"/>
          <w:spacing w:val="-3"/>
        </w:rPr>
        <w:t xml:space="preserve"> </w:t>
      </w:r>
      <w:r w:rsidRPr="00A71EC5">
        <w:rPr>
          <w:rFonts w:cstheme="minorHAnsi"/>
        </w:rPr>
        <w:t>such</w:t>
      </w:r>
      <w:r w:rsidRPr="00A71EC5">
        <w:rPr>
          <w:rFonts w:cstheme="minorHAnsi"/>
          <w:spacing w:val="-6"/>
        </w:rPr>
        <w:t xml:space="preserve"> </w:t>
      </w:r>
      <w:r w:rsidRPr="00A71EC5">
        <w:rPr>
          <w:rFonts w:cstheme="minorHAnsi"/>
        </w:rPr>
        <w:t>that</w:t>
      </w:r>
      <w:r w:rsidRPr="00A71EC5">
        <w:rPr>
          <w:rFonts w:cstheme="minorHAnsi"/>
          <w:spacing w:val="-2"/>
        </w:rPr>
        <w:t xml:space="preserve"> </w:t>
      </w:r>
      <w:r w:rsidRPr="00A71EC5">
        <w:rPr>
          <w:rFonts w:cstheme="minorHAnsi"/>
        </w:rPr>
        <w:t>they</w:t>
      </w:r>
      <w:r w:rsidRPr="00A71EC5">
        <w:rPr>
          <w:rFonts w:cstheme="minorHAnsi"/>
          <w:spacing w:val="-2"/>
        </w:rPr>
        <w:t xml:space="preserve"> </w:t>
      </w:r>
      <w:r w:rsidRPr="00A71EC5">
        <w:rPr>
          <w:rFonts w:cstheme="minorHAnsi"/>
        </w:rPr>
        <w:t>are</w:t>
      </w:r>
      <w:r w:rsidRPr="00A71EC5">
        <w:rPr>
          <w:rFonts w:cstheme="minorHAnsi"/>
          <w:spacing w:val="-2"/>
        </w:rPr>
        <w:t xml:space="preserve"> </w:t>
      </w:r>
      <w:r w:rsidRPr="00A71EC5">
        <w:rPr>
          <w:rFonts w:cstheme="minorHAnsi"/>
        </w:rPr>
        <w:t>award/agreement-free</w:t>
      </w:r>
      <w:r w:rsidRPr="00A71EC5">
        <w:rPr>
          <w:rFonts w:cstheme="minorHAnsi"/>
          <w:spacing w:val="-5"/>
        </w:rPr>
        <w:t xml:space="preserve"> </w:t>
      </w:r>
      <w:r w:rsidRPr="00A71EC5">
        <w:rPr>
          <w:rFonts w:cstheme="minorHAnsi"/>
        </w:rPr>
        <w:t>and</w:t>
      </w:r>
      <w:r w:rsidRPr="00A71EC5">
        <w:rPr>
          <w:rFonts w:cstheme="minorHAnsi"/>
          <w:spacing w:val="-4"/>
        </w:rPr>
        <w:t xml:space="preserve"> </w:t>
      </w:r>
      <w:r w:rsidRPr="00A71EC5">
        <w:rPr>
          <w:rFonts w:cstheme="minorHAnsi"/>
        </w:rPr>
        <w:t>their</w:t>
      </w:r>
      <w:r w:rsidRPr="00A71EC5">
        <w:rPr>
          <w:rFonts w:cstheme="minorHAnsi"/>
          <w:spacing w:val="-3"/>
        </w:rPr>
        <w:t xml:space="preserve"> </w:t>
      </w:r>
      <w:r w:rsidRPr="00A71EC5">
        <w:rPr>
          <w:rFonts w:cstheme="minorHAnsi"/>
        </w:rPr>
        <w:t>minimum entitlements stem from the Fair Work Act and the National Minimum Wage Order</w:t>
      </w:r>
    </w:p>
    <w:p w14:paraId="24E4B87B" w14:textId="339497D1" w:rsidR="00EB31B2" w:rsidRPr="00F469BA" w:rsidRDefault="00CF7369" w:rsidP="000D02BD">
      <w:pPr>
        <w:pStyle w:val="ListParagraph"/>
        <w:widowControl w:val="0"/>
        <w:numPr>
          <w:ilvl w:val="0"/>
          <w:numId w:val="24"/>
        </w:numPr>
        <w:tabs>
          <w:tab w:val="left" w:pos="742"/>
        </w:tabs>
        <w:autoSpaceDE w:val="0"/>
        <w:autoSpaceDN w:val="0"/>
        <w:spacing w:before="0" w:after="120" w:line="240" w:lineRule="auto"/>
        <w:ind w:right="236" w:hanging="360"/>
        <w:contextualSpacing w:val="0"/>
        <w:rPr>
          <w:rFonts w:cstheme="minorHAnsi"/>
        </w:rPr>
      </w:pPr>
      <w:r w:rsidRPr="00F469BA">
        <w:rPr>
          <w:rFonts w:cstheme="minorHAnsi"/>
          <w:b/>
        </w:rPr>
        <w:t xml:space="preserve">the BCMI Award does apply and they are still casual, but there has been a technical breach of the award in their engagement: </w:t>
      </w:r>
      <w:r w:rsidRPr="00F469BA">
        <w:rPr>
          <w:rFonts w:cstheme="minorHAnsi"/>
        </w:rPr>
        <w:t>the employee’s engagement constitutes a breach of the engagement clause of</w:t>
      </w:r>
      <w:r w:rsidRPr="00F469BA">
        <w:rPr>
          <w:rFonts w:cstheme="minorHAnsi"/>
          <w:spacing w:val="-1"/>
        </w:rPr>
        <w:t xml:space="preserve"> </w:t>
      </w:r>
      <w:r w:rsidRPr="00F469BA">
        <w:rPr>
          <w:rFonts w:cstheme="minorHAnsi"/>
        </w:rPr>
        <w:t>the BCMI</w:t>
      </w:r>
      <w:r w:rsidRPr="00F469BA">
        <w:rPr>
          <w:rFonts w:cstheme="minorHAnsi"/>
          <w:spacing w:val="-2"/>
        </w:rPr>
        <w:t xml:space="preserve"> </w:t>
      </w:r>
      <w:r w:rsidRPr="00F469BA">
        <w:rPr>
          <w:rFonts w:cstheme="minorHAnsi"/>
        </w:rPr>
        <w:t>Award</w:t>
      </w:r>
      <w:r w:rsidRPr="00F469BA">
        <w:rPr>
          <w:rFonts w:cstheme="minorHAnsi"/>
          <w:spacing w:val="-2"/>
        </w:rPr>
        <w:t xml:space="preserve"> </w:t>
      </w:r>
      <w:r w:rsidRPr="00F469BA">
        <w:rPr>
          <w:rFonts w:cstheme="minorHAnsi"/>
        </w:rPr>
        <w:t>but</w:t>
      </w:r>
      <w:r w:rsidRPr="00F469BA">
        <w:rPr>
          <w:rFonts w:cstheme="minorHAnsi"/>
          <w:spacing w:val="-2"/>
        </w:rPr>
        <w:t xml:space="preserve"> </w:t>
      </w:r>
      <w:r w:rsidRPr="00F469BA">
        <w:rPr>
          <w:rFonts w:cstheme="minorHAnsi"/>
        </w:rPr>
        <w:t>the</w:t>
      </w:r>
      <w:r w:rsidRPr="00F469BA">
        <w:rPr>
          <w:rFonts w:cstheme="minorHAnsi"/>
          <w:spacing w:val="-2"/>
        </w:rPr>
        <w:t xml:space="preserve"> </w:t>
      </w:r>
      <w:r w:rsidRPr="00F469BA">
        <w:rPr>
          <w:rFonts w:cstheme="minorHAnsi"/>
        </w:rPr>
        <w:t>employee</w:t>
      </w:r>
      <w:r w:rsidRPr="00F469BA">
        <w:rPr>
          <w:rFonts w:cstheme="minorHAnsi"/>
          <w:spacing w:val="-1"/>
        </w:rPr>
        <w:t xml:space="preserve"> </w:t>
      </w:r>
      <w:r w:rsidRPr="00F469BA">
        <w:rPr>
          <w:rFonts w:cstheme="minorHAnsi"/>
        </w:rPr>
        <w:t>remains</w:t>
      </w:r>
      <w:r w:rsidRPr="00F469BA">
        <w:rPr>
          <w:rFonts w:cstheme="minorHAnsi"/>
          <w:spacing w:val="-4"/>
        </w:rPr>
        <w:t xml:space="preserve"> </w:t>
      </w:r>
      <w:r w:rsidRPr="00F469BA">
        <w:rPr>
          <w:rFonts w:cstheme="minorHAnsi"/>
        </w:rPr>
        <w:t>casual</w:t>
      </w:r>
      <w:r w:rsidRPr="00F469BA">
        <w:rPr>
          <w:rFonts w:cstheme="minorHAnsi"/>
          <w:spacing w:val="-2"/>
        </w:rPr>
        <w:t xml:space="preserve"> </w:t>
      </w:r>
      <w:r w:rsidRPr="00F469BA">
        <w:rPr>
          <w:rFonts w:cstheme="minorHAnsi"/>
        </w:rPr>
        <w:t>and</w:t>
      </w:r>
      <w:r w:rsidRPr="00F469BA">
        <w:rPr>
          <w:rFonts w:cstheme="minorHAnsi"/>
          <w:spacing w:val="-3"/>
        </w:rPr>
        <w:t xml:space="preserve"> </w:t>
      </w:r>
      <w:r w:rsidRPr="00F469BA">
        <w:rPr>
          <w:rFonts w:cstheme="minorHAnsi"/>
        </w:rPr>
        <w:t>is</w:t>
      </w:r>
      <w:r w:rsidRPr="00F469BA">
        <w:rPr>
          <w:rFonts w:cstheme="minorHAnsi"/>
          <w:spacing w:val="-2"/>
        </w:rPr>
        <w:t xml:space="preserve"> </w:t>
      </w:r>
      <w:r w:rsidRPr="00F469BA">
        <w:rPr>
          <w:rFonts w:cstheme="minorHAnsi"/>
        </w:rPr>
        <w:t>only</w:t>
      </w:r>
      <w:r w:rsidRPr="00F469BA">
        <w:rPr>
          <w:rFonts w:cstheme="minorHAnsi"/>
          <w:spacing w:val="-3"/>
        </w:rPr>
        <w:t xml:space="preserve"> </w:t>
      </w:r>
      <w:r w:rsidRPr="00F469BA">
        <w:rPr>
          <w:rFonts w:cstheme="minorHAnsi"/>
        </w:rPr>
        <w:t>entitled</w:t>
      </w:r>
      <w:r w:rsidRPr="00F469BA">
        <w:rPr>
          <w:rFonts w:cstheme="minorHAnsi"/>
          <w:spacing w:val="-3"/>
        </w:rPr>
        <w:t xml:space="preserve"> </w:t>
      </w:r>
      <w:r w:rsidRPr="00F469BA">
        <w:rPr>
          <w:rFonts w:cstheme="minorHAnsi"/>
        </w:rPr>
        <w:t>to</w:t>
      </w:r>
      <w:r w:rsidRPr="00F469BA">
        <w:rPr>
          <w:rFonts w:cstheme="minorHAnsi"/>
          <w:spacing w:val="-1"/>
        </w:rPr>
        <w:t xml:space="preserve"> the benefit of </w:t>
      </w:r>
      <w:r w:rsidRPr="00F469BA">
        <w:rPr>
          <w:rFonts w:cstheme="minorHAnsi"/>
        </w:rPr>
        <w:t>provisions</w:t>
      </w:r>
      <w:r w:rsidRPr="00F469BA">
        <w:rPr>
          <w:rFonts w:cstheme="minorHAnsi"/>
          <w:spacing w:val="-4"/>
        </w:rPr>
        <w:t xml:space="preserve"> </w:t>
      </w:r>
      <w:r w:rsidRPr="00F469BA">
        <w:rPr>
          <w:rFonts w:cstheme="minorHAnsi"/>
        </w:rPr>
        <w:t>of</w:t>
      </w:r>
      <w:r w:rsidRPr="00F469BA">
        <w:rPr>
          <w:rFonts w:cstheme="minorHAnsi"/>
          <w:spacing w:val="-2"/>
        </w:rPr>
        <w:t xml:space="preserve"> </w:t>
      </w:r>
      <w:r w:rsidRPr="00F469BA">
        <w:rPr>
          <w:rFonts w:cstheme="minorHAnsi"/>
        </w:rPr>
        <w:t>the BCMI Award that apply to all employees (in effect, this may mean they have few entitlements arising under the Award, including no minimum rates of pay)</w:t>
      </w:r>
      <w:r w:rsidR="007C1EEE">
        <w:rPr>
          <w:rFonts w:cstheme="minorHAnsi"/>
        </w:rPr>
        <w:t>,</w:t>
      </w:r>
      <w:r w:rsidRPr="00F469BA">
        <w:rPr>
          <w:rFonts w:cstheme="minorHAnsi"/>
        </w:rPr>
        <w:t xml:space="preserve"> or</w:t>
      </w:r>
    </w:p>
    <w:p w14:paraId="7585FECD" w14:textId="63C9A856" w:rsidR="00EB31B2" w:rsidRPr="004F0910" w:rsidRDefault="00EB31B2" w:rsidP="000D02BD">
      <w:pPr>
        <w:pStyle w:val="ListParagraph"/>
        <w:widowControl w:val="0"/>
        <w:numPr>
          <w:ilvl w:val="0"/>
          <w:numId w:val="24"/>
        </w:numPr>
        <w:tabs>
          <w:tab w:val="left" w:pos="741"/>
        </w:tabs>
        <w:autoSpaceDE w:val="0"/>
        <w:autoSpaceDN w:val="0"/>
        <w:spacing w:before="0" w:after="0" w:line="240" w:lineRule="auto"/>
        <w:ind w:right="40"/>
        <w:contextualSpacing w:val="0"/>
      </w:pPr>
      <w:r w:rsidRPr="27AF5D5C">
        <w:rPr>
          <w:b/>
          <w:bCs/>
        </w:rPr>
        <w:t>different</w:t>
      </w:r>
      <w:r w:rsidRPr="27AF5D5C">
        <w:rPr>
          <w:b/>
          <w:bCs/>
          <w:spacing w:val="-3"/>
        </w:rPr>
        <w:t xml:space="preserve"> </w:t>
      </w:r>
      <w:r w:rsidRPr="27AF5D5C">
        <w:rPr>
          <w:b/>
          <w:bCs/>
        </w:rPr>
        <w:t>employment</w:t>
      </w:r>
      <w:r w:rsidRPr="27AF5D5C">
        <w:rPr>
          <w:b/>
          <w:bCs/>
          <w:spacing w:val="-3"/>
        </w:rPr>
        <w:t xml:space="preserve"> </w:t>
      </w:r>
      <w:r w:rsidRPr="27AF5D5C">
        <w:rPr>
          <w:b/>
          <w:bCs/>
        </w:rPr>
        <w:t>types</w:t>
      </w:r>
      <w:r w:rsidRPr="27AF5D5C">
        <w:rPr>
          <w:b/>
          <w:bCs/>
          <w:spacing w:val="-2"/>
        </w:rPr>
        <w:t xml:space="preserve"> </w:t>
      </w:r>
      <w:r w:rsidRPr="27AF5D5C">
        <w:rPr>
          <w:b/>
          <w:bCs/>
        </w:rPr>
        <w:t>for</w:t>
      </w:r>
      <w:r w:rsidRPr="27AF5D5C">
        <w:rPr>
          <w:b/>
          <w:bCs/>
          <w:spacing w:val="-2"/>
        </w:rPr>
        <w:t xml:space="preserve"> </w:t>
      </w:r>
      <w:r w:rsidRPr="27AF5D5C">
        <w:rPr>
          <w:b/>
          <w:bCs/>
        </w:rPr>
        <w:t>different</w:t>
      </w:r>
      <w:r w:rsidRPr="27AF5D5C">
        <w:rPr>
          <w:b/>
          <w:bCs/>
          <w:spacing w:val="-5"/>
        </w:rPr>
        <w:t xml:space="preserve"> </w:t>
      </w:r>
      <w:r w:rsidRPr="27AF5D5C">
        <w:rPr>
          <w:b/>
          <w:bCs/>
        </w:rPr>
        <w:t>purposes:</w:t>
      </w:r>
      <w:r w:rsidRPr="27AF5D5C">
        <w:rPr>
          <w:b/>
          <w:bCs/>
          <w:spacing w:val="-4"/>
        </w:rPr>
        <w:t xml:space="preserve"> </w:t>
      </w:r>
      <w:r w:rsidRPr="004F0910">
        <w:t>the</w:t>
      </w:r>
      <w:r w:rsidRPr="004F0910">
        <w:rPr>
          <w:spacing w:val="-2"/>
        </w:rPr>
        <w:t xml:space="preserve"> </w:t>
      </w:r>
      <w:r w:rsidRPr="004F0910">
        <w:t>employee</w:t>
      </w:r>
      <w:r w:rsidRPr="004F0910">
        <w:rPr>
          <w:spacing w:val="-5"/>
        </w:rPr>
        <w:t xml:space="preserve"> </w:t>
      </w:r>
      <w:r w:rsidRPr="004F0910">
        <w:t>must</w:t>
      </w:r>
      <w:r w:rsidRPr="004F0910">
        <w:rPr>
          <w:spacing w:val="-2"/>
        </w:rPr>
        <w:t xml:space="preserve"> </w:t>
      </w:r>
      <w:r w:rsidRPr="004F0910">
        <w:t>be</w:t>
      </w:r>
      <w:r w:rsidRPr="004F0910">
        <w:rPr>
          <w:spacing w:val="-2"/>
        </w:rPr>
        <w:t xml:space="preserve"> </w:t>
      </w:r>
      <w:r w:rsidRPr="004F0910">
        <w:t>paid</w:t>
      </w:r>
      <w:r w:rsidRPr="004F0910">
        <w:rPr>
          <w:spacing w:val="-6"/>
        </w:rPr>
        <w:t xml:space="preserve"> </w:t>
      </w:r>
      <w:r w:rsidRPr="004F0910">
        <w:t>and</w:t>
      </w:r>
      <w:r w:rsidRPr="004F0910">
        <w:rPr>
          <w:spacing w:val="-4"/>
        </w:rPr>
        <w:t xml:space="preserve"> </w:t>
      </w:r>
      <w:r w:rsidRPr="004F0910">
        <w:t xml:space="preserve">treated as a full time or </w:t>
      </w:r>
      <w:r w:rsidR="005E7621" w:rsidRPr="004F0910">
        <w:t>part-time</w:t>
      </w:r>
      <w:r w:rsidRPr="004F0910">
        <w:t xml:space="preserve"> employee for the purposes of the </w:t>
      </w:r>
      <w:r w:rsidR="00F73764" w:rsidRPr="004F0910">
        <w:t>BCMI</w:t>
      </w:r>
      <w:r w:rsidRPr="004F0910">
        <w:t xml:space="preserve"> </w:t>
      </w:r>
      <w:r w:rsidR="007D0F23" w:rsidRPr="004F0910">
        <w:t>Award but</w:t>
      </w:r>
      <w:r w:rsidRPr="004F0910">
        <w:t xml:space="preserve"> </w:t>
      </w:r>
      <w:r>
        <w:t>would remain a casual employee under the Fair Work Act and therefore not entitled to statutory entitlements as an ongoing employee.</w:t>
      </w:r>
    </w:p>
    <w:p w14:paraId="308D008D" w14:textId="77777777" w:rsidR="00EB31B2" w:rsidRDefault="00EB31B2" w:rsidP="000D02BD">
      <w:pPr>
        <w:widowControl w:val="0"/>
        <w:tabs>
          <w:tab w:val="left" w:pos="741"/>
        </w:tabs>
        <w:autoSpaceDE w:val="0"/>
        <w:autoSpaceDN w:val="0"/>
        <w:spacing w:before="0" w:after="0" w:line="240" w:lineRule="auto"/>
        <w:ind w:right="40"/>
        <w:rPr>
          <w:rFonts w:cstheme="minorHAnsi"/>
        </w:rPr>
      </w:pPr>
    </w:p>
    <w:p w14:paraId="0A6094DB" w14:textId="26FBDC45" w:rsidR="00500687" w:rsidRDefault="006D37E1" w:rsidP="000D02BD">
      <w:pPr>
        <w:pStyle w:val="BodyText"/>
        <w:spacing w:before="44" w:after="120"/>
        <w:ind w:left="0" w:right="58"/>
      </w:pPr>
      <w:r>
        <w:t>For the purposes of</w:t>
      </w:r>
      <w:r w:rsidR="00500687">
        <w:t xml:space="preserve"> our investigation, we considered the following issues</w:t>
      </w:r>
      <w:r>
        <w:t xml:space="preserve"> and applied the following principles where applicable during our investigation</w:t>
      </w:r>
      <w:r w:rsidR="00500687">
        <w:t>:</w:t>
      </w:r>
    </w:p>
    <w:p w14:paraId="363B5ED7" w14:textId="238D47E1" w:rsidR="00500687" w:rsidRDefault="00500687" w:rsidP="000D02BD">
      <w:pPr>
        <w:pStyle w:val="ListParagraph"/>
        <w:numPr>
          <w:ilvl w:val="0"/>
          <w:numId w:val="13"/>
        </w:numPr>
        <w:spacing w:after="120"/>
        <w:contextualSpacing w:val="0"/>
      </w:pPr>
      <w:r>
        <w:t xml:space="preserve">the statutory definition of casual employment under the Fair Work Act, including as amended over time, </w:t>
      </w:r>
      <w:r w:rsidR="005942F1">
        <w:t>applies for all purposes and therefore displaces any inconsistent award or enterprise agreement definition</w:t>
      </w:r>
      <w:r w:rsidR="009D4155">
        <w:t xml:space="preserve"> (discussed further under point 3 below)</w:t>
      </w:r>
    </w:p>
    <w:p w14:paraId="228C9333" w14:textId="0982441F" w:rsidR="004C3BCC" w:rsidRDefault="004C3BCC" w:rsidP="000D02BD">
      <w:pPr>
        <w:pStyle w:val="ListParagraph"/>
        <w:numPr>
          <w:ilvl w:val="0"/>
          <w:numId w:val="13"/>
        </w:numPr>
        <w:spacing w:after="120"/>
        <w:contextualSpacing w:val="0"/>
      </w:pPr>
      <w:r>
        <w:t>where we identified an enterprise agreement operating in relation to an employee, the BCMI Award does not apply to the employment of the employee</w:t>
      </w:r>
      <w:r w:rsidR="00E15C45">
        <w:t>,</w:t>
      </w:r>
      <w:r>
        <w:rPr>
          <w:rStyle w:val="FootnoteReference"/>
        </w:rPr>
        <w:footnoteReference w:id="6"/>
      </w:r>
      <w:r>
        <w:t xml:space="preserve"> and as such the employment status of the employee should be determined under, and wages and entitlements of the employee should be derived from, the applicable enterprise agreement, not the BCMI Award, during the relevant periods</w:t>
      </w:r>
    </w:p>
    <w:p w14:paraId="5DB9ED8C" w14:textId="138CAAC9" w:rsidR="00500687" w:rsidRPr="00880DF6" w:rsidRDefault="00500687" w:rsidP="000D02BD">
      <w:pPr>
        <w:pStyle w:val="ListParagraph"/>
        <w:widowControl w:val="0"/>
        <w:numPr>
          <w:ilvl w:val="0"/>
          <w:numId w:val="14"/>
        </w:numPr>
        <w:tabs>
          <w:tab w:val="left" w:pos="741"/>
        </w:tabs>
        <w:autoSpaceDE w:val="0"/>
        <w:autoSpaceDN w:val="0"/>
        <w:spacing w:before="0" w:after="0" w:line="240" w:lineRule="auto"/>
        <w:ind w:right="40"/>
        <w:contextualSpacing w:val="0"/>
        <w:rPr>
          <w:rFonts w:cstheme="minorHAnsi"/>
        </w:rPr>
      </w:pPr>
      <w:r>
        <w:t xml:space="preserve">in determining the threshold issue of the true identity of an employee’s employer during a relevant period, including under labour hire arrangements, our approach </w:t>
      </w:r>
      <w:r w:rsidR="00FE3BCC">
        <w:t>aligned</w:t>
      </w:r>
      <w:r>
        <w:t xml:space="preserve"> with established judicial authorities in emphasising</w:t>
      </w:r>
      <w:r w:rsidR="002F6665">
        <w:t xml:space="preserve"> </w:t>
      </w:r>
      <w:r>
        <w:t xml:space="preserve">the primacy of written contracts which </w:t>
      </w:r>
      <w:r>
        <w:lastRenderedPageBreak/>
        <w:t>comprehensively set out the terms and conditions of the employment relationship, unless later conduct can be identified which amounts to a variation of that contract</w:t>
      </w:r>
      <w:r w:rsidR="007101F7">
        <w:t xml:space="preserve"> </w:t>
      </w:r>
      <w:r w:rsidR="009B5177">
        <w:t xml:space="preserve">and </w:t>
      </w:r>
      <w:r w:rsidR="007101F7">
        <w:t>subject to the application of orthodox contractual principles</w:t>
      </w:r>
      <w:r>
        <w:t>.</w:t>
      </w:r>
    </w:p>
    <w:p w14:paraId="36324683" w14:textId="77777777" w:rsidR="00880DF6" w:rsidRPr="00880DF6" w:rsidRDefault="00880DF6" w:rsidP="000D02BD">
      <w:pPr>
        <w:pStyle w:val="ListParagraph"/>
        <w:widowControl w:val="0"/>
        <w:tabs>
          <w:tab w:val="left" w:pos="741"/>
        </w:tabs>
        <w:autoSpaceDE w:val="0"/>
        <w:autoSpaceDN w:val="0"/>
        <w:spacing w:before="0" w:after="0" w:line="240" w:lineRule="auto"/>
        <w:ind w:right="40"/>
        <w:contextualSpacing w:val="0"/>
        <w:rPr>
          <w:rFonts w:cstheme="minorHAnsi"/>
        </w:rPr>
      </w:pPr>
    </w:p>
    <w:p w14:paraId="2C5AE14A" w14:textId="337561E6" w:rsidR="00EB31B2" w:rsidRDefault="006A7B00" w:rsidP="000D02BD">
      <w:pPr>
        <w:widowControl w:val="0"/>
        <w:tabs>
          <w:tab w:val="left" w:pos="741"/>
        </w:tabs>
        <w:autoSpaceDE w:val="0"/>
        <w:autoSpaceDN w:val="0"/>
        <w:spacing w:before="0" w:after="0" w:line="240" w:lineRule="auto"/>
        <w:ind w:right="40"/>
        <w:rPr>
          <w:rFonts w:cstheme="minorHAnsi"/>
        </w:rPr>
      </w:pPr>
      <w:r>
        <w:t xml:space="preserve">For completeness, we note that none of the 56 cases </w:t>
      </w:r>
      <w:r w:rsidR="00E9200E">
        <w:t>in</w:t>
      </w:r>
      <w:r>
        <w:t xml:space="preserve"> this investigation </w:t>
      </w:r>
      <w:r w:rsidR="00E3540D">
        <w:t>engaged</w:t>
      </w:r>
      <w:r>
        <w:t xml:space="preserve"> the amendments </w:t>
      </w:r>
      <w:r w:rsidR="00E33159">
        <w:t xml:space="preserve">to the Fair Work Act </w:t>
      </w:r>
      <w:r w:rsidR="002E27AD">
        <w:t>made by</w:t>
      </w:r>
      <w:r>
        <w:t xml:space="preserve"> the </w:t>
      </w:r>
      <w:r w:rsidRPr="24E18B5B">
        <w:rPr>
          <w:i/>
          <w:iCs/>
          <w:color w:val="auto"/>
        </w:rPr>
        <w:t>Fair Work Legislation Amendment (Closing Loopholes) Act 2023</w:t>
      </w:r>
      <w:r w:rsidRPr="24E18B5B">
        <w:rPr>
          <w:color w:val="auto"/>
        </w:rPr>
        <w:t xml:space="preserve"> (</w:t>
      </w:r>
      <w:proofErr w:type="spellStart"/>
      <w:r w:rsidRPr="24E18B5B">
        <w:rPr>
          <w:color w:val="auto"/>
        </w:rPr>
        <w:t>Cth</w:t>
      </w:r>
      <w:proofErr w:type="spellEnd"/>
      <w:r w:rsidRPr="24E18B5B">
        <w:rPr>
          <w:color w:val="auto"/>
        </w:rPr>
        <w:t>) which allow employees, unions and host employers to apply to the F</w:t>
      </w:r>
      <w:r w:rsidR="00A23FC0">
        <w:rPr>
          <w:color w:val="auto"/>
        </w:rPr>
        <w:t>WC</w:t>
      </w:r>
      <w:r w:rsidRPr="24E18B5B">
        <w:rPr>
          <w:color w:val="auto"/>
        </w:rPr>
        <w:t xml:space="preserve"> for a Regulated Labour Hire Arrangement Order (</w:t>
      </w:r>
      <w:r w:rsidRPr="24E18B5B">
        <w:rPr>
          <w:b/>
          <w:bCs/>
          <w:color w:val="auto"/>
        </w:rPr>
        <w:t>RLHAO</w:t>
      </w:r>
      <w:r w:rsidRPr="24E18B5B">
        <w:rPr>
          <w:color w:val="auto"/>
        </w:rPr>
        <w:t>)</w:t>
      </w:r>
      <w:r w:rsidR="00E9200E">
        <w:rPr>
          <w:color w:val="auto"/>
        </w:rPr>
        <w:t>, sometimes known as</w:t>
      </w:r>
      <w:r w:rsidR="00EB31B2">
        <w:rPr>
          <w:color w:val="auto"/>
        </w:rPr>
        <w:t xml:space="preserve"> Same Job, Same Pay</w:t>
      </w:r>
      <w:r w:rsidR="00E9200E">
        <w:rPr>
          <w:color w:val="auto"/>
        </w:rPr>
        <w:t xml:space="preserve"> orders</w:t>
      </w:r>
      <w:r w:rsidRPr="24E18B5B">
        <w:rPr>
          <w:color w:val="auto"/>
        </w:rPr>
        <w:t>.</w:t>
      </w:r>
      <w:r w:rsidR="00B02BE3">
        <w:rPr>
          <w:rStyle w:val="FootnoteReference"/>
          <w:color w:val="auto"/>
        </w:rPr>
        <w:footnoteReference w:id="7"/>
      </w:r>
      <w:r w:rsidR="00CC4D25">
        <w:rPr>
          <w:color w:val="auto"/>
        </w:rPr>
        <w:t xml:space="preserve"> </w:t>
      </w:r>
      <w:r w:rsidR="008404EE" w:rsidRPr="24E18B5B">
        <w:rPr>
          <w:color w:val="auto"/>
        </w:rPr>
        <w:t>To date a number of RLHAOs have been made by the FWC in relation to the BCMI.</w:t>
      </w:r>
      <w:r w:rsidR="0018209B">
        <w:rPr>
          <w:rStyle w:val="FootnoteReference"/>
          <w:color w:val="auto"/>
        </w:rPr>
        <w:footnoteReference w:id="8"/>
      </w:r>
      <w:r w:rsidR="00EB31B2">
        <w:rPr>
          <w:rFonts w:cstheme="minorHAnsi"/>
        </w:rPr>
        <w:t xml:space="preserve"> </w:t>
      </w:r>
    </w:p>
    <w:p w14:paraId="20D66B35" w14:textId="77777777" w:rsidR="00EB31B2" w:rsidRPr="004234C7" w:rsidRDefault="00EB31B2" w:rsidP="000D02BD">
      <w:pPr>
        <w:widowControl w:val="0"/>
        <w:tabs>
          <w:tab w:val="left" w:pos="741"/>
        </w:tabs>
        <w:autoSpaceDE w:val="0"/>
        <w:autoSpaceDN w:val="0"/>
        <w:spacing w:before="0" w:after="0" w:line="240" w:lineRule="auto"/>
        <w:ind w:right="40"/>
        <w:rPr>
          <w:rFonts w:cstheme="minorHAnsi"/>
          <w:i/>
          <w:iCs/>
        </w:rPr>
      </w:pPr>
    </w:p>
    <w:p w14:paraId="15B8D59A" w14:textId="72057B0E" w:rsidR="00816305" w:rsidRPr="0054197B" w:rsidRDefault="00A057F8" w:rsidP="000D02BD">
      <w:pPr>
        <w:pStyle w:val="Heading3"/>
      </w:pPr>
      <w:bookmarkStart w:id="11" w:name="_Toc240378427"/>
      <w:r>
        <w:t>Engagement and classification of workers</w:t>
      </w:r>
      <w:r w:rsidR="00816305" w:rsidRPr="0054197B">
        <w:t xml:space="preserve"> as casual employees</w:t>
      </w:r>
      <w:r>
        <w:t xml:space="preserve"> in the BCMI</w:t>
      </w:r>
      <w:bookmarkEnd w:id="11"/>
    </w:p>
    <w:p w14:paraId="6EE72259" w14:textId="357D74F7" w:rsidR="00816305" w:rsidRPr="00A71EC5" w:rsidRDefault="00816305" w:rsidP="000D02BD">
      <w:pPr>
        <w:pStyle w:val="BodyText"/>
        <w:ind w:left="21"/>
        <w:rPr>
          <w:rFonts w:asciiTheme="minorHAnsi" w:hAnsiTheme="minorHAnsi" w:cstheme="minorHAnsi"/>
          <w:spacing w:val="-2"/>
        </w:rPr>
      </w:pPr>
      <w:r>
        <w:rPr>
          <w:rFonts w:asciiTheme="minorHAnsi" w:hAnsiTheme="minorHAnsi" w:cstheme="minorHAnsi"/>
          <w:spacing w:val="-2"/>
        </w:rPr>
        <w:t>In</w:t>
      </w:r>
      <w:r w:rsidRPr="00A71EC5">
        <w:rPr>
          <w:rFonts w:asciiTheme="minorHAnsi" w:hAnsiTheme="minorHAnsi" w:cstheme="minorHAnsi"/>
          <w:spacing w:val="-2"/>
        </w:rPr>
        <w:t xml:space="preserve"> </w:t>
      </w:r>
      <w:r>
        <w:rPr>
          <w:rFonts w:asciiTheme="minorHAnsi" w:hAnsiTheme="minorHAnsi" w:cstheme="minorHAnsi"/>
          <w:spacing w:val="-2"/>
        </w:rPr>
        <w:t>some</w:t>
      </w:r>
      <w:r w:rsidRPr="00A71EC5">
        <w:rPr>
          <w:rFonts w:asciiTheme="minorHAnsi" w:hAnsiTheme="minorHAnsi" w:cstheme="minorHAnsi"/>
          <w:spacing w:val="-2"/>
        </w:rPr>
        <w:t xml:space="preserve"> cases </w:t>
      </w:r>
      <w:r w:rsidR="007135B2">
        <w:rPr>
          <w:rFonts w:asciiTheme="minorHAnsi" w:hAnsiTheme="minorHAnsi" w:cstheme="minorHAnsi"/>
          <w:spacing w:val="-2"/>
        </w:rPr>
        <w:t>(</w:t>
      </w:r>
      <w:r w:rsidRPr="00A71EC5">
        <w:rPr>
          <w:rFonts w:asciiTheme="minorHAnsi" w:hAnsiTheme="minorHAnsi" w:cstheme="minorHAnsi"/>
          <w:spacing w:val="-2"/>
        </w:rPr>
        <w:t>or for certain periods</w:t>
      </w:r>
      <w:r w:rsidR="007135B2">
        <w:rPr>
          <w:rFonts w:asciiTheme="minorHAnsi" w:hAnsiTheme="minorHAnsi" w:cstheme="minorHAnsi"/>
          <w:spacing w:val="-2"/>
        </w:rPr>
        <w:t xml:space="preserve"> of employment)</w:t>
      </w:r>
      <w:r w:rsidRPr="00A71EC5">
        <w:rPr>
          <w:rFonts w:asciiTheme="minorHAnsi" w:hAnsiTheme="minorHAnsi" w:cstheme="minorHAnsi"/>
          <w:spacing w:val="-2"/>
        </w:rPr>
        <w:t xml:space="preserve">, </w:t>
      </w:r>
      <w:r>
        <w:rPr>
          <w:rFonts w:asciiTheme="minorHAnsi" w:hAnsiTheme="minorHAnsi" w:cstheme="minorHAnsi"/>
          <w:spacing w:val="-2"/>
        </w:rPr>
        <w:t>difficulties</w:t>
      </w:r>
      <w:r w:rsidRPr="00A71EC5">
        <w:rPr>
          <w:rFonts w:asciiTheme="minorHAnsi" w:hAnsiTheme="minorHAnsi" w:cstheme="minorHAnsi"/>
          <w:spacing w:val="-2"/>
        </w:rPr>
        <w:t xml:space="preserve"> </w:t>
      </w:r>
      <w:r w:rsidR="004719EA">
        <w:rPr>
          <w:rFonts w:asciiTheme="minorHAnsi" w:hAnsiTheme="minorHAnsi" w:cstheme="minorHAnsi"/>
          <w:spacing w:val="-2"/>
        </w:rPr>
        <w:t xml:space="preserve">arose </w:t>
      </w:r>
      <w:r w:rsidRPr="00A71EC5">
        <w:rPr>
          <w:rFonts w:asciiTheme="minorHAnsi" w:hAnsiTheme="minorHAnsi" w:cstheme="minorHAnsi"/>
          <w:spacing w:val="-2"/>
        </w:rPr>
        <w:t xml:space="preserve">in determining whether </w:t>
      </w:r>
      <w:r>
        <w:rPr>
          <w:rFonts w:asciiTheme="minorHAnsi" w:hAnsiTheme="minorHAnsi" w:cstheme="minorHAnsi"/>
          <w:spacing w:val="-2"/>
        </w:rPr>
        <w:t>employees</w:t>
      </w:r>
      <w:r w:rsidRPr="00A71EC5">
        <w:rPr>
          <w:rFonts w:asciiTheme="minorHAnsi" w:hAnsiTheme="minorHAnsi" w:cstheme="minorHAnsi"/>
          <w:spacing w:val="-2"/>
        </w:rPr>
        <w:t xml:space="preserve"> ha</w:t>
      </w:r>
      <w:r w:rsidR="00C1582B">
        <w:rPr>
          <w:rFonts w:asciiTheme="minorHAnsi" w:hAnsiTheme="minorHAnsi" w:cstheme="minorHAnsi"/>
          <w:spacing w:val="-2"/>
        </w:rPr>
        <w:t>d</w:t>
      </w:r>
      <w:r w:rsidRPr="00A71EC5">
        <w:rPr>
          <w:rFonts w:asciiTheme="minorHAnsi" w:hAnsiTheme="minorHAnsi" w:cstheme="minorHAnsi"/>
          <w:spacing w:val="-2"/>
        </w:rPr>
        <w:t xml:space="preserve"> been correctly identified as casual</w:t>
      </w:r>
      <w:r w:rsidR="00282A52">
        <w:rPr>
          <w:rFonts w:asciiTheme="minorHAnsi" w:hAnsiTheme="minorHAnsi" w:cstheme="minorHAnsi"/>
          <w:spacing w:val="-2"/>
        </w:rPr>
        <w:t xml:space="preserve"> and for what purposes that classification applied</w:t>
      </w:r>
      <w:r w:rsidRPr="00A71EC5">
        <w:rPr>
          <w:rFonts w:asciiTheme="minorHAnsi" w:hAnsiTheme="minorHAnsi" w:cstheme="minorHAnsi"/>
          <w:spacing w:val="-2"/>
        </w:rPr>
        <w:t>.</w:t>
      </w:r>
      <w:r w:rsidR="00AA3648">
        <w:rPr>
          <w:rFonts w:asciiTheme="minorHAnsi" w:hAnsiTheme="minorHAnsi" w:cstheme="minorHAnsi"/>
          <w:spacing w:val="-2"/>
        </w:rPr>
        <w:t xml:space="preserve"> </w:t>
      </w:r>
    </w:p>
    <w:p w14:paraId="341DB362" w14:textId="77777777" w:rsidR="00816305" w:rsidRPr="00A71EC5" w:rsidRDefault="00816305" w:rsidP="000D02BD">
      <w:pPr>
        <w:spacing w:before="242"/>
        <w:ind w:left="23"/>
        <w:rPr>
          <w:rFonts w:cstheme="minorHAnsi"/>
          <w:i/>
          <w:spacing w:val="-2"/>
        </w:rPr>
      </w:pPr>
      <w:r w:rsidRPr="00A71EC5">
        <w:rPr>
          <w:rFonts w:cstheme="minorHAnsi"/>
          <w:i/>
        </w:rPr>
        <w:t>Definition of casual</w:t>
      </w:r>
      <w:r w:rsidRPr="00A71EC5">
        <w:rPr>
          <w:rFonts w:cstheme="minorHAnsi"/>
          <w:i/>
          <w:spacing w:val="-4"/>
        </w:rPr>
        <w:t xml:space="preserve"> </w:t>
      </w:r>
      <w:r w:rsidRPr="00A71EC5">
        <w:rPr>
          <w:rFonts w:cstheme="minorHAnsi"/>
          <w:i/>
          <w:spacing w:val="-2"/>
        </w:rPr>
        <w:t>employment</w:t>
      </w:r>
    </w:p>
    <w:p w14:paraId="49E85ED1" w14:textId="5C30CAB8" w:rsidR="006E18E8" w:rsidRDefault="007135B2" w:rsidP="000D02BD">
      <w:pPr>
        <w:pStyle w:val="BodyText"/>
        <w:ind w:right="58"/>
        <w:rPr>
          <w:rFonts w:asciiTheme="minorHAnsi" w:hAnsiTheme="minorHAnsi" w:cstheme="minorBidi"/>
        </w:rPr>
      </w:pPr>
      <w:r w:rsidRPr="15F8FB7F">
        <w:rPr>
          <w:rFonts w:asciiTheme="minorHAnsi" w:hAnsiTheme="minorHAnsi" w:cstheme="minorBidi"/>
        </w:rPr>
        <w:t>S</w:t>
      </w:r>
      <w:r w:rsidR="00816305" w:rsidRPr="15F8FB7F">
        <w:rPr>
          <w:rFonts w:asciiTheme="minorHAnsi" w:hAnsiTheme="minorHAnsi" w:cstheme="minorBidi"/>
        </w:rPr>
        <w:t>ection 15A of the Fair Work Act</w:t>
      </w:r>
      <w:r w:rsidR="006E18E8">
        <w:rPr>
          <w:rFonts w:asciiTheme="minorHAnsi" w:hAnsiTheme="minorHAnsi" w:cstheme="minorBidi"/>
        </w:rPr>
        <w:t>, which was introduced on 27 March 2021,</w:t>
      </w:r>
      <w:r w:rsidR="00816305" w:rsidRPr="15F8FB7F">
        <w:rPr>
          <w:rFonts w:asciiTheme="minorHAnsi" w:hAnsiTheme="minorHAnsi" w:cstheme="minorBidi"/>
        </w:rPr>
        <w:t xml:space="preserve"> sets out a statutory definition of casual employment. </w:t>
      </w:r>
      <w:r w:rsidR="006E18E8" w:rsidRPr="00A71EC5">
        <w:rPr>
          <w:rFonts w:asciiTheme="minorHAnsi" w:hAnsiTheme="minorHAnsi" w:cstheme="minorHAnsi"/>
        </w:rPr>
        <w:t>Under the original section 15A</w:t>
      </w:r>
      <w:r w:rsidR="006E18E8">
        <w:rPr>
          <w:rFonts w:asciiTheme="minorHAnsi" w:hAnsiTheme="minorHAnsi" w:cstheme="minorHAnsi"/>
        </w:rPr>
        <w:t>,</w:t>
      </w:r>
      <w:r w:rsidR="006E18E8" w:rsidRPr="00A71EC5">
        <w:rPr>
          <w:rFonts w:asciiTheme="minorHAnsi" w:hAnsiTheme="minorHAnsi" w:cstheme="minorHAnsi"/>
        </w:rPr>
        <w:t xml:space="preserve"> the definition of casual employment focused</w:t>
      </w:r>
      <w:r w:rsidR="006E18E8" w:rsidRPr="00A71EC5">
        <w:rPr>
          <w:rFonts w:asciiTheme="minorHAnsi" w:hAnsiTheme="minorHAnsi" w:cstheme="minorHAnsi"/>
          <w:spacing w:val="-3"/>
        </w:rPr>
        <w:t xml:space="preserve"> </w:t>
      </w:r>
      <w:r w:rsidR="006E18E8" w:rsidRPr="00A71EC5">
        <w:rPr>
          <w:rFonts w:asciiTheme="minorHAnsi" w:hAnsiTheme="minorHAnsi" w:cstheme="minorHAnsi"/>
        </w:rPr>
        <w:t>on</w:t>
      </w:r>
      <w:r w:rsidR="006E18E8" w:rsidRPr="00A71EC5">
        <w:rPr>
          <w:rFonts w:asciiTheme="minorHAnsi" w:hAnsiTheme="minorHAnsi" w:cstheme="minorHAnsi"/>
          <w:spacing w:val="-2"/>
        </w:rPr>
        <w:t xml:space="preserve"> </w:t>
      </w:r>
      <w:r w:rsidR="006E18E8" w:rsidRPr="00A71EC5">
        <w:rPr>
          <w:rFonts w:asciiTheme="minorHAnsi" w:hAnsiTheme="minorHAnsi" w:cstheme="minorHAnsi"/>
        </w:rPr>
        <w:t>the</w:t>
      </w:r>
      <w:r w:rsidR="006E18E8" w:rsidRPr="00A71EC5">
        <w:rPr>
          <w:rFonts w:asciiTheme="minorHAnsi" w:hAnsiTheme="minorHAnsi" w:cstheme="minorHAnsi"/>
          <w:spacing w:val="-3"/>
        </w:rPr>
        <w:t xml:space="preserve"> </w:t>
      </w:r>
      <w:r w:rsidR="006E18E8" w:rsidRPr="00A71EC5">
        <w:rPr>
          <w:rFonts w:asciiTheme="minorHAnsi" w:hAnsiTheme="minorHAnsi" w:cstheme="minorHAnsi"/>
        </w:rPr>
        <w:t>offer</w:t>
      </w:r>
      <w:r w:rsidR="006E18E8" w:rsidRPr="00A71EC5">
        <w:rPr>
          <w:rFonts w:asciiTheme="minorHAnsi" w:hAnsiTheme="minorHAnsi" w:cstheme="minorHAnsi"/>
          <w:spacing w:val="-1"/>
        </w:rPr>
        <w:t xml:space="preserve"> </w:t>
      </w:r>
      <w:r w:rsidR="006E18E8" w:rsidRPr="00A71EC5">
        <w:rPr>
          <w:rFonts w:asciiTheme="minorHAnsi" w:hAnsiTheme="minorHAnsi" w:cstheme="minorHAnsi"/>
        </w:rPr>
        <w:t>of</w:t>
      </w:r>
      <w:r w:rsidR="006E18E8" w:rsidRPr="00A71EC5">
        <w:rPr>
          <w:rFonts w:asciiTheme="minorHAnsi" w:hAnsiTheme="minorHAnsi" w:cstheme="minorHAnsi"/>
          <w:spacing w:val="-3"/>
        </w:rPr>
        <w:t xml:space="preserve"> </w:t>
      </w:r>
      <w:r w:rsidR="006E18E8" w:rsidRPr="00A71EC5">
        <w:rPr>
          <w:rFonts w:asciiTheme="minorHAnsi" w:hAnsiTheme="minorHAnsi" w:cstheme="minorHAnsi"/>
        </w:rPr>
        <w:t>employment</w:t>
      </w:r>
      <w:r w:rsidR="006E18E8" w:rsidRPr="00A71EC5">
        <w:rPr>
          <w:rFonts w:asciiTheme="minorHAnsi" w:hAnsiTheme="minorHAnsi" w:cstheme="minorHAnsi"/>
          <w:spacing w:val="-3"/>
        </w:rPr>
        <w:t xml:space="preserve"> </w:t>
      </w:r>
      <w:r w:rsidR="006E18E8" w:rsidRPr="00A71EC5">
        <w:rPr>
          <w:rFonts w:asciiTheme="minorHAnsi" w:hAnsiTheme="minorHAnsi" w:cstheme="minorHAnsi"/>
        </w:rPr>
        <w:t>that</w:t>
      </w:r>
      <w:r w:rsidR="006E18E8" w:rsidRPr="00A71EC5">
        <w:rPr>
          <w:rFonts w:asciiTheme="minorHAnsi" w:hAnsiTheme="minorHAnsi" w:cstheme="minorHAnsi"/>
          <w:spacing w:val="-3"/>
        </w:rPr>
        <w:t xml:space="preserve"> </w:t>
      </w:r>
      <w:r w:rsidR="006E18E8" w:rsidRPr="00A71EC5">
        <w:rPr>
          <w:rFonts w:asciiTheme="minorHAnsi" w:hAnsiTheme="minorHAnsi" w:cstheme="minorHAnsi"/>
        </w:rPr>
        <w:t>was</w:t>
      </w:r>
      <w:r w:rsidR="006E18E8" w:rsidRPr="00A71EC5">
        <w:rPr>
          <w:rFonts w:asciiTheme="minorHAnsi" w:hAnsiTheme="minorHAnsi" w:cstheme="minorHAnsi"/>
          <w:spacing w:val="-3"/>
        </w:rPr>
        <w:t xml:space="preserve"> </w:t>
      </w:r>
      <w:r w:rsidR="006E18E8" w:rsidRPr="00A71EC5">
        <w:rPr>
          <w:rFonts w:asciiTheme="minorHAnsi" w:hAnsiTheme="minorHAnsi" w:cstheme="minorHAnsi"/>
        </w:rPr>
        <w:t>made</w:t>
      </w:r>
      <w:r w:rsidR="006E18E8" w:rsidRPr="00A71EC5">
        <w:rPr>
          <w:rFonts w:asciiTheme="minorHAnsi" w:hAnsiTheme="minorHAnsi" w:cstheme="minorHAnsi"/>
          <w:spacing w:val="-3"/>
        </w:rPr>
        <w:t xml:space="preserve"> </w:t>
      </w:r>
      <w:r w:rsidR="006E18E8" w:rsidRPr="00A71EC5">
        <w:rPr>
          <w:rFonts w:asciiTheme="minorHAnsi" w:hAnsiTheme="minorHAnsi" w:cstheme="minorHAnsi"/>
        </w:rPr>
        <w:t>to and</w:t>
      </w:r>
      <w:r w:rsidR="006E18E8" w:rsidRPr="00A71EC5">
        <w:rPr>
          <w:rFonts w:asciiTheme="minorHAnsi" w:hAnsiTheme="minorHAnsi" w:cstheme="minorHAnsi"/>
          <w:spacing w:val="-2"/>
        </w:rPr>
        <w:t xml:space="preserve"> </w:t>
      </w:r>
      <w:r w:rsidR="006E18E8" w:rsidRPr="00A71EC5">
        <w:rPr>
          <w:rFonts w:asciiTheme="minorHAnsi" w:hAnsiTheme="minorHAnsi" w:cstheme="minorHAnsi"/>
        </w:rPr>
        <w:t>accepted</w:t>
      </w:r>
      <w:r w:rsidR="006E18E8" w:rsidRPr="00A71EC5">
        <w:rPr>
          <w:rFonts w:asciiTheme="minorHAnsi" w:hAnsiTheme="minorHAnsi" w:cstheme="minorHAnsi"/>
          <w:spacing w:val="-4"/>
        </w:rPr>
        <w:t xml:space="preserve"> </w:t>
      </w:r>
      <w:r w:rsidR="006E18E8" w:rsidRPr="00A71EC5">
        <w:rPr>
          <w:rFonts w:asciiTheme="minorHAnsi" w:hAnsiTheme="minorHAnsi" w:cstheme="minorHAnsi"/>
        </w:rPr>
        <w:t>by the employee.</w:t>
      </w:r>
      <w:r w:rsidR="006E18E8" w:rsidRPr="00A71EC5">
        <w:rPr>
          <w:rFonts w:asciiTheme="minorHAnsi" w:hAnsiTheme="minorHAnsi" w:cstheme="minorHAnsi"/>
          <w:spacing w:val="-1"/>
        </w:rPr>
        <w:t xml:space="preserve"> </w:t>
      </w:r>
      <w:r w:rsidR="006E18E8" w:rsidRPr="00A71EC5">
        <w:rPr>
          <w:rFonts w:asciiTheme="minorHAnsi" w:hAnsiTheme="minorHAnsi" w:cstheme="minorHAnsi"/>
        </w:rPr>
        <w:t>A</w:t>
      </w:r>
      <w:r w:rsidR="006E18E8" w:rsidRPr="00A71EC5">
        <w:rPr>
          <w:rFonts w:asciiTheme="minorHAnsi" w:hAnsiTheme="minorHAnsi" w:cstheme="minorHAnsi"/>
          <w:spacing w:val="-1"/>
        </w:rPr>
        <w:t xml:space="preserve"> </w:t>
      </w:r>
      <w:r w:rsidR="006E18E8" w:rsidRPr="00A71EC5">
        <w:rPr>
          <w:rFonts w:asciiTheme="minorHAnsi" w:hAnsiTheme="minorHAnsi" w:cstheme="minorHAnsi"/>
        </w:rPr>
        <w:t>person</w:t>
      </w:r>
      <w:r w:rsidR="006E18E8" w:rsidRPr="00A71EC5">
        <w:rPr>
          <w:rFonts w:asciiTheme="minorHAnsi" w:hAnsiTheme="minorHAnsi" w:cstheme="minorHAnsi"/>
          <w:spacing w:val="-2"/>
        </w:rPr>
        <w:t xml:space="preserve"> </w:t>
      </w:r>
      <w:r w:rsidR="006E18E8" w:rsidRPr="00A71EC5">
        <w:rPr>
          <w:rFonts w:asciiTheme="minorHAnsi" w:hAnsiTheme="minorHAnsi" w:cstheme="minorHAnsi"/>
        </w:rPr>
        <w:t>was</w:t>
      </w:r>
      <w:r w:rsidR="006E18E8" w:rsidRPr="00A71EC5">
        <w:rPr>
          <w:rFonts w:asciiTheme="minorHAnsi" w:hAnsiTheme="minorHAnsi" w:cstheme="minorHAnsi"/>
          <w:spacing w:val="-1"/>
        </w:rPr>
        <w:t xml:space="preserve"> </w:t>
      </w:r>
      <w:r w:rsidR="006E18E8" w:rsidRPr="00A71EC5">
        <w:rPr>
          <w:rFonts w:asciiTheme="minorHAnsi" w:hAnsiTheme="minorHAnsi" w:cstheme="minorHAnsi"/>
        </w:rPr>
        <w:t>a casual employee if they accept</w:t>
      </w:r>
      <w:r w:rsidR="006E18E8">
        <w:rPr>
          <w:rFonts w:asciiTheme="minorHAnsi" w:hAnsiTheme="minorHAnsi" w:cstheme="minorHAnsi"/>
        </w:rPr>
        <w:t>ed</w:t>
      </w:r>
      <w:r w:rsidR="006E18E8" w:rsidRPr="00A71EC5">
        <w:rPr>
          <w:rFonts w:asciiTheme="minorHAnsi" w:hAnsiTheme="minorHAnsi" w:cstheme="minorHAnsi"/>
        </w:rPr>
        <w:t xml:space="preserve"> an</w:t>
      </w:r>
      <w:r w:rsidR="006E18E8" w:rsidRPr="00A71EC5">
        <w:rPr>
          <w:rFonts w:asciiTheme="minorHAnsi" w:hAnsiTheme="minorHAnsi" w:cstheme="minorHAnsi"/>
          <w:spacing w:val="-2"/>
        </w:rPr>
        <w:t xml:space="preserve"> </w:t>
      </w:r>
      <w:r w:rsidR="006E18E8" w:rsidRPr="00A71EC5">
        <w:rPr>
          <w:rFonts w:asciiTheme="minorHAnsi" w:hAnsiTheme="minorHAnsi" w:cstheme="minorHAnsi"/>
        </w:rPr>
        <w:t>offer</w:t>
      </w:r>
      <w:r w:rsidR="006E18E8" w:rsidRPr="00A71EC5">
        <w:rPr>
          <w:rFonts w:asciiTheme="minorHAnsi" w:hAnsiTheme="minorHAnsi" w:cstheme="minorHAnsi"/>
          <w:spacing w:val="-1"/>
        </w:rPr>
        <w:t xml:space="preserve"> </w:t>
      </w:r>
      <w:r w:rsidR="006E18E8" w:rsidRPr="00A71EC5">
        <w:rPr>
          <w:rFonts w:asciiTheme="minorHAnsi" w:hAnsiTheme="minorHAnsi" w:cstheme="minorHAnsi"/>
        </w:rPr>
        <w:t>of</w:t>
      </w:r>
      <w:r w:rsidR="006E18E8" w:rsidRPr="00A71EC5">
        <w:rPr>
          <w:rFonts w:asciiTheme="minorHAnsi" w:hAnsiTheme="minorHAnsi" w:cstheme="minorHAnsi"/>
          <w:spacing w:val="-1"/>
        </w:rPr>
        <w:t xml:space="preserve"> </w:t>
      </w:r>
      <w:r w:rsidR="006E18E8" w:rsidRPr="00A71EC5">
        <w:rPr>
          <w:rFonts w:asciiTheme="minorHAnsi" w:hAnsiTheme="minorHAnsi" w:cstheme="minorHAnsi"/>
        </w:rPr>
        <w:t xml:space="preserve">employment </w:t>
      </w:r>
      <w:hyperlink r:id="rId11" w:anchor="made">
        <w:r w:rsidR="006E18E8" w:rsidRPr="00A71EC5">
          <w:rPr>
            <w:rFonts w:asciiTheme="minorHAnsi" w:hAnsiTheme="minorHAnsi" w:cstheme="minorHAnsi"/>
          </w:rPr>
          <w:t>made</w:t>
        </w:r>
      </w:hyperlink>
      <w:r w:rsidR="006E18E8" w:rsidRPr="00A71EC5">
        <w:rPr>
          <w:rFonts w:asciiTheme="minorHAnsi" w:hAnsiTheme="minorHAnsi" w:cstheme="minorHAnsi"/>
        </w:rPr>
        <w:t xml:space="preserve"> on the basis that</w:t>
      </w:r>
      <w:r w:rsidR="006E18E8" w:rsidRPr="00A71EC5">
        <w:rPr>
          <w:rFonts w:asciiTheme="minorHAnsi" w:hAnsiTheme="minorHAnsi" w:cstheme="minorHAnsi"/>
          <w:spacing w:val="-1"/>
        </w:rPr>
        <w:t xml:space="preserve"> </w:t>
      </w:r>
      <w:r w:rsidR="006E18E8" w:rsidRPr="00A71EC5">
        <w:rPr>
          <w:rFonts w:asciiTheme="minorHAnsi" w:hAnsiTheme="minorHAnsi" w:cstheme="minorHAnsi"/>
        </w:rPr>
        <w:t xml:space="preserve">the </w:t>
      </w:r>
      <w:hyperlink r:id="rId12" w:anchor="employer">
        <w:r w:rsidR="006E18E8" w:rsidRPr="00A71EC5">
          <w:rPr>
            <w:rFonts w:asciiTheme="minorHAnsi" w:hAnsiTheme="minorHAnsi" w:cstheme="minorHAnsi"/>
          </w:rPr>
          <w:t>employer</w:t>
        </w:r>
      </w:hyperlink>
      <w:r w:rsidR="006E18E8" w:rsidRPr="00A71EC5">
        <w:rPr>
          <w:rFonts w:asciiTheme="minorHAnsi" w:hAnsiTheme="minorHAnsi" w:cstheme="minorHAnsi"/>
          <w:spacing w:val="-1"/>
        </w:rPr>
        <w:t xml:space="preserve"> </w:t>
      </w:r>
      <w:r w:rsidR="006E18E8" w:rsidRPr="00A71EC5">
        <w:rPr>
          <w:rFonts w:asciiTheme="minorHAnsi" w:hAnsiTheme="minorHAnsi" w:cstheme="minorHAnsi"/>
        </w:rPr>
        <w:t>ma</w:t>
      </w:r>
      <w:r w:rsidR="006E18E8">
        <w:rPr>
          <w:rFonts w:asciiTheme="minorHAnsi" w:hAnsiTheme="minorHAnsi" w:cstheme="minorHAnsi"/>
        </w:rPr>
        <w:t>d</w:t>
      </w:r>
      <w:r w:rsidR="006E18E8" w:rsidRPr="00A71EC5">
        <w:rPr>
          <w:rFonts w:asciiTheme="minorHAnsi" w:hAnsiTheme="minorHAnsi" w:cstheme="minorHAnsi"/>
        </w:rPr>
        <w:t>e no firm advance commitment to continuing and indefinite work according to an agreed pattern of work for the person. Section 15</w:t>
      </w:r>
      <w:proofErr w:type="gramStart"/>
      <w:r w:rsidR="006E18E8" w:rsidRPr="00A71EC5">
        <w:rPr>
          <w:rFonts w:asciiTheme="minorHAnsi" w:hAnsiTheme="minorHAnsi" w:cstheme="minorHAnsi"/>
        </w:rPr>
        <w:t>A(</w:t>
      </w:r>
      <w:proofErr w:type="gramEnd"/>
      <w:r w:rsidR="006E18E8" w:rsidRPr="00A71EC5">
        <w:rPr>
          <w:rFonts w:asciiTheme="minorHAnsi" w:hAnsiTheme="minorHAnsi" w:cstheme="minorHAnsi"/>
        </w:rPr>
        <w:t xml:space="preserve">2) set out a confined list of factors that had </w:t>
      </w:r>
      <w:r w:rsidR="006E18E8">
        <w:rPr>
          <w:rFonts w:asciiTheme="minorHAnsi" w:hAnsiTheme="minorHAnsi" w:cstheme="minorHAnsi"/>
        </w:rPr>
        <w:t xml:space="preserve">to </w:t>
      </w:r>
      <w:r w:rsidR="006E18E8" w:rsidRPr="00A71EC5">
        <w:rPr>
          <w:rFonts w:asciiTheme="minorHAnsi" w:hAnsiTheme="minorHAnsi" w:cstheme="minorHAnsi"/>
        </w:rPr>
        <w:t>be considered in working out whether there was such a firm advance commitment. The original section 15</w:t>
      </w:r>
      <w:proofErr w:type="gramStart"/>
      <w:r w:rsidR="006E18E8" w:rsidRPr="00A71EC5">
        <w:rPr>
          <w:rFonts w:asciiTheme="minorHAnsi" w:hAnsiTheme="minorHAnsi" w:cstheme="minorHAnsi"/>
        </w:rPr>
        <w:t>A(</w:t>
      </w:r>
      <w:proofErr w:type="gramEnd"/>
      <w:r w:rsidR="006E18E8" w:rsidRPr="00A71EC5">
        <w:rPr>
          <w:rFonts w:asciiTheme="minorHAnsi" w:hAnsiTheme="minorHAnsi" w:cstheme="minorHAnsi"/>
        </w:rPr>
        <w:t>4) of the Fair Work Act expressly precluded considering post-contractual conduct when determining the nature of the offer that was made and accepted. This means that the terms of an employee’s</w:t>
      </w:r>
      <w:r w:rsidR="006E18E8" w:rsidRPr="00A71EC5">
        <w:rPr>
          <w:rFonts w:asciiTheme="minorHAnsi" w:hAnsiTheme="minorHAnsi" w:cstheme="minorHAnsi"/>
          <w:spacing w:val="-4"/>
        </w:rPr>
        <w:t xml:space="preserve"> </w:t>
      </w:r>
      <w:r w:rsidR="006E18E8" w:rsidRPr="00A71EC5">
        <w:rPr>
          <w:rFonts w:asciiTheme="minorHAnsi" w:hAnsiTheme="minorHAnsi" w:cstheme="minorHAnsi"/>
        </w:rPr>
        <w:t>contract</w:t>
      </w:r>
      <w:r w:rsidR="006E18E8" w:rsidRPr="00A71EC5">
        <w:rPr>
          <w:rFonts w:asciiTheme="minorHAnsi" w:hAnsiTheme="minorHAnsi" w:cstheme="minorHAnsi"/>
          <w:spacing w:val="-4"/>
        </w:rPr>
        <w:t xml:space="preserve"> </w:t>
      </w:r>
      <w:r w:rsidR="006E18E8" w:rsidRPr="00A71EC5">
        <w:rPr>
          <w:rFonts w:asciiTheme="minorHAnsi" w:hAnsiTheme="minorHAnsi" w:cstheme="minorHAnsi"/>
        </w:rPr>
        <w:t>will be</w:t>
      </w:r>
      <w:r w:rsidR="006E18E8" w:rsidRPr="00A71EC5">
        <w:rPr>
          <w:rFonts w:asciiTheme="minorHAnsi" w:hAnsiTheme="minorHAnsi" w:cstheme="minorHAnsi"/>
          <w:spacing w:val="-1"/>
        </w:rPr>
        <w:t xml:space="preserve"> </w:t>
      </w:r>
      <w:r w:rsidR="006E18E8" w:rsidRPr="00A71EC5">
        <w:rPr>
          <w:rFonts w:asciiTheme="minorHAnsi" w:hAnsiTheme="minorHAnsi" w:cstheme="minorHAnsi"/>
        </w:rPr>
        <w:t>critical to</w:t>
      </w:r>
      <w:r w:rsidR="006E18E8" w:rsidRPr="00A71EC5">
        <w:rPr>
          <w:rFonts w:asciiTheme="minorHAnsi" w:hAnsiTheme="minorHAnsi" w:cstheme="minorHAnsi"/>
          <w:spacing w:val="-1"/>
        </w:rPr>
        <w:t xml:space="preserve"> </w:t>
      </w:r>
      <w:r w:rsidR="006E18E8" w:rsidRPr="00A71EC5">
        <w:rPr>
          <w:rFonts w:asciiTheme="minorHAnsi" w:hAnsiTheme="minorHAnsi" w:cstheme="minorHAnsi"/>
        </w:rPr>
        <w:t>determining</w:t>
      </w:r>
      <w:r w:rsidR="006E18E8" w:rsidRPr="00A71EC5">
        <w:rPr>
          <w:rFonts w:asciiTheme="minorHAnsi" w:hAnsiTheme="minorHAnsi" w:cstheme="minorHAnsi"/>
          <w:spacing w:val="-3"/>
        </w:rPr>
        <w:t xml:space="preserve"> </w:t>
      </w:r>
      <w:r w:rsidR="006E18E8" w:rsidRPr="00A71EC5">
        <w:rPr>
          <w:rFonts w:asciiTheme="minorHAnsi" w:hAnsiTheme="minorHAnsi" w:cstheme="minorHAnsi"/>
        </w:rPr>
        <w:t>the</w:t>
      </w:r>
      <w:r w:rsidR="006E18E8" w:rsidRPr="00A71EC5">
        <w:rPr>
          <w:rFonts w:asciiTheme="minorHAnsi" w:hAnsiTheme="minorHAnsi" w:cstheme="minorHAnsi"/>
          <w:spacing w:val="-1"/>
        </w:rPr>
        <w:t xml:space="preserve"> </w:t>
      </w:r>
      <w:r w:rsidR="006E18E8" w:rsidRPr="00A71EC5">
        <w:rPr>
          <w:rFonts w:asciiTheme="minorHAnsi" w:hAnsiTheme="minorHAnsi" w:cstheme="minorHAnsi"/>
        </w:rPr>
        <w:t>basis</w:t>
      </w:r>
      <w:r w:rsidR="006E18E8" w:rsidRPr="00A71EC5">
        <w:rPr>
          <w:rFonts w:asciiTheme="minorHAnsi" w:hAnsiTheme="minorHAnsi" w:cstheme="minorHAnsi"/>
          <w:spacing w:val="-4"/>
        </w:rPr>
        <w:t xml:space="preserve"> </w:t>
      </w:r>
      <w:r w:rsidR="006E18E8" w:rsidRPr="00A71EC5">
        <w:rPr>
          <w:rFonts w:asciiTheme="minorHAnsi" w:hAnsiTheme="minorHAnsi" w:cstheme="minorHAnsi"/>
        </w:rPr>
        <w:t>on</w:t>
      </w:r>
      <w:r w:rsidR="006E18E8" w:rsidRPr="00A71EC5">
        <w:rPr>
          <w:rFonts w:asciiTheme="minorHAnsi" w:hAnsiTheme="minorHAnsi" w:cstheme="minorHAnsi"/>
          <w:spacing w:val="-3"/>
        </w:rPr>
        <w:t xml:space="preserve"> </w:t>
      </w:r>
      <w:r w:rsidR="006E18E8" w:rsidRPr="00A71EC5">
        <w:rPr>
          <w:rFonts w:asciiTheme="minorHAnsi" w:hAnsiTheme="minorHAnsi" w:cstheme="minorHAnsi"/>
        </w:rPr>
        <w:t>which</w:t>
      </w:r>
      <w:r w:rsidR="006E18E8" w:rsidRPr="00A71EC5">
        <w:rPr>
          <w:rFonts w:asciiTheme="minorHAnsi" w:hAnsiTheme="minorHAnsi" w:cstheme="minorHAnsi"/>
          <w:spacing w:val="-5"/>
        </w:rPr>
        <w:t xml:space="preserve"> </w:t>
      </w:r>
      <w:r w:rsidR="006E18E8" w:rsidRPr="00A71EC5">
        <w:rPr>
          <w:rFonts w:asciiTheme="minorHAnsi" w:hAnsiTheme="minorHAnsi" w:cstheme="minorHAnsi"/>
        </w:rPr>
        <w:t>employment</w:t>
      </w:r>
      <w:r w:rsidR="006E18E8" w:rsidRPr="00A71EC5">
        <w:rPr>
          <w:rFonts w:asciiTheme="minorHAnsi" w:hAnsiTheme="minorHAnsi" w:cstheme="minorHAnsi"/>
          <w:spacing w:val="-1"/>
        </w:rPr>
        <w:t xml:space="preserve"> </w:t>
      </w:r>
      <w:r w:rsidR="006E18E8" w:rsidRPr="00A71EC5">
        <w:rPr>
          <w:rFonts w:asciiTheme="minorHAnsi" w:hAnsiTheme="minorHAnsi" w:cstheme="minorHAnsi"/>
        </w:rPr>
        <w:t>was</w:t>
      </w:r>
      <w:r w:rsidR="006E18E8" w:rsidRPr="00A71EC5">
        <w:rPr>
          <w:rFonts w:asciiTheme="minorHAnsi" w:hAnsiTheme="minorHAnsi" w:cstheme="minorHAnsi"/>
          <w:spacing w:val="-4"/>
        </w:rPr>
        <w:t xml:space="preserve"> </w:t>
      </w:r>
      <w:r w:rsidR="006E18E8" w:rsidRPr="00A71EC5">
        <w:rPr>
          <w:rFonts w:asciiTheme="minorHAnsi" w:hAnsiTheme="minorHAnsi" w:cstheme="minorHAnsi"/>
        </w:rPr>
        <w:t>offered</w:t>
      </w:r>
      <w:r w:rsidR="006E18E8" w:rsidRPr="00A71EC5">
        <w:rPr>
          <w:rFonts w:asciiTheme="minorHAnsi" w:hAnsiTheme="minorHAnsi" w:cstheme="minorHAnsi"/>
          <w:spacing w:val="-3"/>
        </w:rPr>
        <w:t xml:space="preserve"> </w:t>
      </w:r>
      <w:r w:rsidR="006E18E8" w:rsidRPr="00A71EC5">
        <w:rPr>
          <w:rFonts w:asciiTheme="minorHAnsi" w:hAnsiTheme="minorHAnsi" w:cstheme="minorHAnsi"/>
        </w:rPr>
        <w:t>and accepted for the purposes of the original statutory definition.</w:t>
      </w:r>
      <w:r w:rsidR="006E18E8">
        <w:rPr>
          <w:rFonts w:asciiTheme="minorHAnsi" w:hAnsiTheme="minorHAnsi" w:cstheme="minorHAnsi"/>
        </w:rPr>
        <w:t xml:space="preserve"> </w:t>
      </w:r>
    </w:p>
    <w:p w14:paraId="53A23FA7" w14:textId="5A6A2C9E" w:rsidR="00170670" w:rsidRPr="00A71EC5" w:rsidRDefault="00170670" w:rsidP="000D02BD">
      <w:pPr>
        <w:pStyle w:val="BodyText"/>
        <w:ind w:right="58"/>
        <w:rPr>
          <w:rFonts w:asciiTheme="minorHAnsi" w:hAnsiTheme="minorHAnsi" w:cstheme="minorHAnsi"/>
        </w:rPr>
      </w:pPr>
      <w:r w:rsidRPr="15F8FB7F">
        <w:rPr>
          <w:rFonts w:asciiTheme="minorHAnsi" w:hAnsiTheme="minorHAnsi" w:cstheme="minorBidi"/>
        </w:rPr>
        <w:t xml:space="preserve">When the original section 15A was introduced it applied </w:t>
      </w:r>
      <w:r w:rsidRPr="15F8FB7F">
        <w:rPr>
          <w:rFonts w:asciiTheme="minorHAnsi" w:hAnsiTheme="minorHAnsi" w:cstheme="minorBidi"/>
          <w:b/>
        </w:rPr>
        <w:t>with</w:t>
      </w:r>
      <w:r w:rsidRPr="15F8FB7F">
        <w:rPr>
          <w:rFonts w:asciiTheme="minorHAnsi" w:hAnsiTheme="minorHAnsi" w:cstheme="minorBidi"/>
        </w:rPr>
        <w:t xml:space="preserve"> </w:t>
      </w:r>
      <w:r w:rsidRPr="15F8FB7F">
        <w:rPr>
          <w:rFonts w:asciiTheme="minorHAnsi" w:hAnsiTheme="minorHAnsi" w:cstheme="minorBidi"/>
          <w:b/>
        </w:rPr>
        <w:t>retrospective effect</w:t>
      </w:r>
      <w:r w:rsidRPr="15F8FB7F">
        <w:rPr>
          <w:rFonts w:asciiTheme="minorHAnsi" w:hAnsiTheme="minorHAnsi" w:cstheme="minorBidi"/>
        </w:rPr>
        <w:t xml:space="preserve"> to offers of employment given before commencement.</w:t>
      </w:r>
      <w:r w:rsidRPr="15F8FB7F">
        <w:rPr>
          <w:rStyle w:val="FootnoteReference"/>
          <w:rFonts w:asciiTheme="minorHAnsi" w:hAnsiTheme="minorHAnsi" w:cstheme="minorBidi"/>
        </w:rPr>
        <w:footnoteReference w:id="9"/>
      </w:r>
      <w:r w:rsidRPr="15F8FB7F">
        <w:rPr>
          <w:rFonts w:asciiTheme="minorHAnsi" w:hAnsiTheme="minorHAnsi" w:cstheme="minorBidi"/>
          <w:spacing w:val="40"/>
        </w:rPr>
        <w:t xml:space="preserve"> </w:t>
      </w:r>
      <w:r w:rsidRPr="15F8FB7F">
        <w:rPr>
          <w:rFonts w:asciiTheme="minorHAnsi" w:hAnsiTheme="minorHAnsi" w:cstheme="minorBidi"/>
        </w:rPr>
        <w:t>As</w:t>
      </w:r>
      <w:r w:rsidRPr="15F8FB7F">
        <w:rPr>
          <w:rFonts w:asciiTheme="minorHAnsi" w:hAnsiTheme="minorHAnsi" w:cstheme="minorBidi"/>
          <w:spacing w:val="-1"/>
        </w:rPr>
        <w:t xml:space="preserve"> </w:t>
      </w:r>
      <w:r w:rsidRPr="15F8FB7F">
        <w:rPr>
          <w:rFonts w:asciiTheme="minorHAnsi" w:hAnsiTheme="minorHAnsi" w:cstheme="minorBidi"/>
        </w:rPr>
        <w:t>a</w:t>
      </w:r>
      <w:r w:rsidRPr="15F8FB7F">
        <w:rPr>
          <w:rFonts w:asciiTheme="minorHAnsi" w:hAnsiTheme="minorHAnsi" w:cstheme="minorBidi"/>
          <w:spacing w:val="-1"/>
        </w:rPr>
        <w:t xml:space="preserve"> </w:t>
      </w:r>
      <w:r w:rsidRPr="15F8FB7F">
        <w:rPr>
          <w:rFonts w:asciiTheme="minorHAnsi" w:hAnsiTheme="minorHAnsi" w:cstheme="minorBidi"/>
        </w:rPr>
        <w:t>result,</w:t>
      </w:r>
      <w:r w:rsidRPr="15F8FB7F">
        <w:rPr>
          <w:rFonts w:asciiTheme="minorHAnsi" w:hAnsiTheme="minorHAnsi" w:cstheme="minorBidi"/>
          <w:spacing w:val="-3"/>
        </w:rPr>
        <w:t xml:space="preserve"> </w:t>
      </w:r>
      <w:r w:rsidRPr="15F8FB7F">
        <w:rPr>
          <w:rFonts w:asciiTheme="minorHAnsi" w:hAnsiTheme="minorHAnsi" w:cstheme="minorBidi"/>
        </w:rPr>
        <w:t>even</w:t>
      </w:r>
      <w:r w:rsidRPr="15F8FB7F">
        <w:rPr>
          <w:rFonts w:asciiTheme="minorHAnsi" w:hAnsiTheme="minorHAnsi" w:cstheme="minorBidi"/>
          <w:spacing w:val="-2"/>
        </w:rPr>
        <w:t xml:space="preserve"> </w:t>
      </w:r>
      <w:r w:rsidRPr="15F8FB7F">
        <w:rPr>
          <w:rFonts w:asciiTheme="minorHAnsi" w:hAnsiTheme="minorHAnsi" w:cstheme="minorBidi"/>
        </w:rPr>
        <w:t>in</w:t>
      </w:r>
      <w:r w:rsidRPr="15F8FB7F">
        <w:rPr>
          <w:rFonts w:asciiTheme="minorHAnsi" w:hAnsiTheme="minorHAnsi" w:cstheme="minorBidi"/>
          <w:spacing w:val="-2"/>
        </w:rPr>
        <w:t xml:space="preserve"> </w:t>
      </w:r>
      <w:r w:rsidRPr="15F8FB7F">
        <w:rPr>
          <w:rFonts w:asciiTheme="minorHAnsi" w:hAnsiTheme="minorHAnsi" w:cstheme="minorBidi"/>
        </w:rPr>
        <w:t>circumstances</w:t>
      </w:r>
      <w:r w:rsidRPr="15F8FB7F">
        <w:rPr>
          <w:rFonts w:asciiTheme="minorHAnsi" w:hAnsiTheme="minorHAnsi" w:cstheme="minorBidi"/>
          <w:spacing w:val="-3"/>
        </w:rPr>
        <w:t xml:space="preserve"> </w:t>
      </w:r>
      <w:r w:rsidRPr="15F8FB7F">
        <w:rPr>
          <w:rFonts w:asciiTheme="minorHAnsi" w:hAnsiTheme="minorHAnsi" w:cstheme="minorBidi"/>
        </w:rPr>
        <w:t>where an</w:t>
      </w:r>
      <w:r w:rsidRPr="15F8FB7F">
        <w:rPr>
          <w:rFonts w:asciiTheme="minorHAnsi" w:hAnsiTheme="minorHAnsi" w:cstheme="minorBidi"/>
          <w:spacing w:val="-2"/>
        </w:rPr>
        <w:t xml:space="preserve"> </w:t>
      </w:r>
      <w:r w:rsidRPr="15F8FB7F">
        <w:rPr>
          <w:rFonts w:asciiTheme="minorHAnsi" w:hAnsiTheme="minorHAnsi" w:cstheme="minorBidi"/>
        </w:rPr>
        <w:t>employee’s</w:t>
      </w:r>
      <w:r w:rsidRPr="15F8FB7F">
        <w:rPr>
          <w:rFonts w:asciiTheme="minorHAnsi" w:hAnsiTheme="minorHAnsi" w:cstheme="minorBidi"/>
          <w:spacing w:val="-3"/>
        </w:rPr>
        <w:t xml:space="preserve"> </w:t>
      </w:r>
      <w:r w:rsidRPr="15F8FB7F">
        <w:rPr>
          <w:rFonts w:asciiTheme="minorHAnsi" w:hAnsiTheme="minorHAnsi" w:cstheme="minorBidi"/>
        </w:rPr>
        <w:t>employment</w:t>
      </w:r>
      <w:r w:rsidRPr="15F8FB7F">
        <w:rPr>
          <w:rFonts w:asciiTheme="minorHAnsi" w:hAnsiTheme="minorHAnsi" w:cstheme="minorBidi"/>
          <w:spacing w:val="-3"/>
        </w:rPr>
        <w:t xml:space="preserve"> </w:t>
      </w:r>
      <w:r w:rsidRPr="15F8FB7F">
        <w:rPr>
          <w:rFonts w:asciiTheme="minorHAnsi" w:hAnsiTheme="minorHAnsi" w:cstheme="minorBidi"/>
        </w:rPr>
        <w:t>period</w:t>
      </w:r>
      <w:r w:rsidRPr="15F8FB7F">
        <w:rPr>
          <w:rFonts w:asciiTheme="minorHAnsi" w:hAnsiTheme="minorHAnsi" w:cstheme="minorBidi"/>
          <w:spacing w:val="-2"/>
        </w:rPr>
        <w:t xml:space="preserve"> </w:t>
      </w:r>
      <w:r w:rsidRPr="15F8FB7F">
        <w:rPr>
          <w:rFonts w:asciiTheme="minorHAnsi" w:hAnsiTheme="minorHAnsi" w:cstheme="minorBidi"/>
        </w:rPr>
        <w:t>preceded</w:t>
      </w:r>
      <w:r w:rsidRPr="15F8FB7F">
        <w:rPr>
          <w:rFonts w:asciiTheme="minorHAnsi" w:hAnsiTheme="minorHAnsi" w:cstheme="minorBidi"/>
          <w:spacing w:val="-2"/>
        </w:rPr>
        <w:t xml:space="preserve"> </w:t>
      </w:r>
      <w:r w:rsidRPr="15F8FB7F">
        <w:rPr>
          <w:rFonts w:asciiTheme="minorHAnsi" w:hAnsiTheme="minorHAnsi" w:cstheme="minorBidi"/>
        </w:rPr>
        <w:t>the introduction</w:t>
      </w:r>
      <w:r w:rsidRPr="15F8FB7F">
        <w:rPr>
          <w:rFonts w:asciiTheme="minorHAnsi" w:hAnsiTheme="minorHAnsi" w:cstheme="minorBidi"/>
          <w:spacing w:val="-4"/>
        </w:rPr>
        <w:t xml:space="preserve"> </w:t>
      </w:r>
      <w:r w:rsidRPr="15F8FB7F">
        <w:rPr>
          <w:rFonts w:asciiTheme="minorHAnsi" w:hAnsiTheme="minorHAnsi" w:cstheme="minorBidi"/>
        </w:rPr>
        <w:t>of the original section</w:t>
      </w:r>
      <w:r w:rsidRPr="15F8FB7F">
        <w:rPr>
          <w:rFonts w:asciiTheme="minorHAnsi" w:hAnsiTheme="minorHAnsi" w:cstheme="minorBidi"/>
          <w:spacing w:val="-4"/>
        </w:rPr>
        <w:t xml:space="preserve"> </w:t>
      </w:r>
      <w:r w:rsidRPr="15F8FB7F">
        <w:rPr>
          <w:rFonts w:asciiTheme="minorHAnsi" w:hAnsiTheme="minorHAnsi" w:cstheme="minorBidi"/>
        </w:rPr>
        <w:t>15A (i.e. the majority of the third cohort),</w:t>
      </w:r>
      <w:r w:rsidRPr="15F8FB7F">
        <w:rPr>
          <w:rFonts w:asciiTheme="minorHAnsi" w:hAnsiTheme="minorHAnsi" w:cstheme="minorBidi"/>
          <w:spacing w:val="-3"/>
        </w:rPr>
        <w:t xml:space="preserve"> </w:t>
      </w:r>
      <w:r w:rsidRPr="15F8FB7F">
        <w:rPr>
          <w:rFonts w:asciiTheme="minorHAnsi" w:hAnsiTheme="minorHAnsi" w:cstheme="minorBidi"/>
        </w:rPr>
        <w:t>the FWO</w:t>
      </w:r>
      <w:r w:rsidRPr="15F8FB7F">
        <w:rPr>
          <w:rFonts w:asciiTheme="minorHAnsi" w:hAnsiTheme="minorHAnsi" w:cstheme="minorBidi"/>
          <w:spacing w:val="-1"/>
        </w:rPr>
        <w:t xml:space="preserve"> </w:t>
      </w:r>
      <w:r>
        <w:rPr>
          <w:rFonts w:asciiTheme="minorHAnsi" w:hAnsiTheme="minorHAnsi" w:cstheme="minorBidi"/>
        </w:rPr>
        <w:t>wa</w:t>
      </w:r>
      <w:r w:rsidRPr="15F8FB7F">
        <w:rPr>
          <w:rFonts w:asciiTheme="minorHAnsi" w:hAnsiTheme="minorHAnsi" w:cstheme="minorBidi"/>
        </w:rPr>
        <w:t>s</w:t>
      </w:r>
      <w:r w:rsidRPr="15F8FB7F">
        <w:rPr>
          <w:rFonts w:asciiTheme="minorHAnsi" w:hAnsiTheme="minorHAnsi" w:cstheme="minorBidi"/>
          <w:spacing w:val="-3"/>
        </w:rPr>
        <w:t xml:space="preserve"> </w:t>
      </w:r>
      <w:r w:rsidRPr="15F8FB7F">
        <w:rPr>
          <w:rFonts w:asciiTheme="minorHAnsi" w:hAnsiTheme="minorHAnsi" w:cstheme="minorBidi"/>
        </w:rPr>
        <w:t>still required to assess their status as a casual or ongoing employee by reference to that provision, focusing only on the offer of employment that they accepted.</w:t>
      </w:r>
      <w:r w:rsidRPr="15F8FB7F">
        <w:rPr>
          <w:rStyle w:val="FootnoteReference"/>
          <w:rFonts w:asciiTheme="minorHAnsi" w:hAnsiTheme="minorHAnsi" w:cstheme="minorBidi"/>
        </w:rPr>
        <w:footnoteReference w:id="10"/>
      </w:r>
    </w:p>
    <w:p w14:paraId="72778499" w14:textId="5DD33138" w:rsidR="00816305" w:rsidRPr="00A71EC5" w:rsidRDefault="00816305" w:rsidP="000D02BD">
      <w:pPr>
        <w:pStyle w:val="BodyText"/>
        <w:ind w:right="58"/>
        <w:rPr>
          <w:rFonts w:asciiTheme="minorHAnsi" w:hAnsiTheme="minorHAnsi" w:cstheme="minorHAnsi"/>
        </w:rPr>
      </w:pPr>
      <w:r w:rsidRPr="15F8FB7F">
        <w:rPr>
          <w:rFonts w:asciiTheme="minorHAnsi" w:hAnsiTheme="minorHAnsi" w:cstheme="minorBidi"/>
        </w:rPr>
        <w:t>This definition was amended from 26 August 2024,</w:t>
      </w:r>
      <w:r w:rsidRPr="15F8FB7F">
        <w:rPr>
          <w:rStyle w:val="FootnoteReference"/>
          <w:rFonts w:asciiTheme="minorHAnsi" w:hAnsiTheme="minorHAnsi" w:cstheme="minorBidi"/>
        </w:rPr>
        <w:footnoteReference w:id="11"/>
      </w:r>
      <w:r w:rsidRPr="15F8FB7F">
        <w:rPr>
          <w:rFonts w:asciiTheme="minorHAnsi" w:hAnsiTheme="minorHAnsi" w:cstheme="minorBidi"/>
        </w:rPr>
        <w:t xml:space="preserve"> </w:t>
      </w:r>
      <w:r w:rsidRPr="15F8FB7F">
        <w:rPr>
          <w:rFonts w:asciiTheme="minorHAnsi" w:hAnsiTheme="minorHAnsi" w:cstheme="minorBidi"/>
          <w:b/>
        </w:rPr>
        <w:t>with prospective effect</w:t>
      </w:r>
      <w:r w:rsidRPr="15F8FB7F" w:rsidDel="005A2C8B">
        <w:rPr>
          <w:rFonts w:asciiTheme="minorHAnsi" w:hAnsiTheme="minorHAnsi" w:cstheme="minorBidi"/>
          <w:b/>
        </w:rPr>
        <w:t xml:space="preserve"> only</w:t>
      </w:r>
      <w:r w:rsidRPr="15F8FB7F">
        <w:rPr>
          <w:rFonts w:asciiTheme="minorHAnsi" w:hAnsiTheme="minorHAnsi" w:cstheme="minorBidi"/>
        </w:rPr>
        <w:t xml:space="preserve">, such that a person is a casual employee if the employment relationship has no firm advance commitment to </w:t>
      </w:r>
      <w:r w:rsidR="00700CD7">
        <w:rPr>
          <w:rFonts w:asciiTheme="minorHAnsi" w:hAnsiTheme="minorHAnsi" w:cstheme="minorBidi"/>
        </w:rPr>
        <w:t>continuing and indefinite</w:t>
      </w:r>
      <w:r w:rsidRPr="15F8FB7F">
        <w:rPr>
          <w:rFonts w:asciiTheme="minorHAnsi" w:hAnsiTheme="minorHAnsi" w:cstheme="minorBidi"/>
        </w:rPr>
        <w:t xml:space="preserve"> work (taking into account a number of factors) and the employee is entitled to a casual loading or specific casual pay rate under an award, agreement, or employment contract.</w:t>
      </w:r>
    </w:p>
    <w:p w14:paraId="6E26E527" w14:textId="6498008E" w:rsidR="00816305" w:rsidRPr="00A71EC5" w:rsidRDefault="00816305" w:rsidP="000D02BD">
      <w:pPr>
        <w:pStyle w:val="BodyText"/>
        <w:ind w:right="58"/>
        <w:rPr>
          <w:rFonts w:asciiTheme="minorHAnsi" w:hAnsiTheme="minorHAnsi" w:cstheme="minorBidi"/>
        </w:rPr>
      </w:pPr>
      <w:r w:rsidRPr="21E0B633">
        <w:rPr>
          <w:rFonts w:asciiTheme="minorHAnsi" w:hAnsiTheme="minorHAnsi" w:cstheme="minorBidi"/>
        </w:rPr>
        <w:lastRenderedPageBreak/>
        <w:t>However, as noted above</w:t>
      </w:r>
      <w:r w:rsidR="00D7140F" w:rsidRPr="21E0B633">
        <w:rPr>
          <w:rFonts w:asciiTheme="minorHAnsi" w:hAnsiTheme="minorHAnsi" w:cstheme="minorBidi"/>
        </w:rPr>
        <w:t>,</w:t>
      </w:r>
      <w:r w:rsidR="00CC26CB" w:rsidRPr="21E0B633">
        <w:rPr>
          <w:rStyle w:val="FootnoteReference"/>
          <w:rFonts w:asciiTheme="minorHAnsi" w:hAnsiTheme="minorHAnsi" w:cstheme="minorBidi"/>
        </w:rPr>
        <w:t xml:space="preserve"> </w:t>
      </w:r>
      <w:r w:rsidRPr="21E0B633">
        <w:rPr>
          <w:rFonts w:asciiTheme="minorHAnsi" w:hAnsiTheme="minorHAnsi" w:cstheme="minorBidi"/>
        </w:rPr>
        <w:t>the third cohort primarily consist</w:t>
      </w:r>
      <w:r w:rsidR="0061079B" w:rsidRPr="21E0B633">
        <w:rPr>
          <w:rFonts w:asciiTheme="minorHAnsi" w:hAnsiTheme="minorHAnsi" w:cstheme="minorBidi"/>
        </w:rPr>
        <w:t>ed</w:t>
      </w:r>
      <w:r w:rsidRPr="21E0B633">
        <w:rPr>
          <w:rFonts w:asciiTheme="minorHAnsi" w:hAnsiTheme="minorHAnsi" w:cstheme="minorBidi"/>
        </w:rPr>
        <w:t xml:space="preserve"> of historical cases that pre-date</w:t>
      </w:r>
      <w:r w:rsidR="00D1442A" w:rsidRPr="21E0B633">
        <w:rPr>
          <w:rFonts w:asciiTheme="minorHAnsi" w:hAnsiTheme="minorHAnsi" w:cstheme="minorBidi"/>
        </w:rPr>
        <w:t>d</w:t>
      </w:r>
      <w:r w:rsidRPr="21E0B633">
        <w:rPr>
          <w:rFonts w:asciiTheme="minorHAnsi" w:hAnsiTheme="minorHAnsi" w:cstheme="minorBidi"/>
        </w:rPr>
        <w:t xml:space="preserve"> the </w:t>
      </w:r>
      <w:r w:rsidR="00481047" w:rsidRPr="21E0B633">
        <w:rPr>
          <w:rFonts w:asciiTheme="minorHAnsi" w:hAnsiTheme="minorHAnsi" w:cstheme="minorBidi"/>
        </w:rPr>
        <w:t xml:space="preserve">August 2024 </w:t>
      </w:r>
      <w:r w:rsidRPr="21E0B633">
        <w:rPr>
          <w:rFonts w:asciiTheme="minorHAnsi" w:hAnsiTheme="minorHAnsi" w:cstheme="minorBidi"/>
        </w:rPr>
        <w:t>amendments to the casual employment definition. This means that the prior meaning of casual employment largely applie</w:t>
      </w:r>
      <w:r w:rsidR="00A9310E" w:rsidRPr="21E0B633">
        <w:rPr>
          <w:rFonts w:asciiTheme="minorHAnsi" w:hAnsiTheme="minorHAnsi" w:cstheme="minorBidi"/>
        </w:rPr>
        <w:t>d</w:t>
      </w:r>
      <w:r w:rsidRPr="21E0B633">
        <w:rPr>
          <w:rFonts w:asciiTheme="minorHAnsi" w:hAnsiTheme="minorHAnsi" w:cstheme="minorBidi"/>
        </w:rPr>
        <w:t xml:space="preserve">. </w:t>
      </w:r>
    </w:p>
    <w:p w14:paraId="4B64D5D8" w14:textId="3C633D0A" w:rsidR="00816305" w:rsidRPr="00A71EC5" w:rsidRDefault="5CC607AD" w:rsidP="000D02BD">
      <w:pPr>
        <w:pStyle w:val="Heading2"/>
        <w:rPr>
          <w:i/>
          <w:iCs/>
        </w:rPr>
      </w:pPr>
      <w:bookmarkStart w:id="12" w:name="_Toc240378172"/>
      <w:bookmarkStart w:id="13" w:name="_Toc240378428"/>
      <w:r w:rsidRPr="0067108F">
        <w:t xml:space="preserve">Interaction </w:t>
      </w:r>
      <w:r w:rsidRPr="0067108F" w:rsidDel="00E87471">
        <w:t xml:space="preserve">between </w:t>
      </w:r>
      <w:r w:rsidR="17DE7CAC" w:rsidRPr="0067108F">
        <w:t>casual employment definitions in</w:t>
      </w:r>
      <w:r w:rsidR="0EE386F2" w:rsidRPr="0067108F">
        <w:t xml:space="preserve"> the Fair Work Act,</w:t>
      </w:r>
      <w:r w:rsidR="17DE7CAC" w:rsidRPr="0067108F">
        <w:t xml:space="preserve"> </w:t>
      </w:r>
      <w:r w:rsidRPr="0067108F">
        <w:t>enterprise agreements and relevant awards</w:t>
      </w:r>
      <w:bookmarkEnd w:id="12"/>
      <w:bookmarkEnd w:id="13"/>
    </w:p>
    <w:p w14:paraId="766CA585" w14:textId="3EA78363" w:rsidR="00816305" w:rsidRDefault="00816305" w:rsidP="000D02BD">
      <w:pPr>
        <w:pStyle w:val="BodyText"/>
        <w:spacing w:before="0"/>
        <w:ind w:right="58"/>
        <w:rPr>
          <w:rFonts w:asciiTheme="minorHAnsi" w:hAnsiTheme="minorHAnsi" w:cstheme="minorHAnsi"/>
        </w:rPr>
      </w:pPr>
      <w:r w:rsidRPr="00A71EC5">
        <w:rPr>
          <w:rFonts w:asciiTheme="minorHAnsi" w:hAnsiTheme="minorHAnsi" w:cstheme="minorHAnsi"/>
        </w:rPr>
        <w:t>Given</w:t>
      </w:r>
      <w:r w:rsidRPr="00A71EC5">
        <w:rPr>
          <w:rFonts w:asciiTheme="minorHAnsi" w:hAnsiTheme="minorHAnsi" w:cstheme="minorHAnsi"/>
          <w:spacing w:val="-5"/>
        </w:rPr>
        <w:t xml:space="preserve"> </w:t>
      </w:r>
      <w:r w:rsidRPr="00A71EC5">
        <w:rPr>
          <w:rFonts w:asciiTheme="minorHAnsi" w:hAnsiTheme="minorHAnsi" w:cstheme="minorHAnsi"/>
        </w:rPr>
        <w:t>the</w:t>
      </w:r>
      <w:r w:rsidRPr="00A71EC5">
        <w:rPr>
          <w:rFonts w:asciiTheme="minorHAnsi" w:hAnsiTheme="minorHAnsi" w:cstheme="minorHAnsi"/>
          <w:spacing w:val="-1"/>
        </w:rPr>
        <w:t xml:space="preserve"> </w:t>
      </w:r>
      <w:r w:rsidRPr="00A71EC5">
        <w:rPr>
          <w:rFonts w:asciiTheme="minorHAnsi" w:hAnsiTheme="minorHAnsi" w:cstheme="minorHAnsi"/>
        </w:rPr>
        <w:t>retrospective</w:t>
      </w:r>
      <w:r w:rsidRPr="00A71EC5">
        <w:rPr>
          <w:rFonts w:asciiTheme="minorHAnsi" w:hAnsiTheme="minorHAnsi" w:cstheme="minorHAnsi"/>
          <w:spacing w:val="-4"/>
        </w:rPr>
        <w:t xml:space="preserve"> </w:t>
      </w:r>
      <w:r w:rsidRPr="00A71EC5">
        <w:rPr>
          <w:rFonts w:asciiTheme="minorHAnsi" w:hAnsiTheme="minorHAnsi" w:cstheme="minorHAnsi"/>
        </w:rPr>
        <w:t>application of</w:t>
      </w:r>
      <w:r w:rsidRPr="00A71EC5">
        <w:rPr>
          <w:rFonts w:asciiTheme="minorHAnsi" w:hAnsiTheme="minorHAnsi" w:cstheme="minorHAnsi"/>
          <w:spacing w:val="-5"/>
        </w:rPr>
        <w:t xml:space="preserve"> </w:t>
      </w:r>
      <w:r w:rsidRPr="00A71EC5">
        <w:rPr>
          <w:rFonts w:asciiTheme="minorHAnsi" w:hAnsiTheme="minorHAnsi" w:cstheme="minorHAnsi"/>
        </w:rPr>
        <w:t xml:space="preserve">the original section 15A definition of casual employee, </w:t>
      </w:r>
      <w:r>
        <w:rPr>
          <w:rFonts w:asciiTheme="minorHAnsi" w:hAnsiTheme="minorHAnsi" w:cstheme="minorHAnsi"/>
        </w:rPr>
        <w:t>difficulties</w:t>
      </w:r>
      <w:r w:rsidRPr="00A71EC5">
        <w:rPr>
          <w:rFonts w:asciiTheme="minorHAnsi" w:hAnsiTheme="minorHAnsi" w:cstheme="minorHAnsi"/>
        </w:rPr>
        <w:t xml:space="preserve"> ar</w:t>
      </w:r>
      <w:r w:rsidR="00146994">
        <w:rPr>
          <w:rFonts w:asciiTheme="minorHAnsi" w:hAnsiTheme="minorHAnsi" w:cstheme="minorHAnsi"/>
        </w:rPr>
        <w:t>o</w:t>
      </w:r>
      <w:r w:rsidRPr="00A71EC5">
        <w:rPr>
          <w:rFonts w:asciiTheme="minorHAnsi" w:hAnsiTheme="minorHAnsi" w:cstheme="minorHAnsi"/>
        </w:rPr>
        <w:t>se in relation to the interaction between casual status under the Fair Work Act and:</w:t>
      </w:r>
    </w:p>
    <w:p w14:paraId="21F250D1" w14:textId="77777777" w:rsidR="00EF5BE4" w:rsidRPr="00A71EC5" w:rsidRDefault="00EF5BE4" w:rsidP="000D02BD">
      <w:pPr>
        <w:pStyle w:val="BodyText"/>
        <w:spacing w:before="0"/>
        <w:ind w:right="58"/>
        <w:rPr>
          <w:rFonts w:asciiTheme="minorHAnsi" w:hAnsiTheme="minorHAnsi" w:cstheme="minorHAnsi"/>
        </w:rPr>
      </w:pPr>
    </w:p>
    <w:p w14:paraId="4116C84B" w14:textId="12E59E6E" w:rsidR="00816305" w:rsidRPr="00BF4E56" w:rsidRDefault="00816305" w:rsidP="000D02BD">
      <w:pPr>
        <w:pStyle w:val="ListParagraph"/>
        <w:widowControl w:val="0"/>
        <w:numPr>
          <w:ilvl w:val="0"/>
          <w:numId w:val="19"/>
        </w:numPr>
        <w:tabs>
          <w:tab w:val="left" w:pos="382"/>
        </w:tabs>
        <w:autoSpaceDE w:val="0"/>
        <w:autoSpaceDN w:val="0"/>
        <w:spacing w:before="0" w:after="120" w:line="240" w:lineRule="auto"/>
        <w:ind w:left="386" w:right="301" w:hanging="363"/>
        <w:contextualSpacing w:val="0"/>
        <w:rPr>
          <w:rFonts w:cstheme="minorHAnsi"/>
        </w:rPr>
      </w:pPr>
      <w:r w:rsidRPr="00BF4E56">
        <w:rPr>
          <w:rFonts w:cstheme="minorHAnsi"/>
        </w:rPr>
        <w:t xml:space="preserve">the </w:t>
      </w:r>
      <w:r w:rsidR="009D4155" w:rsidRPr="00BF4E56">
        <w:rPr>
          <w:rFonts w:cstheme="minorHAnsi"/>
        </w:rPr>
        <w:t>BCMI</w:t>
      </w:r>
      <w:r w:rsidRPr="00BF4E56">
        <w:rPr>
          <w:rFonts w:cstheme="minorHAnsi"/>
        </w:rPr>
        <w:t xml:space="preserve"> Award,</w:t>
      </w:r>
      <w:r w:rsidRPr="00BF4E56">
        <w:rPr>
          <w:rFonts w:cstheme="minorHAnsi"/>
          <w:spacing w:val="-4"/>
        </w:rPr>
        <w:t xml:space="preserve"> </w:t>
      </w:r>
      <w:r w:rsidRPr="00BF4E56">
        <w:rPr>
          <w:rFonts w:cstheme="minorHAnsi"/>
        </w:rPr>
        <w:t>that</w:t>
      </w:r>
      <w:r w:rsidRPr="00BF4E56">
        <w:rPr>
          <w:rFonts w:cstheme="minorHAnsi"/>
          <w:spacing w:val="-4"/>
        </w:rPr>
        <w:t xml:space="preserve"> </w:t>
      </w:r>
      <w:r w:rsidRPr="00BF4E56">
        <w:rPr>
          <w:rFonts w:cstheme="minorHAnsi"/>
        </w:rPr>
        <w:t>contained</w:t>
      </w:r>
      <w:r w:rsidRPr="00BF4E56">
        <w:rPr>
          <w:rFonts w:cstheme="minorHAnsi"/>
          <w:spacing w:val="-3"/>
        </w:rPr>
        <w:t xml:space="preserve"> </w:t>
      </w:r>
      <w:r w:rsidRPr="00BF4E56">
        <w:rPr>
          <w:rFonts w:cstheme="minorHAnsi"/>
        </w:rPr>
        <w:t>an</w:t>
      </w:r>
      <w:r w:rsidRPr="00BF4E56">
        <w:rPr>
          <w:rFonts w:cstheme="minorHAnsi"/>
          <w:spacing w:val="-4"/>
        </w:rPr>
        <w:t xml:space="preserve"> </w:t>
      </w:r>
      <w:r w:rsidRPr="00BF4E56">
        <w:rPr>
          <w:rFonts w:cstheme="minorHAnsi"/>
        </w:rPr>
        <w:t>inconsistent</w:t>
      </w:r>
      <w:r w:rsidRPr="00BF4E56">
        <w:rPr>
          <w:rFonts w:cstheme="minorHAnsi"/>
          <w:spacing w:val="-2"/>
        </w:rPr>
        <w:t xml:space="preserve"> </w:t>
      </w:r>
      <w:r w:rsidRPr="00BF4E56">
        <w:rPr>
          <w:rFonts w:cstheme="minorHAnsi"/>
        </w:rPr>
        <w:t>definition</w:t>
      </w:r>
      <w:r w:rsidRPr="00BF4E56">
        <w:rPr>
          <w:rFonts w:cstheme="minorHAnsi"/>
          <w:spacing w:val="-3"/>
        </w:rPr>
        <w:t xml:space="preserve"> </w:t>
      </w:r>
      <w:r w:rsidRPr="00BF4E56">
        <w:rPr>
          <w:rFonts w:cstheme="minorHAnsi"/>
        </w:rPr>
        <w:t>of</w:t>
      </w:r>
      <w:r w:rsidRPr="00BF4E56">
        <w:rPr>
          <w:rFonts w:cstheme="minorHAnsi"/>
          <w:spacing w:val="-4"/>
        </w:rPr>
        <w:t xml:space="preserve"> </w:t>
      </w:r>
      <w:r w:rsidRPr="00BF4E56">
        <w:rPr>
          <w:rFonts w:cstheme="minorHAnsi"/>
        </w:rPr>
        <w:t>casual</w:t>
      </w:r>
      <w:r w:rsidRPr="00BF4E56">
        <w:rPr>
          <w:rFonts w:cstheme="minorHAnsi"/>
          <w:spacing w:val="-5"/>
        </w:rPr>
        <w:t xml:space="preserve"> </w:t>
      </w:r>
      <w:r w:rsidRPr="00BF4E56">
        <w:rPr>
          <w:rFonts w:cstheme="minorHAnsi"/>
        </w:rPr>
        <w:t>employment</w:t>
      </w:r>
      <w:r w:rsidRPr="00BF4E56">
        <w:rPr>
          <w:rFonts w:cstheme="minorHAnsi"/>
          <w:spacing w:val="-2"/>
        </w:rPr>
        <w:t xml:space="preserve"> </w:t>
      </w:r>
      <w:r w:rsidRPr="00BF4E56">
        <w:rPr>
          <w:rFonts w:cstheme="minorHAnsi"/>
        </w:rPr>
        <w:t>prior</w:t>
      </w:r>
      <w:r w:rsidRPr="00BF4E56">
        <w:rPr>
          <w:rFonts w:cstheme="minorHAnsi"/>
          <w:spacing w:val="-3"/>
        </w:rPr>
        <w:t xml:space="preserve"> </w:t>
      </w:r>
      <w:r w:rsidRPr="00BF4E56">
        <w:rPr>
          <w:rFonts w:cstheme="minorHAnsi"/>
        </w:rPr>
        <w:t>to</w:t>
      </w:r>
      <w:r w:rsidRPr="00BF4E56">
        <w:rPr>
          <w:rFonts w:cstheme="minorHAnsi"/>
          <w:spacing w:val="-2"/>
        </w:rPr>
        <w:t xml:space="preserve"> </w:t>
      </w:r>
      <w:r w:rsidRPr="00BF4E56">
        <w:rPr>
          <w:rFonts w:cstheme="minorHAnsi"/>
        </w:rPr>
        <w:t>being amended from 27 September 2021 to refer to section</w:t>
      </w:r>
      <w:r w:rsidRPr="00BF4E56">
        <w:rPr>
          <w:rFonts w:cstheme="minorHAnsi"/>
          <w:spacing w:val="-1"/>
        </w:rPr>
        <w:t xml:space="preserve"> </w:t>
      </w:r>
      <w:r w:rsidRPr="00BF4E56">
        <w:rPr>
          <w:rFonts w:cstheme="minorHAnsi"/>
        </w:rPr>
        <w:t>15A (noting that changes to the award casual definitions do not operate retrospectively)</w:t>
      </w:r>
      <w:r w:rsidR="003B602A">
        <w:rPr>
          <w:rFonts w:cstheme="minorHAnsi"/>
        </w:rPr>
        <w:t>, and</w:t>
      </w:r>
    </w:p>
    <w:p w14:paraId="220EAB28" w14:textId="77777777" w:rsidR="00816305" w:rsidRPr="00A71EC5" w:rsidRDefault="00816305" w:rsidP="000D02BD">
      <w:pPr>
        <w:pStyle w:val="ListParagraph"/>
        <w:widowControl w:val="0"/>
        <w:numPr>
          <w:ilvl w:val="0"/>
          <w:numId w:val="19"/>
        </w:numPr>
        <w:tabs>
          <w:tab w:val="left" w:pos="382"/>
        </w:tabs>
        <w:autoSpaceDE w:val="0"/>
        <w:autoSpaceDN w:val="0"/>
        <w:spacing w:before="0" w:after="0" w:line="240" w:lineRule="auto"/>
        <w:ind w:hanging="360"/>
        <w:contextualSpacing w:val="0"/>
        <w:rPr>
          <w:rFonts w:cstheme="minorHAnsi"/>
        </w:rPr>
      </w:pPr>
      <w:r w:rsidRPr="00A71EC5">
        <w:rPr>
          <w:rFonts w:cstheme="minorHAnsi"/>
        </w:rPr>
        <w:t>enterprise</w:t>
      </w:r>
      <w:r w:rsidRPr="00A71EC5">
        <w:rPr>
          <w:rFonts w:cstheme="minorHAnsi"/>
          <w:spacing w:val="-8"/>
        </w:rPr>
        <w:t xml:space="preserve"> </w:t>
      </w:r>
      <w:r w:rsidRPr="00A71EC5">
        <w:rPr>
          <w:rFonts w:cstheme="minorHAnsi"/>
        </w:rPr>
        <w:t>agreements</w:t>
      </w:r>
      <w:r w:rsidRPr="00A71EC5">
        <w:rPr>
          <w:rFonts w:cstheme="minorHAnsi"/>
          <w:spacing w:val="-5"/>
        </w:rPr>
        <w:t xml:space="preserve"> </w:t>
      </w:r>
      <w:r w:rsidRPr="00A71EC5">
        <w:rPr>
          <w:rFonts w:cstheme="minorHAnsi"/>
        </w:rPr>
        <w:t>that</w:t>
      </w:r>
      <w:r w:rsidRPr="00A71EC5">
        <w:rPr>
          <w:rFonts w:cstheme="minorHAnsi"/>
          <w:spacing w:val="-6"/>
        </w:rPr>
        <w:t xml:space="preserve"> </w:t>
      </w:r>
      <w:r w:rsidRPr="00A71EC5">
        <w:rPr>
          <w:rFonts w:cstheme="minorHAnsi"/>
        </w:rPr>
        <w:t>contain</w:t>
      </w:r>
      <w:r w:rsidRPr="00A71EC5">
        <w:rPr>
          <w:rFonts w:cstheme="minorHAnsi"/>
          <w:spacing w:val="-6"/>
        </w:rPr>
        <w:t xml:space="preserve"> </w:t>
      </w:r>
      <w:r w:rsidRPr="00A71EC5">
        <w:rPr>
          <w:rFonts w:cstheme="minorHAnsi"/>
        </w:rPr>
        <w:t>an</w:t>
      </w:r>
      <w:r w:rsidRPr="00A71EC5">
        <w:rPr>
          <w:rFonts w:cstheme="minorHAnsi"/>
          <w:spacing w:val="-6"/>
        </w:rPr>
        <w:t xml:space="preserve"> </w:t>
      </w:r>
      <w:r w:rsidRPr="00A71EC5">
        <w:rPr>
          <w:rFonts w:cstheme="minorHAnsi"/>
        </w:rPr>
        <w:t>inconsistent</w:t>
      </w:r>
      <w:r w:rsidRPr="00A71EC5">
        <w:rPr>
          <w:rFonts w:cstheme="minorHAnsi"/>
          <w:spacing w:val="-6"/>
        </w:rPr>
        <w:t xml:space="preserve"> </w:t>
      </w:r>
      <w:r w:rsidRPr="00A71EC5">
        <w:rPr>
          <w:rFonts w:cstheme="minorHAnsi"/>
        </w:rPr>
        <w:t>definition</w:t>
      </w:r>
      <w:r w:rsidRPr="00A71EC5">
        <w:rPr>
          <w:rFonts w:cstheme="minorHAnsi"/>
          <w:spacing w:val="-5"/>
        </w:rPr>
        <w:t xml:space="preserve"> </w:t>
      </w:r>
      <w:r w:rsidRPr="00A71EC5">
        <w:rPr>
          <w:rFonts w:cstheme="minorHAnsi"/>
        </w:rPr>
        <w:t>of</w:t>
      </w:r>
      <w:r w:rsidRPr="00A71EC5">
        <w:rPr>
          <w:rFonts w:cstheme="minorHAnsi"/>
          <w:spacing w:val="-6"/>
        </w:rPr>
        <w:t xml:space="preserve"> </w:t>
      </w:r>
      <w:r w:rsidRPr="00A71EC5">
        <w:rPr>
          <w:rFonts w:cstheme="minorHAnsi"/>
        </w:rPr>
        <w:t>casual</w:t>
      </w:r>
      <w:r w:rsidRPr="00A71EC5">
        <w:rPr>
          <w:rFonts w:cstheme="minorHAnsi"/>
          <w:spacing w:val="-6"/>
        </w:rPr>
        <w:t xml:space="preserve"> </w:t>
      </w:r>
      <w:r w:rsidRPr="00A71EC5">
        <w:rPr>
          <w:rFonts w:cstheme="minorHAnsi"/>
          <w:spacing w:val="-2"/>
        </w:rPr>
        <w:t>employment.</w:t>
      </w:r>
    </w:p>
    <w:p w14:paraId="27C8E311" w14:textId="1981CAA4" w:rsidR="00816305" w:rsidRPr="00A71EC5" w:rsidRDefault="00D82DBD" w:rsidP="000D02BD">
      <w:pPr>
        <w:pStyle w:val="BodyText"/>
        <w:spacing w:before="239"/>
        <w:ind w:right="58"/>
        <w:rPr>
          <w:rFonts w:asciiTheme="minorHAnsi" w:hAnsiTheme="minorHAnsi" w:cstheme="minorHAnsi"/>
        </w:rPr>
      </w:pPr>
      <w:r>
        <w:rPr>
          <w:rFonts w:asciiTheme="minorHAnsi" w:hAnsiTheme="minorHAnsi" w:cstheme="minorHAnsi"/>
        </w:rPr>
        <w:t>As noted above, t</w:t>
      </w:r>
      <w:r w:rsidRPr="00A71EC5">
        <w:rPr>
          <w:rFonts w:asciiTheme="minorHAnsi" w:hAnsiTheme="minorHAnsi" w:cstheme="minorHAnsi"/>
        </w:rPr>
        <w:t xml:space="preserve">he </w:t>
      </w:r>
      <w:r w:rsidR="00E125EB">
        <w:rPr>
          <w:rFonts w:asciiTheme="minorHAnsi" w:hAnsiTheme="minorHAnsi" w:cstheme="minorHAnsi"/>
        </w:rPr>
        <w:t xml:space="preserve">investigation </w:t>
      </w:r>
      <w:r w:rsidR="007E0311">
        <w:rPr>
          <w:rFonts w:asciiTheme="minorHAnsi" w:hAnsiTheme="minorHAnsi" w:cstheme="minorHAnsi"/>
        </w:rPr>
        <w:t>proceeded on the basis</w:t>
      </w:r>
      <w:r w:rsidR="00816305" w:rsidRPr="00A71EC5">
        <w:rPr>
          <w:rFonts w:asciiTheme="minorHAnsi" w:hAnsiTheme="minorHAnsi" w:cstheme="minorHAnsi"/>
        </w:rPr>
        <w:t xml:space="preserve"> that </w:t>
      </w:r>
      <w:r w:rsidR="00816305">
        <w:rPr>
          <w:rFonts w:asciiTheme="minorHAnsi" w:hAnsiTheme="minorHAnsi" w:cstheme="minorHAnsi"/>
        </w:rPr>
        <w:t xml:space="preserve">the </w:t>
      </w:r>
      <w:r w:rsidR="00816305" w:rsidRPr="00A71EC5">
        <w:rPr>
          <w:rFonts w:asciiTheme="minorHAnsi" w:hAnsiTheme="minorHAnsi" w:cstheme="minorHAnsi"/>
        </w:rPr>
        <w:t>section 15A</w:t>
      </w:r>
      <w:r w:rsidR="00816305">
        <w:rPr>
          <w:rFonts w:asciiTheme="minorHAnsi" w:hAnsiTheme="minorHAnsi" w:cstheme="minorHAnsi"/>
        </w:rPr>
        <w:t xml:space="preserve"> definition of casual employment</w:t>
      </w:r>
      <w:r w:rsidR="00816305" w:rsidRPr="00A71EC5">
        <w:rPr>
          <w:rFonts w:asciiTheme="minorHAnsi" w:hAnsiTheme="minorHAnsi" w:cstheme="minorHAnsi"/>
        </w:rPr>
        <w:t xml:space="preserve"> applies for all purposes and therefore displaces any</w:t>
      </w:r>
      <w:r w:rsidR="00816305" w:rsidRPr="00A71EC5">
        <w:rPr>
          <w:rFonts w:asciiTheme="minorHAnsi" w:hAnsiTheme="minorHAnsi" w:cstheme="minorHAnsi"/>
          <w:spacing w:val="-1"/>
        </w:rPr>
        <w:t xml:space="preserve"> </w:t>
      </w:r>
      <w:r w:rsidR="00816305" w:rsidRPr="00A71EC5">
        <w:rPr>
          <w:rFonts w:asciiTheme="minorHAnsi" w:hAnsiTheme="minorHAnsi" w:cstheme="minorHAnsi"/>
        </w:rPr>
        <w:t>inconsistent</w:t>
      </w:r>
      <w:r w:rsidR="00816305" w:rsidRPr="00A71EC5">
        <w:rPr>
          <w:rFonts w:asciiTheme="minorHAnsi" w:hAnsiTheme="minorHAnsi" w:cstheme="minorHAnsi"/>
          <w:spacing w:val="-4"/>
        </w:rPr>
        <w:t xml:space="preserve"> </w:t>
      </w:r>
      <w:r w:rsidR="00816305" w:rsidRPr="00A71EC5">
        <w:rPr>
          <w:rFonts w:asciiTheme="minorHAnsi" w:hAnsiTheme="minorHAnsi" w:cstheme="minorHAnsi"/>
        </w:rPr>
        <w:t>award</w:t>
      </w:r>
      <w:r w:rsidR="00816305" w:rsidRPr="00A71EC5">
        <w:rPr>
          <w:rFonts w:asciiTheme="minorHAnsi" w:hAnsiTheme="minorHAnsi" w:cstheme="minorHAnsi"/>
          <w:spacing w:val="-5"/>
        </w:rPr>
        <w:t xml:space="preserve"> </w:t>
      </w:r>
      <w:r w:rsidR="00816305" w:rsidRPr="00A71EC5">
        <w:rPr>
          <w:rFonts w:asciiTheme="minorHAnsi" w:hAnsiTheme="minorHAnsi" w:cstheme="minorHAnsi"/>
        </w:rPr>
        <w:t>or</w:t>
      </w:r>
      <w:r w:rsidR="00816305" w:rsidRPr="00A71EC5">
        <w:rPr>
          <w:rFonts w:asciiTheme="minorHAnsi" w:hAnsiTheme="minorHAnsi" w:cstheme="minorHAnsi"/>
          <w:spacing w:val="-4"/>
        </w:rPr>
        <w:t xml:space="preserve"> </w:t>
      </w:r>
      <w:r w:rsidR="00816305" w:rsidRPr="00A71EC5">
        <w:rPr>
          <w:rFonts w:asciiTheme="minorHAnsi" w:hAnsiTheme="minorHAnsi" w:cstheme="minorHAnsi"/>
        </w:rPr>
        <w:t>enterprise</w:t>
      </w:r>
      <w:r w:rsidR="00816305" w:rsidRPr="00A71EC5">
        <w:rPr>
          <w:rFonts w:asciiTheme="minorHAnsi" w:hAnsiTheme="minorHAnsi" w:cstheme="minorHAnsi"/>
          <w:spacing w:val="-4"/>
        </w:rPr>
        <w:t xml:space="preserve"> </w:t>
      </w:r>
      <w:r w:rsidR="00816305" w:rsidRPr="00A71EC5">
        <w:rPr>
          <w:rFonts w:asciiTheme="minorHAnsi" w:hAnsiTheme="minorHAnsi" w:cstheme="minorHAnsi"/>
        </w:rPr>
        <w:t>agreement</w:t>
      </w:r>
      <w:r w:rsidR="00816305" w:rsidRPr="00A71EC5">
        <w:rPr>
          <w:rFonts w:asciiTheme="minorHAnsi" w:hAnsiTheme="minorHAnsi" w:cstheme="minorHAnsi"/>
          <w:spacing w:val="-1"/>
        </w:rPr>
        <w:t xml:space="preserve"> </w:t>
      </w:r>
      <w:r w:rsidR="00816305" w:rsidRPr="00A71EC5">
        <w:rPr>
          <w:rFonts w:asciiTheme="minorHAnsi" w:hAnsiTheme="minorHAnsi" w:cstheme="minorHAnsi"/>
        </w:rPr>
        <w:t>definitions</w:t>
      </w:r>
      <w:r w:rsidR="00816305">
        <w:rPr>
          <w:rFonts w:asciiTheme="minorHAnsi" w:hAnsiTheme="minorHAnsi" w:cstheme="minorHAnsi"/>
        </w:rPr>
        <w:t>, though this has not been authoritatively determined by a court</w:t>
      </w:r>
      <w:r w:rsidR="00816305" w:rsidRPr="00A71EC5">
        <w:rPr>
          <w:rFonts w:asciiTheme="minorHAnsi" w:hAnsiTheme="minorHAnsi" w:cstheme="minorHAnsi"/>
        </w:rPr>
        <w:t>.</w:t>
      </w:r>
      <w:r w:rsidR="00816305" w:rsidRPr="00A71EC5">
        <w:rPr>
          <w:rFonts w:asciiTheme="minorHAnsi" w:hAnsiTheme="minorHAnsi" w:cstheme="minorHAnsi"/>
          <w:spacing w:val="-2"/>
        </w:rPr>
        <w:t xml:space="preserve"> </w:t>
      </w:r>
      <w:r w:rsidR="00816305">
        <w:rPr>
          <w:rFonts w:asciiTheme="minorHAnsi" w:hAnsiTheme="minorHAnsi" w:cstheme="minorHAnsi"/>
        </w:rPr>
        <w:t>T</w:t>
      </w:r>
      <w:r w:rsidR="00816305" w:rsidRPr="00A71EC5">
        <w:rPr>
          <w:rFonts w:asciiTheme="minorHAnsi" w:hAnsiTheme="minorHAnsi" w:cstheme="minorHAnsi"/>
        </w:rPr>
        <w:t>his</w:t>
      </w:r>
      <w:r w:rsidR="00816305" w:rsidRPr="00A71EC5">
        <w:rPr>
          <w:rFonts w:asciiTheme="minorHAnsi" w:hAnsiTheme="minorHAnsi" w:cstheme="minorHAnsi"/>
          <w:spacing w:val="-2"/>
        </w:rPr>
        <w:t xml:space="preserve"> </w:t>
      </w:r>
      <w:r w:rsidR="00816305" w:rsidRPr="00A71EC5">
        <w:rPr>
          <w:rFonts w:asciiTheme="minorHAnsi" w:hAnsiTheme="minorHAnsi" w:cstheme="minorHAnsi"/>
        </w:rPr>
        <w:t>approach</w:t>
      </w:r>
      <w:r w:rsidR="00816305" w:rsidRPr="00A71EC5">
        <w:rPr>
          <w:rFonts w:asciiTheme="minorHAnsi" w:hAnsiTheme="minorHAnsi" w:cstheme="minorHAnsi"/>
          <w:spacing w:val="-3"/>
        </w:rPr>
        <w:t xml:space="preserve"> </w:t>
      </w:r>
      <w:r w:rsidR="00816305" w:rsidRPr="00A71EC5">
        <w:rPr>
          <w:rFonts w:asciiTheme="minorHAnsi" w:hAnsiTheme="minorHAnsi" w:cstheme="minorHAnsi"/>
        </w:rPr>
        <w:t>accords with the structure of the Fair Work system, in which the hierarchy of entitlements is underpinned and given meaning by the F</w:t>
      </w:r>
      <w:r w:rsidR="001F37A1">
        <w:rPr>
          <w:rFonts w:asciiTheme="minorHAnsi" w:hAnsiTheme="minorHAnsi" w:cstheme="minorHAnsi"/>
        </w:rPr>
        <w:t xml:space="preserve">air </w:t>
      </w:r>
      <w:r w:rsidR="00816305" w:rsidRPr="00A71EC5">
        <w:rPr>
          <w:rFonts w:asciiTheme="minorHAnsi" w:hAnsiTheme="minorHAnsi" w:cstheme="minorHAnsi"/>
        </w:rPr>
        <w:t>W</w:t>
      </w:r>
      <w:r w:rsidR="001F37A1">
        <w:rPr>
          <w:rFonts w:asciiTheme="minorHAnsi" w:hAnsiTheme="minorHAnsi" w:cstheme="minorHAnsi"/>
        </w:rPr>
        <w:t>ork</w:t>
      </w:r>
      <w:r w:rsidR="00816305" w:rsidRPr="00A71EC5">
        <w:rPr>
          <w:rFonts w:asciiTheme="minorHAnsi" w:hAnsiTheme="minorHAnsi" w:cstheme="minorHAnsi"/>
        </w:rPr>
        <w:t xml:space="preserve"> Act, with entitlements in instruments building on</w:t>
      </w:r>
      <w:r w:rsidR="00816305">
        <w:rPr>
          <w:rFonts w:asciiTheme="minorHAnsi" w:hAnsiTheme="minorHAnsi" w:cstheme="minorHAnsi"/>
        </w:rPr>
        <w:t xml:space="preserve"> and complementing</w:t>
      </w:r>
      <w:r w:rsidR="00816305" w:rsidRPr="00A71EC5">
        <w:rPr>
          <w:rFonts w:asciiTheme="minorHAnsi" w:hAnsiTheme="minorHAnsi" w:cstheme="minorHAnsi"/>
        </w:rPr>
        <w:t xml:space="preserve"> that statutory framework.</w:t>
      </w:r>
    </w:p>
    <w:p w14:paraId="45445352" w14:textId="7ECB7DFF" w:rsidR="00A46C72" w:rsidRPr="00616B5F" w:rsidRDefault="740BCAC2" w:rsidP="000D02BD">
      <w:pPr>
        <w:pStyle w:val="Heading1"/>
        <w:spacing w:before="240"/>
        <w:rPr>
          <w:rFonts w:ascii="Calibri" w:hAnsi="Calibri" w:cs="Calibri"/>
          <w:b/>
          <w:bCs/>
          <w:sz w:val="28"/>
          <w:szCs w:val="28"/>
        </w:rPr>
      </w:pPr>
      <w:bookmarkStart w:id="14" w:name="_Toc240378173"/>
      <w:bookmarkStart w:id="15" w:name="_Toc240378429"/>
      <w:r w:rsidRPr="0067108F">
        <w:t>Findings</w:t>
      </w:r>
      <w:bookmarkEnd w:id="14"/>
      <w:bookmarkEnd w:id="15"/>
    </w:p>
    <w:p w14:paraId="3104B716" w14:textId="77777777" w:rsidR="00B76903" w:rsidRDefault="00B76903" w:rsidP="000D02BD">
      <w:pPr>
        <w:pStyle w:val="BodyText"/>
        <w:ind w:right="58"/>
        <w:rPr>
          <w:rFonts w:asciiTheme="minorHAnsi" w:hAnsiTheme="minorHAnsi" w:cstheme="minorBidi"/>
          <w:lang w:val="en-GB"/>
        </w:rPr>
      </w:pPr>
      <w:r w:rsidRPr="5825A597">
        <w:rPr>
          <w:rFonts w:asciiTheme="minorHAnsi" w:hAnsiTheme="minorHAnsi" w:cstheme="minorBidi"/>
          <w:lang w:val="en-GB"/>
        </w:rPr>
        <w:t>In several cases, the investigation</w:t>
      </w:r>
      <w:r>
        <w:rPr>
          <w:rFonts w:asciiTheme="minorHAnsi" w:hAnsiTheme="minorHAnsi" w:cstheme="minorBidi"/>
          <w:lang w:val="en-GB"/>
        </w:rPr>
        <w:t xml:space="preserve"> involved</w:t>
      </w:r>
      <w:r w:rsidRPr="5825A597">
        <w:rPr>
          <w:rFonts w:asciiTheme="minorHAnsi" w:hAnsiTheme="minorHAnsi" w:cstheme="minorBidi"/>
          <w:lang w:val="en-GB"/>
        </w:rPr>
        <w:t xml:space="preserve"> uncertainty regarding the identity of a person’s employer where labour hire </w:t>
      </w:r>
      <w:r w:rsidRPr="4FC26347">
        <w:rPr>
          <w:rFonts w:asciiTheme="minorHAnsi" w:hAnsiTheme="minorHAnsi" w:cstheme="minorBidi"/>
          <w:lang w:val="en-GB"/>
        </w:rPr>
        <w:t>providers</w:t>
      </w:r>
      <w:r w:rsidRPr="5825A597">
        <w:rPr>
          <w:rFonts w:asciiTheme="minorHAnsi" w:hAnsiTheme="minorHAnsi" w:cstheme="minorBidi"/>
          <w:lang w:val="en-GB"/>
        </w:rPr>
        <w:t xml:space="preserve"> operated as part of corporate structures involving multiple different entities. In such cases where the employing entity was in dispute, we began by making a finding on this question as it is crucial to establishing an employee’s minimum entitlements (for example, determining the application of any industrial instrument).</w:t>
      </w:r>
      <w:r>
        <w:rPr>
          <w:rFonts w:asciiTheme="minorHAnsi" w:hAnsiTheme="minorHAnsi" w:cstheme="minorBidi"/>
          <w:lang w:val="en-GB"/>
        </w:rPr>
        <w:t xml:space="preserve"> In line with the High Court’s consistent approach that where parties have entered into a written contract that comprehensively sets out the terms of their relationship, the starting point is the employee’s contract and not the parties’ subsequent conduct.</w:t>
      </w:r>
      <w:r w:rsidRPr="15F8FB7F">
        <w:rPr>
          <w:rStyle w:val="FootnoteReference"/>
          <w:rFonts w:asciiTheme="minorHAnsi" w:hAnsiTheme="minorHAnsi" w:cstheme="minorBidi"/>
          <w:lang w:val="en-GB"/>
        </w:rPr>
        <w:footnoteReference w:id="12"/>
      </w:r>
      <w:r>
        <w:rPr>
          <w:rFonts w:asciiTheme="minorHAnsi" w:hAnsiTheme="minorHAnsi" w:cstheme="minorBidi"/>
          <w:lang w:val="en-GB"/>
        </w:rPr>
        <w:t xml:space="preserve"> </w:t>
      </w:r>
    </w:p>
    <w:p w14:paraId="1CF097D8" w14:textId="77777777" w:rsidR="00B76903" w:rsidRDefault="00B76903" w:rsidP="000D02BD">
      <w:pPr>
        <w:pStyle w:val="BodyText"/>
        <w:spacing w:after="120"/>
        <w:ind w:left="23" w:right="57"/>
        <w:rPr>
          <w:rFonts w:asciiTheme="minorHAnsi" w:hAnsiTheme="minorHAnsi" w:cstheme="minorBidi"/>
          <w:lang w:val="en-GB"/>
        </w:rPr>
      </w:pPr>
      <w:r>
        <w:rPr>
          <w:rFonts w:asciiTheme="minorHAnsi" w:hAnsiTheme="minorHAnsi" w:cstheme="minorBidi"/>
          <w:lang w:val="en-GB"/>
        </w:rPr>
        <w:t>In these instances, o</w:t>
      </w:r>
      <w:r w:rsidRPr="15F8FB7F">
        <w:rPr>
          <w:rFonts w:asciiTheme="minorHAnsi" w:hAnsiTheme="minorHAnsi" w:cstheme="minorBidi"/>
          <w:lang w:val="en-GB"/>
        </w:rPr>
        <w:t xml:space="preserve">ur investigative approach can be summed as follows: </w:t>
      </w:r>
    </w:p>
    <w:p w14:paraId="0869DA9C" w14:textId="721B8F12" w:rsidR="00DF14B9" w:rsidRPr="00DD44F3" w:rsidRDefault="00B76903" w:rsidP="000D02BD">
      <w:pPr>
        <w:pStyle w:val="BodyText"/>
        <w:numPr>
          <w:ilvl w:val="0"/>
          <w:numId w:val="14"/>
        </w:numPr>
        <w:spacing w:before="0"/>
        <w:ind w:right="194"/>
        <w:rPr>
          <w:rFonts w:asciiTheme="minorHAnsi" w:hAnsiTheme="minorHAnsi" w:cstheme="minorBidi"/>
          <w:lang w:val="en-GB"/>
        </w:rPr>
      </w:pPr>
      <w:r w:rsidRPr="00DD44F3">
        <w:rPr>
          <w:rFonts w:asciiTheme="minorHAnsi" w:hAnsiTheme="minorHAnsi" w:cstheme="minorBidi"/>
          <w:lang w:val="en-GB"/>
        </w:rPr>
        <w:t>where an employee entered into a comprehensive employment contract for a particular job with one corporate entity but subsequently was paid for that job by another entity and/or receives employment documents in the name of another entity (for example, a holding company of the first entity), it is likely that the person is employed by the entity with whom they entered into the contract of employment, unless later conduct can be identified which amounts to a variation of that contract</w:t>
      </w:r>
    </w:p>
    <w:p w14:paraId="2C69723C" w14:textId="77777777" w:rsidR="00B76903" w:rsidRPr="00DF14B9" w:rsidRDefault="00B76903" w:rsidP="000D02BD">
      <w:pPr>
        <w:pStyle w:val="BodyText"/>
        <w:numPr>
          <w:ilvl w:val="0"/>
          <w:numId w:val="14"/>
        </w:numPr>
        <w:spacing w:before="120"/>
        <w:ind w:right="194"/>
        <w:rPr>
          <w:rFonts w:asciiTheme="minorHAnsi" w:hAnsiTheme="minorHAnsi" w:cstheme="minorBidi"/>
          <w:lang w:val="en-GB"/>
        </w:rPr>
      </w:pPr>
      <w:r w:rsidRPr="00DF14B9">
        <w:rPr>
          <w:rFonts w:asciiTheme="minorHAnsi" w:hAnsiTheme="minorHAnsi" w:cstheme="minorBidi"/>
          <w:lang w:val="en-GB"/>
        </w:rPr>
        <w:t>if</w:t>
      </w:r>
      <w:r w:rsidRPr="00DF14B9">
        <w:rPr>
          <w:rFonts w:asciiTheme="minorHAnsi" w:hAnsiTheme="minorHAnsi" w:cstheme="minorBidi"/>
          <w:spacing w:val="-2"/>
          <w:lang w:val="en-GB"/>
        </w:rPr>
        <w:t xml:space="preserve"> </w:t>
      </w:r>
      <w:r w:rsidRPr="00DF14B9">
        <w:rPr>
          <w:rFonts w:asciiTheme="minorHAnsi" w:hAnsiTheme="minorHAnsi" w:cstheme="minorBidi"/>
          <w:lang w:val="en-GB"/>
        </w:rPr>
        <w:t>an</w:t>
      </w:r>
      <w:r w:rsidRPr="00DF14B9">
        <w:rPr>
          <w:rFonts w:asciiTheme="minorHAnsi" w:hAnsiTheme="minorHAnsi" w:cstheme="minorBidi"/>
          <w:spacing w:val="-3"/>
          <w:lang w:val="en-GB"/>
        </w:rPr>
        <w:t xml:space="preserve"> </w:t>
      </w:r>
      <w:r w:rsidRPr="00DF14B9">
        <w:rPr>
          <w:rFonts w:asciiTheme="minorHAnsi" w:hAnsiTheme="minorHAnsi" w:cstheme="minorBidi"/>
          <w:lang w:val="en-GB"/>
        </w:rPr>
        <w:t>employer</w:t>
      </w:r>
      <w:r w:rsidRPr="00DF14B9">
        <w:rPr>
          <w:rFonts w:asciiTheme="minorHAnsi" w:hAnsiTheme="minorHAnsi" w:cstheme="minorBidi"/>
          <w:spacing w:val="-2"/>
          <w:lang w:val="en-GB"/>
        </w:rPr>
        <w:t xml:space="preserve"> </w:t>
      </w:r>
      <w:r w:rsidRPr="00DF14B9">
        <w:rPr>
          <w:rFonts w:asciiTheme="minorHAnsi" w:hAnsiTheme="minorHAnsi" w:cstheme="minorBidi"/>
          <w:lang w:val="en-GB"/>
        </w:rPr>
        <w:t>has</w:t>
      </w:r>
      <w:r w:rsidRPr="00DF14B9">
        <w:rPr>
          <w:rFonts w:asciiTheme="minorHAnsi" w:hAnsiTheme="minorHAnsi" w:cstheme="minorBidi"/>
          <w:spacing w:val="-4"/>
          <w:lang w:val="en-GB"/>
        </w:rPr>
        <w:t xml:space="preserve"> </w:t>
      </w:r>
      <w:r w:rsidRPr="00DF14B9">
        <w:rPr>
          <w:rFonts w:asciiTheme="minorHAnsi" w:hAnsiTheme="minorHAnsi" w:cstheme="minorBidi"/>
          <w:lang w:val="en-GB"/>
        </w:rPr>
        <w:t>made</w:t>
      </w:r>
      <w:r w:rsidRPr="00DF14B9">
        <w:rPr>
          <w:rFonts w:asciiTheme="minorHAnsi" w:hAnsiTheme="minorHAnsi" w:cstheme="minorBidi"/>
          <w:spacing w:val="-1"/>
          <w:lang w:val="en-GB"/>
        </w:rPr>
        <w:t xml:space="preserve"> </w:t>
      </w:r>
      <w:r w:rsidRPr="00DF14B9">
        <w:rPr>
          <w:rFonts w:asciiTheme="minorHAnsi" w:hAnsiTheme="minorHAnsi" w:cstheme="minorBidi"/>
          <w:lang w:val="en-GB"/>
        </w:rPr>
        <w:t>employment</w:t>
      </w:r>
      <w:r w:rsidRPr="00DF14B9">
        <w:rPr>
          <w:rFonts w:asciiTheme="minorHAnsi" w:hAnsiTheme="minorHAnsi" w:cstheme="minorBidi"/>
          <w:spacing w:val="-1"/>
          <w:lang w:val="en-GB"/>
        </w:rPr>
        <w:t xml:space="preserve"> </w:t>
      </w:r>
      <w:r w:rsidRPr="00DF14B9">
        <w:rPr>
          <w:rFonts w:asciiTheme="minorHAnsi" w:hAnsiTheme="minorHAnsi" w:cstheme="minorBidi"/>
          <w:lang w:val="en-GB"/>
        </w:rPr>
        <w:t>records</w:t>
      </w:r>
      <w:r w:rsidRPr="00DF14B9">
        <w:rPr>
          <w:rFonts w:asciiTheme="minorHAnsi" w:hAnsiTheme="minorHAnsi" w:cstheme="minorBidi"/>
          <w:spacing w:val="-4"/>
          <w:lang w:val="en-GB"/>
        </w:rPr>
        <w:t xml:space="preserve"> </w:t>
      </w:r>
      <w:r w:rsidRPr="00DF14B9">
        <w:rPr>
          <w:rFonts w:asciiTheme="minorHAnsi" w:hAnsiTheme="minorHAnsi" w:cstheme="minorBidi"/>
          <w:lang w:val="en-GB"/>
        </w:rPr>
        <w:t>or</w:t>
      </w:r>
      <w:r w:rsidRPr="00DF14B9">
        <w:rPr>
          <w:rFonts w:asciiTheme="minorHAnsi" w:hAnsiTheme="minorHAnsi" w:cstheme="minorBidi"/>
          <w:spacing w:val="-2"/>
          <w:lang w:val="en-GB"/>
        </w:rPr>
        <w:t xml:space="preserve"> </w:t>
      </w:r>
      <w:r w:rsidRPr="00DF14B9">
        <w:rPr>
          <w:rFonts w:asciiTheme="minorHAnsi" w:hAnsiTheme="minorHAnsi" w:cstheme="minorBidi"/>
          <w:lang w:val="en-GB"/>
        </w:rPr>
        <w:t>issued</w:t>
      </w:r>
      <w:r w:rsidRPr="00DF14B9">
        <w:rPr>
          <w:rFonts w:asciiTheme="minorHAnsi" w:hAnsiTheme="minorHAnsi" w:cstheme="minorBidi"/>
          <w:spacing w:val="-3"/>
          <w:lang w:val="en-GB"/>
        </w:rPr>
        <w:t xml:space="preserve"> </w:t>
      </w:r>
      <w:r w:rsidRPr="00DF14B9">
        <w:rPr>
          <w:rFonts w:asciiTheme="minorHAnsi" w:hAnsiTheme="minorHAnsi" w:cstheme="minorBidi"/>
          <w:lang w:val="en-GB"/>
        </w:rPr>
        <w:t>pay</w:t>
      </w:r>
      <w:r w:rsidRPr="00DF14B9">
        <w:rPr>
          <w:rFonts w:asciiTheme="minorHAnsi" w:hAnsiTheme="minorHAnsi" w:cstheme="minorBidi"/>
          <w:spacing w:val="-1"/>
          <w:lang w:val="en-GB"/>
        </w:rPr>
        <w:t xml:space="preserve"> </w:t>
      </w:r>
      <w:r w:rsidRPr="00DF14B9">
        <w:rPr>
          <w:rFonts w:asciiTheme="minorHAnsi" w:hAnsiTheme="minorHAnsi" w:cstheme="minorBidi"/>
          <w:lang w:val="en-GB"/>
        </w:rPr>
        <w:t>slips</w:t>
      </w:r>
      <w:r w:rsidRPr="00DF14B9">
        <w:rPr>
          <w:rFonts w:asciiTheme="minorHAnsi" w:hAnsiTheme="minorHAnsi" w:cstheme="minorBidi"/>
          <w:spacing w:val="-4"/>
          <w:lang w:val="en-GB"/>
        </w:rPr>
        <w:t xml:space="preserve"> </w:t>
      </w:r>
      <w:r w:rsidRPr="00DF14B9">
        <w:rPr>
          <w:rFonts w:asciiTheme="minorHAnsi" w:hAnsiTheme="minorHAnsi" w:cstheme="minorBidi"/>
          <w:lang w:val="en-GB"/>
        </w:rPr>
        <w:t>that</w:t>
      </w:r>
      <w:r w:rsidRPr="00DF14B9">
        <w:rPr>
          <w:rFonts w:asciiTheme="minorHAnsi" w:hAnsiTheme="minorHAnsi" w:cstheme="minorBidi"/>
          <w:spacing w:val="-1"/>
          <w:lang w:val="en-GB"/>
        </w:rPr>
        <w:t xml:space="preserve"> </w:t>
      </w:r>
      <w:r w:rsidRPr="00DF14B9">
        <w:rPr>
          <w:rFonts w:asciiTheme="minorHAnsi" w:hAnsiTheme="minorHAnsi" w:cstheme="minorBidi"/>
          <w:lang w:val="en-GB"/>
        </w:rPr>
        <w:t>do</w:t>
      </w:r>
      <w:r w:rsidRPr="00DF14B9">
        <w:rPr>
          <w:rFonts w:asciiTheme="minorHAnsi" w:hAnsiTheme="minorHAnsi" w:cstheme="minorBidi"/>
          <w:spacing w:val="-1"/>
          <w:lang w:val="en-GB"/>
        </w:rPr>
        <w:t xml:space="preserve"> </w:t>
      </w:r>
      <w:r w:rsidRPr="00DF14B9">
        <w:rPr>
          <w:rFonts w:asciiTheme="minorHAnsi" w:hAnsiTheme="minorHAnsi" w:cstheme="minorBidi"/>
          <w:lang w:val="en-GB"/>
        </w:rPr>
        <w:t>not</w:t>
      </w:r>
      <w:r w:rsidRPr="00DF14B9">
        <w:rPr>
          <w:rFonts w:asciiTheme="minorHAnsi" w:hAnsiTheme="minorHAnsi" w:cstheme="minorBidi"/>
          <w:spacing w:val="-1"/>
          <w:lang w:val="en-GB"/>
        </w:rPr>
        <w:t xml:space="preserve"> </w:t>
      </w:r>
      <w:r w:rsidRPr="00DF14B9">
        <w:rPr>
          <w:rFonts w:asciiTheme="minorHAnsi" w:hAnsiTheme="minorHAnsi" w:cstheme="minorBidi"/>
          <w:lang w:val="en-GB"/>
        </w:rPr>
        <w:t>contain</w:t>
      </w:r>
      <w:r w:rsidRPr="00DF14B9">
        <w:rPr>
          <w:rFonts w:asciiTheme="minorHAnsi" w:hAnsiTheme="minorHAnsi" w:cstheme="minorBidi"/>
          <w:spacing w:val="-3"/>
          <w:lang w:val="en-GB"/>
        </w:rPr>
        <w:t xml:space="preserve"> </w:t>
      </w:r>
      <w:r w:rsidRPr="00DF14B9">
        <w:rPr>
          <w:rFonts w:asciiTheme="minorHAnsi" w:hAnsiTheme="minorHAnsi" w:cstheme="minorBidi"/>
          <w:lang w:val="en-GB"/>
        </w:rPr>
        <w:t>the</w:t>
      </w:r>
      <w:r w:rsidRPr="00DF14B9">
        <w:rPr>
          <w:rFonts w:asciiTheme="minorHAnsi" w:hAnsiTheme="minorHAnsi" w:cstheme="minorBidi"/>
          <w:spacing w:val="-1"/>
          <w:lang w:val="en-GB"/>
        </w:rPr>
        <w:t xml:space="preserve"> </w:t>
      </w:r>
      <w:r w:rsidRPr="00DF14B9">
        <w:rPr>
          <w:rFonts w:asciiTheme="minorHAnsi" w:hAnsiTheme="minorHAnsi" w:cstheme="minorBidi"/>
          <w:lang w:val="en-GB"/>
        </w:rPr>
        <w:t>name</w:t>
      </w:r>
      <w:r w:rsidRPr="00DF14B9">
        <w:rPr>
          <w:rFonts w:asciiTheme="minorHAnsi" w:hAnsiTheme="minorHAnsi" w:cstheme="minorBidi"/>
          <w:spacing w:val="-2"/>
          <w:lang w:val="en-GB"/>
        </w:rPr>
        <w:t xml:space="preserve"> </w:t>
      </w:r>
      <w:r w:rsidRPr="00DF14B9">
        <w:rPr>
          <w:rFonts w:asciiTheme="minorHAnsi" w:hAnsiTheme="minorHAnsi" w:cstheme="minorBidi"/>
          <w:lang w:val="en-GB"/>
        </w:rPr>
        <w:t>and ABN of the employer (including where those documents contain a different name and ABN), this can give rise to contraventions of the</w:t>
      </w:r>
      <w:r w:rsidRPr="00DF14B9">
        <w:rPr>
          <w:rFonts w:asciiTheme="minorHAnsi" w:hAnsiTheme="minorHAnsi" w:cstheme="minorBidi"/>
          <w:i/>
          <w:lang w:val="en-GB"/>
        </w:rPr>
        <w:t xml:space="preserve"> </w:t>
      </w:r>
      <w:r w:rsidRPr="00DF14B9">
        <w:rPr>
          <w:rFonts w:asciiTheme="minorHAnsi" w:hAnsiTheme="minorHAnsi" w:cstheme="minorBidi"/>
          <w:iCs/>
          <w:lang w:val="en-GB"/>
        </w:rPr>
        <w:t>Fair Work Act</w:t>
      </w:r>
      <w:r w:rsidRPr="00DF14B9">
        <w:rPr>
          <w:rFonts w:asciiTheme="minorHAnsi" w:hAnsiTheme="minorHAnsi" w:cstheme="minorBidi"/>
          <w:lang w:val="en-GB"/>
        </w:rPr>
        <w:t xml:space="preserve"> relating to record keeping.</w:t>
      </w:r>
      <w:r w:rsidRPr="15F8FB7F">
        <w:rPr>
          <w:rStyle w:val="FootnoteReference"/>
          <w:rFonts w:asciiTheme="minorHAnsi" w:hAnsiTheme="minorHAnsi" w:cstheme="minorBidi"/>
          <w:lang w:val="en-GB"/>
        </w:rPr>
        <w:footnoteReference w:id="13"/>
      </w:r>
    </w:p>
    <w:p w14:paraId="64502F6D" w14:textId="77777777" w:rsidR="00B76903" w:rsidRDefault="00B76903" w:rsidP="000D02BD">
      <w:pPr>
        <w:pStyle w:val="BodyText"/>
        <w:spacing w:before="44"/>
        <w:ind w:left="0" w:right="58"/>
      </w:pPr>
    </w:p>
    <w:p w14:paraId="05C41871" w14:textId="73AB9D7F" w:rsidR="00D87686" w:rsidRPr="00B60AFB" w:rsidRDefault="72DAF20F" w:rsidP="000D02BD">
      <w:pPr>
        <w:pStyle w:val="Heading2"/>
        <w:rPr>
          <w:rFonts w:ascii="Calibri" w:hAnsi="Calibri" w:cs="Calibri"/>
        </w:rPr>
      </w:pPr>
      <w:bookmarkStart w:id="16" w:name="_Toc240378174"/>
      <w:bookmarkStart w:id="17" w:name="_Toc240378430"/>
      <w:r w:rsidRPr="0067108F">
        <w:lastRenderedPageBreak/>
        <w:t>First cohort</w:t>
      </w:r>
      <w:bookmarkEnd w:id="16"/>
      <w:bookmarkEnd w:id="17"/>
    </w:p>
    <w:p w14:paraId="4EEA4A91" w14:textId="2FB78C13" w:rsidR="00D87686" w:rsidRPr="00505C2C" w:rsidRDefault="00D828BE" w:rsidP="000D02BD">
      <w:pPr>
        <w:rPr>
          <w:rFonts w:ascii="Calibri" w:eastAsia="Calibri" w:hAnsi="Calibri" w:cs="Calibri"/>
        </w:rPr>
      </w:pPr>
      <w:r>
        <w:t xml:space="preserve">Of the 38 cases </w:t>
      </w:r>
      <w:r w:rsidR="00035A8E">
        <w:t>in</w:t>
      </w:r>
      <w:r>
        <w:t xml:space="preserve"> the first cohort, </w:t>
      </w:r>
      <w:r w:rsidR="00035A8E">
        <w:t xml:space="preserve">non-compliance was identified in </w:t>
      </w:r>
      <w:r w:rsidR="00C5512F">
        <w:t xml:space="preserve">7 </w:t>
      </w:r>
      <w:r w:rsidR="00035A8E">
        <w:t>cases</w:t>
      </w:r>
      <w:r w:rsidR="002733FC">
        <w:t xml:space="preserve">, resulting in the </w:t>
      </w:r>
      <w:r w:rsidR="002733FC" w:rsidRPr="00505C2C">
        <w:t>issuing of 6 compliance notices and 1 infringement notice.</w:t>
      </w:r>
    </w:p>
    <w:p w14:paraId="3DCE3129" w14:textId="77777777" w:rsidR="00D87686" w:rsidRDefault="00D87686" w:rsidP="000D02BD">
      <w:pPr>
        <w:spacing w:after="0"/>
      </w:pPr>
      <w:r>
        <w:rPr>
          <w:rFonts w:ascii="Calibri" w:eastAsia="Calibri" w:hAnsi="Calibri" w:cs="Calibri"/>
        </w:rPr>
        <w:t>The non-compliance identified related to annual leave/annual leave upon termination, public holiday payments, personal leave, payment in lieu of notice of termination and pay slip/record-keeping contraventions.</w:t>
      </w:r>
    </w:p>
    <w:p w14:paraId="2A40BD0D" w14:textId="77777777" w:rsidR="00D87686" w:rsidRPr="00DD44F3" w:rsidRDefault="00D87686" w:rsidP="000D02BD">
      <w:pPr>
        <w:pStyle w:val="Quote"/>
        <w:rPr>
          <w:b/>
          <w:bCs/>
        </w:rPr>
      </w:pPr>
      <w:r w:rsidRPr="00DD44F3">
        <w:rPr>
          <w:b/>
          <w:bCs/>
        </w:rPr>
        <w:t>Case study</w:t>
      </w:r>
    </w:p>
    <w:p w14:paraId="18793CEA" w14:textId="06A9E40A" w:rsidR="00D87686" w:rsidRDefault="00D87686" w:rsidP="000D02BD">
      <w:pPr>
        <w:pStyle w:val="Quote"/>
      </w:pPr>
      <w:r>
        <w:t xml:space="preserve">A BCMI employer was investigated following requests for assistance from 2 employees alleging unpaid overtime and non-payment of public holidays that </w:t>
      </w:r>
      <w:r w:rsidR="00DD41E2">
        <w:t>occurred</w:t>
      </w:r>
      <w:r>
        <w:t xml:space="preserve"> on </w:t>
      </w:r>
      <w:r w:rsidR="00DD41E2">
        <w:t xml:space="preserve">the employee’s </w:t>
      </w:r>
      <w:r>
        <w:t xml:space="preserve">rostered days off. </w:t>
      </w:r>
    </w:p>
    <w:p w14:paraId="7E22AE87" w14:textId="37E754B9" w:rsidR="008E297F" w:rsidRDefault="00D87686" w:rsidP="000D02BD">
      <w:pPr>
        <w:pStyle w:val="Quote"/>
      </w:pPr>
      <w:r>
        <w:t>Our investigation found that the employees were underpaid due to failure to make payment for public holidays, resulting in contraventions of sections 90(2) and 116 of the F</w:t>
      </w:r>
      <w:r w:rsidR="001F37A1">
        <w:t xml:space="preserve">air </w:t>
      </w:r>
      <w:r>
        <w:t>W</w:t>
      </w:r>
      <w:r w:rsidR="001F37A1">
        <w:t>ork</w:t>
      </w:r>
      <w:r>
        <w:t xml:space="preserve"> Act. The employer was found to be compliant in relation to the overtime allegations. </w:t>
      </w:r>
    </w:p>
    <w:p w14:paraId="2E6C101B" w14:textId="21DC8148" w:rsidR="00F409CF" w:rsidRPr="00F409CF" w:rsidRDefault="00D87686" w:rsidP="000D02BD">
      <w:pPr>
        <w:pStyle w:val="Quote"/>
      </w:pPr>
      <w:r>
        <w:t>A Fair Work Inspector issued 2 compliance notices requiring the employer rectify the identified contraventions. The employer complied with the compliance notices back-paying over $19,000 to the 2 employees.</w:t>
      </w:r>
    </w:p>
    <w:p w14:paraId="1E831CD8" w14:textId="768F5B89" w:rsidR="002733FC" w:rsidRPr="00B60AFB" w:rsidRDefault="18795D31" w:rsidP="000D02BD">
      <w:pPr>
        <w:pStyle w:val="Heading2"/>
        <w:rPr>
          <w:rFonts w:ascii="Calibri" w:hAnsi="Calibri" w:cs="Calibri"/>
        </w:rPr>
      </w:pPr>
      <w:bookmarkStart w:id="18" w:name="_Toc240378175"/>
      <w:bookmarkStart w:id="19" w:name="_Toc240378431"/>
      <w:r w:rsidRPr="0067108F">
        <w:t xml:space="preserve">Second </w:t>
      </w:r>
      <w:r w:rsidR="32A2D7E5" w:rsidRPr="0067108F">
        <w:t>cohort</w:t>
      </w:r>
      <w:bookmarkEnd w:id="18"/>
      <w:bookmarkEnd w:id="19"/>
    </w:p>
    <w:p w14:paraId="2231EF27" w14:textId="72DDD017" w:rsidR="00225ED6" w:rsidRPr="008D1C96" w:rsidRDefault="00432FC7" w:rsidP="000D02BD">
      <w:pPr>
        <w:rPr>
          <w:rFonts w:ascii="Calibri" w:hAnsi="Calibri" w:cs="Calibri"/>
          <w:color w:val="auto"/>
        </w:rPr>
      </w:pPr>
      <w:r w:rsidRPr="008D1C96">
        <w:rPr>
          <w:rFonts w:ascii="Calibri" w:hAnsi="Calibri" w:cs="Calibri"/>
          <w:color w:val="auto"/>
        </w:rPr>
        <w:t xml:space="preserve">Of the </w:t>
      </w:r>
      <w:r w:rsidR="00D71B1F">
        <w:rPr>
          <w:rFonts w:ascii="Calibri" w:hAnsi="Calibri" w:cs="Calibri"/>
          <w:color w:val="auto"/>
        </w:rPr>
        <w:t>4</w:t>
      </w:r>
      <w:r w:rsidRPr="008D1C96">
        <w:rPr>
          <w:rFonts w:ascii="Calibri" w:hAnsi="Calibri" w:cs="Calibri"/>
          <w:color w:val="auto"/>
        </w:rPr>
        <w:t xml:space="preserve"> self-reported cases, </w:t>
      </w:r>
      <w:r w:rsidR="472113FC" w:rsidRPr="008D1C96">
        <w:rPr>
          <w:rFonts w:ascii="Calibri" w:hAnsi="Calibri" w:cs="Calibri"/>
          <w:color w:val="auto"/>
        </w:rPr>
        <w:t>employers have admitted to breaches regarding annual and personal leave entitlements</w:t>
      </w:r>
      <w:r w:rsidR="00CA096F">
        <w:rPr>
          <w:rFonts w:ascii="Calibri" w:hAnsi="Calibri" w:cs="Calibri"/>
          <w:color w:val="auto"/>
        </w:rPr>
        <w:t>;</w:t>
      </w:r>
      <w:r w:rsidR="472113FC" w:rsidRPr="008D1C96">
        <w:rPr>
          <w:rFonts w:ascii="Calibri" w:hAnsi="Calibri" w:cs="Calibri"/>
          <w:color w:val="auto"/>
        </w:rPr>
        <w:t xml:space="preserve"> and </w:t>
      </w:r>
      <w:r w:rsidR="6774ADA6" w:rsidRPr="008D1C96">
        <w:rPr>
          <w:rFonts w:ascii="Calibri" w:hAnsi="Calibri" w:cs="Calibri"/>
          <w:color w:val="auto"/>
        </w:rPr>
        <w:t>base rates of pay</w:t>
      </w:r>
      <w:r w:rsidR="00CA096F">
        <w:rPr>
          <w:rFonts w:ascii="Calibri" w:hAnsi="Calibri" w:cs="Calibri"/>
          <w:color w:val="auto"/>
        </w:rPr>
        <w:t>, overtime entitlements, local public holidays and progression of apprentices and trainees</w:t>
      </w:r>
      <w:r w:rsidR="6774ADA6" w:rsidRPr="008D1C96">
        <w:rPr>
          <w:rFonts w:ascii="Calibri" w:hAnsi="Calibri" w:cs="Calibri"/>
          <w:color w:val="auto"/>
        </w:rPr>
        <w:t xml:space="preserve"> under the BCMI Award and </w:t>
      </w:r>
      <w:r w:rsidR="00CA096F">
        <w:rPr>
          <w:rFonts w:ascii="Calibri" w:hAnsi="Calibri" w:cs="Calibri"/>
          <w:color w:val="auto"/>
        </w:rPr>
        <w:t xml:space="preserve">or </w:t>
      </w:r>
      <w:r w:rsidR="6774ADA6" w:rsidRPr="008D1C96">
        <w:rPr>
          <w:rFonts w:ascii="Calibri" w:hAnsi="Calibri" w:cs="Calibri"/>
          <w:color w:val="auto"/>
        </w:rPr>
        <w:t xml:space="preserve">an enterprise agreement. </w:t>
      </w:r>
    </w:p>
    <w:p w14:paraId="7EB9CB2F" w14:textId="197CD803" w:rsidR="00F963D8" w:rsidRPr="008D1C96" w:rsidRDefault="00225ED6" w:rsidP="000D02BD">
      <w:pPr>
        <w:rPr>
          <w:rFonts w:ascii="Calibri" w:hAnsi="Calibri" w:cs="Calibri"/>
          <w:color w:val="auto"/>
        </w:rPr>
      </w:pPr>
      <w:r w:rsidRPr="008D1C96">
        <w:rPr>
          <w:rFonts w:ascii="Calibri" w:hAnsi="Calibri" w:cs="Calibri"/>
          <w:color w:val="auto"/>
        </w:rPr>
        <w:t xml:space="preserve">Of the </w:t>
      </w:r>
      <w:r w:rsidR="00A67C3E">
        <w:rPr>
          <w:rFonts w:ascii="Calibri" w:hAnsi="Calibri" w:cs="Calibri"/>
          <w:color w:val="auto"/>
        </w:rPr>
        <w:t>4</w:t>
      </w:r>
      <w:r w:rsidR="00F963D8" w:rsidRPr="008D1C96">
        <w:rPr>
          <w:rFonts w:ascii="Calibri" w:hAnsi="Calibri" w:cs="Calibri"/>
          <w:color w:val="auto"/>
        </w:rPr>
        <w:t xml:space="preserve"> cases, a compliance notice has been issued in respect of one </w:t>
      </w:r>
      <w:r w:rsidR="001668F2" w:rsidRPr="008D1C96">
        <w:rPr>
          <w:rFonts w:ascii="Calibri" w:hAnsi="Calibri" w:cs="Calibri"/>
          <w:color w:val="auto"/>
        </w:rPr>
        <w:t>case,</w:t>
      </w:r>
      <w:r w:rsidR="00F963D8" w:rsidRPr="008D1C96">
        <w:rPr>
          <w:rFonts w:ascii="Calibri" w:hAnsi="Calibri" w:cs="Calibri"/>
          <w:color w:val="auto"/>
        </w:rPr>
        <w:t xml:space="preserve"> and an enforceable undertaking has been executed </w:t>
      </w:r>
      <w:r w:rsidR="00060639">
        <w:rPr>
          <w:rFonts w:ascii="Calibri" w:hAnsi="Calibri" w:cs="Calibri"/>
          <w:color w:val="auto"/>
        </w:rPr>
        <w:t xml:space="preserve">with </w:t>
      </w:r>
      <w:r w:rsidR="00060639" w:rsidRPr="002629B8">
        <w:t xml:space="preserve">Peabody Energy Australia Coal Pty Ltd </w:t>
      </w:r>
      <w:r w:rsidR="00060639">
        <w:t>(</w:t>
      </w:r>
      <w:r w:rsidR="00060639" w:rsidRPr="00060639">
        <w:rPr>
          <w:b/>
          <w:bCs/>
        </w:rPr>
        <w:t>Peabody</w:t>
      </w:r>
      <w:r w:rsidR="00060639">
        <w:t>).</w:t>
      </w:r>
    </w:p>
    <w:p w14:paraId="1C58381D" w14:textId="5FDE41F9" w:rsidR="008D1C96" w:rsidRPr="008D1C96" w:rsidRDefault="00F963D8" w:rsidP="000D02BD">
      <w:pPr>
        <w:rPr>
          <w:rFonts w:ascii="Calibri" w:hAnsi="Calibri" w:cs="Calibri"/>
          <w:color w:val="auto"/>
        </w:rPr>
      </w:pPr>
      <w:r w:rsidRPr="008D1C96">
        <w:rPr>
          <w:rFonts w:ascii="Calibri" w:hAnsi="Calibri" w:cs="Calibri"/>
          <w:color w:val="auto"/>
        </w:rPr>
        <w:t xml:space="preserve">Two cases </w:t>
      </w:r>
      <w:r w:rsidR="008D1C96" w:rsidRPr="008D1C96">
        <w:rPr>
          <w:rFonts w:ascii="Calibri" w:hAnsi="Calibri" w:cs="Calibri"/>
          <w:color w:val="auto"/>
        </w:rPr>
        <w:t xml:space="preserve">remain under </w:t>
      </w:r>
      <w:r w:rsidR="4D36D49B" w:rsidRPr="008D1C96">
        <w:rPr>
          <w:rFonts w:ascii="Calibri" w:hAnsi="Calibri" w:cs="Calibri"/>
          <w:color w:val="auto"/>
        </w:rPr>
        <w:t xml:space="preserve">investigation. </w:t>
      </w:r>
    </w:p>
    <w:p w14:paraId="2DB22D26" w14:textId="6AB3901A" w:rsidR="00CA096F" w:rsidRPr="002629B8" w:rsidRDefault="00CA096F" w:rsidP="000D02BD">
      <w:pPr>
        <w:pStyle w:val="Calloutboxbullet"/>
        <w:numPr>
          <w:ilvl w:val="0"/>
          <w:numId w:val="0"/>
        </w:numPr>
        <w:spacing w:after="120"/>
        <w:ind w:left="227" w:hanging="227"/>
        <w:contextualSpacing w:val="0"/>
      </w:pPr>
      <w:r w:rsidRPr="00090AFF">
        <w:rPr>
          <w:b/>
          <w:bCs/>
        </w:rPr>
        <w:t xml:space="preserve">Case </w:t>
      </w:r>
      <w:r>
        <w:rPr>
          <w:b/>
          <w:bCs/>
        </w:rPr>
        <w:t>s</w:t>
      </w:r>
      <w:r w:rsidRPr="00090AFF">
        <w:rPr>
          <w:b/>
          <w:bCs/>
        </w:rPr>
        <w:t>tudy</w:t>
      </w:r>
      <w:r>
        <w:rPr>
          <w:b/>
          <w:bCs/>
        </w:rPr>
        <w:t xml:space="preserve"> </w:t>
      </w:r>
    </w:p>
    <w:p w14:paraId="342EAB17" w14:textId="25CB6E67" w:rsidR="00361057" w:rsidRDefault="00361057" w:rsidP="000D02BD">
      <w:pPr>
        <w:pStyle w:val="Calloutboxbullet"/>
        <w:numPr>
          <w:ilvl w:val="0"/>
          <w:numId w:val="0"/>
        </w:numPr>
        <w:spacing w:before="0" w:after="120"/>
        <w:contextualSpacing w:val="0"/>
      </w:pPr>
      <w:r w:rsidRPr="002629B8">
        <w:t xml:space="preserve">Peabody </w:t>
      </w:r>
      <w:r>
        <w:t>is a coal producer that operates 4 black coal mines in Queensland and New South Wales</w:t>
      </w:r>
      <w:r w:rsidRPr="002629B8">
        <w:t xml:space="preserve">. Peabody self-reported its non-compliance to the FWO in </w:t>
      </w:r>
      <w:r>
        <w:t>May</w:t>
      </w:r>
      <w:r w:rsidRPr="002629B8">
        <w:t xml:space="preserve"> 2023.</w:t>
      </w:r>
    </w:p>
    <w:p w14:paraId="3C3FA7B7" w14:textId="1EE86A09" w:rsidR="00361057" w:rsidRPr="002629B8" w:rsidRDefault="002629B8" w:rsidP="000D02BD">
      <w:pPr>
        <w:pStyle w:val="Calloutboxbullet"/>
        <w:numPr>
          <w:ilvl w:val="0"/>
          <w:numId w:val="0"/>
        </w:numPr>
        <w:spacing w:before="0" w:after="120"/>
        <w:contextualSpacing w:val="0"/>
        <w:rPr>
          <w:i/>
          <w:iCs w:val="0"/>
        </w:rPr>
      </w:pPr>
      <w:r w:rsidRPr="002629B8">
        <w:t xml:space="preserve">In July 2026, </w:t>
      </w:r>
      <w:r w:rsidR="00060639">
        <w:t>Peabody</w:t>
      </w:r>
      <w:r>
        <w:t xml:space="preserve"> </w:t>
      </w:r>
      <w:r w:rsidR="004324F3">
        <w:t xml:space="preserve">gave </w:t>
      </w:r>
      <w:r w:rsidR="008D63F6">
        <w:t>an undertaking which was accepted by the FWO purs</w:t>
      </w:r>
      <w:r w:rsidR="004324F3">
        <w:t>uant to section 715 of the Fair Work Act</w:t>
      </w:r>
      <w:r w:rsidR="00361057">
        <w:t xml:space="preserve">. </w:t>
      </w:r>
      <w:r w:rsidR="000F317E">
        <w:t xml:space="preserve">The </w:t>
      </w:r>
      <w:r w:rsidR="00361057">
        <w:t xml:space="preserve">execution of an enforceable </w:t>
      </w:r>
      <w:r w:rsidR="000F317E">
        <w:t>undertaking followed Peabody’s self-report of non-compliance with the F</w:t>
      </w:r>
      <w:r w:rsidR="00EE2953">
        <w:t>air Work</w:t>
      </w:r>
      <w:r w:rsidR="000F317E">
        <w:t xml:space="preserve"> Act and the </w:t>
      </w:r>
      <w:r w:rsidR="00EE2953">
        <w:t xml:space="preserve">BCMI </w:t>
      </w:r>
      <w:r w:rsidR="000F317E">
        <w:t>Award</w:t>
      </w:r>
      <w:r w:rsidR="00361057">
        <w:t>.</w:t>
      </w:r>
    </w:p>
    <w:p w14:paraId="6191402A" w14:textId="4716AE40" w:rsidR="001C5709" w:rsidRDefault="00CA096F" w:rsidP="000D02BD">
      <w:pPr>
        <w:pStyle w:val="Calloutboxbullet"/>
        <w:numPr>
          <w:ilvl w:val="0"/>
          <w:numId w:val="0"/>
        </w:numPr>
        <w:spacing w:before="0" w:after="120"/>
        <w:contextualSpacing w:val="0"/>
      </w:pPr>
      <w:r w:rsidRPr="002629B8">
        <w:t>Peabody has back paid $</w:t>
      </w:r>
      <w:r w:rsidR="002629B8">
        <w:t>4.9 million</w:t>
      </w:r>
      <w:r w:rsidRPr="002629B8">
        <w:t xml:space="preserve">, including interest and </w:t>
      </w:r>
      <w:r w:rsidR="002629B8" w:rsidRPr="002629B8">
        <w:t>superannuation</w:t>
      </w:r>
      <w:r w:rsidRPr="002629B8">
        <w:t xml:space="preserve">, to 197 underpaid employees. </w:t>
      </w:r>
      <w:r w:rsidR="00361057">
        <w:t xml:space="preserve"> </w:t>
      </w:r>
      <w:r w:rsidR="002629B8" w:rsidRPr="002629B8">
        <w:t xml:space="preserve">The underpayments relate to </w:t>
      </w:r>
      <w:r w:rsidR="002629B8">
        <w:t>employees that were not paid out their accrued personal leave balance and allowances upon termination of employment between 1 January 2016 to 30 April 2023.</w:t>
      </w:r>
      <w:r w:rsidR="002629B8" w:rsidRPr="002629B8">
        <w:t xml:space="preserve"> </w:t>
      </w:r>
    </w:p>
    <w:p w14:paraId="20C5F674" w14:textId="6441F070" w:rsidR="001668F2" w:rsidRDefault="004F324B" w:rsidP="000D02BD">
      <w:pPr>
        <w:pStyle w:val="Calloutboxbullet"/>
        <w:numPr>
          <w:ilvl w:val="0"/>
          <w:numId w:val="0"/>
        </w:numPr>
        <w:spacing w:before="0" w:after="120"/>
        <w:contextualSpacing w:val="0"/>
      </w:pPr>
      <w:r>
        <w:t>Among a range of undertakings, P</w:t>
      </w:r>
      <w:r w:rsidR="002629B8" w:rsidRPr="002629B8">
        <w:t xml:space="preserve">eabody must ensure future compliance with workplace laws </w:t>
      </w:r>
      <w:r>
        <w:t xml:space="preserve">by </w:t>
      </w:r>
      <w:r w:rsidR="00A65694">
        <w:t>arranging for a</w:t>
      </w:r>
      <w:r w:rsidR="002629B8" w:rsidRPr="002629B8">
        <w:t xml:space="preserve"> future </w:t>
      </w:r>
      <w:r w:rsidR="00A65694">
        <w:t xml:space="preserve">independent </w:t>
      </w:r>
      <w:r w:rsidR="002629B8" w:rsidRPr="002629B8">
        <w:t xml:space="preserve">audit, </w:t>
      </w:r>
      <w:r w:rsidR="00FD0833" w:rsidRPr="00FD0833">
        <w:t>establish</w:t>
      </w:r>
      <w:r w:rsidR="00A65694">
        <w:t>ing</w:t>
      </w:r>
      <w:r w:rsidR="00FD0833" w:rsidRPr="00FD0833">
        <w:t xml:space="preserve"> a complaints and review mechanism</w:t>
      </w:r>
      <w:r w:rsidR="00A65694">
        <w:t xml:space="preserve"> for its workforce, enhancing its </w:t>
      </w:r>
      <w:r w:rsidR="002629B8" w:rsidRPr="002629B8">
        <w:t>governance framework</w:t>
      </w:r>
      <w:r w:rsidR="008477CA">
        <w:t xml:space="preserve"> and</w:t>
      </w:r>
      <w:r w:rsidR="002629B8" w:rsidRPr="002629B8">
        <w:t xml:space="preserve"> introduc</w:t>
      </w:r>
      <w:r w:rsidR="00A65694">
        <w:t>ing</w:t>
      </w:r>
      <w:r w:rsidR="002629B8" w:rsidRPr="002629B8">
        <w:t xml:space="preserve"> a joint </w:t>
      </w:r>
      <w:r w:rsidR="00A65694">
        <w:t xml:space="preserve">staff </w:t>
      </w:r>
      <w:r w:rsidR="002629B8" w:rsidRPr="002629B8">
        <w:t>consultative committee</w:t>
      </w:r>
      <w:r w:rsidR="008477CA">
        <w:t>.</w:t>
      </w:r>
    </w:p>
    <w:p w14:paraId="1514A9FA" w14:textId="365A3030" w:rsidR="00C52688" w:rsidRDefault="001668F2" w:rsidP="000D02BD">
      <w:pPr>
        <w:pStyle w:val="Calloutboxbullet"/>
        <w:numPr>
          <w:ilvl w:val="0"/>
          <w:numId w:val="0"/>
        </w:numPr>
        <w:spacing w:before="0" w:after="120"/>
        <w:contextualSpacing w:val="0"/>
      </w:pPr>
      <w:hyperlink r:id="rId13" w:history="1">
        <w:r w:rsidRPr="005C6390">
          <w:rPr>
            <w:rStyle w:val="Hyperlink"/>
            <w:i/>
            <w:iCs w:val="0"/>
          </w:rPr>
          <w:t>Peabody Energy Australia signs Enforceable Undertaking after nearly $5m back-payments - Fair Work Ombudsman</w:t>
        </w:r>
      </w:hyperlink>
    </w:p>
    <w:p w14:paraId="0F85AB6F" w14:textId="77777777" w:rsidR="00F409CF" w:rsidRDefault="00F409CF" w:rsidP="000D02BD">
      <w:pPr>
        <w:rPr>
          <w:rFonts w:ascii="Calibri" w:hAnsi="Calibri" w:cs="Calibri"/>
          <w:b/>
          <w:bCs/>
          <w:color w:val="1B365D" w:themeColor="text1"/>
        </w:rPr>
      </w:pPr>
    </w:p>
    <w:p w14:paraId="5AB89A3B" w14:textId="23585A1C" w:rsidR="00432FC7" w:rsidRPr="00B60AFB" w:rsidRDefault="00432FC7" w:rsidP="000D02BD">
      <w:pPr>
        <w:pStyle w:val="Heading2"/>
      </w:pPr>
      <w:r w:rsidRPr="00B60AFB">
        <w:lastRenderedPageBreak/>
        <w:t>Third cohort</w:t>
      </w:r>
    </w:p>
    <w:p w14:paraId="717A8028" w14:textId="1B5F422C" w:rsidR="00432FC7" w:rsidRPr="00AD5C6E" w:rsidRDefault="00432FC7" w:rsidP="000D02BD">
      <w:pPr>
        <w:rPr>
          <w:rFonts w:ascii="Calibri" w:hAnsi="Calibri" w:cs="Calibri"/>
        </w:rPr>
      </w:pPr>
      <w:r>
        <w:rPr>
          <w:rFonts w:ascii="Calibri" w:hAnsi="Calibri" w:cs="Calibri"/>
          <w:color w:val="auto"/>
        </w:rPr>
        <w:t xml:space="preserve">Of the </w:t>
      </w:r>
      <w:r w:rsidRPr="291548F4">
        <w:rPr>
          <w:rFonts w:ascii="Calibri" w:hAnsi="Calibri" w:cs="Calibri"/>
          <w:color w:val="auto"/>
        </w:rPr>
        <w:t xml:space="preserve">14 </w:t>
      </w:r>
      <w:r w:rsidR="004D65D7">
        <w:rPr>
          <w:rFonts w:ascii="Calibri" w:hAnsi="Calibri" w:cs="Calibri"/>
          <w:color w:val="auto"/>
        </w:rPr>
        <w:t xml:space="preserve">cases in </w:t>
      </w:r>
      <w:r w:rsidR="004B6CF8">
        <w:rPr>
          <w:rFonts w:ascii="Calibri" w:hAnsi="Calibri" w:cs="Calibri"/>
          <w:color w:val="auto"/>
        </w:rPr>
        <w:t>this</w:t>
      </w:r>
      <w:r w:rsidR="004D65D7">
        <w:rPr>
          <w:rFonts w:ascii="Calibri" w:hAnsi="Calibri" w:cs="Calibri"/>
          <w:color w:val="auto"/>
        </w:rPr>
        <w:t xml:space="preserve"> cohort, </w:t>
      </w:r>
      <w:r w:rsidR="00787A05">
        <w:rPr>
          <w:rFonts w:ascii="Calibri" w:hAnsi="Calibri" w:cs="Calibri"/>
          <w:color w:val="auto"/>
        </w:rPr>
        <w:t>the allegations</w:t>
      </w:r>
      <w:r w:rsidR="00052015">
        <w:rPr>
          <w:rFonts w:ascii="Calibri" w:hAnsi="Calibri" w:cs="Calibri"/>
          <w:color w:val="auto"/>
        </w:rPr>
        <w:t xml:space="preserve"> typically involved </w:t>
      </w:r>
      <w:r w:rsidR="00F97795">
        <w:rPr>
          <w:rFonts w:ascii="Calibri" w:hAnsi="Calibri" w:cs="Calibri"/>
          <w:color w:val="auto"/>
        </w:rPr>
        <w:t xml:space="preserve">a claim that the </w:t>
      </w:r>
      <w:r w:rsidR="004F3F7A">
        <w:rPr>
          <w:rFonts w:ascii="Calibri" w:hAnsi="Calibri" w:cs="Calibri"/>
          <w:color w:val="auto"/>
        </w:rPr>
        <w:t xml:space="preserve">relevant </w:t>
      </w:r>
      <w:r w:rsidR="00F97795">
        <w:rPr>
          <w:rFonts w:ascii="Calibri" w:hAnsi="Calibri" w:cs="Calibri"/>
          <w:color w:val="auto"/>
        </w:rPr>
        <w:t>enterprise agreements were unlawful and therefore the BCMI Award applied</w:t>
      </w:r>
      <w:r w:rsidR="00547F20">
        <w:rPr>
          <w:rFonts w:ascii="Calibri" w:hAnsi="Calibri" w:cs="Calibri"/>
          <w:color w:val="auto"/>
        </w:rPr>
        <w:t xml:space="preserve"> (</w:t>
      </w:r>
      <w:r w:rsidR="00B472F5">
        <w:rPr>
          <w:rFonts w:ascii="Calibri" w:hAnsi="Calibri" w:cs="Calibri"/>
          <w:color w:val="auto"/>
        </w:rPr>
        <w:t xml:space="preserve">such that claims </w:t>
      </w:r>
      <w:r w:rsidR="00547F20">
        <w:rPr>
          <w:rFonts w:ascii="Calibri" w:hAnsi="Calibri" w:cs="Calibri"/>
          <w:color w:val="auto"/>
        </w:rPr>
        <w:t xml:space="preserve">to underpayments </w:t>
      </w:r>
      <w:r w:rsidR="00547F20">
        <w:rPr>
          <w:rFonts w:ascii="Calibri" w:hAnsi="Calibri" w:cs="Calibri"/>
        </w:rPr>
        <w:t>d</w:t>
      </w:r>
      <w:r w:rsidRPr="00AD5C6E">
        <w:rPr>
          <w:rFonts w:ascii="Calibri" w:hAnsi="Calibri" w:cs="Calibri"/>
        </w:rPr>
        <w:t xml:space="preserve">ue to </w:t>
      </w:r>
      <w:r w:rsidR="00392F7B">
        <w:rPr>
          <w:rFonts w:ascii="Calibri" w:hAnsi="Calibri" w:cs="Calibri"/>
        </w:rPr>
        <w:t xml:space="preserve">BCMI Award </w:t>
      </w:r>
      <w:r w:rsidRPr="00AD5C6E">
        <w:rPr>
          <w:rFonts w:ascii="Calibri" w:hAnsi="Calibri" w:cs="Calibri"/>
        </w:rPr>
        <w:t xml:space="preserve">contraventions of hourly rates, casual loading, penalty and overtime provisions </w:t>
      </w:r>
      <w:r w:rsidR="00392F7B">
        <w:rPr>
          <w:rFonts w:ascii="Calibri" w:hAnsi="Calibri" w:cs="Calibri"/>
        </w:rPr>
        <w:t>were made</w:t>
      </w:r>
      <w:r w:rsidR="00926820">
        <w:rPr>
          <w:rFonts w:ascii="Calibri" w:hAnsi="Calibri" w:cs="Calibri"/>
        </w:rPr>
        <w:t>).</w:t>
      </w:r>
    </w:p>
    <w:p w14:paraId="03937B2E" w14:textId="5E3DD1AD" w:rsidR="00432FC7" w:rsidRDefault="00432FC7" w:rsidP="000D02BD">
      <w:pPr>
        <w:rPr>
          <w:rFonts w:ascii="Calibri" w:hAnsi="Calibri" w:cs="Calibri"/>
        </w:rPr>
      </w:pPr>
      <w:r w:rsidRPr="0066549B">
        <w:rPr>
          <w:rFonts w:ascii="Calibri" w:hAnsi="Calibri" w:cs="Calibri"/>
        </w:rPr>
        <w:t>Th</w:t>
      </w:r>
      <w:r w:rsidR="00926820">
        <w:rPr>
          <w:rFonts w:ascii="Calibri" w:hAnsi="Calibri" w:cs="Calibri"/>
        </w:rPr>
        <w:t xml:space="preserve">is cohort of </w:t>
      </w:r>
      <w:r w:rsidRPr="0066549B">
        <w:rPr>
          <w:rFonts w:ascii="Calibri" w:hAnsi="Calibri" w:cs="Calibri"/>
        </w:rPr>
        <w:t>employees ha</w:t>
      </w:r>
      <w:r>
        <w:rPr>
          <w:rFonts w:ascii="Calibri" w:hAnsi="Calibri" w:cs="Calibri"/>
        </w:rPr>
        <w:t>d</w:t>
      </w:r>
      <w:r w:rsidRPr="0066549B">
        <w:rPr>
          <w:rFonts w:ascii="Calibri" w:hAnsi="Calibri" w:cs="Calibri"/>
        </w:rPr>
        <w:t xml:space="preserve"> employment periods spanning 2013 to 2024, which mean</w:t>
      </w:r>
      <w:r>
        <w:rPr>
          <w:rFonts w:ascii="Calibri" w:hAnsi="Calibri" w:cs="Calibri"/>
        </w:rPr>
        <w:t>t</w:t>
      </w:r>
      <w:r w:rsidRPr="0066549B">
        <w:rPr>
          <w:rFonts w:ascii="Calibri" w:hAnsi="Calibri" w:cs="Calibri"/>
        </w:rPr>
        <w:t xml:space="preserve"> that if any findings of contraventions </w:t>
      </w:r>
      <w:r>
        <w:rPr>
          <w:rFonts w:ascii="Calibri" w:hAnsi="Calibri" w:cs="Calibri"/>
        </w:rPr>
        <w:t>we</w:t>
      </w:r>
      <w:r w:rsidRPr="0066549B">
        <w:rPr>
          <w:rFonts w:ascii="Calibri" w:hAnsi="Calibri" w:cs="Calibri"/>
        </w:rPr>
        <w:t>re established</w:t>
      </w:r>
      <w:r>
        <w:rPr>
          <w:rFonts w:ascii="Calibri" w:hAnsi="Calibri" w:cs="Calibri"/>
        </w:rPr>
        <w:t>:</w:t>
      </w:r>
    </w:p>
    <w:p w14:paraId="4BE93A26" w14:textId="3CF76ACB" w:rsidR="00432FC7" w:rsidRPr="00ED7AFA" w:rsidRDefault="00432FC7" w:rsidP="000D02BD">
      <w:pPr>
        <w:pStyle w:val="ListParagraph"/>
        <w:numPr>
          <w:ilvl w:val="0"/>
          <w:numId w:val="18"/>
        </w:numPr>
        <w:ind w:left="714" w:hanging="357"/>
        <w:contextualSpacing w:val="0"/>
        <w:rPr>
          <w:rFonts w:ascii="Calibri" w:hAnsi="Calibri" w:cs="Calibri"/>
          <w:color w:val="auto"/>
        </w:rPr>
      </w:pPr>
      <w:r w:rsidRPr="291548F4">
        <w:rPr>
          <w:rFonts w:ascii="Calibri" w:hAnsi="Calibri" w:cs="Calibri"/>
        </w:rPr>
        <w:t>these may be partially or fully outside the 6-year statute of limitations set out in section 544(5) of the F</w:t>
      </w:r>
      <w:r w:rsidR="001F37A1">
        <w:rPr>
          <w:rFonts w:ascii="Calibri" w:hAnsi="Calibri" w:cs="Calibri"/>
        </w:rPr>
        <w:t xml:space="preserve">air </w:t>
      </w:r>
      <w:r w:rsidRPr="291548F4">
        <w:rPr>
          <w:rFonts w:ascii="Calibri" w:hAnsi="Calibri" w:cs="Calibri"/>
        </w:rPr>
        <w:t>W</w:t>
      </w:r>
      <w:r w:rsidR="001F37A1">
        <w:rPr>
          <w:rFonts w:ascii="Calibri" w:hAnsi="Calibri" w:cs="Calibri"/>
        </w:rPr>
        <w:t>ork</w:t>
      </w:r>
      <w:r w:rsidRPr="291548F4">
        <w:rPr>
          <w:rFonts w:ascii="Calibri" w:hAnsi="Calibri" w:cs="Calibri"/>
        </w:rPr>
        <w:t xml:space="preserve"> Act </w:t>
      </w:r>
    </w:p>
    <w:p w14:paraId="4D68A49D" w14:textId="39398F38" w:rsidR="00432FC7" w:rsidRPr="00ED7AFA" w:rsidRDefault="00926820" w:rsidP="000D02BD">
      <w:pPr>
        <w:pStyle w:val="ListParagraph"/>
        <w:numPr>
          <w:ilvl w:val="0"/>
          <w:numId w:val="18"/>
        </w:numPr>
        <w:rPr>
          <w:rFonts w:ascii="Calibri" w:hAnsi="Calibri" w:cs="Calibri"/>
          <w:color w:val="auto"/>
        </w:rPr>
      </w:pPr>
      <w:r>
        <w:rPr>
          <w:rFonts w:ascii="Calibri" w:hAnsi="Calibri" w:cs="Calibri"/>
        </w:rPr>
        <w:t>w</w:t>
      </w:r>
      <w:r w:rsidR="00432FC7" w:rsidRPr="00ED7AFA">
        <w:rPr>
          <w:rFonts w:ascii="Calibri" w:hAnsi="Calibri" w:cs="Calibri"/>
        </w:rPr>
        <w:t xml:space="preserve">here </w:t>
      </w:r>
      <w:r w:rsidR="00432FC7">
        <w:rPr>
          <w:rFonts w:ascii="Calibri" w:hAnsi="Calibri" w:cs="Calibri"/>
        </w:rPr>
        <w:t>we</w:t>
      </w:r>
      <w:r w:rsidR="00432FC7" w:rsidRPr="00ED7AFA">
        <w:rPr>
          <w:rFonts w:ascii="Calibri" w:hAnsi="Calibri" w:cs="Calibri"/>
        </w:rPr>
        <w:t xml:space="preserve"> identified an enterprise agreement as </w:t>
      </w:r>
      <w:r w:rsidR="0089734B">
        <w:rPr>
          <w:rFonts w:ascii="Calibri" w:hAnsi="Calibri" w:cs="Calibri"/>
        </w:rPr>
        <w:t>apply</w:t>
      </w:r>
      <w:r w:rsidR="0008593D">
        <w:rPr>
          <w:rFonts w:ascii="Calibri" w:hAnsi="Calibri" w:cs="Calibri"/>
        </w:rPr>
        <w:t>ing</w:t>
      </w:r>
      <w:r w:rsidR="0089734B">
        <w:rPr>
          <w:rFonts w:ascii="Calibri" w:hAnsi="Calibri" w:cs="Calibri"/>
        </w:rPr>
        <w:t xml:space="preserve"> to</w:t>
      </w:r>
      <w:r w:rsidR="0089734B" w:rsidRPr="00ED7AFA">
        <w:rPr>
          <w:rFonts w:ascii="Calibri" w:hAnsi="Calibri" w:cs="Calibri"/>
        </w:rPr>
        <w:t xml:space="preserve"> </w:t>
      </w:r>
      <w:r w:rsidR="00432FC7" w:rsidRPr="00ED7AFA">
        <w:rPr>
          <w:rFonts w:ascii="Calibri" w:hAnsi="Calibri" w:cs="Calibri"/>
        </w:rPr>
        <w:t xml:space="preserve">an employee, as stated above, the </w:t>
      </w:r>
      <w:r w:rsidR="00432FC7">
        <w:rPr>
          <w:rFonts w:ascii="Calibri" w:hAnsi="Calibri" w:cs="Calibri"/>
        </w:rPr>
        <w:t>BCMI</w:t>
      </w:r>
      <w:r w:rsidR="00432FC7" w:rsidRPr="00ED7AFA">
        <w:rPr>
          <w:rFonts w:ascii="Calibri" w:hAnsi="Calibri" w:cs="Calibri"/>
        </w:rPr>
        <w:t xml:space="preserve"> Award will </w:t>
      </w:r>
      <w:r w:rsidR="000207D6">
        <w:rPr>
          <w:rFonts w:ascii="Calibri" w:hAnsi="Calibri" w:cs="Calibri"/>
        </w:rPr>
        <w:t xml:space="preserve">not </w:t>
      </w:r>
      <w:r w:rsidR="001668F2" w:rsidRPr="00ED7AFA">
        <w:rPr>
          <w:rFonts w:ascii="Calibri" w:hAnsi="Calibri" w:cs="Calibri"/>
        </w:rPr>
        <w:t>apply,</w:t>
      </w:r>
      <w:r w:rsidR="00432FC7" w:rsidRPr="00ED7AFA">
        <w:rPr>
          <w:rFonts w:ascii="Calibri" w:hAnsi="Calibri" w:cs="Calibri"/>
        </w:rPr>
        <w:t xml:space="preserve"> and wages and entitlements should not be derived for the purposes of any comparison from the version of the </w:t>
      </w:r>
      <w:r w:rsidR="00432FC7">
        <w:rPr>
          <w:rFonts w:ascii="Calibri" w:hAnsi="Calibri" w:cs="Calibri"/>
        </w:rPr>
        <w:t>BCMI</w:t>
      </w:r>
      <w:r w:rsidR="00432FC7" w:rsidRPr="00ED7AFA">
        <w:rPr>
          <w:rFonts w:ascii="Calibri" w:hAnsi="Calibri" w:cs="Calibri"/>
        </w:rPr>
        <w:t xml:space="preserve"> Award applying during the relevant period(s).</w:t>
      </w:r>
    </w:p>
    <w:p w14:paraId="427FE896" w14:textId="08F0EC75" w:rsidR="00432FC7" w:rsidRDefault="00432FC7" w:rsidP="000D02BD">
      <w:pPr>
        <w:spacing w:after="120"/>
        <w:rPr>
          <w:rFonts w:ascii="Calibri" w:eastAsia="Calibri" w:hAnsi="Calibri" w:cs="Calibri"/>
        </w:rPr>
      </w:pPr>
      <w:r w:rsidRPr="291548F4">
        <w:rPr>
          <w:rFonts w:ascii="Calibri" w:eastAsia="Calibri" w:hAnsi="Calibri" w:cs="Calibri"/>
        </w:rPr>
        <w:t>Of the 14 cases</w:t>
      </w:r>
      <w:r w:rsidR="004B2C62">
        <w:rPr>
          <w:rFonts w:ascii="Calibri" w:eastAsia="Calibri" w:hAnsi="Calibri" w:cs="Calibri"/>
        </w:rPr>
        <w:t>,</w:t>
      </w:r>
      <w:r w:rsidR="00FB1DDA">
        <w:rPr>
          <w:rStyle w:val="FootnoteReference"/>
          <w:rFonts w:ascii="Calibri" w:eastAsia="Calibri" w:hAnsi="Calibri" w:cs="Calibri"/>
        </w:rPr>
        <w:footnoteReference w:id="14"/>
      </w:r>
      <w:r w:rsidRPr="291548F4">
        <w:rPr>
          <w:rFonts w:ascii="Calibri" w:eastAsia="Calibri" w:hAnsi="Calibri" w:cs="Calibri"/>
        </w:rPr>
        <w:t xml:space="preserve"> we found:</w:t>
      </w:r>
    </w:p>
    <w:p w14:paraId="400A9C42" w14:textId="7B1B539A" w:rsidR="00432FC7" w:rsidRDefault="00432FC7" w:rsidP="000D02BD">
      <w:pPr>
        <w:pStyle w:val="ListParagraph"/>
        <w:numPr>
          <w:ilvl w:val="0"/>
          <w:numId w:val="18"/>
        </w:numPr>
        <w:spacing w:after="120"/>
        <w:ind w:left="714" w:hanging="357"/>
        <w:contextualSpacing w:val="0"/>
        <w:rPr>
          <w:rFonts w:ascii="Calibri" w:eastAsia="Calibri" w:hAnsi="Calibri" w:cs="Calibri"/>
        </w:rPr>
      </w:pPr>
      <w:r w:rsidRPr="24E18B5B">
        <w:rPr>
          <w:rFonts w:ascii="Calibri" w:eastAsia="Calibri" w:hAnsi="Calibri" w:cs="Calibri"/>
        </w:rPr>
        <w:t>8 cases as compliant</w:t>
      </w:r>
    </w:p>
    <w:p w14:paraId="72195AAD" w14:textId="1A5CDA59" w:rsidR="00432FC7" w:rsidRPr="00D96F36" w:rsidRDefault="00432FC7" w:rsidP="000D02BD">
      <w:pPr>
        <w:pStyle w:val="ListParagraph"/>
        <w:numPr>
          <w:ilvl w:val="0"/>
          <w:numId w:val="18"/>
        </w:numPr>
        <w:spacing w:after="120"/>
        <w:ind w:left="714" w:hanging="357"/>
        <w:contextualSpacing w:val="0"/>
        <w:rPr>
          <w:rFonts w:ascii="Calibri" w:eastAsia="Calibri" w:hAnsi="Calibri" w:cs="Calibri"/>
        </w:rPr>
      </w:pPr>
      <w:r w:rsidRPr="00D96F36">
        <w:rPr>
          <w:rFonts w:ascii="Calibri" w:eastAsia="Calibri" w:hAnsi="Calibri" w:cs="Calibri"/>
        </w:rPr>
        <w:t>2 cases</w:t>
      </w:r>
      <w:r w:rsidR="00D96F36">
        <w:rPr>
          <w:rFonts w:ascii="Calibri" w:eastAsia="Calibri" w:hAnsi="Calibri" w:cs="Calibri"/>
        </w:rPr>
        <w:t xml:space="preserve"> </w:t>
      </w:r>
      <w:r w:rsidR="00D96F36" w:rsidRPr="00D96F36">
        <w:rPr>
          <w:rFonts w:eastAsia="Times New Roman"/>
        </w:rPr>
        <w:t>did not proceed as the businesses were no longer registered, limiting investigative action that could be taken</w:t>
      </w:r>
    </w:p>
    <w:p w14:paraId="51B8A2B8" w14:textId="43692800" w:rsidR="00432FC7" w:rsidRDefault="00432FC7" w:rsidP="000D02BD">
      <w:pPr>
        <w:pStyle w:val="ListParagraph"/>
        <w:numPr>
          <w:ilvl w:val="0"/>
          <w:numId w:val="18"/>
        </w:numPr>
        <w:spacing w:after="0"/>
        <w:rPr>
          <w:rFonts w:ascii="Calibri" w:eastAsia="Calibri" w:hAnsi="Calibri" w:cs="Calibri"/>
        </w:rPr>
      </w:pPr>
      <w:r w:rsidRPr="006843DD">
        <w:rPr>
          <w:rFonts w:eastAsia="Calibri" w:cstheme="minorHAnsi"/>
        </w:rPr>
        <w:t>4 cases</w:t>
      </w:r>
      <w:r w:rsidR="00210145" w:rsidRPr="006843DD">
        <w:rPr>
          <w:rFonts w:eastAsia="Calibri" w:cstheme="minorHAnsi"/>
        </w:rPr>
        <w:t xml:space="preserve"> where we identified</w:t>
      </w:r>
      <w:r w:rsidRPr="006843DD">
        <w:rPr>
          <w:rFonts w:eastAsia="Calibri" w:cstheme="minorHAnsi"/>
        </w:rPr>
        <w:t xml:space="preserve"> non-complian</w:t>
      </w:r>
      <w:r w:rsidR="00210145" w:rsidRPr="006843DD">
        <w:rPr>
          <w:rFonts w:eastAsia="Calibri" w:cstheme="minorHAnsi"/>
        </w:rPr>
        <w:t>ce</w:t>
      </w:r>
      <w:r w:rsidRPr="006843DD">
        <w:rPr>
          <w:rFonts w:eastAsia="Calibri" w:cstheme="minorHAnsi"/>
        </w:rPr>
        <w:t>.</w:t>
      </w:r>
      <w:r w:rsidR="00DB7D41" w:rsidRPr="006843DD">
        <w:rPr>
          <w:rFonts w:eastAsia="Calibri" w:cstheme="minorHAnsi"/>
        </w:rPr>
        <w:t xml:space="preserve"> The identified non-compliance</w:t>
      </w:r>
      <w:r w:rsidR="00177EFB" w:rsidRPr="006843DD">
        <w:rPr>
          <w:rFonts w:eastAsia="Calibri" w:cstheme="minorHAnsi"/>
        </w:rPr>
        <w:t xml:space="preserve"> </w:t>
      </w:r>
      <w:r w:rsidR="00DB7D41">
        <w:rPr>
          <w:rFonts w:ascii="Calibri" w:eastAsia="Calibri" w:hAnsi="Calibri" w:cs="Calibri"/>
        </w:rPr>
        <w:t>related to</w:t>
      </w:r>
      <w:r w:rsidR="00177EFB">
        <w:rPr>
          <w:rFonts w:ascii="Calibri" w:eastAsia="Calibri" w:hAnsi="Calibri" w:cs="Calibri"/>
        </w:rPr>
        <w:t xml:space="preserve"> small historical</w:t>
      </w:r>
      <w:r w:rsidR="00DB7D41">
        <w:rPr>
          <w:rFonts w:ascii="Calibri" w:eastAsia="Calibri" w:hAnsi="Calibri" w:cs="Calibri"/>
        </w:rPr>
        <w:t xml:space="preserve"> underpayments</w:t>
      </w:r>
      <w:r w:rsidR="00210145">
        <w:rPr>
          <w:rFonts w:ascii="Calibri" w:eastAsia="Calibri" w:hAnsi="Calibri" w:cs="Calibri"/>
        </w:rPr>
        <w:t xml:space="preserve"> (largely beyond the </w:t>
      </w:r>
      <w:r w:rsidR="001668F2">
        <w:rPr>
          <w:rFonts w:ascii="Calibri" w:eastAsia="Calibri" w:hAnsi="Calibri" w:cs="Calibri"/>
        </w:rPr>
        <w:t>6-year</w:t>
      </w:r>
      <w:r w:rsidR="0063148D">
        <w:rPr>
          <w:rFonts w:ascii="Calibri" w:eastAsia="Calibri" w:hAnsi="Calibri" w:cs="Calibri"/>
        </w:rPr>
        <w:t xml:space="preserve"> limitation</w:t>
      </w:r>
      <w:r w:rsidR="00210145">
        <w:rPr>
          <w:rFonts w:ascii="Calibri" w:eastAsia="Calibri" w:hAnsi="Calibri" w:cs="Calibri"/>
        </w:rPr>
        <w:t xml:space="preserve"> period in section</w:t>
      </w:r>
      <w:r w:rsidR="0063148D">
        <w:rPr>
          <w:rFonts w:ascii="Calibri" w:eastAsia="Calibri" w:hAnsi="Calibri" w:cs="Calibri"/>
        </w:rPr>
        <w:t>s 544 and</w:t>
      </w:r>
      <w:r w:rsidR="00210145">
        <w:rPr>
          <w:rFonts w:ascii="Calibri" w:eastAsia="Calibri" w:hAnsi="Calibri" w:cs="Calibri"/>
        </w:rPr>
        <w:t xml:space="preserve"> 545</w:t>
      </w:r>
      <w:r w:rsidR="0063148D">
        <w:rPr>
          <w:rFonts w:ascii="Calibri" w:eastAsia="Calibri" w:hAnsi="Calibri" w:cs="Calibri"/>
        </w:rPr>
        <w:t xml:space="preserve"> (5</w:t>
      </w:r>
      <w:r w:rsidR="00210145">
        <w:rPr>
          <w:rFonts w:ascii="Calibri" w:eastAsia="Calibri" w:hAnsi="Calibri" w:cs="Calibri"/>
        </w:rPr>
        <w:t>)</w:t>
      </w:r>
      <w:r w:rsidR="0063148D">
        <w:rPr>
          <w:rFonts w:ascii="Calibri" w:eastAsia="Calibri" w:hAnsi="Calibri" w:cs="Calibri"/>
        </w:rPr>
        <w:t xml:space="preserve"> of the FW Act)</w:t>
      </w:r>
      <w:r w:rsidR="00DB7D41">
        <w:rPr>
          <w:rFonts w:ascii="Calibri" w:eastAsia="Calibri" w:hAnsi="Calibri" w:cs="Calibri"/>
        </w:rPr>
        <w:t xml:space="preserve"> </w:t>
      </w:r>
      <w:r w:rsidR="00177EFB">
        <w:rPr>
          <w:rFonts w:ascii="Calibri" w:eastAsia="Calibri" w:hAnsi="Calibri" w:cs="Calibri"/>
        </w:rPr>
        <w:t xml:space="preserve">regarding </w:t>
      </w:r>
      <w:r w:rsidR="00DB7D41">
        <w:rPr>
          <w:rFonts w:ascii="Calibri" w:eastAsia="Calibri" w:hAnsi="Calibri" w:cs="Calibri"/>
        </w:rPr>
        <w:t xml:space="preserve">the application of </w:t>
      </w:r>
      <w:r w:rsidR="00F8251C">
        <w:rPr>
          <w:rFonts w:ascii="Calibri" w:eastAsia="Calibri" w:hAnsi="Calibri" w:cs="Calibri"/>
        </w:rPr>
        <w:t>rates in the</w:t>
      </w:r>
      <w:r w:rsidR="00DB7D41">
        <w:rPr>
          <w:rFonts w:ascii="Calibri" w:eastAsia="Calibri" w:hAnsi="Calibri" w:cs="Calibri"/>
        </w:rPr>
        <w:t xml:space="preserve"> </w:t>
      </w:r>
      <w:r w:rsidR="00177EFB">
        <w:rPr>
          <w:rFonts w:ascii="Calibri" w:eastAsia="Calibri" w:hAnsi="Calibri" w:cs="Calibri"/>
        </w:rPr>
        <w:t>applicable</w:t>
      </w:r>
      <w:r w:rsidR="00DB7D41">
        <w:rPr>
          <w:rFonts w:ascii="Calibri" w:eastAsia="Calibri" w:hAnsi="Calibri" w:cs="Calibri"/>
        </w:rPr>
        <w:t xml:space="preserve"> enterprise agreement</w:t>
      </w:r>
      <w:r w:rsidR="00177EFB">
        <w:rPr>
          <w:rFonts w:ascii="Calibri" w:eastAsia="Calibri" w:hAnsi="Calibri" w:cs="Calibri"/>
        </w:rPr>
        <w:t>s</w:t>
      </w:r>
      <w:r w:rsidR="00DB7D41">
        <w:rPr>
          <w:rFonts w:ascii="Calibri" w:eastAsia="Calibri" w:hAnsi="Calibri" w:cs="Calibri"/>
        </w:rPr>
        <w:t xml:space="preserve"> and</w:t>
      </w:r>
      <w:r w:rsidR="0063148D">
        <w:rPr>
          <w:rFonts w:ascii="Calibri" w:eastAsia="Calibri" w:hAnsi="Calibri" w:cs="Calibri"/>
        </w:rPr>
        <w:t xml:space="preserve"> a single</w:t>
      </w:r>
      <w:r w:rsidR="00F8251C">
        <w:rPr>
          <w:rFonts w:ascii="Calibri" w:eastAsia="Calibri" w:hAnsi="Calibri" w:cs="Calibri"/>
        </w:rPr>
        <w:t xml:space="preserve"> confined</w:t>
      </w:r>
      <w:r w:rsidR="00DB7D41">
        <w:rPr>
          <w:rFonts w:ascii="Calibri" w:eastAsia="Calibri" w:hAnsi="Calibri" w:cs="Calibri"/>
        </w:rPr>
        <w:t xml:space="preserve"> record-keeping </w:t>
      </w:r>
      <w:r w:rsidR="00F8251C">
        <w:rPr>
          <w:rFonts w:ascii="Calibri" w:eastAsia="Calibri" w:hAnsi="Calibri" w:cs="Calibri"/>
        </w:rPr>
        <w:t xml:space="preserve">breach of </w:t>
      </w:r>
      <w:r w:rsidR="00DB7D41">
        <w:rPr>
          <w:rFonts w:ascii="Calibri" w:eastAsia="Calibri" w:hAnsi="Calibri" w:cs="Calibri"/>
        </w:rPr>
        <w:t>the FW Act.</w:t>
      </w:r>
    </w:p>
    <w:p w14:paraId="1ED978BD" w14:textId="77777777" w:rsidR="00281AFC" w:rsidRDefault="00281AFC" w:rsidP="000D02BD">
      <w:pPr>
        <w:pStyle w:val="ListParagraph"/>
        <w:spacing w:after="0"/>
        <w:rPr>
          <w:rFonts w:ascii="Calibri" w:eastAsia="Calibri" w:hAnsi="Calibri" w:cs="Calibri"/>
        </w:rPr>
      </w:pPr>
    </w:p>
    <w:p w14:paraId="3347610F" w14:textId="77777777" w:rsidR="00432FC7" w:rsidRDefault="00432FC7" w:rsidP="000D02BD">
      <w:pPr>
        <w:spacing w:after="120"/>
        <w:rPr>
          <w:rFonts w:ascii="Calibri" w:eastAsia="Calibri" w:hAnsi="Calibri" w:cs="Calibri"/>
        </w:rPr>
      </w:pPr>
      <w:r w:rsidRPr="24E18B5B">
        <w:rPr>
          <w:rFonts w:ascii="Calibri" w:eastAsia="Calibri" w:hAnsi="Calibri" w:cs="Calibri"/>
        </w:rPr>
        <w:t>Of the 4 cases where non-compliance was identified, we issued:</w:t>
      </w:r>
    </w:p>
    <w:p w14:paraId="005CD8CB" w14:textId="63629A24" w:rsidR="00432FC7" w:rsidRDefault="00432FC7" w:rsidP="000D02BD">
      <w:pPr>
        <w:pStyle w:val="ListParagraph"/>
        <w:numPr>
          <w:ilvl w:val="0"/>
          <w:numId w:val="18"/>
        </w:numPr>
        <w:spacing w:after="120"/>
        <w:ind w:left="714" w:hanging="357"/>
        <w:contextualSpacing w:val="0"/>
        <w:rPr>
          <w:rFonts w:ascii="Calibri" w:eastAsia="Calibri" w:hAnsi="Calibri" w:cs="Calibri"/>
        </w:rPr>
      </w:pPr>
      <w:r w:rsidRPr="24E18B5B">
        <w:rPr>
          <w:rFonts w:ascii="Calibri" w:eastAsia="Calibri" w:hAnsi="Calibri" w:cs="Calibri"/>
        </w:rPr>
        <w:t>1 contravention letter</w:t>
      </w:r>
    </w:p>
    <w:p w14:paraId="7812B119" w14:textId="5CDCF107" w:rsidR="001E3455" w:rsidRPr="00F5647D" w:rsidRDefault="00F8251C" w:rsidP="000D02BD">
      <w:pPr>
        <w:pStyle w:val="ListParagraph"/>
        <w:numPr>
          <w:ilvl w:val="0"/>
          <w:numId w:val="18"/>
        </w:numPr>
        <w:spacing w:after="0"/>
        <w:rPr>
          <w:rFonts w:ascii="Calibri" w:eastAsia="Calibri" w:hAnsi="Calibri" w:cs="Calibri"/>
        </w:rPr>
      </w:pPr>
      <w:r>
        <w:rPr>
          <w:rFonts w:ascii="Calibri" w:eastAsia="Calibri" w:hAnsi="Calibri" w:cs="Calibri"/>
        </w:rPr>
        <w:t>3</w:t>
      </w:r>
      <w:r w:rsidR="001E3455">
        <w:rPr>
          <w:rFonts w:ascii="Calibri" w:eastAsia="Calibri" w:hAnsi="Calibri" w:cs="Calibri"/>
        </w:rPr>
        <w:t xml:space="preserve"> closure and caution letter</w:t>
      </w:r>
      <w:r>
        <w:rPr>
          <w:rFonts w:ascii="Calibri" w:eastAsia="Calibri" w:hAnsi="Calibri" w:cs="Calibri"/>
        </w:rPr>
        <w:t>s.</w:t>
      </w:r>
    </w:p>
    <w:p w14:paraId="3ED20DF4" w14:textId="262BA802" w:rsidR="00E62158" w:rsidRPr="00D968D7" w:rsidRDefault="00E62158" w:rsidP="000D02BD">
      <w:pPr>
        <w:pStyle w:val="Heading2"/>
      </w:pPr>
      <w:bookmarkStart w:id="20" w:name="_Toc240378432"/>
      <w:r w:rsidRPr="24E18B5B">
        <w:t xml:space="preserve">Enforcement </w:t>
      </w:r>
      <w:r w:rsidR="009F3BE9" w:rsidRPr="24E18B5B">
        <w:t>o</w:t>
      </w:r>
      <w:r w:rsidRPr="24E18B5B">
        <w:t>utcomes</w:t>
      </w:r>
      <w:bookmarkEnd w:id="20"/>
    </w:p>
    <w:p w14:paraId="1B6E0D74" w14:textId="0779EE1C" w:rsidR="00E62158" w:rsidRPr="00FF3382" w:rsidRDefault="00E62158" w:rsidP="000D02BD">
      <w:pPr>
        <w:rPr>
          <w:rFonts w:ascii="Calibri" w:hAnsi="Calibri" w:cs="Calibri"/>
        </w:rPr>
      </w:pPr>
      <w:r w:rsidRPr="00D96F36">
        <w:rPr>
          <w:rFonts w:ascii="Calibri" w:hAnsi="Calibri" w:cs="Calibri"/>
        </w:rPr>
        <w:t xml:space="preserve">As of </w:t>
      </w:r>
      <w:r w:rsidR="00A83DF4">
        <w:rPr>
          <w:rFonts w:ascii="Calibri" w:hAnsi="Calibri" w:cs="Calibri"/>
        </w:rPr>
        <w:t>2</w:t>
      </w:r>
      <w:r w:rsidR="006204B3">
        <w:rPr>
          <w:rFonts w:ascii="Calibri" w:hAnsi="Calibri" w:cs="Calibri"/>
        </w:rPr>
        <w:t xml:space="preserve"> September 2026</w:t>
      </w:r>
      <w:r w:rsidRPr="24E18B5B">
        <w:rPr>
          <w:rFonts w:ascii="Calibri" w:hAnsi="Calibri" w:cs="Calibri"/>
        </w:rPr>
        <w:t xml:space="preserve">, investigations have resulted in the following </w:t>
      </w:r>
      <w:r w:rsidR="00C60430" w:rsidRPr="24E18B5B">
        <w:rPr>
          <w:rFonts w:ascii="Calibri" w:hAnsi="Calibri" w:cs="Calibri"/>
        </w:rPr>
        <w:t>e</w:t>
      </w:r>
      <w:r w:rsidRPr="24E18B5B">
        <w:rPr>
          <w:rFonts w:ascii="Calibri" w:hAnsi="Calibri" w:cs="Calibri"/>
        </w:rPr>
        <w:t xml:space="preserve">nforcement </w:t>
      </w:r>
      <w:r w:rsidR="00C60430" w:rsidRPr="24E18B5B">
        <w:rPr>
          <w:rFonts w:ascii="Calibri" w:hAnsi="Calibri" w:cs="Calibri"/>
        </w:rPr>
        <w:t>o</w:t>
      </w:r>
      <w:r w:rsidRPr="24E18B5B">
        <w:rPr>
          <w:rFonts w:ascii="Calibri" w:hAnsi="Calibri" w:cs="Calibri"/>
        </w:rPr>
        <w:t>utcomes:</w:t>
      </w:r>
    </w:p>
    <w:tbl>
      <w:tblPr>
        <w:tblStyle w:val="TableGrid"/>
        <w:tblW w:w="0" w:type="auto"/>
        <w:tblLook w:val="04A0" w:firstRow="1" w:lastRow="0" w:firstColumn="1" w:lastColumn="0" w:noHBand="0" w:noVBand="1"/>
      </w:tblPr>
      <w:tblGrid>
        <w:gridCol w:w="4508"/>
        <w:gridCol w:w="4508"/>
      </w:tblGrid>
      <w:tr w:rsidR="00E62158" w:rsidRPr="00FF3382" w14:paraId="23C8E964" w14:textId="77777777" w:rsidTr="074539C4">
        <w:tc>
          <w:tcPr>
            <w:tcW w:w="4508" w:type="dxa"/>
            <w:shd w:val="clear" w:color="auto" w:fill="FFF0D1" w:themeFill="accent1" w:themeFillTint="33"/>
          </w:tcPr>
          <w:p w14:paraId="6806DD60" w14:textId="285F1C85" w:rsidR="00E62158" w:rsidRPr="0067108F" w:rsidRDefault="00E62158" w:rsidP="000D02BD">
            <w:pPr>
              <w:spacing w:before="60" w:after="60"/>
              <w:rPr>
                <w:rFonts w:ascii="Calibri" w:hAnsi="Calibri" w:cs="Calibri"/>
                <w:b/>
                <w:bCs/>
              </w:rPr>
            </w:pPr>
            <w:r w:rsidRPr="0067108F">
              <w:rPr>
                <w:rFonts w:ascii="Calibri" w:hAnsi="Calibri" w:cs="Calibri"/>
                <w:b/>
                <w:bCs/>
              </w:rPr>
              <w:t xml:space="preserve">Compliance </w:t>
            </w:r>
            <w:r w:rsidR="009F3BE9" w:rsidRPr="0067108F">
              <w:rPr>
                <w:rFonts w:ascii="Calibri" w:hAnsi="Calibri" w:cs="Calibri"/>
                <w:b/>
                <w:bCs/>
              </w:rPr>
              <w:t>n</w:t>
            </w:r>
            <w:r w:rsidRPr="0067108F">
              <w:rPr>
                <w:rFonts w:ascii="Calibri" w:hAnsi="Calibri" w:cs="Calibri"/>
                <w:b/>
                <w:bCs/>
              </w:rPr>
              <w:t>otice</w:t>
            </w:r>
          </w:p>
        </w:tc>
        <w:tc>
          <w:tcPr>
            <w:tcW w:w="4508" w:type="dxa"/>
          </w:tcPr>
          <w:p w14:paraId="6A679B97" w14:textId="449D1FAF" w:rsidR="00E62158" w:rsidRPr="00FF3382" w:rsidRDefault="00737A63" w:rsidP="000D02BD">
            <w:pPr>
              <w:spacing w:before="60" w:after="60"/>
              <w:rPr>
                <w:rFonts w:ascii="Calibri" w:hAnsi="Calibri" w:cs="Calibri"/>
              </w:rPr>
            </w:pPr>
            <w:r w:rsidRPr="24E18B5B">
              <w:rPr>
                <w:rFonts w:ascii="Calibri" w:hAnsi="Calibri" w:cs="Calibri"/>
              </w:rPr>
              <w:t>7</w:t>
            </w:r>
          </w:p>
        </w:tc>
      </w:tr>
      <w:tr w:rsidR="00E62158" w:rsidRPr="00FF3382" w14:paraId="6F7AC1D8" w14:textId="77777777" w:rsidTr="074539C4">
        <w:tc>
          <w:tcPr>
            <w:tcW w:w="4508" w:type="dxa"/>
            <w:shd w:val="clear" w:color="auto" w:fill="FFF0D1" w:themeFill="accent1" w:themeFillTint="33"/>
          </w:tcPr>
          <w:p w14:paraId="6DAE6CA1" w14:textId="63D5E5EB" w:rsidR="00E62158" w:rsidRPr="0067108F" w:rsidRDefault="00E62158" w:rsidP="000D02BD">
            <w:pPr>
              <w:spacing w:before="60" w:after="60"/>
              <w:rPr>
                <w:rFonts w:ascii="Calibri" w:hAnsi="Calibri" w:cs="Calibri"/>
                <w:b/>
                <w:bCs/>
              </w:rPr>
            </w:pPr>
            <w:r w:rsidRPr="0067108F">
              <w:rPr>
                <w:rFonts w:ascii="Calibri" w:hAnsi="Calibri" w:cs="Calibri"/>
                <w:b/>
                <w:bCs/>
              </w:rPr>
              <w:t xml:space="preserve">Infringement </w:t>
            </w:r>
            <w:r w:rsidR="009F3BE9" w:rsidRPr="0067108F">
              <w:rPr>
                <w:rFonts w:ascii="Calibri" w:hAnsi="Calibri" w:cs="Calibri"/>
                <w:b/>
                <w:bCs/>
              </w:rPr>
              <w:t>n</w:t>
            </w:r>
            <w:r w:rsidRPr="0067108F">
              <w:rPr>
                <w:rFonts w:ascii="Calibri" w:hAnsi="Calibri" w:cs="Calibri"/>
                <w:b/>
                <w:bCs/>
              </w:rPr>
              <w:t>otice</w:t>
            </w:r>
          </w:p>
        </w:tc>
        <w:tc>
          <w:tcPr>
            <w:tcW w:w="4508" w:type="dxa"/>
          </w:tcPr>
          <w:p w14:paraId="578A4B62" w14:textId="77777777" w:rsidR="00E62158" w:rsidRPr="00FF3382" w:rsidRDefault="00E62158" w:rsidP="000D02BD">
            <w:pPr>
              <w:spacing w:before="60" w:after="60"/>
              <w:rPr>
                <w:rFonts w:ascii="Calibri" w:hAnsi="Calibri" w:cs="Calibri"/>
              </w:rPr>
            </w:pPr>
            <w:r w:rsidRPr="24E18B5B">
              <w:rPr>
                <w:rFonts w:ascii="Calibri" w:hAnsi="Calibri" w:cs="Calibri"/>
              </w:rPr>
              <w:t>1</w:t>
            </w:r>
          </w:p>
        </w:tc>
      </w:tr>
      <w:tr w:rsidR="00E62158" w:rsidRPr="00FF3382" w14:paraId="3E810C6D" w14:textId="77777777" w:rsidTr="074539C4">
        <w:tc>
          <w:tcPr>
            <w:tcW w:w="4508" w:type="dxa"/>
            <w:shd w:val="clear" w:color="auto" w:fill="FFF0D1" w:themeFill="accent1" w:themeFillTint="33"/>
          </w:tcPr>
          <w:p w14:paraId="7E1A3542" w14:textId="47A8310E" w:rsidR="00E62158" w:rsidRPr="0067108F" w:rsidRDefault="00E62158" w:rsidP="000D02BD">
            <w:pPr>
              <w:spacing w:before="60" w:after="60"/>
              <w:rPr>
                <w:rFonts w:ascii="Calibri" w:hAnsi="Calibri" w:cs="Calibri"/>
                <w:b/>
                <w:bCs/>
              </w:rPr>
            </w:pPr>
            <w:r w:rsidRPr="0067108F">
              <w:rPr>
                <w:rFonts w:ascii="Calibri" w:hAnsi="Calibri" w:cs="Calibri"/>
                <w:b/>
                <w:bCs/>
              </w:rPr>
              <w:t xml:space="preserve">Enforceable </w:t>
            </w:r>
            <w:r w:rsidR="00736B21" w:rsidRPr="0067108F">
              <w:rPr>
                <w:rFonts w:ascii="Calibri" w:hAnsi="Calibri" w:cs="Calibri"/>
                <w:b/>
                <w:bCs/>
              </w:rPr>
              <w:t>u</w:t>
            </w:r>
            <w:r w:rsidRPr="0067108F">
              <w:rPr>
                <w:rFonts w:ascii="Calibri" w:hAnsi="Calibri" w:cs="Calibri"/>
                <w:b/>
                <w:bCs/>
              </w:rPr>
              <w:t>ndertaking</w:t>
            </w:r>
          </w:p>
        </w:tc>
        <w:tc>
          <w:tcPr>
            <w:tcW w:w="4508" w:type="dxa"/>
          </w:tcPr>
          <w:p w14:paraId="4E7A2242" w14:textId="3D86E399" w:rsidR="00E62158" w:rsidRPr="00FF3382" w:rsidRDefault="00CA096F" w:rsidP="000D02BD">
            <w:pPr>
              <w:spacing w:before="60" w:after="60"/>
              <w:rPr>
                <w:rFonts w:ascii="Calibri" w:hAnsi="Calibri" w:cs="Calibri"/>
                <w:color w:val="FF0000"/>
              </w:rPr>
            </w:pPr>
            <w:r>
              <w:rPr>
                <w:rFonts w:ascii="Calibri" w:hAnsi="Calibri" w:cs="Calibri"/>
              </w:rPr>
              <w:t>1</w:t>
            </w:r>
          </w:p>
        </w:tc>
      </w:tr>
      <w:tr w:rsidR="00E62158" w:rsidRPr="00FF3382" w14:paraId="61415BEF" w14:textId="77777777" w:rsidTr="074539C4">
        <w:tc>
          <w:tcPr>
            <w:tcW w:w="4508" w:type="dxa"/>
            <w:shd w:val="clear" w:color="auto" w:fill="FFF0D1" w:themeFill="accent1" w:themeFillTint="33"/>
          </w:tcPr>
          <w:p w14:paraId="77C69241" w14:textId="1A6EB9DC" w:rsidR="00E62158" w:rsidRPr="0067108F" w:rsidRDefault="00E62158" w:rsidP="000D02BD">
            <w:pPr>
              <w:spacing w:before="60" w:after="60"/>
              <w:rPr>
                <w:rFonts w:ascii="Calibri" w:hAnsi="Calibri" w:cs="Calibri"/>
                <w:b/>
                <w:bCs/>
              </w:rPr>
            </w:pPr>
            <w:r w:rsidRPr="0067108F">
              <w:rPr>
                <w:rFonts w:ascii="Calibri" w:hAnsi="Calibri" w:cs="Calibri"/>
                <w:b/>
                <w:bCs/>
              </w:rPr>
              <w:t xml:space="preserve">Compliance </w:t>
            </w:r>
            <w:r w:rsidR="006A7BFC" w:rsidRPr="0067108F">
              <w:rPr>
                <w:rFonts w:ascii="Calibri" w:hAnsi="Calibri" w:cs="Calibri"/>
                <w:b/>
                <w:bCs/>
              </w:rPr>
              <w:t>n</w:t>
            </w:r>
            <w:r w:rsidRPr="0067108F">
              <w:rPr>
                <w:rFonts w:ascii="Calibri" w:hAnsi="Calibri" w:cs="Calibri"/>
                <w:b/>
                <w:bCs/>
              </w:rPr>
              <w:t>otice recoveries</w:t>
            </w:r>
          </w:p>
        </w:tc>
        <w:tc>
          <w:tcPr>
            <w:tcW w:w="4508" w:type="dxa"/>
          </w:tcPr>
          <w:p w14:paraId="17E5AD98" w14:textId="673E12EE" w:rsidR="00E62158" w:rsidRPr="008C17A1" w:rsidRDefault="00E62158" w:rsidP="000D02BD">
            <w:pPr>
              <w:spacing w:before="60" w:after="60"/>
              <w:rPr>
                <w:rFonts w:ascii="Calibri" w:hAnsi="Calibri" w:cs="Calibri"/>
              </w:rPr>
            </w:pPr>
            <w:r w:rsidRPr="24E18B5B">
              <w:rPr>
                <w:rFonts w:ascii="Calibri" w:hAnsi="Calibri" w:cs="Calibri"/>
              </w:rPr>
              <w:t>$</w:t>
            </w:r>
            <w:r w:rsidR="00737A63" w:rsidRPr="24E18B5B">
              <w:rPr>
                <w:rFonts w:ascii="Calibri" w:hAnsi="Calibri" w:cs="Calibri"/>
              </w:rPr>
              <w:t>2</w:t>
            </w:r>
            <w:r w:rsidR="00533D9F">
              <w:rPr>
                <w:rFonts w:ascii="Calibri" w:hAnsi="Calibri" w:cs="Calibri"/>
              </w:rPr>
              <w:t>6,526</w:t>
            </w:r>
            <w:r w:rsidRPr="24E18B5B">
              <w:rPr>
                <w:rFonts w:ascii="Calibri" w:hAnsi="Calibri" w:cs="Calibri"/>
              </w:rPr>
              <w:t xml:space="preserve"> (for 4 employees)</w:t>
            </w:r>
          </w:p>
        </w:tc>
      </w:tr>
      <w:tr w:rsidR="00E62158" w:rsidRPr="00FF3382" w14:paraId="04576463" w14:textId="77777777" w:rsidTr="074539C4">
        <w:trPr>
          <w:trHeight w:val="585"/>
        </w:trPr>
        <w:tc>
          <w:tcPr>
            <w:tcW w:w="4508" w:type="dxa"/>
            <w:shd w:val="clear" w:color="auto" w:fill="FFF0D1" w:themeFill="accent1" w:themeFillTint="33"/>
          </w:tcPr>
          <w:p w14:paraId="2370D71D" w14:textId="24DCE33F" w:rsidR="00E62158" w:rsidRPr="0067108F" w:rsidRDefault="00E62158" w:rsidP="000D02BD">
            <w:pPr>
              <w:spacing w:before="60" w:after="60"/>
              <w:rPr>
                <w:rFonts w:ascii="Calibri" w:hAnsi="Calibri" w:cs="Calibri"/>
                <w:b/>
                <w:bCs/>
              </w:rPr>
            </w:pPr>
            <w:r w:rsidRPr="0067108F">
              <w:rPr>
                <w:rFonts w:ascii="Calibri" w:hAnsi="Calibri" w:cs="Calibri"/>
                <w:b/>
                <w:bCs/>
              </w:rPr>
              <w:t xml:space="preserve">Monies </w:t>
            </w:r>
            <w:r w:rsidR="006A7BFC" w:rsidRPr="0067108F">
              <w:rPr>
                <w:rFonts w:ascii="Calibri" w:hAnsi="Calibri" w:cs="Calibri"/>
                <w:b/>
                <w:bCs/>
              </w:rPr>
              <w:t>r</w:t>
            </w:r>
            <w:r w:rsidRPr="0067108F">
              <w:rPr>
                <w:rFonts w:ascii="Calibri" w:hAnsi="Calibri" w:cs="Calibri"/>
                <w:b/>
                <w:bCs/>
              </w:rPr>
              <w:t xml:space="preserve">ecovered </w:t>
            </w:r>
            <w:r w:rsidR="00F37DD0" w:rsidRPr="0067108F">
              <w:rPr>
                <w:rFonts w:ascii="Calibri" w:hAnsi="Calibri" w:cs="Calibri"/>
                <w:b/>
                <w:bCs/>
              </w:rPr>
              <w:t xml:space="preserve">in response to </w:t>
            </w:r>
            <w:r w:rsidR="007D138A" w:rsidRPr="0067108F">
              <w:rPr>
                <w:rFonts w:ascii="Calibri" w:hAnsi="Calibri" w:cs="Calibri"/>
                <w:b/>
                <w:bCs/>
              </w:rPr>
              <w:t>self-reports</w:t>
            </w:r>
            <w:r w:rsidR="00F37DD0" w:rsidRPr="0067108F">
              <w:rPr>
                <w:rFonts w:ascii="Calibri" w:hAnsi="Calibri" w:cs="Calibri"/>
                <w:b/>
                <w:bCs/>
              </w:rPr>
              <w:t xml:space="preserve"> of </w:t>
            </w:r>
            <w:r w:rsidR="007D138A" w:rsidRPr="0067108F">
              <w:rPr>
                <w:rFonts w:ascii="Calibri" w:hAnsi="Calibri" w:cs="Calibri"/>
                <w:b/>
                <w:bCs/>
              </w:rPr>
              <w:t>non-compliance</w:t>
            </w:r>
          </w:p>
        </w:tc>
        <w:tc>
          <w:tcPr>
            <w:tcW w:w="4508" w:type="dxa"/>
          </w:tcPr>
          <w:p w14:paraId="3AF92D9B" w14:textId="4B5664E4" w:rsidR="00E62158" w:rsidRPr="008C17A1" w:rsidRDefault="00E62158" w:rsidP="000D02BD">
            <w:pPr>
              <w:spacing w:before="60" w:after="60"/>
              <w:rPr>
                <w:rFonts w:ascii="Calibri" w:hAnsi="Calibri" w:cs="Calibri"/>
              </w:rPr>
            </w:pPr>
            <w:r w:rsidRPr="24E18B5B">
              <w:rPr>
                <w:rFonts w:ascii="Calibri" w:hAnsi="Calibri" w:cs="Calibri"/>
              </w:rPr>
              <w:t>$</w:t>
            </w:r>
            <w:r w:rsidR="00E94B2F">
              <w:rPr>
                <w:rFonts w:ascii="Calibri" w:hAnsi="Calibri" w:cs="Calibri"/>
              </w:rPr>
              <w:t>8,238</w:t>
            </w:r>
            <w:r w:rsidR="00FC08F0">
              <w:rPr>
                <w:rFonts w:ascii="Calibri" w:hAnsi="Calibri" w:cs="Calibri"/>
              </w:rPr>
              <w:t>,085</w:t>
            </w:r>
            <w:r w:rsidR="003E6C3C" w:rsidRPr="24E18B5B">
              <w:rPr>
                <w:rFonts w:ascii="Calibri" w:hAnsi="Calibri" w:cs="Calibri"/>
              </w:rPr>
              <w:t xml:space="preserve"> </w:t>
            </w:r>
            <w:r w:rsidRPr="24E18B5B">
              <w:rPr>
                <w:rFonts w:ascii="Calibri" w:hAnsi="Calibri" w:cs="Calibri"/>
              </w:rPr>
              <w:t xml:space="preserve">(for </w:t>
            </w:r>
            <w:r w:rsidR="00FC08F0">
              <w:rPr>
                <w:rFonts w:ascii="Calibri" w:hAnsi="Calibri" w:cs="Calibri"/>
              </w:rPr>
              <w:t>1,102</w:t>
            </w:r>
            <w:r w:rsidRPr="24E18B5B">
              <w:rPr>
                <w:rFonts w:ascii="Calibri" w:hAnsi="Calibri" w:cs="Calibri"/>
              </w:rPr>
              <w:t xml:space="preserve"> employees)</w:t>
            </w:r>
          </w:p>
        </w:tc>
      </w:tr>
    </w:tbl>
    <w:p w14:paraId="39B040FC" w14:textId="77777777" w:rsidR="00F409CF" w:rsidRDefault="00F409CF" w:rsidP="00640596">
      <w:pPr>
        <w:rPr>
          <w:noProof/>
        </w:rPr>
      </w:pPr>
      <w:bookmarkStart w:id="21" w:name="_Toc240378176"/>
      <w:bookmarkStart w:id="22" w:name="_Toc240378433"/>
    </w:p>
    <w:p w14:paraId="15864AA2" w14:textId="3A0700A3" w:rsidR="007B6108" w:rsidRPr="00184157" w:rsidRDefault="4A42BFD7" w:rsidP="000D02BD">
      <w:pPr>
        <w:pStyle w:val="Heading1"/>
        <w:rPr>
          <w:noProof/>
        </w:rPr>
      </w:pPr>
      <w:r w:rsidRPr="00BB0E07">
        <w:rPr>
          <w:noProof/>
        </w:rPr>
        <w:lastRenderedPageBreak/>
        <w:t>Conclusion</w:t>
      </w:r>
      <w:bookmarkEnd w:id="21"/>
      <w:bookmarkEnd w:id="22"/>
    </w:p>
    <w:p w14:paraId="36E4269C" w14:textId="2164A1F2" w:rsidR="007B6108" w:rsidRPr="00FF3382" w:rsidRDefault="007B6108" w:rsidP="000D02BD">
      <w:pPr>
        <w:spacing w:before="0"/>
        <w:rPr>
          <w:rFonts w:ascii="Calibri" w:hAnsi="Calibri" w:cs="Calibri"/>
          <w:noProof/>
          <w:color w:val="auto"/>
        </w:rPr>
      </w:pPr>
      <w:r w:rsidRPr="291548F4">
        <w:rPr>
          <w:rFonts w:ascii="Calibri" w:hAnsi="Calibri" w:cs="Calibri"/>
          <w:noProof/>
          <w:color w:val="auto"/>
        </w:rPr>
        <w:t xml:space="preserve">Our investigation into </w:t>
      </w:r>
      <w:r>
        <w:rPr>
          <w:rFonts w:ascii="Calibri" w:hAnsi="Calibri" w:cs="Calibri"/>
          <w:noProof/>
          <w:color w:val="auto"/>
        </w:rPr>
        <w:t xml:space="preserve">employment </w:t>
      </w:r>
      <w:r w:rsidRPr="291548F4">
        <w:rPr>
          <w:rFonts w:ascii="Calibri" w:hAnsi="Calibri" w:cs="Calibri"/>
          <w:noProof/>
          <w:color w:val="auto"/>
        </w:rPr>
        <w:t>arrangements within the BCMI found:</w:t>
      </w:r>
    </w:p>
    <w:p w14:paraId="39690E88" w14:textId="7AC8C0EA" w:rsidR="007B6108" w:rsidRPr="006F653C" w:rsidRDefault="007B6108" w:rsidP="000D02BD">
      <w:pPr>
        <w:numPr>
          <w:ilvl w:val="0"/>
          <w:numId w:val="4"/>
        </w:numPr>
        <w:spacing w:before="0" w:after="120"/>
        <w:ind w:left="714" w:hanging="357"/>
        <w:rPr>
          <w:rFonts w:ascii="Calibri" w:hAnsi="Calibri" w:cs="Calibri"/>
          <w:noProof/>
          <w:color w:val="auto"/>
        </w:rPr>
      </w:pPr>
      <w:r w:rsidRPr="24E18B5B">
        <w:rPr>
          <w:rFonts w:ascii="Calibri" w:hAnsi="Calibri" w:cs="Calibri"/>
          <w:noProof/>
          <w:color w:val="auto"/>
        </w:rPr>
        <w:t xml:space="preserve">workers </w:t>
      </w:r>
      <w:r w:rsidR="00940FD8">
        <w:rPr>
          <w:rFonts w:ascii="Calibri" w:hAnsi="Calibri" w:cs="Calibri"/>
          <w:noProof/>
          <w:color w:val="auto"/>
        </w:rPr>
        <w:t>employed</w:t>
      </w:r>
      <w:r w:rsidRPr="24E18B5B">
        <w:rPr>
          <w:rFonts w:ascii="Calibri" w:hAnsi="Calibri" w:cs="Calibri"/>
          <w:noProof/>
          <w:color w:val="auto"/>
        </w:rPr>
        <w:t xml:space="preserve"> as casual employees were, on the information available, engaged in a manner consistent with the </w:t>
      </w:r>
      <w:r w:rsidR="00CF206D">
        <w:rPr>
          <w:rFonts w:ascii="Calibri" w:hAnsi="Calibri" w:cs="Calibri"/>
          <w:noProof/>
          <w:color w:val="auto"/>
        </w:rPr>
        <w:t xml:space="preserve">applicable </w:t>
      </w:r>
      <w:r w:rsidRPr="24E18B5B">
        <w:rPr>
          <w:rFonts w:ascii="Calibri" w:hAnsi="Calibri" w:cs="Calibri"/>
          <w:noProof/>
          <w:color w:val="auto"/>
        </w:rPr>
        <w:t>statutory definition of casual employment and relevant legal principles, noting that casual status must be considered on a case-by-case basis</w:t>
      </w:r>
    </w:p>
    <w:p w14:paraId="0E5F5106" w14:textId="79422F73" w:rsidR="007B6108" w:rsidRPr="006F653C" w:rsidRDefault="007B6108" w:rsidP="000D02BD">
      <w:pPr>
        <w:numPr>
          <w:ilvl w:val="0"/>
          <w:numId w:val="4"/>
        </w:numPr>
        <w:spacing w:before="0" w:after="120"/>
        <w:ind w:left="714" w:hanging="357"/>
        <w:rPr>
          <w:rFonts w:ascii="Calibri" w:hAnsi="Calibri" w:cs="Calibri"/>
          <w:noProof/>
          <w:color w:val="auto"/>
        </w:rPr>
      </w:pPr>
      <w:r w:rsidRPr="24E18B5B">
        <w:rPr>
          <w:rFonts w:ascii="Calibri" w:hAnsi="Calibri" w:cs="Calibri"/>
          <w:noProof/>
          <w:color w:val="auto"/>
        </w:rPr>
        <w:t xml:space="preserve">in the majority of </w:t>
      </w:r>
      <w:r w:rsidR="00D32086">
        <w:rPr>
          <w:rFonts w:ascii="Calibri" w:hAnsi="Calibri" w:cs="Calibri"/>
          <w:noProof/>
          <w:color w:val="auto"/>
        </w:rPr>
        <w:t>cases</w:t>
      </w:r>
      <w:r w:rsidRPr="24E18B5B">
        <w:rPr>
          <w:rFonts w:ascii="Calibri" w:hAnsi="Calibri" w:cs="Calibri"/>
          <w:noProof/>
          <w:color w:val="auto"/>
        </w:rPr>
        <w:t>, employees were paid a casual loading of 25 per cent, or a higher ‘loaded’ or ‘all-in’ rate</w:t>
      </w:r>
      <w:r w:rsidR="00DF0597">
        <w:rPr>
          <w:rFonts w:ascii="Calibri" w:hAnsi="Calibri" w:cs="Calibri"/>
          <w:noProof/>
          <w:color w:val="auto"/>
        </w:rPr>
        <w:t>,</w:t>
      </w:r>
      <w:r w:rsidRPr="24E18B5B">
        <w:rPr>
          <w:rFonts w:ascii="Calibri" w:hAnsi="Calibri" w:cs="Calibri"/>
          <w:noProof/>
          <w:color w:val="auto"/>
        </w:rPr>
        <w:t xml:space="preserve"> incorporating a range of prescribed entitlements</w:t>
      </w:r>
      <w:r w:rsidR="00DF0597">
        <w:rPr>
          <w:rFonts w:ascii="Calibri" w:hAnsi="Calibri" w:cs="Calibri"/>
          <w:noProof/>
          <w:color w:val="auto"/>
        </w:rPr>
        <w:t>,</w:t>
      </w:r>
      <w:r w:rsidRPr="24E18B5B">
        <w:rPr>
          <w:rFonts w:ascii="Calibri" w:hAnsi="Calibri" w:cs="Calibri"/>
          <w:noProof/>
          <w:color w:val="auto"/>
        </w:rPr>
        <w:t xml:space="preserve"> under enterprise agreements, with no evidence of widespread failure to apply an identifiable casual loading entitlement</w:t>
      </w:r>
    </w:p>
    <w:p w14:paraId="79B40FF1" w14:textId="377B4E9C" w:rsidR="007B6108" w:rsidRPr="00490897" w:rsidRDefault="001E01C5" w:rsidP="000D02BD">
      <w:pPr>
        <w:numPr>
          <w:ilvl w:val="0"/>
          <w:numId w:val="4"/>
        </w:numPr>
        <w:spacing w:before="0" w:after="0"/>
        <w:ind w:left="714" w:hanging="357"/>
        <w:rPr>
          <w:rFonts w:cstheme="minorHAnsi"/>
          <w:noProof/>
          <w:color w:val="auto"/>
        </w:rPr>
      </w:pPr>
      <w:r>
        <w:rPr>
          <w:rFonts w:cstheme="minorHAnsi"/>
          <w:noProof/>
          <w:color w:val="auto"/>
        </w:rPr>
        <w:t xml:space="preserve">an </w:t>
      </w:r>
      <w:r w:rsidR="007B6108">
        <w:rPr>
          <w:rFonts w:cstheme="minorHAnsi"/>
          <w:noProof/>
          <w:color w:val="auto"/>
        </w:rPr>
        <w:t>a</w:t>
      </w:r>
      <w:r w:rsidR="007B6108" w:rsidRPr="006F653C">
        <w:rPr>
          <w:rFonts w:cstheme="minorHAnsi"/>
          <w:noProof/>
          <w:color w:val="auto"/>
        </w:rPr>
        <w:t xml:space="preserve">ssessment of remuneration outcomes in the </w:t>
      </w:r>
      <w:r w:rsidR="007B6108">
        <w:rPr>
          <w:rFonts w:cstheme="minorHAnsi"/>
          <w:noProof/>
          <w:color w:val="auto"/>
        </w:rPr>
        <w:t>historical cases</w:t>
      </w:r>
      <w:r>
        <w:rPr>
          <w:rFonts w:cstheme="minorHAnsi"/>
          <w:noProof/>
          <w:color w:val="auto"/>
        </w:rPr>
        <w:t xml:space="preserve"> indicated </w:t>
      </w:r>
      <w:r w:rsidR="007B6108" w:rsidRPr="006F653C">
        <w:rPr>
          <w:rFonts w:cstheme="minorHAnsi"/>
          <w:noProof/>
          <w:color w:val="auto"/>
        </w:rPr>
        <w:t xml:space="preserve">employees were </w:t>
      </w:r>
      <w:r>
        <w:rPr>
          <w:rFonts w:cstheme="minorHAnsi"/>
          <w:noProof/>
          <w:color w:val="auto"/>
        </w:rPr>
        <w:t xml:space="preserve">generally </w:t>
      </w:r>
      <w:r w:rsidR="007B6108" w:rsidRPr="006F653C">
        <w:rPr>
          <w:rFonts w:cstheme="minorHAnsi"/>
          <w:noProof/>
          <w:color w:val="auto"/>
        </w:rPr>
        <w:t xml:space="preserve">better off overall when compared to the minimum entitlements of the </w:t>
      </w:r>
      <w:r w:rsidR="007B6108">
        <w:rPr>
          <w:rFonts w:cstheme="minorHAnsi"/>
          <w:noProof/>
          <w:color w:val="auto"/>
        </w:rPr>
        <w:t>enterprise agreement</w:t>
      </w:r>
      <w:r w:rsidR="007B6108" w:rsidRPr="006F653C">
        <w:rPr>
          <w:rFonts w:cstheme="minorHAnsi"/>
          <w:noProof/>
          <w:color w:val="auto"/>
        </w:rPr>
        <w:t>,</w:t>
      </w:r>
      <w:r w:rsidR="007B6108" w:rsidRPr="00490897">
        <w:rPr>
          <w:rFonts w:cstheme="minorHAnsi"/>
          <w:noProof/>
          <w:color w:val="auto"/>
        </w:rPr>
        <w:t xml:space="preserve"> due to the employees being paid a loaded rate significantly higher than the minimum rates provided for in the enterprise agreements. </w:t>
      </w:r>
    </w:p>
    <w:p w14:paraId="4EDABC9D" w14:textId="77777777" w:rsidR="003A0F58" w:rsidRDefault="003A0F58" w:rsidP="000D02BD">
      <w:pPr>
        <w:spacing w:before="0" w:after="0" w:line="300" w:lineRule="atLeast"/>
        <w:rPr>
          <w:rFonts w:eastAsia="Times New Roman" w:cstheme="minorHAnsi"/>
          <w:color w:val="auto"/>
          <w:kern w:val="0"/>
          <w:lang w:eastAsia="en-AU"/>
          <w14:ligatures w14:val="none"/>
        </w:rPr>
      </w:pPr>
    </w:p>
    <w:p w14:paraId="0BD49CAC" w14:textId="3709BDB3" w:rsidR="007B6108" w:rsidRDefault="004D6F22" w:rsidP="000D02BD">
      <w:pPr>
        <w:spacing w:before="0" w:after="0" w:line="300" w:lineRule="atLeast"/>
        <w:rPr>
          <w:rFonts w:eastAsia="Times New Roman" w:cstheme="minorHAnsi"/>
          <w:color w:val="auto"/>
          <w:kern w:val="0"/>
          <w:lang w:eastAsia="en-AU"/>
          <w14:ligatures w14:val="none"/>
        </w:rPr>
      </w:pPr>
      <w:r>
        <w:rPr>
          <w:rFonts w:eastAsia="Times New Roman" w:cstheme="minorHAnsi"/>
          <w:color w:val="auto"/>
          <w:kern w:val="0"/>
          <w:lang w:eastAsia="en-AU"/>
          <w14:ligatures w14:val="none"/>
        </w:rPr>
        <w:t>W</w:t>
      </w:r>
      <w:r w:rsidR="007B6108" w:rsidRPr="00490897">
        <w:rPr>
          <w:rFonts w:eastAsia="Times New Roman" w:cstheme="minorHAnsi"/>
          <w:color w:val="auto"/>
          <w:kern w:val="0"/>
          <w:lang w:eastAsia="en-AU"/>
          <w14:ligatures w14:val="none"/>
        </w:rPr>
        <w:t>hile isolated instances of non-compliance were identified, these were limited in number and scope and have been addressed through appropriate compliance and enforcement action.</w:t>
      </w:r>
      <w:r w:rsidR="00135B25">
        <w:rPr>
          <w:rFonts w:eastAsia="Times New Roman" w:cstheme="minorHAnsi"/>
          <w:color w:val="auto"/>
          <w:kern w:val="0"/>
          <w:lang w:eastAsia="en-AU"/>
          <w14:ligatures w14:val="none"/>
        </w:rPr>
        <w:t xml:space="preserve"> </w:t>
      </w:r>
      <w:r w:rsidR="007B6108" w:rsidRPr="00490897">
        <w:rPr>
          <w:rFonts w:eastAsia="Times New Roman" w:cstheme="minorHAnsi"/>
          <w:color w:val="auto"/>
          <w:kern w:val="0"/>
          <w:lang w:eastAsia="en-AU"/>
          <w14:ligatures w14:val="none"/>
        </w:rPr>
        <w:t>The issues identified do not</w:t>
      </w:r>
      <w:r w:rsidR="00BD45DB">
        <w:rPr>
          <w:rFonts w:eastAsia="Times New Roman" w:cstheme="minorHAnsi"/>
          <w:color w:val="auto"/>
          <w:kern w:val="0"/>
          <w:lang w:eastAsia="en-AU"/>
          <w14:ligatures w14:val="none"/>
        </w:rPr>
        <w:t>, on the available evid</w:t>
      </w:r>
      <w:r w:rsidR="007B6108" w:rsidRPr="00490897">
        <w:rPr>
          <w:rFonts w:eastAsia="Times New Roman" w:cstheme="minorHAnsi"/>
          <w:color w:val="auto"/>
          <w:kern w:val="0"/>
          <w:lang w:eastAsia="en-AU"/>
          <w14:ligatures w14:val="none"/>
        </w:rPr>
        <w:t>ence, demonstrate systemic non-compliance</w:t>
      </w:r>
      <w:r w:rsidR="007B6108">
        <w:rPr>
          <w:rFonts w:eastAsia="Times New Roman" w:cstheme="minorHAnsi"/>
          <w:color w:val="auto"/>
          <w:kern w:val="0"/>
          <w:lang w:eastAsia="en-AU"/>
          <w14:ligatures w14:val="none"/>
        </w:rPr>
        <w:t xml:space="preserve"> in the BCMI</w:t>
      </w:r>
      <w:r w:rsidR="007B6108" w:rsidRPr="00490897">
        <w:rPr>
          <w:rFonts w:eastAsia="Times New Roman" w:cstheme="minorHAnsi"/>
          <w:color w:val="auto"/>
          <w:kern w:val="0"/>
          <w:lang w:eastAsia="en-AU"/>
          <w14:ligatures w14:val="none"/>
        </w:rPr>
        <w:t>.</w:t>
      </w:r>
    </w:p>
    <w:p w14:paraId="76B50EA4" w14:textId="6057F3E7" w:rsidR="0052673A" w:rsidRPr="00D968D7" w:rsidRDefault="76C5C428" w:rsidP="000D02BD">
      <w:pPr>
        <w:pStyle w:val="Heading1"/>
        <w:spacing w:before="240"/>
        <w:rPr>
          <w:rFonts w:ascii="Calibri" w:hAnsi="Calibri" w:cs="Calibri"/>
          <w:sz w:val="28"/>
          <w:szCs w:val="28"/>
        </w:rPr>
      </w:pPr>
      <w:bookmarkStart w:id="23" w:name="_Toc240378177"/>
      <w:bookmarkStart w:id="24" w:name="_Toc240378434"/>
      <w:r w:rsidRPr="0067108F">
        <w:t>Acknowledgements</w:t>
      </w:r>
      <w:bookmarkEnd w:id="23"/>
      <w:bookmarkEnd w:id="24"/>
    </w:p>
    <w:p w14:paraId="6EF6BFE0" w14:textId="08B29741" w:rsidR="00824222" w:rsidRDefault="0052673A" w:rsidP="000D02BD">
      <w:pPr>
        <w:spacing w:after="0"/>
        <w:rPr>
          <w:rFonts w:ascii="Calibri" w:eastAsia="MS Mincho" w:hAnsi="Calibri" w:cs="Calibri"/>
          <w:color w:val="auto"/>
          <w:lang w:eastAsia="en-AU"/>
        </w:rPr>
      </w:pPr>
      <w:r>
        <w:rPr>
          <w:rFonts w:ascii="Calibri" w:eastAsia="MS Mincho" w:hAnsi="Calibri" w:cs="Calibri"/>
          <w:color w:val="auto"/>
          <w:kern w:val="0"/>
          <w:lang w:eastAsia="en-AU"/>
          <w14:ligatures w14:val="none"/>
        </w:rPr>
        <w:t>We</w:t>
      </w:r>
      <w:r w:rsidRPr="05A057A7">
        <w:rPr>
          <w:rFonts w:ascii="Calibri" w:eastAsia="MS Mincho" w:hAnsi="Calibri" w:cs="Calibri"/>
          <w:color w:val="auto"/>
          <w:kern w:val="0"/>
          <w:lang w:eastAsia="en-AU"/>
          <w14:ligatures w14:val="none"/>
        </w:rPr>
        <w:t xml:space="preserve"> acknowledge and thank </w:t>
      </w:r>
      <w:r>
        <w:rPr>
          <w:rFonts w:ascii="Calibri" w:eastAsia="MS Mincho" w:hAnsi="Calibri" w:cs="Calibri"/>
          <w:color w:val="auto"/>
          <w:kern w:val="0"/>
          <w:lang w:eastAsia="en-AU"/>
          <w14:ligatures w14:val="none"/>
        </w:rPr>
        <w:t xml:space="preserve">the </w:t>
      </w:r>
      <w:r w:rsidRPr="05A057A7">
        <w:rPr>
          <w:rFonts w:ascii="Calibri" w:eastAsia="MS Mincho" w:hAnsi="Calibri" w:cs="Calibri"/>
          <w:color w:val="auto"/>
          <w:kern w:val="0"/>
          <w:lang w:eastAsia="en-AU"/>
          <w14:ligatures w14:val="none"/>
        </w:rPr>
        <w:t xml:space="preserve">stakeholders who </w:t>
      </w:r>
      <w:r w:rsidRPr="291548F4">
        <w:rPr>
          <w:rFonts w:ascii="Calibri" w:eastAsia="MS Mincho" w:hAnsi="Calibri" w:cs="Calibri"/>
          <w:color w:val="auto"/>
          <w:lang w:eastAsia="en-AU"/>
        </w:rPr>
        <w:t xml:space="preserve">participated in consultation and/or investigations through sharing their time, experience and learnings to </w:t>
      </w:r>
      <w:r w:rsidR="00824222">
        <w:rPr>
          <w:rFonts w:ascii="Calibri" w:eastAsia="MS Mincho" w:hAnsi="Calibri" w:cs="Calibri"/>
          <w:color w:val="auto"/>
          <w:lang w:eastAsia="en-AU"/>
        </w:rPr>
        <w:t>assist the FWO’s investigation</w:t>
      </w:r>
      <w:r w:rsidRPr="291548F4">
        <w:rPr>
          <w:rFonts w:ascii="Calibri" w:eastAsia="MS Mincho" w:hAnsi="Calibri" w:cs="Calibri"/>
          <w:color w:val="auto"/>
          <w:lang w:eastAsia="en-AU"/>
        </w:rPr>
        <w:t>. This includes employees, employers,</w:t>
      </w:r>
      <w:r w:rsidR="007C5653">
        <w:rPr>
          <w:rFonts w:ascii="Calibri" w:eastAsia="MS Mincho" w:hAnsi="Calibri" w:cs="Calibri"/>
          <w:color w:val="auto"/>
          <w:lang w:eastAsia="en-AU"/>
        </w:rPr>
        <w:t xml:space="preserve"> unions and employer associations as well as the following government agencies and departments:</w:t>
      </w:r>
      <w:r w:rsidRPr="291548F4">
        <w:rPr>
          <w:rFonts w:ascii="Calibri" w:eastAsia="MS Mincho" w:hAnsi="Calibri" w:cs="Calibri"/>
          <w:color w:val="auto"/>
          <w:lang w:eastAsia="en-AU"/>
        </w:rPr>
        <w:t xml:space="preserve"> </w:t>
      </w:r>
    </w:p>
    <w:p w14:paraId="6676992A" w14:textId="77777777" w:rsidR="00460F79" w:rsidRDefault="00460F79" w:rsidP="000D02BD">
      <w:pPr>
        <w:spacing w:after="0"/>
        <w:rPr>
          <w:rFonts w:ascii="Calibri" w:eastAsia="Calibri" w:hAnsi="Calibri" w:cs="Calibri"/>
          <w:color w:val="auto"/>
        </w:rPr>
      </w:pPr>
    </w:p>
    <w:p w14:paraId="4505FE90" w14:textId="7D3146D0" w:rsidR="00EC62F7" w:rsidRPr="0067108F" w:rsidRDefault="0052673A" w:rsidP="000D02BD">
      <w:pPr>
        <w:pStyle w:val="ListParagraph"/>
        <w:numPr>
          <w:ilvl w:val="0"/>
          <w:numId w:val="30"/>
        </w:numPr>
        <w:spacing w:after="0"/>
        <w:rPr>
          <w:rFonts w:ascii="Calibri" w:eastAsia="Calibri" w:hAnsi="Calibri" w:cs="Calibri"/>
          <w:color w:val="auto"/>
        </w:rPr>
      </w:pPr>
      <w:r w:rsidRPr="0067108F">
        <w:rPr>
          <w:rFonts w:ascii="Calibri" w:eastAsia="Calibri" w:hAnsi="Calibri" w:cs="Calibri"/>
          <w:color w:val="auto"/>
        </w:rPr>
        <w:t>Coal Mining Industry (Long Service Leave Funding) Corporation</w:t>
      </w:r>
    </w:p>
    <w:p w14:paraId="348D3D8C" w14:textId="37EBA69C" w:rsidR="00EC62F7" w:rsidRPr="0067108F" w:rsidRDefault="00184157" w:rsidP="000D02BD">
      <w:pPr>
        <w:pStyle w:val="ListParagraph"/>
        <w:numPr>
          <w:ilvl w:val="0"/>
          <w:numId w:val="30"/>
        </w:numPr>
        <w:spacing w:after="0"/>
        <w:rPr>
          <w:rFonts w:ascii="Calibri" w:eastAsia="Calibri" w:hAnsi="Calibri" w:cs="Calibri"/>
          <w:color w:val="auto"/>
        </w:rPr>
      </w:pPr>
      <w:r w:rsidRPr="0067108F">
        <w:rPr>
          <w:rFonts w:ascii="Calibri" w:eastAsia="Calibri" w:hAnsi="Calibri" w:cs="Calibri"/>
          <w:color w:val="auto"/>
        </w:rPr>
        <w:t>Department of Employment and Workplace Relations</w:t>
      </w:r>
    </w:p>
    <w:p w14:paraId="04B2B1EA" w14:textId="139879D8" w:rsidR="00EC62F7" w:rsidRPr="0067108F" w:rsidRDefault="0052673A" w:rsidP="000D02BD">
      <w:pPr>
        <w:pStyle w:val="ListParagraph"/>
        <w:numPr>
          <w:ilvl w:val="0"/>
          <w:numId w:val="30"/>
        </w:numPr>
        <w:spacing w:after="0"/>
        <w:rPr>
          <w:rFonts w:ascii="Calibri" w:eastAsia="Calibri" w:hAnsi="Calibri" w:cs="Calibri"/>
          <w:color w:val="auto"/>
        </w:rPr>
      </w:pPr>
      <w:r w:rsidRPr="0067108F">
        <w:rPr>
          <w:rFonts w:ascii="Calibri" w:eastAsia="Calibri" w:hAnsi="Calibri" w:cs="Calibri"/>
          <w:color w:val="auto"/>
        </w:rPr>
        <w:t>I</w:t>
      </w:r>
      <w:r w:rsidR="00184157" w:rsidRPr="0067108F">
        <w:rPr>
          <w:rFonts w:ascii="Calibri" w:eastAsia="Calibri" w:hAnsi="Calibri" w:cs="Calibri"/>
          <w:color w:val="auto"/>
        </w:rPr>
        <w:t>ndependent Workers Union of Australia</w:t>
      </w:r>
    </w:p>
    <w:p w14:paraId="3EED4F52" w14:textId="6505B063" w:rsidR="00EC62F7" w:rsidRPr="0067108F" w:rsidRDefault="0052673A" w:rsidP="000D02BD">
      <w:pPr>
        <w:pStyle w:val="ListParagraph"/>
        <w:numPr>
          <w:ilvl w:val="0"/>
          <w:numId w:val="30"/>
        </w:numPr>
        <w:spacing w:after="0"/>
        <w:rPr>
          <w:rFonts w:ascii="Calibri" w:eastAsia="Aptos" w:hAnsi="Calibri" w:cs="Calibri"/>
          <w:color w:val="auto"/>
        </w:rPr>
      </w:pPr>
      <w:r w:rsidRPr="0067108F">
        <w:rPr>
          <w:rFonts w:ascii="Calibri" w:eastAsia="Aptos" w:hAnsi="Calibri" w:cs="Calibri"/>
          <w:color w:val="auto"/>
        </w:rPr>
        <w:t>Mining and Energy Union</w:t>
      </w:r>
    </w:p>
    <w:p w14:paraId="3D0D19EB" w14:textId="264CB7B5" w:rsidR="00EC62F7" w:rsidRPr="0067108F" w:rsidRDefault="0052673A" w:rsidP="000D02BD">
      <w:pPr>
        <w:pStyle w:val="ListParagraph"/>
        <w:numPr>
          <w:ilvl w:val="0"/>
          <w:numId w:val="30"/>
        </w:numPr>
        <w:spacing w:after="0"/>
        <w:rPr>
          <w:rFonts w:ascii="Calibri" w:eastAsia="Aptos" w:hAnsi="Calibri" w:cs="Calibri"/>
          <w:color w:val="auto"/>
        </w:rPr>
      </w:pPr>
      <w:r w:rsidRPr="0067108F">
        <w:rPr>
          <w:rFonts w:ascii="Calibri" w:eastAsia="Aptos" w:hAnsi="Calibri" w:cs="Calibri"/>
          <w:color w:val="auto"/>
        </w:rPr>
        <w:t xml:space="preserve">Minerals Council Australia </w:t>
      </w:r>
    </w:p>
    <w:p w14:paraId="5D00179E" w14:textId="6D673B4E" w:rsidR="00EC62F7" w:rsidRPr="0067108F" w:rsidRDefault="0052673A" w:rsidP="000D02BD">
      <w:pPr>
        <w:pStyle w:val="ListParagraph"/>
        <w:numPr>
          <w:ilvl w:val="0"/>
          <w:numId w:val="30"/>
        </w:numPr>
        <w:spacing w:after="0"/>
        <w:rPr>
          <w:rFonts w:ascii="Calibri" w:eastAsia="MS Mincho" w:hAnsi="Calibri" w:cs="Calibri"/>
          <w:color w:val="auto"/>
          <w:lang w:eastAsia="en-AU"/>
        </w:rPr>
      </w:pPr>
      <w:r w:rsidRPr="0067108F">
        <w:rPr>
          <w:rFonts w:ascii="Calibri" w:eastAsia="MS Mincho" w:hAnsi="Calibri" w:cs="Calibri"/>
          <w:color w:val="auto"/>
          <w:lang w:eastAsia="en-AU"/>
        </w:rPr>
        <w:t>NSW Resources Regulato</w:t>
      </w:r>
      <w:r w:rsidR="0073685D" w:rsidRPr="0067108F">
        <w:rPr>
          <w:rFonts w:ascii="Calibri" w:eastAsia="MS Mincho" w:hAnsi="Calibri" w:cs="Calibri"/>
          <w:color w:val="auto"/>
          <w:lang w:eastAsia="en-AU"/>
        </w:rPr>
        <w:t>r</w:t>
      </w:r>
      <w:r w:rsidRPr="0067108F">
        <w:rPr>
          <w:rFonts w:ascii="Calibri" w:eastAsia="MS Mincho" w:hAnsi="Calibri" w:cs="Calibri"/>
          <w:color w:val="auto"/>
          <w:lang w:eastAsia="en-AU"/>
        </w:rPr>
        <w:t xml:space="preserve"> </w:t>
      </w:r>
    </w:p>
    <w:p w14:paraId="274BD7F7" w14:textId="3B188E05" w:rsidR="00EC62F7" w:rsidRPr="0067108F" w:rsidRDefault="0052673A" w:rsidP="000D02BD">
      <w:pPr>
        <w:pStyle w:val="ListParagraph"/>
        <w:numPr>
          <w:ilvl w:val="0"/>
          <w:numId w:val="30"/>
        </w:numPr>
        <w:spacing w:after="0"/>
        <w:rPr>
          <w:rFonts w:ascii="Calibri" w:eastAsia="Aptos" w:hAnsi="Calibri" w:cs="Calibri"/>
          <w:b/>
          <w:bCs/>
          <w:color w:val="auto"/>
        </w:rPr>
      </w:pPr>
      <w:r w:rsidRPr="0067108F">
        <w:rPr>
          <w:rFonts w:ascii="Calibri" w:eastAsia="Aptos" w:hAnsi="Calibri" w:cs="Calibri"/>
          <w:color w:val="auto"/>
        </w:rPr>
        <w:t>Queensland Labour Hire Licencing Compliance Unit</w:t>
      </w:r>
    </w:p>
    <w:p w14:paraId="21EDA664" w14:textId="7402D7D4" w:rsidR="00EC62F7" w:rsidRPr="0067108F" w:rsidRDefault="0052673A" w:rsidP="000D02BD">
      <w:pPr>
        <w:pStyle w:val="ListParagraph"/>
        <w:numPr>
          <w:ilvl w:val="0"/>
          <w:numId w:val="30"/>
        </w:numPr>
        <w:spacing w:after="0"/>
        <w:rPr>
          <w:rFonts w:ascii="Calibri" w:eastAsia="Aptos" w:hAnsi="Calibri" w:cs="Calibri"/>
          <w:color w:val="auto"/>
        </w:rPr>
      </w:pPr>
      <w:r w:rsidRPr="0067108F">
        <w:rPr>
          <w:rFonts w:ascii="Calibri" w:eastAsia="Aptos" w:hAnsi="Calibri" w:cs="Calibri"/>
          <w:color w:val="auto"/>
        </w:rPr>
        <w:t xml:space="preserve">Recruitment, Consulting &amp; Staffing Association </w:t>
      </w:r>
    </w:p>
    <w:p w14:paraId="48DB3FC2" w14:textId="69E6D1AD" w:rsidR="00355B3D" w:rsidRPr="0067108F" w:rsidRDefault="0052673A" w:rsidP="000D02BD">
      <w:pPr>
        <w:pStyle w:val="ListParagraph"/>
        <w:numPr>
          <w:ilvl w:val="0"/>
          <w:numId w:val="30"/>
        </w:numPr>
        <w:rPr>
          <w:rFonts w:eastAsia="Times New Roman" w:cstheme="minorHAnsi"/>
          <w:color w:val="auto"/>
          <w:kern w:val="0"/>
          <w:lang w:eastAsia="en-AU"/>
          <w14:ligatures w14:val="none"/>
        </w:rPr>
      </w:pPr>
      <w:r w:rsidRPr="0067108F">
        <w:rPr>
          <w:rFonts w:ascii="Calibri" w:eastAsia="Aptos" w:hAnsi="Calibri" w:cs="Calibri"/>
          <w:color w:val="auto"/>
        </w:rPr>
        <w:t>Resources Safety &amp; Health Queensland</w:t>
      </w:r>
      <w:r w:rsidRPr="0067108F">
        <w:rPr>
          <w:rFonts w:ascii="Calibri" w:eastAsia="MS Mincho" w:hAnsi="Calibri" w:cs="Calibri"/>
          <w:color w:val="auto"/>
          <w:lang w:eastAsia="en-AU"/>
        </w:rPr>
        <w:t>.</w:t>
      </w:r>
      <w:bookmarkStart w:id="25" w:name="A_particular_issue_arises_in_the_black_c"/>
      <w:bookmarkStart w:id="26" w:name="Further_complicating_the_issue,_a_range_"/>
      <w:bookmarkStart w:id="27" w:name="It_is_not_clear_what_the_legal_consequen"/>
      <w:bookmarkStart w:id="28" w:name="_the_employee_is_a_casual_and_the_Black"/>
      <w:bookmarkStart w:id="29" w:name="_a_technical_breach_of_the_Black_Coal_A"/>
      <w:bookmarkStart w:id="30" w:name="_different_employment_types_for_differe"/>
      <w:bookmarkStart w:id="31" w:name="This_issue_has_not_been_determined_by_a_"/>
      <w:bookmarkStart w:id="32" w:name="As_you_will_be_aware,_section_15A_of_the"/>
      <w:bookmarkStart w:id="33" w:name="Section_15A_of_the_FW_Act_applies_retros"/>
      <w:bookmarkStart w:id="34" w:name="We_note_that_the_High_Court’s_decision_i"/>
      <w:bookmarkStart w:id="35" w:name="Interaction_between_enterprise_agreement"/>
      <w:bookmarkStart w:id="36" w:name="Given_the_retrospective_application_of_s"/>
      <w:bookmarkStart w:id="37" w:name="_modern_awards_that_contained_an_incons"/>
      <w:bookmarkStart w:id="38" w:name="_enterprise_agreements_that_contain_an_"/>
      <w:bookmarkStart w:id="39" w:name="In_many_cases,_an_employee_purportedly_e"/>
      <w:bookmarkStart w:id="40" w:name="The_FWO_has_adopted_the_position_that_se"/>
      <w:bookmarkStart w:id="41" w:name="However,_the_question_of_the_interaction"/>
      <w:bookmarkStart w:id="42" w:name="Casual_employment"/>
      <w:bookmarkStart w:id="43" w:name="Black_Coal_Mining_Industry_Award"/>
      <w:bookmarkStart w:id="44" w:name="We_trust_this_general_overview_of_our_re"/>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sectPr w:rsidR="00355B3D" w:rsidRPr="0067108F" w:rsidSect="004C52FE">
      <w:footerReference w:type="default" r:id="rId14"/>
      <w:headerReference w:type="first" r:id="rId15"/>
      <w:footerReference w:type="first" r:id="rId16"/>
      <w:pgSz w:w="11906" w:h="16838"/>
      <w:pgMar w:top="1440" w:right="1440" w:bottom="1440" w:left="1440" w:header="708"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1352E" w14:textId="77777777" w:rsidR="0020067D" w:rsidRDefault="0020067D" w:rsidP="00017E93">
      <w:pPr>
        <w:spacing w:after="0" w:line="240" w:lineRule="auto"/>
      </w:pPr>
      <w:r>
        <w:separator/>
      </w:r>
    </w:p>
  </w:endnote>
  <w:endnote w:type="continuationSeparator" w:id="0">
    <w:p w14:paraId="620FFB83" w14:textId="77777777" w:rsidR="0020067D" w:rsidRDefault="0020067D" w:rsidP="00017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Iskoola Pota">
    <w:charset w:val="00"/>
    <w:family w:val="swiss"/>
    <w:pitch w:val="variable"/>
    <w:sig w:usb0="00000003" w:usb1="00000000" w:usb2="000002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27A80" w14:textId="18780ADC" w:rsidR="008542E9" w:rsidRDefault="008542E9" w:rsidP="00017E93">
    <w:pPr>
      <w:rPr>
        <w:color w:val="1B365D"/>
      </w:rPr>
    </w:pPr>
    <w:r>
      <w:rPr>
        <w:noProof/>
        <w:color w:val="1B365D" w:themeColor="text1"/>
      </w:rPr>
      <mc:AlternateContent>
        <mc:Choice Requires="wps">
          <w:drawing>
            <wp:inline distT="0" distB="0" distL="0" distR="0" wp14:anchorId="46BCE46F" wp14:editId="6226123B">
              <wp:extent cx="145947" cy="46167"/>
              <wp:effectExtent l="0" t="0" r="6985" b="0"/>
              <wp:docPr id="39457315" name="Rectangle 2"/>
              <wp:cNvGraphicFramePr/>
              <a:graphic xmlns:a="http://schemas.openxmlformats.org/drawingml/2006/main">
                <a:graphicData uri="http://schemas.microsoft.com/office/word/2010/wordprocessingShape">
                  <wps:wsp>
                    <wps:cNvSpPr/>
                    <wps:spPr>
                      <a:xfrm>
                        <a:off x="0" y="0"/>
                        <a:ext cx="145947" cy="46167"/>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32A832" id="Rectangle 2" o:spid="_x0000_s1026" style="width:11.5pt;height: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" fillcolor="#1b365d [3213]" stroked="f" strokeweight="1pt">
              <w10:anchorlock/>
            </v:rect>
          </w:pict>
        </mc:Fallback>
      </mc:AlternateContent>
    </w:r>
    <w:r w:rsidR="006B2EBA">
      <w:rPr>
        <w:noProof/>
        <w:color w:val="1B365D" w:themeColor="text1"/>
      </w:rPr>
      <mc:AlternateContent>
        <mc:Choice Requires="wps">
          <w:drawing>
            <wp:inline distT="0" distB="0" distL="0" distR="0" wp14:anchorId="50455317" wp14:editId="25936ABD">
              <wp:extent cx="145947" cy="46167"/>
              <wp:effectExtent l="0" t="0" r="6985" b="0"/>
              <wp:docPr id="107652081" name="Rectangle 2"/>
              <wp:cNvGraphicFramePr/>
              <a:graphic xmlns:a="http://schemas.openxmlformats.org/drawingml/2006/main">
                <a:graphicData uri="http://schemas.microsoft.com/office/word/2010/wordprocessingShape">
                  <wps:wsp>
                    <wps:cNvSpPr/>
                    <wps:spPr>
                      <a:xfrm>
                        <a:off x="0" y="0"/>
                        <a:ext cx="145947" cy="46167"/>
                      </a:xfrm>
                      <a:prstGeom prst="rect">
                        <a:avLst/>
                      </a:prstGeom>
                      <a:solidFill>
                        <a:srgbClr val="9BCBE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E178E62" id="Rectangle 2" o:spid="_x0000_s1026" style="width:11.5pt;height: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" fillcolor="#9bcbeb" stroked="f" strokeweight="1pt">
              <w10:anchorlock/>
            </v:rect>
          </w:pict>
        </mc:Fallback>
      </mc:AlternateContent>
    </w:r>
    <w:r w:rsidR="00AD2667">
      <w:rPr>
        <w:noProof/>
        <w:color w:val="1B365D" w:themeColor="text1"/>
      </w:rPr>
      <mc:AlternateContent>
        <mc:Choice Requires="wps">
          <w:drawing>
            <wp:inline distT="0" distB="0" distL="0" distR="0" wp14:anchorId="742EF8A2" wp14:editId="1DA1F480">
              <wp:extent cx="145947" cy="46167"/>
              <wp:effectExtent l="0" t="0" r="6985" b="0"/>
              <wp:docPr id="1955139340" name="Rectangle 2"/>
              <wp:cNvGraphicFramePr/>
              <a:graphic xmlns:a="http://schemas.openxmlformats.org/drawingml/2006/main">
                <a:graphicData uri="http://schemas.microsoft.com/office/word/2010/wordprocessingShape">
                  <wps:wsp>
                    <wps:cNvSpPr/>
                    <wps:spPr>
                      <a:xfrm>
                        <a:off x="0" y="0"/>
                        <a:ext cx="145947" cy="46167"/>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8FE73A5" id="Rectangle 2" o:spid="_x0000_s1026" style="width:11.5pt;height: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" fillcolor="#ffb81c [3204]" stroked="f" strokeweight="1pt">
              <w10:anchorlock/>
            </v:rect>
          </w:pict>
        </mc:Fallback>
      </mc:AlternateContent>
    </w:r>
  </w:p>
  <w:p w14:paraId="5986CFA9" w14:textId="3207DAE6" w:rsidR="00017E93" w:rsidRPr="00017E93" w:rsidRDefault="00A25EB4" w:rsidP="00017E93">
    <w:r w:rsidRPr="0067108F">
      <w:rPr>
        <w:color w:val="1B365D"/>
      </w:rPr>
      <w:t>Black Coal Mining Industry Investigations Report</w:t>
    </w:r>
    <w:r w:rsidR="00017E93" w:rsidRPr="0067108F">
      <w:rPr>
        <w:color w:val="1B365D"/>
      </w:rPr>
      <w:ptab w:relativeTo="margin" w:alignment="right" w:leader="none"/>
    </w:r>
    <w:r w:rsidR="00017E93" w:rsidRPr="0067108F">
      <w:rPr>
        <w:color w:val="1B365D"/>
      </w:rPr>
      <w:t xml:space="preserve">Page </w:t>
    </w:r>
    <w:r w:rsidR="00017E93" w:rsidRPr="0067108F">
      <w:rPr>
        <w:color w:val="1B365D"/>
      </w:rPr>
      <w:fldChar w:fldCharType="begin"/>
    </w:r>
    <w:r w:rsidR="00017E93" w:rsidRPr="0067108F">
      <w:rPr>
        <w:color w:val="1B365D"/>
      </w:rPr>
      <w:instrText xml:space="preserve"> PAGE  \* Arabic  \* MERGEFORMAT </w:instrText>
    </w:r>
    <w:r w:rsidR="00017E93" w:rsidRPr="0067108F">
      <w:rPr>
        <w:color w:val="1B365D"/>
      </w:rPr>
      <w:fldChar w:fldCharType="separate"/>
    </w:r>
    <w:r w:rsidR="00017E93" w:rsidRPr="0067108F">
      <w:rPr>
        <w:noProof/>
        <w:color w:val="1B365D"/>
      </w:rPr>
      <w:t>1</w:t>
    </w:r>
    <w:r w:rsidR="00017E93" w:rsidRPr="0067108F">
      <w:rPr>
        <w:color w:val="1B365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17B8681" w14:paraId="6DA4C0D1" w14:textId="77777777" w:rsidTr="017B8681">
      <w:trPr>
        <w:trHeight w:val="300"/>
      </w:trPr>
      <w:tc>
        <w:tcPr>
          <w:tcW w:w="3005" w:type="dxa"/>
        </w:tcPr>
        <w:p w14:paraId="334AE405" w14:textId="7F2B99D9" w:rsidR="017B8681" w:rsidRDefault="017B8681" w:rsidP="017B8681">
          <w:pPr>
            <w:pStyle w:val="Header"/>
            <w:ind w:left="-115"/>
          </w:pPr>
        </w:p>
      </w:tc>
      <w:tc>
        <w:tcPr>
          <w:tcW w:w="3005" w:type="dxa"/>
        </w:tcPr>
        <w:p w14:paraId="5ADC436D" w14:textId="40CEE0D4" w:rsidR="017B8681" w:rsidRDefault="017B8681" w:rsidP="017B8681">
          <w:pPr>
            <w:pStyle w:val="Header"/>
            <w:jc w:val="center"/>
          </w:pPr>
        </w:p>
      </w:tc>
      <w:tc>
        <w:tcPr>
          <w:tcW w:w="3005" w:type="dxa"/>
        </w:tcPr>
        <w:p w14:paraId="65A47EF5" w14:textId="6788D326" w:rsidR="017B8681" w:rsidRDefault="017B8681" w:rsidP="017B8681">
          <w:pPr>
            <w:pStyle w:val="Header"/>
            <w:ind w:right="-115"/>
            <w:jc w:val="right"/>
          </w:pPr>
        </w:p>
      </w:tc>
    </w:tr>
  </w:tbl>
  <w:p w14:paraId="7A927432" w14:textId="43EF1960" w:rsidR="00F051A2" w:rsidRDefault="00F05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A0A6A" w14:textId="77777777" w:rsidR="0020067D" w:rsidRDefault="0020067D" w:rsidP="00017E93">
      <w:pPr>
        <w:spacing w:after="0" w:line="240" w:lineRule="auto"/>
      </w:pPr>
      <w:r>
        <w:separator/>
      </w:r>
    </w:p>
  </w:footnote>
  <w:footnote w:type="continuationSeparator" w:id="0">
    <w:p w14:paraId="2033BAC1" w14:textId="77777777" w:rsidR="0020067D" w:rsidRDefault="0020067D" w:rsidP="00017E93">
      <w:pPr>
        <w:spacing w:after="0" w:line="240" w:lineRule="auto"/>
      </w:pPr>
      <w:r>
        <w:continuationSeparator/>
      </w:r>
    </w:p>
  </w:footnote>
  <w:footnote w:id="1">
    <w:p w14:paraId="5785C866" w14:textId="30A4523A" w:rsidR="00E62158" w:rsidRPr="00974C12" w:rsidRDefault="00E62158" w:rsidP="00E62158">
      <w:pPr>
        <w:pStyle w:val="FootnoteText"/>
        <w:rPr>
          <w:sz w:val="16"/>
          <w:szCs w:val="16"/>
        </w:rPr>
      </w:pPr>
      <w:r w:rsidRPr="00974C12">
        <w:rPr>
          <w:rStyle w:val="FootnoteReference"/>
          <w:sz w:val="16"/>
          <w:szCs w:val="16"/>
        </w:rPr>
        <w:footnoteRef/>
      </w:r>
      <w:r w:rsidRPr="00974C12">
        <w:rPr>
          <w:sz w:val="16"/>
          <w:szCs w:val="16"/>
        </w:rPr>
        <w:t xml:space="preserve"> Investigations were not limited to </w:t>
      </w:r>
      <w:r w:rsidR="009876DE" w:rsidRPr="00974C12">
        <w:rPr>
          <w:sz w:val="16"/>
          <w:szCs w:val="16"/>
        </w:rPr>
        <w:t>a</w:t>
      </w:r>
      <w:r w:rsidRPr="00974C12">
        <w:rPr>
          <w:sz w:val="16"/>
          <w:szCs w:val="16"/>
        </w:rPr>
        <w:t xml:space="preserve">greement entitlements but extended to alleged breaches of the </w:t>
      </w:r>
      <w:r w:rsidR="00C64AB3" w:rsidRPr="00974C12">
        <w:rPr>
          <w:sz w:val="16"/>
          <w:szCs w:val="16"/>
        </w:rPr>
        <w:t xml:space="preserve">BCMI </w:t>
      </w:r>
      <w:r w:rsidR="00C64AB3" w:rsidRPr="0054197B">
        <w:rPr>
          <w:sz w:val="16"/>
          <w:szCs w:val="16"/>
        </w:rPr>
        <w:t>A</w:t>
      </w:r>
      <w:r w:rsidR="000F23B8" w:rsidRPr="0054197B">
        <w:rPr>
          <w:sz w:val="16"/>
          <w:szCs w:val="16"/>
        </w:rPr>
        <w:t>ward</w:t>
      </w:r>
      <w:r w:rsidR="000F23B8" w:rsidRPr="00974C12">
        <w:rPr>
          <w:i/>
          <w:iCs/>
          <w:sz w:val="16"/>
          <w:szCs w:val="16"/>
        </w:rPr>
        <w:t>.</w:t>
      </w:r>
    </w:p>
  </w:footnote>
  <w:footnote w:id="2">
    <w:p w14:paraId="1148462B" w14:textId="52A2C931" w:rsidR="00EB31B2" w:rsidRPr="0052781E" w:rsidRDefault="00EB31B2" w:rsidP="00EB31B2">
      <w:pPr>
        <w:pStyle w:val="FootnoteText"/>
        <w:rPr>
          <w:sz w:val="16"/>
          <w:szCs w:val="16"/>
        </w:rPr>
      </w:pPr>
      <w:r w:rsidRPr="0067108F">
        <w:rPr>
          <w:rStyle w:val="FootnoteReference"/>
          <w:sz w:val="16"/>
          <w:szCs w:val="16"/>
        </w:rPr>
        <w:footnoteRef/>
      </w:r>
      <w:r>
        <w:t xml:space="preserve"> </w:t>
      </w:r>
      <w:r w:rsidRPr="0052781E">
        <w:rPr>
          <w:sz w:val="16"/>
          <w:szCs w:val="16"/>
        </w:rPr>
        <w:t xml:space="preserve">This includes the former version of the BCMI Award, being the </w:t>
      </w:r>
      <w:r w:rsidRPr="0052781E">
        <w:rPr>
          <w:i/>
          <w:sz w:val="16"/>
          <w:szCs w:val="16"/>
        </w:rPr>
        <w:t>Black Coal Mining Industry Award 2010</w:t>
      </w:r>
      <w:r w:rsidR="007B2AFF">
        <w:rPr>
          <w:i/>
          <w:sz w:val="16"/>
          <w:szCs w:val="16"/>
        </w:rPr>
        <w:t>.</w:t>
      </w:r>
    </w:p>
  </w:footnote>
  <w:footnote w:id="3">
    <w:p w14:paraId="358192F9" w14:textId="7F70A61B" w:rsidR="00EB31B2" w:rsidRPr="004234C7" w:rsidRDefault="00EB31B2" w:rsidP="00EB31B2">
      <w:pPr>
        <w:pStyle w:val="FootnoteText"/>
        <w:rPr>
          <w:sz w:val="16"/>
          <w:szCs w:val="16"/>
        </w:rPr>
      </w:pPr>
      <w:r w:rsidRPr="004234C7">
        <w:rPr>
          <w:rStyle w:val="FootnoteReference"/>
          <w:sz w:val="16"/>
          <w:szCs w:val="16"/>
        </w:rPr>
        <w:footnoteRef/>
      </w:r>
      <w:r w:rsidRPr="004234C7">
        <w:rPr>
          <w:sz w:val="16"/>
          <w:szCs w:val="16"/>
        </w:rPr>
        <w:t xml:space="preserve"> The Fair Work Commission amended modern award terms relating to casual employment from 27 September 2021 in accordance with the </w:t>
      </w:r>
      <w:r w:rsidRPr="004234C7">
        <w:rPr>
          <w:i/>
          <w:iCs/>
          <w:sz w:val="16"/>
          <w:szCs w:val="16"/>
        </w:rPr>
        <w:t>Fair Work Amendment (Supporting Australia’s Jobs and Economic Security) Act 2021</w:t>
      </w:r>
      <w:r w:rsidRPr="004234C7">
        <w:rPr>
          <w:sz w:val="16"/>
          <w:szCs w:val="16"/>
        </w:rPr>
        <w:t xml:space="preserve">, which required the Commission to vary modern awards to make them consistent and operate effectively with the then statutory definition in section 15A and the new casual conversion provisions in the National Employment Standards. In this review, the Fair Work Commission noted that the Black Coal Mining Award only provides for casual employment for Schedule B – Staff </w:t>
      </w:r>
      <w:r w:rsidR="007D0F23" w:rsidRPr="004234C7">
        <w:rPr>
          <w:sz w:val="16"/>
          <w:szCs w:val="16"/>
        </w:rPr>
        <w:t>Employees and</w:t>
      </w:r>
      <w:r w:rsidRPr="004234C7">
        <w:rPr>
          <w:sz w:val="16"/>
          <w:szCs w:val="16"/>
        </w:rPr>
        <w:t xml:space="preserve"> did not make any variations with respect to this arrangement (see the provisional views in </w:t>
      </w:r>
      <w:r w:rsidRPr="004234C7">
        <w:rPr>
          <w:i/>
          <w:iCs/>
          <w:sz w:val="16"/>
          <w:szCs w:val="16"/>
        </w:rPr>
        <w:t xml:space="preserve">Casual terms award review 2021 </w:t>
      </w:r>
      <w:r w:rsidRPr="004234C7">
        <w:rPr>
          <w:sz w:val="16"/>
          <w:szCs w:val="16"/>
        </w:rPr>
        <w:t xml:space="preserve">[2021] FWCFB 4928 at [21] which were confirmed in </w:t>
      </w:r>
      <w:r w:rsidRPr="004234C7">
        <w:rPr>
          <w:i/>
          <w:iCs/>
          <w:sz w:val="16"/>
          <w:szCs w:val="16"/>
        </w:rPr>
        <w:t xml:space="preserve">Casual terms award review 2021 </w:t>
      </w:r>
      <w:r w:rsidRPr="004234C7">
        <w:rPr>
          <w:sz w:val="16"/>
          <w:szCs w:val="16"/>
        </w:rPr>
        <w:t xml:space="preserve">[2021] FWCFB 5366 at [12]).  </w:t>
      </w:r>
    </w:p>
  </w:footnote>
  <w:footnote w:id="4">
    <w:p w14:paraId="46F0320C" w14:textId="77777777" w:rsidR="00EB31B2" w:rsidRPr="00F05109" w:rsidRDefault="00EB31B2" w:rsidP="00EB31B2">
      <w:pPr>
        <w:pStyle w:val="FootnoteText"/>
        <w:rPr>
          <w:rFonts w:cstheme="minorHAnsi"/>
          <w:sz w:val="16"/>
          <w:szCs w:val="16"/>
        </w:rPr>
      </w:pPr>
      <w:r w:rsidRPr="004234C7">
        <w:rPr>
          <w:rStyle w:val="FootnoteReference"/>
          <w:sz w:val="16"/>
          <w:szCs w:val="16"/>
        </w:rPr>
        <w:footnoteRef/>
      </w:r>
      <w:r w:rsidRPr="004234C7">
        <w:rPr>
          <w:sz w:val="16"/>
          <w:szCs w:val="16"/>
        </w:rPr>
        <w:t xml:space="preserve"> </w:t>
      </w:r>
      <w:r w:rsidRPr="00F05109">
        <w:rPr>
          <w:rFonts w:cstheme="minorHAnsi"/>
          <w:sz w:val="16"/>
          <w:szCs w:val="16"/>
        </w:rPr>
        <w:t xml:space="preserve">We note that </w:t>
      </w:r>
      <w:r w:rsidRPr="00F05109">
        <w:rPr>
          <w:rFonts w:cstheme="minorHAnsi"/>
          <w:sz w:val="16"/>
          <w:szCs w:val="16"/>
        </w:rPr>
        <w:t>a number of the historical complaints have raised concerns about whether the relevant enterprise agreements were validly made. Standing to challenge a decision of the Fair Work Commission to approve an enterprise agreement is limited to a party ‘aggrieved’ by that decision, which does not extend to the FWO.</w:t>
      </w:r>
    </w:p>
  </w:footnote>
  <w:footnote w:id="5">
    <w:p w14:paraId="2C2F41B2" w14:textId="77777777" w:rsidR="00D30A7C" w:rsidRPr="003C69F4" w:rsidRDefault="00D30A7C" w:rsidP="00D30A7C">
      <w:pPr>
        <w:spacing w:before="17" w:after="0" w:line="242" w:lineRule="auto"/>
        <w:ind w:left="23" w:right="63" w:hanging="1"/>
        <w:jc w:val="both"/>
        <w:rPr>
          <w:rFonts w:cstheme="minorHAnsi"/>
          <w:spacing w:val="-2"/>
          <w:sz w:val="16"/>
          <w:szCs w:val="16"/>
        </w:rPr>
      </w:pPr>
      <w:r w:rsidRPr="003C69F4">
        <w:rPr>
          <w:rStyle w:val="FootnoteReference"/>
          <w:rFonts w:cstheme="minorHAnsi"/>
          <w:sz w:val="16"/>
          <w:szCs w:val="16"/>
        </w:rPr>
        <w:footnoteRef/>
      </w:r>
      <w:r>
        <w:rPr>
          <w:rFonts w:cstheme="minorHAnsi"/>
          <w:sz w:val="16"/>
          <w:szCs w:val="16"/>
        </w:rPr>
        <w:t xml:space="preserve"> </w:t>
      </w:r>
      <w:r w:rsidRPr="003C69F4">
        <w:rPr>
          <w:rFonts w:cstheme="minorHAnsi"/>
          <w:sz w:val="16"/>
          <w:szCs w:val="16"/>
        </w:rPr>
        <w:t>This issue has arisen in two proceedings, but neither involved judicial determination of how employees who are casuals under the F</w:t>
      </w:r>
      <w:r>
        <w:rPr>
          <w:rFonts w:cstheme="minorHAnsi"/>
          <w:sz w:val="16"/>
          <w:szCs w:val="16"/>
        </w:rPr>
        <w:t xml:space="preserve">air </w:t>
      </w:r>
      <w:r w:rsidRPr="003C69F4">
        <w:rPr>
          <w:rFonts w:cstheme="minorHAnsi"/>
          <w:sz w:val="16"/>
          <w:szCs w:val="16"/>
        </w:rPr>
        <w:t>W</w:t>
      </w:r>
      <w:r>
        <w:rPr>
          <w:rFonts w:cstheme="minorHAnsi"/>
          <w:sz w:val="16"/>
          <w:szCs w:val="16"/>
        </w:rPr>
        <w:t>ork</w:t>
      </w:r>
      <w:r w:rsidRPr="003C69F4">
        <w:rPr>
          <w:rFonts w:cstheme="minorHAnsi"/>
          <w:sz w:val="16"/>
          <w:szCs w:val="16"/>
        </w:rPr>
        <w:t xml:space="preserve"> Act should be treated/paid under the Black Coal Mining Award.</w:t>
      </w:r>
      <w:r w:rsidRPr="003C69F4">
        <w:rPr>
          <w:rFonts w:cstheme="minorHAnsi"/>
          <w:spacing w:val="-2"/>
          <w:sz w:val="16"/>
          <w:szCs w:val="16"/>
        </w:rPr>
        <w:t xml:space="preserve"> </w:t>
      </w:r>
    </w:p>
    <w:p w14:paraId="2BF821B5" w14:textId="77777777" w:rsidR="00D30A7C" w:rsidRPr="003C69F4" w:rsidRDefault="00D30A7C" w:rsidP="00D30A7C">
      <w:pPr>
        <w:pStyle w:val="ListParagraph"/>
        <w:numPr>
          <w:ilvl w:val="0"/>
          <w:numId w:val="27"/>
        </w:numPr>
        <w:spacing w:before="17" w:after="0" w:line="242" w:lineRule="auto"/>
        <w:ind w:right="63"/>
        <w:contextualSpacing w:val="0"/>
        <w:jc w:val="both"/>
        <w:rPr>
          <w:rFonts w:cstheme="minorHAnsi"/>
          <w:sz w:val="16"/>
          <w:szCs w:val="16"/>
        </w:rPr>
      </w:pPr>
      <w:r w:rsidRPr="003C69F4">
        <w:rPr>
          <w:rFonts w:cstheme="minorHAnsi"/>
          <w:i/>
          <w:sz w:val="16"/>
          <w:szCs w:val="16"/>
        </w:rPr>
        <w:t>Secretary,</w:t>
      </w:r>
      <w:r w:rsidRPr="003C69F4">
        <w:rPr>
          <w:rFonts w:cstheme="minorHAnsi"/>
          <w:i/>
          <w:spacing w:val="-3"/>
          <w:sz w:val="16"/>
          <w:szCs w:val="16"/>
        </w:rPr>
        <w:t xml:space="preserve"> </w:t>
      </w:r>
      <w:r w:rsidRPr="003C69F4">
        <w:rPr>
          <w:rFonts w:cstheme="minorHAnsi"/>
          <w:i/>
          <w:sz w:val="16"/>
          <w:szCs w:val="16"/>
        </w:rPr>
        <w:t>Attorney-General's</w:t>
      </w:r>
      <w:r w:rsidRPr="003C69F4">
        <w:rPr>
          <w:rFonts w:cstheme="minorHAnsi"/>
          <w:i/>
          <w:spacing w:val="-2"/>
          <w:sz w:val="16"/>
          <w:szCs w:val="16"/>
        </w:rPr>
        <w:t xml:space="preserve"> </w:t>
      </w:r>
      <w:r w:rsidRPr="003C69F4">
        <w:rPr>
          <w:rFonts w:cstheme="minorHAnsi"/>
          <w:i/>
          <w:sz w:val="16"/>
          <w:szCs w:val="16"/>
        </w:rPr>
        <w:t>Department</w:t>
      </w:r>
      <w:r w:rsidRPr="003C69F4">
        <w:rPr>
          <w:rFonts w:cstheme="minorHAnsi"/>
          <w:i/>
          <w:spacing w:val="-1"/>
          <w:sz w:val="16"/>
          <w:szCs w:val="16"/>
        </w:rPr>
        <w:t xml:space="preserve"> </w:t>
      </w:r>
      <w:r w:rsidRPr="003C69F4">
        <w:rPr>
          <w:rFonts w:cstheme="minorHAnsi"/>
          <w:i/>
          <w:sz w:val="16"/>
          <w:szCs w:val="16"/>
        </w:rPr>
        <w:t>v</w:t>
      </w:r>
      <w:r w:rsidRPr="003C69F4">
        <w:rPr>
          <w:rFonts w:cstheme="minorHAnsi"/>
          <w:i/>
          <w:spacing w:val="-1"/>
          <w:sz w:val="16"/>
          <w:szCs w:val="16"/>
        </w:rPr>
        <w:t xml:space="preserve"> </w:t>
      </w:r>
      <w:r w:rsidRPr="003C69F4">
        <w:rPr>
          <w:rFonts w:cstheme="minorHAnsi"/>
          <w:i/>
          <w:sz w:val="16"/>
          <w:szCs w:val="16"/>
        </w:rPr>
        <w:t xml:space="preserve">Warren </w:t>
      </w:r>
      <w:r w:rsidRPr="003C69F4">
        <w:rPr>
          <w:rFonts w:cstheme="minorHAnsi"/>
          <w:sz w:val="16"/>
          <w:szCs w:val="16"/>
        </w:rPr>
        <w:t>[2022]</w:t>
      </w:r>
      <w:r w:rsidRPr="003C69F4">
        <w:rPr>
          <w:rFonts w:cstheme="minorHAnsi"/>
          <w:spacing w:val="-2"/>
          <w:sz w:val="16"/>
          <w:szCs w:val="16"/>
        </w:rPr>
        <w:t xml:space="preserve"> </w:t>
      </w:r>
      <w:r w:rsidRPr="003C69F4">
        <w:rPr>
          <w:rFonts w:cstheme="minorHAnsi"/>
          <w:sz w:val="16"/>
          <w:szCs w:val="16"/>
        </w:rPr>
        <w:t>FCAFC</w:t>
      </w:r>
      <w:r w:rsidRPr="003C69F4">
        <w:rPr>
          <w:rFonts w:cstheme="minorHAnsi"/>
          <w:spacing w:val="-2"/>
          <w:sz w:val="16"/>
          <w:szCs w:val="16"/>
        </w:rPr>
        <w:t xml:space="preserve"> </w:t>
      </w:r>
      <w:r w:rsidRPr="003C69F4">
        <w:rPr>
          <w:rFonts w:cstheme="minorHAnsi"/>
          <w:sz w:val="16"/>
          <w:szCs w:val="16"/>
        </w:rPr>
        <w:t>118: at</w:t>
      </w:r>
      <w:r w:rsidRPr="003C69F4">
        <w:rPr>
          <w:rFonts w:cstheme="minorHAnsi"/>
          <w:spacing w:val="-1"/>
          <w:sz w:val="16"/>
          <w:szCs w:val="16"/>
        </w:rPr>
        <w:t xml:space="preserve"> </w:t>
      </w:r>
      <w:r w:rsidRPr="003C69F4">
        <w:rPr>
          <w:rFonts w:cstheme="minorHAnsi"/>
          <w:sz w:val="16"/>
          <w:szCs w:val="16"/>
        </w:rPr>
        <w:t>first instance in the Administrative Appeals Tribunal, this matter proceeded</w:t>
      </w:r>
      <w:r w:rsidRPr="003C69F4">
        <w:rPr>
          <w:rFonts w:cstheme="minorHAnsi"/>
          <w:spacing w:val="-2"/>
          <w:sz w:val="16"/>
          <w:szCs w:val="16"/>
        </w:rPr>
        <w:t xml:space="preserve"> </w:t>
      </w:r>
      <w:r w:rsidRPr="003C69F4">
        <w:rPr>
          <w:rFonts w:cstheme="minorHAnsi"/>
          <w:sz w:val="16"/>
          <w:szCs w:val="16"/>
        </w:rPr>
        <w:t>on</w:t>
      </w:r>
      <w:r w:rsidRPr="003C69F4">
        <w:rPr>
          <w:rFonts w:cstheme="minorHAnsi"/>
          <w:spacing w:val="-2"/>
          <w:sz w:val="16"/>
          <w:szCs w:val="16"/>
        </w:rPr>
        <w:t xml:space="preserve"> </w:t>
      </w:r>
      <w:r w:rsidRPr="003C69F4">
        <w:rPr>
          <w:rFonts w:cstheme="minorHAnsi"/>
          <w:sz w:val="16"/>
          <w:szCs w:val="16"/>
        </w:rPr>
        <w:t>the</w:t>
      </w:r>
      <w:r w:rsidRPr="003C69F4">
        <w:rPr>
          <w:rFonts w:cstheme="minorHAnsi"/>
          <w:spacing w:val="-4"/>
          <w:sz w:val="16"/>
          <w:szCs w:val="16"/>
        </w:rPr>
        <w:t xml:space="preserve"> </w:t>
      </w:r>
      <w:r w:rsidRPr="003C69F4">
        <w:rPr>
          <w:rFonts w:cstheme="minorHAnsi"/>
          <w:sz w:val="16"/>
          <w:szCs w:val="16"/>
        </w:rPr>
        <w:t>basis</w:t>
      </w:r>
      <w:r w:rsidRPr="003C69F4">
        <w:rPr>
          <w:rFonts w:cstheme="minorHAnsi"/>
          <w:spacing w:val="-2"/>
          <w:sz w:val="16"/>
          <w:szCs w:val="16"/>
        </w:rPr>
        <w:t xml:space="preserve"> </w:t>
      </w:r>
      <w:r w:rsidRPr="003C69F4">
        <w:rPr>
          <w:rFonts w:cstheme="minorHAnsi"/>
          <w:sz w:val="16"/>
          <w:szCs w:val="16"/>
        </w:rPr>
        <w:t>of</w:t>
      </w:r>
      <w:r w:rsidRPr="003C69F4">
        <w:rPr>
          <w:rFonts w:cstheme="minorHAnsi"/>
          <w:spacing w:val="-4"/>
          <w:sz w:val="16"/>
          <w:szCs w:val="16"/>
        </w:rPr>
        <w:t xml:space="preserve"> </w:t>
      </w:r>
      <w:r w:rsidRPr="003C69F4">
        <w:rPr>
          <w:rFonts w:cstheme="minorHAnsi"/>
          <w:sz w:val="16"/>
          <w:szCs w:val="16"/>
        </w:rPr>
        <w:t>an</w:t>
      </w:r>
      <w:r w:rsidRPr="003C69F4">
        <w:rPr>
          <w:rFonts w:cstheme="minorHAnsi"/>
          <w:spacing w:val="-5"/>
          <w:sz w:val="16"/>
          <w:szCs w:val="16"/>
        </w:rPr>
        <w:t xml:space="preserve"> </w:t>
      </w:r>
      <w:r w:rsidRPr="003C69F4">
        <w:rPr>
          <w:rFonts w:cstheme="minorHAnsi"/>
          <w:sz w:val="16"/>
          <w:szCs w:val="16"/>
        </w:rPr>
        <w:t>agreement</w:t>
      </w:r>
      <w:r w:rsidRPr="003C69F4">
        <w:rPr>
          <w:rFonts w:cstheme="minorHAnsi"/>
          <w:spacing w:val="-3"/>
          <w:sz w:val="16"/>
          <w:szCs w:val="16"/>
        </w:rPr>
        <w:t xml:space="preserve"> </w:t>
      </w:r>
      <w:r w:rsidRPr="003C69F4">
        <w:rPr>
          <w:rFonts w:cstheme="minorHAnsi"/>
          <w:sz w:val="16"/>
          <w:szCs w:val="16"/>
        </w:rPr>
        <w:t>between</w:t>
      </w:r>
      <w:r w:rsidRPr="003C69F4">
        <w:rPr>
          <w:rFonts w:cstheme="minorHAnsi"/>
          <w:spacing w:val="-2"/>
          <w:sz w:val="16"/>
          <w:szCs w:val="16"/>
        </w:rPr>
        <w:t xml:space="preserve"> </w:t>
      </w:r>
      <w:r w:rsidRPr="003C69F4">
        <w:rPr>
          <w:rFonts w:cstheme="minorHAnsi"/>
          <w:sz w:val="16"/>
          <w:szCs w:val="16"/>
        </w:rPr>
        <w:t>the</w:t>
      </w:r>
      <w:r w:rsidRPr="003C69F4">
        <w:rPr>
          <w:rFonts w:cstheme="minorHAnsi"/>
          <w:spacing w:val="-4"/>
          <w:sz w:val="16"/>
          <w:szCs w:val="16"/>
        </w:rPr>
        <w:t xml:space="preserve"> </w:t>
      </w:r>
      <w:r w:rsidRPr="003C69F4">
        <w:rPr>
          <w:rFonts w:cstheme="minorHAnsi"/>
          <w:sz w:val="16"/>
          <w:szCs w:val="16"/>
        </w:rPr>
        <w:t>parties</w:t>
      </w:r>
      <w:r w:rsidRPr="003C69F4">
        <w:rPr>
          <w:rFonts w:cstheme="minorHAnsi"/>
          <w:spacing w:val="-2"/>
          <w:sz w:val="16"/>
          <w:szCs w:val="16"/>
        </w:rPr>
        <w:t xml:space="preserve"> </w:t>
      </w:r>
      <w:r w:rsidRPr="003C69F4">
        <w:rPr>
          <w:rFonts w:cstheme="minorHAnsi"/>
          <w:sz w:val="16"/>
          <w:szCs w:val="16"/>
        </w:rPr>
        <w:t>that</w:t>
      </w:r>
      <w:r w:rsidRPr="003C69F4">
        <w:rPr>
          <w:rFonts w:cstheme="minorHAnsi"/>
          <w:spacing w:val="-3"/>
          <w:sz w:val="16"/>
          <w:szCs w:val="16"/>
        </w:rPr>
        <w:t xml:space="preserve"> </w:t>
      </w:r>
      <w:r w:rsidRPr="003C69F4">
        <w:rPr>
          <w:rFonts w:cstheme="minorHAnsi"/>
          <w:sz w:val="16"/>
          <w:szCs w:val="16"/>
        </w:rPr>
        <w:t>the</w:t>
      </w:r>
      <w:r w:rsidRPr="003C69F4">
        <w:rPr>
          <w:rFonts w:cstheme="minorHAnsi"/>
          <w:spacing w:val="-4"/>
          <w:sz w:val="16"/>
          <w:szCs w:val="16"/>
        </w:rPr>
        <w:t xml:space="preserve"> </w:t>
      </w:r>
      <w:r w:rsidRPr="003C69F4">
        <w:rPr>
          <w:rFonts w:cstheme="minorHAnsi"/>
          <w:sz w:val="16"/>
          <w:szCs w:val="16"/>
        </w:rPr>
        <w:t>employee,</w:t>
      </w:r>
      <w:r w:rsidRPr="003C69F4">
        <w:rPr>
          <w:rFonts w:cstheme="minorHAnsi"/>
          <w:spacing w:val="-2"/>
          <w:sz w:val="16"/>
          <w:szCs w:val="16"/>
        </w:rPr>
        <w:t xml:space="preserve"> </w:t>
      </w:r>
      <w:r w:rsidRPr="003C69F4">
        <w:rPr>
          <w:rFonts w:cstheme="minorHAnsi"/>
          <w:sz w:val="16"/>
          <w:szCs w:val="16"/>
        </w:rPr>
        <w:t>who</w:t>
      </w:r>
      <w:r w:rsidRPr="003C69F4">
        <w:rPr>
          <w:rFonts w:cstheme="minorHAnsi"/>
          <w:spacing w:val="-3"/>
          <w:sz w:val="16"/>
          <w:szCs w:val="16"/>
        </w:rPr>
        <w:t xml:space="preserve"> </w:t>
      </w:r>
      <w:r w:rsidRPr="003C69F4">
        <w:rPr>
          <w:rFonts w:cstheme="minorHAnsi"/>
          <w:sz w:val="16"/>
          <w:szCs w:val="16"/>
        </w:rPr>
        <w:t>had</w:t>
      </w:r>
      <w:r w:rsidRPr="003C69F4">
        <w:rPr>
          <w:rFonts w:cstheme="minorHAnsi"/>
          <w:spacing w:val="-2"/>
          <w:sz w:val="16"/>
          <w:szCs w:val="16"/>
        </w:rPr>
        <w:t xml:space="preserve"> </w:t>
      </w:r>
      <w:r w:rsidRPr="003C69F4">
        <w:rPr>
          <w:rFonts w:cstheme="minorHAnsi"/>
          <w:sz w:val="16"/>
          <w:szCs w:val="16"/>
        </w:rPr>
        <w:t>been</w:t>
      </w:r>
      <w:r w:rsidRPr="003C69F4">
        <w:rPr>
          <w:rFonts w:cstheme="minorHAnsi"/>
          <w:spacing w:val="-2"/>
          <w:sz w:val="16"/>
          <w:szCs w:val="16"/>
        </w:rPr>
        <w:t xml:space="preserve"> </w:t>
      </w:r>
      <w:r w:rsidRPr="003C69F4">
        <w:rPr>
          <w:rFonts w:cstheme="minorHAnsi"/>
          <w:sz w:val="16"/>
          <w:szCs w:val="16"/>
        </w:rPr>
        <w:t xml:space="preserve">purportedly engaged as a casual, was full-time for the purposes of the Black Coal Mining Award. The case on appeal concerned only whether amounts paid to the employee as a purported casual were ‘attributable’ to entitlements to annual leave and severance pay for the purposes of the Fair Entitlements Guarantee Scheme and did not consider the treatment of the employees under the Award. </w:t>
      </w:r>
    </w:p>
    <w:p w14:paraId="6931E0A3" w14:textId="77777777" w:rsidR="00D30A7C" w:rsidRPr="003C69F4" w:rsidRDefault="00D30A7C" w:rsidP="00D30A7C">
      <w:pPr>
        <w:pStyle w:val="ListParagraph"/>
        <w:numPr>
          <w:ilvl w:val="0"/>
          <w:numId w:val="27"/>
        </w:numPr>
        <w:spacing w:before="17" w:after="0" w:line="242" w:lineRule="auto"/>
        <w:ind w:right="63"/>
        <w:contextualSpacing w:val="0"/>
        <w:jc w:val="both"/>
        <w:rPr>
          <w:rFonts w:cstheme="minorHAnsi"/>
          <w:sz w:val="16"/>
          <w:szCs w:val="16"/>
        </w:rPr>
      </w:pPr>
      <w:r w:rsidRPr="003C69F4">
        <w:rPr>
          <w:rFonts w:cstheme="minorHAnsi"/>
          <w:i/>
          <w:iCs/>
          <w:sz w:val="16"/>
          <w:szCs w:val="16"/>
        </w:rPr>
        <w:t>Ridge v Hays Specialist Recruitment (Australia) Pty Limited (No 2) </w:t>
      </w:r>
      <w:r w:rsidRPr="003C69F4">
        <w:rPr>
          <w:rFonts w:cstheme="minorHAnsi"/>
          <w:sz w:val="16"/>
          <w:szCs w:val="16"/>
        </w:rPr>
        <w:t>[2024] FCA 328: This proceeding related to settlement of a class action, which require</w:t>
      </w:r>
      <w:r>
        <w:rPr>
          <w:rFonts w:cstheme="minorHAnsi"/>
          <w:sz w:val="16"/>
          <w:szCs w:val="16"/>
        </w:rPr>
        <w:t>d</w:t>
      </w:r>
      <w:r w:rsidRPr="003C69F4">
        <w:rPr>
          <w:rFonts w:cstheme="minorHAnsi"/>
          <w:sz w:val="16"/>
          <w:szCs w:val="16"/>
        </w:rPr>
        <w:t xml:space="preserve"> Court approval. In considering whether to approve the proposed settlement, the Court was required to consider the Applicant’s risks of proceeding to judgment. In this context, Justice Murphy of the Federal Court relevantly found the applicants in the class action had reasonable prospects of establishing that the Black Coal Mining Award does not permit casual employment of production and engineering employees, however his Honour did not determine the issue at law.</w:t>
      </w:r>
    </w:p>
  </w:footnote>
  <w:footnote w:id="6">
    <w:p w14:paraId="05F7D3D7" w14:textId="77777777" w:rsidR="004C3BCC" w:rsidRPr="003F4A7E" w:rsidRDefault="004C3BCC" w:rsidP="004C3BCC">
      <w:pPr>
        <w:pStyle w:val="FootnoteText"/>
        <w:rPr>
          <w:sz w:val="16"/>
          <w:szCs w:val="16"/>
        </w:rPr>
      </w:pPr>
      <w:r w:rsidRPr="003F4A7E">
        <w:rPr>
          <w:rStyle w:val="FootnoteReference"/>
          <w:sz w:val="16"/>
          <w:szCs w:val="16"/>
        </w:rPr>
        <w:footnoteRef/>
      </w:r>
      <w:r w:rsidRPr="003F4A7E">
        <w:rPr>
          <w:sz w:val="16"/>
          <w:szCs w:val="16"/>
        </w:rPr>
        <w:t xml:space="preserve"> Section 57 of the F</w:t>
      </w:r>
      <w:r>
        <w:rPr>
          <w:sz w:val="16"/>
          <w:szCs w:val="16"/>
        </w:rPr>
        <w:t xml:space="preserve">air </w:t>
      </w:r>
      <w:r w:rsidRPr="003F4A7E">
        <w:rPr>
          <w:sz w:val="16"/>
          <w:szCs w:val="16"/>
        </w:rPr>
        <w:t>W</w:t>
      </w:r>
      <w:r>
        <w:rPr>
          <w:sz w:val="16"/>
          <w:szCs w:val="16"/>
        </w:rPr>
        <w:t>ork</w:t>
      </w:r>
      <w:r w:rsidRPr="003F4A7E">
        <w:rPr>
          <w:sz w:val="16"/>
          <w:szCs w:val="16"/>
        </w:rPr>
        <w:t xml:space="preserve"> Act provides that a modern award does not apply to an employee in relation to </w:t>
      </w:r>
      <w:r w:rsidRPr="003F4A7E">
        <w:rPr>
          <w:sz w:val="16"/>
          <w:szCs w:val="16"/>
        </w:rPr>
        <w:t xml:space="preserve">particular employment at a time when an enterprise agreement applies to the employee in relation to that employment. </w:t>
      </w:r>
    </w:p>
  </w:footnote>
  <w:footnote w:id="7">
    <w:p w14:paraId="28110035" w14:textId="36B0E2CD" w:rsidR="00B02BE3" w:rsidRPr="005C6390" w:rsidRDefault="00B02BE3" w:rsidP="00B02BE3">
      <w:pPr>
        <w:pStyle w:val="FootnoteText"/>
        <w:rPr>
          <w:sz w:val="16"/>
          <w:szCs w:val="16"/>
        </w:rPr>
      </w:pPr>
      <w:r w:rsidRPr="0067108F">
        <w:rPr>
          <w:rStyle w:val="FootnoteReference"/>
          <w:sz w:val="16"/>
          <w:szCs w:val="16"/>
        </w:rPr>
        <w:footnoteRef/>
      </w:r>
      <w:r w:rsidRPr="0067108F">
        <w:rPr>
          <w:sz w:val="16"/>
          <w:szCs w:val="16"/>
        </w:rPr>
        <w:t xml:space="preserve"> </w:t>
      </w:r>
      <w:r w:rsidRPr="005C6390">
        <w:rPr>
          <w:sz w:val="16"/>
          <w:szCs w:val="16"/>
        </w:rPr>
        <w:t>Under a RLHAO, labour hire employees must be paid at least what they would receive under a host business’s enterprise agreement if they were employed directly by the host and doing the same kind of work. These changes came into effect in December 2023.</w:t>
      </w:r>
      <w:r w:rsidR="003958C2" w:rsidRPr="005C6390">
        <w:rPr>
          <w:sz w:val="16"/>
          <w:szCs w:val="16"/>
        </w:rPr>
        <w:t xml:space="preserve"> </w:t>
      </w:r>
      <w:r w:rsidRPr="005C6390">
        <w:rPr>
          <w:sz w:val="16"/>
          <w:szCs w:val="16"/>
        </w:rPr>
        <w:t>These orders entitle labour hire employees at the host employer to the ‘protected rate of pay’, which is most typically the rate which would otherwise apply under the relevant enterprise agreement.</w:t>
      </w:r>
    </w:p>
  </w:footnote>
  <w:footnote w:id="8">
    <w:p w14:paraId="62492B75" w14:textId="44D33437" w:rsidR="0018209B" w:rsidRDefault="0018209B">
      <w:pPr>
        <w:pStyle w:val="FootnoteText"/>
      </w:pPr>
      <w:r w:rsidRPr="005C6390">
        <w:rPr>
          <w:rStyle w:val="FootnoteReference"/>
          <w:sz w:val="16"/>
          <w:szCs w:val="16"/>
        </w:rPr>
        <w:footnoteRef/>
      </w:r>
      <w:r w:rsidRPr="005C6390">
        <w:rPr>
          <w:sz w:val="16"/>
          <w:szCs w:val="16"/>
        </w:rPr>
        <w:t xml:space="preserve"> </w:t>
      </w:r>
      <w:r w:rsidR="00FA75F2" w:rsidRPr="005C6390">
        <w:rPr>
          <w:sz w:val="16"/>
          <w:szCs w:val="16"/>
        </w:rPr>
        <w:t xml:space="preserve">By way of example </w:t>
      </w:r>
      <w:r w:rsidR="00EB4968" w:rsidRPr="005C6390">
        <w:rPr>
          <w:sz w:val="16"/>
          <w:szCs w:val="16"/>
        </w:rPr>
        <w:t>regulated labour hi</w:t>
      </w:r>
      <w:r w:rsidR="009F16F9" w:rsidRPr="005C6390">
        <w:rPr>
          <w:sz w:val="16"/>
          <w:szCs w:val="16"/>
        </w:rPr>
        <w:t xml:space="preserve">re order </w:t>
      </w:r>
      <w:hyperlink r:id="rId1" w:history="1">
        <w:r w:rsidR="009F16F9" w:rsidRPr="005C6390">
          <w:rPr>
            <w:rStyle w:val="Hyperlink"/>
            <w:sz w:val="16"/>
            <w:szCs w:val="16"/>
          </w:rPr>
          <w:t>LH200076 PR791037</w:t>
        </w:r>
      </w:hyperlink>
      <w:r w:rsidR="009F16F9" w:rsidRPr="005C6390">
        <w:rPr>
          <w:sz w:val="16"/>
          <w:szCs w:val="16"/>
        </w:rPr>
        <w:t xml:space="preserve"> was made in relation to BCMI participants OS MCAP Pty Ltd pe</w:t>
      </w:r>
      <w:r w:rsidR="004F6C9D" w:rsidRPr="005C6390">
        <w:rPr>
          <w:sz w:val="16"/>
          <w:szCs w:val="16"/>
        </w:rPr>
        <w:t xml:space="preserve">rforming work for </w:t>
      </w:r>
      <w:r w:rsidR="00665B9E" w:rsidRPr="005C6390">
        <w:rPr>
          <w:sz w:val="16"/>
          <w:szCs w:val="16"/>
        </w:rPr>
        <w:t xml:space="preserve">BHP Coal Pty Ltd on 26 August 2025 </w:t>
      </w:r>
      <w:r w:rsidR="00175573" w:rsidRPr="005C6390">
        <w:rPr>
          <w:sz w:val="16"/>
          <w:szCs w:val="16"/>
        </w:rPr>
        <w:t>and came into force on 14 September 2025.</w:t>
      </w:r>
    </w:p>
  </w:footnote>
  <w:footnote w:id="9">
    <w:p w14:paraId="0DFA4D7C" w14:textId="77777777" w:rsidR="00170670" w:rsidRPr="00727F1E" w:rsidRDefault="00170670" w:rsidP="00170670">
      <w:pPr>
        <w:pStyle w:val="FootnoteText"/>
        <w:rPr>
          <w:rFonts w:cstheme="minorHAnsi"/>
          <w:sz w:val="16"/>
          <w:szCs w:val="16"/>
        </w:rPr>
      </w:pPr>
      <w:r w:rsidRPr="0067108F">
        <w:rPr>
          <w:rStyle w:val="FootnoteReference"/>
          <w:sz w:val="16"/>
          <w:szCs w:val="16"/>
        </w:rPr>
        <w:footnoteRef/>
      </w:r>
      <w:r w:rsidRPr="0067108F">
        <w:rPr>
          <w:sz w:val="16"/>
          <w:szCs w:val="16"/>
        </w:rPr>
        <w:t xml:space="preserve"> </w:t>
      </w:r>
      <w:r w:rsidRPr="00727F1E">
        <w:rPr>
          <w:rFonts w:cstheme="minorHAnsi"/>
          <w:sz w:val="16"/>
          <w:szCs w:val="16"/>
        </w:rPr>
        <w:t xml:space="preserve">Section 15A was inserted by the </w:t>
      </w:r>
      <w:r w:rsidRPr="00727F1E">
        <w:rPr>
          <w:rFonts w:cstheme="minorHAnsi"/>
          <w:i/>
          <w:iCs/>
          <w:sz w:val="16"/>
          <w:szCs w:val="16"/>
        </w:rPr>
        <w:t>Fair Work Amendment (Supporting Australia’s Jobs and Economic Recovery) Act 2021</w:t>
      </w:r>
      <w:r w:rsidRPr="00727F1E">
        <w:rPr>
          <w:rFonts w:cstheme="minorHAnsi"/>
          <w:sz w:val="16"/>
          <w:szCs w:val="16"/>
        </w:rPr>
        <w:t xml:space="preserve">, with </w:t>
      </w:r>
      <w:r>
        <w:rPr>
          <w:rFonts w:cstheme="minorHAnsi"/>
          <w:sz w:val="16"/>
          <w:szCs w:val="16"/>
        </w:rPr>
        <w:t xml:space="preserve">the </w:t>
      </w:r>
      <w:r w:rsidRPr="00727F1E">
        <w:rPr>
          <w:rFonts w:cstheme="minorHAnsi"/>
          <w:sz w:val="16"/>
          <w:szCs w:val="16"/>
        </w:rPr>
        <w:t xml:space="preserve">retrospective </w:t>
      </w:r>
      <w:r>
        <w:rPr>
          <w:rFonts w:cstheme="minorHAnsi"/>
          <w:sz w:val="16"/>
          <w:szCs w:val="16"/>
        </w:rPr>
        <w:t>application of the amendments</w:t>
      </w:r>
      <w:r w:rsidRPr="00727F1E">
        <w:rPr>
          <w:rFonts w:cstheme="minorHAnsi"/>
          <w:sz w:val="16"/>
          <w:szCs w:val="16"/>
        </w:rPr>
        <w:t xml:space="preserve"> provided for by item 46 of Part 10 of Schedule 1 to the Fair Work Act. </w:t>
      </w:r>
    </w:p>
  </w:footnote>
  <w:footnote w:id="10">
    <w:p w14:paraId="567B3383" w14:textId="77777777" w:rsidR="00170670" w:rsidRPr="003C69F4" w:rsidRDefault="00170670" w:rsidP="00170670">
      <w:pPr>
        <w:pStyle w:val="FootnoteText"/>
        <w:rPr>
          <w:rFonts w:cstheme="minorHAnsi"/>
          <w:sz w:val="16"/>
          <w:szCs w:val="16"/>
        </w:rPr>
      </w:pPr>
      <w:r w:rsidRPr="003C69F4">
        <w:rPr>
          <w:rStyle w:val="FootnoteReference"/>
          <w:rFonts w:cstheme="minorHAnsi"/>
          <w:sz w:val="16"/>
          <w:szCs w:val="16"/>
        </w:rPr>
        <w:footnoteRef/>
      </w:r>
      <w:r w:rsidRPr="003C69F4">
        <w:rPr>
          <w:rFonts w:cstheme="minorHAnsi"/>
          <w:sz w:val="16"/>
          <w:szCs w:val="16"/>
        </w:rPr>
        <w:t xml:space="preserve"> </w:t>
      </w:r>
      <w:r>
        <w:rPr>
          <w:rFonts w:cstheme="minorHAnsi"/>
          <w:sz w:val="16"/>
          <w:szCs w:val="16"/>
        </w:rPr>
        <w:t>T</w:t>
      </w:r>
      <w:r w:rsidRPr="003C69F4">
        <w:rPr>
          <w:rFonts w:cstheme="minorHAnsi"/>
          <w:sz w:val="16"/>
          <w:szCs w:val="16"/>
        </w:rPr>
        <w:t xml:space="preserve">he High Court’s decision in </w:t>
      </w:r>
      <w:r w:rsidRPr="003C69F4">
        <w:rPr>
          <w:rFonts w:cstheme="minorHAnsi"/>
          <w:i/>
          <w:sz w:val="16"/>
          <w:szCs w:val="16"/>
        </w:rPr>
        <w:t xml:space="preserve">WorkPac Pty Ltd v Rossato </w:t>
      </w:r>
      <w:r w:rsidRPr="003C69F4">
        <w:rPr>
          <w:rFonts w:cstheme="minorHAnsi"/>
          <w:sz w:val="16"/>
          <w:szCs w:val="16"/>
        </w:rPr>
        <w:t>[2021] HCA 23 (</w:t>
      </w:r>
      <w:r w:rsidRPr="003C69F4">
        <w:rPr>
          <w:rFonts w:cstheme="minorHAnsi"/>
          <w:b/>
          <w:i/>
          <w:sz w:val="16"/>
          <w:szCs w:val="16"/>
        </w:rPr>
        <w:t>Rossato</w:t>
      </w:r>
      <w:r w:rsidRPr="003C69F4">
        <w:rPr>
          <w:rFonts w:cstheme="minorHAnsi"/>
          <w:sz w:val="16"/>
          <w:szCs w:val="16"/>
        </w:rPr>
        <w:t xml:space="preserve">) concerning the meaning of ‘casual employment’ at common law is very similar, in effect, to the operation of the original section 15A definition. </w:t>
      </w:r>
      <w:r w:rsidRPr="003C69F4">
        <w:rPr>
          <w:rFonts w:cstheme="minorHAnsi"/>
          <w:sz w:val="16"/>
          <w:szCs w:val="16"/>
        </w:rPr>
        <w:t xml:space="preserve">As a consequence, even if section 15A did not have retrospective application, the FWO would apply that similar common law approach determined by </w:t>
      </w:r>
      <w:r w:rsidRPr="003C69F4">
        <w:rPr>
          <w:rFonts w:cstheme="minorHAnsi"/>
          <w:i/>
          <w:iCs/>
          <w:sz w:val="16"/>
          <w:szCs w:val="16"/>
        </w:rPr>
        <w:t>Rossato</w:t>
      </w:r>
      <w:r w:rsidRPr="003C69F4">
        <w:rPr>
          <w:rFonts w:cstheme="minorHAnsi"/>
          <w:sz w:val="16"/>
          <w:szCs w:val="16"/>
        </w:rPr>
        <w:t xml:space="preserve"> (that is, focusing on the terms of the employment that were offered and accepted).</w:t>
      </w:r>
    </w:p>
  </w:footnote>
  <w:footnote w:id="11">
    <w:p w14:paraId="1F96D119" w14:textId="77777777" w:rsidR="00816305" w:rsidRPr="00971FFE" w:rsidRDefault="00816305" w:rsidP="00816305">
      <w:pPr>
        <w:pStyle w:val="FootnoteText"/>
        <w:rPr>
          <w:i/>
          <w:iCs/>
          <w:sz w:val="16"/>
          <w:szCs w:val="16"/>
        </w:rPr>
      </w:pPr>
      <w:r w:rsidRPr="0067108F">
        <w:rPr>
          <w:rStyle w:val="FootnoteReference"/>
          <w:sz w:val="16"/>
          <w:szCs w:val="16"/>
        </w:rPr>
        <w:footnoteRef/>
      </w:r>
      <w:r w:rsidRPr="0067108F">
        <w:rPr>
          <w:sz w:val="16"/>
          <w:szCs w:val="16"/>
        </w:rPr>
        <w:t xml:space="preserve"> </w:t>
      </w:r>
      <w:r>
        <w:rPr>
          <w:i/>
          <w:iCs/>
          <w:sz w:val="16"/>
          <w:szCs w:val="16"/>
        </w:rPr>
        <w:t>Fair Work Legislation Amendment (Closing Loopholes No.2) Act 2024.</w:t>
      </w:r>
    </w:p>
  </w:footnote>
  <w:footnote w:id="12">
    <w:p w14:paraId="5413E96C" w14:textId="77777777" w:rsidR="00B76903" w:rsidRPr="003C69F4" w:rsidRDefault="00B76903" w:rsidP="00B76903">
      <w:pPr>
        <w:pStyle w:val="FootnoteText"/>
        <w:rPr>
          <w:rFonts w:cstheme="minorHAnsi"/>
          <w:sz w:val="16"/>
          <w:szCs w:val="16"/>
          <w:highlight w:val="yellow"/>
        </w:rPr>
      </w:pPr>
      <w:r w:rsidRPr="0067108F">
        <w:rPr>
          <w:rStyle w:val="FootnoteReference"/>
          <w:rFonts w:cstheme="minorHAnsi"/>
          <w:sz w:val="16"/>
          <w:szCs w:val="16"/>
        </w:rPr>
        <w:footnoteRef/>
      </w:r>
      <w:r w:rsidRPr="003C69F4">
        <w:rPr>
          <w:rFonts w:cstheme="minorHAnsi"/>
        </w:rPr>
        <w:t xml:space="preserve"> </w:t>
      </w:r>
      <w:r w:rsidRPr="003C69F4">
        <w:rPr>
          <w:rFonts w:cstheme="minorHAnsi"/>
          <w:sz w:val="16"/>
          <w:szCs w:val="16"/>
        </w:rPr>
        <w:t xml:space="preserve">See </w:t>
      </w:r>
      <w:r w:rsidRPr="003C69F4">
        <w:rPr>
          <w:rFonts w:cstheme="minorHAnsi"/>
          <w:i/>
          <w:iCs/>
          <w:sz w:val="16"/>
          <w:szCs w:val="16"/>
        </w:rPr>
        <w:t>Rossato</w:t>
      </w:r>
      <w:r w:rsidRPr="003C69F4">
        <w:rPr>
          <w:rFonts w:cstheme="minorHAnsi"/>
          <w:sz w:val="16"/>
          <w:szCs w:val="16"/>
        </w:rPr>
        <w:t xml:space="preserve">, </w:t>
      </w:r>
      <w:r w:rsidRPr="003C69F4">
        <w:rPr>
          <w:rFonts w:cstheme="minorHAnsi"/>
          <w:i/>
          <w:iCs/>
          <w:sz w:val="16"/>
          <w:szCs w:val="16"/>
        </w:rPr>
        <w:t>Construction, Forestry, Maritime, Mining and Energy Union v Personnel Contracting Pty Ltd</w:t>
      </w:r>
      <w:r w:rsidRPr="003C69F4">
        <w:rPr>
          <w:rFonts w:cstheme="minorHAnsi"/>
          <w:sz w:val="16"/>
          <w:szCs w:val="16"/>
        </w:rPr>
        <w:t xml:space="preserve"> [2022] HCA 1 and </w:t>
      </w:r>
      <w:r w:rsidRPr="003C69F4">
        <w:rPr>
          <w:rFonts w:cstheme="minorHAnsi"/>
          <w:i/>
          <w:iCs/>
          <w:sz w:val="16"/>
          <w:szCs w:val="16"/>
        </w:rPr>
        <w:t>ZG Operations Australia Pty Ltd v Jamsek</w:t>
      </w:r>
      <w:r w:rsidRPr="003C69F4">
        <w:rPr>
          <w:rFonts w:cstheme="minorHAnsi"/>
          <w:sz w:val="16"/>
          <w:szCs w:val="16"/>
        </w:rPr>
        <w:t xml:space="preserve"> [2022] HCA 2.</w:t>
      </w:r>
    </w:p>
  </w:footnote>
  <w:footnote w:id="13">
    <w:p w14:paraId="1AEEBAAA" w14:textId="77777777" w:rsidR="00B76903" w:rsidRPr="003C69F4" w:rsidRDefault="00B76903" w:rsidP="00B76903">
      <w:pPr>
        <w:spacing w:before="0" w:after="0" w:line="240" w:lineRule="auto"/>
        <w:ind w:left="23" w:right="58" w:hanging="1"/>
        <w:rPr>
          <w:rFonts w:cstheme="minorHAnsi"/>
          <w:sz w:val="16"/>
          <w:szCs w:val="16"/>
        </w:rPr>
      </w:pPr>
      <w:r w:rsidRPr="0067108F">
        <w:rPr>
          <w:rStyle w:val="FootnoteReference"/>
          <w:rFonts w:cstheme="minorHAnsi"/>
          <w:sz w:val="16"/>
          <w:szCs w:val="16"/>
        </w:rPr>
        <w:footnoteRef/>
      </w:r>
      <w:r w:rsidRPr="0067108F">
        <w:rPr>
          <w:rFonts w:cstheme="minorHAnsi"/>
          <w:sz w:val="16"/>
          <w:szCs w:val="16"/>
        </w:rPr>
        <w:t xml:space="preserve"> </w:t>
      </w:r>
      <w:r w:rsidRPr="0054197B">
        <w:rPr>
          <w:rFonts w:cstheme="minorHAnsi"/>
          <w:sz w:val="16"/>
          <w:szCs w:val="16"/>
        </w:rPr>
        <w:t>T</w:t>
      </w:r>
      <w:r w:rsidRPr="00E01481">
        <w:rPr>
          <w:rFonts w:cstheme="minorHAnsi"/>
          <w:sz w:val="16"/>
          <w:szCs w:val="16"/>
        </w:rPr>
        <w:t xml:space="preserve">he </w:t>
      </w:r>
      <w:r w:rsidRPr="003C69F4">
        <w:rPr>
          <w:rFonts w:cstheme="minorHAnsi"/>
          <w:sz w:val="16"/>
          <w:szCs w:val="16"/>
        </w:rPr>
        <w:t xml:space="preserve">FWO has the power to issue an infringement notice in relation to certain breaches of the </w:t>
      </w:r>
      <w:r w:rsidRPr="003C69F4">
        <w:rPr>
          <w:rFonts w:cstheme="minorHAnsi"/>
          <w:i/>
          <w:iCs/>
          <w:sz w:val="16"/>
          <w:szCs w:val="16"/>
        </w:rPr>
        <w:t>Fair Work Regulations 2009</w:t>
      </w:r>
      <w:r w:rsidRPr="003C69F4">
        <w:rPr>
          <w:rFonts w:cstheme="minorHAnsi"/>
          <w:sz w:val="16"/>
          <w:szCs w:val="16"/>
        </w:rPr>
        <w:t>, however reg 4.04(2) provides that an infringement notice must be given within 12 months after the date the contraventions are alleged to have taken place.</w:t>
      </w:r>
    </w:p>
  </w:footnote>
  <w:footnote w:id="14">
    <w:p w14:paraId="06444FB1" w14:textId="794B2318" w:rsidR="007B6108" w:rsidRDefault="00FB1DDA" w:rsidP="00D4000A">
      <w:pPr>
        <w:spacing w:before="0" w:after="0" w:line="240" w:lineRule="auto"/>
        <w:contextualSpacing/>
        <w:rPr>
          <w:rFonts w:ascii="Calibri" w:hAnsi="Calibri" w:cs="Calibri"/>
          <w:sz w:val="16"/>
          <w:szCs w:val="16"/>
        </w:rPr>
      </w:pPr>
      <w:r w:rsidRPr="0067108F">
        <w:rPr>
          <w:rStyle w:val="FootnoteReference"/>
          <w:sz w:val="16"/>
          <w:szCs w:val="16"/>
        </w:rPr>
        <w:footnoteRef/>
      </w:r>
      <w:r>
        <w:t xml:space="preserve"> </w:t>
      </w:r>
      <w:r w:rsidRPr="00B60AFB">
        <w:rPr>
          <w:rFonts w:ascii="Calibri" w:hAnsi="Calibri" w:cs="Calibri"/>
          <w:sz w:val="16"/>
          <w:szCs w:val="16"/>
        </w:rPr>
        <w:t>In numerous cases</w:t>
      </w:r>
      <w:r w:rsidR="00B17E09">
        <w:rPr>
          <w:rFonts w:ascii="Calibri" w:hAnsi="Calibri" w:cs="Calibri"/>
          <w:sz w:val="16"/>
          <w:szCs w:val="16"/>
        </w:rPr>
        <w:t xml:space="preserve"> in this third cohort</w:t>
      </w:r>
      <w:r w:rsidRPr="00B60AFB">
        <w:rPr>
          <w:rFonts w:ascii="Calibri" w:hAnsi="Calibri" w:cs="Calibri"/>
          <w:sz w:val="16"/>
          <w:szCs w:val="16"/>
        </w:rPr>
        <w:t xml:space="preserve">, employees were not fully aware of, or unable to clearly identify, their employing entity, including circumstances where multiple entities may have been involved over </w:t>
      </w:r>
      <w:r w:rsidRPr="00B60AFB">
        <w:rPr>
          <w:rFonts w:ascii="Calibri" w:hAnsi="Calibri" w:cs="Calibri"/>
          <w:sz w:val="16"/>
          <w:szCs w:val="16"/>
        </w:rPr>
        <w:t xml:space="preserve">particular periods of employment. Where cases involved pre-2019 </w:t>
      </w:r>
    </w:p>
    <w:p w14:paraId="4BD72926" w14:textId="1CE4880E" w:rsidR="00FB1DDA" w:rsidRPr="00B60AFB" w:rsidRDefault="00FB1DDA" w:rsidP="00D4000A">
      <w:pPr>
        <w:spacing w:before="0" w:after="0" w:line="240" w:lineRule="auto"/>
        <w:contextualSpacing/>
        <w:rPr>
          <w:rFonts w:ascii="Calibri" w:hAnsi="Calibri" w:cs="Calibri"/>
          <w:color w:val="auto"/>
          <w:sz w:val="16"/>
          <w:szCs w:val="16"/>
        </w:rPr>
      </w:pPr>
      <w:r w:rsidRPr="00B60AFB">
        <w:rPr>
          <w:rFonts w:ascii="Calibri" w:hAnsi="Calibri" w:cs="Calibri"/>
          <w:sz w:val="16"/>
          <w:szCs w:val="16"/>
        </w:rPr>
        <w:t>employment periods, we found</w:t>
      </w:r>
      <w:r w:rsidR="00B17E09">
        <w:rPr>
          <w:rFonts w:ascii="Calibri" w:hAnsi="Calibri" w:cs="Calibri"/>
          <w:sz w:val="16"/>
          <w:szCs w:val="16"/>
        </w:rPr>
        <w:t xml:space="preserve"> </w:t>
      </w:r>
      <w:r w:rsidRPr="00B60AFB">
        <w:rPr>
          <w:rFonts w:ascii="Calibri" w:hAnsi="Calibri" w:cs="Calibri"/>
          <w:sz w:val="16"/>
          <w:szCs w:val="16"/>
        </w:rPr>
        <w:t>reduced availability of documentary evidence, from both employers and employee</w:t>
      </w:r>
      <w:r w:rsidR="00B60AFB">
        <w:rPr>
          <w:rFonts w:ascii="Calibri" w:hAnsi="Calibri" w:cs="Calibri"/>
          <w:sz w:val="16"/>
          <w:szCs w:val="16"/>
        </w:rPr>
        <w:t xml:space="preserve">s. </w:t>
      </w:r>
      <w:r w:rsidRPr="00B60AFB">
        <w:rPr>
          <w:rFonts w:ascii="Calibri" w:hAnsi="Calibri" w:cs="Calibri"/>
          <w:sz w:val="16"/>
          <w:szCs w:val="16"/>
        </w:rPr>
        <w:t xml:space="preserve"> </w:t>
      </w:r>
    </w:p>
    <w:p w14:paraId="7C0A5DFA" w14:textId="185277FD" w:rsidR="00FB1DDA" w:rsidRDefault="00FB1DD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EC4A" w14:textId="6442092B" w:rsidR="003A27EC" w:rsidRDefault="006008A5">
    <w:pPr>
      <w:pStyle w:val="Header"/>
    </w:pPr>
    <w:r>
      <w:rPr>
        <w:noProof/>
      </w:rPr>
      <w:drawing>
        <wp:anchor distT="0" distB="0" distL="114300" distR="114300" simplePos="0" relativeHeight="251658240" behindDoc="0" locked="0" layoutInCell="1" allowOverlap="1" wp14:anchorId="4C936686" wp14:editId="05EC776F">
          <wp:simplePos x="0" y="0"/>
          <wp:positionH relativeFrom="column">
            <wp:posOffset>-755650</wp:posOffset>
          </wp:positionH>
          <wp:positionV relativeFrom="paragraph">
            <wp:posOffset>-341630</wp:posOffset>
          </wp:positionV>
          <wp:extent cx="7277100" cy="10469258"/>
          <wp:effectExtent l="0" t="0" r="0" b="8255"/>
          <wp:wrapNone/>
          <wp:docPr id="29406182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61823"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80265" cy="1047381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9FA"/>
    <w:multiLevelType w:val="hybridMultilevel"/>
    <w:tmpl w:val="AA50587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 w15:restartNumberingAfterBreak="0">
    <w:nsid w:val="08C17A2D"/>
    <w:multiLevelType w:val="hybridMultilevel"/>
    <w:tmpl w:val="AA0034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E938ED"/>
    <w:multiLevelType w:val="hybridMultilevel"/>
    <w:tmpl w:val="2B06DBFA"/>
    <w:lvl w:ilvl="0" w:tplc="0C09000F">
      <w:start w:val="1"/>
      <w:numFmt w:val="decimal"/>
      <w:lvlText w:val="%1."/>
      <w:lvlJc w:val="left"/>
      <w:pPr>
        <w:ind w:left="381" w:hanging="360"/>
      </w:pPr>
      <w:rPr>
        <w:rFonts w:hint="default"/>
      </w:rPr>
    </w:lvl>
    <w:lvl w:ilvl="1" w:tplc="0C090019" w:tentative="1">
      <w:start w:val="1"/>
      <w:numFmt w:val="lowerLetter"/>
      <w:lvlText w:val="%2."/>
      <w:lvlJc w:val="left"/>
      <w:pPr>
        <w:ind w:left="1101" w:hanging="360"/>
      </w:pPr>
    </w:lvl>
    <w:lvl w:ilvl="2" w:tplc="0C09001B" w:tentative="1">
      <w:start w:val="1"/>
      <w:numFmt w:val="lowerRoman"/>
      <w:lvlText w:val="%3."/>
      <w:lvlJc w:val="right"/>
      <w:pPr>
        <w:ind w:left="1821" w:hanging="180"/>
      </w:pPr>
    </w:lvl>
    <w:lvl w:ilvl="3" w:tplc="0C09000F" w:tentative="1">
      <w:start w:val="1"/>
      <w:numFmt w:val="decimal"/>
      <w:lvlText w:val="%4."/>
      <w:lvlJc w:val="left"/>
      <w:pPr>
        <w:ind w:left="2541" w:hanging="360"/>
      </w:pPr>
    </w:lvl>
    <w:lvl w:ilvl="4" w:tplc="0C090019" w:tentative="1">
      <w:start w:val="1"/>
      <w:numFmt w:val="lowerLetter"/>
      <w:lvlText w:val="%5."/>
      <w:lvlJc w:val="left"/>
      <w:pPr>
        <w:ind w:left="3261" w:hanging="360"/>
      </w:pPr>
    </w:lvl>
    <w:lvl w:ilvl="5" w:tplc="0C09001B" w:tentative="1">
      <w:start w:val="1"/>
      <w:numFmt w:val="lowerRoman"/>
      <w:lvlText w:val="%6."/>
      <w:lvlJc w:val="right"/>
      <w:pPr>
        <w:ind w:left="3981" w:hanging="180"/>
      </w:pPr>
    </w:lvl>
    <w:lvl w:ilvl="6" w:tplc="0C09000F" w:tentative="1">
      <w:start w:val="1"/>
      <w:numFmt w:val="decimal"/>
      <w:lvlText w:val="%7."/>
      <w:lvlJc w:val="left"/>
      <w:pPr>
        <w:ind w:left="4701" w:hanging="360"/>
      </w:pPr>
    </w:lvl>
    <w:lvl w:ilvl="7" w:tplc="0C090019" w:tentative="1">
      <w:start w:val="1"/>
      <w:numFmt w:val="lowerLetter"/>
      <w:lvlText w:val="%8."/>
      <w:lvlJc w:val="left"/>
      <w:pPr>
        <w:ind w:left="5421" w:hanging="360"/>
      </w:pPr>
    </w:lvl>
    <w:lvl w:ilvl="8" w:tplc="0C09001B" w:tentative="1">
      <w:start w:val="1"/>
      <w:numFmt w:val="lowerRoman"/>
      <w:lvlText w:val="%9."/>
      <w:lvlJc w:val="right"/>
      <w:pPr>
        <w:ind w:left="6141" w:hanging="180"/>
      </w:pPr>
    </w:lvl>
  </w:abstractNum>
  <w:abstractNum w:abstractNumId="3" w15:restartNumberingAfterBreak="0">
    <w:nsid w:val="0B78272D"/>
    <w:multiLevelType w:val="hybridMultilevel"/>
    <w:tmpl w:val="6CDEE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C45120"/>
    <w:multiLevelType w:val="hybridMultilevel"/>
    <w:tmpl w:val="16B0A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EA06A9"/>
    <w:multiLevelType w:val="hybridMultilevel"/>
    <w:tmpl w:val="413AD698"/>
    <w:lvl w:ilvl="0" w:tplc="7E88A264">
      <w:start w:val="1"/>
      <w:numFmt w:val="bullet"/>
      <w:lvlText w:val=""/>
      <w:lvlJc w:val="left"/>
      <w:pPr>
        <w:ind w:left="381" w:hanging="360"/>
      </w:pPr>
      <w:rPr>
        <w:rFonts w:ascii="Symbol" w:eastAsiaTheme="minorEastAsia" w:hAnsi="Symbol" w:cs="Arial" w:hint="default"/>
      </w:rPr>
    </w:lvl>
    <w:lvl w:ilvl="1" w:tplc="0C090003" w:tentative="1">
      <w:start w:val="1"/>
      <w:numFmt w:val="bullet"/>
      <w:lvlText w:val="o"/>
      <w:lvlJc w:val="left"/>
      <w:pPr>
        <w:ind w:left="1101" w:hanging="360"/>
      </w:pPr>
      <w:rPr>
        <w:rFonts w:ascii="Courier New" w:hAnsi="Courier New" w:cs="Courier New" w:hint="default"/>
      </w:rPr>
    </w:lvl>
    <w:lvl w:ilvl="2" w:tplc="0C090005" w:tentative="1">
      <w:start w:val="1"/>
      <w:numFmt w:val="bullet"/>
      <w:lvlText w:val=""/>
      <w:lvlJc w:val="left"/>
      <w:pPr>
        <w:ind w:left="1821" w:hanging="360"/>
      </w:pPr>
      <w:rPr>
        <w:rFonts w:ascii="Wingdings" w:hAnsi="Wingdings" w:hint="default"/>
      </w:rPr>
    </w:lvl>
    <w:lvl w:ilvl="3" w:tplc="0C090001" w:tentative="1">
      <w:start w:val="1"/>
      <w:numFmt w:val="bullet"/>
      <w:lvlText w:val=""/>
      <w:lvlJc w:val="left"/>
      <w:pPr>
        <w:ind w:left="2541" w:hanging="360"/>
      </w:pPr>
      <w:rPr>
        <w:rFonts w:ascii="Symbol" w:hAnsi="Symbol" w:hint="default"/>
      </w:rPr>
    </w:lvl>
    <w:lvl w:ilvl="4" w:tplc="0C090003" w:tentative="1">
      <w:start w:val="1"/>
      <w:numFmt w:val="bullet"/>
      <w:lvlText w:val="o"/>
      <w:lvlJc w:val="left"/>
      <w:pPr>
        <w:ind w:left="3261" w:hanging="360"/>
      </w:pPr>
      <w:rPr>
        <w:rFonts w:ascii="Courier New" w:hAnsi="Courier New" w:cs="Courier New" w:hint="default"/>
      </w:rPr>
    </w:lvl>
    <w:lvl w:ilvl="5" w:tplc="0C090005" w:tentative="1">
      <w:start w:val="1"/>
      <w:numFmt w:val="bullet"/>
      <w:lvlText w:val=""/>
      <w:lvlJc w:val="left"/>
      <w:pPr>
        <w:ind w:left="3981" w:hanging="360"/>
      </w:pPr>
      <w:rPr>
        <w:rFonts w:ascii="Wingdings" w:hAnsi="Wingdings" w:hint="default"/>
      </w:rPr>
    </w:lvl>
    <w:lvl w:ilvl="6" w:tplc="0C090001" w:tentative="1">
      <w:start w:val="1"/>
      <w:numFmt w:val="bullet"/>
      <w:lvlText w:val=""/>
      <w:lvlJc w:val="left"/>
      <w:pPr>
        <w:ind w:left="4701" w:hanging="360"/>
      </w:pPr>
      <w:rPr>
        <w:rFonts w:ascii="Symbol" w:hAnsi="Symbol" w:hint="default"/>
      </w:rPr>
    </w:lvl>
    <w:lvl w:ilvl="7" w:tplc="0C090003" w:tentative="1">
      <w:start w:val="1"/>
      <w:numFmt w:val="bullet"/>
      <w:lvlText w:val="o"/>
      <w:lvlJc w:val="left"/>
      <w:pPr>
        <w:ind w:left="5421" w:hanging="360"/>
      </w:pPr>
      <w:rPr>
        <w:rFonts w:ascii="Courier New" w:hAnsi="Courier New" w:cs="Courier New" w:hint="default"/>
      </w:rPr>
    </w:lvl>
    <w:lvl w:ilvl="8" w:tplc="0C090005" w:tentative="1">
      <w:start w:val="1"/>
      <w:numFmt w:val="bullet"/>
      <w:lvlText w:val=""/>
      <w:lvlJc w:val="left"/>
      <w:pPr>
        <w:ind w:left="6141" w:hanging="360"/>
      </w:pPr>
      <w:rPr>
        <w:rFonts w:ascii="Wingdings" w:hAnsi="Wingdings" w:hint="default"/>
      </w:rPr>
    </w:lvl>
  </w:abstractNum>
  <w:abstractNum w:abstractNumId="6" w15:restartNumberingAfterBreak="0">
    <w:nsid w:val="143A1DAE"/>
    <w:multiLevelType w:val="hybridMultilevel"/>
    <w:tmpl w:val="83DE6E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C3297D"/>
    <w:multiLevelType w:val="hybridMultilevel"/>
    <w:tmpl w:val="D9FE9AF0"/>
    <w:lvl w:ilvl="0" w:tplc="6DAA72F0">
      <w:numFmt w:val="bullet"/>
      <w:lvlText w:val=""/>
      <w:lvlJc w:val="left"/>
      <w:pPr>
        <w:ind w:left="382" w:hanging="361"/>
      </w:pPr>
      <w:rPr>
        <w:rFonts w:ascii="Symbol" w:eastAsia="Symbol" w:hAnsi="Symbol" w:cs="Symbol" w:hint="default"/>
        <w:b w:val="0"/>
        <w:bCs w:val="0"/>
        <w:i w:val="0"/>
        <w:iCs w:val="0"/>
        <w:spacing w:val="0"/>
        <w:w w:val="100"/>
        <w:sz w:val="22"/>
        <w:szCs w:val="22"/>
        <w:lang w:val="en-US" w:eastAsia="en-US" w:bidi="ar-SA"/>
      </w:rPr>
    </w:lvl>
    <w:lvl w:ilvl="1" w:tplc="CF626694">
      <w:numFmt w:val="bullet"/>
      <w:lvlText w:val="•"/>
      <w:lvlJc w:val="left"/>
      <w:pPr>
        <w:ind w:left="1249" w:hanging="361"/>
      </w:pPr>
      <w:rPr>
        <w:rFonts w:hint="default"/>
        <w:lang w:val="en-US" w:eastAsia="en-US" w:bidi="ar-SA"/>
      </w:rPr>
    </w:lvl>
    <w:lvl w:ilvl="2" w:tplc="CF0A55B6">
      <w:numFmt w:val="bullet"/>
      <w:lvlText w:val="•"/>
      <w:lvlJc w:val="left"/>
      <w:pPr>
        <w:ind w:left="2118" w:hanging="361"/>
      </w:pPr>
      <w:rPr>
        <w:rFonts w:hint="default"/>
        <w:lang w:val="en-US" w:eastAsia="en-US" w:bidi="ar-SA"/>
      </w:rPr>
    </w:lvl>
    <w:lvl w:ilvl="3" w:tplc="923ECE9E">
      <w:numFmt w:val="bullet"/>
      <w:lvlText w:val="•"/>
      <w:lvlJc w:val="left"/>
      <w:pPr>
        <w:ind w:left="2987" w:hanging="361"/>
      </w:pPr>
      <w:rPr>
        <w:rFonts w:hint="default"/>
        <w:lang w:val="en-US" w:eastAsia="en-US" w:bidi="ar-SA"/>
      </w:rPr>
    </w:lvl>
    <w:lvl w:ilvl="4" w:tplc="19A2A436">
      <w:numFmt w:val="bullet"/>
      <w:lvlText w:val="•"/>
      <w:lvlJc w:val="left"/>
      <w:pPr>
        <w:ind w:left="3856" w:hanging="361"/>
      </w:pPr>
      <w:rPr>
        <w:rFonts w:hint="default"/>
        <w:lang w:val="en-US" w:eastAsia="en-US" w:bidi="ar-SA"/>
      </w:rPr>
    </w:lvl>
    <w:lvl w:ilvl="5" w:tplc="348C5FA4">
      <w:numFmt w:val="bullet"/>
      <w:lvlText w:val="•"/>
      <w:lvlJc w:val="left"/>
      <w:pPr>
        <w:ind w:left="4726" w:hanging="361"/>
      </w:pPr>
      <w:rPr>
        <w:rFonts w:hint="default"/>
        <w:lang w:val="en-US" w:eastAsia="en-US" w:bidi="ar-SA"/>
      </w:rPr>
    </w:lvl>
    <w:lvl w:ilvl="6" w:tplc="9410A090">
      <w:numFmt w:val="bullet"/>
      <w:lvlText w:val="•"/>
      <w:lvlJc w:val="left"/>
      <w:pPr>
        <w:ind w:left="5595" w:hanging="361"/>
      </w:pPr>
      <w:rPr>
        <w:rFonts w:hint="default"/>
        <w:lang w:val="en-US" w:eastAsia="en-US" w:bidi="ar-SA"/>
      </w:rPr>
    </w:lvl>
    <w:lvl w:ilvl="7" w:tplc="5CAA59BA">
      <w:numFmt w:val="bullet"/>
      <w:lvlText w:val="•"/>
      <w:lvlJc w:val="left"/>
      <w:pPr>
        <w:ind w:left="6464" w:hanging="361"/>
      </w:pPr>
      <w:rPr>
        <w:rFonts w:hint="default"/>
        <w:lang w:val="en-US" w:eastAsia="en-US" w:bidi="ar-SA"/>
      </w:rPr>
    </w:lvl>
    <w:lvl w:ilvl="8" w:tplc="A566D0CC">
      <w:numFmt w:val="bullet"/>
      <w:lvlText w:val="•"/>
      <w:lvlJc w:val="left"/>
      <w:pPr>
        <w:ind w:left="7333" w:hanging="361"/>
      </w:pPr>
      <w:rPr>
        <w:rFonts w:hint="default"/>
        <w:lang w:val="en-US" w:eastAsia="en-US" w:bidi="ar-SA"/>
      </w:rPr>
    </w:lvl>
  </w:abstractNum>
  <w:abstractNum w:abstractNumId="8" w15:restartNumberingAfterBreak="0">
    <w:nsid w:val="27A76178"/>
    <w:multiLevelType w:val="hybridMultilevel"/>
    <w:tmpl w:val="E5F20FC6"/>
    <w:lvl w:ilvl="0" w:tplc="886E4D76">
      <w:start w:val="1"/>
      <w:numFmt w:val="decimal"/>
      <w:lvlText w:val="%1."/>
      <w:lvlJc w:val="left"/>
      <w:pPr>
        <w:ind w:left="720" w:hanging="360"/>
      </w:pPr>
      <w:rPr>
        <w:rFonts w:ascii="Calibri" w:eastAsiaTheme="minorHAnsi" w:hAnsi="Calibri" w:cs="Calibr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9387DBA"/>
    <w:multiLevelType w:val="hybridMultilevel"/>
    <w:tmpl w:val="5BF42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F978A6"/>
    <w:multiLevelType w:val="hybridMultilevel"/>
    <w:tmpl w:val="9F2A9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6F095E"/>
    <w:multiLevelType w:val="hybridMultilevel"/>
    <w:tmpl w:val="2DB62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44AA9"/>
    <w:multiLevelType w:val="hybridMultilevel"/>
    <w:tmpl w:val="F4168E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C47B8F"/>
    <w:multiLevelType w:val="hybridMultilevel"/>
    <w:tmpl w:val="C9A2DBAE"/>
    <w:lvl w:ilvl="0" w:tplc="51F81F46">
      <w:start w:val="1"/>
      <w:numFmt w:val="decimal"/>
      <w:pStyle w:val="Heading3"/>
      <w:lvlText w:val="%1."/>
      <w:lvlJc w:val="left"/>
      <w:pPr>
        <w:ind w:left="720" w:hanging="360"/>
      </w:pPr>
      <w:rPr>
        <w:rFonts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72F4BC7"/>
    <w:multiLevelType w:val="hybridMultilevel"/>
    <w:tmpl w:val="CDB65B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AB8700D"/>
    <w:multiLevelType w:val="hybridMultilevel"/>
    <w:tmpl w:val="BF98CA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B2A6A42"/>
    <w:multiLevelType w:val="hybridMultilevel"/>
    <w:tmpl w:val="5F387DA8"/>
    <w:lvl w:ilvl="0" w:tplc="0C090001">
      <w:start w:val="1"/>
      <w:numFmt w:val="bullet"/>
      <w:lvlText w:val=""/>
      <w:lvlJc w:val="left"/>
      <w:pPr>
        <w:ind w:left="383" w:hanging="360"/>
      </w:pPr>
      <w:rPr>
        <w:rFonts w:ascii="Symbol" w:hAnsi="Symbol" w:hint="default"/>
      </w:rPr>
    </w:lvl>
    <w:lvl w:ilvl="1" w:tplc="0C090003" w:tentative="1">
      <w:start w:val="1"/>
      <w:numFmt w:val="bullet"/>
      <w:lvlText w:val="o"/>
      <w:lvlJc w:val="left"/>
      <w:pPr>
        <w:ind w:left="1103" w:hanging="360"/>
      </w:pPr>
      <w:rPr>
        <w:rFonts w:ascii="Courier New" w:hAnsi="Courier New" w:cs="Courier New" w:hint="default"/>
      </w:rPr>
    </w:lvl>
    <w:lvl w:ilvl="2" w:tplc="0C090005" w:tentative="1">
      <w:start w:val="1"/>
      <w:numFmt w:val="bullet"/>
      <w:lvlText w:val=""/>
      <w:lvlJc w:val="left"/>
      <w:pPr>
        <w:ind w:left="1823" w:hanging="360"/>
      </w:pPr>
      <w:rPr>
        <w:rFonts w:ascii="Wingdings" w:hAnsi="Wingdings" w:hint="default"/>
      </w:rPr>
    </w:lvl>
    <w:lvl w:ilvl="3" w:tplc="0C090001" w:tentative="1">
      <w:start w:val="1"/>
      <w:numFmt w:val="bullet"/>
      <w:lvlText w:val=""/>
      <w:lvlJc w:val="left"/>
      <w:pPr>
        <w:ind w:left="2543" w:hanging="360"/>
      </w:pPr>
      <w:rPr>
        <w:rFonts w:ascii="Symbol" w:hAnsi="Symbol" w:hint="default"/>
      </w:rPr>
    </w:lvl>
    <w:lvl w:ilvl="4" w:tplc="0C090003" w:tentative="1">
      <w:start w:val="1"/>
      <w:numFmt w:val="bullet"/>
      <w:lvlText w:val="o"/>
      <w:lvlJc w:val="left"/>
      <w:pPr>
        <w:ind w:left="3263" w:hanging="360"/>
      </w:pPr>
      <w:rPr>
        <w:rFonts w:ascii="Courier New" w:hAnsi="Courier New" w:cs="Courier New" w:hint="default"/>
      </w:rPr>
    </w:lvl>
    <w:lvl w:ilvl="5" w:tplc="0C090005" w:tentative="1">
      <w:start w:val="1"/>
      <w:numFmt w:val="bullet"/>
      <w:lvlText w:val=""/>
      <w:lvlJc w:val="left"/>
      <w:pPr>
        <w:ind w:left="3983" w:hanging="360"/>
      </w:pPr>
      <w:rPr>
        <w:rFonts w:ascii="Wingdings" w:hAnsi="Wingdings" w:hint="default"/>
      </w:rPr>
    </w:lvl>
    <w:lvl w:ilvl="6" w:tplc="0C090001" w:tentative="1">
      <w:start w:val="1"/>
      <w:numFmt w:val="bullet"/>
      <w:lvlText w:val=""/>
      <w:lvlJc w:val="left"/>
      <w:pPr>
        <w:ind w:left="4703" w:hanging="360"/>
      </w:pPr>
      <w:rPr>
        <w:rFonts w:ascii="Symbol" w:hAnsi="Symbol" w:hint="default"/>
      </w:rPr>
    </w:lvl>
    <w:lvl w:ilvl="7" w:tplc="0C090003" w:tentative="1">
      <w:start w:val="1"/>
      <w:numFmt w:val="bullet"/>
      <w:lvlText w:val="o"/>
      <w:lvlJc w:val="left"/>
      <w:pPr>
        <w:ind w:left="5423" w:hanging="360"/>
      </w:pPr>
      <w:rPr>
        <w:rFonts w:ascii="Courier New" w:hAnsi="Courier New" w:cs="Courier New" w:hint="default"/>
      </w:rPr>
    </w:lvl>
    <w:lvl w:ilvl="8" w:tplc="0C090005" w:tentative="1">
      <w:start w:val="1"/>
      <w:numFmt w:val="bullet"/>
      <w:lvlText w:val=""/>
      <w:lvlJc w:val="left"/>
      <w:pPr>
        <w:ind w:left="6143" w:hanging="360"/>
      </w:pPr>
      <w:rPr>
        <w:rFonts w:ascii="Wingdings" w:hAnsi="Wingdings" w:hint="default"/>
      </w:rPr>
    </w:lvl>
  </w:abstractNum>
  <w:abstractNum w:abstractNumId="17" w15:restartNumberingAfterBreak="0">
    <w:nsid w:val="3CEDBA50"/>
    <w:multiLevelType w:val="hybridMultilevel"/>
    <w:tmpl w:val="A664D966"/>
    <w:lvl w:ilvl="0" w:tplc="DF0A2A30">
      <w:start w:val="1"/>
      <w:numFmt w:val="bullet"/>
      <w:lvlText w:val="·"/>
      <w:lvlJc w:val="left"/>
      <w:pPr>
        <w:ind w:left="720" w:hanging="360"/>
      </w:pPr>
      <w:rPr>
        <w:rFonts w:ascii="Symbol" w:hAnsi="Symbol" w:hint="default"/>
      </w:rPr>
    </w:lvl>
    <w:lvl w:ilvl="1" w:tplc="E64EEE92">
      <w:start w:val="1"/>
      <w:numFmt w:val="bullet"/>
      <w:lvlText w:val="o"/>
      <w:lvlJc w:val="left"/>
      <w:pPr>
        <w:ind w:left="1440" w:hanging="360"/>
      </w:pPr>
      <w:rPr>
        <w:rFonts w:ascii="Symbol" w:hAnsi="Symbol" w:hint="default"/>
      </w:rPr>
    </w:lvl>
    <w:lvl w:ilvl="2" w:tplc="190E7F78">
      <w:start w:val="1"/>
      <w:numFmt w:val="bullet"/>
      <w:lvlText w:val="§"/>
      <w:lvlJc w:val="left"/>
      <w:pPr>
        <w:ind w:left="2160" w:hanging="360"/>
      </w:pPr>
      <w:rPr>
        <w:rFonts w:ascii="Symbol" w:hAnsi="Symbol" w:hint="default"/>
      </w:rPr>
    </w:lvl>
    <w:lvl w:ilvl="3" w:tplc="8680779E">
      <w:start w:val="1"/>
      <w:numFmt w:val="bullet"/>
      <w:lvlText w:val=""/>
      <w:lvlJc w:val="left"/>
      <w:pPr>
        <w:ind w:left="2880" w:hanging="360"/>
      </w:pPr>
      <w:rPr>
        <w:rFonts w:ascii="Symbol" w:hAnsi="Symbol" w:hint="default"/>
      </w:rPr>
    </w:lvl>
    <w:lvl w:ilvl="4" w:tplc="57ACE104">
      <w:start w:val="1"/>
      <w:numFmt w:val="bullet"/>
      <w:lvlText w:val="o"/>
      <w:lvlJc w:val="left"/>
      <w:pPr>
        <w:ind w:left="3600" w:hanging="360"/>
      </w:pPr>
      <w:rPr>
        <w:rFonts w:ascii="Courier New" w:hAnsi="Courier New" w:hint="default"/>
      </w:rPr>
    </w:lvl>
    <w:lvl w:ilvl="5" w:tplc="FFCAAF84">
      <w:start w:val="1"/>
      <w:numFmt w:val="bullet"/>
      <w:lvlText w:val=""/>
      <w:lvlJc w:val="left"/>
      <w:pPr>
        <w:ind w:left="4320" w:hanging="360"/>
      </w:pPr>
      <w:rPr>
        <w:rFonts w:ascii="Wingdings" w:hAnsi="Wingdings" w:hint="default"/>
      </w:rPr>
    </w:lvl>
    <w:lvl w:ilvl="6" w:tplc="E13678A4">
      <w:start w:val="1"/>
      <w:numFmt w:val="bullet"/>
      <w:lvlText w:val=""/>
      <w:lvlJc w:val="left"/>
      <w:pPr>
        <w:ind w:left="5040" w:hanging="360"/>
      </w:pPr>
      <w:rPr>
        <w:rFonts w:ascii="Symbol" w:hAnsi="Symbol" w:hint="default"/>
      </w:rPr>
    </w:lvl>
    <w:lvl w:ilvl="7" w:tplc="A8E0398E">
      <w:start w:val="1"/>
      <w:numFmt w:val="bullet"/>
      <w:lvlText w:val="o"/>
      <w:lvlJc w:val="left"/>
      <w:pPr>
        <w:ind w:left="5760" w:hanging="360"/>
      </w:pPr>
      <w:rPr>
        <w:rFonts w:ascii="Courier New" w:hAnsi="Courier New" w:hint="default"/>
      </w:rPr>
    </w:lvl>
    <w:lvl w:ilvl="8" w:tplc="446E7B1A">
      <w:start w:val="1"/>
      <w:numFmt w:val="bullet"/>
      <w:lvlText w:val=""/>
      <w:lvlJc w:val="left"/>
      <w:pPr>
        <w:ind w:left="6480" w:hanging="360"/>
      </w:pPr>
      <w:rPr>
        <w:rFonts w:ascii="Wingdings" w:hAnsi="Wingdings" w:hint="default"/>
      </w:rPr>
    </w:lvl>
  </w:abstractNum>
  <w:abstractNum w:abstractNumId="18" w15:restartNumberingAfterBreak="0">
    <w:nsid w:val="3F735A83"/>
    <w:multiLevelType w:val="hybridMultilevel"/>
    <w:tmpl w:val="1C763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CF2FCA"/>
    <w:multiLevelType w:val="hybridMultilevel"/>
    <w:tmpl w:val="15FEF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69924FF"/>
    <w:multiLevelType w:val="multilevel"/>
    <w:tmpl w:val="E8DA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522317"/>
    <w:multiLevelType w:val="hybridMultilevel"/>
    <w:tmpl w:val="C06ED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C157EE3"/>
    <w:multiLevelType w:val="hybridMultilevel"/>
    <w:tmpl w:val="4DBC8E9C"/>
    <w:lvl w:ilvl="0" w:tplc="0C090001">
      <w:start w:val="1"/>
      <w:numFmt w:val="bullet"/>
      <w:lvlText w:val=""/>
      <w:lvlJc w:val="left"/>
      <w:pPr>
        <w:ind w:left="38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C41325"/>
    <w:multiLevelType w:val="hybridMultilevel"/>
    <w:tmpl w:val="BF7C6FA0"/>
    <w:lvl w:ilvl="0" w:tplc="0C090001">
      <w:start w:val="1"/>
      <w:numFmt w:val="bullet"/>
      <w:lvlText w:val=""/>
      <w:lvlJc w:val="left"/>
      <w:pPr>
        <w:ind w:left="382" w:hanging="360"/>
      </w:pPr>
      <w:rPr>
        <w:rFonts w:ascii="Symbol" w:hAnsi="Symbol" w:hint="default"/>
      </w:rPr>
    </w:lvl>
    <w:lvl w:ilvl="1" w:tplc="0C090003" w:tentative="1">
      <w:start w:val="1"/>
      <w:numFmt w:val="bullet"/>
      <w:lvlText w:val="o"/>
      <w:lvlJc w:val="left"/>
      <w:pPr>
        <w:ind w:left="1102" w:hanging="360"/>
      </w:pPr>
      <w:rPr>
        <w:rFonts w:ascii="Courier New" w:hAnsi="Courier New" w:cs="Courier New" w:hint="default"/>
      </w:rPr>
    </w:lvl>
    <w:lvl w:ilvl="2" w:tplc="0C090005" w:tentative="1">
      <w:start w:val="1"/>
      <w:numFmt w:val="bullet"/>
      <w:lvlText w:val=""/>
      <w:lvlJc w:val="left"/>
      <w:pPr>
        <w:ind w:left="1822" w:hanging="360"/>
      </w:pPr>
      <w:rPr>
        <w:rFonts w:ascii="Wingdings" w:hAnsi="Wingdings" w:hint="default"/>
      </w:rPr>
    </w:lvl>
    <w:lvl w:ilvl="3" w:tplc="0C090001" w:tentative="1">
      <w:start w:val="1"/>
      <w:numFmt w:val="bullet"/>
      <w:lvlText w:val=""/>
      <w:lvlJc w:val="left"/>
      <w:pPr>
        <w:ind w:left="2542" w:hanging="360"/>
      </w:pPr>
      <w:rPr>
        <w:rFonts w:ascii="Symbol" w:hAnsi="Symbol" w:hint="default"/>
      </w:rPr>
    </w:lvl>
    <w:lvl w:ilvl="4" w:tplc="0C090003" w:tentative="1">
      <w:start w:val="1"/>
      <w:numFmt w:val="bullet"/>
      <w:lvlText w:val="o"/>
      <w:lvlJc w:val="left"/>
      <w:pPr>
        <w:ind w:left="3262" w:hanging="360"/>
      </w:pPr>
      <w:rPr>
        <w:rFonts w:ascii="Courier New" w:hAnsi="Courier New" w:cs="Courier New" w:hint="default"/>
      </w:rPr>
    </w:lvl>
    <w:lvl w:ilvl="5" w:tplc="0C090005" w:tentative="1">
      <w:start w:val="1"/>
      <w:numFmt w:val="bullet"/>
      <w:lvlText w:val=""/>
      <w:lvlJc w:val="left"/>
      <w:pPr>
        <w:ind w:left="3982" w:hanging="360"/>
      </w:pPr>
      <w:rPr>
        <w:rFonts w:ascii="Wingdings" w:hAnsi="Wingdings" w:hint="default"/>
      </w:rPr>
    </w:lvl>
    <w:lvl w:ilvl="6" w:tplc="0C090001" w:tentative="1">
      <w:start w:val="1"/>
      <w:numFmt w:val="bullet"/>
      <w:lvlText w:val=""/>
      <w:lvlJc w:val="left"/>
      <w:pPr>
        <w:ind w:left="4702" w:hanging="360"/>
      </w:pPr>
      <w:rPr>
        <w:rFonts w:ascii="Symbol" w:hAnsi="Symbol" w:hint="default"/>
      </w:rPr>
    </w:lvl>
    <w:lvl w:ilvl="7" w:tplc="0C090003" w:tentative="1">
      <w:start w:val="1"/>
      <w:numFmt w:val="bullet"/>
      <w:lvlText w:val="o"/>
      <w:lvlJc w:val="left"/>
      <w:pPr>
        <w:ind w:left="5422" w:hanging="360"/>
      </w:pPr>
      <w:rPr>
        <w:rFonts w:ascii="Courier New" w:hAnsi="Courier New" w:cs="Courier New" w:hint="default"/>
      </w:rPr>
    </w:lvl>
    <w:lvl w:ilvl="8" w:tplc="0C090005" w:tentative="1">
      <w:start w:val="1"/>
      <w:numFmt w:val="bullet"/>
      <w:lvlText w:val=""/>
      <w:lvlJc w:val="left"/>
      <w:pPr>
        <w:ind w:left="6142" w:hanging="360"/>
      </w:pPr>
      <w:rPr>
        <w:rFonts w:ascii="Wingdings" w:hAnsi="Wingdings" w:hint="default"/>
      </w:rPr>
    </w:lvl>
  </w:abstractNum>
  <w:abstractNum w:abstractNumId="24" w15:restartNumberingAfterBreak="0">
    <w:nsid w:val="5D2177A4"/>
    <w:multiLevelType w:val="hybridMultilevel"/>
    <w:tmpl w:val="7EC001E8"/>
    <w:lvl w:ilvl="0" w:tplc="459E2864">
      <w:start w:val="1"/>
      <w:numFmt w:val="bullet"/>
      <w:pStyle w:val="Bulletlist"/>
      <w:lvlText w:val=""/>
      <w:lvlJc w:val="left"/>
      <w:pPr>
        <w:ind w:left="720" w:hanging="360"/>
      </w:pPr>
      <w:rPr>
        <w:rFonts w:ascii="Symbol" w:hAnsi="Symbol" w:hint="default"/>
      </w:rPr>
    </w:lvl>
    <w:lvl w:ilvl="1" w:tplc="816CA7B4">
      <w:start w:val="1"/>
      <w:numFmt w:val="bullet"/>
      <w:pStyle w:val="Bulletlist-level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C52570"/>
    <w:multiLevelType w:val="hybridMultilevel"/>
    <w:tmpl w:val="B7640960"/>
    <w:lvl w:ilvl="0" w:tplc="556A3A66">
      <w:start w:val="15"/>
      <w:numFmt w:val="bullet"/>
      <w:lvlText w:val=""/>
      <w:lvlJc w:val="left"/>
      <w:pPr>
        <w:ind w:left="720" w:hanging="360"/>
      </w:pPr>
      <w:rPr>
        <w:rFonts w:ascii="Symbol" w:eastAsia="Calibr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1BE6F2D"/>
    <w:multiLevelType w:val="hybridMultilevel"/>
    <w:tmpl w:val="A6F22E6C"/>
    <w:lvl w:ilvl="0" w:tplc="58FC0EC2">
      <w:numFmt w:val="bullet"/>
      <w:lvlText w:val=""/>
      <w:lvlJc w:val="left"/>
      <w:pPr>
        <w:ind w:left="383" w:hanging="361"/>
      </w:pPr>
      <w:rPr>
        <w:rFonts w:ascii="Symbol" w:eastAsia="Symbol" w:hAnsi="Symbol" w:cs="Symbol" w:hint="default"/>
        <w:b w:val="0"/>
        <w:bCs w:val="0"/>
        <w:i w:val="0"/>
        <w:iCs w:val="0"/>
        <w:spacing w:val="0"/>
        <w:w w:val="100"/>
        <w:sz w:val="22"/>
        <w:szCs w:val="22"/>
        <w:lang w:val="en-US" w:eastAsia="en-US" w:bidi="ar-SA"/>
      </w:rPr>
    </w:lvl>
    <w:lvl w:ilvl="1" w:tplc="720E21FE">
      <w:numFmt w:val="bullet"/>
      <w:lvlText w:val="•"/>
      <w:lvlJc w:val="left"/>
      <w:pPr>
        <w:ind w:left="1214" w:hanging="361"/>
      </w:pPr>
      <w:rPr>
        <w:rFonts w:hint="default"/>
        <w:lang w:val="en-US" w:eastAsia="en-US" w:bidi="ar-SA"/>
      </w:rPr>
    </w:lvl>
    <w:lvl w:ilvl="2" w:tplc="548C01A0">
      <w:numFmt w:val="bullet"/>
      <w:lvlText w:val="•"/>
      <w:lvlJc w:val="left"/>
      <w:pPr>
        <w:ind w:left="2047" w:hanging="361"/>
      </w:pPr>
      <w:rPr>
        <w:rFonts w:hint="default"/>
        <w:lang w:val="en-US" w:eastAsia="en-US" w:bidi="ar-SA"/>
      </w:rPr>
    </w:lvl>
    <w:lvl w:ilvl="3" w:tplc="C8B8B0CE">
      <w:numFmt w:val="bullet"/>
      <w:lvlText w:val="•"/>
      <w:lvlJc w:val="left"/>
      <w:pPr>
        <w:ind w:left="2880" w:hanging="361"/>
      </w:pPr>
      <w:rPr>
        <w:rFonts w:hint="default"/>
        <w:lang w:val="en-US" w:eastAsia="en-US" w:bidi="ar-SA"/>
      </w:rPr>
    </w:lvl>
    <w:lvl w:ilvl="4" w:tplc="59162232">
      <w:numFmt w:val="bullet"/>
      <w:lvlText w:val="•"/>
      <w:lvlJc w:val="left"/>
      <w:pPr>
        <w:ind w:left="3713" w:hanging="361"/>
      </w:pPr>
      <w:rPr>
        <w:rFonts w:hint="default"/>
        <w:lang w:val="en-US" w:eastAsia="en-US" w:bidi="ar-SA"/>
      </w:rPr>
    </w:lvl>
    <w:lvl w:ilvl="5" w:tplc="1FBE3376">
      <w:numFmt w:val="bullet"/>
      <w:lvlText w:val="•"/>
      <w:lvlJc w:val="left"/>
      <w:pPr>
        <w:ind w:left="4547" w:hanging="361"/>
      </w:pPr>
      <w:rPr>
        <w:rFonts w:hint="default"/>
        <w:lang w:val="en-US" w:eastAsia="en-US" w:bidi="ar-SA"/>
      </w:rPr>
    </w:lvl>
    <w:lvl w:ilvl="6" w:tplc="AC861652">
      <w:numFmt w:val="bullet"/>
      <w:lvlText w:val="•"/>
      <w:lvlJc w:val="left"/>
      <w:pPr>
        <w:ind w:left="5380" w:hanging="361"/>
      </w:pPr>
      <w:rPr>
        <w:rFonts w:hint="default"/>
        <w:lang w:val="en-US" w:eastAsia="en-US" w:bidi="ar-SA"/>
      </w:rPr>
    </w:lvl>
    <w:lvl w:ilvl="7" w:tplc="9E709672">
      <w:numFmt w:val="bullet"/>
      <w:lvlText w:val="•"/>
      <w:lvlJc w:val="left"/>
      <w:pPr>
        <w:ind w:left="6213" w:hanging="361"/>
      </w:pPr>
      <w:rPr>
        <w:rFonts w:hint="default"/>
        <w:lang w:val="en-US" w:eastAsia="en-US" w:bidi="ar-SA"/>
      </w:rPr>
    </w:lvl>
    <w:lvl w:ilvl="8" w:tplc="295ADD46">
      <w:numFmt w:val="bullet"/>
      <w:lvlText w:val="•"/>
      <w:lvlJc w:val="left"/>
      <w:pPr>
        <w:ind w:left="7046" w:hanging="361"/>
      </w:pPr>
      <w:rPr>
        <w:rFonts w:hint="default"/>
        <w:lang w:val="en-US" w:eastAsia="en-US" w:bidi="ar-SA"/>
      </w:rPr>
    </w:lvl>
  </w:abstractNum>
  <w:abstractNum w:abstractNumId="27" w15:restartNumberingAfterBreak="0">
    <w:nsid w:val="699D0556"/>
    <w:multiLevelType w:val="hybridMultilevel"/>
    <w:tmpl w:val="B226EE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E546EC4"/>
    <w:multiLevelType w:val="hybridMultilevel"/>
    <w:tmpl w:val="99A6DA38"/>
    <w:lvl w:ilvl="0" w:tplc="424247C2">
      <w:start w:val="1"/>
      <w:numFmt w:val="bullet"/>
      <w:pStyle w:val="Calloutboxbullet"/>
      <w:lvlText w:val=""/>
      <w:lvlJc w:val="left"/>
      <w:pPr>
        <w:ind w:left="227" w:hanging="227"/>
      </w:pPr>
      <w:rPr>
        <w:rFonts w:ascii="Wingdings 3" w:hAnsi="Wingdings 3"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DAE4256"/>
    <w:multiLevelType w:val="hybridMultilevel"/>
    <w:tmpl w:val="2B860F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92346165">
    <w:abstractNumId w:val="24"/>
  </w:num>
  <w:num w:numId="2" w16cid:durableId="929197145">
    <w:abstractNumId w:val="28"/>
  </w:num>
  <w:num w:numId="3" w16cid:durableId="1887402546">
    <w:abstractNumId w:val="6"/>
  </w:num>
  <w:num w:numId="4" w16cid:durableId="1694333079">
    <w:abstractNumId w:val="20"/>
  </w:num>
  <w:num w:numId="5" w16cid:durableId="101919117">
    <w:abstractNumId w:val="17"/>
  </w:num>
  <w:num w:numId="6" w16cid:durableId="909854395">
    <w:abstractNumId w:val="9"/>
  </w:num>
  <w:num w:numId="7" w16cid:durableId="1709572430">
    <w:abstractNumId w:val="21"/>
  </w:num>
  <w:num w:numId="8" w16cid:durableId="1317686624">
    <w:abstractNumId w:val="10"/>
  </w:num>
  <w:num w:numId="9" w16cid:durableId="359014096">
    <w:abstractNumId w:val="14"/>
  </w:num>
  <w:num w:numId="10" w16cid:durableId="964769355">
    <w:abstractNumId w:val="3"/>
  </w:num>
  <w:num w:numId="11" w16cid:durableId="1254046831">
    <w:abstractNumId w:val="19"/>
  </w:num>
  <w:num w:numId="12" w16cid:durableId="577128602">
    <w:abstractNumId w:val="29"/>
  </w:num>
  <w:num w:numId="13" w16cid:durableId="770053497">
    <w:abstractNumId w:val="27"/>
  </w:num>
  <w:num w:numId="14" w16cid:durableId="283124142">
    <w:abstractNumId w:val="18"/>
  </w:num>
  <w:num w:numId="15" w16cid:durableId="1129661245">
    <w:abstractNumId w:val="11"/>
  </w:num>
  <w:num w:numId="16" w16cid:durableId="1391153383">
    <w:abstractNumId w:val="0"/>
  </w:num>
  <w:num w:numId="17" w16cid:durableId="588933187">
    <w:abstractNumId w:val="8"/>
  </w:num>
  <w:num w:numId="18" w16cid:durableId="140588063">
    <w:abstractNumId w:val="15"/>
  </w:num>
  <w:num w:numId="19" w16cid:durableId="1220822949">
    <w:abstractNumId w:val="7"/>
  </w:num>
  <w:num w:numId="20" w16cid:durableId="1997294441">
    <w:abstractNumId w:val="22"/>
  </w:num>
  <w:num w:numId="21" w16cid:durableId="1739326587">
    <w:abstractNumId w:val="1"/>
  </w:num>
  <w:num w:numId="22" w16cid:durableId="2028864859">
    <w:abstractNumId w:val="25"/>
  </w:num>
  <w:num w:numId="23" w16cid:durableId="382951351">
    <w:abstractNumId w:val="12"/>
  </w:num>
  <w:num w:numId="24" w16cid:durableId="132798499">
    <w:abstractNumId w:val="26"/>
  </w:num>
  <w:num w:numId="25" w16cid:durableId="507674032">
    <w:abstractNumId w:val="2"/>
  </w:num>
  <w:num w:numId="26" w16cid:durableId="494228920">
    <w:abstractNumId w:val="5"/>
  </w:num>
  <w:num w:numId="27" w16cid:durableId="1402941187">
    <w:abstractNumId w:val="16"/>
  </w:num>
  <w:num w:numId="28" w16cid:durableId="174267939">
    <w:abstractNumId w:val="23"/>
  </w:num>
  <w:num w:numId="29" w16cid:durableId="825585908">
    <w:abstractNumId w:val="13"/>
  </w:num>
  <w:num w:numId="30" w16cid:durableId="16567595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158"/>
    <w:rsid w:val="00000D1C"/>
    <w:rsid w:val="000053AF"/>
    <w:rsid w:val="00005C5B"/>
    <w:rsid w:val="0000618A"/>
    <w:rsid w:val="000078C6"/>
    <w:rsid w:val="00010133"/>
    <w:rsid w:val="00012911"/>
    <w:rsid w:val="00012DFD"/>
    <w:rsid w:val="000139C3"/>
    <w:rsid w:val="0001542B"/>
    <w:rsid w:val="000160A0"/>
    <w:rsid w:val="000168C8"/>
    <w:rsid w:val="0001711A"/>
    <w:rsid w:val="00017E93"/>
    <w:rsid w:val="00020377"/>
    <w:rsid w:val="000207D6"/>
    <w:rsid w:val="000215C1"/>
    <w:rsid w:val="00023590"/>
    <w:rsid w:val="00023F19"/>
    <w:rsid w:val="00025C61"/>
    <w:rsid w:val="00027519"/>
    <w:rsid w:val="00027E0A"/>
    <w:rsid w:val="00030D8D"/>
    <w:rsid w:val="00031ECE"/>
    <w:rsid w:val="00032CCB"/>
    <w:rsid w:val="00033349"/>
    <w:rsid w:val="000337D7"/>
    <w:rsid w:val="00035435"/>
    <w:rsid w:val="00035A8E"/>
    <w:rsid w:val="00035C66"/>
    <w:rsid w:val="00036A78"/>
    <w:rsid w:val="000371E8"/>
    <w:rsid w:val="00037224"/>
    <w:rsid w:val="000418D3"/>
    <w:rsid w:val="00041EBB"/>
    <w:rsid w:val="0004340F"/>
    <w:rsid w:val="00044C73"/>
    <w:rsid w:val="000454BA"/>
    <w:rsid w:val="000474DA"/>
    <w:rsid w:val="00052015"/>
    <w:rsid w:val="0005304E"/>
    <w:rsid w:val="00054C06"/>
    <w:rsid w:val="00054C86"/>
    <w:rsid w:val="00054D7E"/>
    <w:rsid w:val="00056BEF"/>
    <w:rsid w:val="00060639"/>
    <w:rsid w:val="00060FA8"/>
    <w:rsid w:val="000615A6"/>
    <w:rsid w:val="00062B1D"/>
    <w:rsid w:val="00064E2D"/>
    <w:rsid w:val="000659C8"/>
    <w:rsid w:val="00066BBD"/>
    <w:rsid w:val="00066CD5"/>
    <w:rsid w:val="00066EB4"/>
    <w:rsid w:val="00067216"/>
    <w:rsid w:val="000726A1"/>
    <w:rsid w:val="00075995"/>
    <w:rsid w:val="0007683D"/>
    <w:rsid w:val="00081A6B"/>
    <w:rsid w:val="000843D4"/>
    <w:rsid w:val="000857C1"/>
    <w:rsid w:val="0008593D"/>
    <w:rsid w:val="0008662D"/>
    <w:rsid w:val="00086CF6"/>
    <w:rsid w:val="00095226"/>
    <w:rsid w:val="0009575E"/>
    <w:rsid w:val="000964C7"/>
    <w:rsid w:val="0009797F"/>
    <w:rsid w:val="000A0A9E"/>
    <w:rsid w:val="000A143A"/>
    <w:rsid w:val="000A1DF2"/>
    <w:rsid w:val="000A20F5"/>
    <w:rsid w:val="000A42BC"/>
    <w:rsid w:val="000A4D9A"/>
    <w:rsid w:val="000A6CE4"/>
    <w:rsid w:val="000A730C"/>
    <w:rsid w:val="000B0FFF"/>
    <w:rsid w:val="000B3496"/>
    <w:rsid w:val="000B35AD"/>
    <w:rsid w:val="000B36D3"/>
    <w:rsid w:val="000B4358"/>
    <w:rsid w:val="000B4592"/>
    <w:rsid w:val="000B4AA6"/>
    <w:rsid w:val="000B5C40"/>
    <w:rsid w:val="000B5D81"/>
    <w:rsid w:val="000B7944"/>
    <w:rsid w:val="000C0508"/>
    <w:rsid w:val="000C0986"/>
    <w:rsid w:val="000C3BBB"/>
    <w:rsid w:val="000C655E"/>
    <w:rsid w:val="000C7C30"/>
    <w:rsid w:val="000D02BD"/>
    <w:rsid w:val="000D0FC6"/>
    <w:rsid w:val="000D2EC0"/>
    <w:rsid w:val="000D3736"/>
    <w:rsid w:val="000D5BC8"/>
    <w:rsid w:val="000D6DB8"/>
    <w:rsid w:val="000E2431"/>
    <w:rsid w:val="000E2DDE"/>
    <w:rsid w:val="000E4014"/>
    <w:rsid w:val="000E4DE1"/>
    <w:rsid w:val="000E5250"/>
    <w:rsid w:val="000E6C4C"/>
    <w:rsid w:val="000E798B"/>
    <w:rsid w:val="000F0C5B"/>
    <w:rsid w:val="000F152C"/>
    <w:rsid w:val="000F23B8"/>
    <w:rsid w:val="000F317E"/>
    <w:rsid w:val="000F339F"/>
    <w:rsid w:val="000F42B7"/>
    <w:rsid w:val="000F42CC"/>
    <w:rsid w:val="000F4715"/>
    <w:rsid w:val="000F4AE8"/>
    <w:rsid w:val="000F532C"/>
    <w:rsid w:val="000F5435"/>
    <w:rsid w:val="000F740B"/>
    <w:rsid w:val="000F7AC4"/>
    <w:rsid w:val="000F7BE1"/>
    <w:rsid w:val="001003CD"/>
    <w:rsid w:val="00101B2E"/>
    <w:rsid w:val="00101C37"/>
    <w:rsid w:val="0010408F"/>
    <w:rsid w:val="00105462"/>
    <w:rsid w:val="001054F2"/>
    <w:rsid w:val="001061B6"/>
    <w:rsid w:val="00106798"/>
    <w:rsid w:val="0010739D"/>
    <w:rsid w:val="001074A7"/>
    <w:rsid w:val="00111108"/>
    <w:rsid w:val="00111F09"/>
    <w:rsid w:val="00113607"/>
    <w:rsid w:val="00113AB2"/>
    <w:rsid w:val="00114556"/>
    <w:rsid w:val="00114E20"/>
    <w:rsid w:val="00115A51"/>
    <w:rsid w:val="00115E38"/>
    <w:rsid w:val="00116AA9"/>
    <w:rsid w:val="00116CC1"/>
    <w:rsid w:val="001202AB"/>
    <w:rsid w:val="00120422"/>
    <w:rsid w:val="001208DD"/>
    <w:rsid w:val="00120B94"/>
    <w:rsid w:val="00121E92"/>
    <w:rsid w:val="00122D94"/>
    <w:rsid w:val="0012332F"/>
    <w:rsid w:val="00124BB0"/>
    <w:rsid w:val="00126FA3"/>
    <w:rsid w:val="00130475"/>
    <w:rsid w:val="001307FE"/>
    <w:rsid w:val="001308C4"/>
    <w:rsid w:val="00130F55"/>
    <w:rsid w:val="00131B39"/>
    <w:rsid w:val="00134D29"/>
    <w:rsid w:val="001358DA"/>
    <w:rsid w:val="00135B25"/>
    <w:rsid w:val="0013716E"/>
    <w:rsid w:val="00137966"/>
    <w:rsid w:val="001405E5"/>
    <w:rsid w:val="00141A93"/>
    <w:rsid w:val="00142556"/>
    <w:rsid w:val="0014296B"/>
    <w:rsid w:val="00145750"/>
    <w:rsid w:val="00146994"/>
    <w:rsid w:val="001472F7"/>
    <w:rsid w:val="00147AD9"/>
    <w:rsid w:val="00150248"/>
    <w:rsid w:val="001502E1"/>
    <w:rsid w:val="001512A6"/>
    <w:rsid w:val="00151678"/>
    <w:rsid w:val="001519C8"/>
    <w:rsid w:val="00151B4D"/>
    <w:rsid w:val="001524AB"/>
    <w:rsid w:val="001528D0"/>
    <w:rsid w:val="00153A7C"/>
    <w:rsid w:val="001541CD"/>
    <w:rsid w:val="00154588"/>
    <w:rsid w:val="00157FF4"/>
    <w:rsid w:val="001604BF"/>
    <w:rsid w:val="001609EF"/>
    <w:rsid w:val="00162730"/>
    <w:rsid w:val="00165A17"/>
    <w:rsid w:val="0016607A"/>
    <w:rsid w:val="001667DC"/>
    <w:rsid w:val="001668F2"/>
    <w:rsid w:val="00170670"/>
    <w:rsid w:val="00172209"/>
    <w:rsid w:val="00172C3B"/>
    <w:rsid w:val="00173365"/>
    <w:rsid w:val="00173661"/>
    <w:rsid w:val="00174082"/>
    <w:rsid w:val="00175573"/>
    <w:rsid w:val="00175EDD"/>
    <w:rsid w:val="00175FC4"/>
    <w:rsid w:val="00176E7B"/>
    <w:rsid w:val="00176F99"/>
    <w:rsid w:val="00177EFB"/>
    <w:rsid w:val="00181BA3"/>
    <w:rsid w:val="0018209B"/>
    <w:rsid w:val="00182EC4"/>
    <w:rsid w:val="00183250"/>
    <w:rsid w:val="0018399C"/>
    <w:rsid w:val="00184157"/>
    <w:rsid w:val="00184621"/>
    <w:rsid w:val="001869EB"/>
    <w:rsid w:val="0018736F"/>
    <w:rsid w:val="0018771B"/>
    <w:rsid w:val="00192EBE"/>
    <w:rsid w:val="00194116"/>
    <w:rsid w:val="00194290"/>
    <w:rsid w:val="00194447"/>
    <w:rsid w:val="001947D9"/>
    <w:rsid w:val="001953B0"/>
    <w:rsid w:val="00195CD4"/>
    <w:rsid w:val="0019697D"/>
    <w:rsid w:val="001975E5"/>
    <w:rsid w:val="001A1997"/>
    <w:rsid w:val="001A1E45"/>
    <w:rsid w:val="001A3E71"/>
    <w:rsid w:val="001A3ED1"/>
    <w:rsid w:val="001A40FB"/>
    <w:rsid w:val="001A4107"/>
    <w:rsid w:val="001A5BFB"/>
    <w:rsid w:val="001A5C15"/>
    <w:rsid w:val="001A6FE7"/>
    <w:rsid w:val="001A7EF9"/>
    <w:rsid w:val="001B1C7B"/>
    <w:rsid w:val="001B2A6B"/>
    <w:rsid w:val="001B2EF0"/>
    <w:rsid w:val="001B674C"/>
    <w:rsid w:val="001C0511"/>
    <w:rsid w:val="001C08C1"/>
    <w:rsid w:val="001C1413"/>
    <w:rsid w:val="001C1B5D"/>
    <w:rsid w:val="001C1C6A"/>
    <w:rsid w:val="001C5043"/>
    <w:rsid w:val="001C5709"/>
    <w:rsid w:val="001C7E8E"/>
    <w:rsid w:val="001D04FE"/>
    <w:rsid w:val="001D1C45"/>
    <w:rsid w:val="001D29CF"/>
    <w:rsid w:val="001D4F67"/>
    <w:rsid w:val="001D6592"/>
    <w:rsid w:val="001D7260"/>
    <w:rsid w:val="001D7E55"/>
    <w:rsid w:val="001D7EEA"/>
    <w:rsid w:val="001E01C5"/>
    <w:rsid w:val="001E1008"/>
    <w:rsid w:val="001E2285"/>
    <w:rsid w:val="001E2912"/>
    <w:rsid w:val="001E3445"/>
    <w:rsid w:val="001E3455"/>
    <w:rsid w:val="001E3E05"/>
    <w:rsid w:val="001E56B2"/>
    <w:rsid w:val="001E5D24"/>
    <w:rsid w:val="001E7F6D"/>
    <w:rsid w:val="001F2D19"/>
    <w:rsid w:val="001F37A1"/>
    <w:rsid w:val="001F5251"/>
    <w:rsid w:val="001F5AB2"/>
    <w:rsid w:val="002002DE"/>
    <w:rsid w:val="0020067D"/>
    <w:rsid w:val="002008E1"/>
    <w:rsid w:val="00202979"/>
    <w:rsid w:val="00203C5C"/>
    <w:rsid w:val="002057A1"/>
    <w:rsid w:val="00205D4A"/>
    <w:rsid w:val="002060DD"/>
    <w:rsid w:val="002069F7"/>
    <w:rsid w:val="00206AA8"/>
    <w:rsid w:val="0020795C"/>
    <w:rsid w:val="002079AE"/>
    <w:rsid w:val="00207BC5"/>
    <w:rsid w:val="00210145"/>
    <w:rsid w:val="0021124E"/>
    <w:rsid w:val="00213D05"/>
    <w:rsid w:val="002155F0"/>
    <w:rsid w:val="0021687E"/>
    <w:rsid w:val="002178B4"/>
    <w:rsid w:val="00221C50"/>
    <w:rsid w:val="00223457"/>
    <w:rsid w:val="0022415B"/>
    <w:rsid w:val="0022501E"/>
    <w:rsid w:val="00225237"/>
    <w:rsid w:val="00225C83"/>
    <w:rsid w:val="00225ED6"/>
    <w:rsid w:val="002263A6"/>
    <w:rsid w:val="00226631"/>
    <w:rsid w:val="002305F5"/>
    <w:rsid w:val="00231BC4"/>
    <w:rsid w:val="002341D2"/>
    <w:rsid w:val="00234FBB"/>
    <w:rsid w:val="00235C7F"/>
    <w:rsid w:val="00237595"/>
    <w:rsid w:val="00240BC4"/>
    <w:rsid w:val="00240F90"/>
    <w:rsid w:val="00241EFA"/>
    <w:rsid w:val="002433E7"/>
    <w:rsid w:val="002444D2"/>
    <w:rsid w:val="002449BD"/>
    <w:rsid w:val="00246F70"/>
    <w:rsid w:val="00250541"/>
    <w:rsid w:val="00250A5D"/>
    <w:rsid w:val="0025125E"/>
    <w:rsid w:val="002524BB"/>
    <w:rsid w:val="00260395"/>
    <w:rsid w:val="002625B8"/>
    <w:rsid w:val="002629B8"/>
    <w:rsid w:val="00265529"/>
    <w:rsid w:val="00266F30"/>
    <w:rsid w:val="002679B2"/>
    <w:rsid w:val="00267AF9"/>
    <w:rsid w:val="0027284E"/>
    <w:rsid w:val="002733FC"/>
    <w:rsid w:val="00273CF6"/>
    <w:rsid w:val="002746A6"/>
    <w:rsid w:val="00276FA4"/>
    <w:rsid w:val="00277451"/>
    <w:rsid w:val="00280B2B"/>
    <w:rsid w:val="00281AFC"/>
    <w:rsid w:val="00282835"/>
    <w:rsid w:val="00282A24"/>
    <w:rsid w:val="00282A52"/>
    <w:rsid w:val="00284171"/>
    <w:rsid w:val="0028457C"/>
    <w:rsid w:val="00284AEB"/>
    <w:rsid w:val="00284C4A"/>
    <w:rsid w:val="00284DED"/>
    <w:rsid w:val="00285C29"/>
    <w:rsid w:val="002864BD"/>
    <w:rsid w:val="0028732F"/>
    <w:rsid w:val="00291564"/>
    <w:rsid w:val="00293D88"/>
    <w:rsid w:val="00294406"/>
    <w:rsid w:val="0029468B"/>
    <w:rsid w:val="0029555C"/>
    <w:rsid w:val="0029556E"/>
    <w:rsid w:val="00297624"/>
    <w:rsid w:val="002A0B60"/>
    <w:rsid w:val="002A0C11"/>
    <w:rsid w:val="002A16B1"/>
    <w:rsid w:val="002A3A97"/>
    <w:rsid w:val="002A46C7"/>
    <w:rsid w:val="002A6AF3"/>
    <w:rsid w:val="002A75D5"/>
    <w:rsid w:val="002B0960"/>
    <w:rsid w:val="002B1E21"/>
    <w:rsid w:val="002B3370"/>
    <w:rsid w:val="002B3808"/>
    <w:rsid w:val="002B399F"/>
    <w:rsid w:val="002B51F3"/>
    <w:rsid w:val="002C1604"/>
    <w:rsid w:val="002C2326"/>
    <w:rsid w:val="002C2FD3"/>
    <w:rsid w:val="002C46C4"/>
    <w:rsid w:val="002C492B"/>
    <w:rsid w:val="002C4E3B"/>
    <w:rsid w:val="002C5B3A"/>
    <w:rsid w:val="002C766D"/>
    <w:rsid w:val="002D306F"/>
    <w:rsid w:val="002D3A3A"/>
    <w:rsid w:val="002D3A6F"/>
    <w:rsid w:val="002D4869"/>
    <w:rsid w:val="002D5D79"/>
    <w:rsid w:val="002D6452"/>
    <w:rsid w:val="002E07F5"/>
    <w:rsid w:val="002E1264"/>
    <w:rsid w:val="002E27AD"/>
    <w:rsid w:val="002E6198"/>
    <w:rsid w:val="002F002F"/>
    <w:rsid w:val="002F05BC"/>
    <w:rsid w:val="002F2C0A"/>
    <w:rsid w:val="002F3111"/>
    <w:rsid w:val="002F4281"/>
    <w:rsid w:val="002F6665"/>
    <w:rsid w:val="002F66A3"/>
    <w:rsid w:val="002F6EE4"/>
    <w:rsid w:val="00300319"/>
    <w:rsid w:val="00302CC2"/>
    <w:rsid w:val="00303B5A"/>
    <w:rsid w:val="00303CE1"/>
    <w:rsid w:val="0030497A"/>
    <w:rsid w:val="00304B6B"/>
    <w:rsid w:val="003055A5"/>
    <w:rsid w:val="0030635F"/>
    <w:rsid w:val="00306530"/>
    <w:rsid w:val="00306F90"/>
    <w:rsid w:val="00307221"/>
    <w:rsid w:val="0031010C"/>
    <w:rsid w:val="003123FD"/>
    <w:rsid w:val="00314F7B"/>
    <w:rsid w:val="003159A6"/>
    <w:rsid w:val="00315AB2"/>
    <w:rsid w:val="003162F1"/>
    <w:rsid w:val="00317CFE"/>
    <w:rsid w:val="0032052B"/>
    <w:rsid w:val="003208F2"/>
    <w:rsid w:val="003220FE"/>
    <w:rsid w:val="00323271"/>
    <w:rsid w:val="00323E6F"/>
    <w:rsid w:val="003250E2"/>
    <w:rsid w:val="00325F06"/>
    <w:rsid w:val="00325F46"/>
    <w:rsid w:val="00330E0D"/>
    <w:rsid w:val="003328A2"/>
    <w:rsid w:val="003339EB"/>
    <w:rsid w:val="0033685C"/>
    <w:rsid w:val="0034196A"/>
    <w:rsid w:val="00343015"/>
    <w:rsid w:val="00343962"/>
    <w:rsid w:val="00346676"/>
    <w:rsid w:val="00347CF8"/>
    <w:rsid w:val="0035080A"/>
    <w:rsid w:val="0035095F"/>
    <w:rsid w:val="00351644"/>
    <w:rsid w:val="00351868"/>
    <w:rsid w:val="00352423"/>
    <w:rsid w:val="003524CE"/>
    <w:rsid w:val="00352AC1"/>
    <w:rsid w:val="00353101"/>
    <w:rsid w:val="0035422F"/>
    <w:rsid w:val="003556AD"/>
    <w:rsid w:val="00355B3D"/>
    <w:rsid w:val="00355C7B"/>
    <w:rsid w:val="00356B7A"/>
    <w:rsid w:val="00361057"/>
    <w:rsid w:val="00362CE5"/>
    <w:rsid w:val="00362D96"/>
    <w:rsid w:val="00364F62"/>
    <w:rsid w:val="00365961"/>
    <w:rsid w:val="00366EB3"/>
    <w:rsid w:val="0036721A"/>
    <w:rsid w:val="00367575"/>
    <w:rsid w:val="00367615"/>
    <w:rsid w:val="00370033"/>
    <w:rsid w:val="00371ED2"/>
    <w:rsid w:val="00371F27"/>
    <w:rsid w:val="00371F58"/>
    <w:rsid w:val="003760AB"/>
    <w:rsid w:val="00377D32"/>
    <w:rsid w:val="0038125B"/>
    <w:rsid w:val="00382826"/>
    <w:rsid w:val="00382913"/>
    <w:rsid w:val="00383CB9"/>
    <w:rsid w:val="00383EDB"/>
    <w:rsid w:val="00384464"/>
    <w:rsid w:val="00385121"/>
    <w:rsid w:val="0038635F"/>
    <w:rsid w:val="0038647B"/>
    <w:rsid w:val="00387853"/>
    <w:rsid w:val="003878AA"/>
    <w:rsid w:val="003905C6"/>
    <w:rsid w:val="00391039"/>
    <w:rsid w:val="0039109C"/>
    <w:rsid w:val="00392245"/>
    <w:rsid w:val="00392F7B"/>
    <w:rsid w:val="00394E8A"/>
    <w:rsid w:val="003958C2"/>
    <w:rsid w:val="0039772C"/>
    <w:rsid w:val="00397944"/>
    <w:rsid w:val="003A0F58"/>
    <w:rsid w:val="003A12DF"/>
    <w:rsid w:val="003A1E71"/>
    <w:rsid w:val="003A1F38"/>
    <w:rsid w:val="003A27EC"/>
    <w:rsid w:val="003A3D07"/>
    <w:rsid w:val="003A5910"/>
    <w:rsid w:val="003A6BE6"/>
    <w:rsid w:val="003A780C"/>
    <w:rsid w:val="003B59AF"/>
    <w:rsid w:val="003B602A"/>
    <w:rsid w:val="003C1579"/>
    <w:rsid w:val="003C191F"/>
    <w:rsid w:val="003C19AC"/>
    <w:rsid w:val="003C1C1A"/>
    <w:rsid w:val="003C3487"/>
    <w:rsid w:val="003C36E9"/>
    <w:rsid w:val="003C37EF"/>
    <w:rsid w:val="003C3C8A"/>
    <w:rsid w:val="003C3FE5"/>
    <w:rsid w:val="003C5044"/>
    <w:rsid w:val="003C5850"/>
    <w:rsid w:val="003C6646"/>
    <w:rsid w:val="003C7018"/>
    <w:rsid w:val="003D0871"/>
    <w:rsid w:val="003D1B16"/>
    <w:rsid w:val="003D20F2"/>
    <w:rsid w:val="003D3223"/>
    <w:rsid w:val="003D4A54"/>
    <w:rsid w:val="003D5CAD"/>
    <w:rsid w:val="003D60FE"/>
    <w:rsid w:val="003E0D4A"/>
    <w:rsid w:val="003E2D93"/>
    <w:rsid w:val="003E6C3C"/>
    <w:rsid w:val="003E7048"/>
    <w:rsid w:val="003F169B"/>
    <w:rsid w:val="003F2C6A"/>
    <w:rsid w:val="003F4A7E"/>
    <w:rsid w:val="003F4B69"/>
    <w:rsid w:val="003F5046"/>
    <w:rsid w:val="003F5774"/>
    <w:rsid w:val="003F58E9"/>
    <w:rsid w:val="003F7AFD"/>
    <w:rsid w:val="00401F20"/>
    <w:rsid w:val="00403028"/>
    <w:rsid w:val="004038EC"/>
    <w:rsid w:val="00407709"/>
    <w:rsid w:val="004078F4"/>
    <w:rsid w:val="0041105A"/>
    <w:rsid w:val="00411D1D"/>
    <w:rsid w:val="00412CD6"/>
    <w:rsid w:val="00414669"/>
    <w:rsid w:val="00414DA0"/>
    <w:rsid w:val="00415A51"/>
    <w:rsid w:val="00415FCD"/>
    <w:rsid w:val="0042071A"/>
    <w:rsid w:val="004211F6"/>
    <w:rsid w:val="00421AA3"/>
    <w:rsid w:val="004232F0"/>
    <w:rsid w:val="004239FF"/>
    <w:rsid w:val="00427776"/>
    <w:rsid w:val="004324F3"/>
    <w:rsid w:val="00432FC7"/>
    <w:rsid w:val="0043562B"/>
    <w:rsid w:val="00435D22"/>
    <w:rsid w:val="00436A58"/>
    <w:rsid w:val="00440965"/>
    <w:rsid w:val="00441581"/>
    <w:rsid w:val="004418BB"/>
    <w:rsid w:val="00442C76"/>
    <w:rsid w:val="004445D1"/>
    <w:rsid w:val="004458BB"/>
    <w:rsid w:val="0044794C"/>
    <w:rsid w:val="00451C91"/>
    <w:rsid w:val="004527CF"/>
    <w:rsid w:val="004533F2"/>
    <w:rsid w:val="004548C0"/>
    <w:rsid w:val="00454D79"/>
    <w:rsid w:val="00456274"/>
    <w:rsid w:val="00460F79"/>
    <w:rsid w:val="0046473E"/>
    <w:rsid w:val="0046673C"/>
    <w:rsid w:val="00466FBA"/>
    <w:rsid w:val="00467C53"/>
    <w:rsid w:val="00467CB2"/>
    <w:rsid w:val="004708AB"/>
    <w:rsid w:val="00471186"/>
    <w:rsid w:val="004719EA"/>
    <w:rsid w:val="004731B8"/>
    <w:rsid w:val="00473A24"/>
    <w:rsid w:val="00473C25"/>
    <w:rsid w:val="00474C63"/>
    <w:rsid w:val="00475765"/>
    <w:rsid w:val="00475963"/>
    <w:rsid w:val="00475B29"/>
    <w:rsid w:val="0047629A"/>
    <w:rsid w:val="0047735B"/>
    <w:rsid w:val="00477527"/>
    <w:rsid w:val="00481047"/>
    <w:rsid w:val="0048146D"/>
    <w:rsid w:val="00481B72"/>
    <w:rsid w:val="00481DC1"/>
    <w:rsid w:val="00483AF6"/>
    <w:rsid w:val="00485239"/>
    <w:rsid w:val="00485DEB"/>
    <w:rsid w:val="00487EA0"/>
    <w:rsid w:val="00487EB7"/>
    <w:rsid w:val="00491A0A"/>
    <w:rsid w:val="00492ED7"/>
    <w:rsid w:val="00494611"/>
    <w:rsid w:val="00494865"/>
    <w:rsid w:val="00494B5D"/>
    <w:rsid w:val="00497236"/>
    <w:rsid w:val="0049788F"/>
    <w:rsid w:val="00497ACB"/>
    <w:rsid w:val="00497DAA"/>
    <w:rsid w:val="004A0CE8"/>
    <w:rsid w:val="004A1718"/>
    <w:rsid w:val="004A194A"/>
    <w:rsid w:val="004A2E94"/>
    <w:rsid w:val="004A2EEC"/>
    <w:rsid w:val="004A3434"/>
    <w:rsid w:val="004A360E"/>
    <w:rsid w:val="004A3B28"/>
    <w:rsid w:val="004A69B7"/>
    <w:rsid w:val="004B0D09"/>
    <w:rsid w:val="004B1DBB"/>
    <w:rsid w:val="004B241F"/>
    <w:rsid w:val="004B2C62"/>
    <w:rsid w:val="004B2DB3"/>
    <w:rsid w:val="004B53A0"/>
    <w:rsid w:val="004B5928"/>
    <w:rsid w:val="004B6CF8"/>
    <w:rsid w:val="004B6F06"/>
    <w:rsid w:val="004B7ACD"/>
    <w:rsid w:val="004C0278"/>
    <w:rsid w:val="004C060D"/>
    <w:rsid w:val="004C1EC8"/>
    <w:rsid w:val="004C2FCE"/>
    <w:rsid w:val="004C2FEF"/>
    <w:rsid w:val="004C3225"/>
    <w:rsid w:val="004C3BCC"/>
    <w:rsid w:val="004C3F5D"/>
    <w:rsid w:val="004C52FE"/>
    <w:rsid w:val="004C5A1C"/>
    <w:rsid w:val="004C5FC6"/>
    <w:rsid w:val="004C6099"/>
    <w:rsid w:val="004C7687"/>
    <w:rsid w:val="004C79BC"/>
    <w:rsid w:val="004C7C0F"/>
    <w:rsid w:val="004C7C31"/>
    <w:rsid w:val="004D00EB"/>
    <w:rsid w:val="004D148F"/>
    <w:rsid w:val="004D2F20"/>
    <w:rsid w:val="004D347D"/>
    <w:rsid w:val="004D3715"/>
    <w:rsid w:val="004D4844"/>
    <w:rsid w:val="004D5688"/>
    <w:rsid w:val="004D5CFF"/>
    <w:rsid w:val="004D6004"/>
    <w:rsid w:val="004D65D7"/>
    <w:rsid w:val="004D6F22"/>
    <w:rsid w:val="004D7639"/>
    <w:rsid w:val="004E06F0"/>
    <w:rsid w:val="004E2DC3"/>
    <w:rsid w:val="004E338B"/>
    <w:rsid w:val="004E4584"/>
    <w:rsid w:val="004E48C3"/>
    <w:rsid w:val="004E5362"/>
    <w:rsid w:val="004E6BF3"/>
    <w:rsid w:val="004E7076"/>
    <w:rsid w:val="004F0910"/>
    <w:rsid w:val="004F324B"/>
    <w:rsid w:val="004F3F7A"/>
    <w:rsid w:val="004F3FD6"/>
    <w:rsid w:val="004F50D8"/>
    <w:rsid w:val="004F6C9D"/>
    <w:rsid w:val="004F7C63"/>
    <w:rsid w:val="004F7DFF"/>
    <w:rsid w:val="00500687"/>
    <w:rsid w:val="00500917"/>
    <w:rsid w:val="00500A01"/>
    <w:rsid w:val="00500DC3"/>
    <w:rsid w:val="00501D89"/>
    <w:rsid w:val="00505C2C"/>
    <w:rsid w:val="00510AC3"/>
    <w:rsid w:val="00510C8F"/>
    <w:rsid w:val="00511BFB"/>
    <w:rsid w:val="005136E0"/>
    <w:rsid w:val="0051378A"/>
    <w:rsid w:val="00514F96"/>
    <w:rsid w:val="005168FC"/>
    <w:rsid w:val="00516DF7"/>
    <w:rsid w:val="00521EC1"/>
    <w:rsid w:val="00522562"/>
    <w:rsid w:val="005241B5"/>
    <w:rsid w:val="00525034"/>
    <w:rsid w:val="00525452"/>
    <w:rsid w:val="0052673A"/>
    <w:rsid w:val="00526E19"/>
    <w:rsid w:val="00527527"/>
    <w:rsid w:val="0052781E"/>
    <w:rsid w:val="00530273"/>
    <w:rsid w:val="00530607"/>
    <w:rsid w:val="00531281"/>
    <w:rsid w:val="00533D9F"/>
    <w:rsid w:val="00536461"/>
    <w:rsid w:val="00537F78"/>
    <w:rsid w:val="0054087A"/>
    <w:rsid w:val="0054194A"/>
    <w:rsid w:val="0054197B"/>
    <w:rsid w:val="00542B7D"/>
    <w:rsid w:val="0054596B"/>
    <w:rsid w:val="0054596D"/>
    <w:rsid w:val="005460D7"/>
    <w:rsid w:val="00547B89"/>
    <w:rsid w:val="00547CB0"/>
    <w:rsid w:val="00547F20"/>
    <w:rsid w:val="00550AF9"/>
    <w:rsid w:val="00550E77"/>
    <w:rsid w:val="00551A16"/>
    <w:rsid w:val="00553513"/>
    <w:rsid w:val="0055392E"/>
    <w:rsid w:val="00553D0C"/>
    <w:rsid w:val="00554024"/>
    <w:rsid w:val="00554AA2"/>
    <w:rsid w:val="00557E49"/>
    <w:rsid w:val="0056196D"/>
    <w:rsid w:val="005619B5"/>
    <w:rsid w:val="0056315F"/>
    <w:rsid w:val="00563418"/>
    <w:rsid w:val="0056545E"/>
    <w:rsid w:val="00565E67"/>
    <w:rsid w:val="0056615B"/>
    <w:rsid w:val="00566251"/>
    <w:rsid w:val="00567252"/>
    <w:rsid w:val="00571A49"/>
    <w:rsid w:val="0057304F"/>
    <w:rsid w:val="005733FD"/>
    <w:rsid w:val="00573E5B"/>
    <w:rsid w:val="005746AC"/>
    <w:rsid w:val="0057602D"/>
    <w:rsid w:val="00577301"/>
    <w:rsid w:val="0057754E"/>
    <w:rsid w:val="00580AB5"/>
    <w:rsid w:val="00581110"/>
    <w:rsid w:val="0058160A"/>
    <w:rsid w:val="005824FF"/>
    <w:rsid w:val="005839DF"/>
    <w:rsid w:val="00583D28"/>
    <w:rsid w:val="00583E24"/>
    <w:rsid w:val="005848F6"/>
    <w:rsid w:val="00584967"/>
    <w:rsid w:val="00584B9B"/>
    <w:rsid w:val="00584E17"/>
    <w:rsid w:val="00586595"/>
    <w:rsid w:val="00586B89"/>
    <w:rsid w:val="005870E2"/>
    <w:rsid w:val="00587CBE"/>
    <w:rsid w:val="00591252"/>
    <w:rsid w:val="0059247B"/>
    <w:rsid w:val="00593560"/>
    <w:rsid w:val="00593606"/>
    <w:rsid w:val="0059390F"/>
    <w:rsid w:val="00593E8C"/>
    <w:rsid w:val="005942F1"/>
    <w:rsid w:val="005959FC"/>
    <w:rsid w:val="00595D53"/>
    <w:rsid w:val="00596C61"/>
    <w:rsid w:val="00596D98"/>
    <w:rsid w:val="005A103F"/>
    <w:rsid w:val="005A2834"/>
    <w:rsid w:val="005A2C8B"/>
    <w:rsid w:val="005A4BD9"/>
    <w:rsid w:val="005A4F83"/>
    <w:rsid w:val="005A556B"/>
    <w:rsid w:val="005A602E"/>
    <w:rsid w:val="005B05EB"/>
    <w:rsid w:val="005B1637"/>
    <w:rsid w:val="005B3BCD"/>
    <w:rsid w:val="005B4613"/>
    <w:rsid w:val="005B5DFC"/>
    <w:rsid w:val="005B6B47"/>
    <w:rsid w:val="005B6BDC"/>
    <w:rsid w:val="005B7BD9"/>
    <w:rsid w:val="005C00DE"/>
    <w:rsid w:val="005C092F"/>
    <w:rsid w:val="005C0AA7"/>
    <w:rsid w:val="005C0D54"/>
    <w:rsid w:val="005C1074"/>
    <w:rsid w:val="005C3211"/>
    <w:rsid w:val="005C53BE"/>
    <w:rsid w:val="005C5A68"/>
    <w:rsid w:val="005C6390"/>
    <w:rsid w:val="005C6492"/>
    <w:rsid w:val="005C6D0C"/>
    <w:rsid w:val="005C6EBD"/>
    <w:rsid w:val="005C7222"/>
    <w:rsid w:val="005C752F"/>
    <w:rsid w:val="005D1439"/>
    <w:rsid w:val="005D16C7"/>
    <w:rsid w:val="005D1968"/>
    <w:rsid w:val="005D2E44"/>
    <w:rsid w:val="005D5327"/>
    <w:rsid w:val="005D63DF"/>
    <w:rsid w:val="005D6605"/>
    <w:rsid w:val="005D6A66"/>
    <w:rsid w:val="005E0121"/>
    <w:rsid w:val="005E1392"/>
    <w:rsid w:val="005E2DEB"/>
    <w:rsid w:val="005E3B50"/>
    <w:rsid w:val="005E5158"/>
    <w:rsid w:val="005E7621"/>
    <w:rsid w:val="005F0944"/>
    <w:rsid w:val="005F18F0"/>
    <w:rsid w:val="005F39C2"/>
    <w:rsid w:val="005F696C"/>
    <w:rsid w:val="005F7CB4"/>
    <w:rsid w:val="006008A5"/>
    <w:rsid w:val="00602EE4"/>
    <w:rsid w:val="00603B5A"/>
    <w:rsid w:val="00604805"/>
    <w:rsid w:val="00607A9F"/>
    <w:rsid w:val="006101E8"/>
    <w:rsid w:val="0061079B"/>
    <w:rsid w:val="006120E5"/>
    <w:rsid w:val="00613B99"/>
    <w:rsid w:val="0061648F"/>
    <w:rsid w:val="00616B5F"/>
    <w:rsid w:val="00616F85"/>
    <w:rsid w:val="00617682"/>
    <w:rsid w:val="006204B3"/>
    <w:rsid w:val="006204FE"/>
    <w:rsid w:val="00620C2C"/>
    <w:rsid w:val="00621699"/>
    <w:rsid w:val="00623277"/>
    <w:rsid w:val="00623B8F"/>
    <w:rsid w:val="006248A3"/>
    <w:rsid w:val="006253E4"/>
    <w:rsid w:val="00625687"/>
    <w:rsid w:val="00625AFE"/>
    <w:rsid w:val="006302CF"/>
    <w:rsid w:val="00630C95"/>
    <w:rsid w:val="0063148D"/>
    <w:rsid w:val="00631BCE"/>
    <w:rsid w:val="00632C85"/>
    <w:rsid w:val="006339C6"/>
    <w:rsid w:val="00634902"/>
    <w:rsid w:val="00634BCE"/>
    <w:rsid w:val="006379D3"/>
    <w:rsid w:val="00640596"/>
    <w:rsid w:val="0064210E"/>
    <w:rsid w:val="006432C3"/>
    <w:rsid w:val="0064530C"/>
    <w:rsid w:val="00650906"/>
    <w:rsid w:val="00651A67"/>
    <w:rsid w:val="006540D0"/>
    <w:rsid w:val="00654520"/>
    <w:rsid w:val="006554B3"/>
    <w:rsid w:val="00655AE7"/>
    <w:rsid w:val="006569D5"/>
    <w:rsid w:val="00657650"/>
    <w:rsid w:val="00660598"/>
    <w:rsid w:val="00661AF2"/>
    <w:rsid w:val="006621F9"/>
    <w:rsid w:val="0066422B"/>
    <w:rsid w:val="006648DB"/>
    <w:rsid w:val="0066543B"/>
    <w:rsid w:val="0066549B"/>
    <w:rsid w:val="00665B9E"/>
    <w:rsid w:val="00665C93"/>
    <w:rsid w:val="0067108F"/>
    <w:rsid w:val="00671A97"/>
    <w:rsid w:val="00674139"/>
    <w:rsid w:val="0067470F"/>
    <w:rsid w:val="00674E84"/>
    <w:rsid w:val="006755B9"/>
    <w:rsid w:val="00675856"/>
    <w:rsid w:val="00676511"/>
    <w:rsid w:val="0067697F"/>
    <w:rsid w:val="0068246C"/>
    <w:rsid w:val="00682A7F"/>
    <w:rsid w:val="006843DD"/>
    <w:rsid w:val="0068658F"/>
    <w:rsid w:val="0069135A"/>
    <w:rsid w:val="00691368"/>
    <w:rsid w:val="00691636"/>
    <w:rsid w:val="00691F0E"/>
    <w:rsid w:val="00692314"/>
    <w:rsid w:val="00692605"/>
    <w:rsid w:val="00693A16"/>
    <w:rsid w:val="00693A39"/>
    <w:rsid w:val="00693D63"/>
    <w:rsid w:val="00694000"/>
    <w:rsid w:val="00695ACC"/>
    <w:rsid w:val="00695B64"/>
    <w:rsid w:val="00697AE3"/>
    <w:rsid w:val="006A0575"/>
    <w:rsid w:val="006A23F4"/>
    <w:rsid w:val="006A4E92"/>
    <w:rsid w:val="006A6344"/>
    <w:rsid w:val="006A7B00"/>
    <w:rsid w:val="006A7BFC"/>
    <w:rsid w:val="006A7F0B"/>
    <w:rsid w:val="006A7FC7"/>
    <w:rsid w:val="006B2EBA"/>
    <w:rsid w:val="006B3D04"/>
    <w:rsid w:val="006B5BDD"/>
    <w:rsid w:val="006B69E1"/>
    <w:rsid w:val="006C1CE5"/>
    <w:rsid w:val="006C38D1"/>
    <w:rsid w:val="006C3B3C"/>
    <w:rsid w:val="006C4077"/>
    <w:rsid w:val="006C434B"/>
    <w:rsid w:val="006C4412"/>
    <w:rsid w:val="006C58EA"/>
    <w:rsid w:val="006C7B42"/>
    <w:rsid w:val="006D061E"/>
    <w:rsid w:val="006D0EE3"/>
    <w:rsid w:val="006D19D3"/>
    <w:rsid w:val="006D35BA"/>
    <w:rsid w:val="006D37E1"/>
    <w:rsid w:val="006D4457"/>
    <w:rsid w:val="006D4761"/>
    <w:rsid w:val="006E00FE"/>
    <w:rsid w:val="006E0646"/>
    <w:rsid w:val="006E18E8"/>
    <w:rsid w:val="006E2EC2"/>
    <w:rsid w:val="006E50E1"/>
    <w:rsid w:val="006E54E5"/>
    <w:rsid w:val="006E5C6B"/>
    <w:rsid w:val="006E7685"/>
    <w:rsid w:val="006F0CE9"/>
    <w:rsid w:val="006F1978"/>
    <w:rsid w:val="006F299A"/>
    <w:rsid w:val="006F3890"/>
    <w:rsid w:val="006F4B82"/>
    <w:rsid w:val="006F653C"/>
    <w:rsid w:val="006F6A14"/>
    <w:rsid w:val="006F76C5"/>
    <w:rsid w:val="007009AF"/>
    <w:rsid w:val="00700CD7"/>
    <w:rsid w:val="00700DA9"/>
    <w:rsid w:val="007033A7"/>
    <w:rsid w:val="007056D5"/>
    <w:rsid w:val="00705793"/>
    <w:rsid w:val="007068B4"/>
    <w:rsid w:val="00707132"/>
    <w:rsid w:val="00707C72"/>
    <w:rsid w:val="007101F7"/>
    <w:rsid w:val="0071056A"/>
    <w:rsid w:val="00711A42"/>
    <w:rsid w:val="007135B2"/>
    <w:rsid w:val="007142A7"/>
    <w:rsid w:val="0071468A"/>
    <w:rsid w:val="007149AD"/>
    <w:rsid w:val="00717736"/>
    <w:rsid w:val="00717CD0"/>
    <w:rsid w:val="00724948"/>
    <w:rsid w:val="00725E77"/>
    <w:rsid w:val="00727F06"/>
    <w:rsid w:val="00731490"/>
    <w:rsid w:val="0073371C"/>
    <w:rsid w:val="0073636B"/>
    <w:rsid w:val="0073685D"/>
    <w:rsid w:val="00736B21"/>
    <w:rsid w:val="00737A63"/>
    <w:rsid w:val="00740717"/>
    <w:rsid w:val="00744E53"/>
    <w:rsid w:val="007467A5"/>
    <w:rsid w:val="0074687F"/>
    <w:rsid w:val="007470E9"/>
    <w:rsid w:val="0074754E"/>
    <w:rsid w:val="0074789C"/>
    <w:rsid w:val="007509B7"/>
    <w:rsid w:val="00751174"/>
    <w:rsid w:val="007537D9"/>
    <w:rsid w:val="00753DBF"/>
    <w:rsid w:val="00755437"/>
    <w:rsid w:val="007556DD"/>
    <w:rsid w:val="0075577D"/>
    <w:rsid w:val="007574F8"/>
    <w:rsid w:val="00757631"/>
    <w:rsid w:val="007602B6"/>
    <w:rsid w:val="007606B8"/>
    <w:rsid w:val="007616CB"/>
    <w:rsid w:val="007622C5"/>
    <w:rsid w:val="0076382F"/>
    <w:rsid w:val="00763C0B"/>
    <w:rsid w:val="00763F88"/>
    <w:rsid w:val="00772193"/>
    <w:rsid w:val="00772481"/>
    <w:rsid w:val="00773436"/>
    <w:rsid w:val="007740A7"/>
    <w:rsid w:val="007804BA"/>
    <w:rsid w:val="00780AB2"/>
    <w:rsid w:val="00785B7C"/>
    <w:rsid w:val="00786EB3"/>
    <w:rsid w:val="00787A05"/>
    <w:rsid w:val="00787E5E"/>
    <w:rsid w:val="00787E90"/>
    <w:rsid w:val="00793F9B"/>
    <w:rsid w:val="00797E5D"/>
    <w:rsid w:val="007A1D26"/>
    <w:rsid w:val="007A258D"/>
    <w:rsid w:val="007A3982"/>
    <w:rsid w:val="007A48B5"/>
    <w:rsid w:val="007A79C4"/>
    <w:rsid w:val="007B029E"/>
    <w:rsid w:val="007B2AFF"/>
    <w:rsid w:val="007B2FC4"/>
    <w:rsid w:val="007B3CDE"/>
    <w:rsid w:val="007B3D5C"/>
    <w:rsid w:val="007B4BF9"/>
    <w:rsid w:val="007B5082"/>
    <w:rsid w:val="007B509F"/>
    <w:rsid w:val="007B51C0"/>
    <w:rsid w:val="007B6108"/>
    <w:rsid w:val="007B76AA"/>
    <w:rsid w:val="007C1103"/>
    <w:rsid w:val="007C1EEE"/>
    <w:rsid w:val="007C2522"/>
    <w:rsid w:val="007C2DBB"/>
    <w:rsid w:val="007C5653"/>
    <w:rsid w:val="007C640B"/>
    <w:rsid w:val="007C6A0C"/>
    <w:rsid w:val="007C6ED1"/>
    <w:rsid w:val="007C7CE8"/>
    <w:rsid w:val="007D0F23"/>
    <w:rsid w:val="007D138A"/>
    <w:rsid w:val="007D1660"/>
    <w:rsid w:val="007D18C9"/>
    <w:rsid w:val="007D3A35"/>
    <w:rsid w:val="007D45A2"/>
    <w:rsid w:val="007D4E1C"/>
    <w:rsid w:val="007D5F9C"/>
    <w:rsid w:val="007D6094"/>
    <w:rsid w:val="007D6567"/>
    <w:rsid w:val="007D65C2"/>
    <w:rsid w:val="007D6EA2"/>
    <w:rsid w:val="007D7B11"/>
    <w:rsid w:val="007D7CE4"/>
    <w:rsid w:val="007E0311"/>
    <w:rsid w:val="007E04E6"/>
    <w:rsid w:val="007E065B"/>
    <w:rsid w:val="007E0D79"/>
    <w:rsid w:val="007E4484"/>
    <w:rsid w:val="007E4D48"/>
    <w:rsid w:val="007E508E"/>
    <w:rsid w:val="007E56CA"/>
    <w:rsid w:val="007E5DD3"/>
    <w:rsid w:val="007E6204"/>
    <w:rsid w:val="007E6653"/>
    <w:rsid w:val="007F279B"/>
    <w:rsid w:val="007F3BAA"/>
    <w:rsid w:val="007F3ECE"/>
    <w:rsid w:val="007F4AC9"/>
    <w:rsid w:val="007F68FB"/>
    <w:rsid w:val="007F72D5"/>
    <w:rsid w:val="0080217B"/>
    <w:rsid w:val="00802A5D"/>
    <w:rsid w:val="008030BA"/>
    <w:rsid w:val="00803168"/>
    <w:rsid w:val="008036F0"/>
    <w:rsid w:val="008055CD"/>
    <w:rsid w:val="00806170"/>
    <w:rsid w:val="008068E7"/>
    <w:rsid w:val="00806EBE"/>
    <w:rsid w:val="00806F1C"/>
    <w:rsid w:val="00810784"/>
    <w:rsid w:val="008120E6"/>
    <w:rsid w:val="0081413B"/>
    <w:rsid w:val="00814999"/>
    <w:rsid w:val="00815E28"/>
    <w:rsid w:val="00816305"/>
    <w:rsid w:val="008174FA"/>
    <w:rsid w:val="00817ED5"/>
    <w:rsid w:val="0082117A"/>
    <w:rsid w:val="00822C88"/>
    <w:rsid w:val="00822E3C"/>
    <w:rsid w:val="0082342A"/>
    <w:rsid w:val="00824222"/>
    <w:rsid w:val="008244FE"/>
    <w:rsid w:val="00824FE7"/>
    <w:rsid w:val="00827312"/>
    <w:rsid w:val="00827374"/>
    <w:rsid w:val="008278FE"/>
    <w:rsid w:val="00832EB7"/>
    <w:rsid w:val="00832F18"/>
    <w:rsid w:val="00833022"/>
    <w:rsid w:val="008334E7"/>
    <w:rsid w:val="00833520"/>
    <w:rsid w:val="0083369A"/>
    <w:rsid w:val="008346E6"/>
    <w:rsid w:val="008354AA"/>
    <w:rsid w:val="00837628"/>
    <w:rsid w:val="008404EE"/>
    <w:rsid w:val="00841FB4"/>
    <w:rsid w:val="008473D1"/>
    <w:rsid w:val="008477CA"/>
    <w:rsid w:val="0085401A"/>
    <w:rsid w:val="008542E9"/>
    <w:rsid w:val="00854B20"/>
    <w:rsid w:val="00855A77"/>
    <w:rsid w:val="00855ECE"/>
    <w:rsid w:val="008576EA"/>
    <w:rsid w:val="00857BEA"/>
    <w:rsid w:val="00861F9B"/>
    <w:rsid w:val="008630B5"/>
    <w:rsid w:val="00863905"/>
    <w:rsid w:val="00864F45"/>
    <w:rsid w:val="00864FF7"/>
    <w:rsid w:val="0086538C"/>
    <w:rsid w:val="00866DCF"/>
    <w:rsid w:val="00870EEC"/>
    <w:rsid w:val="00871828"/>
    <w:rsid w:val="008718DA"/>
    <w:rsid w:val="008725EA"/>
    <w:rsid w:val="0087322B"/>
    <w:rsid w:val="00875FA1"/>
    <w:rsid w:val="0087751C"/>
    <w:rsid w:val="00880DF6"/>
    <w:rsid w:val="00880EB9"/>
    <w:rsid w:val="00881829"/>
    <w:rsid w:val="008833C0"/>
    <w:rsid w:val="008835ED"/>
    <w:rsid w:val="00886ACA"/>
    <w:rsid w:val="008875A2"/>
    <w:rsid w:val="00887759"/>
    <w:rsid w:val="00887962"/>
    <w:rsid w:val="00890676"/>
    <w:rsid w:val="008916D3"/>
    <w:rsid w:val="008928F8"/>
    <w:rsid w:val="0089361B"/>
    <w:rsid w:val="0089386F"/>
    <w:rsid w:val="008939AB"/>
    <w:rsid w:val="008946B4"/>
    <w:rsid w:val="00895823"/>
    <w:rsid w:val="0089734B"/>
    <w:rsid w:val="00897DE4"/>
    <w:rsid w:val="008A0051"/>
    <w:rsid w:val="008A06FB"/>
    <w:rsid w:val="008A09DA"/>
    <w:rsid w:val="008A0C07"/>
    <w:rsid w:val="008A311A"/>
    <w:rsid w:val="008A338C"/>
    <w:rsid w:val="008A374D"/>
    <w:rsid w:val="008A37E4"/>
    <w:rsid w:val="008A43AC"/>
    <w:rsid w:val="008A4437"/>
    <w:rsid w:val="008A45C8"/>
    <w:rsid w:val="008A4A6F"/>
    <w:rsid w:val="008A4F18"/>
    <w:rsid w:val="008A594F"/>
    <w:rsid w:val="008A61BE"/>
    <w:rsid w:val="008A6B7A"/>
    <w:rsid w:val="008A7860"/>
    <w:rsid w:val="008B03AF"/>
    <w:rsid w:val="008B1696"/>
    <w:rsid w:val="008B1AC0"/>
    <w:rsid w:val="008B1ACC"/>
    <w:rsid w:val="008B3AB7"/>
    <w:rsid w:val="008B3D06"/>
    <w:rsid w:val="008B55C5"/>
    <w:rsid w:val="008B5BFD"/>
    <w:rsid w:val="008B732A"/>
    <w:rsid w:val="008C0116"/>
    <w:rsid w:val="008C1368"/>
    <w:rsid w:val="008C17A1"/>
    <w:rsid w:val="008C34B7"/>
    <w:rsid w:val="008C40E8"/>
    <w:rsid w:val="008C735C"/>
    <w:rsid w:val="008D0E04"/>
    <w:rsid w:val="008D18F0"/>
    <w:rsid w:val="008D1C96"/>
    <w:rsid w:val="008D2785"/>
    <w:rsid w:val="008D59E7"/>
    <w:rsid w:val="008D5AA3"/>
    <w:rsid w:val="008D63F6"/>
    <w:rsid w:val="008D74CF"/>
    <w:rsid w:val="008E169E"/>
    <w:rsid w:val="008E17B7"/>
    <w:rsid w:val="008E24B7"/>
    <w:rsid w:val="008E297F"/>
    <w:rsid w:val="008E4087"/>
    <w:rsid w:val="008E415B"/>
    <w:rsid w:val="008E444D"/>
    <w:rsid w:val="008E4E5C"/>
    <w:rsid w:val="008E534C"/>
    <w:rsid w:val="008E5531"/>
    <w:rsid w:val="008E57A1"/>
    <w:rsid w:val="008E6BDA"/>
    <w:rsid w:val="008E70B0"/>
    <w:rsid w:val="008E79CD"/>
    <w:rsid w:val="008F0FD3"/>
    <w:rsid w:val="008F1699"/>
    <w:rsid w:val="008F19B2"/>
    <w:rsid w:val="008F31AA"/>
    <w:rsid w:val="008F3570"/>
    <w:rsid w:val="008F3653"/>
    <w:rsid w:val="008F3C2D"/>
    <w:rsid w:val="008F45CE"/>
    <w:rsid w:val="008F5B00"/>
    <w:rsid w:val="008F5EEE"/>
    <w:rsid w:val="0090048F"/>
    <w:rsid w:val="0090093F"/>
    <w:rsid w:val="00900AFB"/>
    <w:rsid w:val="00902C66"/>
    <w:rsid w:val="009038EB"/>
    <w:rsid w:val="00904E65"/>
    <w:rsid w:val="009071AC"/>
    <w:rsid w:val="0090736D"/>
    <w:rsid w:val="00913CCF"/>
    <w:rsid w:val="00914283"/>
    <w:rsid w:val="009157D3"/>
    <w:rsid w:val="009201E1"/>
    <w:rsid w:val="009215B6"/>
    <w:rsid w:val="00922EBE"/>
    <w:rsid w:val="009240F2"/>
    <w:rsid w:val="00924312"/>
    <w:rsid w:val="00924B41"/>
    <w:rsid w:val="00924D3F"/>
    <w:rsid w:val="00926820"/>
    <w:rsid w:val="00933516"/>
    <w:rsid w:val="00933C05"/>
    <w:rsid w:val="00933EE0"/>
    <w:rsid w:val="00934254"/>
    <w:rsid w:val="00934A21"/>
    <w:rsid w:val="00936F22"/>
    <w:rsid w:val="00937071"/>
    <w:rsid w:val="009400CA"/>
    <w:rsid w:val="009404A4"/>
    <w:rsid w:val="00940920"/>
    <w:rsid w:val="00940BFA"/>
    <w:rsid w:val="00940FD8"/>
    <w:rsid w:val="00942EA6"/>
    <w:rsid w:val="0094367D"/>
    <w:rsid w:val="00946382"/>
    <w:rsid w:val="00947198"/>
    <w:rsid w:val="0094759A"/>
    <w:rsid w:val="00951719"/>
    <w:rsid w:val="00954188"/>
    <w:rsid w:val="009554B2"/>
    <w:rsid w:val="00955A94"/>
    <w:rsid w:val="00955C54"/>
    <w:rsid w:val="00956309"/>
    <w:rsid w:val="00957613"/>
    <w:rsid w:val="0096067C"/>
    <w:rsid w:val="00960888"/>
    <w:rsid w:val="00960C86"/>
    <w:rsid w:val="00960FEF"/>
    <w:rsid w:val="00963DBF"/>
    <w:rsid w:val="00964347"/>
    <w:rsid w:val="009646DD"/>
    <w:rsid w:val="00964A34"/>
    <w:rsid w:val="00965C03"/>
    <w:rsid w:val="009664E5"/>
    <w:rsid w:val="009667D8"/>
    <w:rsid w:val="009667EB"/>
    <w:rsid w:val="00967090"/>
    <w:rsid w:val="009679F3"/>
    <w:rsid w:val="00967AA0"/>
    <w:rsid w:val="009702A6"/>
    <w:rsid w:val="00970BEB"/>
    <w:rsid w:val="00972385"/>
    <w:rsid w:val="00972533"/>
    <w:rsid w:val="00974C12"/>
    <w:rsid w:val="00975C71"/>
    <w:rsid w:val="00975CC7"/>
    <w:rsid w:val="00975CC8"/>
    <w:rsid w:val="00976C30"/>
    <w:rsid w:val="00977674"/>
    <w:rsid w:val="0098274F"/>
    <w:rsid w:val="009843E4"/>
    <w:rsid w:val="00985263"/>
    <w:rsid w:val="00985325"/>
    <w:rsid w:val="00985EBD"/>
    <w:rsid w:val="009876DE"/>
    <w:rsid w:val="0099159E"/>
    <w:rsid w:val="009922DE"/>
    <w:rsid w:val="0099277F"/>
    <w:rsid w:val="00996434"/>
    <w:rsid w:val="009A4126"/>
    <w:rsid w:val="009A4991"/>
    <w:rsid w:val="009A5C89"/>
    <w:rsid w:val="009A67A6"/>
    <w:rsid w:val="009A684A"/>
    <w:rsid w:val="009B1148"/>
    <w:rsid w:val="009B3855"/>
    <w:rsid w:val="009B3AE0"/>
    <w:rsid w:val="009B5177"/>
    <w:rsid w:val="009B6A1C"/>
    <w:rsid w:val="009B7513"/>
    <w:rsid w:val="009C0197"/>
    <w:rsid w:val="009C113E"/>
    <w:rsid w:val="009C1C30"/>
    <w:rsid w:val="009C25C4"/>
    <w:rsid w:val="009C3292"/>
    <w:rsid w:val="009C3A05"/>
    <w:rsid w:val="009C476D"/>
    <w:rsid w:val="009C5543"/>
    <w:rsid w:val="009C6BFF"/>
    <w:rsid w:val="009C6C9A"/>
    <w:rsid w:val="009D0BD7"/>
    <w:rsid w:val="009D199D"/>
    <w:rsid w:val="009D200C"/>
    <w:rsid w:val="009D363B"/>
    <w:rsid w:val="009D4155"/>
    <w:rsid w:val="009D491F"/>
    <w:rsid w:val="009D4ACB"/>
    <w:rsid w:val="009D58C3"/>
    <w:rsid w:val="009E006B"/>
    <w:rsid w:val="009E1AF1"/>
    <w:rsid w:val="009E216B"/>
    <w:rsid w:val="009E4A0F"/>
    <w:rsid w:val="009E5114"/>
    <w:rsid w:val="009E6B3E"/>
    <w:rsid w:val="009F13C7"/>
    <w:rsid w:val="009F163A"/>
    <w:rsid w:val="009F16F9"/>
    <w:rsid w:val="009F1774"/>
    <w:rsid w:val="009F20D5"/>
    <w:rsid w:val="009F3664"/>
    <w:rsid w:val="009F3BE9"/>
    <w:rsid w:val="009F5491"/>
    <w:rsid w:val="009F6538"/>
    <w:rsid w:val="009F6715"/>
    <w:rsid w:val="009F788C"/>
    <w:rsid w:val="00A00760"/>
    <w:rsid w:val="00A013CF"/>
    <w:rsid w:val="00A01FBC"/>
    <w:rsid w:val="00A032D2"/>
    <w:rsid w:val="00A048B3"/>
    <w:rsid w:val="00A04DA7"/>
    <w:rsid w:val="00A04E1F"/>
    <w:rsid w:val="00A057F8"/>
    <w:rsid w:val="00A077D8"/>
    <w:rsid w:val="00A10988"/>
    <w:rsid w:val="00A10A50"/>
    <w:rsid w:val="00A10BFD"/>
    <w:rsid w:val="00A11B5B"/>
    <w:rsid w:val="00A1231D"/>
    <w:rsid w:val="00A12363"/>
    <w:rsid w:val="00A1332A"/>
    <w:rsid w:val="00A144D0"/>
    <w:rsid w:val="00A14D5D"/>
    <w:rsid w:val="00A14FAE"/>
    <w:rsid w:val="00A238AC"/>
    <w:rsid w:val="00A23B3F"/>
    <w:rsid w:val="00A23FC0"/>
    <w:rsid w:val="00A24A12"/>
    <w:rsid w:val="00A24ADC"/>
    <w:rsid w:val="00A25EB4"/>
    <w:rsid w:val="00A25FDE"/>
    <w:rsid w:val="00A26349"/>
    <w:rsid w:val="00A3115F"/>
    <w:rsid w:val="00A32143"/>
    <w:rsid w:val="00A32413"/>
    <w:rsid w:val="00A33C25"/>
    <w:rsid w:val="00A33CA7"/>
    <w:rsid w:val="00A34238"/>
    <w:rsid w:val="00A345C9"/>
    <w:rsid w:val="00A363EE"/>
    <w:rsid w:val="00A36C35"/>
    <w:rsid w:val="00A41B55"/>
    <w:rsid w:val="00A41F49"/>
    <w:rsid w:val="00A422BC"/>
    <w:rsid w:val="00A46C40"/>
    <w:rsid w:val="00A46C72"/>
    <w:rsid w:val="00A47548"/>
    <w:rsid w:val="00A501AA"/>
    <w:rsid w:val="00A503CB"/>
    <w:rsid w:val="00A512EE"/>
    <w:rsid w:val="00A520AC"/>
    <w:rsid w:val="00A52C83"/>
    <w:rsid w:val="00A533BF"/>
    <w:rsid w:val="00A57727"/>
    <w:rsid w:val="00A616BE"/>
    <w:rsid w:val="00A61ED0"/>
    <w:rsid w:val="00A63BBE"/>
    <w:rsid w:val="00A63C55"/>
    <w:rsid w:val="00A65275"/>
    <w:rsid w:val="00A65694"/>
    <w:rsid w:val="00A65DBB"/>
    <w:rsid w:val="00A65EBC"/>
    <w:rsid w:val="00A67C3E"/>
    <w:rsid w:val="00A67CB0"/>
    <w:rsid w:val="00A70C3E"/>
    <w:rsid w:val="00A7180B"/>
    <w:rsid w:val="00A720DF"/>
    <w:rsid w:val="00A742EE"/>
    <w:rsid w:val="00A74D25"/>
    <w:rsid w:val="00A77592"/>
    <w:rsid w:val="00A77A8C"/>
    <w:rsid w:val="00A801D4"/>
    <w:rsid w:val="00A83DF4"/>
    <w:rsid w:val="00A84B34"/>
    <w:rsid w:val="00A8645D"/>
    <w:rsid w:val="00A86822"/>
    <w:rsid w:val="00A86CE0"/>
    <w:rsid w:val="00A87E76"/>
    <w:rsid w:val="00A91671"/>
    <w:rsid w:val="00A9240A"/>
    <w:rsid w:val="00A9310E"/>
    <w:rsid w:val="00A94566"/>
    <w:rsid w:val="00A96684"/>
    <w:rsid w:val="00A966AE"/>
    <w:rsid w:val="00A9699D"/>
    <w:rsid w:val="00A97068"/>
    <w:rsid w:val="00AA07CB"/>
    <w:rsid w:val="00AA0F03"/>
    <w:rsid w:val="00AA18C6"/>
    <w:rsid w:val="00AA280A"/>
    <w:rsid w:val="00AA2EF5"/>
    <w:rsid w:val="00AA346B"/>
    <w:rsid w:val="00AA3648"/>
    <w:rsid w:val="00AA5127"/>
    <w:rsid w:val="00AA6475"/>
    <w:rsid w:val="00AA7883"/>
    <w:rsid w:val="00AA79F5"/>
    <w:rsid w:val="00AB16A5"/>
    <w:rsid w:val="00AB21A8"/>
    <w:rsid w:val="00AB3650"/>
    <w:rsid w:val="00AB5321"/>
    <w:rsid w:val="00AB5BFB"/>
    <w:rsid w:val="00AB5F60"/>
    <w:rsid w:val="00AB7698"/>
    <w:rsid w:val="00AB76B0"/>
    <w:rsid w:val="00AC0588"/>
    <w:rsid w:val="00AC0E30"/>
    <w:rsid w:val="00AC217B"/>
    <w:rsid w:val="00AC2BA2"/>
    <w:rsid w:val="00AC334E"/>
    <w:rsid w:val="00AC5158"/>
    <w:rsid w:val="00AC63FE"/>
    <w:rsid w:val="00AD0E2A"/>
    <w:rsid w:val="00AD1B51"/>
    <w:rsid w:val="00AD2667"/>
    <w:rsid w:val="00AD34AC"/>
    <w:rsid w:val="00AD4B55"/>
    <w:rsid w:val="00AD4B92"/>
    <w:rsid w:val="00AD7341"/>
    <w:rsid w:val="00AD750A"/>
    <w:rsid w:val="00AD7AFF"/>
    <w:rsid w:val="00AE38CC"/>
    <w:rsid w:val="00AE4336"/>
    <w:rsid w:val="00AE43C4"/>
    <w:rsid w:val="00AE46D5"/>
    <w:rsid w:val="00AE4B42"/>
    <w:rsid w:val="00AE54A6"/>
    <w:rsid w:val="00AE65B7"/>
    <w:rsid w:val="00AE6881"/>
    <w:rsid w:val="00AE76C7"/>
    <w:rsid w:val="00AF31BD"/>
    <w:rsid w:val="00AF4BEE"/>
    <w:rsid w:val="00AF4FBC"/>
    <w:rsid w:val="00AF704A"/>
    <w:rsid w:val="00AF78CE"/>
    <w:rsid w:val="00AF79D7"/>
    <w:rsid w:val="00B02747"/>
    <w:rsid w:val="00B02BE3"/>
    <w:rsid w:val="00B049AA"/>
    <w:rsid w:val="00B04CD4"/>
    <w:rsid w:val="00B04ED6"/>
    <w:rsid w:val="00B05147"/>
    <w:rsid w:val="00B0519E"/>
    <w:rsid w:val="00B05BA7"/>
    <w:rsid w:val="00B06B0A"/>
    <w:rsid w:val="00B07E58"/>
    <w:rsid w:val="00B10389"/>
    <w:rsid w:val="00B10423"/>
    <w:rsid w:val="00B117D5"/>
    <w:rsid w:val="00B13115"/>
    <w:rsid w:val="00B1588C"/>
    <w:rsid w:val="00B17E09"/>
    <w:rsid w:val="00B2016A"/>
    <w:rsid w:val="00B224F1"/>
    <w:rsid w:val="00B270EF"/>
    <w:rsid w:val="00B273D6"/>
    <w:rsid w:val="00B2772C"/>
    <w:rsid w:val="00B302EF"/>
    <w:rsid w:val="00B31EF1"/>
    <w:rsid w:val="00B32011"/>
    <w:rsid w:val="00B32B9E"/>
    <w:rsid w:val="00B34340"/>
    <w:rsid w:val="00B37108"/>
    <w:rsid w:val="00B40E25"/>
    <w:rsid w:val="00B4150F"/>
    <w:rsid w:val="00B4351C"/>
    <w:rsid w:val="00B435E3"/>
    <w:rsid w:val="00B45190"/>
    <w:rsid w:val="00B4622E"/>
    <w:rsid w:val="00B472F5"/>
    <w:rsid w:val="00B50B76"/>
    <w:rsid w:val="00B51D7A"/>
    <w:rsid w:val="00B51E3A"/>
    <w:rsid w:val="00B51F56"/>
    <w:rsid w:val="00B52CDA"/>
    <w:rsid w:val="00B560B4"/>
    <w:rsid w:val="00B569DD"/>
    <w:rsid w:val="00B6047F"/>
    <w:rsid w:val="00B6085D"/>
    <w:rsid w:val="00B60AFB"/>
    <w:rsid w:val="00B613E6"/>
    <w:rsid w:val="00B61990"/>
    <w:rsid w:val="00B66762"/>
    <w:rsid w:val="00B66EAB"/>
    <w:rsid w:val="00B70E18"/>
    <w:rsid w:val="00B73134"/>
    <w:rsid w:val="00B73727"/>
    <w:rsid w:val="00B7457E"/>
    <w:rsid w:val="00B76903"/>
    <w:rsid w:val="00B769D8"/>
    <w:rsid w:val="00B8120C"/>
    <w:rsid w:val="00B83950"/>
    <w:rsid w:val="00B85D36"/>
    <w:rsid w:val="00B87198"/>
    <w:rsid w:val="00B87E05"/>
    <w:rsid w:val="00B9157E"/>
    <w:rsid w:val="00B91A28"/>
    <w:rsid w:val="00B923C7"/>
    <w:rsid w:val="00B92B54"/>
    <w:rsid w:val="00B9329A"/>
    <w:rsid w:val="00B93C45"/>
    <w:rsid w:val="00B9514E"/>
    <w:rsid w:val="00B97041"/>
    <w:rsid w:val="00B9745A"/>
    <w:rsid w:val="00B9763D"/>
    <w:rsid w:val="00BA0EE9"/>
    <w:rsid w:val="00BA1FEF"/>
    <w:rsid w:val="00BA3714"/>
    <w:rsid w:val="00BA3C3C"/>
    <w:rsid w:val="00BA54DF"/>
    <w:rsid w:val="00BA58A2"/>
    <w:rsid w:val="00BA7A4C"/>
    <w:rsid w:val="00BB02F8"/>
    <w:rsid w:val="00BB0E07"/>
    <w:rsid w:val="00BB115E"/>
    <w:rsid w:val="00BB2CDF"/>
    <w:rsid w:val="00BB54DB"/>
    <w:rsid w:val="00BB5612"/>
    <w:rsid w:val="00BB5BFD"/>
    <w:rsid w:val="00BC1164"/>
    <w:rsid w:val="00BC1D9B"/>
    <w:rsid w:val="00BC2F2F"/>
    <w:rsid w:val="00BC37F0"/>
    <w:rsid w:val="00BC4983"/>
    <w:rsid w:val="00BC4DA6"/>
    <w:rsid w:val="00BC5CB0"/>
    <w:rsid w:val="00BC6CA8"/>
    <w:rsid w:val="00BC7D98"/>
    <w:rsid w:val="00BD270F"/>
    <w:rsid w:val="00BD45DB"/>
    <w:rsid w:val="00BD503F"/>
    <w:rsid w:val="00BD5144"/>
    <w:rsid w:val="00BE1470"/>
    <w:rsid w:val="00BE231C"/>
    <w:rsid w:val="00BE247F"/>
    <w:rsid w:val="00BE7A71"/>
    <w:rsid w:val="00BF06FC"/>
    <w:rsid w:val="00BF4257"/>
    <w:rsid w:val="00BF4E56"/>
    <w:rsid w:val="00BF5301"/>
    <w:rsid w:val="00BF6078"/>
    <w:rsid w:val="00BF6CB4"/>
    <w:rsid w:val="00BF7094"/>
    <w:rsid w:val="00C02ADC"/>
    <w:rsid w:val="00C032EA"/>
    <w:rsid w:val="00C066B5"/>
    <w:rsid w:val="00C07CA5"/>
    <w:rsid w:val="00C130BB"/>
    <w:rsid w:val="00C13EDC"/>
    <w:rsid w:val="00C14FE1"/>
    <w:rsid w:val="00C1511A"/>
    <w:rsid w:val="00C155F8"/>
    <w:rsid w:val="00C1582B"/>
    <w:rsid w:val="00C17115"/>
    <w:rsid w:val="00C1799A"/>
    <w:rsid w:val="00C2074D"/>
    <w:rsid w:val="00C21742"/>
    <w:rsid w:val="00C21E6F"/>
    <w:rsid w:val="00C223EC"/>
    <w:rsid w:val="00C22529"/>
    <w:rsid w:val="00C23CE3"/>
    <w:rsid w:val="00C24DB7"/>
    <w:rsid w:val="00C2584B"/>
    <w:rsid w:val="00C26B2E"/>
    <w:rsid w:val="00C271BF"/>
    <w:rsid w:val="00C27312"/>
    <w:rsid w:val="00C32287"/>
    <w:rsid w:val="00C322E5"/>
    <w:rsid w:val="00C325F4"/>
    <w:rsid w:val="00C33290"/>
    <w:rsid w:val="00C356E4"/>
    <w:rsid w:val="00C3650D"/>
    <w:rsid w:val="00C413E2"/>
    <w:rsid w:val="00C4185C"/>
    <w:rsid w:val="00C43B28"/>
    <w:rsid w:val="00C44302"/>
    <w:rsid w:val="00C44F88"/>
    <w:rsid w:val="00C453BF"/>
    <w:rsid w:val="00C46E25"/>
    <w:rsid w:val="00C46F57"/>
    <w:rsid w:val="00C4785E"/>
    <w:rsid w:val="00C5024E"/>
    <w:rsid w:val="00C51DE6"/>
    <w:rsid w:val="00C51FF2"/>
    <w:rsid w:val="00C52688"/>
    <w:rsid w:val="00C53C42"/>
    <w:rsid w:val="00C5512F"/>
    <w:rsid w:val="00C55BF3"/>
    <w:rsid w:val="00C56DCA"/>
    <w:rsid w:val="00C579F1"/>
    <w:rsid w:val="00C60172"/>
    <w:rsid w:val="00C60430"/>
    <w:rsid w:val="00C61850"/>
    <w:rsid w:val="00C62424"/>
    <w:rsid w:val="00C64AB3"/>
    <w:rsid w:val="00C65B03"/>
    <w:rsid w:val="00C667B3"/>
    <w:rsid w:val="00C66897"/>
    <w:rsid w:val="00C67F62"/>
    <w:rsid w:val="00C70184"/>
    <w:rsid w:val="00C71369"/>
    <w:rsid w:val="00C71806"/>
    <w:rsid w:val="00C72D17"/>
    <w:rsid w:val="00C73864"/>
    <w:rsid w:val="00C74C8A"/>
    <w:rsid w:val="00C75765"/>
    <w:rsid w:val="00C766D7"/>
    <w:rsid w:val="00C77512"/>
    <w:rsid w:val="00C77AC0"/>
    <w:rsid w:val="00C8075F"/>
    <w:rsid w:val="00C808E6"/>
    <w:rsid w:val="00C8206F"/>
    <w:rsid w:val="00C828D0"/>
    <w:rsid w:val="00C82E06"/>
    <w:rsid w:val="00C83C16"/>
    <w:rsid w:val="00C83DDE"/>
    <w:rsid w:val="00C8480D"/>
    <w:rsid w:val="00C84986"/>
    <w:rsid w:val="00C8507A"/>
    <w:rsid w:val="00C85390"/>
    <w:rsid w:val="00C8566D"/>
    <w:rsid w:val="00C92A9E"/>
    <w:rsid w:val="00C93147"/>
    <w:rsid w:val="00C941B9"/>
    <w:rsid w:val="00C95647"/>
    <w:rsid w:val="00C96483"/>
    <w:rsid w:val="00C9714B"/>
    <w:rsid w:val="00C97FB2"/>
    <w:rsid w:val="00CA0221"/>
    <w:rsid w:val="00CA096F"/>
    <w:rsid w:val="00CA52F9"/>
    <w:rsid w:val="00CA64B2"/>
    <w:rsid w:val="00CA6B05"/>
    <w:rsid w:val="00CA6C66"/>
    <w:rsid w:val="00CA700F"/>
    <w:rsid w:val="00CA79FE"/>
    <w:rsid w:val="00CB0758"/>
    <w:rsid w:val="00CB0D6E"/>
    <w:rsid w:val="00CB16B7"/>
    <w:rsid w:val="00CB3C35"/>
    <w:rsid w:val="00CB55CA"/>
    <w:rsid w:val="00CB5A7F"/>
    <w:rsid w:val="00CB5B31"/>
    <w:rsid w:val="00CC071A"/>
    <w:rsid w:val="00CC0D95"/>
    <w:rsid w:val="00CC1F89"/>
    <w:rsid w:val="00CC26CB"/>
    <w:rsid w:val="00CC300A"/>
    <w:rsid w:val="00CC48C4"/>
    <w:rsid w:val="00CC4D25"/>
    <w:rsid w:val="00CC5E2E"/>
    <w:rsid w:val="00CC608B"/>
    <w:rsid w:val="00CC64EA"/>
    <w:rsid w:val="00CC7280"/>
    <w:rsid w:val="00CC7B93"/>
    <w:rsid w:val="00CD094C"/>
    <w:rsid w:val="00CD1C9D"/>
    <w:rsid w:val="00CD2C0E"/>
    <w:rsid w:val="00CD3A05"/>
    <w:rsid w:val="00CD3DBB"/>
    <w:rsid w:val="00CD6D5E"/>
    <w:rsid w:val="00CDFC36"/>
    <w:rsid w:val="00CE0D67"/>
    <w:rsid w:val="00CE2435"/>
    <w:rsid w:val="00CE5D72"/>
    <w:rsid w:val="00CE697A"/>
    <w:rsid w:val="00CF1439"/>
    <w:rsid w:val="00CF206D"/>
    <w:rsid w:val="00CF3A01"/>
    <w:rsid w:val="00CF7369"/>
    <w:rsid w:val="00CF7CD1"/>
    <w:rsid w:val="00D0209B"/>
    <w:rsid w:val="00D04299"/>
    <w:rsid w:val="00D057FA"/>
    <w:rsid w:val="00D05D88"/>
    <w:rsid w:val="00D067D2"/>
    <w:rsid w:val="00D07D69"/>
    <w:rsid w:val="00D07FDB"/>
    <w:rsid w:val="00D11229"/>
    <w:rsid w:val="00D11D11"/>
    <w:rsid w:val="00D14038"/>
    <w:rsid w:val="00D1442A"/>
    <w:rsid w:val="00D16A76"/>
    <w:rsid w:val="00D16B21"/>
    <w:rsid w:val="00D17D54"/>
    <w:rsid w:val="00D2091A"/>
    <w:rsid w:val="00D224B4"/>
    <w:rsid w:val="00D22DDC"/>
    <w:rsid w:val="00D237D1"/>
    <w:rsid w:val="00D23E24"/>
    <w:rsid w:val="00D2576A"/>
    <w:rsid w:val="00D27DB2"/>
    <w:rsid w:val="00D3092C"/>
    <w:rsid w:val="00D30A7C"/>
    <w:rsid w:val="00D30BB6"/>
    <w:rsid w:val="00D31112"/>
    <w:rsid w:val="00D3137C"/>
    <w:rsid w:val="00D31776"/>
    <w:rsid w:val="00D3192D"/>
    <w:rsid w:val="00D31A74"/>
    <w:rsid w:val="00D32086"/>
    <w:rsid w:val="00D3370D"/>
    <w:rsid w:val="00D33C4F"/>
    <w:rsid w:val="00D4000A"/>
    <w:rsid w:val="00D42324"/>
    <w:rsid w:val="00D43F7E"/>
    <w:rsid w:val="00D440ED"/>
    <w:rsid w:val="00D47B2D"/>
    <w:rsid w:val="00D531AC"/>
    <w:rsid w:val="00D543CE"/>
    <w:rsid w:val="00D54F0B"/>
    <w:rsid w:val="00D554AE"/>
    <w:rsid w:val="00D554DD"/>
    <w:rsid w:val="00D55A25"/>
    <w:rsid w:val="00D56783"/>
    <w:rsid w:val="00D57525"/>
    <w:rsid w:val="00D57BD0"/>
    <w:rsid w:val="00D60F1B"/>
    <w:rsid w:val="00D6230F"/>
    <w:rsid w:val="00D6311C"/>
    <w:rsid w:val="00D656CC"/>
    <w:rsid w:val="00D65952"/>
    <w:rsid w:val="00D70B15"/>
    <w:rsid w:val="00D7140F"/>
    <w:rsid w:val="00D71B1F"/>
    <w:rsid w:val="00D72A28"/>
    <w:rsid w:val="00D72D9E"/>
    <w:rsid w:val="00D746AF"/>
    <w:rsid w:val="00D75C44"/>
    <w:rsid w:val="00D7706F"/>
    <w:rsid w:val="00D77285"/>
    <w:rsid w:val="00D77494"/>
    <w:rsid w:val="00D8105E"/>
    <w:rsid w:val="00D828BE"/>
    <w:rsid w:val="00D82DBD"/>
    <w:rsid w:val="00D835A5"/>
    <w:rsid w:val="00D83674"/>
    <w:rsid w:val="00D865F0"/>
    <w:rsid w:val="00D86DD4"/>
    <w:rsid w:val="00D86DFF"/>
    <w:rsid w:val="00D87686"/>
    <w:rsid w:val="00D90F5F"/>
    <w:rsid w:val="00D91303"/>
    <w:rsid w:val="00D91692"/>
    <w:rsid w:val="00D924EE"/>
    <w:rsid w:val="00D93115"/>
    <w:rsid w:val="00D93D78"/>
    <w:rsid w:val="00D968D7"/>
    <w:rsid w:val="00D96D43"/>
    <w:rsid w:val="00D96F36"/>
    <w:rsid w:val="00D97360"/>
    <w:rsid w:val="00D9749C"/>
    <w:rsid w:val="00D97A6E"/>
    <w:rsid w:val="00DA2F4F"/>
    <w:rsid w:val="00DA3F7A"/>
    <w:rsid w:val="00DA6585"/>
    <w:rsid w:val="00DA7277"/>
    <w:rsid w:val="00DA748A"/>
    <w:rsid w:val="00DB0344"/>
    <w:rsid w:val="00DB07A7"/>
    <w:rsid w:val="00DB0921"/>
    <w:rsid w:val="00DB0983"/>
    <w:rsid w:val="00DB09A4"/>
    <w:rsid w:val="00DB0E3F"/>
    <w:rsid w:val="00DB0EFC"/>
    <w:rsid w:val="00DB2F71"/>
    <w:rsid w:val="00DB3235"/>
    <w:rsid w:val="00DB32F4"/>
    <w:rsid w:val="00DB350B"/>
    <w:rsid w:val="00DB49C4"/>
    <w:rsid w:val="00DB4CE7"/>
    <w:rsid w:val="00DB50ED"/>
    <w:rsid w:val="00DB5FC9"/>
    <w:rsid w:val="00DB7D41"/>
    <w:rsid w:val="00DC1179"/>
    <w:rsid w:val="00DC130B"/>
    <w:rsid w:val="00DC21C0"/>
    <w:rsid w:val="00DC2BDB"/>
    <w:rsid w:val="00DC3878"/>
    <w:rsid w:val="00DC39C8"/>
    <w:rsid w:val="00DD22AE"/>
    <w:rsid w:val="00DD41E2"/>
    <w:rsid w:val="00DD44F3"/>
    <w:rsid w:val="00DD4B26"/>
    <w:rsid w:val="00DD573F"/>
    <w:rsid w:val="00DE12A8"/>
    <w:rsid w:val="00DE2CDB"/>
    <w:rsid w:val="00DE37BB"/>
    <w:rsid w:val="00DE3B77"/>
    <w:rsid w:val="00DE4DCB"/>
    <w:rsid w:val="00DE6E1A"/>
    <w:rsid w:val="00DF0597"/>
    <w:rsid w:val="00DF0A0A"/>
    <w:rsid w:val="00DF14B9"/>
    <w:rsid w:val="00DF1689"/>
    <w:rsid w:val="00DF1877"/>
    <w:rsid w:val="00DF2B5A"/>
    <w:rsid w:val="00DF3AB7"/>
    <w:rsid w:val="00DF49B3"/>
    <w:rsid w:val="00DF5D5A"/>
    <w:rsid w:val="00DF7053"/>
    <w:rsid w:val="00E01481"/>
    <w:rsid w:val="00E03FD8"/>
    <w:rsid w:val="00E05524"/>
    <w:rsid w:val="00E07E60"/>
    <w:rsid w:val="00E11699"/>
    <w:rsid w:val="00E1227C"/>
    <w:rsid w:val="00E125EB"/>
    <w:rsid w:val="00E138A6"/>
    <w:rsid w:val="00E150D4"/>
    <w:rsid w:val="00E159A4"/>
    <w:rsid w:val="00E15C45"/>
    <w:rsid w:val="00E16FC9"/>
    <w:rsid w:val="00E17305"/>
    <w:rsid w:val="00E205D0"/>
    <w:rsid w:val="00E2232F"/>
    <w:rsid w:val="00E24FBB"/>
    <w:rsid w:val="00E270C2"/>
    <w:rsid w:val="00E278D1"/>
    <w:rsid w:val="00E30C6D"/>
    <w:rsid w:val="00E31322"/>
    <w:rsid w:val="00E322BC"/>
    <w:rsid w:val="00E33159"/>
    <w:rsid w:val="00E335D7"/>
    <w:rsid w:val="00E3540D"/>
    <w:rsid w:val="00E3620E"/>
    <w:rsid w:val="00E366BF"/>
    <w:rsid w:val="00E37169"/>
    <w:rsid w:val="00E37903"/>
    <w:rsid w:val="00E42530"/>
    <w:rsid w:val="00E43A88"/>
    <w:rsid w:val="00E44049"/>
    <w:rsid w:val="00E460AA"/>
    <w:rsid w:val="00E4656D"/>
    <w:rsid w:val="00E46755"/>
    <w:rsid w:val="00E5171B"/>
    <w:rsid w:val="00E51EDA"/>
    <w:rsid w:val="00E55F55"/>
    <w:rsid w:val="00E56939"/>
    <w:rsid w:val="00E56B21"/>
    <w:rsid w:val="00E57B1D"/>
    <w:rsid w:val="00E60D04"/>
    <w:rsid w:val="00E62158"/>
    <w:rsid w:val="00E62DF9"/>
    <w:rsid w:val="00E63878"/>
    <w:rsid w:val="00E704D9"/>
    <w:rsid w:val="00E716C3"/>
    <w:rsid w:val="00E71DF8"/>
    <w:rsid w:val="00E71E1B"/>
    <w:rsid w:val="00E72069"/>
    <w:rsid w:val="00E73912"/>
    <w:rsid w:val="00E73E77"/>
    <w:rsid w:val="00E74A1A"/>
    <w:rsid w:val="00E75EF5"/>
    <w:rsid w:val="00E810AC"/>
    <w:rsid w:val="00E812E7"/>
    <w:rsid w:val="00E81B53"/>
    <w:rsid w:val="00E83922"/>
    <w:rsid w:val="00E87471"/>
    <w:rsid w:val="00E90D7E"/>
    <w:rsid w:val="00E9200E"/>
    <w:rsid w:val="00E94199"/>
    <w:rsid w:val="00E943DB"/>
    <w:rsid w:val="00E94B2F"/>
    <w:rsid w:val="00E9624E"/>
    <w:rsid w:val="00E97D48"/>
    <w:rsid w:val="00EA0080"/>
    <w:rsid w:val="00EA23A5"/>
    <w:rsid w:val="00EA41CA"/>
    <w:rsid w:val="00EA461A"/>
    <w:rsid w:val="00EA4B10"/>
    <w:rsid w:val="00EA6A3C"/>
    <w:rsid w:val="00EA73A6"/>
    <w:rsid w:val="00EA7A87"/>
    <w:rsid w:val="00EB0701"/>
    <w:rsid w:val="00EB26BB"/>
    <w:rsid w:val="00EB31B2"/>
    <w:rsid w:val="00EB4968"/>
    <w:rsid w:val="00EC370C"/>
    <w:rsid w:val="00EC3AA4"/>
    <w:rsid w:val="00EC444D"/>
    <w:rsid w:val="00EC52D5"/>
    <w:rsid w:val="00EC62F7"/>
    <w:rsid w:val="00EC67D5"/>
    <w:rsid w:val="00EC6D02"/>
    <w:rsid w:val="00ED05C0"/>
    <w:rsid w:val="00ED1580"/>
    <w:rsid w:val="00ED235A"/>
    <w:rsid w:val="00ED2A59"/>
    <w:rsid w:val="00ED3278"/>
    <w:rsid w:val="00ED3B2A"/>
    <w:rsid w:val="00ED3F3D"/>
    <w:rsid w:val="00ED4D37"/>
    <w:rsid w:val="00ED53B8"/>
    <w:rsid w:val="00ED6642"/>
    <w:rsid w:val="00ED77CB"/>
    <w:rsid w:val="00ED7AFA"/>
    <w:rsid w:val="00EE0E47"/>
    <w:rsid w:val="00EE0E91"/>
    <w:rsid w:val="00EE2130"/>
    <w:rsid w:val="00EE2953"/>
    <w:rsid w:val="00EE3A7D"/>
    <w:rsid w:val="00EE3A9D"/>
    <w:rsid w:val="00EE51D0"/>
    <w:rsid w:val="00EE5BC7"/>
    <w:rsid w:val="00EE63FF"/>
    <w:rsid w:val="00EE7E9E"/>
    <w:rsid w:val="00EF028B"/>
    <w:rsid w:val="00EF0584"/>
    <w:rsid w:val="00EF2CA1"/>
    <w:rsid w:val="00EF3CE3"/>
    <w:rsid w:val="00EF5BE4"/>
    <w:rsid w:val="00EF76DE"/>
    <w:rsid w:val="00F03409"/>
    <w:rsid w:val="00F051A2"/>
    <w:rsid w:val="00F05E32"/>
    <w:rsid w:val="00F05F7D"/>
    <w:rsid w:val="00F105BC"/>
    <w:rsid w:val="00F14040"/>
    <w:rsid w:val="00F14132"/>
    <w:rsid w:val="00F143CF"/>
    <w:rsid w:val="00F15B62"/>
    <w:rsid w:val="00F1666A"/>
    <w:rsid w:val="00F23564"/>
    <w:rsid w:val="00F23F95"/>
    <w:rsid w:val="00F24D81"/>
    <w:rsid w:val="00F2542D"/>
    <w:rsid w:val="00F25C68"/>
    <w:rsid w:val="00F27026"/>
    <w:rsid w:val="00F275DE"/>
    <w:rsid w:val="00F27BEB"/>
    <w:rsid w:val="00F30A56"/>
    <w:rsid w:val="00F336E8"/>
    <w:rsid w:val="00F342D3"/>
    <w:rsid w:val="00F349C7"/>
    <w:rsid w:val="00F36E21"/>
    <w:rsid w:val="00F37272"/>
    <w:rsid w:val="00F37DD0"/>
    <w:rsid w:val="00F4063D"/>
    <w:rsid w:val="00F408B9"/>
    <w:rsid w:val="00F409CF"/>
    <w:rsid w:val="00F41C24"/>
    <w:rsid w:val="00F43188"/>
    <w:rsid w:val="00F4320E"/>
    <w:rsid w:val="00F44A5F"/>
    <w:rsid w:val="00F44D70"/>
    <w:rsid w:val="00F469BA"/>
    <w:rsid w:val="00F46A2D"/>
    <w:rsid w:val="00F52286"/>
    <w:rsid w:val="00F522CD"/>
    <w:rsid w:val="00F53D31"/>
    <w:rsid w:val="00F55714"/>
    <w:rsid w:val="00F5647D"/>
    <w:rsid w:val="00F60284"/>
    <w:rsid w:val="00F60454"/>
    <w:rsid w:val="00F63BC3"/>
    <w:rsid w:val="00F64FE9"/>
    <w:rsid w:val="00F66D55"/>
    <w:rsid w:val="00F66D5D"/>
    <w:rsid w:val="00F700FC"/>
    <w:rsid w:val="00F709E0"/>
    <w:rsid w:val="00F72396"/>
    <w:rsid w:val="00F72581"/>
    <w:rsid w:val="00F72E69"/>
    <w:rsid w:val="00F73764"/>
    <w:rsid w:val="00F73E72"/>
    <w:rsid w:val="00F740F9"/>
    <w:rsid w:val="00F76886"/>
    <w:rsid w:val="00F76B10"/>
    <w:rsid w:val="00F76F88"/>
    <w:rsid w:val="00F7789A"/>
    <w:rsid w:val="00F77ED2"/>
    <w:rsid w:val="00F811CE"/>
    <w:rsid w:val="00F8251C"/>
    <w:rsid w:val="00F82CE0"/>
    <w:rsid w:val="00F83438"/>
    <w:rsid w:val="00F8440C"/>
    <w:rsid w:val="00F86E37"/>
    <w:rsid w:val="00F87C9D"/>
    <w:rsid w:val="00F90799"/>
    <w:rsid w:val="00F91F21"/>
    <w:rsid w:val="00F93A9C"/>
    <w:rsid w:val="00F93B87"/>
    <w:rsid w:val="00F93DD9"/>
    <w:rsid w:val="00F94B72"/>
    <w:rsid w:val="00F94E50"/>
    <w:rsid w:val="00F95EA4"/>
    <w:rsid w:val="00F963D8"/>
    <w:rsid w:val="00F9696F"/>
    <w:rsid w:val="00F97795"/>
    <w:rsid w:val="00FA26D6"/>
    <w:rsid w:val="00FA271C"/>
    <w:rsid w:val="00FA39B7"/>
    <w:rsid w:val="00FA4ECC"/>
    <w:rsid w:val="00FA52FF"/>
    <w:rsid w:val="00FA63D8"/>
    <w:rsid w:val="00FA6AC4"/>
    <w:rsid w:val="00FA6AFE"/>
    <w:rsid w:val="00FA6BAC"/>
    <w:rsid w:val="00FA75F2"/>
    <w:rsid w:val="00FB0220"/>
    <w:rsid w:val="00FB0ADD"/>
    <w:rsid w:val="00FB1DDA"/>
    <w:rsid w:val="00FB300F"/>
    <w:rsid w:val="00FB33B7"/>
    <w:rsid w:val="00FB5141"/>
    <w:rsid w:val="00FB6DF8"/>
    <w:rsid w:val="00FB7D1F"/>
    <w:rsid w:val="00FC08F0"/>
    <w:rsid w:val="00FC0980"/>
    <w:rsid w:val="00FC1BB9"/>
    <w:rsid w:val="00FC4E4A"/>
    <w:rsid w:val="00FC5DB9"/>
    <w:rsid w:val="00FD0833"/>
    <w:rsid w:val="00FD192E"/>
    <w:rsid w:val="00FD1CB6"/>
    <w:rsid w:val="00FD2012"/>
    <w:rsid w:val="00FD3397"/>
    <w:rsid w:val="00FD4292"/>
    <w:rsid w:val="00FD6A24"/>
    <w:rsid w:val="00FD6B06"/>
    <w:rsid w:val="00FD7561"/>
    <w:rsid w:val="00FE0475"/>
    <w:rsid w:val="00FE175C"/>
    <w:rsid w:val="00FE1ED9"/>
    <w:rsid w:val="00FE2266"/>
    <w:rsid w:val="00FE31C7"/>
    <w:rsid w:val="00FE3585"/>
    <w:rsid w:val="00FE3BCC"/>
    <w:rsid w:val="00FE56CE"/>
    <w:rsid w:val="00FE72BD"/>
    <w:rsid w:val="00FE7E94"/>
    <w:rsid w:val="00FF14D0"/>
    <w:rsid w:val="00FF2A54"/>
    <w:rsid w:val="00FF3DC0"/>
    <w:rsid w:val="00FF4275"/>
    <w:rsid w:val="00FF6392"/>
    <w:rsid w:val="00FF6793"/>
    <w:rsid w:val="00FF6841"/>
    <w:rsid w:val="0133D6F3"/>
    <w:rsid w:val="017B8681"/>
    <w:rsid w:val="017E3269"/>
    <w:rsid w:val="018CBDE8"/>
    <w:rsid w:val="029E9FA1"/>
    <w:rsid w:val="02A038AC"/>
    <w:rsid w:val="02A31872"/>
    <w:rsid w:val="02C6683F"/>
    <w:rsid w:val="034764B1"/>
    <w:rsid w:val="0395D931"/>
    <w:rsid w:val="03C29B72"/>
    <w:rsid w:val="040BBE98"/>
    <w:rsid w:val="05251D74"/>
    <w:rsid w:val="05A057A7"/>
    <w:rsid w:val="0641C909"/>
    <w:rsid w:val="0717CBB2"/>
    <w:rsid w:val="0738C356"/>
    <w:rsid w:val="074539C4"/>
    <w:rsid w:val="0756B160"/>
    <w:rsid w:val="075CEF83"/>
    <w:rsid w:val="0903EF02"/>
    <w:rsid w:val="09B27FB3"/>
    <w:rsid w:val="09BAA76E"/>
    <w:rsid w:val="0A31CD84"/>
    <w:rsid w:val="0A98785F"/>
    <w:rsid w:val="0AC32657"/>
    <w:rsid w:val="0BC453A3"/>
    <w:rsid w:val="0C113D06"/>
    <w:rsid w:val="0C4A6884"/>
    <w:rsid w:val="0CF1E9BF"/>
    <w:rsid w:val="0EA8E61E"/>
    <w:rsid w:val="0EE386F2"/>
    <w:rsid w:val="0F376733"/>
    <w:rsid w:val="0F4ADEE3"/>
    <w:rsid w:val="0F68DA6F"/>
    <w:rsid w:val="0FBFD4AE"/>
    <w:rsid w:val="0FC47E0E"/>
    <w:rsid w:val="106AE109"/>
    <w:rsid w:val="115E88A2"/>
    <w:rsid w:val="118C928C"/>
    <w:rsid w:val="12D4222D"/>
    <w:rsid w:val="13BA1F5B"/>
    <w:rsid w:val="142382F7"/>
    <w:rsid w:val="1443AC20"/>
    <w:rsid w:val="15044756"/>
    <w:rsid w:val="15AFFE60"/>
    <w:rsid w:val="15F8FB7F"/>
    <w:rsid w:val="1625CEFB"/>
    <w:rsid w:val="1658F959"/>
    <w:rsid w:val="16756D82"/>
    <w:rsid w:val="17B48F9B"/>
    <w:rsid w:val="17BE4FB4"/>
    <w:rsid w:val="17CFACF3"/>
    <w:rsid w:val="17DE7CAC"/>
    <w:rsid w:val="18795D31"/>
    <w:rsid w:val="18C85C52"/>
    <w:rsid w:val="1945833E"/>
    <w:rsid w:val="19B8E53C"/>
    <w:rsid w:val="1A44D790"/>
    <w:rsid w:val="1A6FA7A2"/>
    <w:rsid w:val="1AC3C945"/>
    <w:rsid w:val="1BA25EC6"/>
    <w:rsid w:val="1C1019E2"/>
    <w:rsid w:val="1C618E24"/>
    <w:rsid w:val="1C74F1C3"/>
    <w:rsid w:val="1C92C2E9"/>
    <w:rsid w:val="1CDFB183"/>
    <w:rsid w:val="1D921579"/>
    <w:rsid w:val="1D9D6FEF"/>
    <w:rsid w:val="1DA7BDC3"/>
    <w:rsid w:val="1DC3DFD3"/>
    <w:rsid w:val="1E02AE08"/>
    <w:rsid w:val="1E88ADA9"/>
    <w:rsid w:val="1E9A0CD2"/>
    <w:rsid w:val="1EAA8601"/>
    <w:rsid w:val="1EB13DE7"/>
    <w:rsid w:val="1EE8887B"/>
    <w:rsid w:val="1EF7438D"/>
    <w:rsid w:val="1F1CA1B4"/>
    <w:rsid w:val="1F35EA41"/>
    <w:rsid w:val="1F63350A"/>
    <w:rsid w:val="1FC93E70"/>
    <w:rsid w:val="202A0B33"/>
    <w:rsid w:val="20658396"/>
    <w:rsid w:val="206BFB70"/>
    <w:rsid w:val="20F600F8"/>
    <w:rsid w:val="2113D2C4"/>
    <w:rsid w:val="21E0B633"/>
    <w:rsid w:val="235BE5D7"/>
    <w:rsid w:val="23E17484"/>
    <w:rsid w:val="24378AE5"/>
    <w:rsid w:val="248EFF53"/>
    <w:rsid w:val="24A96D9A"/>
    <w:rsid w:val="24E18B5B"/>
    <w:rsid w:val="24E927B2"/>
    <w:rsid w:val="25E3C054"/>
    <w:rsid w:val="264328A2"/>
    <w:rsid w:val="26D1C078"/>
    <w:rsid w:val="2723202F"/>
    <w:rsid w:val="27AF5D5C"/>
    <w:rsid w:val="27EB298F"/>
    <w:rsid w:val="291548F4"/>
    <w:rsid w:val="29A96457"/>
    <w:rsid w:val="29CC0D0E"/>
    <w:rsid w:val="29E0904E"/>
    <w:rsid w:val="2A3DC0A2"/>
    <w:rsid w:val="2A50FC79"/>
    <w:rsid w:val="2ABB3FB8"/>
    <w:rsid w:val="2AC7FC1A"/>
    <w:rsid w:val="2AEAECDB"/>
    <w:rsid w:val="2B26BAE7"/>
    <w:rsid w:val="2B338F72"/>
    <w:rsid w:val="2B46972A"/>
    <w:rsid w:val="2B994791"/>
    <w:rsid w:val="2BA9951F"/>
    <w:rsid w:val="2BCD1DB7"/>
    <w:rsid w:val="2BD579A9"/>
    <w:rsid w:val="2C169CE3"/>
    <w:rsid w:val="2C864A18"/>
    <w:rsid w:val="2CA5E93C"/>
    <w:rsid w:val="2CD456F2"/>
    <w:rsid w:val="2DC286DF"/>
    <w:rsid w:val="2E1DAE46"/>
    <w:rsid w:val="2F381C47"/>
    <w:rsid w:val="2F57DD6B"/>
    <w:rsid w:val="2FA1BCB6"/>
    <w:rsid w:val="30AD9F5B"/>
    <w:rsid w:val="30B39C25"/>
    <w:rsid w:val="30BFE051"/>
    <w:rsid w:val="3184D905"/>
    <w:rsid w:val="318B5F34"/>
    <w:rsid w:val="32A2D7E5"/>
    <w:rsid w:val="32A49A4C"/>
    <w:rsid w:val="32E6254C"/>
    <w:rsid w:val="3306DAAD"/>
    <w:rsid w:val="331F88E6"/>
    <w:rsid w:val="3387CB02"/>
    <w:rsid w:val="34AE4100"/>
    <w:rsid w:val="35062076"/>
    <w:rsid w:val="352EBB00"/>
    <w:rsid w:val="3552B114"/>
    <w:rsid w:val="38D7995C"/>
    <w:rsid w:val="38FA463F"/>
    <w:rsid w:val="394B670A"/>
    <w:rsid w:val="396A8352"/>
    <w:rsid w:val="3A777C9D"/>
    <w:rsid w:val="3AE7A209"/>
    <w:rsid w:val="3B3DB448"/>
    <w:rsid w:val="3B8BF6CD"/>
    <w:rsid w:val="3C10FDE0"/>
    <w:rsid w:val="3C759808"/>
    <w:rsid w:val="3D0FBD56"/>
    <w:rsid w:val="3D1AF9C4"/>
    <w:rsid w:val="3D75C368"/>
    <w:rsid w:val="3E0279B4"/>
    <w:rsid w:val="3EDD8D1B"/>
    <w:rsid w:val="3EF6AFEA"/>
    <w:rsid w:val="3F80CB6C"/>
    <w:rsid w:val="3FD9EE50"/>
    <w:rsid w:val="405CD08F"/>
    <w:rsid w:val="408A8EAB"/>
    <w:rsid w:val="40AFE22C"/>
    <w:rsid w:val="40C5492C"/>
    <w:rsid w:val="40DB79D6"/>
    <w:rsid w:val="40E4ADD5"/>
    <w:rsid w:val="41403A34"/>
    <w:rsid w:val="418E9DE3"/>
    <w:rsid w:val="4273EDC2"/>
    <w:rsid w:val="4276CDA4"/>
    <w:rsid w:val="428748E7"/>
    <w:rsid w:val="4353C0F7"/>
    <w:rsid w:val="43F22B17"/>
    <w:rsid w:val="44D996D5"/>
    <w:rsid w:val="44E183DA"/>
    <w:rsid w:val="459B4AA4"/>
    <w:rsid w:val="45C3BC56"/>
    <w:rsid w:val="461F7CCF"/>
    <w:rsid w:val="4661B79B"/>
    <w:rsid w:val="46B9D90B"/>
    <w:rsid w:val="472113FC"/>
    <w:rsid w:val="474016A7"/>
    <w:rsid w:val="475AF98B"/>
    <w:rsid w:val="4785D14B"/>
    <w:rsid w:val="47F0AD35"/>
    <w:rsid w:val="4937184C"/>
    <w:rsid w:val="4942483A"/>
    <w:rsid w:val="4A42BFD7"/>
    <w:rsid w:val="4A6D6193"/>
    <w:rsid w:val="4B2D384F"/>
    <w:rsid w:val="4C03E56D"/>
    <w:rsid w:val="4CF33C7F"/>
    <w:rsid w:val="4D1D6609"/>
    <w:rsid w:val="4D36D49B"/>
    <w:rsid w:val="4D37175B"/>
    <w:rsid w:val="4D7C8C8F"/>
    <w:rsid w:val="4E406D82"/>
    <w:rsid w:val="4F31AAAF"/>
    <w:rsid w:val="4FB05913"/>
    <w:rsid w:val="4FC26347"/>
    <w:rsid w:val="50322296"/>
    <w:rsid w:val="503E360E"/>
    <w:rsid w:val="50C30B15"/>
    <w:rsid w:val="50F13F91"/>
    <w:rsid w:val="517A23E1"/>
    <w:rsid w:val="5187CDF8"/>
    <w:rsid w:val="51D547E7"/>
    <w:rsid w:val="52009EDB"/>
    <w:rsid w:val="5258BFEC"/>
    <w:rsid w:val="52B1E9FA"/>
    <w:rsid w:val="52F875ED"/>
    <w:rsid w:val="532C0D42"/>
    <w:rsid w:val="5342E6EB"/>
    <w:rsid w:val="5378B85F"/>
    <w:rsid w:val="53AFB3EE"/>
    <w:rsid w:val="544D978E"/>
    <w:rsid w:val="552B38AF"/>
    <w:rsid w:val="555237B3"/>
    <w:rsid w:val="55E30380"/>
    <w:rsid w:val="56C50D90"/>
    <w:rsid w:val="56FECE08"/>
    <w:rsid w:val="5815BBC6"/>
    <w:rsid w:val="58218A84"/>
    <w:rsid w:val="5825A597"/>
    <w:rsid w:val="589C5635"/>
    <w:rsid w:val="58D09307"/>
    <w:rsid w:val="5957C2C7"/>
    <w:rsid w:val="5960B8B8"/>
    <w:rsid w:val="596A4F98"/>
    <w:rsid w:val="59D7EADC"/>
    <w:rsid w:val="59ECE716"/>
    <w:rsid w:val="5B964824"/>
    <w:rsid w:val="5C632483"/>
    <w:rsid w:val="5CC607AD"/>
    <w:rsid w:val="5CFCF933"/>
    <w:rsid w:val="5D4B4264"/>
    <w:rsid w:val="5D73781D"/>
    <w:rsid w:val="5D9203AE"/>
    <w:rsid w:val="5E3C4155"/>
    <w:rsid w:val="5E453D2B"/>
    <w:rsid w:val="5E8D5889"/>
    <w:rsid w:val="5EF7645A"/>
    <w:rsid w:val="5F8B4DE4"/>
    <w:rsid w:val="5FD09D9C"/>
    <w:rsid w:val="6012A3C9"/>
    <w:rsid w:val="6012C3D4"/>
    <w:rsid w:val="609C9935"/>
    <w:rsid w:val="60AA3625"/>
    <w:rsid w:val="61130A2E"/>
    <w:rsid w:val="61514BE5"/>
    <w:rsid w:val="616228EF"/>
    <w:rsid w:val="616CC72A"/>
    <w:rsid w:val="61A4B891"/>
    <w:rsid w:val="623877A0"/>
    <w:rsid w:val="63351660"/>
    <w:rsid w:val="64582EE7"/>
    <w:rsid w:val="6461B64C"/>
    <w:rsid w:val="64A92F8B"/>
    <w:rsid w:val="652991E9"/>
    <w:rsid w:val="65E1608D"/>
    <w:rsid w:val="665918FB"/>
    <w:rsid w:val="6676DDA8"/>
    <w:rsid w:val="674D7BED"/>
    <w:rsid w:val="6774ADA6"/>
    <w:rsid w:val="67854ABF"/>
    <w:rsid w:val="698EFA07"/>
    <w:rsid w:val="69C6BEBE"/>
    <w:rsid w:val="69F2737C"/>
    <w:rsid w:val="6A5128D4"/>
    <w:rsid w:val="6B7243F9"/>
    <w:rsid w:val="6B8A5A27"/>
    <w:rsid w:val="6C246468"/>
    <w:rsid w:val="6C35B37A"/>
    <w:rsid w:val="6CE38A63"/>
    <w:rsid w:val="6DB17475"/>
    <w:rsid w:val="6DDD355E"/>
    <w:rsid w:val="6E2034A6"/>
    <w:rsid w:val="6F76CC40"/>
    <w:rsid w:val="702C13A0"/>
    <w:rsid w:val="703C5AE1"/>
    <w:rsid w:val="7049CE24"/>
    <w:rsid w:val="70825CF3"/>
    <w:rsid w:val="70B52608"/>
    <w:rsid w:val="72DAF20F"/>
    <w:rsid w:val="72E60B4C"/>
    <w:rsid w:val="733ACE59"/>
    <w:rsid w:val="740BCAC2"/>
    <w:rsid w:val="74143C8D"/>
    <w:rsid w:val="74582855"/>
    <w:rsid w:val="748BA78F"/>
    <w:rsid w:val="75140D29"/>
    <w:rsid w:val="751A485B"/>
    <w:rsid w:val="75C2A422"/>
    <w:rsid w:val="75CF92A2"/>
    <w:rsid w:val="75D6BD2E"/>
    <w:rsid w:val="76C5C428"/>
    <w:rsid w:val="77330982"/>
    <w:rsid w:val="773E8DE3"/>
    <w:rsid w:val="77785741"/>
    <w:rsid w:val="78A93ECC"/>
    <w:rsid w:val="7963119C"/>
    <w:rsid w:val="7990FE22"/>
    <w:rsid w:val="79A30949"/>
    <w:rsid w:val="79B91B08"/>
    <w:rsid w:val="7A6946DD"/>
    <w:rsid w:val="7AE391CD"/>
    <w:rsid w:val="7AE61227"/>
    <w:rsid w:val="7B917202"/>
    <w:rsid w:val="7BAA8FA4"/>
    <w:rsid w:val="7BC8EEA5"/>
    <w:rsid w:val="7BDDCBF6"/>
    <w:rsid w:val="7C7F0046"/>
    <w:rsid w:val="7DE82486"/>
    <w:rsid w:val="7F496143"/>
    <w:rsid w:val="7F810273"/>
  </w:rsids>
  <m:mathPr>
    <m:mathFont m:val="Cambria Math"/>
    <m:brkBin m:val="before"/>
    <m:brkBinSub m:val="--"/>
    <m:smallFrac m:val="0"/>
    <m:dispDef/>
    <m:lMargin m:val="0"/>
    <m:rMargin m:val="0"/>
    <m:defJc m:val="centerGroup"/>
    <m:wrapIndent m:val="1440"/>
    <m:intLim m:val="subSup"/>
    <m:naryLim m:val="undOvr"/>
  </m:mathPr>
  <w:themeFontLang w:val="en-AU" w:eastAsia="ja-JP"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B62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158"/>
    <w:pPr>
      <w:spacing w:before="40"/>
    </w:pPr>
    <w:rPr>
      <w:color w:val="000000"/>
    </w:rPr>
  </w:style>
  <w:style w:type="paragraph" w:styleId="Heading1">
    <w:name w:val="heading 1"/>
    <w:basedOn w:val="Normal"/>
    <w:next w:val="Normal"/>
    <w:link w:val="Heading1Char"/>
    <w:uiPriority w:val="1"/>
    <w:qFormat/>
    <w:rsid w:val="2BA9951F"/>
    <w:pPr>
      <w:outlineLvl w:val="0"/>
    </w:pPr>
    <w:rPr>
      <w:rFonts w:asciiTheme="majorHAnsi" w:eastAsiaTheme="majorEastAsia" w:hAnsiTheme="majorHAnsi" w:cstheme="majorBidi"/>
      <w:color w:val="1B365D" w:themeColor="text2"/>
      <w:sz w:val="32"/>
      <w:szCs w:val="32"/>
    </w:rPr>
  </w:style>
  <w:style w:type="paragraph" w:styleId="Heading2">
    <w:name w:val="heading 2"/>
    <w:basedOn w:val="Normal"/>
    <w:next w:val="Normal"/>
    <w:link w:val="Heading2Char"/>
    <w:uiPriority w:val="1"/>
    <w:unhideWhenUsed/>
    <w:qFormat/>
    <w:rsid w:val="2BA9951F"/>
    <w:pPr>
      <w:keepNext/>
      <w:keepLines/>
      <w:spacing w:before="160" w:after="80"/>
      <w:outlineLvl w:val="1"/>
    </w:pPr>
    <w:rPr>
      <w:rFonts w:asciiTheme="majorHAnsi" w:eastAsiaTheme="majorEastAsia" w:hAnsiTheme="majorHAnsi" w:cstheme="majorBidi"/>
      <w:b/>
      <w:bCs/>
      <w:color w:val="1B365D" w:themeColor="text2"/>
      <w:sz w:val="24"/>
      <w:szCs w:val="24"/>
    </w:rPr>
  </w:style>
  <w:style w:type="paragraph" w:styleId="Heading3">
    <w:name w:val="heading 3"/>
    <w:basedOn w:val="ListParagraph"/>
    <w:next w:val="Normal"/>
    <w:link w:val="Heading3Char"/>
    <w:unhideWhenUsed/>
    <w:qFormat/>
    <w:rsid w:val="006B5BDD"/>
    <w:pPr>
      <w:numPr>
        <w:numId w:val="29"/>
      </w:numPr>
      <w:outlineLvl w:val="2"/>
    </w:pPr>
    <w:rPr>
      <w:rFonts w:ascii="Calibri" w:hAnsi="Calibri" w:cs="Calibri"/>
      <w:b/>
      <w:bCs/>
      <w:color w:val="1B365D" w:themeColor="text2"/>
    </w:rPr>
  </w:style>
  <w:style w:type="paragraph" w:styleId="Heading4">
    <w:name w:val="heading 4"/>
    <w:basedOn w:val="Normal"/>
    <w:next w:val="Normal"/>
    <w:link w:val="Heading4Char"/>
    <w:semiHidden/>
    <w:unhideWhenUsed/>
    <w:qFormat/>
    <w:rsid w:val="00551A16"/>
    <w:pPr>
      <w:keepNext/>
      <w:keepLines/>
      <w:spacing w:before="80" w:after="40"/>
      <w:outlineLvl w:val="3"/>
    </w:pPr>
    <w:rPr>
      <w:rFonts w:eastAsiaTheme="majorEastAsia" w:cstheme="majorBidi"/>
      <w:b/>
      <w:iCs/>
      <w:color w:val="7C6992"/>
    </w:rPr>
  </w:style>
  <w:style w:type="paragraph" w:styleId="Heading5">
    <w:name w:val="heading 5"/>
    <w:basedOn w:val="Normal"/>
    <w:next w:val="Normal"/>
    <w:link w:val="Heading5Char"/>
    <w:semiHidden/>
    <w:unhideWhenUsed/>
    <w:qFormat/>
    <w:rsid w:val="00017E93"/>
    <w:pPr>
      <w:keepNext/>
      <w:keepLines/>
      <w:spacing w:before="80" w:after="40"/>
      <w:outlineLvl w:val="4"/>
    </w:pPr>
    <w:rPr>
      <w:rFonts w:eastAsiaTheme="majorEastAsia" w:cstheme="majorBidi"/>
      <w:color w:val="D39100" w:themeColor="accent1" w:themeShade="BF"/>
    </w:rPr>
  </w:style>
  <w:style w:type="paragraph" w:styleId="Heading6">
    <w:name w:val="heading 6"/>
    <w:basedOn w:val="Normal"/>
    <w:next w:val="Normal"/>
    <w:link w:val="Heading6Char"/>
    <w:semiHidden/>
    <w:unhideWhenUsed/>
    <w:qFormat/>
    <w:rsid w:val="00017E93"/>
    <w:pPr>
      <w:keepNext/>
      <w:keepLines/>
      <w:spacing w:after="0"/>
      <w:outlineLvl w:val="5"/>
    </w:pPr>
    <w:rPr>
      <w:rFonts w:eastAsiaTheme="majorEastAsia" w:cstheme="majorBidi"/>
      <w:i/>
      <w:iCs/>
      <w:color w:val="3A73C5" w:themeColor="text1" w:themeTint="A6"/>
    </w:rPr>
  </w:style>
  <w:style w:type="paragraph" w:styleId="Heading7">
    <w:name w:val="heading 7"/>
    <w:basedOn w:val="Normal"/>
    <w:next w:val="Normal"/>
    <w:link w:val="Heading7Char"/>
    <w:semiHidden/>
    <w:unhideWhenUsed/>
    <w:qFormat/>
    <w:rsid w:val="00017E93"/>
    <w:pPr>
      <w:keepNext/>
      <w:keepLines/>
      <w:spacing w:after="0"/>
      <w:outlineLvl w:val="6"/>
    </w:pPr>
    <w:rPr>
      <w:rFonts w:eastAsiaTheme="majorEastAsia" w:cstheme="majorBidi"/>
      <w:color w:val="3A73C5" w:themeColor="text1" w:themeTint="A6"/>
    </w:rPr>
  </w:style>
  <w:style w:type="paragraph" w:styleId="Heading8">
    <w:name w:val="heading 8"/>
    <w:basedOn w:val="Normal"/>
    <w:next w:val="Normal"/>
    <w:link w:val="Heading8Char"/>
    <w:semiHidden/>
    <w:unhideWhenUsed/>
    <w:qFormat/>
    <w:rsid w:val="00017E93"/>
    <w:pPr>
      <w:keepNext/>
      <w:keepLines/>
      <w:spacing w:after="0"/>
      <w:outlineLvl w:val="7"/>
    </w:pPr>
    <w:rPr>
      <w:rFonts w:eastAsiaTheme="majorEastAsia" w:cstheme="majorBidi"/>
      <w:i/>
      <w:iCs/>
      <w:color w:val="28508A" w:themeColor="text1" w:themeTint="D8"/>
    </w:rPr>
  </w:style>
  <w:style w:type="paragraph" w:styleId="Heading9">
    <w:name w:val="heading 9"/>
    <w:basedOn w:val="Normal"/>
    <w:next w:val="Normal"/>
    <w:link w:val="Heading9Char"/>
    <w:semiHidden/>
    <w:unhideWhenUsed/>
    <w:qFormat/>
    <w:rsid w:val="00017E93"/>
    <w:pPr>
      <w:keepNext/>
      <w:keepLines/>
      <w:spacing w:after="0"/>
      <w:outlineLvl w:val="8"/>
    </w:pPr>
    <w:rPr>
      <w:rFonts w:eastAsiaTheme="majorEastAsia" w:cstheme="majorBidi"/>
      <w:color w:val="28508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2BA9951F"/>
    <w:rPr>
      <w:rFonts w:asciiTheme="majorHAnsi" w:eastAsiaTheme="majorEastAsia" w:hAnsiTheme="majorHAnsi" w:cstheme="majorBidi"/>
      <w:b w:val="0"/>
      <w:bCs w:val="0"/>
      <w:color w:val="1B365D" w:themeColor="text2"/>
      <w:sz w:val="32"/>
      <w:szCs w:val="32"/>
    </w:rPr>
  </w:style>
  <w:style w:type="character" w:customStyle="1" w:styleId="Heading2Char">
    <w:name w:val="Heading 2 Char"/>
    <w:basedOn w:val="DefaultParagraphFont"/>
    <w:link w:val="Heading2"/>
    <w:uiPriority w:val="2"/>
    <w:rsid w:val="2BA9951F"/>
    <w:rPr>
      <w:rFonts w:asciiTheme="majorHAnsi" w:eastAsiaTheme="majorEastAsia" w:hAnsiTheme="majorHAnsi" w:cstheme="majorBidi"/>
      <w:b/>
      <w:bCs/>
      <w:color w:val="1B365D" w:themeColor="text2"/>
      <w:sz w:val="24"/>
      <w:szCs w:val="24"/>
    </w:rPr>
  </w:style>
  <w:style w:type="character" w:customStyle="1" w:styleId="Heading3Char">
    <w:name w:val="Heading 3 Char"/>
    <w:basedOn w:val="DefaultParagraphFont"/>
    <w:link w:val="Heading3"/>
    <w:uiPriority w:val="2"/>
    <w:rsid w:val="006B5BDD"/>
    <w:rPr>
      <w:rFonts w:ascii="Calibri" w:hAnsi="Calibri" w:cs="Calibri"/>
      <w:b/>
      <w:bCs/>
      <w:color w:val="1B365D" w:themeColor="text2"/>
    </w:rPr>
  </w:style>
  <w:style w:type="character" w:customStyle="1" w:styleId="Heading4Char">
    <w:name w:val="Heading 4 Char"/>
    <w:basedOn w:val="DefaultParagraphFont"/>
    <w:link w:val="Heading4"/>
    <w:uiPriority w:val="9"/>
    <w:semiHidden/>
    <w:rsid w:val="00551A16"/>
    <w:rPr>
      <w:rFonts w:eastAsiaTheme="majorEastAsia" w:cstheme="majorBidi"/>
      <w:b/>
      <w:iCs/>
      <w:color w:val="7C6992"/>
    </w:rPr>
  </w:style>
  <w:style w:type="character" w:customStyle="1" w:styleId="Heading5Char">
    <w:name w:val="Heading 5 Char"/>
    <w:basedOn w:val="DefaultParagraphFont"/>
    <w:link w:val="Heading5"/>
    <w:uiPriority w:val="9"/>
    <w:semiHidden/>
    <w:rsid w:val="00017E93"/>
    <w:rPr>
      <w:rFonts w:eastAsiaTheme="majorEastAsia" w:cstheme="majorBidi"/>
      <w:color w:val="D39100" w:themeColor="accent1" w:themeShade="BF"/>
    </w:rPr>
  </w:style>
  <w:style w:type="character" w:customStyle="1" w:styleId="Heading6Char">
    <w:name w:val="Heading 6 Char"/>
    <w:basedOn w:val="DefaultParagraphFont"/>
    <w:link w:val="Heading6"/>
    <w:uiPriority w:val="9"/>
    <w:semiHidden/>
    <w:rsid w:val="00017E93"/>
    <w:rPr>
      <w:rFonts w:eastAsiaTheme="majorEastAsia" w:cstheme="majorBidi"/>
      <w:i/>
      <w:iCs/>
      <w:color w:val="3A73C5" w:themeColor="text1" w:themeTint="A6"/>
    </w:rPr>
  </w:style>
  <w:style w:type="character" w:customStyle="1" w:styleId="Heading7Char">
    <w:name w:val="Heading 7 Char"/>
    <w:basedOn w:val="DefaultParagraphFont"/>
    <w:link w:val="Heading7"/>
    <w:uiPriority w:val="9"/>
    <w:semiHidden/>
    <w:rsid w:val="00017E93"/>
    <w:rPr>
      <w:rFonts w:eastAsiaTheme="majorEastAsia" w:cstheme="majorBidi"/>
      <w:color w:val="3A73C5" w:themeColor="text1" w:themeTint="A6"/>
    </w:rPr>
  </w:style>
  <w:style w:type="character" w:customStyle="1" w:styleId="Heading8Char">
    <w:name w:val="Heading 8 Char"/>
    <w:basedOn w:val="DefaultParagraphFont"/>
    <w:link w:val="Heading8"/>
    <w:uiPriority w:val="9"/>
    <w:semiHidden/>
    <w:rsid w:val="00017E93"/>
    <w:rPr>
      <w:rFonts w:eastAsiaTheme="majorEastAsia" w:cstheme="majorBidi"/>
      <w:i/>
      <w:iCs/>
      <w:color w:val="28508A" w:themeColor="text1" w:themeTint="D8"/>
    </w:rPr>
  </w:style>
  <w:style w:type="character" w:customStyle="1" w:styleId="Heading9Char">
    <w:name w:val="Heading 9 Char"/>
    <w:basedOn w:val="DefaultParagraphFont"/>
    <w:link w:val="Heading9"/>
    <w:uiPriority w:val="9"/>
    <w:semiHidden/>
    <w:rsid w:val="00017E93"/>
    <w:rPr>
      <w:rFonts w:eastAsiaTheme="majorEastAsia" w:cstheme="majorBidi"/>
      <w:color w:val="28508A" w:themeColor="text1" w:themeTint="D8"/>
    </w:rPr>
  </w:style>
  <w:style w:type="paragraph" w:styleId="Title">
    <w:name w:val="Title"/>
    <w:basedOn w:val="Normal"/>
    <w:next w:val="Normal"/>
    <w:link w:val="TitleChar"/>
    <w:uiPriority w:val="10"/>
    <w:qFormat/>
    <w:rsid w:val="00551A16"/>
    <w:pPr>
      <w:widowControl w:val="0"/>
      <w:spacing w:before="720" w:after="0" w:line="240" w:lineRule="auto"/>
      <w:contextualSpacing/>
    </w:pPr>
    <w:rPr>
      <w:rFonts w:asciiTheme="majorHAnsi" w:eastAsiaTheme="majorEastAsia" w:hAnsiTheme="majorHAnsi" w:cstheme="majorBidi"/>
      <w:b/>
      <w:color w:val="1B365D" w:themeColor="text1"/>
      <w:spacing w:val="-10"/>
      <w:kern w:val="28"/>
      <w:sz w:val="56"/>
      <w:szCs w:val="56"/>
    </w:rPr>
  </w:style>
  <w:style w:type="character" w:customStyle="1" w:styleId="TitleChar">
    <w:name w:val="Title Char"/>
    <w:basedOn w:val="DefaultParagraphFont"/>
    <w:link w:val="Title"/>
    <w:uiPriority w:val="10"/>
    <w:rsid w:val="00551A16"/>
    <w:rPr>
      <w:rFonts w:asciiTheme="majorHAnsi" w:eastAsiaTheme="majorEastAsia" w:hAnsiTheme="majorHAnsi" w:cstheme="majorBidi"/>
      <w:b/>
      <w:color w:val="1B365D" w:themeColor="text1"/>
      <w:spacing w:val="-10"/>
      <w:kern w:val="28"/>
      <w:sz w:val="56"/>
      <w:szCs w:val="56"/>
    </w:rPr>
  </w:style>
  <w:style w:type="paragraph" w:styleId="Subtitle">
    <w:name w:val="Subtitle"/>
    <w:basedOn w:val="Normal"/>
    <w:next w:val="Normal"/>
    <w:link w:val="SubtitleChar"/>
    <w:uiPriority w:val="11"/>
    <w:qFormat/>
    <w:rsid w:val="002305F5"/>
    <w:pPr>
      <w:numPr>
        <w:ilvl w:val="1"/>
      </w:numPr>
    </w:pPr>
    <w:rPr>
      <w:rFonts w:eastAsiaTheme="majorEastAsia" w:cstheme="majorBidi"/>
      <w:color w:val="1B365D" w:themeColor="text2"/>
      <w:sz w:val="16"/>
      <w:szCs w:val="28"/>
    </w:rPr>
  </w:style>
  <w:style w:type="character" w:customStyle="1" w:styleId="SubtitleChar">
    <w:name w:val="Subtitle Char"/>
    <w:basedOn w:val="DefaultParagraphFont"/>
    <w:link w:val="Subtitle"/>
    <w:uiPriority w:val="11"/>
    <w:rsid w:val="002305F5"/>
    <w:rPr>
      <w:rFonts w:eastAsiaTheme="majorEastAsia" w:cstheme="majorBidi"/>
      <w:color w:val="1B365D" w:themeColor="text2"/>
      <w:sz w:val="16"/>
      <w:szCs w:val="28"/>
    </w:rPr>
  </w:style>
  <w:style w:type="paragraph" w:styleId="Quote">
    <w:name w:val="Quote"/>
    <w:aliases w:val="Callout box 1"/>
    <w:basedOn w:val="Normal"/>
    <w:next w:val="Normal"/>
    <w:link w:val="QuoteChar"/>
    <w:uiPriority w:val="2"/>
    <w:qFormat/>
    <w:rsid w:val="008F1699"/>
    <w:pPr>
      <w:pBdr>
        <w:left w:val="single" w:sz="48" w:space="1" w:color="FFB81C" w:themeColor="accent1"/>
      </w:pBdr>
      <w:shd w:val="clear" w:color="auto" w:fill="FFE2A4" w:themeFill="accent1" w:themeFillTint="66"/>
      <w:spacing w:before="160"/>
    </w:pPr>
    <w:rPr>
      <w:iCs/>
      <w:color w:val="1B365D" w:themeColor="text2"/>
    </w:rPr>
  </w:style>
  <w:style w:type="character" w:customStyle="1" w:styleId="QuoteChar">
    <w:name w:val="Quote Char"/>
    <w:aliases w:val="Callout box 1 Char"/>
    <w:basedOn w:val="DefaultParagraphFont"/>
    <w:link w:val="Quote"/>
    <w:uiPriority w:val="2"/>
    <w:rsid w:val="00857BEA"/>
    <w:rPr>
      <w:iCs/>
      <w:color w:val="1B365D" w:themeColor="text2"/>
      <w:shd w:val="clear" w:color="auto" w:fill="FFE2A4" w:themeFill="accent1" w:themeFillTint="66"/>
    </w:rPr>
  </w:style>
  <w:style w:type="character" w:styleId="IntenseReference">
    <w:name w:val="Intense Reference"/>
    <w:basedOn w:val="DefaultParagraphFont"/>
    <w:uiPriority w:val="32"/>
    <w:rsid w:val="00017E93"/>
    <w:rPr>
      <w:b/>
      <w:bCs/>
      <w:smallCaps/>
      <w:color w:val="D39100" w:themeColor="accent1" w:themeShade="BF"/>
      <w:spacing w:val="5"/>
    </w:rPr>
  </w:style>
  <w:style w:type="paragraph" w:styleId="Header">
    <w:name w:val="header"/>
    <w:basedOn w:val="Normal"/>
    <w:link w:val="HeaderChar"/>
    <w:uiPriority w:val="99"/>
    <w:unhideWhenUsed/>
    <w:rsid w:val="00017E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E93"/>
  </w:style>
  <w:style w:type="paragraph" w:styleId="Footer">
    <w:name w:val="footer"/>
    <w:basedOn w:val="Normal"/>
    <w:link w:val="FooterChar"/>
    <w:uiPriority w:val="99"/>
    <w:unhideWhenUsed/>
    <w:rsid w:val="00017E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E93"/>
  </w:style>
  <w:style w:type="character" w:styleId="PlaceholderText">
    <w:name w:val="Placeholder Text"/>
    <w:basedOn w:val="DefaultParagraphFont"/>
    <w:uiPriority w:val="99"/>
    <w:semiHidden/>
    <w:rsid w:val="00017E93"/>
    <w:rPr>
      <w:color w:val="666666"/>
    </w:rPr>
  </w:style>
  <w:style w:type="paragraph" w:customStyle="1" w:styleId="Bulletlist">
    <w:name w:val="Bullet list"/>
    <w:basedOn w:val="Normal"/>
    <w:link w:val="BulletlistChar"/>
    <w:uiPriority w:val="1"/>
    <w:qFormat/>
    <w:rsid w:val="005B7BD9"/>
    <w:pPr>
      <w:numPr>
        <w:numId w:val="1"/>
      </w:numPr>
      <w:ind w:left="714" w:hanging="357"/>
      <w:contextualSpacing/>
    </w:pPr>
  </w:style>
  <w:style w:type="character" w:customStyle="1" w:styleId="BulletlistChar">
    <w:name w:val="Bullet list Char"/>
    <w:basedOn w:val="DefaultParagraphFont"/>
    <w:link w:val="Bulletlist"/>
    <w:uiPriority w:val="1"/>
    <w:rsid w:val="002305F5"/>
    <w:rPr>
      <w:color w:val="1B365D" w:themeColor="text1"/>
    </w:rPr>
  </w:style>
  <w:style w:type="paragraph" w:customStyle="1" w:styleId="Bulletlist-level2">
    <w:name w:val="Bullet list - level 2"/>
    <w:basedOn w:val="Bulletlist"/>
    <w:link w:val="Bulletlist-level2Char"/>
    <w:uiPriority w:val="1"/>
    <w:qFormat/>
    <w:rsid w:val="004A69B7"/>
    <w:pPr>
      <w:numPr>
        <w:ilvl w:val="1"/>
      </w:numPr>
      <w:spacing w:after="0"/>
      <w:ind w:left="1208" w:hanging="357"/>
    </w:pPr>
  </w:style>
  <w:style w:type="character" w:customStyle="1" w:styleId="Bulletlist-level2Char">
    <w:name w:val="Bullet list - level 2 Char"/>
    <w:basedOn w:val="BulletlistChar"/>
    <w:link w:val="Bulletlist-level2"/>
    <w:uiPriority w:val="1"/>
    <w:rsid w:val="002305F5"/>
    <w:rPr>
      <w:color w:val="1B365D" w:themeColor="text1"/>
    </w:rPr>
  </w:style>
  <w:style w:type="paragraph" w:customStyle="1" w:styleId="Calloutbox2">
    <w:name w:val="Callout box 2"/>
    <w:basedOn w:val="Quote"/>
    <w:link w:val="Calloutbox2Char"/>
    <w:uiPriority w:val="3"/>
    <w:qFormat/>
    <w:rsid w:val="00F1666A"/>
    <w:pPr>
      <w:pBdr>
        <w:left w:val="single" w:sz="48" w:space="1" w:color="BA9CC5" w:themeColor="accent2"/>
      </w:pBdr>
      <w:shd w:val="clear" w:color="auto" w:fill="E3D7E7" w:themeFill="accent2" w:themeFillTint="66"/>
    </w:pPr>
  </w:style>
  <w:style w:type="character" w:customStyle="1" w:styleId="Calloutbox2Char">
    <w:name w:val="Callout box 2 Char"/>
    <w:basedOn w:val="QuoteChar"/>
    <w:link w:val="Calloutbox2"/>
    <w:uiPriority w:val="3"/>
    <w:rsid w:val="00857BEA"/>
    <w:rPr>
      <w:iCs/>
      <w:color w:val="1B365D" w:themeColor="text2"/>
      <w:shd w:val="clear" w:color="auto" w:fill="E3D7E7" w:themeFill="accent2" w:themeFillTint="66"/>
    </w:rPr>
  </w:style>
  <w:style w:type="paragraph" w:customStyle="1" w:styleId="Longquote">
    <w:name w:val="Long quote"/>
    <w:basedOn w:val="Normal"/>
    <w:uiPriority w:val="2"/>
    <w:qFormat/>
    <w:rsid w:val="002B0960"/>
    <w:pPr>
      <w:pBdr>
        <w:left w:val="single" w:sz="18" w:space="4" w:color="00C1D5" w:themeColor="accent3"/>
      </w:pBdr>
      <w:ind w:left="737"/>
    </w:pPr>
    <w:rPr>
      <w:i/>
      <w:noProof/>
      <w:color w:val="1B365D" w:themeColor="text2"/>
    </w:rPr>
  </w:style>
  <w:style w:type="character" w:styleId="Hyperlink">
    <w:name w:val="Hyperlink"/>
    <w:basedOn w:val="DefaultParagraphFont"/>
    <w:uiPriority w:val="99"/>
    <w:unhideWhenUsed/>
    <w:rsid w:val="00985325"/>
    <w:rPr>
      <w:color w:val="1B365D" w:themeColor="hyperlink"/>
      <w:u w:val="single"/>
    </w:rPr>
  </w:style>
  <w:style w:type="paragraph" w:customStyle="1" w:styleId="Calloutboxbullet">
    <w:name w:val="Callout box bullet"/>
    <w:basedOn w:val="Quote"/>
    <w:link w:val="CalloutboxbulletChar"/>
    <w:uiPriority w:val="3"/>
    <w:qFormat/>
    <w:rsid w:val="00985325"/>
    <w:pPr>
      <w:numPr>
        <w:numId w:val="2"/>
      </w:numPr>
      <w:contextualSpacing/>
    </w:pPr>
  </w:style>
  <w:style w:type="character" w:customStyle="1" w:styleId="CalloutboxbulletChar">
    <w:name w:val="Callout box bullet Char"/>
    <w:basedOn w:val="QuoteChar"/>
    <w:link w:val="Calloutboxbullet"/>
    <w:uiPriority w:val="3"/>
    <w:rsid w:val="00985325"/>
    <w:rPr>
      <w:iCs/>
      <w:color w:val="1B365D" w:themeColor="text2"/>
      <w:shd w:val="clear" w:color="auto" w:fill="FFE2A4" w:themeFill="accent1" w:themeFillTint="66"/>
    </w:rPr>
  </w:style>
  <w:style w:type="paragraph" w:customStyle="1" w:styleId="Calloutbox2bullet">
    <w:name w:val="Callout box 2 bullet"/>
    <w:basedOn w:val="Calloutboxbullet"/>
    <w:link w:val="Calloutbox2bulletChar"/>
    <w:uiPriority w:val="4"/>
    <w:qFormat/>
    <w:rsid w:val="00985325"/>
    <w:pPr>
      <w:pBdr>
        <w:left w:val="single" w:sz="48" w:space="1" w:color="BA9CC5" w:themeColor="accent2"/>
      </w:pBdr>
      <w:shd w:val="clear" w:color="auto" w:fill="E3D7E7" w:themeFill="accent2" w:themeFillTint="66"/>
    </w:pPr>
  </w:style>
  <w:style w:type="character" w:customStyle="1" w:styleId="Calloutbox2bulletChar">
    <w:name w:val="Callout box 2 bullet Char"/>
    <w:basedOn w:val="CalloutboxbulletChar"/>
    <w:link w:val="Calloutbox2bullet"/>
    <w:uiPriority w:val="4"/>
    <w:rsid w:val="00985325"/>
    <w:rPr>
      <w:iCs/>
      <w:color w:val="1B365D" w:themeColor="text2"/>
      <w:shd w:val="clear" w:color="auto" w:fill="E3D7E7" w:themeFill="accent2" w:themeFillTint="66"/>
    </w:rPr>
  </w:style>
  <w:style w:type="table" w:styleId="TableGrid">
    <w:name w:val="Table Grid"/>
    <w:basedOn w:val="TableNormal"/>
    <w:uiPriority w:val="39"/>
    <w:rsid w:val="00E62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62158"/>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E62158"/>
    <w:rPr>
      <w:color w:val="000000"/>
      <w:sz w:val="20"/>
      <w:szCs w:val="20"/>
    </w:rPr>
  </w:style>
  <w:style w:type="character" w:styleId="FootnoteReference">
    <w:name w:val="footnote reference"/>
    <w:basedOn w:val="DefaultParagraphFont"/>
    <w:uiPriority w:val="99"/>
    <w:semiHidden/>
    <w:unhideWhenUsed/>
    <w:rsid w:val="00E62158"/>
    <w:rPr>
      <w:vertAlign w:val="superscript"/>
    </w:rPr>
  </w:style>
  <w:style w:type="paragraph" w:styleId="ListParagraph">
    <w:name w:val="List Paragraph"/>
    <w:basedOn w:val="Normal"/>
    <w:uiPriority w:val="1"/>
    <w:qFormat/>
    <w:rsid w:val="00E62158"/>
    <w:pPr>
      <w:ind w:left="720"/>
      <w:contextualSpacing/>
    </w:pPr>
  </w:style>
  <w:style w:type="character" w:styleId="CommentReference">
    <w:name w:val="annotation reference"/>
    <w:uiPriority w:val="99"/>
    <w:rsid w:val="00E62158"/>
    <w:rPr>
      <w:sz w:val="16"/>
      <w:szCs w:val="16"/>
    </w:rPr>
  </w:style>
  <w:style w:type="paragraph" w:styleId="CommentText">
    <w:name w:val="annotation text"/>
    <w:basedOn w:val="Normal"/>
    <w:link w:val="CommentTextChar"/>
    <w:uiPriority w:val="99"/>
    <w:semiHidden/>
    <w:rsid w:val="00E62158"/>
    <w:pPr>
      <w:widowControl w:val="0"/>
      <w:snapToGrid w:val="0"/>
      <w:spacing w:before="0" w:after="0" w:line="240" w:lineRule="auto"/>
    </w:pPr>
    <w:rPr>
      <w:rFonts w:ascii="Calibri" w:eastAsia="Times New Roman" w:hAnsi="Calibri" w:cs="Times New Roman"/>
      <w:color w:val="auto"/>
      <w:kern w:val="0"/>
      <w:sz w:val="20"/>
      <w:szCs w:val="20"/>
      <w:lang w:val="en-US"/>
      <w14:ligatures w14:val="none"/>
    </w:rPr>
  </w:style>
  <w:style w:type="character" w:customStyle="1" w:styleId="CommentTextChar">
    <w:name w:val="Comment Text Char"/>
    <w:basedOn w:val="DefaultParagraphFont"/>
    <w:link w:val="CommentText"/>
    <w:uiPriority w:val="99"/>
    <w:semiHidden/>
    <w:rsid w:val="00E62158"/>
    <w:rPr>
      <w:rFonts w:ascii="Calibri" w:eastAsia="Times New Roman" w:hAnsi="Calibri" w:cs="Times New Roman"/>
      <w:kern w:val="0"/>
      <w:sz w:val="20"/>
      <w:szCs w:val="20"/>
      <w:lang w:val="en-US"/>
      <w14:ligatures w14:val="none"/>
    </w:rPr>
  </w:style>
  <w:style w:type="character" w:styleId="Mention">
    <w:name w:val="Mention"/>
    <w:basedOn w:val="DefaultParagraphFont"/>
    <w:uiPriority w:val="99"/>
    <w:unhideWhenUsed/>
    <w:rsid w:val="00E62158"/>
    <w:rPr>
      <w:color w:val="2B579A"/>
      <w:shd w:val="clear" w:color="auto" w:fill="E1DFDD"/>
    </w:rPr>
  </w:style>
  <w:style w:type="character" w:styleId="Strong">
    <w:name w:val="Strong"/>
    <w:basedOn w:val="DefaultParagraphFont"/>
    <w:qFormat/>
    <w:rsid w:val="00E62158"/>
    <w:rPr>
      <w:b/>
      <w:bCs/>
    </w:rPr>
  </w:style>
  <w:style w:type="paragraph" w:styleId="CommentSubject">
    <w:name w:val="annotation subject"/>
    <w:basedOn w:val="CommentText"/>
    <w:next w:val="CommentText"/>
    <w:link w:val="CommentSubjectChar"/>
    <w:uiPriority w:val="99"/>
    <w:semiHidden/>
    <w:unhideWhenUsed/>
    <w:rsid w:val="00D70B15"/>
    <w:pPr>
      <w:widowControl/>
      <w:snapToGrid/>
      <w:spacing w:before="40" w:after="160"/>
    </w:pPr>
    <w:rPr>
      <w:rFonts w:asciiTheme="minorHAnsi" w:eastAsiaTheme="minorHAnsi" w:hAnsiTheme="minorHAnsi" w:cstheme="minorBidi"/>
      <w:b/>
      <w:bCs/>
      <w:color w:val="000000"/>
      <w:kern w:val="2"/>
      <w:lang w:val="en-AU"/>
      <w14:ligatures w14:val="standardContextual"/>
    </w:rPr>
  </w:style>
  <w:style w:type="character" w:customStyle="1" w:styleId="CommentSubjectChar">
    <w:name w:val="Comment Subject Char"/>
    <w:basedOn w:val="CommentTextChar"/>
    <w:link w:val="CommentSubject"/>
    <w:uiPriority w:val="99"/>
    <w:semiHidden/>
    <w:rsid w:val="00D70B15"/>
    <w:rPr>
      <w:rFonts w:ascii="Calibri" w:eastAsia="Times New Roman" w:hAnsi="Calibri" w:cs="Times New Roman"/>
      <w:b/>
      <w:bCs/>
      <w:color w:val="000000"/>
      <w:kern w:val="0"/>
      <w:sz w:val="20"/>
      <w:szCs w:val="20"/>
      <w:lang w:val="en-US"/>
      <w14:ligatures w14:val="none"/>
    </w:rPr>
  </w:style>
  <w:style w:type="paragraph" w:styleId="BodyText">
    <w:name w:val="Body Text"/>
    <w:basedOn w:val="Normal"/>
    <w:link w:val="BodyTextChar"/>
    <w:uiPriority w:val="1"/>
    <w:qFormat/>
    <w:rsid w:val="00650906"/>
    <w:pPr>
      <w:widowControl w:val="0"/>
      <w:autoSpaceDE w:val="0"/>
      <w:autoSpaceDN w:val="0"/>
      <w:spacing w:before="240" w:after="0" w:line="240" w:lineRule="auto"/>
      <w:ind w:left="22"/>
    </w:pPr>
    <w:rPr>
      <w:rFonts w:ascii="Calibri" w:eastAsia="Calibri" w:hAnsi="Calibri" w:cs="Calibri"/>
      <w:color w:val="auto"/>
      <w:kern w:val="0"/>
      <w:lang w:val="en-US"/>
      <w14:ligatures w14:val="none"/>
    </w:rPr>
  </w:style>
  <w:style w:type="character" w:customStyle="1" w:styleId="BodyTextChar">
    <w:name w:val="Body Text Char"/>
    <w:basedOn w:val="DefaultParagraphFont"/>
    <w:link w:val="BodyText"/>
    <w:uiPriority w:val="1"/>
    <w:rsid w:val="00650906"/>
    <w:rPr>
      <w:rFonts w:ascii="Calibri" w:eastAsia="Calibri" w:hAnsi="Calibri" w:cs="Calibri"/>
      <w:kern w:val="0"/>
      <w:lang w:val="en-US"/>
      <w14:ligatures w14:val="none"/>
    </w:rPr>
  </w:style>
  <w:style w:type="paragraph" w:styleId="Revision">
    <w:name w:val="Revision"/>
    <w:hidden/>
    <w:uiPriority w:val="99"/>
    <w:semiHidden/>
    <w:rsid w:val="005C0D54"/>
    <w:pPr>
      <w:spacing w:after="0" w:line="240" w:lineRule="auto"/>
    </w:pPr>
    <w:rPr>
      <w:color w:val="000000"/>
    </w:rPr>
  </w:style>
  <w:style w:type="character" w:styleId="UnresolvedMention">
    <w:name w:val="Unresolved Mention"/>
    <w:basedOn w:val="DefaultParagraphFont"/>
    <w:uiPriority w:val="99"/>
    <w:unhideWhenUsed/>
    <w:rsid w:val="00E55F55"/>
    <w:rPr>
      <w:color w:val="605E5C"/>
      <w:shd w:val="clear" w:color="auto" w:fill="E1DFDD"/>
    </w:rPr>
  </w:style>
  <w:style w:type="paragraph" w:styleId="TOC1">
    <w:name w:val="toc 1"/>
    <w:basedOn w:val="Normal"/>
    <w:next w:val="Normal"/>
    <w:autoRedefine/>
    <w:uiPriority w:val="39"/>
    <w:unhideWhenUsed/>
    <w:rsid w:val="00CB5B31"/>
    <w:pPr>
      <w:spacing w:after="100"/>
    </w:pPr>
  </w:style>
  <w:style w:type="paragraph" w:styleId="TOC2">
    <w:name w:val="toc 2"/>
    <w:basedOn w:val="Normal"/>
    <w:next w:val="Normal"/>
    <w:autoRedefine/>
    <w:uiPriority w:val="39"/>
    <w:unhideWhenUsed/>
    <w:rsid w:val="00CB5B31"/>
    <w:pPr>
      <w:spacing w:after="100"/>
      <w:ind w:left="220"/>
    </w:pPr>
  </w:style>
  <w:style w:type="paragraph" w:styleId="TOCHeading">
    <w:name w:val="TOC Heading"/>
    <w:basedOn w:val="Heading1"/>
    <w:next w:val="Normal"/>
    <w:uiPriority w:val="39"/>
    <w:unhideWhenUsed/>
    <w:qFormat/>
    <w:rsid w:val="00351868"/>
    <w:pPr>
      <w:keepNext/>
      <w:keepLines/>
      <w:spacing w:before="240" w:after="0"/>
      <w:outlineLvl w:val="9"/>
    </w:pPr>
    <w:rPr>
      <w:color w:val="D39100" w:themeColor="accent1" w:themeShade="BF"/>
      <w:kern w:val="0"/>
      <w:lang w:val="en-US"/>
      <w14:ligatures w14:val="none"/>
    </w:rPr>
  </w:style>
  <w:style w:type="paragraph" w:styleId="TOC3">
    <w:name w:val="toc 3"/>
    <w:basedOn w:val="Normal"/>
    <w:next w:val="Normal"/>
    <w:autoRedefine/>
    <w:uiPriority w:val="39"/>
    <w:unhideWhenUsed/>
    <w:rsid w:val="005A4F8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airwork.gov.au/newsroom/media-releases/2026-media-releases/august-2026/20260806-peabody-eu-media-releas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ustlii.edu.au/cgi-bin/viewdoc/au/legis/cth/consol_act/fwa2009114/s789gc.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stlii.edu.au/cgi-bin/viewdoc/au/legis/cth/consol_act/fwa2009114/s12.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fairwork.gov.au/about-us/compliance-and-enforcement/proactive-investigations/black-coal-mining-industry-investigation" TargetMode="External"/><Relationship Id="rId4" Type="http://schemas.openxmlformats.org/officeDocument/2006/relationships/settings" Target="settings.xml"/><Relationship Id="rId9" Type="http://schemas.openxmlformats.org/officeDocument/2006/relationships/hyperlink" Target="https://www.fairwork.gov.au/sites/default/files/migration/725/compliance-and-enforcement-policy.pdf"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fwc.gov.au/document-view/decisions/bhp-coal-pty-ltd-regulated-labour-hire-arrangement-order-lh200076-0?from=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FWO Colours">
      <a:dk1>
        <a:srgbClr val="1B365D"/>
      </a:dk1>
      <a:lt1>
        <a:sysClr val="window" lastClr="FFFFFF"/>
      </a:lt1>
      <a:dk2>
        <a:srgbClr val="1B365D"/>
      </a:dk2>
      <a:lt2>
        <a:srgbClr val="D9E1E2"/>
      </a:lt2>
      <a:accent1>
        <a:srgbClr val="FFB81C"/>
      </a:accent1>
      <a:accent2>
        <a:srgbClr val="BA9CC5"/>
      </a:accent2>
      <a:accent3>
        <a:srgbClr val="00C1D5"/>
      </a:accent3>
      <a:accent4>
        <a:srgbClr val="80E0A7"/>
      </a:accent4>
      <a:accent5>
        <a:srgbClr val="E0457B"/>
      </a:accent5>
      <a:accent6>
        <a:srgbClr val="9BCBEB"/>
      </a:accent6>
      <a:hlink>
        <a:srgbClr val="1B365D"/>
      </a:hlink>
      <a:folHlink>
        <a:srgbClr val="1B365D"/>
      </a:folHlink>
    </a:clrScheme>
    <a:fontScheme name="FW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D3803-804B-4FBF-B854-5E2712FB2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3428</Words>
  <Characters>19540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22923</CharactersWithSpaces>
  <SharedDoc>false</SharedDoc>
  <HLinks>
    <vt:vector size="120" baseType="variant">
      <vt:variant>
        <vt:i4>6029321</vt:i4>
      </vt:variant>
      <vt:variant>
        <vt:i4>99</vt:i4>
      </vt:variant>
      <vt:variant>
        <vt:i4>0</vt:i4>
      </vt:variant>
      <vt:variant>
        <vt:i4>5</vt:i4>
      </vt:variant>
      <vt:variant>
        <vt:lpwstr>https://www.fairwork.gov.au/newsroom/media-releases/2026-media-releases/august-2026/20260806-peabody-eu-media-release</vt:lpwstr>
      </vt:variant>
      <vt:variant>
        <vt:lpwstr/>
      </vt:variant>
      <vt:variant>
        <vt:i4>2555919</vt:i4>
      </vt:variant>
      <vt:variant>
        <vt:i4>96</vt:i4>
      </vt:variant>
      <vt:variant>
        <vt:i4>0</vt:i4>
      </vt:variant>
      <vt:variant>
        <vt:i4>5</vt:i4>
      </vt:variant>
      <vt:variant>
        <vt:lpwstr>http://www.austlii.edu.au/cgi-bin/viewdoc/au/legis/cth/consol_act/fwa2009114/s789gc.html</vt:lpwstr>
      </vt:variant>
      <vt:variant>
        <vt:lpwstr>employer</vt:lpwstr>
      </vt:variant>
      <vt:variant>
        <vt:i4>7798810</vt:i4>
      </vt:variant>
      <vt:variant>
        <vt:i4>93</vt:i4>
      </vt:variant>
      <vt:variant>
        <vt:i4>0</vt:i4>
      </vt:variant>
      <vt:variant>
        <vt:i4>5</vt:i4>
      </vt:variant>
      <vt:variant>
        <vt:lpwstr>http://www.austlii.edu.au/cgi-bin/viewdoc/au/legis/cth/consol_act/fwa2009114/s12.html</vt:lpwstr>
      </vt:variant>
      <vt:variant>
        <vt:lpwstr>made</vt:lpwstr>
      </vt:variant>
      <vt:variant>
        <vt:i4>4653131</vt:i4>
      </vt:variant>
      <vt:variant>
        <vt:i4>90</vt:i4>
      </vt:variant>
      <vt:variant>
        <vt:i4>0</vt:i4>
      </vt:variant>
      <vt:variant>
        <vt:i4>5</vt:i4>
      </vt:variant>
      <vt:variant>
        <vt:lpwstr>https://www.fairwork.gov.au/about-us/compliance-and-enforcement/proactive-investigations/black-coal-mining-industry-investigation</vt:lpwstr>
      </vt:variant>
      <vt:variant>
        <vt:lpwstr/>
      </vt:variant>
      <vt:variant>
        <vt:i4>3997821</vt:i4>
      </vt:variant>
      <vt:variant>
        <vt:i4>87</vt:i4>
      </vt:variant>
      <vt:variant>
        <vt:i4>0</vt:i4>
      </vt:variant>
      <vt:variant>
        <vt:i4>5</vt:i4>
      </vt:variant>
      <vt:variant>
        <vt:lpwstr>https://www.fairwork.gov.au/sites/default/files/migration/725/compliance-and-enforcement-policy.pdf</vt:lpwstr>
      </vt:variant>
      <vt:variant>
        <vt:lpwstr/>
      </vt:variant>
      <vt:variant>
        <vt:i4>1769521</vt:i4>
      </vt:variant>
      <vt:variant>
        <vt:i4>80</vt:i4>
      </vt:variant>
      <vt:variant>
        <vt:i4>0</vt:i4>
      </vt:variant>
      <vt:variant>
        <vt:i4>5</vt:i4>
      </vt:variant>
      <vt:variant>
        <vt:lpwstr/>
      </vt:variant>
      <vt:variant>
        <vt:lpwstr>_Toc240378434</vt:lpwstr>
      </vt:variant>
      <vt:variant>
        <vt:i4>1769521</vt:i4>
      </vt:variant>
      <vt:variant>
        <vt:i4>74</vt:i4>
      </vt:variant>
      <vt:variant>
        <vt:i4>0</vt:i4>
      </vt:variant>
      <vt:variant>
        <vt:i4>5</vt:i4>
      </vt:variant>
      <vt:variant>
        <vt:lpwstr/>
      </vt:variant>
      <vt:variant>
        <vt:lpwstr>_Toc240378433</vt:lpwstr>
      </vt:variant>
      <vt:variant>
        <vt:i4>1769521</vt:i4>
      </vt:variant>
      <vt:variant>
        <vt:i4>68</vt:i4>
      </vt:variant>
      <vt:variant>
        <vt:i4>0</vt:i4>
      </vt:variant>
      <vt:variant>
        <vt:i4>5</vt:i4>
      </vt:variant>
      <vt:variant>
        <vt:lpwstr/>
      </vt:variant>
      <vt:variant>
        <vt:lpwstr>_Toc240378432</vt:lpwstr>
      </vt:variant>
      <vt:variant>
        <vt:i4>1769521</vt:i4>
      </vt:variant>
      <vt:variant>
        <vt:i4>62</vt:i4>
      </vt:variant>
      <vt:variant>
        <vt:i4>0</vt:i4>
      </vt:variant>
      <vt:variant>
        <vt:i4>5</vt:i4>
      </vt:variant>
      <vt:variant>
        <vt:lpwstr/>
      </vt:variant>
      <vt:variant>
        <vt:lpwstr>_Toc240378431</vt:lpwstr>
      </vt:variant>
      <vt:variant>
        <vt:i4>1769521</vt:i4>
      </vt:variant>
      <vt:variant>
        <vt:i4>56</vt:i4>
      </vt:variant>
      <vt:variant>
        <vt:i4>0</vt:i4>
      </vt:variant>
      <vt:variant>
        <vt:i4>5</vt:i4>
      </vt:variant>
      <vt:variant>
        <vt:lpwstr/>
      </vt:variant>
      <vt:variant>
        <vt:lpwstr>_Toc240378430</vt:lpwstr>
      </vt:variant>
      <vt:variant>
        <vt:i4>1703985</vt:i4>
      </vt:variant>
      <vt:variant>
        <vt:i4>50</vt:i4>
      </vt:variant>
      <vt:variant>
        <vt:i4>0</vt:i4>
      </vt:variant>
      <vt:variant>
        <vt:i4>5</vt:i4>
      </vt:variant>
      <vt:variant>
        <vt:lpwstr/>
      </vt:variant>
      <vt:variant>
        <vt:lpwstr>_Toc240378429</vt:lpwstr>
      </vt:variant>
      <vt:variant>
        <vt:i4>1703985</vt:i4>
      </vt:variant>
      <vt:variant>
        <vt:i4>44</vt:i4>
      </vt:variant>
      <vt:variant>
        <vt:i4>0</vt:i4>
      </vt:variant>
      <vt:variant>
        <vt:i4>5</vt:i4>
      </vt:variant>
      <vt:variant>
        <vt:lpwstr/>
      </vt:variant>
      <vt:variant>
        <vt:lpwstr>_Toc240378428</vt:lpwstr>
      </vt:variant>
      <vt:variant>
        <vt:i4>1703985</vt:i4>
      </vt:variant>
      <vt:variant>
        <vt:i4>38</vt:i4>
      </vt:variant>
      <vt:variant>
        <vt:i4>0</vt:i4>
      </vt:variant>
      <vt:variant>
        <vt:i4>5</vt:i4>
      </vt:variant>
      <vt:variant>
        <vt:lpwstr/>
      </vt:variant>
      <vt:variant>
        <vt:lpwstr>_Toc240378427</vt:lpwstr>
      </vt:variant>
      <vt:variant>
        <vt:i4>1703985</vt:i4>
      </vt:variant>
      <vt:variant>
        <vt:i4>32</vt:i4>
      </vt:variant>
      <vt:variant>
        <vt:i4>0</vt:i4>
      </vt:variant>
      <vt:variant>
        <vt:i4>5</vt:i4>
      </vt:variant>
      <vt:variant>
        <vt:lpwstr/>
      </vt:variant>
      <vt:variant>
        <vt:lpwstr>_Toc240378426</vt:lpwstr>
      </vt:variant>
      <vt:variant>
        <vt:i4>1703985</vt:i4>
      </vt:variant>
      <vt:variant>
        <vt:i4>26</vt:i4>
      </vt:variant>
      <vt:variant>
        <vt:i4>0</vt:i4>
      </vt:variant>
      <vt:variant>
        <vt:i4>5</vt:i4>
      </vt:variant>
      <vt:variant>
        <vt:lpwstr/>
      </vt:variant>
      <vt:variant>
        <vt:lpwstr>_Toc240378425</vt:lpwstr>
      </vt:variant>
      <vt:variant>
        <vt:i4>1703985</vt:i4>
      </vt:variant>
      <vt:variant>
        <vt:i4>20</vt:i4>
      </vt:variant>
      <vt:variant>
        <vt:i4>0</vt:i4>
      </vt:variant>
      <vt:variant>
        <vt:i4>5</vt:i4>
      </vt:variant>
      <vt:variant>
        <vt:lpwstr/>
      </vt:variant>
      <vt:variant>
        <vt:lpwstr>_Toc240378424</vt:lpwstr>
      </vt:variant>
      <vt:variant>
        <vt:i4>1703985</vt:i4>
      </vt:variant>
      <vt:variant>
        <vt:i4>14</vt:i4>
      </vt:variant>
      <vt:variant>
        <vt:i4>0</vt:i4>
      </vt:variant>
      <vt:variant>
        <vt:i4>5</vt:i4>
      </vt:variant>
      <vt:variant>
        <vt:lpwstr/>
      </vt:variant>
      <vt:variant>
        <vt:lpwstr>_Toc240378423</vt:lpwstr>
      </vt:variant>
      <vt:variant>
        <vt:i4>1703985</vt:i4>
      </vt:variant>
      <vt:variant>
        <vt:i4>8</vt:i4>
      </vt:variant>
      <vt:variant>
        <vt:i4>0</vt:i4>
      </vt:variant>
      <vt:variant>
        <vt:i4>5</vt:i4>
      </vt:variant>
      <vt:variant>
        <vt:lpwstr/>
      </vt:variant>
      <vt:variant>
        <vt:lpwstr>_Toc240378422</vt:lpwstr>
      </vt:variant>
      <vt:variant>
        <vt:i4>1703985</vt:i4>
      </vt:variant>
      <vt:variant>
        <vt:i4>2</vt:i4>
      </vt:variant>
      <vt:variant>
        <vt:i4>0</vt:i4>
      </vt:variant>
      <vt:variant>
        <vt:i4>5</vt:i4>
      </vt:variant>
      <vt:variant>
        <vt:lpwstr/>
      </vt:variant>
      <vt:variant>
        <vt:lpwstr>_Toc240378421</vt:lpwstr>
      </vt:variant>
      <vt:variant>
        <vt:i4>7340072</vt:i4>
      </vt:variant>
      <vt:variant>
        <vt:i4>0</vt:i4>
      </vt:variant>
      <vt:variant>
        <vt:i4>0</vt:i4>
      </vt:variant>
      <vt:variant>
        <vt:i4>5</vt:i4>
      </vt:variant>
      <vt:variant>
        <vt:lpwstr>https://www.fwc.gov.au/document-view/decisions/bhp-coal-pty-ltd-regulated-labour-hire-arrangement-order-lh200076-0?from=search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 Coal Mining Industry Report</dc:title>
  <dc:subject>Black Coal Mining Industry Report</dc:subject>
  <dc:creator/>
  <cp:keywords/>
  <dc:description/>
  <cp:lastModifiedBy/>
  <cp:revision>1</cp:revision>
  <dcterms:created xsi:type="dcterms:W3CDTF">2026-10-07T04:38:00Z</dcterms:created>
  <dcterms:modified xsi:type="dcterms:W3CDTF">2026-10-07T05:00:00Z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2026-10-07T04:38:40Z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2cc246b9-903e-4dd4-be61-fc3adf0a7236</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