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F408" w14:textId="77777777" w:rsidR="00EF34B7" w:rsidRPr="00EF34B7" w:rsidRDefault="00EF34B7" w:rsidP="00EF34B7">
      <w:pPr>
        <w:spacing w:after="0"/>
        <w:jc w:val="center"/>
        <w:rPr>
          <w:rFonts w:ascii="Calibri" w:hAnsi="Calibri" w:cs="Calibri"/>
          <w:b/>
          <w:bCs/>
        </w:rPr>
      </w:pPr>
      <w:r w:rsidRPr="00EF34B7">
        <w:rPr>
          <w:rFonts w:ascii="Calibri" w:hAnsi="Calibri" w:cs="Calibri"/>
          <w:b/>
          <w:bCs/>
        </w:rPr>
        <w:t>STATEMENT OF EXPECTATIONS</w:t>
      </w:r>
    </w:p>
    <w:p w14:paraId="59B69AA4" w14:textId="77777777" w:rsidR="00EF34B7" w:rsidRPr="00EF34B7" w:rsidRDefault="00EF34B7" w:rsidP="00D217DC">
      <w:pPr>
        <w:spacing w:after="0" w:line="367" w:lineRule="exact"/>
        <w:ind w:right="72"/>
        <w:jc w:val="center"/>
        <w:textAlignment w:val="baseline"/>
        <w:rPr>
          <w:rFonts w:ascii="Calibri" w:hAnsi="Calibri" w:cs="Calibri"/>
          <w:b/>
          <w:bCs/>
        </w:rPr>
      </w:pPr>
      <w:r w:rsidRPr="00EF34B7">
        <w:rPr>
          <w:rFonts w:ascii="Calibri" w:hAnsi="Calibri" w:cs="Calibri"/>
          <w:b/>
          <w:bCs/>
        </w:rPr>
        <w:t>FAIR WORK OMBUDSMAN</w:t>
      </w:r>
    </w:p>
    <w:p w14:paraId="38669C44" w14:textId="77777777" w:rsidR="00EF34B7" w:rsidRDefault="00EF34B7" w:rsidP="00EF34B7">
      <w:pPr>
        <w:spacing w:after="0"/>
        <w:rPr>
          <w:rFonts w:ascii="Calibri" w:hAnsi="Calibri" w:cs="Calibri"/>
        </w:rPr>
      </w:pPr>
    </w:p>
    <w:p w14:paraId="25507B84" w14:textId="5CB370C9" w:rsidR="00EF34B7" w:rsidRDefault="00EF34B7" w:rsidP="000E3DE2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This Statement sets out the Australian Government's expectations for the Fair Work</w:t>
      </w:r>
      <w:r w:rsidR="00321B53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 xml:space="preserve">Ombudsman for the regulation of workplace relations matters under the </w:t>
      </w:r>
      <w:r w:rsidRPr="00EF34B7">
        <w:rPr>
          <w:rFonts w:ascii="Calibri" w:hAnsi="Calibri" w:cs="Calibri"/>
          <w:i/>
          <w:iCs/>
        </w:rPr>
        <w:t>Fair</w:t>
      </w:r>
      <w:r w:rsidR="00D217DC">
        <w:rPr>
          <w:rFonts w:ascii="Calibri" w:hAnsi="Calibri" w:cs="Calibri"/>
          <w:i/>
          <w:iCs/>
        </w:rPr>
        <w:t xml:space="preserve"> </w:t>
      </w:r>
      <w:r w:rsidRPr="00EF34B7">
        <w:rPr>
          <w:rFonts w:ascii="Calibri" w:hAnsi="Calibri" w:cs="Calibri"/>
          <w:i/>
          <w:iCs/>
        </w:rPr>
        <w:t>Work Act 2009</w:t>
      </w:r>
      <w:r w:rsidR="00321B53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(the Act).</w:t>
      </w:r>
    </w:p>
    <w:p w14:paraId="5CF9A343" w14:textId="388847CE" w:rsidR="00321B53" w:rsidRPr="00EF34B7" w:rsidRDefault="00EF34B7" w:rsidP="000E3DE2">
      <w:pPr>
        <w:spacing w:after="240"/>
        <w:rPr>
          <w:rFonts w:ascii="Calibri" w:hAnsi="Calibri" w:cs="Calibri"/>
        </w:rPr>
      </w:pPr>
      <w:r w:rsidRPr="00EF34B7">
        <w:rPr>
          <w:rFonts w:ascii="Calibri" w:hAnsi="Calibri" w:cs="Calibri"/>
        </w:rPr>
        <w:t>The object of the Act is to provide a balanced framework for cooperative and productive</w:t>
      </w:r>
      <w:r w:rsidR="00321B53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workplace relations that promotes national economic prosperity and social inclusion for all</w:t>
      </w:r>
      <w:r w:rsidR="00321B53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Australians. The government aims to build on this object to ensure a strong workplace</w:t>
      </w:r>
      <w:r w:rsidR="00321B53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relations system which supports sustainable wages, secure jobs and productivity growth.</w:t>
      </w:r>
    </w:p>
    <w:p w14:paraId="67F74D5C" w14:textId="77777777" w:rsidR="00EF34B7" w:rsidRPr="00EF34B7" w:rsidRDefault="00EF34B7" w:rsidP="00D217DC">
      <w:pPr>
        <w:spacing w:after="120"/>
        <w:rPr>
          <w:rFonts w:ascii="Calibri" w:hAnsi="Calibri" w:cs="Calibri"/>
          <w:b/>
          <w:bCs/>
        </w:rPr>
      </w:pPr>
      <w:r w:rsidRPr="00EF34B7">
        <w:rPr>
          <w:rFonts w:ascii="Calibri" w:hAnsi="Calibri" w:cs="Calibri"/>
          <w:b/>
          <w:bCs/>
        </w:rPr>
        <w:t>Fair Work Ombudsman's role</w:t>
      </w:r>
    </w:p>
    <w:p w14:paraId="415D11FD" w14:textId="72927F09" w:rsidR="00EF34B7" w:rsidRPr="00EF34B7" w:rsidRDefault="00EF34B7" w:rsidP="00D217DC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Under the Act, as the independent statutory regulator, the functions of the Fair Work</w:t>
      </w:r>
      <w:r w:rsidR="00D217DC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Ombudsman are to:</w:t>
      </w:r>
    </w:p>
    <w:p w14:paraId="3A954D25" w14:textId="29B50AF1" w:rsidR="00EF34B7" w:rsidRPr="00EF34B7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promote harmonious, productive and cooperative workplace relations, and compliance</w:t>
      </w:r>
      <w:r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with the Act and fair work instruments, including by:</w:t>
      </w:r>
    </w:p>
    <w:p w14:paraId="100494FD" w14:textId="62B39C3C" w:rsidR="00EF34B7" w:rsidRDefault="00EF34B7" w:rsidP="00EF34B7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providing education, assistance and advice to employees, employers, regulated</w:t>
      </w:r>
      <w:r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workers, regulated businesses, persons in a road transport contractual chain,</w:t>
      </w:r>
      <w:r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outworkers, outworker entities and organisations</w:t>
      </w:r>
    </w:p>
    <w:p w14:paraId="1AD4729F" w14:textId="43F4F6DA" w:rsidR="00EF34B7" w:rsidRDefault="00EF34B7" w:rsidP="00EF34B7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producing best practice guides to workplace relations or workplace practices</w:t>
      </w:r>
    </w:p>
    <w:p w14:paraId="5D9B3D75" w14:textId="3A0669CE" w:rsidR="00EF34B7" w:rsidRPr="00EF34B7" w:rsidRDefault="00EF34B7" w:rsidP="00EF34B7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having regard to the need for community outreach, guidelines and other</w:t>
      </w:r>
      <w:r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materials to be available in multiple languages</w:t>
      </w:r>
    </w:p>
    <w:p w14:paraId="2791892C" w14:textId="382A433D" w:rsidR="00EF34B7" w:rsidRPr="00EF34B7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monitor compliance with the Act and fair work instruments</w:t>
      </w:r>
    </w:p>
    <w:p w14:paraId="0BA8EE24" w14:textId="61539D21" w:rsidR="00EF34B7" w:rsidRPr="00EF34B7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inquire into, and investigate, any conduct or practice that may be contrary to the Act, a</w:t>
      </w:r>
      <w:r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related offence provision, a fair work instrument or a safety net contractual entitlement</w:t>
      </w:r>
    </w:p>
    <w:p w14:paraId="13FF13D8" w14:textId="41CC97BF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commence proceedings in a court, or make applications to the Fair Work Commission,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to enforce the Act, fair work instruments and safety net contractual entitlements</w:t>
      </w:r>
    </w:p>
    <w:p w14:paraId="75379EA1" w14:textId="64A28E30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 xml:space="preserve">publish a </w:t>
      </w:r>
      <w:r w:rsidR="007113BB" w:rsidRPr="007113BB">
        <w:rPr>
          <w:rFonts w:ascii="Calibri" w:hAnsi="Calibri" w:cs="Calibri"/>
        </w:rPr>
        <w:t>compliance</w:t>
      </w:r>
      <w:r w:rsidRPr="007113BB">
        <w:rPr>
          <w:rFonts w:ascii="Calibri" w:hAnsi="Calibri" w:cs="Calibri"/>
        </w:rPr>
        <w:t xml:space="preserve"> and enforcement policy, including guidelines relating to the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circumstances in which the Fair Work Ombudsman will or will not accept or consider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accepting an enforceable undertaking, or enter or consider entering into a cooperation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agreement</w:t>
      </w:r>
    </w:p>
    <w:p w14:paraId="4F369FE9" w14:textId="662AD36D" w:rsidR="00EF34B7" w:rsidRPr="007113BB" w:rsidRDefault="00EF34B7" w:rsidP="007113B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refer matters to relevant authorities</w:t>
      </w:r>
    </w:p>
    <w:p w14:paraId="63A564F2" w14:textId="77A35426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represent employees, regulated workers, or outworkers who are, or may become, a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party to court proceedings or to a Fair Work Commission matter under the Act or a fair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work instrument if it considers that the representation will promote compliance with the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Act or the fair work instrument, and</w:t>
      </w:r>
    </w:p>
    <w:p w14:paraId="0159E489" w14:textId="68147601" w:rsidR="00EF34B7" w:rsidRPr="007113BB" w:rsidRDefault="00EF34B7" w:rsidP="00321B53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</w:rPr>
      </w:pPr>
      <w:r w:rsidRPr="007113BB">
        <w:rPr>
          <w:rFonts w:ascii="Calibri" w:hAnsi="Calibri" w:cs="Calibri"/>
        </w:rPr>
        <w:t>perform any other functions conferred by any Act.</w:t>
      </w:r>
    </w:p>
    <w:p w14:paraId="4D52D3E8" w14:textId="77777777" w:rsidR="00EF34B7" w:rsidRDefault="00EF34B7" w:rsidP="00D217DC">
      <w:pPr>
        <w:spacing w:after="120"/>
        <w:rPr>
          <w:rFonts w:ascii="Calibri" w:hAnsi="Calibri" w:cs="Calibri"/>
          <w:b/>
          <w:bCs/>
        </w:rPr>
      </w:pPr>
      <w:r w:rsidRPr="00EF34B7">
        <w:rPr>
          <w:rFonts w:ascii="Calibri" w:hAnsi="Calibri" w:cs="Calibri"/>
          <w:b/>
          <w:bCs/>
        </w:rPr>
        <w:t>The government's policy priorities</w:t>
      </w:r>
    </w:p>
    <w:p w14:paraId="2DD393BD" w14:textId="28D782A4" w:rsidR="000E3DE2" w:rsidRPr="00EF34B7" w:rsidRDefault="00EF34B7" w:rsidP="000E3DE2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The government is focussed on protecting workers’ wages and conditions and ensuring a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strong workplace relations system. The government expects the Fair Work Ombudsman to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identify and pursue opportunities to contribute to this objective. In doing so, the government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also expects the Fair Work Ombudsman to:</w:t>
      </w:r>
    </w:p>
    <w:p w14:paraId="210102C5" w14:textId="77777777" w:rsidR="00EF34B7" w:rsidRPr="00EF34B7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support and enhance tripartism in Australian workplace relations</w:t>
      </w:r>
    </w:p>
    <w:p w14:paraId="6741BA95" w14:textId="4BBA3A4A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tailor their regulatory approach to the diverse needs of Australia's workplace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participants</w:t>
      </w:r>
    </w:p>
    <w:p w14:paraId="3DC271FB" w14:textId="54AF4DC2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lastRenderedPageBreak/>
        <w:t>educate and assist vulnerable workers and those with less power, such as First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Nations peoples, migrant workers and workers with disability</w:t>
      </w:r>
    </w:p>
    <w:p w14:paraId="73B4159D" w14:textId="285540C5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take proactive steps to ensure workplace participants are compliant with relevant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regulations and operate within the law, including by supporting workplace participants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to understand changes to the law</w:t>
      </w:r>
    </w:p>
    <w:p w14:paraId="563FAC77" w14:textId="7A6B4D69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utilise the investigation and enforcement powers conferred by the Act to address non</w:t>
      </w:r>
      <w:r w:rsidR="007113BB">
        <w:rPr>
          <w:rFonts w:ascii="Calibri" w:hAnsi="Calibri" w:cs="Calibri"/>
        </w:rPr>
        <w:t xml:space="preserve">- </w:t>
      </w:r>
      <w:r w:rsidRPr="007113BB">
        <w:rPr>
          <w:rFonts w:ascii="Calibri" w:hAnsi="Calibri" w:cs="Calibri"/>
        </w:rPr>
        <w:t>compliance, including of the criminal wage theft offence</w:t>
      </w:r>
    </w:p>
    <w:p w14:paraId="2571592F" w14:textId="2B705DAC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use intelligence and data to inform a risk-based approach to compliance and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enforcement activities, including proportional targeting of industries or activities of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concern</w:t>
      </w:r>
    </w:p>
    <w:p w14:paraId="55B94613" w14:textId="77777777" w:rsid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draw on evidence and stakeholder experience to identify and address systemic non</w:t>
      </w:r>
      <w:r w:rsidR="007113BB">
        <w:rPr>
          <w:rFonts w:ascii="Calibri" w:hAnsi="Calibri" w:cs="Calibri"/>
        </w:rPr>
        <w:t>-</w:t>
      </w:r>
      <w:r w:rsidRPr="007113BB">
        <w:rPr>
          <w:rFonts w:ascii="Calibri" w:hAnsi="Calibri" w:cs="Calibri"/>
        </w:rPr>
        <w:t>compliance</w:t>
      </w:r>
    </w:p>
    <w:p w14:paraId="0216BF4C" w14:textId="427500F4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work cooperatively with stakeholders including industry and unions to encourage voluntary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compliance</w:t>
      </w:r>
    </w:p>
    <w:p w14:paraId="7EAD5B78" w14:textId="27E51303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monitor their operating environment to ensure regulatory approaches keep pace with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changes in technology, industry practices and community expectations</w:t>
      </w:r>
    </w:p>
    <w:p w14:paraId="003ACF42" w14:textId="77777777" w:rsid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respond appropriately to the changing context and operating environment of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participants within the national workplace relations system</w:t>
      </w:r>
    </w:p>
    <w:p w14:paraId="4AA758BA" w14:textId="21E9E9A7" w:rsidR="00EF34B7" w:rsidRP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support enhanced productivity through a streamlined regulatory approach and by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reducing compliance costs for workplace participants</w:t>
      </w:r>
    </w:p>
    <w:p w14:paraId="7FADD409" w14:textId="77777777" w:rsidR="007113BB" w:rsidRDefault="00EF34B7" w:rsidP="00EF34B7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F34B7">
        <w:rPr>
          <w:rFonts w:ascii="Calibri" w:hAnsi="Calibri" w:cs="Calibri"/>
        </w:rPr>
        <w:t>embed within the Fair Work Ombudsman, act in accordance with and strive for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continuous improvement against the principles of regulator best practice as set out in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  <w:i/>
          <w:iCs/>
        </w:rPr>
        <w:t>Resource Management Guide 128 Regulator Performance</w:t>
      </w:r>
      <w:r w:rsidRPr="007113BB">
        <w:rPr>
          <w:rFonts w:ascii="Calibri" w:hAnsi="Calibri" w:cs="Calibri"/>
        </w:rPr>
        <w:t>,</w:t>
      </w:r>
      <w:r w:rsidRPr="007113BB">
        <w:rPr>
          <w:rFonts w:ascii="Calibri" w:hAnsi="Calibri" w:cs="Calibri"/>
          <w:i/>
          <w:iCs/>
        </w:rPr>
        <w:t xml:space="preserve"> </w:t>
      </w:r>
      <w:r w:rsidRPr="007113BB">
        <w:rPr>
          <w:rFonts w:ascii="Calibri" w:hAnsi="Calibri" w:cs="Calibri"/>
        </w:rPr>
        <w:t>and</w:t>
      </w:r>
    </w:p>
    <w:p w14:paraId="55464771" w14:textId="777D2470" w:rsidR="00EF34B7" w:rsidRPr="007113BB" w:rsidRDefault="00EF34B7" w:rsidP="00321B53">
      <w:pPr>
        <w:pStyle w:val="ListParagraph"/>
        <w:numPr>
          <w:ilvl w:val="0"/>
          <w:numId w:val="1"/>
        </w:numPr>
        <w:spacing w:after="240"/>
        <w:rPr>
          <w:rFonts w:ascii="Calibri" w:hAnsi="Calibri" w:cs="Calibri"/>
        </w:rPr>
      </w:pPr>
      <w:r w:rsidRPr="007113BB">
        <w:rPr>
          <w:rFonts w:ascii="Calibri" w:hAnsi="Calibri" w:cs="Calibri"/>
        </w:rPr>
        <w:t xml:space="preserve">be transparent in their operations, policies and </w:t>
      </w:r>
      <w:r w:rsidR="00321B53" w:rsidRPr="007113BB">
        <w:rPr>
          <w:rFonts w:ascii="Calibri" w:hAnsi="Calibri" w:cs="Calibri"/>
        </w:rPr>
        <w:t>decision-making</w:t>
      </w:r>
      <w:r w:rsidRPr="007113BB">
        <w:rPr>
          <w:rFonts w:ascii="Calibri" w:hAnsi="Calibri" w:cs="Calibri"/>
        </w:rPr>
        <w:t xml:space="preserve"> processes including by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 xml:space="preserve">publishing key enforcement outcomes, performance results and updates on emerging issues. </w:t>
      </w:r>
    </w:p>
    <w:p w14:paraId="1F4F76D7" w14:textId="77777777" w:rsidR="00EF34B7" w:rsidRDefault="00EF34B7" w:rsidP="00321B53">
      <w:pPr>
        <w:spacing w:after="120"/>
        <w:rPr>
          <w:rFonts w:ascii="Calibri" w:hAnsi="Calibri" w:cs="Calibri"/>
          <w:b/>
          <w:bCs/>
        </w:rPr>
      </w:pPr>
      <w:r w:rsidRPr="00EF34B7">
        <w:rPr>
          <w:rFonts w:ascii="Calibri" w:hAnsi="Calibri" w:cs="Calibri"/>
          <w:b/>
          <w:bCs/>
        </w:rPr>
        <w:t>The building and construction industry</w:t>
      </w:r>
    </w:p>
    <w:p w14:paraId="78691ABA" w14:textId="114EF02D" w:rsidR="00EF34B7" w:rsidRDefault="00EF34B7" w:rsidP="000E3DE2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The government is committed to addressing the culture of corruption and lawlessness in the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building and construction industry.</w:t>
      </w:r>
    </w:p>
    <w:p w14:paraId="3344E548" w14:textId="317A0703" w:rsidR="00EF34B7" w:rsidRDefault="00EF34B7" w:rsidP="000E3DE2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The government has placed the Construction and General Division of the Construction,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Forestry and Maritime Employees Union (the Division) into administration, and strongly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supports the Administrator's work to return the Division to the membership as a democratic,</w:t>
      </w:r>
      <w:r w:rsidR="000E3DE2">
        <w:rPr>
          <w:rFonts w:ascii="Calibri" w:hAnsi="Calibri" w:cs="Calibri"/>
        </w:rPr>
        <w:t xml:space="preserve"> </w:t>
      </w:r>
      <w:r w:rsidR="000E3DE2" w:rsidRPr="00EF34B7">
        <w:rPr>
          <w:rFonts w:ascii="Calibri" w:hAnsi="Calibri" w:cs="Calibri"/>
        </w:rPr>
        <w:t>member-controlled</w:t>
      </w:r>
      <w:r w:rsidRPr="00EF34B7">
        <w:rPr>
          <w:rFonts w:ascii="Calibri" w:hAnsi="Calibri" w:cs="Calibri"/>
        </w:rPr>
        <w:t xml:space="preserve"> entity, free of corruption and criminal influence. Any unlawful behaviour by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unions and employers is unacceptable.</w:t>
      </w:r>
    </w:p>
    <w:p w14:paraId="52B3E133" w14:textId="5E1C72C1" w:rsidR="00EF34B7" w:rsidRPr="00EF34B7" w:rsidRDefault="00EF34B7" w:rsidP="000E3DE2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To help achieve this necessary change, the government expects that the Fair Work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Ombudsman will prioritise monitoring, compliance and enforcement of workplace laws in the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building and construction industry, including by:</w:t>
      </w:r>
    </w:p>
    <w:p w14:paraId="1754ED73" w14:textId="5B5C688A" w:rsidR="00EF34B7" w:rsidRDefault="00EF34B7" w:rsidP="007113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establishing and maintaining a visible and active presence in the industry</w:t>
      </w:r>
    </w:p>
    <w:p w14:paraId="5094FB99" w14:textId="1159DE24" w:rsidR="00EF34B7" w:rsidRPr="007113BB" w:rsidRDefault="00EF34B7" w:rsidP="00EF34B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 xml:space="preserve">prioritising resources to identify and act on </w:t>
      </w:r>
      <w:r w:rsidR="007113BB" w:rsidRPr="007113BB">
        <w:rPr>
          <w:rFonts w:ascii="Calibri" w:hAnsi="Calibri" w:cs="Calibri"/>
        </w:rPr>
        <w:t>non-compliance</w:t>
      </w:r>
      <w:r w:rsidRPr="007113BB">
        <w:rPr>
          <w:rFonts w:ascii="Calibri" w:hAnsi="Calibri" w:cs="Calibri"/>
        </w:rPr>
        <w:t>, with a particular focus on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coercion, intimidation, bullying, sexual harassment and other workplace protections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under</w:t>
      </w:r>
      <w:r w:rsidR="007113BB" w:rsidRP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the Act</w:t>
      </w:r>
    </w:p>
    <w:p w14:paraId="061D6EB6" w14:textId="3685EF04" w:rsidR="00EF34B7" w:rsidRDefault="00EF34B7" w:rsidP="00EF34B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targeting areas that have given rise to significant concerns about unlawful behaviour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under the Act, including agreement making (including the use of false statutory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declarations), the use of labour hire and preferencing the use of businesses for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unlawful reasons</w:t>
      </w:r>
    </w:p>
    <w:p w14:paraId="559966AE" w14:textId="77777777" w:rsidR="007113BB" w:rsidRDefault="00EF34B7" w:rsidP="00EF34B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prioritising collaboration and information sharing with relevant regulators and law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enforcement agencies</w:t>
      </w:r>
    </w:p>
    <w:p w14:paraId="578352E9" w14:textId="5326D130" w:rsidR="00EF34B7" w:rsidRDefault="00EF34B7" w:rsidP="00EF34B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lastRenderedPageBreak/>
        <w:t>ensuring action is taken on matters referred to the Fair Work Ombudsman to the full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extent of its powers, and</w:t>
      </w:r>
    </w:p>
    <w:p w14:paraId="18A78AAB" w14:textId="58336378" w:rsidR="00EF34B7" w:rsidRPr="007113BB" w:rsidRDefault="00EF34B7" w:rsidP="00321B53">
      <w:pPr>
        <w:pStyle w:val="ListParagraph"/>
        <w:numPr>
          <w:ilvl w:val="0"/>
          <w:numId w:val="2"/>
        </w:numPr>
        <w:spacing w:after="240"/>
        <w:rPr>
          <w:rFonts w:ascii="Calibri" w:hAnsi="Calibri" w:cs="Calibri"/>
        </w:rPr>
      </w:pPr>
      <w:r w:rsidRPr="007113BB">
        <w:rPr>
          <w:rFonts w:ascii="Calibri" w:hAnsi="Calibri" w:cs="Calibri"/>
        </w:rPr>
        <w:t>working cooperatively with the Administrator of the Division to identify and respond to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unlawful behaviour.</w:t>
      </w:r>
    </w:p>
    <w:p w14:paraId="76B5A858" w14:textId="77777777" w:rsidR="00EF34B7" w:rsidRDefault="00EF34B7" w:rsidP="00321B53">
      <w:pPr>
        <w:spacing w:after="120"/>
        <w:rPr>
          <w:rFonts w:ascii="Calibri" w:hAnsi="Calibri" w:cs="Calibri"/>
          <w:b/>
          <w:bCs/>
        </w:rPr>
      </w:pPr>
      <w:r w:rsidRPr="00EF34B7">
        <w:rPr>
          <w:rFonts w:ascii="Calibri" w:hAnsi="Calibri" w:cs="Calibri"/>
          <w:b/>
          <w:bCs/>
        </w:rPr>
        <w:t>Relationship with stakeholders</w:t>
      </w:r>
    </w:p>
    <w:p w14:paraId="303407AF" w14:textId="226B6F2A" w:rsidR="007113BB" w:rsidRDefault="00EF34B7" w:rsidP="000E3DE2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Regarding relationships with stakeholders, the government expects the Fair Work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Ombudsman to:</w:t>
      </w:r>
    </w:p>
    <w:p w14:paraId="3C589795" w14:textId="34248085" w:rsidR="00EF34B7" w:rsidRPr="007113BB" w:rsidRDefault="00EF34B7" w:rsidP="00EF34B7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ensure that their actions are not inconsistent with the policies of the government, in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  <w:i/>
          <w:iCs/>
        </w:rPr>
        <w:t>accordance with section 21 of the Public Governance, Performance and Accountability</w:t>
      </w:r>
      <w:r w:rsidR="007113BB">
        <w:rPr>
          <w:rFonts w:ascii="Calibri" w:hAnsi="Calibri" w:cs="Calibri"/>
          <w:i/>
          <w:iCs/>
        </w:rPr>
        <w:t xml:space="preserve"> </w:t>
      </w:r>
      <w:r w:rsidRPr="007113BB">
        <w:rPr>
          <w:rFonts w:ascii="Calibri" w:hAnsi="Calibri" w:cs="Calibri"/>
          <w:i/>
          <w:iCs/>
        </w:rPr>
        <w:t>Act</w:t>
      </w:r>
      <w:r w:rsidR="000E3DE2">
        <w:rPr>
          <w:rFonts w:ascii="Calibri" w:hAnsi="Calibri" w:cs="Calibri"/>
          <w:i/>
          <w:iCs/>
        </w:rPr>
        <w:t xml:space="preserve"> </w:t>
      </w:r>
      <w:r w:rsidRPr="007113BB">
        <w:rPr>
          <w:rFonts w:ascii="Calibri" w:hAnsi="Calibri" w:cs="Calibri"/>
          <w:i/>
          <w:iCs/>
        </w:rPr>
        <w:t xml:space="preserve">2013 </w:t>
      </w:r>
      <w:r w:rsidRPr="007113BB">
        <w:rPr>
          <w:rFonts w:ascii="Calibri" w:hAnsi="Calibri" w:cs="Calibri"/>
        </w:rPr>
        <w:t>(PGPA Act)</w:t>
      </w:r>
    </w:p>
    <w:p w14:paraId="6C0A5D4A" w14:textId="77777777" w:rsidR="007113BB" w:rsidRDefault="00EF34B7" w:rsidP="00EF34B7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consult with and provide appropriate guidance to participants within the national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workplace relations system so they have clarity about how the Fair Work Ombudsman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will exercise their powers</w:t>
      </w:r>
    </w:p>
    <w:p w14:paraId="38145169" w14:textId="073695AA" w:rsidR="00EF34B7" w:rsidRDefault="00EF34B7" w:rsidP="00EF34B7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coordinate regulatory activities with other regulatory agencies to avoid duplication,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including through sharing information and undertaking joint education activities where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possible, and</w:t>
      </w:r>
    </w:p>
    <w:p w14:paraId="735AA10C" w14:textId="7108F45C" w:rsidR="00EF34B7" w:rsidRPr="007113BB" w:rsidRDefault="00EF34B7" w:rsidP="00321B53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7113BB">
        <w:rPr>
          <w:rFonts w:ascii="Calibri" w:hAnsi="Calibri" w:cs="Calibri"/>
        </w:rPr>
        <w:t>work collaboratively with the Department of Employment and Workplace Relations on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significant issues relating to strengthening compliance with the Act.</w:t>
      </w:r>
    </w:p>
    <w:p w14:paraId="5995C8F7" w14:textId="257DA372" w:rsidR="00EF34B7" w:rsidRPr="00EF34B7" w:rsidRDefault="00EF34B7" w:rsidP="000E3DE2">
      <w:pPr>
        <w:spacing w:after="240"/>
        <w:rPr>
          <w:rFonts w:ascii="Calibri" w:hAnsi="Calibri" w:cs="Calibri"/>
        </w:rPr>
      </w:pPr>
      <w:r w:rsidRPr="00EF34B7">
        <w:rPr>
          <w:rFonts w:ascii="Calibri" w:hAnsi="Calibri" w:cs="Calibri"/>
        </w:rPr>
        <w:t>The government will provide an enabling environment for the Fair Work Ombudsman to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consistently implement best practice by ensuring they are well informed of the government's</w:t>
      </w:r>
      <w:r w:rsidR="000E3DE2">
        <w:rPr>
          <w:rFonts w:ascii="Calibri" w:hAnsi="Calibri" w:cs="Calibri"/>
        </w:rPr>
        <w:t xml:space="preserve"> </w:t>
      </w:r>
      <w:r w:rsidRPr="00EF34B7">
        <w:rPr>
          <w:rFonts w:ascii="Calibri" w:hAnsi="Calibri" w:cs="Calibri"/>
        </w:rPr>
        <w:t>policy direction, as specific initiatives and strategies are being considered.</w:t>
      </w:r>
    </w:p>
    <w:p w14:paraId="2417A9B5" w14:textId="77777777" w:rsidR="00EF34B7" w:rsidRDefault="00EF34B7" w:rsidP="00321B53">
      <w:pPr>
        <w:spacing w:after="120"/>
        <w:rPr>
          <w:rFonts w:ascii="Calibri" w:hAnsi="Calibri" w:cs="Calibri"/>
          <w:b/>
          <w:bCs/>
        </w:rPr>
      </w:pPr>
      <w:r w:rsidRPr="00EF34B7">
        <w:rPr>
          <w:rFonts w:ascii="Calibri" w:hAnsi="Calibri" w:cs="Calibri"/>
          <w:b/>
          <w:bCs/>
        </w:rPr>
        <w:t>Organisational matters</w:t>
      </w:r>
    </w:p>
    <w:p w14:paraId="41F2CCD5" w14:textId="454FB721" w:rsidR="007113BB" w:rsidRPr="00EF34B7" w:rsidRDefault="00EF34B7" w:rsidP="00321B53">
      <w:pPr>
        <w:spacing w:after="120"/>
        <w:rPr>
          <w:rFonts w:ascii="Calibri" w:hAnsi="Calibri" w:cs="Calibri"/>
        </w:rPr>
      </w:pPr>
      <w:r w:rsidRPr="00EF34B7">
        <w:rPr>
          <w:rFonts w:ascii="Calibri" w:hAnsi="Calibri" w:cs="Calibri"/>
        </w:rPr>
        <w:t>Regarding organisational matters, the government expects the Fair Work Ombudsman to:</w:t>
      </w:r>
    </w:p>
    <w:p w14:paraId="4B9C5A83" w14:textId="5C0F723A" w:rsidR="00EF34B7" w:rsidRDefault="00EF34B7" w:rsidP="00EF34B7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implement appropriate controls to manage the risk of unauthorised disclosure of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protected or sensitive information</w:t>
      </w:r>
    </w:p>
    <w:p w14:paraId="6751188E" w14:textId="77777777" w:rsidR="007113BB" w:rsidRDefault="00EF34B7" w:rsidP="00EF34B7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uphold and promote the Australian Public Service Values and Code of Conduct</w:t>
      </w:r>
    </w:p>
    <w:p w14:paraId="3635AAB0" w14:textId="4C325F93" w:rsidR="00EF34B7" w:rsidRDefault="00EF34B7" w:rsidP="00EF34B7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comply with the requirements under the PGPA Act and associated instruments and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policies, and</w:t>
      </w:r>
    </w:p>
    <w:p w14:paraId="64CC2A9A" w14:textId="2CDC4924" w:rsidR="00EF34B7" w:rsidRDefault="00EF34B7" w:rsidP="00EF34B7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7113BB">
        <w:rPr>
          <w:rFonts w:ascii="Calibri" w:hAnsi="Calibri" w:cs="Calibri"/>
        </w:rPr>
        <w:t>hold themselves to account through internal accountability processes that foster a</w:t>
      </w:r>
      <w:r w:rsidR="007113BB">
        <w:rPr>
          <w:rFonts w:ascii="Calibri" w:hAnsi="Calibri" w:cs="Calibri"/>
        </w:rPr>
        <w:t xml:space="preserve"> </w:t>
      </w:r>
      <w:r w:rsidRPr="007113BB">
        <w:rPr>
          <w:rFonts w:ascii="Calibri" w:hAnsi="Calibri" w:cs="Calibri"/>
        </w:rPr>
        <w:t>culture of continuous improvement and reflection.</w:t>
      </w:r>
    </w:p>
    <w:p w14:paraId="0A744E47" w14:textId="77777777" w:rsidR="00A0467E" w:rsidRDefault="00A0467E" w:rsidP="00A0467E">
      <w:pPr>
        <w:spacing w:after="0"/>
        <w:rPr>
          <w:rFonts w:ascii="Calibri" w:hAnsi="Calibri" w:cs="Calibri"/>
        </w:rPr>
      </w:pPr>
    </w:p>
    <w:p w14:paraId="4A5B0815" w14:textId="77777777" w:rsidR="00A0467E" w:rsidRDefault="00A0467E" w:rsidP="00A0467E">
      <w:pPr>
        <w:spacing w:after="0"/>
        <w:rPr>
          <w:rFonts w:ascii="Calibri" w:hAnsi="Calibri" w:cs="Calibri"/>
        </w:rPr>
      </w:pPr>
    </w:p>
    <w:p w14:paraId="5D3E02DE" w14:textId="1F8FB1E4" w:rsidR="00A0467E" w:rsidRPr="00A0467E" w:rsidRDefault="00A0467E" w:rsidP="00A0467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August 2025</w:t>
      </w:r>
    </w:p>
    <w:sectPr w:rsidR="00A0467E" w:rsidRPr="00A046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B146" w14:textId="77777777" w:rsidR="00295107" w:rsidRDefault="00295107" w:rsidP="006678E1">
      <w:pPr>
        <w:spacing w:after="0" w:line="240" w:lineRule="auto"/>
      </w:pPr>
      <w:r>
        <w:separator/>
      </w:r>
    </w:p>
  </w:endnote>
  <w:endnote w:type="continuationSeparator" w:id="0">
    <w:p w14:paraId="45746BED" w14:textId="77777777" w:rsidR="00295107" w:rsidRDefault="00295107" w:rsidP="0066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50073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7873E971" w14:textId="6F1FA65A" w:rsidR="006678E1" w:rsidRPr="006678E1" w:rsidRDefault="006678E1">
        <w:pPr>
          <w:pStyle w:val="Footer"/>
          <w:jc w:val="center"/>
          <w:rPr>
            <w:rFonts w:ascii="Calibri" w:hAnsi="Calibri" w:cs="Calibri"/>
          </w:rPr>
        </w:pPr>
        <w:r w:rsidRPr="006678E1">
          <w:rPr>
            <w:rFonts w:ascii="Calibri" w:hAnsi="Calibri" w:cs="Calibri"/>
          </w:rPr>
          <w:fldChar w:fldCharType="begin"/>
        </w:r>
        <w:r w:rsidRPr="006678E1">
          <w:rPr>
            <w:rFonts w:ascii="Calibri" w:hAnsi="Calibri" w:cs="Calibri"/>
          </w:rPr>
          <w:instrText xml:space="preserve"> PAGE   \* MERGEFORMAT </w:instrText>
        </w:r>
        <w:r w:rsidRPr="006678E1">
          <w:rPr>
            <w:rFonts w:ascii="Calibri" w:hAnsi="Calibri" w:cs="Calibri"/>
          </w:rPr>
          <w:fldChar w:fldCharType="separate"/>
        </w:r>
        <w:r w:rsidRPr="006678E1">
          <w:rPr>
            <w:rFonts w:ascii="Calibri" w:hAnsi="Calibri" w:cs="Calibri"/>
            <w:noProof/>
          </w:rPr>
          <w:t>2</w:t>
        </w:r>
        <w:r w:rsidRPr="006678E1">
          <w:rPr>
            <w:rFonts w:ascii="Calibri" w:hAnsi="Calibri" w:cs="Calibri"/>
            <w:noProof/>
          </w:rPr>
          <w:fldChar w:fldCharType="end"/>
        </w:r>
      </w:p>
    </w:sdtContent>
  </w:sdt>
  <w:p w14:paraId="34036BFF" w14:textId="77777777" w:rsidR="006678E1" w:rsidRDefault="0066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69EE" w14:textId="77777777" w:rsidR="00295107" w:rsidRDefault="00295107" w:rsidP="006678E1">
      <w:pPr>
        <w:spacing w:after="0" w:line="240" w:lineRule="auto"/>
      </w:pPr>
      <w:r>
        <w:separator/>
      </w:r>
    </w:p>
  </w:footnote>
  <w:footnote w:type="continuationSeparator" w:id="0">
    <w:p w14:paraId="3C932B61" w14:textId="77777777" w:rsidR="00295107" w:rsidRDefault="00295107" w:rsidP="0066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401"/>
    <w:multiLevelType w:val="hybridMultilevel"/>
    <w:tmpl w:val="1EAAB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6DE4"/>
    <w:multiLevelType w:val="hybridMultilevel"/>
    <w:tmpl w:val="C3287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0D5E"/>
    <w:multiLevelType w:val="hybridMultilevel"/>
    <w:tmpl w:val="3FF2B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B73A7"/>
    <w:multiLevelType w:val="hybridMultilevel"/>
    <w:tmpl w:val="39A01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02053">
    <w:abstractNumId w:val="2"/>
  </w:num>
  <w:num w:numId="2" w16cid:durableId="657728593">
    <w:abstractNumId w:val="1"/>
  </w:num>
  <w:num w:numId="3" w16cid:durableId="1209798196">
    <w:abstractNumId w:val="0"/>
  </w:num>
  <w:num w:numId="4" w16cid:durableId="168547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B7"/>
    <w:rsid w:val="00064448"/>
    <w:rsid w:val="000C24A1"/>
    <w:rsid w:val="000E3DE2"/>
    <w:rsid w:val="00295107"/>
    <w:rsid w:val="00321B53"/>
    <w:rsid w:val="0049723C"/>
    <w:rsid w:val="00607DCF"/>
    <w:rsid w:val="006316B1"/>
    <w:rsid w:val="006678E1"/>
    <w:rsid w:val="007113BB"/>
    <w:rsid w:val="008204D4"/>
    <w:rsid w:val="00A0467E"/>
    <w:rsid w:val="00D217DC"/>
    <w:rsid w:val="00D925D9"/>
    <w:rsid w:val="00EF34B7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1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7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E1"/>
  </w:style>
  <w:style w:type="paragraph" w:styleId="Footer">
    <w:name w:val="footer"/>
    <w:basedOn w:val="Normal"/>
    <w:link w:val="FooterChar"/>
    <w:uiPriority w:val="99"/>
    <w:unhideWhenUsed/>
    <w:rsid w:val="00667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Statement of Expectations - Fair Work Ombudsman</dc:title>
  <dc:subject/>
  <dc:creator/>
  <cp:keywords/>
  <dc:description/>
  <cp:lastModifiedBy/>
  <cp:revision>1</cp:revision>
  <dcterms:created xsi:type="dcterms:W3CDTF">2025-09-16T22:22:00Z</dcterms:created>
  <dcterms:modified xsi:type="dcterms:W3CDTF">2025-09-16T22:23:00Z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2025-09-16T22:23:39Z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1cb60205-35ba-466a-8298-5591ef1c09ea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