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74491" w14:textId="55E1FE10" w:rsidR="6125BDD7" w:rsidRDefault="008B7F14" w:rsidP="008B7F14">
      <w:pPr>
        <w:pStyle w:val="CoverReportTitle"/>
      </w:pPr>
      <w:r>
        <w:t>Media Policy</w:t>
      </w:r>
    </w:p>
    <w:p w14:paraId="672A6659" w14:textId="77777777" w:rsidR="002501AC" w:rsidRDefault="002501AC" w:rsidP="275EE5E1">
      <w:pPr>
        <w:ind w:left="1134" w:right="567"/>
        <w:rPr>
          <w:highlight w:val="yellow"/>
        </w:rPr>
      </w:pPr>
    </w:p>
    <w:p w14:paraId="1B9E4CB1" w14:textId="70871E9E" w:rsidR="00BF0029" w:rsidRPr="009C4EEF" w:rsidRDefault="00BF0029" w:rsidP="002501AC">
      <w:pPr>
        <w:ind w:left="1134" w:right="567"/>
      </w:pPr>
    </w:p>
    <w:p w14:paraId="0B693C07" w14:textId="77777777" w:rsidR="008B7F14" w:rsidRDefault="001F20C3" w:rsidP="008B7F14">
      <w:pPr>
        <w:pStyle w:val="Heading2"/>
      </w:pPr>
      <w:r w:rsidRPr="009C4EEF">
        <w:br w:type="page"/>
      </w:r>
      <w:r w:rsidR="008B7F14">
        <w:lastRenderedPageBreak/>
        <w:t xml:space="preserve">Why and how do we engage with media? </w:t>
      </w:r>
    </w:p>
    <w:p w14:paraId="5F30983B" w14:textId="17029371" w:rsidR="008B7F14" w:rsidRDefault="008B7F14" w:rsidP="00E56F04">
      <w:pPr>
        <w:spacing w:before="120"/>
        <w:ind w:right="567"/>
      </w:pPr>
      <w:r>
        <w:t xml:space="preserve">In our Compliance and Enforcement </w:t>
      </w:r>
      <w:r w:rsidR="006A2E35">
        <w:t>Policy</w:t>
      </w:r>
      <w:r w:rsidR="006A2E35">
        <w:rPr>
          <w:rStyle w:val="FootnoteReference"/>
        </w:rPr>
        <w:footnoteReference w:id="1"/>
      </w:r>
      <w:r w:rsidR="006A2E35">
        <w:t>, the</w:t>
      </w:r>
      <w:r>
        <w:t xml:space="preserve"> Fair Work Ombudsman (FWO) recognises that informing the public through various media channels regarding our operational activities</w:t>
      </w:r>
      <w:r w:rsidR="00D94455">
        <w:t xml:space="preserve"> </w:t>
      </w:r>
      <w:r>
        <w:t xml:space="preserve">is an essential part of the work we do because it: </w:t>
      </w:r>
    </w:p>
    <w:p w14:paraId="664CF868" w14:textId="0E16937D" w:rsidR="008B7F14" w:rsidRDefault="008B7F14" w:rsidP="00E56F04">
      <w:pPr>
        <w:pStyle w:val="Bullet"/>
        <w:spacing w:after="120"/>
        <w:contextualSpacing w:val="0"/>
      </w:pPr>
      <w:r>
        <w:t xml:space="preserve">promotes voluntary compliance with Commonwealth workplace relations laws </w:t>
      </w:r>
    </w:p>
    <w:p w14:paraId="31E299FB" w14:textId="05A468DC" w:rsidR="008B7F14" w:rsidRDefault="008B7F14" w:rsidP="00E56F04">
      <w:pPr>
        <w:pStyle w:val="Bullet"/>
        <w:spacing w:after="120"/>
        <w:contextualSpacing w:val="0"/>
      </w:pPr>
      <w:r>
        <w:t>ensures transparency, accountability and public confidence in the regulator</w:t>
      </w:r>
    </w:p>
    <w:p w14:paraId="5D39F0BF" w14:textId="2740D542" w:rsidR="008B7F14" w:rsidRDefault="008B7F14" w:rsidP="00E56F04">
      <w:pPr>
        <w:pStyle w:val="Bullet"/>
        <w:spacing w:after="120"/>
        <w:contextualSpacing w:val="0"/>
      </w:pPr>
      <w:r>
        <w:t xml:space="preserve">ensures the public is informed of compliance and enforcement activities undertaken by the FWO that are of significant interest </w:t>
      </w:r>
    </w:p>
    <w:p w14:paraId="12D5C2EE" w14:textId="7B347D3A" w:rsidR="008B7F14" w:rsidRDefault="008B7F14" w:rsidP="00E56F04">
      <w:pPr>
        <w:pStyle w:val="Bullet"/>
        <w:spacing w:after="120"/>
        <w:contextualSpacing w:val="0"/>
      </w:pPr>
      <w:r>
        <w:t>acts as an effective deterrent (general and specific) to non-compliance</w:t>
      </w:r>
      <w:r w:rsidR="006A2E35">
        <w:rPr>
          <w:rStyle w:val="FootnoteReference"/>
        </w:rPr>
        <w:footnoteReference w:id="2"/>
      </w:r>
      <w:r>
        <w:t xml:space="preserve">  </w:t>
      </w:r>
    </w:p>
    <w:p w14:paraId="2DA3DB63" w14:textId="7E0B1780" w:rsidR="008B7F14" w:rsidRDefault="008B7F14" w:rsidP="00E56F04">
      <w:pPr>
        <w:pStyle w:val="Bullet"/>
        <w:spacing w:after="120"/>
        <w:contextualSpacing w:val="0"/>
      </w:pPr>
      <w:r>
        <w:t xml:space="preserve">serves an educative purpose in our efforts to promote the benefits of productive, cooperative and harmonious workplaces. </w:t>
      </w:r>
    </w:p>
    <w:p w14:paraId="3E9C4F48" w14:textId="01110D2B" w:rsidR="008B7F14" w:rsidRDefault="008B7F14" w:rsidP="00E56F04">
      <w:pPr>
        <w:spacing w:before="120"/>
        <w:ind w:right="567"/>
      </w:pPr>
      <w:r>
        <w:t>In deciding whether to comment publicly and in what form, we consider a range of factors such as the nature of the matter, who the statement is likely to impact and how it furthers the FWO’s objectives. At all times we:</w:t>
      </w:r>
    </w:p>
    <w:p w14:paraId="0D9A5C9F" w14:textId="76458CC7" w:rsidR="008B7F14" w:rsidRDefault="008B7F14" w:rsidP="00E56F04">
      <w:pPr>
        <w:pStyle w:val="Bullet"/>
        <w:spacing w:after="120"/>
        <w:contextualSpacing w:val="0"/>
      </w:pPr>
      <w:r>
        <w:t xml:space="preserve">consider the likely and possible risk and consequences of making or not making a public comment </w:t>
      </w:r>
    </w:p>
    <w:p w14:paraId="75DFF39C" w14:textId="6536B397" w:rsidR="008B7F14" w:rsidRDefault="008B7F14" w:rsidP="00E56F04">
      <w:pPr>
        <w:pStyle w:val="Bullet"/>
        <w:spacing w:after="120"/>
        <w:contextualSpacing w:val="0"/>
      </w:pPr>
      <w:r>
        <w:t>weigh up the public interest, deterrence and risks associated with both making or not making a statement.</w:t>
      </w:r>
    </w:p>
    <w:p w14:paraId="0C21A24D" w14:textId="77777777" w:rsidR="008B7F14" w:rsidRDefault="008B7F14" w:rsidP="00E56F04">
      <w:pPr>
        <w:spacing w:before="120"/>
        <w:ind w:right="567"/>
      </w:pPr>
      <w:r>
        <w:t xml:space="preserve">Our guiding principles when communicating with the public via the media are that the information is: </w:t>
      </w:r>
    </w:p>
    <w:p w14:paraId="015C14AE" w14:textId="6D74C811" w:rsidR="008B7F14" w:rsidRDefault="008B7F14" w:rsidP="00E56F04">
      <w:pPr>
        <w:pStyle w:val="Bullet"/>
        <w:spacing w:after="120"/>
        <w:contextualSpacing w:val="0"/>
      </w:pPr>
      <w:r>
        <w:t>accurate</w:t>
      </w:r>
    </w:p>
    <w:p w14:paraId="44920D3C" w14:textId="1B3EE8E4" w:rsidR="008B7F14" w:rsidRDefault="008B7F14" w:rsidP="00E56F04">
      <w:pPr>
        <w:pStyle w:val="Bullet"/>
        <w:spacing w:after="120"/>
        <w:contextualSpacing w:val="0"/>
      </w:pPr>
      <w:r>
        <w:t>fair and balanced</w:t>
      </w:r>
    </w:p>
    <w:p w14:paraId="32128F37" w14:textId="5D99F1B0" w:rsidR="008B7F14" w:rsidRDefault="008B7F14" w:rsidP="00E56F04">
      <w:pPr>
        <w:pStyle w:val="Bullet"/>
        <w:spacing w:after="120"/>
        <w:contextualSpacing w:val="0"/>
      </w:pPr>
      <w:r>
        <w:t>appropriate and relevant</w:t>
      </w:r>
    </w:p>
    <w:p w14:paraId="0D0CFCD0" w14:textId="40E1D87D" w:rsidR="008B7F14" w:rsidRDefault="008B7F14" w:rsidP="00E56F04">
      <w:pPr>
        <w:pStyle w:val="Bullet"/>
        <w:spacing w:after="120"/>
        <w:contextualSpacing w:val="0"/>
      </w:pPr>
      <w:r>
        <w:t>readily accessible</w:t>
      </w:r>
    </w:p>
    <w:p w14:paraId="464B6425" w14:textId="7A7B2D4D" w:rsidR="008B7F14" w:rsidRDefault="008B7F14" w:rsidP="00E56F04">
      <w:pPr>
        <w:pStyle w:val="Bullet"/>
        <w:spacing w:after="120"/>
        <w:contextualSpacing w:val="0"/>
      </w:pPr>
      <w:r>
        <w:t>not at risk of prejudicing any ongoing compliance activities (e.g. audits, investigations)</w:t>
      </w:r>
    </w:p>
    <w:p w14:paraId="554DBC34" w14:textId="4232EC15" w:rsidR="008B7F14" w:rsidRDefault="008B7F14" w:rsidP="00E56F04">
      <w:pPr>
        <w:pStyle w:val="Bullet"/>
        <w:spacing w:after="120"/>
        <w:contextualSpacing w:val="0"/>
      </w:pPr>
      <w:r>
        <w:t>not at risk of interfering with a fair hearing and the administration of justice or in any way prejudicial to the outcome of any legal proceedings</w:t>
      </w:r>
    </w:p>
    <w:p w14:paraId="2239EBC9" w14:textId="7561A360" w:rsidR="008B7F14" w:rsidRDefault="008B7F14" w:rsidP="00E56F04">
      <w:pPr>
        <w:pStyle w:val="Bullet"/>
        <w:spacing w:after="120"/>
        <w:contextualSpacing w:val="0"/>
      </w:pPr>
      <w:r>
        <w:t>fair in its disclosure of persons (corporate or natural) that are not the direct subject of any compliance activity or enforcement action (i.e. ‘third parties’).</w:t>
      </w:r>
    </w:p>
    <w:p w14:paraId="506A51EA" w14:textId="77777777" w:rsidR="008B7F14" w:rsidRDefault="008B7F14" w:rsidP="00E56F04">
      <w:pPr>
        <w:spacing w:before="120"/>
        <w:ind w:right="567"/>
      </w:pPr>
      <w:r>
        <w:t xml:space="preserve">In some situations, particularly with respect to privacy concerns, the FWO may use its discretion to keep certain matters confidential or provide a party advance notice of the public comment, for example, a media statement. </w:t>
      </w:r>
    </w:p>
    <w:p w14:paraId="364B1D68" w14:textId="479B10A2" w:rsidR="00220F39" w:rsidRDefault="00220F39" w:rsidP="00E56F04">
      <w:pPr>
        <w:spacing w:before="120"/>
        <w:ind w:right="567"/>
      </w:pPr>
      <w:r>
        <w:t xml:space="preserve">The FWO will regularly provide media </w:t>
      </w:r>
      <w:r w:rsidR="00B20CB8">
        <w:t>statements</w:t>
      </w:r>
      <w:r>
        <w:t xml:space="preserve"> to journalists </w:t>
      </w:r>
      <w:r w:rsidR="002A6B84">
        <w:t>‘</w:t>
      </w:r>
      <w:r>
        <w:t>under embargo</w:t>
      </w:r>
      <w:r w:rsidR="002A6B84">
        <w:t>’</w:t>
      </w:r>
      <w:r>
        <w:t xml:space="preserve"> to assist in obtaining media coverage </w:t>
      </w:r>
      <w:proofErr w:type="gramStart"/>
      <w:r>
        <w:t>in order to</w:t>
      </w:r>
      <w:proofErr w:type="gramEnd"/>
      <w:r>
        <w:t xml:space="preserve"> inform the public</w:t>
      </w:r>
      <w:r w:rsidR="000C1915">
        <w:rPr>
          <w:rStyle w:val="FootnoteReference"/>
        </w:rPr>
        <w:footnoteReference w:id="3"/>
      </w:r>
      <w:r>
        <w:t>.</w:t>
      </w:r>
      <w:r w:rsidR="002A6B84">
        <w:t xml:space="preserve"> </w:t>
      </w:r>
    </w:p>
    <w:p w14:paraId="19D559DF" w14:textId="77777777" w:rsidR="008B7F14" w:rsidRDefault="008B7F14" w:rsidP="00E56F04">
      <w:pPr>
        <w:spacing w:before="120"/>
        <w:ind w:right="567"/>
      </w:pPr>
      <w:r>
        <w:t>It is not our practice to:</w:t>
      </w:r>
    </w:p>
    <w:p w14:paraId="28E58E04" w14:textId="67B26D55" w:rsidR="008B7F14" w:rsidRDefault="008B7F14" w:rsidP="00E56F04">
      <w:pPr>
        <w:pStyle w:val="Bullet"/>
        <w:spacing w:after="120"/>
        <w:contextualSpacing w:val="0"/>
      </w:pPr>
      <w:r>
        <w:t xml:space="preserve">disclose information which may cause prejudice to ongoing compliance activities or </w:t>
      </w:r>
      <w:r w:rsidR="00B20CB8">
        <w:t xml:space="preserve">legal </w:t>
      </w:r>
      <w:r>
        <w:t>proceedings</w:t>
      </w:r>
      <w:r w:rsidR="00B20CB8">
        <w:t xml:space="preserve"> (civil or criminal)</w:t>
      </w:r>
    </w:p>
    <w:p w14:paraId="0985E64E" w14:textId="5F3300B4" w:rsidR="008B7F14" w:rsidRDefault="008B7F14" w:rsidP="00E56F04">
      <w:pPr>
        <w:pStyle w:val="Bullet"/>
        <w:spacing w:after="120"/>
        <w:contextualSpacing w:val="0"/>
      </w:pPr>
      <w:r>
        <w:lastRenderedPageBreak/>
        <w:t xml:space="preserve">state the exact residential address of parties (e.g. we </w:t>
      </w:r>
      <w:r w:rsidR="00E063BC">
        <w:t>may</w:t>
      </w:r>
      <w:r>
        <w:t xml:space="preserve"> state the relevant suburb for a party to the proceedings to avoid misidentification) or to identify witnesses by name (other than a party to the proceedings)</w:t>
      </w:r>
    </w:p>
    <w:p w14:paraId="70E0F04F" w14:textId="28EF19DC" w:rsidR="008B7F14" w:rsidRDefault="008B7F14" w:rsidP="00E56F04">
      <w:pPr>
        <w:pStyle w:val="Bullet"/>
        <w:spacing w:after="120"/>
        <w:contextualSpacing w:val="0"/>
      </w:pPr>
      <w:r>
        <w:t>represent information as facts or findings if they are allegations which have yet to be decided (i.e. we will use the term ‘alleged’)</w:t>
      </w:r>
    </w:p>
    <w:p w14:paraId="00700CD3" w14:textId="184C7548" w:rsidR="008B7F14" w:rsidRDefault="008B7F14" w:rsidP="00E56F04">
      <w:pPr>
        <w:pStyle w:val="Bullet"/>
        <w:spacing w:after="120"/>
        <w:contextualSpacing w:val="0"/>
      </w:pPr>
      <w:r>
        <w:t>make comments on the respective strengths or weaknesses of the parties’ evidence during an investigation or before a case is decided by the court</w:t>
      </w:r>
    </w:p>
    <w:p w14:paraId="65A8B385" w14:textId="4264CA59" w:rsidR="008B7F14" w:rsidRDefault="008B7F14" w:rsidP="00E56F04">
      <w:pPr>
        <w:pStyle w:val="Bullet"/>
        <w:spacing w:after="120"/>
        <w:contextualSpacing w:val="0"/>
      </w:pPr>
      <w:r>
        <w:t>use descriptive words which are not neutral, or which may prejudice the public as to a party prior to the conclusion of a court hearing</w:t>
      </w:r>
    </w:p>
    <w:p w14:paraId="13FBF05A" w14:textId="184EA466" w:rsidR="008B7F14" w:rsidRDefault="008B7F14" w:rsidP="00E56F04">
      <w:pPr>
        <w:pStyle w:val="Bullet"/>
        <w:spacing w:after="120"/>
        <w:contextualSpacing w:val="0"/>
      </w:pPr>
      <w:r>
        <w:t>refer to the conduct of a named third party where the information could be misleading, unfair or prejudicial</w:t>
      </w:r>
    </w:p>
    <w:p w14:paraId="43407560" w14:textId="1E526E63" w:rsidR="008B7F14" w:rsidRDefault="008B7F14" w:rsidP="00E56F04">
      <w:pPr>
        <w:pStyle w:val="Bullet"/>
        <w:spacing w:after="120"/>
        <w:contextualSpacing w:val="0"/>
      </w:pPr>
      <w:r>
        <w:t xml:space="preserve">use media releases to gain any tactical advantage in an ongoing proceeding. </w:t>
      </w:r>
    </w:p>
    <w:p w14:paraId="1AE3C50F" w14:textId="21AB3B70" w:rsidR="008B7F14" w:rsidRDefault="008B7F14" w:rsidP="008B7F14">
      <w:pPr>
        <w:pStyle w:val="Heading2"/>
      </w:pPr>
      <w:r>
        <w:t xml:space="preserve">Timing and content of media statements </w:t>
      </w:r>
    </w:p>
    <w:p w14:paraId="2F0B9A7B" w14:textId="505F1C60" w:rsidR="008B7F14" w:rsidRDefault="003C3070" w:rsidP="00E56F04">
      <w:pPr>
        <w:spacing w:before="120"/>
        <w:ind w:right="567"/>
      </w:pPr>
      <w:r>
        <w:t xml:space="preserve">The </w:t>
      </w:r>
      <w:r w:rsidR="008B7F14">
        <w:t>FWO typically makes comment</w:t>
      </w:r>
      <w:r>
        <w:t>,</w:t>
      </w:r>
      <w:r w:rsidR="008B7F14">
        <w:t xml:space="preserve"> and releases </w:t>
      </w:r>
      <w:r w:rsidR="00B20CB8">
        <w:t>media statements</w:t>
      </w:r>
      <w:r>
        <w:t xml:space="preserve">, </w:t>
      </w:r>
      <w:r w:rsidR="008B7F14">
        <w:t xml:space="preserve">in relation to: </w:t>
      </w:r>
    </w:p>
    <w:p w14:paraId="6B3225D7" w14:textId="5CEAD481" w:rsidR="008B7F14" w:rsidRDefault="008B7F14" w:rsidP="00E56F04">
      <w:pPr>
        <w:pStyle w:val="Bullet"/>
        <w:spacing w:after="120"/>
        <w:contextualSpacing w:val="0"/>
      </w:pPr>
      <w:r>
        <w:t>information products</w:t>
      </w:r>
    </w:p>
    <w:p w14:paraId="7DE29C0B" w14:textId="3D4BA126" w:rsidR="008B7F14" w:rsidRDefault="008B7F14" w:rsidP="00E56F04">
      <w:pPr>
        <w:pStyle w:val="Bullet"/>
        <w:spacing w:after="120"/>
        <w:contextualSpacing w:val="0"/>
      </w:pPr>
      <w:r>
        <w:t>education resources</w:t>
      </w:r>
    </w:p>
    <w:p w14:paraId="79894469" w14:textId="43921858" w:rsidR="008B7F14" w:rsidRDefault="008B7F14" w:rsidP="00E56F04">
      <w:pPr>
        <w:pStyle w:val="Bullet"/>
        <w:spacing w:after="120"/>
        <w:contextualSpacing w:val="0"/>
      </w:pPr>
      <w:r>
        <w:t>stakeholder relationships</w:t>
      </w:r>
    </w:p>
    <w:p w14:paraId="22125812" w14:textId="1F7E553D" w:rsidR="008B7F14" w:rsidRDefault="008B7F14" w:rsidP="00E56F04">
      <w:pPr>
        <w:pStyle w:val="Bullet"/>
        <w:spacing w:after="120"/>
        <w:contextualSpacing w:val="0"/>
      </w:pPr>
      <w:r>
        <w:t>awareness raising campaigns</w:t>
      </w:r>
    </w:p>
    <w:p w14:paraId="34C981FB" w14:textId="1DFAE855" w:rsidR="008B7F14" w:rsidRDefault="008B7F14" w:rsidP="00E56F04">
      <w:pPr>
        <w:pStyle w:val="Bullet"/>
        <w:spacing w:after="120"/>
        <w:contextualSpacing w:val="0"/>
      </w:pPr>
      <w:r>
        <w:t>compliance activities</w:t>
      </w:r>
    </w:p>
    <w:p w14:paraId="318C530D" w14:textId="1B11F7C8" w:rsidR="008B7F14" w:rsidRDefault="008B7F14" w:rsidP="00E56F04">
      <w:pPr>
        <w:pStyle w:val="Bullet"/>
        <w:spacing w:after="120"/>
        <w:contextualSpacing w:val="0"/>
      </w:pPr>
      <w:r>
        <w:t>enforcement outcomes</w:t>
      </w:r>
    </w:p>
    <w:p w14:paraId="6B5DBDC9" w14:textId="4287107B" w:rsidR="00220F39" w:rsidRDefault="008B7F14" w:rsidP="003C3070">
      <w:pPr>
        <w:pStyle w:val="Bullet"/>
        <w:spacing w:after="120"/>
        <w:contextualSpacing w:val="0"/>
      </w:pPr>
      <w:r>
        <w:t xml:space="preserve">legal proceedings. </w:t>
      </w:r>
    </w:p>
    <w:p w14:paraId="0BF19302" w14:textId="77777777" w:rsidR="008B7F14" w:rsidRDefault="008B7F14" w:rsidP="008B7F14">
      <w:pPr>
        <w:pStyle w:val="Heading2"/>
      </w:pPr>
      <w:r>
        <w:t>Legal proceedings</w:t>
      </w:r>
    </w:p>
    <w:p w14:paraId="4DA17D15" w14:textId="77777777" w:rsidR="008B7F14" w:rsidRDefault="008B7F14" w:rsidP="00E56F04">
      <w:pPr>
        <w:spacing w:before="120"/>
        <w:ind w:right="567"/>
      </w:pPr>
      <w:r>
        <w:t>The FWO will usually issue a media statement in relation to legal proceedings:</w:t>
      </w:r>
    </w:p>
    <w:p w14:paraId="474861CD" w14:textId="0C9B2519" w:rsidR="008B7F14" w:rsidRDefault="008B7F14" w:rsidP="00E56F04">
      <w:pPr>
        <w:pStyle w:val="Bullet"/>
        <w:spacing w:after="120"/>
        <w:contextualSpacing w:val="0"/>
      </w:pPr>
      <w:r>
        <w:t>at the commencement of an action after the pleadings have been filed and the parties to the proceedings have been notified and served</w:t>
      </w:r>
      <w:r w:rsidR="00E063BC">
        <w:t xml:space="preserve">, or in </w:t>
      </w:r>
      <w:r w:rsidR="00B20CB8">
        <w:t>a criminal prosecution</w:t>
      </w:r>
      <w:r w:rsidR="00E063BC">
        <w:t xml:space="preserve"> </w:t>
      </w:r>
      <w:r w:rsidR="00065913">
        <w:t>a</w:t>
      </w:r>
      <w:r w:rsidR="00690C9A">
        <w:t>fter</w:t>
      </w:r>
      <w:r w:rsidR="00065913">
        <w:t xml:space="preserve"> the first court appearance   </w:t>
      </w:r>
    </w:p>
    <w:p w14:paraId="3EDCC0C7" w14:textId="12A276E9" w:rsidR="008B7F14" w:rsidRDefault="008B7F14" w:rsidP="00E56F04">
      <w:pPr>
        <w:pStyle w:val="Bullet"/>
        <w:spacing w:after="120"/>
        <w:contextualSpacing w:val="0"/>
      </w:pPr>
      <w:r>
        <w:t>after a decision or finding is made (usually after a penalty decision</w:t>
      </w:r>
      <w:r w:rsidR="00065913">
        <w:t>, or a verdict</w:t>
      </w:r>
      <w:r w:rsidR="001562B1">
        <w:t xml:space="preserve"> or sentence</w:t>
      </w:r>
      <w:r w:rsidR="00065913">
        <w:t xml:space="preserve"> in a criminal </w:t>
      </w:r>
      <w:r w:rsidR="00B20CB8">
        <w:t>prosecution</w:t>
      </w:r>
      <w:r>
        <w:t>)</w:t>
      </w:r>
    </w:p>
    <w:p w14:paraId="35DC5AD3" w14:textId="78E427C9" w:rsidR="008B7F14" w:rsidRDefault="008B7F14" w:rsidP="00E56F04">
      <w:pPr>
        <w:pStyle w:val="Bullet"/>
        <w:spacing w:after="120"/>
        <w:contextualSpacing w:val="0"/>
      </w:pPr>
      <w:r>
        <w:t>when there is a public interest.</w:t>
      </w:r>
    </w:p>
    <w:p w14:paraId="318F00D4" w14:textId="64DE6B60" w:rsidR="008B7F14" w:rsidRDefault="008B7F14" w:rsidP="00E56F04">
      <w:pPr>
        <w:spacing w:before="120"/>
        <w:ind w:right="567"/>
      </w:pPr>
      <w:r>
        <w:t xml:space="preserve">The FWO is aware that disclosing information </w:t>
      </w:r>
      <w:r w:rsidR="0055094E">
        <w:t>about</w:t>
      </w:r>
      <w:r>
        <w:t xml:space="preserve"> a legal proceeding, before the proceeding is finalised, requires particular care </w:t>
      </w:r>
      <w:proofErr w:type="gramStart"/>
      <w:r>
        <w:t>in order to</w:t>
      </w:r>
      <w:proofErr w:type="gramEnd"/>
      <w:r>
        <w:t xml:space="preserve"> ensure that it causes neither prejudice to the proceedings and/or any ongoing compliance activity involving other or related entities. When we report on a legal matter before the proceedings are finalised, we may:</w:t>
      </w:r>
    </w:p>
    <w:p w14:paraId="561F896D" w14:textId="61591460" w:rsidR="008B7F14" w:rsidRDefault="008B7F14" w:rsidP="00E56F04">
      <w:pPr>
        <w:pStyle w:val="Bullet"/>
        <w:spacing w:after="120"/>
        <w:contextualSpacing w:val="0"/>
      </w:pPr>
      <w:r>
        <w:t xml:space="preserve">identify the parties to the </w:t>
      </w:r>
      <w:r w:rsidR="002302ED">
        <w:t>proceedings</w:t>
      </w:r>
      <w:r>
        <w:t>, including their names, trading names, suburb of residence/operation, and the industry of any related business</w:t>
      </w:r>
    </w:p>
    <w:p w14:paraId="12E7EE39" w14:textId="0E52431F" w:rsidR="008B7F14" w:rsidRDefault="008B7F14" w:rsidP="00E56F04">
      <w:pPr>
        <w:pStyle w:val="Bullet"/>
        <w:spacing w:after="120"/>
        <w:contextualSpacing w:val="0"/>
      </w:pPr>
      <w:r>
        <w:t>refer to the content alleged in the originating pleadings</w:t>
      </w:r>
      <w:r w:rsidR="00012061">
        <w:t xml:space="preserve"> or </w:t>
      </w:r>
      <w:r w:rsidR="002302ED">
        <w:t>criminal charge</w:t>
      </w:r>
      <w:r w:rsidR="00012061">
        <w:t>s</w:t>
      </w:r>
      <w:r>
        <w:t xml:space="preserve">, including: </w:t>
      </w:r>
    </w:p>
    <w:p w14:paraId="66AAA917" w14:textId="175C7BDF" w:rsidR="008B7F14" w:rsidRDefault="008B7F14" w:rsidP="003C3070">
      <w:pPr>
        <w:pStyle w:val="Bullet"/>
        <w:numPr>
          <w:ilvl w:val="1"/>
          <w:numId w:val="6"/>
        </w:numPr>
        <w:spacing w:after="120"/>
        <w:contextualSpacing w:val="0"/>
      </w:pPr>
      <w:r>
        <w:t xml:space="preserve">the alleged </w:t>
      </w:r>
      <w:proofErr w:type="gramStart"/>
      <w:r>
        <w:t>period of time</w:t>
      </w:r>
      <w:proofErr w:type="gramEnd"/>
      <w:r>
        <w:t xml:space="preserve"> or nature of the work</w:t>
      </w:r>
    </w:p>
    <w:p w14:paraId="3C25D3E3" w14:textId="1DBC40F1" w:rsidR="008B7F14" w:rsidRDefault="008B7F14" w:rsidP="003C3070">
      <w:pPr>
        <w:pStyle w:val="Bullet"/>
        <w:numPr>
          <w:ilvl w:val="1"/>
          <w:numId w:val="6"/>
        </w:numPr>
        <w:spacing w:after="120"/>
        <w:contextualSpacing w:val="0"/>
      </w:pPr>
      <w:r>
        <w:t xml:space="preserve">some or </w:t>
      </w:r>
      <w:proofErr w:type="gramStart"/>
      <w:r>
        <w:t>all of</w:t>
      </w:r>
      <w:proofErr w:type="gramEnd"/>
      <w:r>
        <w:t xml:space="preserve"> the alleged breaches</w:t>
      </w:r>
      <w:r w:rsidR="002302ED">
        <w:t xml:space="preserve"> or offences</w:t>
      </w:r>
    </w:p>
    <w:p w14:paraId="123E80F6" w14:textId="3CE34C5A" w:rsidR="008B7F14" w:rsidRDefault="008B7F14" w:rsidP="003C3070">
      <w:pPr>
        <w:pStyle w:val="Bullet"/>
        <w:numPr>
          <w:ilvl w:val="1"/>
          <w:numId w:val="6"/>
        </w:numPr>
        <w:spacing w:after="120"/>
        <w:contextualSpacing w:val="0"/>
      </w:pPr>
      <w:r>
        <w:t xml:space="preserve">the quantum of any amount which is being claimed on behalf of </w:t>
      </w:r>
      <w:proofErr w:type="gramStart"/>
      <w:r>
        <w:t>employees;</w:t>
      </w:r>
      <w:proofErr w:type="gramEnd"/>
    </w:p>
    <w:p w14:paraId="02E61A83" w14:textId="6DDEC78C" w:rsidR="008B7F14" w:rsidRDefault="008B7F14" w:rsidP="00E56F04">
      <w:pPr>
        <w:pStyle w:val="Bullet"/>
        <w:spacing w:after="120"/>
        <w:contextualSpacing w:val="0"/>
      </w:pPr>
      <w:r>
        <w:t>identify the potential maximum penalties for the alleged breaches</w:t>
      </w:r>
      <w:r w:rsidR="002302ED">
        <w:t xml:space="preserve"> or offences</w:t>
      </w:r>
    </w:p>
    <w:p w14:paraId="5093CF75" w14:textId="77E61445" w:rsidR="008B7F14" w:rsidRDefault="008B7F14" w:rsidP="00E56F04">
      <w:pPr>
        <w:pStyle w:val="Bullet"/>
        <w:spacing w:after="120"/>
        <w:contextualSpacing w:val="0"/>
      </w:pPr>
      <w:r>
        <w:t>say when the matter is in court and which court it is in</w:t>
      </w:r>
    </w:p>
    <w:p w14:paraId="4D50D0FA" w14:textId="16B7A42F" w:rsidR="008B7F14" w:rsidRDefault="008B7F14" w:rsidP="00E56F04">
      <w:pPr>
        <w:pStyle w:val="Bullet"/>
        <w:spacing w:after="120"/>
        <w:contextualSpacing w:val="0"/>
      </w:pPr>
      <w:r>
        <w:lastRenderedPageBreak/>
        <w:t xml:space="preserve">advise on the status of any </w:t>
      </w:r>
      <w:r w:rsidR="00943BA6">
        <w:t xml:space="preserve">legal </w:t>
      </w:r>
      <w:r>
        <w:t>proceedings (for instance, the outcome of an interlocutory application or the purpose of the next court hearing).</w:t>
      </w:r>
    </w:p>
    <w:p w14:paraId="306DF5F1" w14:textId="77777777" w:rsidR="008B7F14" w:rsidRDefault="008B7F14" w:rsidP="00E56F04">
      <w:pPr>
        <w:spacing w:before="120"/>
        <w:ind w:right="567"/>
      </w:pPr>
      <w:r>
        <w:t>Where a court has made a decision/finding in relation to a matter, the FWO may:</w:t>
      </w:r>
    </w:p>
    <w:p w14:paraId="0580E057" w14:textId="05111930" w:rsidR="008B7F14" w:rsidRDefault="008B7F14" w:rsidP="00E56F04">
      <w:pPr>
        <w:pStyle w:val="Bullet"/>
        <w:spacing w:after="120"/>
        <w:contextualSpacing w:val="0"/>
      </w:pPr>
      <w:r>
        <w:t xml:space="preserve">identify the outcome of </w:t>
      </w:r>
      <w:r w:rsidR="00943BA6">
        <w:t xml:space="preserve">legal </w:t>
      </w:r>
      <w:r>
        <w:t>proceedings, any findings of fact of the court, quote from the judgment or make comment on information which is in the public domain</w:t>
      </w:r>
    </w:p>
    <w:p w14:paraId="3C2B2F84" w14:textId="6996C8BC" w:rsidR="008B7F14" w:rsidRDefault="008B7F14" w:rsidP="00E56F04">
      <w:pPr>
        <w:pStyle w:val="Bullet"/>
        <w:spacing w:after="120"/>
        <w:contextualSpacing w:val="0"/>
      </w:pPr>
      <w:r>
        <w:t>identify the parties who were the subject of the proceedings</w:t>
      </w:r>
    </w:p>
    <w:p w14:paraId="5FCAA07C" w14:textId="054F13B2" w:rsidR="008B7F14" w:rsidRDefault="008B7F14" w:rsidP="00E56F04">
      <w:pPr>
        <w:pStyle w:val="Bullet"/>
        <w:spacing w:after="120"/>
        <w:contextualSpacing w:val="0"/>
      </w:pPr>
      <w:r>
        <w:t>identify (subject to the principles in this document) third parties not the subject of the proceedings but who may have been otherwise materially involved in the matter</w:t>
      </w:r>
    </w:p>
    <w:p w14:paraId="7B7BA476" w14:textId="090AC9C6" w:rsidR="008B7F14" w:rsidRDefault="008B7F14" w:rsidP="00E56F04">
      <w:pPr>
        <w:pStyle w:val="Bullet"/>
        <w:spacing w:after="120"/>
        <w:contextualSpacing w:val="0"/>
      </w:pPr>
      <w:r>
        <w:t xml:space="preserve">comment on the FWO’s views about the matter and its relevance to the FWO’s objectives </w:t>
      </w:r>
      <w:proofErr w:type="spellStart"/>
      <w:r>
        <w:t>as</w:t>
      </w:r>
      <w:proofErr w:type="spellEnd"/>
      <w:r>
        <w:t xml:space="preserve"> contained in the Fair Work Act 2009.</w:t>
      </w:r>
    </w:p>
    <w:p w14:paraId="1BE974C5" w14:textId="31694001" w:rsidR="008B7F14" w:rsidRDefault="008B7F14" w:rsidP="008B7F14">
      <w:pPr>
        <w:pStyle w:val="Heading2"/>
      </w:pPr>
      <w:r>
        <w:t>Compliance activities and enforcement outcomes</w:t>
      </w:r>
    </w:p>
    <w:p w14:paraId="6631582B" w14:textId="69C771F6" w:rsidR="008B7F14" w:rsidRPr="00A70829" w:rsidRDefault="008B7F14" w:rsidP="00E56F04">
      <w:pPr>
        <w:spacing w:before="120"/>
        <w:ind w:right="567"/>
        <w:rPr>
          <w:szCs w:val="22"/>
        </w:rPr>
      </w:pPr>
      <w:r w:rsidRPr="00A70829">
        <w:rPr>
          <w:szCs w:val="22"/>
        </w:rPr>
        <w:t xml:space="preserve">The FWO issues media </w:t>
      </w:r>
      <w:r w:rsidR="00A70829" w:rsidRPr="00A70829">
        <w:rPr>
          <w:szCs w:val="22"/>
        </w:rPr>
        <w:t xml:space="preserve">comments and </w:t>
      </w:r>
      <w:r w:rsidRPr="00A70829">
        <w:rPr>
          <w:szCs w:val="22"/>
        </w:rPr>
        <w:t xml:space="preserve">statements on its compliance activities and enforcement outcomes. </w:t>
      </w:r>
    </w:p>
    <w:p w14:paraId="2D47299B" w14:textId="13A7314C" w:rsidR="00A70829" w:rsidRPr="003C3070" w:rsidRDefault="00A70829" w:rsidP="00A70829">
      <w:pPr>
        <w:pStyle w:val="paragraph"/>
        <w:spacing w:before="0" w:beforeAutospacing="0" w:after="0" w:afterAutospacing="0"/>
        <w:textAlignment w:val="baseline"/>
        <w:rPr>
          <w:rFonts w:ascii="Segoe UI" w:hAnsi="Segoe UI" w:cs="Segoe UI"/>
          <w:sz w:val="22"/>
          <w:szCs w:val="22"/>
        </w:rPr>
      </w:pPr>
      <w:r w:rsidRPr="003C3070">
        <w:rPr>
          <w:rStyle w:val="normaltextrun"/>
          <w:rFonts w:ascii="Calibri" w:eastAsiaTheme="minorEastAsia" w:hAnsi="Calibri" w:cs="Calibri"/>
          <w:sz w:val="22"/>
          <w:szCs w:val="22"/>
        </w:rPr>
        <w:t xml:space="preserve">The FWO does not confirm an investigation or inquiries (civil or criminal) into any specific-named entity, including a person, unless it is in the public interest. </w:t>
      </w:r>
    </w:p>
    <w:p w14:paraId="1E13D94E" w14:textId="77777777" w:rsidR="00A70829" w:rsidRPr="003C3070" w:rsidRDefault="00A70829" w:rsidP="00A70829">
      <w:pPr>
        <w:pStyle w:val="paragraph"/>
        <w:spacing w:before="0" w:beforeAutospacing="0" w:after="0" w:afterAutospacing="0"/>
        <w:textAlignment w:val="baseline"/>
        <w:rPr>
          <w:rFonts w:ascii="Segoe UI" w:hAnsi="Segoe UI" w:cs="Segoe UI"/>
          <w:sz w:val="22"/>
          <w:szCs w:val="22"/>
        </w:rPr>
      </w:pPr>
      <w:r w:rsidRPr="003C3070">
        <w:rPr>
          <w:rStyle w:val="eop"/>
          <w:rFonts w:ascii="Calibri" w:eastAsiaTheme="minorEastAsia" w:hAnsi="Calibri" w:cs="Calibri"/>
          <w:sz w:val="22"/>
          <w:szCs w:val="22"/>
        </w:rPr>
        <w:t> </w:t>
      </w:r>
    </w:p>
    <w:p w14:paraId="7A844F70" w14:textId="39F858C2" w:rsidR="00A70829" w:rsidRPr="003C3070" w:rsidRDefault="001A564B" w:rsidP="00A70829">
      <w:pPr>
        <w:pStyle w:val="paragraph"/>
        <w:spacing w:before="0" w:beforeAutospacing="0" w:after="0" w:afterAutospacing="0"/>
        <w:textAlignment w:val="baseline"/>
        <w:rPr>
          <w:rFonts w:ascii="Segoe UI" w:hAnsi="Segoe UI" w:cs="Segoe UI"/>
          <w:sz w:val="22"/>
          <w:szCs w:val="22"/>
        </w:rPr>
      </w:pPr>
      <w:r>
        <w:rPr>
          <w:rStyle w:val="normaltextrun"/>
          <w:rFonts w:ascii="Calibri" w:eastAsiaTheme="minorEastAsia" w:hAnsi="Calibri" w:cs="Calibri"/>
          <w:sz w:val="22"/>
          <w:szCs w:val="22"/>
        </w:rPr>
        <w:t>Where the FWO is considering confirming an investigation or inquiry, a</w:t>
      </w:r>
      <w:r w:rsidR="00A70829" w:rsidRPr="003C3070">
        <w:rPr>
          <w:rStyle w:val="normaltextrun"/>
          <w:rFonts w:ascii="Calibri" w:eastAsiaTheme="minorEastAsia" w:hAnsi="Calibri" w:cs="Calibri"/>
          <w:sz w:val="22"/>
          <w:szCs w:val="22"/>
        </w:rPr>
        <w:t xml:space="preserve"> range of factors will be </w:t>
      </w:r>
      <w:proofErr w:type="gramStart"/>
      <w:r w:rsidR="00A70829" w:rsidRPr="003C3070">
        <w:rPr>
          <w:rStyle w:val="normaltextrun"/>
          <w:rFonts w:ascii="Calibri" w:eastAsiaTheme="minorEastAsia" w:hAnsi="Calibri" w:cs="Calibri"/>
          <w:sz w:val="22"/>
          <w:szCs w:val="22"/>
        </w:rPr>
        <w:t>taken into account</w:t>
      </w:r>
      <w:proofErr w:type="gramEnd"/>
      <w:r w:rsidR="00A70829" w:rsidRPr="003C3070">
        <w:rPr>
          <w:rStyle w:val="normaltextrun"/>
          <w:rFonts w:ascii="Calibri" w:eastAsiaTheme="minorEastAsia" w:hAnsi="Calibri" w:cs="Calibri"/>
          <w:sz w:val="22"/>
          <w:szCs w:val="22"/>
        </w:rPr>
        <w:t xml:space="preserve"> in considering whether making a public comment or statement is in the public interest and outweighs </w:t>
      </w:r>
      <w:r w:rsidR="00A70829">
        <w:rPr>
          <w:rStyle w:val="normaltextrun"/>
          <w:rFonts w:ascii="Calibri" w:eastAsiaTheme="minorEastAsia" w:hAnsi="Calibri" w:cs="Calibri"/>
          <w:sz w:val="22"/>
          <w:szCs w:val="22"/>
        </w:rPr>
        <w:t>any</w:t>
      </w:r>
      <w:r w:rsidR="00A70829" w:rsidRPr="003C3070">
        <w:rPr>
          <w:rStyle w:val="normaltextrun"/>
          <w:rFonts w:ascii="Calibri" w:eastAsiaTheme="minorEastAsia" w:hAnsi="Calibri" w:cs="Calibri"/>
          <w:sz w:val="22"/>
          <w:szCs w:val="22"/>
        </w:rPr>
        <w:t xml:space="preserve"> </w:t>
      </w:r>
      <w:r w:rsidR="00A70829">
        <w:rPr>
          <w:rStyle w:val="normaltextrun"/>
          <w:rFonts w:ascii="Calibri" w:eastAsiaTheme="minorEastAsia" w:hAnsi="Calibri" w:cs="Calibri"/>
          <w:sz w:val="22"/>
          <w:szCs w:val="22"/>
        </w:rPr>
        <w:t xml:space="preserve">risk or consequences of </w:t>
      </w:r>
      <w:r w:rsidR="00A70829" w:rsidRPr="003C3070">
        <w:rPr>
          <w:rStyle w:val="normaltextrun"/>
          <w:rFonts w:ascii="Calibri" w:eastAsiaTheme="minorEastAsia" w:hAnsi="Calibri" w:cs="Calibri"/>
          <w:sz w:val="22"/>
          <w:szCs w:val="22"/>
        </w:rPr>
        <w:t xml:space="preserve">public commentary. </w:t>
      </w:r>
      <w:r w:rsidR="0055094E">
        <w:rPr>
          <w:rStyle w:val="normaltextrun"/>
          <w:rFonts w:ascii="Calibri" w:eastAsiaTheme="minorEastAsia" w:hAnsi="Calibri" w:cs="Calibri"/>
          <w:sz w:val="22"/>
          <w:szCs w:val="22"/>
        </w:rPr>
        <w:t>Non-exhaustive f</w:t>
      </w:r>
      <w:r w:rsidR="00A70829" w:rsidRPr="003C3070">
        <w:rPr>
          <w:rStyle w:val="normaltextrun"/>
          <w:rFonts w:ascii="Calibri" w:eastAsiaTheme="minorEastAsia" w:hAnsi="Calibri" w:cs="Calibri"/>
          <w:sz w:val="22"/>
          <w:szCs w:val="22"/>
        </w:rPr>
        <w:t xml:space="preserve">actors </w:t>
      </w:r>
      <w:r w:rsidR="00D121E0">
        <w:rPr>
          <w:rStyle w:val="normaltextrun"/>
          <w:rFonts w:ascii="Calibri" w:eastAsiaTheme="minorEastAsia" w:hAnsi="Calibri" w:cs="Calibri"/>
          <w:sz w:val="22"/>
          <w:szCs w:val="22"/>
        </w:rPr>
        <w:t xml:space="preserve">which may </w:t>
      </w:r>
      <w:r w:rsidR="0055094E">
        <w:rPr>
          <w:rStyle w:val="normaltextrun"/>
          <w:rFonts w:ascii="Calibri" w:eastAsiaTheme="minorEastAsia" w:hAnsi="Calibri" w:cs="Calibri"/>
          <w:sz w:val="22"/>
          <w:szCs w:val="22"/>
        </w:rPr>
        <w:t xml:space="preserve">weigh in favour of it being in the </w:t>
      </w:r>
      <w:r w:rsidR="00D121E0">
        <w:rPr>
          <w:rStyle w:val="normaltextrun"/>
          <w:rFonts w:ascii="Calibri" w:eastAsiaTheme="minorEastAsia" w:hAnsi="Calibri" w:cs="Calibri"/>
          <w:sz w:val="22"/>
          <w:szCs w:val="22"/>
        </w:rPr>
        <w:t xml:space="preserve">public interest </w:t>
      </w:r>
      <w:r w:rsidR="0055094E">
        <w:rPr>
          <w:rStyle w:val="normaltextrun"/>
          <w:rFonts w:ascii="Calibri" w:eastAsiaTheme="minorEastAsia" w:hAnsi="Calibri" w:cs="Calibri"/>
          <w:sz w:val="22"/>
          <w:szCs w:val="22"/>
        </w:rPr>
        <w:t>for the FWO to</w:t>
      </w:r>
      <w:r w:rsidR="00D121E0">
        <w:rPr>
          <w:rStyle w:val="normaltextrun"/>
          <w:rFonts w:ascii="Calibri" w:eastAsiaTheme="minorEastAsia" w:hAnsi="Calibri" w:cs="Calibri"/>
          <w:sz w:val="22"/>
          <w:szCs w:val="22"/>
        </w:rPr>
        <w:t xml:space="preserve"> </w:t>
      </w:r>
      <w:r w:rsidR="0055094E">
        <w:rPr>
          <w:rStyle w:val="normaltextrun"/>
          <w:rFonts w:ascii="Calibri" w:eastAsiaTheme="minorEastAsia" w:hAnsi="Calibri" w:cs="Calibri"/>
          <w:sz w:val="22"/>
          <w:szCs w:val="22"/>
        </w:rPr>
        <w:t xml:space="preserve">make a public </w:t>
      </w:r>
      <w:r w:rsidR="00D121E0">
        <w:rPr>
          <w:rStyle w:val="normaltextrun"/>
          <w:rFonts w:ascii="Calibri" w:eastAsiaTheme="minorEastAsia" w:hAnsi="Calibri" w:cs="Calibri"/>
          <w:sz w:val="22"/>
          <w:szCs w:val="22"/>
        </w:rPr>
        <w:t xml:space="preserve">comment or statement </w:t>
      </w:r>
      <w:r w:rsidR="00A70829" w:rsidRPr="003C3070">
        <w:rPr>
          <w:rStyle w:val="normaltextrun"/>
          <w:rFonts w:ascii="Calibri" w:eastAsiaTheme="minorEastAsia" w:hAnsi="Calibri" w:cs="Calibri"/>
          <w:sz w:val="22"/>
          <w:szCs w:val="22"/>
        </w:rPr>
        <w:t>include: </w:t>
      </w:r>
      <w:r w:rsidR="00A70829" w:rsidRPr="003C3070">
        <w:rPr>
          <w:rStyle w:val="eop"/>
          <w:rFonts w:ascii="Calibri" w:eastAsiaTheme="minorEastAsia" w:hAnsi="Calibri" w:cs="Calibri"/>
          <w:sz w:val="22"/>
          <w:szCs w:val="22"/>
        </w:rPr>
        <w:t> </w:t>
      </w:r>
    </w:p>
    <w:p w14:paraId="3733A177" w14:textId="77777777" w:rsidR="00A70829" w:rsidRPr="003C3070" w:rsidRDefault="00A70829" w:rsidP="003C3070">
      <w:pPr>
        <w:pStyle w:val="paragraph"/>
        <w:numPr>
          <w:ilvl w:val="0"/>
          <w:numId w:val="8"/>
        </w:numPr>
        <w:spacing w:before="0" w:beforeAutospacing="0" w:after="0" w:afterAutospacing="0"/>
        <w:ind w:left="1080" w:hanging="796"/>
        <w:textAlignment w:val="baseline"/>
        <w:rPr>
          <w:rStyle w:val="eop"/>
          <w:rFonts w:ascii="Calibri" w:hAnsi="Calibri" w:cs="Calibri"/>
          <w:sz w:val="22"/>
          <w:szCs w:val="22"/>
        </w:rPr>
      </w:pPr>
      <w:r w:rsidRPr="003C3070">
        <w:rPr>
          <w:rStyle w:val="normaltextrun"/>
          <w:rFonts w:ascii="Calibri" w:eastAsiaTheme="minorEastAsia" w:hAnsi="Calibri" w:cs="Calibri"/>
          <w:sz w:val="22"/>
          <w:szCs w:val="22"/>
        </w:rPr>
        <w:t>information about potentially serious non-compliance is already in the public domain</w:t>
      </w:r>
      <w:r w:rsidRPr="003C3070">
        <w:rPr>
          <w:rStyle w:val="eop"/>
          <w:rFonts w:ascii="Calibri" w:eastAsiaTheme="minorEastAsia" w:hAnsi="Calibri" w:cs="Calibri"/>
          <w:sz w:val="22"/>
          <w:szCs w:val="22"/>
        </w:rPr>
        <w:t> </w:t>
      </w:r>
    </w:p>
    <w:p w14:paraId="6D3FC46D" w14:textId="00219D0A" w:rsidR="00A70829" w:rsidRPr="00A70829" w:rsidRDefault="00A70829" w:rsidP="003C3070">
      <w:pPr>
        <w:pStyle w:val="paragraph"/>
        <w:numPr>
          <w:ilvl w:val="0"/>
          <w:numId w:val="8"/>
        </w:numPr>
        <w:spacing w:before="0" w:beforeAutospacing="0" w:after="0" w:afterAutospacing="0"/>
        <w:ind w:left="709" w:hanging="425"/>
        <w:textAlignment w:val="baseline"/>
        <w:rPr>
          <w:rStyle w:val="eop"/>
          <w:rFonts w:ascii="Calibri" w:hAnsi="Calibri" w:cs="Calibri"/>
          <w:sz w:val="22"/>
          <w:szCs w:val="22"/>
        </w:rPr>
      </w:pPr>
      <w:r w:rsidRPr="00A70829">
        <w:rPr>
          <w:rStyle w:val="normaltextrun"/>
          <w:rFonts w:ascii="Calibri" w:eastAsiaTheme="minorEastAsia" w:hAnsi="Calibri" w:cs="Calibri"/>
          <w:sz w:val="22"/>
          <w:szCs w:val="22"/>
        </w:rPr>
        <w:t>matters where there have been self-reports to the FWO and the reporting entity has stated this</w:t>
      </w:r>
      <w:r>
        <w:rPr>
          <w:rStyle w:val="normaltextrun"/>
          <w:rFonts w:ascii="Calibri" w:eastAsiaTheme="minorEastAsia" w:hAnsi="Calibri" w:cs="Calibri"/>
          <w:sz w:val="22"/>
          <w:szCs w:val="22"/>
        </w:rPr>
        <w:t xml:space="preserve"> </w:t>
      </w:r>
      <w:r w:rsidRPr="00A70829">
        <w:rPr>
          <w:rStyle w:val="normaltextrun"/>
          <w:rFonts w:ascii="Calibri" w:eastAsiaTheme="minorEastAsia" w:hAnsi="Calibri" w:cs="Calibri"/>
          <w:sz w:val="22"/>
          <w:szCs w:val="22"/>
        </w:rPr>
        <w:t>publicly or otherwise reported it (e.g. to the market), or that self-report information is otherwise already public </w:t>
      </w:r>
      <w:r w:rsidRPr="00A70829">
        <w:rPr>
          <w:rStyle w:val="eop"/>
          <w:rFonts w:ascii="Calibri" w:eastAsiaTheme="minorEastAsia" w:hAnsi="Calibri" w:cs="Calibri"/>
          <w:sz w:val="22"/>
          <w:szCs w:val="22"/>
        </w:rPr>
        <w:t> </w:t>
      </w:r>
    </w:p>
    <w:p w14:paraId="7E9B74E5" w14:textId="77777777" w:rsidR="00A70829" w:rsidRPr="003C3070" w:rsidRDefault="00A70829" w:rsidP="003C3070">
      <w:pPr>
        <w:pStyle w:val="paragraph"/>
        <w:numPr>
          <w:ilvl w:val="0"/>
          <w:numId w:val="9"/>
        </w:numPr>
        <w:spacing w:before="0" w:beforeAutospacing="0" w:after="0" w:afterAutospacing="0"/>
        <w:ind w:left="1080" w:hanging="796"/>
        <w:textAlignment w:val="baseline"/>
        <w:rPr>
          <w:rFonts w:ascii="Calibri" w:hAnsi="Calibri" w:cs="Calibri"/>
          <w:sz w:val="22"/>
          <w:szCs w:val="22"/>
        </w:rPr>
      </w:pPr>
      <w:r w:rsidRPr="003C3070">
        <w:rPr>
          <w:rStyle w:val="normaltextrun"/>
          <w:rFonts w:ascii="Calibri" w:eastAsiaTheme="minorEastAsia" w:hAnsi="Calibri" w:cs="Calibri"/>
          <w:sz w:val="22"/>
          <w:szCs w:val="22"/>
        </w:rPr>
        <w:t>the FWO has been publicly called upon to respond to an issue or undertake an investigation</w:t>
      </w:r>
      <w:r w:rsidRPr="003C3070">
        <w:rPr>
          <w:rStyle w:val="eop"/>
          <w:rFonts w:ascii="Calibri" w:eastAsiaTheme="minorEastAsia" w:hAnsi="Calibri" w:cs="Calibri"/>
          <w:sz w:val="22"/>
          <w:szCs w:val="22"/>
        </w:rPr>
        <w:t> </w:t>
      </w:r>
    </w:p>
    <w:p w14:paraId="2CE071F3" w14:textId="438777BF" w:rsidR="00A70829" w:rsidRPr="003C3070" w:rsidRDefault="00A70829" w:rsidP="003C3070">
      <w:pPr>
        <w:pStyle w:val="paragraph"/>
        <w:numPr>
          <w:ilvl w:val="0"/>
          <w:numId w:val="10"/>
        </w:numPr>
        <w:spacing w:before="0" w:beforeAutospacing="0" w:after="0" w:afterAutospacing="0"/>
        <w:ind w:left="709" w:hanging="425"/>
        <w:textAlignment w:val="baseline"/>
        <w:rPr>
          <w:rFonts w:ascii="Calibri" w:hAnsi="Calibri" w:cs="Calibri"/>
          <w:sz w:val="22"/>
          <w:szCs w:val="22"/>
        </w:rPr>
      </w:pPr>
      <w:r w:rsidRPr="003C3070">
        <w:rPr>
          <w:rStyle w:val="normaltextrun"/>
          <w:rFonts w:ascii="Calibri" w:eastAsiaTheme="minorEastAsia" w:hAnsi="Calibri" w:cs="Calibri"/>
          <w:sz w:val="22"/>
          <w:szCs w:val="22"/>
        </w:rPr>
        <w:t>comment is necessary to maintain public confidence that the FWO is fulfilling its responsibilities by investigating issues of public concern</w:t>
      </w:r>
      <w:r w:rsidRPr="003C3070">
        <w:rPr>
          <w:rStyle w:val="eop"/>
          <w:rFonts w:ascii="Calibri" w:eastAsiaTheme="minorEastAsia" w:hAnsi="Calibri" w:cs="Calibri"/>
          <w:sz w:val="22"/>
          <w:szCs w:val="22"/>
        </w:rPr>
        <w:t> </w:t>
      </w:r>
    </w:p>
    <w:p w14:paraId="39803B63" w14:textId="0771E91D" w:rsidR="00A70829" w:rsidRPr="00A70829" w:rsidRDefault="00A70829" w:rsidP="003C3070">
      <w:pPr>
        <w:pStyle w:val="paragraph"/>
        <w:numPr>
          <w:ilvl w:val="0"/>
          <w:numId w:val="11"/>
        </w:numPr>
        <w:spacing w:before="0" w:beforeAutospacing="0" w:after="0" w:afterAutospacing="0"/>
        <w:ind w:left="1080" w:hanging="796"/>
        <w:textAlignment w:val="baseline"/>
        <w:rPr>
          <w:rFonts w:ascii="Calibri" w:hAnsi="Calibri" w:cs="Calibri"/>
          <w:sz w:val="22"/>
          <w:szCs w:val="22"/>
        </w:rPr>
      </w:pPr>
      <w:r w:rsidRPr="003C3070">
        <w:rPr>
          <w:rStyle w:val="normaltextrun"/>
          <w:rFonts w:ascii="Calibri" w:eastAsiaTheme="minorEastAsia" w:hAnsi="Calibri" w:cs="Calibri"/>
          <w:sz w:val="22"/>
          <w:szCs w:val="22"/>
        </w:rPr>
        <w:t>making a statement could prevent widespread misconduct, or alleviate public concern</w:t>
      </w:r>
      <w:r w:rsidRPr="00A70829">
        <w:rPr>
          <w:rStyle w:val="eop"/>
          <w:rFonts w:ascii="Calibri" w:eastAsiaTheme="minorEastAsia" w:hAnsi="Calibri" w:cs="Calibri"/>
          <w:sz w:val="22"/>
          <w:szCs w:val="22"/>
        </w:rPr>
        <w:t> </w:t>
      </w:r>
    </w:p>
    <w:p w14:paraId="5F9B1EC2" w14:textId="141793E5" w:rsidR="00D121E0" w:rsidRPr="00F74AD9" w:rsidRDefault="00A70829" w:rsidP="00F74AD9">
      <w:pPr>
        <w:pStyle w:val="paragraph"/>
        <w:numPr>
          <w:ilvl w:val="0"/>
          <w:numId w:val="12"/>
        </w:numPr>
        <w:spacing w:before="0" w:beforeAutospacing="0" w:after="0" w:afterAutospacing="0"/>
        <w:ind w:left="709" w:hanging="425"/>
        <w:textAlignment w:val="baseline"/>
        <w:rPr>
          <w:rStyle w:val="normaltextrun"/>
          <w:rFonts w:ascii="Calibri" w:eastAsiaTheme="minorEastAsia" w:hAnsi="Calibri" w:cs="Calibri"/>
          <w:sz w:val="22"/>
          <w:szCs w:val="22"/>
        </w:rPr>
      </w:pPr>
      <w:r w:rsidRPr="003C3070">
        <w:rPr>
          <w:rStyle w:val="normaltextrun"/>
          <w:rFonts w:ascii="Calibri" w:eastAsiaTheme="minorEastAsia" w:hAnsi="Calibri" w:cs="Calibri"/>
          <w:sz w:val="22"/>
          <w:szCs w:val="22"/>
        </w:rPr>
        <w:t>comment is necessary for investigation purposes, for example, to encourage witnesses to come forward</w:t>
      </w:r>
      <w:r w:rsidR="00F52903">
        <w:rPr>
          <w:rStyle w:val="normaltextrun"/>
          <w:rFonts w:ascii="Calibri" w:eastAsiaTheme="minorEastAsia" w:hAnsi="Calibri" w:cs="Calibri"/>
          <w:sz w:val="22"/>
          <w:szCs w:val="22"/>
        </w:rPr>
        <w:t>.</w:t>
      </w:r>
      <w:r w:rsidRPr="003C3070">
        <w:rPr>
          <w:rStyle w:val="eop"/>
          <w:rFonts w:ascii="Calibri" w:eastAsiaTheme="minorEastAsia" w:hAnsi="Calibri" w:cs="Calibri"/>
          <w:sz w:val="22"/>
          <w:szCs w:val="22"/>
        </w:rPr>
        <w:t> </w:t>
      </w:r>
    </w:p>
    <w:p w14:paraId="1A009425" w14:textId="77777777" w:rsidR="0094383F" w:rsidRDefault="00D121E0" w:rsidP="0094383F">
      <w:pPr>
        <w:pStyle w:val="paragraph"/>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 xml:space="preserve">The </w:t>
      </w:r>
      <w:r w:rsidR="00A70829" w:rsidRPr="003C3070">
        <w:rPr>
          <w:rStyle w:val="normaltextrun"/>
          <w:rFonts w:ascii="Calibri" w:eastAsiaTheme="minorEastAsia" w:hAnsi="Calibri" w:cs="Calibri"/>
          <w:sz w:val="22"/>
          <w:szCs w:val="22"/>
        </w:rPr>
        <w:t xml:space="preserve">FWO </w:t>
      </w:r>
      <w:r>
        <w:rPr>
          <w:rStyle w:val="normaltextrun"/>
          <w:rFonts w:ascii="Calibri" w:eastAsiaTheme="minorEastAsia" w:hAnsi="Calibri" w:cs="Calibri"/>
          <w:sz w:val="22"/>
          <w:szCs w:val="22"/>
        </w:rPr>
        <w:t xml:space="preserve">will not </w:t>
      </w:r>
      <w:r w:rsidR="00F52903">
        <w:rPr>
          <w:rStyle w:val="normaltextrun"/>
          <w:rFonts w:ascii="Calibri" w:eastAsiaTheme="minorEastAsia" w:hAnsi="Calibri" w:cs="Calibri"/>
          <w:sz w:val="22"/>
          <w:szCs w:val="22"/>
        </w:rPr>
        <w:t>comment on</w:t>
      </w:r>
      <w:r w:rsidR="006F2ECA">
        <w:rPr>
          <w:rStyle w:val="normaltextrun"/>
          <w:rFonts w:ascii="Calibri" w:eastAsiaTheme="minorEastAsia" w:hAnsi="Calibri" w:cs="Calibri"/>
          <w:sz w:val="22"/>
          <w:szCs w:val="22"/>
        </w:rPr>
        <w:t xml:space="preserve"> </w:t>
      </w:r>
      <w:r w:rsidR="00A70829" w:rsidRPr="003C3070">
        <w:rPr>
          <w:rStyle w:val="normaltextrun"/>
          <w:rFonts w:ascii="Calibri" w:eastAsiaTheme="minorEastAsia" w:hAnsi="Calibri" w:cs="Calibri"/>
          <w:sz w:val="22"/>
          <w:szCs w:val="22"/>
        </w:rPr>
        <w:t xml:space="preserve">whether a matter is </w:t>
      </w:r>
      <w:r w:rsidR="005E4112">
        <w:rPr>
          <w:rStyle w:val="normaltextrun"/>
          <w:rFonts w:ascii="Calibri" w:eastAsiaTheme="minorEastAsia" w:hAnsi="Calibri" w:cs="Calibri"/>
          <w:sz w:val="22"/>
          <w:szCs w:val="22"/>
        </w:rPr>
        <w:t xml:space="preserve">the subject of </w:t>
      </w:r>
      <w:r w:rsidR="0055094E">
        <w:rPr>
          <w:rStyle w:val="normaltextrun"/>
          <w:rFonts w:ascii="Calibri" w:eastAsiaTheme="minorEastAsia" w:hAnsi="Calibri" w:cs="Calibri"/>
          <w:sz w:val="22"/>
          <w:szCs w:val="22"/>
        </w:rPr>
        <w:t xml:space="preserve">a </w:t>
      </w:r>
      <w:r w:rsidR="00A70829" w:rsidRPr="003C3070">
        <w:rPr>
          <w:rStyle w:val="normaltextrun"/>
          <w:rFonts w:ascii="Calibri" w:eastAsiaTheme="minorEastAsia" w:hAnsi="Calibri" w:cs="Calibri"/>
          <w:sz w:val="22"/>
          <w:szCs w:val="22"/>
        </w:rPr>
        <w:t xml:space="preserve">civil </w:t>
      </w:r>
      <w:r w:rsidR="00690C9A">
        <w:rPr>
          <w:rStyle w:val="normaltextrun"/>
          <w:rFonts w:ascii="Calibri" w:eastAsiaTheme="minorEastAsia" w:hAnsi="Calibri" w:cs="Calibri"/>
          <w:sz w:val="22"/>
          <w:szCs w:val="22"/>
        </w:rPr>
        <w:t xml:space="preserve">or criminal </w:t>
      </w:r>
      <w:r w:rsidR="0018639D">
        <w:rPr>
          <w:rStyle w:val="normaltextrun"/>
          <w:rFonts w:ascii="Calibri" w:eastAsiaTheme="minorEastAsia" w:hAnsi="Calibri" w:cs="Calibri"/>
          <w:sz w:val="22"/>
          <w:szCs w:val="22"/>
        </w:rPr>
        <w:t>investigation</w:t>
      </w:r>
      <w:r>
        <w:rPr>
          <w:rStyle w:val="normaltextrun"/>
          <w:rFonts w:ascii="Calibri" w:eastAsiaTheme="minorEastAsia" w:hAnsi="Calibri" w:cs="Calibri"/>
          <w:sz w:val="22"/>
          <w:szCs w:val="22"/>
        </w:rPr>
        <w:t>.</w:t>
      </w:r>
    </w:p>
    <w:p w14:paraId="2A0F4BBB" w14:textId="77777777" w:rsidR="00F74AD9" w:rsidRDefault="0094383F" w:rsidP="00E56F04">
      <w:pPr>
        <w:spacing w:before="120"/>
        <w:ind w:right="567"/>
        <w:rPr>
          <w:rFonts w:ascii="Calibri" w:eastAsiaTheme="minorEastAsia" w:hAnsi="Calibri" w:cs="Calibri"/>
          <w:i/>
          <w:iCs/>
          <w:szCs w:val="22"/>
        </w:rPr>
      </w:pPr>
      <w:r w:rsidRPr="0094383F">
        <w:rPr>
          <w:rFonts w:ascii="Calibri" w:eastAsiaTheme="minorEastAsia" w:hAnsi="Calibri" w:cs="Calibri"/>
          <w:szCs w:val="22"/>
        </w:rPr>
        <w:t xml:space="preserve">Where a cooperation agreement has been entered into, any public comment </w:t>
      </w:r>
      <w:r w:rsidR="005C04EC">
        <w:rPr>
          <w:rFonts w:ascii="Calibri" w:eastAsiaTheme="minorEastAsia" w:hAnsi="Calibri" w:cs="Calibri"/>
          <w:szCs w:val="22"/>
        </w:rPr>
        <w:t xml:space="preserve">or statement </w:t>
      </w:r>
      <w:r w:rsidRPr="0094383F">
        <w:rPr>
          <w:rFonts w:ascii="Calibri" w:eastAsiaTheme="minorEastAsia" w:hAnsi="Calibri" w:cs="Calibri"/>
          <w:szCs w:val="22"/>
        </w:rPr>
        <w:t xml:space="preserve">is considered on a case-by-case basis including in accordance with the </w:t>
      </w:r>
      <w:hyperlink r:id="rId8" w:history="1">
        <w:r w:rsidRPr="0094383F">
          <w:rPr>
            <w:rStyle w:val="Hyperlink"/>
            <w:rFonts w:ascii="Calibri" w:eastAsiaTheme="minorEastAsia" w:hAnsi="Calibri" w:cs="Calibri"/>
            <w:szCs w:val="22"/>
          </w:rPr>
          <w:t>Guide to Cooperation Agreements</w:t>
        </w:r>
      </w:hyperlink>
      <w:r w:rsidRPr="0094383F">
        <w:rPr>
          <w:rFonts w:ascii="Calibri" w:eastAsiaTheme="minorEastAsia" w:hAnsi="Calibri" w:cs="Calibri"/>
          <w:szCs w:val="22"/>
        </w:rPr>
        <w:t>.</w:t>
      </w:r>
      <w:r>
        <w:rPr>
          <w:rFonts w:ascii="Calibri" w:eastAsiaTheme="minorEastAsia" w:hAnsi="Calibri" w:cs="Calibri"/>
          <w:i/>
          <w:iCs/>
          <w:szCs w:val="22"/>
        </w:rPr>
        <w:t xml:space="preserve"> </w:t>
      </w:r>
    </w:p>
    <w:p w14:paraId="269BD69F" w14:textId="224E1F30" w:rsidR="008B7F14" w:rsidRDefault="008B7F14" w:rsidP="00E56F04">
      <w:pPr>
        <w:spacing w:before="120"/>
        <w:ind w:right="567"/>
      </w:pPr>
      <w:r>
        <w:t>Any public comment regarding compliance activities that are underway are carefully made to protect the integrity of the compliance activity. Where the FWO does confirm the existence of a compliance activity</w:t>
      </w:r>
      <w:r w:rsidR="00D121E0">
        <w:t xml:space="preserve"> (including any inquiries or investigation)</w:t>
      </w:r>
      <w:r>
        <w:t xml:space="preserve">, it does not mean that an adverse finding will be necessarily made. </w:t>
      </w:r>
    </w:p>
    <w:p w14:paraId="438547A3" w14:textId="2C5D8A5D" w:rsidR="008B7F14" w:rsidRDefault="008B7F14" w:rsidP="00E56F04">
      <w:pPr>
        <w:spacing w:before="120"/>
        <w:ind w:right="567"/>
      </w:pPr>
      <w:r>
        <w:t>The FWO will not usually issue a media release in relation to a specific infringement notice (</w:t>
      </w:r>
      <w:r w:rsidRPr="008B7F14">
        <w:rPr>
          <w:b/>
          <w:bCs/>
        </w:rPr>
        <w:t>IN</w:t>
      </w:r>
      <w:r>
        <w:t>) or compliance notice (</w:t>
      </w:r>
      <w:r w:rsidRPr="008B7F14">
        <w:rPr>
          <w:b/>
          <w:bCs/>
        </w:rPr>
        <w:t>CN</w:t>
      </w:r>
      <w:r>
        <w:t>) where the recipient/s have complied with the terms of the CN or IN. Complying with the terms set out in a CN or IN does not constitute admission of liability by the recipient or an adverse finding of non-compliance with workplace relations laws. Generally, we do not issue media releases identifying parties in respect of a CN or IN that has been complied with</w:t>
      </w:r>
      <w:r w:rsidR="00D121E0">
        <w:t>,</w:t>
      </w:r>
      <w:r>
        <w:t xml:space="preserve"> but we do regularly publish reports and make statements that refer to overall compliance statistics</w:t>
      </w:r>
      <w:r w:rsidR="00D121E0">
        <w:t xml:space="preserve"> (including CNs or INs)</w:t>
      </w:r>
      <w:r>
        <w:t xml:space="preserve">. </w:t>
      </w:r>
    </w:p>
    <w:p w14:paraId="6B1A02B1" w14:textId="77777777" w:rsidR="008B7F14" w:rsidRDefault="008B7F14" w:rsidP="00E56F04">
      <w:pPr>
        <w:spacing w:before="120"/>
        <w:ind w:right="567"/>
      </w:pPr>
      <w:r>
        <w:lastRenderedPageBreak/>
        <w:t xml:space="preserve">To ensure full transparency and accountability, the FWO issues a media statement when it has </w:t>
      </w:r>
      <w:proofErr w:type="gramStart"/>
      <w:r>
        <w:t>entered into</w:t>
      </w:r>
      <w:proofErr w:type="gramEnd"/>
      <w:r>
        <w:t xml:space="preserve"> an enforceable undertaking (EU) or a Proactive Compliance Deed (PCD). The public statement may contain the following: </w:t>
      </w:r>
    </w:p>
    <w:p w14:paraId="5FE62F45" w14:textId="2A03DB25" w:rsidR="008B7F14" w:rsidRDefault="008B7F14" w:rsidP="00E56F04">
      <w:pPr>
        <w:pStyle w:val="Bullet"/>
        <w:spacing w:after="120" w:line="240" w:lineRule="auto"/>
        <w:contextualSpacing w:val="0"/>
      </w:pPr>
      <w:r>
        <w:t>the background of the matter/activity as described in the EU or PCD</w:t>
      </w:r>
    </w:p>
    <w:p w14:paraId="1CB0445C" w14:textId="6349E48E" w:rsidR="008B7F14" w:rsidRDefault="008B7F14" w:rsidP="00E56F04">
      <w:pPr>
        <w:pStyle w:val="Bullet"/>
        <w:spacing w:after="120" w:line="240" w:lineRule="auto"/>
        <w:contextualSpacing w:val="0"/>
      </w:pPr>
      <w:r>
        <w:t>where relevant, details on previous non-compliance relating to the entities involved or admissions made, as set out in the EU or PCD</w:t>
      </w:r>
    </w:p>
    <w:p w14:paraId="461AA160" w14:textId="5311D833" w:rsidR="008B7F14" w:rsidRDefault="008B7F14" w:rsidP="00E56F04">
      <w:pPr>
        <w:pStyle w:val="Bullet"/>
        <w:spacing w:after="120" w:line="240" w:lineRule="auto"/>
        <w:contextualSpacing w:val="0"/>
      </w:pPr>
      <w:r>
        <w:t>the key features of the EU or the PCD.</w:t>
      </w:r>
    </w:p>
    <w:p w14:paraId="010F6D99" w14:textId="6CF83C57" w:rsidR="00BC75F7" w:rsidRDefault="00BC75F7" w:rsidP="00D94455">
      <w:pPr>
        <w:pStyle w:val="Bullet"/>
        <w:spacing w:after="120"/>
        <w:contextualSpacing w:val="0"/>
      </w:pPr>
      <w:r>
        <w:t xml:space="preserve">comment on the FWO’s views about the matter and its relevance to the FWO’s objectives </w:t>
      </w:r>
      <w:proofErr w:type="spellStart"/>
      <w:r>
        <w:t>as</w:t>
      </w:r>
      <w:proofErr w:type="spellEnd"/>
      <w:r>
        <w:t xml:space="preserve"> contained in the Fair Work Act 2009.</w:t>
      </w:r>
    </w:p>
    <w:p w14:paraId="06ADB05A" w14:textId="77777777" w:rsidR="008B7F14" w:rsidRDefault="008B7F14" w:rsidP="00E56F04">
      <w:pPr>
        <w:spacing w:before="120"/>
        <w:ind w:right="567"/>
      </w:pPr>
      <w:r>
        <w:t xml:space="preserve">The FWO will publish a copy of the EU or PCD on the FWO website. The FWO will exercise its discretion to redact parts of the EU or PCD when it contains personal information, such as the name or contact information of underpaid employees. </w:t>
      </w:r>
    </w:p>
    <w:p w14:paraId="50532351" w14:textId="33E0E6EA" w:rsidR="008B7F14" w:rsidRDefault="008B7F14" w:rsidP="00E56F04">
      <w:pPr>
        <w:spacing w:before="120"/>
        <w:ind w:right="567"/>
      </w:pPr>
      <w:r>
        <w:t xml:space="preserve">The FWO </w:t>
      </w:r>
      <w:r w:rsidR="00220F39">
        <w:t>may</w:t>
      </w:r>
      <w:r>
        <w:t xml:space="preserve"> also issue a </w:t>
      </w:r>
      <w:r w:rsidR="00220F39">
        <w:t xml:space="preserve">subsequent </w:t>
      </w:r>
      <w:r>
        <w:t>media statement concerning the status of an EU or PCD if it is in the public interest to do so.</w:t>
      </w:r>
    </w:p>
    <w:p w14:paraId="7CA43738" w14:textId="0588D083" w:rsidR="00461B96" w:rsidRDefault="00461B96" w:rsidP="00E56F04">
      <w:pPr>
        <w:spacing w:before="120"/>
        <w:ind w:right="567"/>
      </w:pPr>
    </w:p>
    <w:p w14:paraId="207EC43A" w14:textId="77777777" w:rsidR="008B7F14" w:rsidRDefault="008B7F14" w:rsidP="008B7F14">
      <w:pPr>
        <w:pStyle w:val="Heading2"/>
      </w:pPr>
      <w:r>
        <w:t xml:space="preserve">Information, awareness and education products </w:t>
      </w:r>
    </w:p>
    <w:p w14:paraId="3A3AAAD4" w14:textId="419A9774" w:rsidR="008B7F14" w:rsidRDefault="008B7F14" w:rsidP="00E56F04">
      <w:pPr>
        <w:spacing w:before="120"/>
        <w:ind w:right="567"/>
      </w:pPr>
      <w:r>
        <w:t>The FWO will comment on a range of initiatives and campaigns designed to inform, raise awareness and educate workplace participants.</w:t>
      </w:r>
    </w:p>
    <w:p w14:paraId="77B864F9" w14:textId="5D9C34A6" w:rsidR="008B7F14" w:rsidRDefault="008B7F14" w:rsidP="00E56F04">
      <w:pPr>
        <w:spacing w:before="120"/>
        <w:ind w:right="567"/>
      </w:pPr>
      <w:r>
        <w:t xml:space="preserve">The FWO </w:t>
      </w:r>
      <w:r w:rsidR="00961B84">
        <w:t>may</w:t>
      </w:r>
      <w:r>
        <w:t xml:space="preserve"> also comment on general workplace relations issues and news, such as modern award variations, that it considers will build a culture of compliance.</w:t>
      </w:r>
    </w:p>
    <w:p w14:paraId="78069C1D" w14:textId="77777777" w:rsidR="008B7F14" w:rsidRDefault="008B7F14" w:rsidP="008B7F14">
      <w:pPr>
        <w:pStyle w:val="Heading2"/>
      </w:pPr>
      <w:r>
        <w:t>Identifying third parties</w:t>
      </w:r>
    </w:p>
    <w:p w14:paraId="30A007E3" w14:textId="77777777" w:rsidR="008B7F14" w:rsidRDefault="008B7F14" w:rsidP="00E56F04">
      <w:pPr>
        <w:spacing w:before="120"/>
        <w:ind w:right="567"/>
      </w:pPr>
      <w:r>
        <w:t xml:space="preserve">The FWO may name a third party in relation to a matter to advance its primary objective of ensuring compliance with the Fair Work Act 2009. </w:t>
      </w:r>
    </w:p>
    <w:p w14:paraId="065B52FB" w14:textId="77777777" w:rsidR="008B7F14" w:rsidRDefault="008B7F14" w:rsidP="00E56F04">
      <w:pPr>
        <w:spacing w:before="120"/>
        <w:ind w:right="567"/>
      </w:pPr>
      <w:r>
        <w:t>A third party may be named because its conduct, behaviour or practices are relevant to alleged breaches of workplace laws, such as a party that has contracts under which the workers provide services or products to it, albeit through other entities.</w:t>
      </w:r>
    </w:p>
    <w:p w14:paraId="788B0D8B" w14:textId="77777777" w:rsidR="008B7F14" w:rsidRDefault="008B7F14" w:rsidP="00E56F04">
      <w:pPr>
        <w:spacing w:before="120"/>
        <w:ind w:right="567"/>
      </w:pPr>
      <w:r>
        <w:t>In such cases, we will consider whether it is in the public interest to name a third party to demonstrate instances of businesses/persons that are benefiting from the labour and/or the non-compliance and thus deter others from similar behaviour.</w:t>
      </w:r>
    </w:p>
    <w:p w14:paraId="09938DB4" w14:textId="77777777" w:rsidR="008B7F14" w:rsidRDefault="008B7F14" w:rsidP="00E56F04">
      <w:pPr>
        <w:spacing w:before="120"/>
        <w:ind w:right="567"/>
      </w:pPr>
      <w:r>
        <w:t xml:space="preserve">Likewise, it may also be appropriate to refer to a third party that has worked constructively to ensure future compliance within its supply chain or service network, to promote how other businesses may influence workplace compliance within their operating model. </w:t>
      </w:r>
    </w:p>
    <w:p w14:paraId="7CAFDDC5" w14:textId="77777777" w:rsidR="008B7F14" w:rsidRDefault="008B7F14" w:rsidP="00E56F04">
      <w:pPr>
        <w:spacing w:before="120"/>
        <w:ind w:right="567"/>
      </w:pPr>
      <w:r>
        <w:t xml:space="preserve">When considering whether to name a third party the FWO will, in addition to the guiding principles and practices set out above, </w:t>
      </w:r>
      <w:proofErr w:type="gramStart"/>
      <w:r>
        <w:t>take into account</w:t>
      </w:r>
      <w:proofErr w:type="gramEnd"/>
      <w:r>
        <w:t>:</w:t>
      </w:r>
    </w:p>
    <w:p w14:paraId="01DBD54B" w14:textId="655C9100" w:rsidR="008B7F14" w:rsidRDefault="008B7F14" w:rsidP="00E56F04">
      <w:pPr>
        <w:pStyle w:val="Bullet"/>
        <w:spacing w:after="120"/>
        <w:contextualSpacing w:val="0"/>
      </w:pPr>
      <w:r>
        <w:t>the extent to which naming the third party will influence the regulated community to facilitate compliant labour supply chains or service networks</w:t>
      </w:r>
    </w:p>
    <w:p w14:paraId="69924222" w14:textId="733BB29A" w:rsidR="008B7F14" w:rsidRDefault="008B7F14" w:rsidP="00E56F04">
      <w:pPr>
        <w:pStyle w:val="Bullet"/>
        <w:spacing w:after="120"/>
        <w:contextualSpacing w:val="0"/>
      </w:pPr>
      <w:r>
        <w:t>the extent to which the third party has benefited from the non-compliance</w:t>
      </w:r>
    </w:p>
    <w:p w14:paraId="2B0012C8" w14:textId="2AA85DFD" w:rsidR="008B7F14" w:rsidRDefault="008B7F14" w:rsidP="00E56F04">
      <w:pPr>
        <w:pStyle w:val="Bullet"/>
        <w:spacing w:after="120"/>
        <w:contextualSpacing w:val="0"/>
      </w:pPr>
      <w:r>
        <w:t>the role of the third party in creating the non-compliance and/or allowing its continuation</w:t>
      </w:r>
    </w:p>
    <w:p w14:paraId="3CDD59E0" w14:textId="2E788C33" w:rsidR="008B7F14" w:rsidRDefault="008B7F14" w:rsidP="00E56F04">
      <w:pPr>
        <w:pStyle w:val="Bullet"/>
        <w:spacing w:after="120"/>
        <w:contextualSpacing w:val="0"/>
      </w:pPr>
      <w:r>
        <w:t xml:space="preserve">the degree to which the third party has engaged with the FWO as part of its investigation into the alleged non-compliance </w:t>
      </w:r>
    </w:p>
    <w:p w14:paraId="12CDAA57" w14:textId="675A7255" w:rsidR="008B7F14" w:rsidRDefault="008B7F14" w:rsidP="00E56F04">
      <w:pPr>
        <w:pStyle w:val="Bullet"/>
        <w:spacing w:after="120"/>
        <w:contextualSpacing w:val="0"/>
      </w:pPr>
      <w:r>
        <w:t xml:space="preserve">measures the third party has put in place to address similar issues or practices in business operations in which they have an interest (or preventative measures to ensure similar breaches do not arise). </w:t>
      </w:r>
    </w:p>
    <w:p w14:paraId="34014AFC" w14:textId="77777777" w:rsidR="008B7F14" w:rsidRDefault="008B7F14" w:rsidP="00E56F04">
      <w:pPr>
        <w:spacing w:before="120"/>
        <w:ind w:right="567"/>
      </w:pPr>
      <w:r>
        <w:lastRenderedPageBreak/>
        <w:t xml:space="preserve">If a third party is named, the context and circumstances of the party’s involvement will be described in neutral language. The FWO will be fair and accurate in its statements regarding the role of the third party, including any commendation that is considered warranted. </w:t>
      </w:r>
    </w:p>
    <w:p w14:paraId="5C9D6E66" w14:textId="7CC48600" w:rsidR="001F20C3" w:rsidRPr="009C4EEF" w:rsidRDefault="008B7F14" w:rsidP="00E56F04">
      <w:pPr>
        <w:spacing w:before="120"/>
        <w:ind w:right="567"/>
      </w:pPr>
      <w:r>
        <w:t xml:space="preserve">We encourage feedback about your experience with us and invite people to contact us at </w:t>
      </w:r>
      <w:hyperlink r:id="rId9" w:history="1">
        <w:r w:rsidRPr="008B7F14">
          <w:rPr>
            <w:rStyle w:val="Hyperlink"/>
            <w:rFonts w:asciiTheme="minorHAnsi" w:hAnsiTheme="minorHAnsi" w:cs="Arial"/>
          </w:rPr>
          <w:t>www.fairwork.gov.au/feedback</w:t>
        </w:r>
      </w:hyperlink>
      <w:r>
        <w:t>. If you would like more information on our media policy, please contact</w:t>
      </w:r>
      <w:r w:rsidR="00220F39">
        <w:t xml:space="preserve"> Louise Peters,</w:t>
      </w:r>
      <w:r>
        <w:t xml:space="preserve"> Executive Director – </w:t>
      </w:r>
      <w:r w:rsidR="00220F39">
        <w:t xml:space="preserve">Engagement and </w:t>
      </w:r>
      <w:r>
        <w:t xml:space="preserve">Communications, at </w:t>
      </w:r>
      <w:hyperlink r:id="rId10" w:history="1">
        <w:r w:rsidR="00220F39" w:rsidRPr="00220F39">
          <w:rPr>
            <w:rStyle w:val="Hyperlink"/>
            <w:rFonts w:asciiTheme="minorHAnsi" w:hAnsiTheme="minorHAnsi" w:cs="Arial"/>
          </w:rPr>
          <w:t>louise.peters@fwo.gov.au</w:t>
        </w:r>
      </w:hyperlink>
      <w:r>
        <w:t>.</w:t>
      </w:r>
    </w:p>
    <w:sectPr w:rsidR="001F20C3" w:rsidRPr="009C4EEF" w:rsidSect="004B38FC">
      <w:footerReference w:type="even" r:id="rId11"/>
      <w:footerReference w:type="default" r:id="rId12"/>
      <w:headerReference w:type="first" r:id="rId13"/>
      <w:footerReference w:type="first" r:id="rId14"/>
      <w:type w:val="continuous"/>
      <w:pgSz w:w="11907" w:h="16840" w:code="9"/>
      <w:pgMar w:top="1276" w:right="992" w:bottom="1440" w:left="1276" w:header="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4334C" w14:textId="77777777" w:rsidR="001C4931" w:rsidRDefault="001C4931" w:rsidP="00AB27F9">
      <w:r>
        <w:separator/>
      </w:r>
    </w:p>
  </w:endnote>
  <w:endnote w:type="continuationSeparator" w:id="0">
    <w:p w14:paraId="29C1608C" w14:textId="77777777" w:rsidR="001C4931" w:rsidRDefault="001C4931"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altName w:val="Times New Roman"/>
    <w:panose1 w:val="00000000000000000000"/>
    <w:charset w:val="00"/>
    <w:family w:val="roman"/>
    <w:notTrueType/>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6E34AE" w:rsidRDefault="006E34AE" w:rsidP="00AB27F9">
    <w:r>
      <w:fldChar w:fldCharType="begin"/>
    </w:r>
    <w:r>
      <w:instrText xml:space="preserve">PAGE  </w:instrText>
    </w:r>
    <w:r>
      <w:fldChar w:fldCharType="separate"/>
    </w:r>
    <w:r>
      <w:rPr>
        <w:noProof/>
      </w:rPr>
      <w:t>2</w:t>
    </w:r>
    <w:r>
      <w:fldChar w:fldCharType="end"/>
    </w:r>
  </w:p>
  <w:p w14:paraId="4DDBEF00" w14:textId="77777777" w:rsidR="006E34AE" w:rsidRDefault="006E34AE" w:rsidP="00AB27F9"/>
  <w:p w14:paraId="3461D779" w14:textId="77777777" w:rsidR="00AC229B" w:rsidRDefault="00AC229B"/>
  <w:p w14:paraId="3CF2D8B6" w14:textId="77777777" w:rsidR="00AC229B" w:rsidRDefault="00AC229B"/>
  <w:p w14:paraId="0FB78278" w14:textId="77777777" w:rsidR="00AC229B" w:rsidRDefault="00AC229B"/>
  <w:p w14:paraId="1FC39945" w14:textId="77777777" w:rsidR="00670BF6" w:rsidRDefault="00670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951D" w14:textId="07443B5B" w:rsidR="00C2298B" w:rsidRPr="0028084D" w:rsidRDefault="0028084D" w:rsidP="004B38FC">
    <w:pPr>
      <w:pStyle w:val="Footer"/>
      <w:rPr>
        <w:color w:val="1B365D"/>
      </w:rPr>
    </w:pPr>
    <w:r>
      <w:rPr>
        <w:rFonts w:ascii="Arial" w:hAnsi="Arial"/>
        <w:noProof/>
        <w:color w:val="0395A7"/>
        <w:lang w:eastAsia="en-AU" w:bidi="si-LK"/>
      </w:rPr>
      <mc:AlternateContent>
        <mc:Choice Requires="wps">
          <w:drawing>
            <wp:anchor distT="0" distB="0" distL="114300" distR="114300" simplePos="0" relativeHeight="251668480" behindDoc="0" locked="0" layoutInCell="1" allowOverlap="1" wp14:anchorId="55EA7998" wp14:editId="5B4158B4">
              <wp:simplePos x="0" y="0"/>
              <wp:positionH relativeFrom="column">
                <wp:posOffset>-33655</wp:posOffset>
              </wp:positionH>
              <wp:positionV relativeFrom="page">
                <wp:posOffset>9812817</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76E63"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65pt,772.65pt" to="262.7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" strokecolor="#ffb81c" strokeweight="1pt">
              <w10:wrap anchory="page"/>
            </v:line>
          </w:pict>
        </mc:Fallback>
      </mc:AlternateContent>
    </w:r>
    <w:r w:rsidR="009C4EEF">
      <w:rPr>
        <w:rFonts w:ascii="Arial" w:hAnsi="Arial"/>
        <w:noProof/>
        <w:color w:val="0395A7"/>
        <w:lang w:eastAsia="en-AU" w:bidi="si-LK"/>
      </w:rPr>
      <mc:AlternateContent>
        <mc:Choice Requires="wps">
          <w:drawing>
            <wp:anchor distT="0" distB="0" distL="114300" distR="114300" simplePos="0" relativeHeight="251659264" behindDoc="1" locked="0" layoutInCell="1" allowOverlap="1" wp14:anchorId="6C17F9EE" wp14:editId="040BB0D8">
              <wp:simplePos x="0" y="0"/>
              <wp:positionH relativeFrom="page">
                <wp:posOffset>6677025</wp:posOffset>
              </wp:positionH>
              <wp:positionV relativeFrom="page">
                <wp:posOffset>9792970</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4D2274"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25.75pt;margin-top:771.1pt;width:69.45pt;height:69.45pt;flip:x;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" fillcolor="#9bcbeb" stroked="f" strokeweight="2pt">
              <v:fill opacity="19789f"/>
              <w10:wrap anchorx="page" anchory="page"/>
            </v:shape>
          </w:pict>
        </mc:Fallback>
      </mc:AlternateContent>
    </w:r>
    <w:r w:rsidR="006A2E35">
      <w:rPr>
        <w:color w:val="1B365D"/>
        <w:sz w:val="18"/>
        <w:szCs w:val="18"/>
      </w:rPr>
      <w:t xml:space="preserve">Fair Work Ombudsman: </w:t>
    </w:r>
    <w:r w:rsidR="006A2E35" w:rsidRPr="006A2E35">
      <w:rPr>
        <w:b/>
        <w:bCs/>
        <w:color w:val="1B365D"/>
        <w:sz w:val="18"/>
        <w:szCs w:val="18"/>
      </w:rPr>
      <w:t>Media Policy</w:t>
    </w:r>
  </w:p>
  <w:p w14:paraId="2903CBC8" w14:textId="77777777" w:rsidR="00670BF6" w:rsidRDefault="004B38FC" w:rsidP="004B38FC">
    <w:pPr>
      <w:jc w:val="right"/>
    </w:pPr>
    <w:r>
      <w:fldChar w:fldCharType="begin"/>
    </w:r>
    <w:r>
      <w:instrText xml:space="preserve"> PAGE   \* MERGEFORMAT </w:instrText>
    </w:r>
    <w:r>
      <w:fldChar w:fldCharType="separate"/>
    </w:r>
    <w:r w:rsidR="002B07F0">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D6EE" w14:textId="1FFE84B7" w:rsidR="00BF0029" w:rsidRDefault="00CD44EC">
    <w:pPr>
      <w:pStyle w:val="Footer"/>
    </w:pPr>
    <w:r w:rsidRPr="00CD44EC">
      <w:rPr>
        <w:rFonts w:cstheme="minorHAnsi"/>
        <w:noProof/>
        <w:color w:val="FDD26E"/>
        <w:lang w:eastAsia="en-AU" w:bidi="si-LK"/>
      </w:rPr>
      <mc:AlternateContent>
        <mc:Choice Requires="wps">
          <w:drawing>
            <wp:anchor distT="0" distB="0" distL="114300" distR="114300" simplePos="0" relativeHeight="251664384" behindDoc="1" locked="0" layoutInCell="1" allowOverlap="1" wp14:anchorId="1933A116" wp14:editId="370A4DCD">
              <wp:simplePos x="0" y="0"/>
              <wp:positionH relativeFrom="page">
                <wp:posOffset>6558455</wp:posOffset>
              </wp:positionH>
              <wp:positionV relativeFrom="page">
                <wp:posOffset>9680027</wp:posOffset>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6" name="Right Triangle 6"/>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52FB6"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516.4pt;margin-top:762.2pt;width:78.75pt;height:78.7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" fillcolor="#fdd26e" stroked="f" strokeweight="2pt">
              <w10:wrap type="through" anchorx="page" anchory="page"/>
            </v:shape>
          </w:pict>
        </mc:Fallback>
      </mc:AlternateContent>
    </w:r>
    <w:r w:rsidR="006A2E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68BC" w14:textId="77777777" w:rsidR="001C4931" w:rsidRDefault="001C4931" w:rsidP="00AB27F9">
      <w:r>
        <w:separator/>
      </w:r>
    </w:p>
  </w:footnote>
  <w:footnote w:type="continuationSeparator" w:id="0">
    <w:p w14:paraId="0FA8BDDF" w14:textId="77777777" w:rsidR="001C4931" w:rsidRDefault="001C4931" w:rsidP="00AB27F9">
      <w:r>
        <w:continuationSeparator/>
      </w:r>
    </w:p>
  </w:footnote>
  <w:footnote w:id="1">
    <w:p w14:paraId="6AA8E7D3" w14:textId="60599EB8" w:rsidR="006A2E35" w:rsidRDefault="006A2E35">
      <w:pPr>
        <w:pStyle w:val="FootnoteText"/>
      </w:pPr>
      <w:r>
        <w:rPr>
          <w:rStyle w:val="FootnoteReference"/>
        </w:rPr>
        <w:footnoteRef/>
      </w:r>
      <w:r>
        <w:t xml:space="preserve"> </w:t>
      </w:r>
      <w:hyperlink r:id="rId1" w:tooltip="Fair Work Ombudsman compliance and enforcement policy" w:history="1">
        <w:r w:rsidRPr="00461C40">
          <w:rPr>
            <w:rStyle w:val="Hyperlink"/>
            <w:sz w:val="16"/>
            <w:szCs w:val="16"/>
          </w:rPr>
          <w:t>https://www.fairwork.gov.au/about-us/our-vision/compliance-and-enforcement-policy</w:t>
        </w:r>
      </w:hyperlink>
      <w:r w:rsidRPr="00461C40">
        <w:rPr>
          <w:rFonts w:ascii="Arial" w:hAnsi="Arial"/>
          <w:sz w:val="16"/>
          <w:szCs w:val="16"/>
        </w:rPr>
        <w:t>.</w:t>
      </w:r>
    </w:p>
  </w:footnote>
  <w:footnote w:id="2">
    <w:p w14:paraId="60CEEF90" w14:textId="62DA179A" w:rsidR="000C1915" w:rsidRPr="000C1915" w:rsidRDefault="006A2E35">
      <w:pPr>
        <w:pStyle w:val="FootnoteText"/>
        <w:rPr>
          <w:rFonts w:ascii="Arial" w:hAnsi="Arial"/>
          <w:sz w:val="16"/>
          <w:szCs w:val="16"/>
        </w:rPr>
      </w:pPr>
      <w:r>
        <w:rPr>
          <w:rStyle w:val="FootnoteReference"/>
        </w:rPr>
        <w:footnoteRef/>
      </w:r>
      <w:r>
        <w:t xml:space="preserve"> </w:t>
      </w:r>
      <w:r w:rsidRPr="00461C40">
        <w:rPr>
          <w:rFonts w:ascii="Arial" w:hAnsi="Arial"/>
          <w:sz w:val="16"/>
          <w:szCs w:val="16"/>
        </w:rPr>
        <w:t xml:space="preserve">Australian Law Reform Commission Report, </w:t>
      </w:r>
      <w:r w:rsidRPr="00461C40">
        <w:rPr>
          <w:rFonts w:ascii="Arial" w:hAnsi="Arial"/>
          <w:i/>
          <w:sz w:val="16"/>
          <w:szCs w:val="16"/>
        </w:rPr>
        <w:t>Principled Regulation, Federal Civil &amp; Administrative Penalties in Australia</w:t>
      </w:r>
      <w:r w:rsidRPr="00461C40">
        <w:rPr>
          <w:rFonts w:ascii="Arial" w:hAnsi="Arial"/>
          <w:sz w:val="16"/>
          <w:szCs w:val="16"/>
        </w:rPr>
        <w:t xml:space="preserve">, Report 95, March 2003; </w:t>
      </w:r>
      <w:r w:rsidRPr="00461C40">
        <w:rPr>
          <w:rFonts w:ascii="Arial" w:hAnsi="Arial"/>
          <w:i/>
          <w:sz w:val="16"/>
          <w:szCs w:val="16"/>
        </w:rPr>
        <w:t>Fair Work Ombudsman v South Jin Pty Ltd (No 2)</w:t>
      </w:r>
      <w:r w:rsidRPr="00461C40">
        <w:rPr>
          <w:rFonts w:ascii="Arial" w:hAnsi="Arial"/>
          <w:sz w:val="16"/>
          <w:szCs w:val="16"/>
        </w:rPr>
        <w:t xml:space="preserve"> [2016] FCA 832 at [82]; </w:t>
      </w:r>
      <w:r w:rsidRPr="00461C40">
        <w:rPr>
          <w:rFonts w:ascii="Arial" w:hAnsi="Arial"/>
          <w:i/>
          <w:sz w:val="16"/>
          <w:szCs w:val="16"/>
          <w:lang w:val="en-US"/>
        </w:rPr>
        <w:t xml:space="preserve">Fair Work Ombudsman v Happy Cabby Pty Ltd &amp; Anor </w:t>
      </w:r>
      <w:r w:rsidRPr="00461C40">
        <w:rPr>
          <w:rFonts w:ascii="Arial" w:hAnsi="Arial"/>
          <w:sz w:val="16"/>
          <w:szCs w:val="16"/>
          <w:lang w:val="en-US"/>
        </w:rPr>
        <w:t xml:space="preserve">[2013] FCCA 397 at [108]; and </w:t>
      </w:r>
      <w:r w:rsidRPr="00461C40">
        <w:rPr>
          <w:rFonts w:ascii="Arial" w:hAnsi="Arial"/>
          <w:bCs/>
          <w:i/>
          <w:iCs/>
          <w:sz w:val="16"/>
          <w:szCs w:val="16"/>
        </w:rPr>
        <w:t>Fair Work Ombudsman</w:t>
      </w:r>
      <w:r w:rsidRPr="00461C40">
        <w:rPr>
          <w:rFonts w:ascii="Arial" w:hAnsi="Arial"/>
          <w:i/>
          <w:iCs/>
          <w:sz w:val="16"/>
          <w:szCs w:val="16"/>
        </w:rPr>
        <w:t xml:space="preserve"> v Cleaners New South Wales Pty Ltd </w:t>
      </w:r>
      <w:r w:rsidRPr="00461C40">
        <w:rPr>
          <w:rFonts w:ascii="Arial" w:hAnsi="Arial"/>
          <w:iCs/>
          <w:sz w:val="16"/>
          <w:szCs w:val="16"/>
        </w:rPr>
        <w:t>[2009] FMCA 683</w:t>
      </w:r>
      <w:r w:rsidRPr="00461C40">
        <w:rPr>
          <w:rFonts w:ascii="Arial" w:hAnsi="Arial"/>
          <w:sz w:val="16"/>
          <w:szCs w:val="16"/>
        </w:rPr>
        <w:t xml:space="preserve"> at [25].</w:t>
      </w:r>
    </w:p>
  </w:footnote>
  <w:footnote w:id="3">
    <w:p w14:paraId="78646A95" w14:textId="7E836475" w:rsidR="000C1915" w:rsidRDefault="000C1915">
      <w:pPr>
        <w:pStyle w:val="FootnoteText"/>
      </w:pPr>
      <w:r>
        <w:rPr>
          <w:rStyle w:val="FootnoteReference"/>
        </w:rPr>
        <w:footnoteRef/>
      </w:r>
      <w:r>
        <w:t xml:space="preserve"> </w:t>
      </w:r>
      <w:r w:rsidRPr="000C1915">
        <w:rPr>
          <w:rFonts w:ascii="Arial" w:hAnsi="Arial"/>
          <w:sz w:val="16"/>
          <w:szCs w:val="16"/>
        </w:rPr>
        <w:t>Embargo is a process common in media reporting which means the media statement is provided to a media outlet/s but is required to be withheld from public release until a specific time set by the FWO.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B977" w14:textId="77777777" w:rsidR="00CD44EC" w:rsidRDefault="002B07F0">
    <w:pPr>
      <w:pStyle w:val="Header"/>
    </w:pPr>
    <w:r>
      <w:rPr>
        <w:noProof/>
        <w:lang w:eastAsia="en-AU" w:bidi="si-LK"/>
      </w:rPr>
      <mc:AlternateContent>
        <mc:Choice Requires="wps">
          <w:drawing>
            <wp:anchor distT="0" distB="0" distL="114300" distR="114300" simplePos="0" relativeHeight="251669504" behindDoc="0" locked="0" layoutInCell="1" allowOverlap="1" wp14:anchorId="25654D29" wp14:editId="6EBA7A90">
              <wp:simplePos x="0" y="0"/>
              <wp:positionH relativeFrom="page">
                <wp:posOffset>-125730</wp:posOffset>
              </wp:positionH>
              <wp:positionV relativeFrom="page">
                <wp:posOffset>4445613</wp:posOffset>
              </wp:positionV>
              <wp:extent cx="6653048" cy="45719"/>
              <wp:effectExtent l="0" t="0" r="0" b="0"/>
              <wp:wrapNone/>
              <wp:docPr id="1" name="Rectangle 1"/>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C5908" id="Rectangle 1" o:spid="_x0000_s1026" style="position:absolute;margin-left:-9.9pt;margin-top:350.05pt;width:523.8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" fillcolor="#9bcbeb" stroked="f" strokeweight="2pt">
              <w10:wrap anchorx="page" anchory="page"/>
            </v:rect>
          </w:pict>
        </mc:Fallback>
      </mc:AlternateContent>
    </w:r>
    <w:r w:rsidRPr="00727206">
      <w:rPr>
        <w:rFonts w:cstheme="minorHAnsi"/>
        <w:noProof/>
        <w:color w:val="0395A7"/>
        <w:lang w:eastAsia="en-AU" w:bidi="si-LK"/>
      </w:rPr>
      <mc:AlternateContent>
        <mc:Choice Requires="wps">
          <w:drawing>
            <wp:anchor distT="0" distB="0" distL="114300" distR="114300" simplePos="0" relativeHeight="251666432" behindDoc="0" locked="0" layoutInCell="1" allowOverlap="1" wp14:anchorId="6A0F8B33" wp14:editId="4AB39665">
              <wp:simplePos x="0" y="0"/>
              <wp:positionH relativeFrom="page">
                <wp:align>left</wp:align>
              </wp:positionH>
              <wp:positionV relativeFrom="page">
                <wp:align>top</wp:align>
              </wp:positionV>
              <wp:extent cx="4848447" cy="4104167"/>
              <wp:effectExtent l="0" t="0" r="9525" b="0"/>
              <wp:wrapNone/>
              <wp:docPr id="7" name="Right Triangle 7"/>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1877"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0;width:381.75pt;height:323.15pt;flip:y;z-index:2516664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" fillcolor="#1b365d" stroked="f" strokeweight="2pt">
              <w10:wrap anchorx="page" anchory="page"/>
            </v:shape>
          </w:pict>
        </mc:Fallback>
      </mc:AlternateContent>
    </w:r>
    <w:r w:rsidR="002501AC" w:rsidRPr="00CD44EC">
      <w:rPr>
        <w:noProof/>
        <w:lang w:eastAsia="en-AU" w:bidi="si-LK"/>
      </w:rPr>
      <w:drawing>
        <wp:anchor distT="0" distB="0" distL="114300" distR="114300" simplePos="0" relativeHeight="251667456" behindDoc="1" locked="0" layoutInCell="1" allowOverlap="1" wp14:anchorId="308001D0" wp14:editId="2D344B69">
          <wp:simplePos x="0" y="0"/>
          <wp:positionH relativeFrom="column">
            <wp:posOffset>-544830</wp:posOffset>
          </wp:positionH>
          <wp:positionV relativeFrom="page">
            <wp:posOffset>287020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8874EA2"/>
    <w:multiLevelType w:val="hybridMultilevel"/>
    <w:tmpl w:val="8DBE5EF2"/>
    <w:lvl w:ilvl="0" w:tplc="C9E88638">
      <w:start w:val="1"/>
      <w:numFmt w:val="bullet"/>
      <w:pStyle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4" w15:restartNumberingAfterBreak="0">
    <w:nsid w:val="395B0DC3"/>
    <w:multiLevelType w:val="multilevel"/>
    <w:tmpl w:val="643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23419"/>
    <w:multiLevelType w:val="multilevel"/>
    <w:tmpl w:val="BE84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620B9"/>
    <w:multiLevelType w:val="multilevel"/>
    <w:tmpl w:val="4294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22283"/>
    <w:multiLevelType w:val="multilevel"/>
    <w:tmpl w:val="5AAA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E4355DE"/>
    <w:multiLevelType w:val="multilevel"/>
    <w:tmpl w:val="019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7705687">
    <w:abstractNumId w:val="11"/>
  </w:num>
  <w:num w:numId="2" w16cid:durableId="142849737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16cid:durableId="1835994061">
    <w:abstractNumId w:val="3"/>
  </w:num>
  <w:num w:numId="4" w16cid:durableId="1777286789">
    <w:abstractNumId w:val="8"/>
  </w:num>
  <w:num w:numId="5" w16cid:durableId="1160122412">
    <w:abstractNumId w:val="9"/>
  </w:num>
  <w:num w:numId="6" w16cid:durableId="811603969">
    <w:abstractNumId w:val="1"/>
  </w:num>
  <w:num w:numId="7" w16cid:durableId="393352667">
    <w:abstractNumId w:val="2"/>
  </w:num>
  <w:num w:numId="8" w16cid:durableId="1198472010">
    <w:abstractNumId w:val="6"/>
  </w:num>
  <w:num w:numId="9" w16cid:durableId="1881016779">
    <w:abstractNumId w:val="4"/>
  </w:num>
  <w:num w:numId="10" w16cid:durableId="911159465">
    <w:abstractNumId w:val="10"/>
  </w:num>
  <w:num w:numId="11" w16cid:durableId="922449822">
    <w:abstractNumId w:val="7"/>
  </w:num>
  <w:num w:numId="12" w16cid:durableId="8922294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05CC"/>
    <w:rsid w:val="0000366A"/>
    <w:rsid w:val="00003FF8"/>
    <w:rsid w:val="00006D48"/>
    <w:rsid w:val="00012061"/>
    <w:rsid w:val="00020ED9"/>
    <w:rsid w:val="00043D63"/>
    <w:rsid w:val="00044A07"/>
    <w:rsid w:val="00046A0B"/>
    <w:rsid w:val="0005123E"/>
    <w:rsid w:val="00057AE4"/>
    <w:rsid w:val="00060DE4"/>
    <w:rsid w:val="00064562"/>
    <w:rsid w:val="000652ED"/>
    <w:rsid w:val="00065913"/>
    <w:rsid w:val="00067031"/>
    <w:rsid w:val="00070178"/>
    <w:rsid w:val="00090047"/>
    <w:rsid w:val="000941D5"/>
    <w:rsid w:val="0009727F"/>
    <w:rsid w:val="000A5FE4"/>
    <w:rsid w:val="000B04DA"/>
    <w:rsid w:val="000B3D0F"/>
    <w:rsid w:val="000C1915"/>
    <w:rsid w:val="000C1DF4"/>
    <w:rsid w:val="000C359C"/>
    <w:rsid w:val="000C63F1"/>
    <w:rsid w:val="000C6A5F"/>
    <w:rsid w:val="000D29E1"/>
    <w:rsid w:val="000D5582"/>
    <w:rsid w:val="000E08E4"/>
    <w:rsid w:val="000E2601"/>
    <w:rsid w:val="000E362E"/>
    <w:rsid w:val="000E37AC"/>
    <w:rsid w:val="000F0FBA"/>
    <w:rsid w:val="000F1631"/>
    <w:rsid w:val="000F2720"/>
    <w:rsid w:val="000F4B5B"/>
    <w:rsid w:val="001014A0"/>
    <w:rsid w:val="00105CEF"/>
    <w:rsid w:val="00106B77"/>
    <w:rsid w:val="00111949"/>
    <w:rsid w:val="00125A38"/>
    <w:rsid w:val="00127C72"/>
    <w:rsid w:val="00133B21"/>
    <w:rsid w:val="0013580F"/>
    <w:rsid w:val="00142043"/>
    <w:rsid w:val="001506E4"/>
    <w:rsid w:val="001562B1"/>
    <w:rsid w:val="001607FB"/>
    <w:rsid w:val="0016101D"/>
    <w:rsid w:val="0016465A"/>
    <w:rsid w:val="001676B6"/>
    <w:rsid w:val="001731FE"/>
    <w:rsid w:val="001760F9"/>
    <w:rsid w:val="001765FA"/>
    <w:rsid w:val="00181475"/>
    <w:rsid w:val="001850B4"/>
    <w:rsid w:val="0018639D"/>
    <w:rsid w:val="00190392"/>
    <w:rsid w:val="0019080C"/>
    <w:rsid w:val="00194A0D"/>
    <w:rsid w:val="001A4525"/>
    <w:rsid w:val="001A564B"/>
    <w:rsid w:val="001B2781"/>
    <w:rsid w:val="001B2A68"/>
    <w:rsid w:val="001B3270"/>
    <w:rsid w:val="001C4931"/>
    <w:rsid w:val="001C5D13"/>
    <w:rsid w:val="001C774E"/>
    <w:rsid w:val="001D19FB"/>
    <w:rsid w:val="001D6D36"/>
    <w:rsid w:val="001D75B0"/>
    <w:rsid w:val="001D7AC3"/>
    <w:rsid w:val="001E0F47"/>
    <w:rsid w:val="001E47B4"/>
    <w:rsid w:val="001F0204"/>
    <w:rsid w:val="001F20C3"/>
    <w:rsid w:val="001F3149"/>
    <w:rsid w:val="001F3169"/>
    <w:rsid w:val="00202975"/>
    <w:rsid w:val="00202E5C"/>
    <w:rsid w:val="00205DBE"/>
    <w:rsid w:val="00214011"/>
    <w:rsid w:val="00220F39"/>
    <w:rsid w:val="00225946"/>
    <w:rsid w:val="00227EF7"/>
    <w:rsid w:val="002302ED"/>
    <w:rsid w:val="00234E92"/>
    <w:rsid w:val="00244EEE"/>
    <w:rsid w:val="00244FEA"/>
    <w:rsid w:val="002450DA"/>
    <w:rsid w:val="002501AC"/>
    <w:rsid w:val="00252709"/>
    <w:rsid w:val="002533F0"/>
    <w:rsid w:val="0025534A"/>
    <w:rsid w:val="002653FB"/>
    <w:rsid w:val="00274039"/>
    <w:rsid w:val="00274AEF"/>
    <w:rsid w:val="0028084D"/>
    <w:rsid w:val="0028208F"/>
    <w:rsid w:val="00292AAB"/>
    <w:rsid w:val="002958C4"/>
    <w:rsid w:val="002A4276"/>
    <w:rsid w:val="002A6B84"/>
    <w:rsid w:val="002B07F0"/>
    <w:rsid w:val="002B5FAD"/>
    <w:rsid w:val="002B621B"/>
    <w:rsid w:val="002C4986"/>
    <w:rsid w:val="002C769D"/>
    <w:rsid w:val="002C7949"/>
    <w:rsid w:val="002D0BDB"/>
    <w:rsid w:val="002D0E6A"/>
    <w:rsid w:val="002D1480"/>
    <w:rsid w:val="002D4156"/>
    <w:rsid w:val="002D6297"/>
    <w:rsid w:val="002D7B33"/>
    <w:rsid w:val="002E23E2"/>
    <w:rsid w:val="002E6E0C"/>
    <w:rsid w:val="002F0DF6"/>
    <w:rsid w:val="002F3FBE"/>
    <w:rsid w:val="002F61D0"/>
    <w:rsid w:val="00315AB8"/>
    <w:rsid w:val="00317AD4"/>
    <w:rsid w:val="0032006D"/>
    <w:rsid w:val="003215C7"/>
    <w:rsid w:val="003275AD"/>
    <w:rsid w:val="00330F14"/>
    <w:rsid w:val="00332317"/>
    <w:rsid w:val="00334861"/>
    <w:rsid w:val="0033684C"/>
    <w:rsid w:val="00340E0D"/>
    <w:rsid w:val="003412BC"/>
    <w:rsid w:val="00341A80"/>
    <w:rsid w:val="0034403B"/>
    <w:rsid w:val="00345AD1"/>
    <w:rsid w:val="00357948"/>
    <w:rsid w:val="00357D51"/>
    <w:rsid w:val="00371258"/>
    <w:rsid w:val="003749B1"/>
    <w:rsid w:val="00374EF9"/>
    <w:rsid w:val="0038439E"/>
    <w:rsid w:val="003861B5"/>
    <w:rsid w:val="003952ED"/>
    <w:rsid w:val="003974D6"/>
    <w:rsid w:val="003A54A2"/>
    <w:rsid w:val="003A61DD"/>
    <w:rsid w:val="003B121D"/>
    <w:rsid w:val="003B2808"/>
    <w:rsid w:val="003B35B1"/>
    <w:rsid w:val="003B62FE"/>
    <w:rsid w:val="003C2616"/>
    <w:rsid w:val="003C3070"/>
    <w:rsid w:val="003C6D5B"/>
    <w:rsid w:val="003D18E2"/>
    <w:rsid w:val="003D2933"/>
    <w:rsid w:val="003D416A"/>
    <w:rsid w:val="003E0FDA"/>
    <w:rsid w:val="003E2FB5"/>
    <w:rsid w:val="003E7A96"/>
    <w:rsid w:val="00400743"/>
    <w:rsid w:val="0040106A"/>
    <w:rsid w:val="0040294F"/>
    <w:rsid w:val="00403015"/>
    <w:rsid w:val="004033BF"/>
    <w:rsid w:val="004044C1"/>
    <w:rsid w:val="004046AC"/>
    <w:rsid w:val="0040543F"/>
    <w:rsid w:val="00405844"/>
    <w:rsid w:val="00410018"/>
    <w:rsid w:val="004171B5"/>
    <w:rsid w:val="00422DFC"/>
    <w:rsid w:val="00433812"/>
    <w:rsid w:val="00436CD6"/>
    <w:rsid w:val="00441529"/>
    <w:rsid w:val="00451CB0"/>
    <w:rsid w:val="0045285F"/>
    <w:rsid w:val="0045600E"/>
    <w:rsid w:val="00461B96"/>
    <w:rsid w:val="00463F3A"/>
    <w:rsid w:val="004650C3"/>
    <w:rsid w:val="00467B47"/>
    <w:rsid w:val="00475F07"/>
    <w:rsid w:val="00482C80"/>
    <w:rsid w:val="004947D1"/>
    <w:rsid w:val="00494BAC"/>
    <w:rsid w:val="00495DA8"/>
    <w:rsid w:val="00497F76"/>
    <w:rsid w:val="004A29A2"/>
    <w:rsid w:val="004B2104"/>
    <w:rsid w:val="004B22F3"/>
    <w:rsid w:val="004B38FC"/>
    <w:rsid w:val="004C0B58"/>
    <w:rsid w:val="004C33F0"/>
    <w:rsid w:val="004C6B22"/>
    <w:rsid w:val="004D111F"/>
    <w:rsid w:val="004E2431"/>
    <w:rsid w:val="004E3470"/>
    <w:rsid w:val="004E36F6"/>
    <w:rsid w:val="004E7102"/>
    <w:rsid w:val="004E7C5C"/>
    <w:rsid w:val="004F15FA"/>
    <w:rsid w:val="004F3284"/>
    <w:rsid w:val="004F3BC2"/>
    <w:rsid w:val="004F4518"/>
    <w:rsid w:val="00501D43"/>
    <w:rsid w:val="00502485"/>
    <w:rsid w:val="00503137"/>
    <w:rsid w:val="00503E04"/>
    <w:rsid w:val="005103EE"/>
    <w:rsid w:val="00512B40"/>
    <w:rsid w:val="00517828"/>
    <w:rsid w:val="00523F90"/>
    <w:rsid w:val="00524C21"/>
    <w:rsid w:val="00533528"/>
    <w:rsid w:val="0054474D"/>
    <w:rsid w:val="00546C2E"/>
    <w:rsid w:val="0055094E"/>
    <w:rsid w:val="00551512"/>
    <w:rsid w:val="00561E5A"/>
    <w:rsid w:val="005823A8"/>
    <w:rsid w:val="005831FC"/>
    <w:rsid w:val="00587007"/>
    <w:rsid w:val="00587A9D"/>
    <w:rsid w:val="00592A13"/>
    <w:rsid w:val="00593E35"/>
    <w:rsid w:val="00596451"/>
    <w:rsid w:val="005B3334"/>
    <w:rsid w:val="005B3A17"/>
    <w:rsid w:val="005B513C"/>
    <w:rsid w:val="005C04EC"/>
    <w:rsid w:val="005C390A"/>
    <w:rsid w:val="005C5D4C"/>
    <w:rsid w:val="005D107E"/>
    <w:rsid w:val="005D1F57"/>
    <w:rsid w:val="005E3ED5"/>
    <w:rsid w:val="005E4112"/>
    <w:rsid w:val="005E536F"/>
    <w:rsid w:val="006007AB"/>
    <w:rsid w:val="00602CBE"/>
    <w:rsid w:val="0060649A"/>
    <w:rsid w:val="00607993"/>
    <w:rsid w:val="00611E91"/>
    <w:rsid w:val="00612257"/>
    <w:rsid w:val="00616148"/>
    <w:rsid w:val="00624A88"/>
    <w:rsid w:val="0062705E"/>
    <w:rsid w:val="00631685"/>
    <w:rsid w:val="00635BD6"/>
    <w:rsid w:val="00637381"/>
    <w:rsid w:val="00637D93"/>
    <w:rsid w:val="006615E0"/>
    <w:rsid w:val="00663F9B"/>
    <w:rsid w:val="00666A7E"/>
    <w:rsid w:val="00666FD1"/>
    <w:rsid w:val="00670BF6"/>
    <w:rsid w:val="00681844"/>
    <w:rsid w:val="006824E7"/>
    <w:rsid w:val="006836FC"/>
    <w:rsid w:val="006878B3"/>
    <w:rsid w:val="00690C9A"/>
    <w:rsid w:val="0069564F"/>
    <w:rsid w:val="006A2E35"/>
    <w:rsid w:val="006A3313"/>
    <w:rsid w:val="006A412C"/>
    <w:rsid w:val="006A57C5"/>
    <w:rsid w:val="006B0678"/>
    <w:rsid w:val="006B7D36"/>
    <w:rsid w:val="006C2BEE"/>
    <w:rsid w:val="006D3D1A"/>
    <w:rsid w:val="006D5108"/>
    <w:rsid w:val="006E0516"/>
    <w:rsid w:val="006E34AE"/>
    <w:rsid w:val="006E4D7E"/>
    <w:rsid w:val="006E7D24"/>
    <w:rsid w:val="006F2ECA"/>
    <w:rsid w:val="007013DD"/>
    <w:rsid w:val="00715E81"/>
    <w:rsid w:val="00717C75"/>
    <w:rsid w:val="00736C10"/>
    <w:rsid w:val="00743B2F"/>
    <w:rsid w:val="00761799"/>
    <w:rsid w:val="00765753"/>
    <w:rsid w:val="00774166"/>
    <w:rsid w:val="00791818"/>
    <w:rsid w:val="007A2082"/>
    <w:rsid w:val="007A2AC3"/>
    <w:rsid w:val="007A2D49"/>
    <w:rsid w:val="007A6309"/>
    <w:rsid w:val="007B16EE"/>
    <w:rsid w:val="007D66FA"/>
    <w:rsid w:val="007E1B5B"/>
    <w:rsid w:val="007E3190"/>
    <w:rsid w:val="007E4C63"/>
    <w:rsid w:val="007E6493"/>
    <w:rsid w:val="007F2128"/>
    <w:rsid w:val="00813552"/>
    <w:rsid w:val="008205AC"/>
    <w:rsid w:val="008217E4"/>
    <w:rsid w:val="008324C6"/>
    <w:rsid w:val="008340F6"/>
    <w:rsid w:val="00840399"/>
    <w:rsid w:val="00856E98"/>
    <w:rsid w:val="00860091"/>
    <w:rsid w:val="0086047C"/>
    <w:rsid w:val="00872779"/>
    <w:rsid w:val="008738AF"/>
    <w:rsid w:val="00874E9E"/>
    <w:rsid w:val="008770CF"/>
    <w:rsid w:val="00877300"/>
    <w:rsid w:val="008850A2"/>
    <w:rsid w:val="0088737E"/>
    <w:rsid w:val="00892345"/>
    <w:rsid w:val="00892902"/>
    <w:rsid w:val="00895CDA"/>
    <w:rsid w:val="008967E4"/>
    <w:rsid w:val="008979FD"/>
    <w:rsid w:val="008A6906"/>
    <w:rsid w:val="008B4B17"/>
    <w:rsid w:val="008B64FB"/>
    <w:rsid w:val="008B7934"/>
    <w:rsid w:val="008B7F14"/>
    <w:rsid w:val="008C494F"/>
    <w:rsid w:val="008C4A87"/>
    <w:rsid w:val="008C68B5"/>
    <w:rsid w:val="008D7319"/>
    <w:rsid w:val="008E46F0"/>
    <w:rsid w:val="008E5CCA"/>
    <w:rsid w:val="008F22E5"/>
    <w:rsid w:val="008F2CC1"/>
    <w:rsid w:val="008F5354"/>
    <w:rsid w:val="008F5E6D"/>
    <w:rsid w:val="008F7AFC"/>
    <w:rsid w:val="009025D7"/>
    <w:rsid w:val="00911CB2"/>
    <w:rsid w:val="00911D94"/>
    <w:rsid w:val="0091246E"/>
    <w:rsid w:val="009137A7"/>
    <w:rsid w:val="00921FBC"/>
    <w:rsid w:val="00925B42"/>
    <w:rsid w:val="009344C6"/>
    <w:rsid w:val="0093542C"/>
    <w:rsid w:val="00936511"/>
    <w:rsid w:val="009401AC"/>
    <w:rsid w:val="00942834"/>
    <w:rsid w:val="0094383F"/>
    <w:rsid w:val="00943BA6"/>
    <w:rsid w:val="00954E47"/>
    <w:rsid w:val="00960B57"/>
    <w:rsid w:val="00961B84"/>
    <w:rsid w:val="009629F3"/>
    <w:rsid w:val="00964151"/>
    <w:rsid w:val="009720CE"/>
    <w:rsid w:val="00972C87"/>
    <w:rsid w:val="00973940"/>
    <w:rsid w:val="00973C4D"/>
    <w:rsid w:val="009742D2"/>
    <w:rsid w:val="00981DC1"/>
    <w:rsid w:val="009943AB"/>
    <w:rsid w:val="009B0B6A"/>
    <w:rsid w:val="009C10C3"/>
    <w:rsid w:val="009C14E2"/>
    <w:rsid w:val="009C4EEF"/>
    <w:rsid w:val="009D2725"/>
    <w:rsid w:val="009D7631"/>
    <w:rsid w:val="009E226F"/>
    <w:rsid w:val="009F0C25"/>
    <w:rsid w:val="009F750A"/>
    <w:rsid w:val="00A05A24"/>
    <w:rsid w:val="00A07A1B"/>
    <w:rsid w:val="00A10560"/>
    <w:rsid w:val="00A11A03"/>
    <w:rsid w:val="00A12742"/>
    <w:rsid w:val="00A150E2"/>
    <w:rsid w:val="00A15574"/>
    <w:rsid w:val="00A30234"/>
    <w:rsid w:val="00A31EED"/>
    <w:rsid w:val="00A325F5"/>
    <w:rsid w:val="00A32E18"/>
    <w:rsid w:val="00A40015"/>
    <w:rsid w:val="00A46F23"/>
    <w:rsid w:val="00A50448"/>
    <w:rsid w:val="00A613DF"/>
    <w:rsid w:val="00A6745A"/>
    <w:rsid w:val="00A70829"/>
    <w:rsid w:val="00A7186B"/>
    <w:rsid w:val="00A71FA8"/>
    <w:rsid w:val="00A73213"/>
    <w:rsid w:val="00A73C8E"/>
    <w:rsid w:val="00A82037"/>
    <w:rsid w:val="00A82E86"/>
    <w:rsid w:val="00A9000B"/>
    <w:rsid w:val="00A946A9"/>
    <w:rsid w:val="00A95312"/>
    <w:rsid w:val="00AA0A3E"/>
    <w:rsid w:val="00AB098D"/>
    <w:rsid w:val="00AB27F9"/>
    <w:rsid w:val="00AC17ED"/>
    <w:rsid w:val="00AC229B"/>
    <w:rsid w:val="00AC7EC8"/>
    <w:rsid w:val="00AD01A0"/>
    <w:rsid w:val="00AD0B0A"/>
    <w:rsid w:val="00AD38BF"/>
    <w:rsid w:val="00AD3FD7"/>
    <w:rsid w:val="00AD5F7F"/>
    <w:rsid w:val="00AD7ACB"/>
    <w:rsid w:val="00AE0C8C"/>
    <w:rsid w:val="00AF0936"/>
    <w:rsid w:val="00B0049B"/>
    <w:rsid w:val="00B00BC8"/>
    <w:rsid w:val="00B01018"/>
    <w:rsid w:val="00B054A7"/>
    <w:rsid w:val="00B0742B"/>
    <w:rsid w:val="00B11DDC"/>
    <w:rsid w:val="00B13C89"/>
    <w:rsid w:val="00B148E4"/>
    <w:rsid w:val="00B14AD9"/>
    <w:rsid w:val="00B206C4"/>
    <w:rsid w:val="00B20CB8"/>
    <w:rsid w:val="00B20DF0"/>
    <w:rsid w:val="00B24869"/>
    <w:rsid w:val="00B26E4B"/>
    <w:rsid w:val="00B33C57"/>
    <w:rsid w:val="00B67D04"/>
    <w:rsid w:val="00B842F5"/>
    <w:rsid w:val="00B8655E"/>
    <w:rsid w:val="00B90991"/>
    <w:rsid w:val="00B9339B"/>
    <w:rsid w:val="00B94A6B"/>
    <w:rsid w:val="00B97961"/>
    <w:rsid w:val="00BA1ACC"/>
    <w:rsid w:val="00BA4FF9"/>
    <w:rsid w:val="00BA602C"/>
    <w:rsid w:val="00BA6FA7"/>
    <w:rsid w:val="00BB25C4"/>
    <w:rsid w:val="00BB26EF"/>
    <w:rsid w:val="00BB59AA"/>
    <w:rsid w:val="00BC0280"/>
    <w:rsid w:val="00BC2226"/>
    <w:rsid w:val="00BC75F7"/>
    <w:rsid w:val="00BD0563"/>
    <w:rsid w:val="00BD2474"/>
    <w:rsid w:val="00BD79E5"/>
    <w:rsid w:val="00BE15EC"/>
    <w:rsid w:val="00BF0029"/>
    <w:rsid w:val="00BF39D0"/>
    <w:rsid w:val="00C00C46"/>
    <w:rsid w:val="00C02BFF"/>
    <w:rsid w:val="00C11D0C"/>
    <w:rsid w:val="00C14135"/>
    <w:rsid w:val="00C14891"/>
    <w:rsid w:val="00C15432"/>
    <w:rsid w:val="00C2298B"/>
    <w:rsid w:val="00C24A7A"/>
    <w:rsid w:val="00C33E01"/>
    <w:rsid w:val="00C36E87"/>
    <w:rsid w:val="00C423F4"/>
    <w:rsid w:val="00C46495"/>
    <w:rsid w:val="00C46A9A"/>
    <w:rsid w:val="00C51199"/>
    <w:rsid w:val="00C538CC"/>
    <w:rsid w:val="00C56962"/>
    <w:rsid w:val="00C62ACD"/>
    <w:rsid w:val="00C6446B"/>
    <w:rsid w:val="00C72D97"/>
    <w:rsid w:val="00C773E8"/>
    <w:rsid w:val="00C81AF7"/>
    <w:rsid w:val="00C9231F"/>
    <w:rsid w:val="00C98450"/>
    <w:rsid w:val="00CA11A7"/>
    <w:rsid w:val="00CC3FFC"/>
    <w:rsid w:val="00CC7FFE"/>
    <w:rsid w:val="00CD404B"/>
    <w:rsid w:val="00CD44EC"/>
    <w:rsid w:val="00CD6F15"/>
    <w:rsid w:val="00CE3D01"/>
    <w:rsid w:val="00CE60A1"/>
    <w:rsid w:val="00CE63BE"/>
    <w:rsid w:val="00CF3B06"/>
    <w:rsid w:val="00D048A5"/>
    <w:rsid w:val="00D121E0"/>
    <w:rsid w:val="00D13A87"/>
    <w:rsid w:val="00D15C97"/>
    <w:rsid w:val="00D16A74"/>
    <w:rsid w:val="00D216C8"/>
    <w:rsid w:val="00D27F43"/>
    <w:rsid w:val="00D32399"/>
    <w:rsid w:val="00D3277B"/>
    <w:rsid w:val="00D363DC"/>
    <w:rsid w:val="00D432AF"/>
    <w:rsid w:val="00D6528F"/>
    <w:rsid w:val="00D7342F"/>
    <w:rsid w:val="00D734C8"/>
    <w:rsid w:val="00D74E9D"/>
    <w:rsid w:val="00D7578E"/>
    <w:rsid w:val="00D8198B"/>
    <w:rsid w:val="00D94455"/>
    <w:rsid w:val="00D964E9"/>
    <w:rsid w:val="00DA0189"/>
    <w:rsid w:val="00DA096D"/>
    <w:rsid w:val="00DA57D3"/>
    <w:rsid w:val="00DA7E1A"/>
    <w:rsid w:val="00DB2A3D"/>
    <w:rsid w:val="00DB4602"/>
    <w:rsid w:val="00DB5915"/>
    <w:rsid w:val="00DC0961"/>
    <w:rsid w:val="00DC1F8D"/>
    <w:rsid w:val="00DC5A09"/>
    <w:rsid w:val="00DC6E83"/>
    <w:rsid w:val="00DC7AC2"/>
    <w:rsid w:val="00DE217D"/>
    <w:rsid w:val="00DE5E64"/>
    <w:rsid w:val="00DE7C28"/>
    <w:rsid w:val="00DF065A"/>
    <w:rsid w:val="00DF4831"/>
    <w:rsid w:val="00DF6D17"/>
    <w:rsid w:val="00E063BC"/>
    <w:rsid w:val="00E10583"/>
    <w:rsid w:val="00E151A0"/>
    <w:rsid w:val="00E15283"/>
    <w:rsid w:val="00E15C32"/>
    <w:rsid w:val="00E22203"/>
    <w:rsid w:val="00E2399E"/>
    <w:rsid w:val="00E2468C"/>
    <w:rsid w:val="00E32352"/>
    <w:rsid w:val="00E402C2"/>
    <w:rsid w:val="00E403BA"/>
    <w:rsid w:val="00E40F63"/>
    <w:rsid w:val="00E46CCA"/>
    <w:rsid w:val="00E47350"/>
    <w:rsid w:val="00E551F9"/>
    <w:rsid w:val="00E56F04"/>
    <w:rsid w:val="00E601F8"/>
    <w:rsid w:val="00E64EE0"/>
    <w:rsid w:val="00E65E59"/>
    <w:rsid w:val="00E73829"/>
    <w:rsid w:val="00E83F44"/>
    <w:rsid w:val="00E8678A"/>
    <w:rsid w:val="00E944DC"/>
    <w:rsid w:val="00E974A6"/>
    <w:rsid w:val="00EA5329"/>
    <w:rsid w:val="00EA6181"/>
    <w:rsid w:val="00EB1522"/>
    <w:rsid w:val="00EB2C3E"/>
    <w:rsid w:val="00EB2EF8"/>
    <w:rsid w:val="00EB43E3"/>
    <w:rsid w:val="00EC3F7D"/>
    <w:rsid w:val="00EC55E6"/>
    <w:rsid w:val="00ED0D64"/>
    <w:rsid w:val="00ED295F"/>
    <w:rsid w:val="00ED4AEB"/>
    <w:rsid w:val="00ED60EC"/>
    <w:rsid w:val="00ED6513"/>
    <w:rsid w:val="00EE2EF8"/>
    <w:rsid w:val="00EE3963"/>
    <w:rsid w:val="00EE3A19"/>
    <w:rsid w:val="00EE573C"/>
    <w:rsid w:val="00EF394B"/>
    <w:rsid w:val="00EF6D72"/>
    <w:rsid w:val="00F105AC"/>
    <w:rsid w:val="00F11C48"/>
    <w:rsid w:val="00F23488"/>
    <w:rsid w:val="00F2588C"/>
    <w:rsid w:val="00F26590"/>
    <w:rsid w:val="00F30A49"/>
    <w:rsid w:val="00F31E30"/>
    <w:rsid w:val="00F51A80"/>
    <w:rsid w:val="00F52903"/>
    <w:rsid w:val="00F55653"/>
    <w:rsid w:val="00F557CB"/>
    <w:rsid w:val="00F573B5"/>
    <w:rsid w:val="00F627A7"/>
    <w:rsid w:val="00F66106"/>
    <w:rsid w:val="00F67D4D"/>
    <w:rsid w:val="00F74AD9"/>
    <w:rsid w:val="00F77208"/>
    <w:rsid w:val="00F77D9C"/>
    <w:rsid w:val="00F8218D"/>
    <w:rsid w:val="00F94F7D"/>
    <w:rsid w:val="00FA1039"/>
    <w:rsid w:val="00FA137B"/>
    <w:rsid w:val="00FA24FE"/>
    <w:rsid w:val="00FA37A8"/>
    <w:rsid w:val="00FA64BA"/>
    <w:rsid w:val="00FB1516"/>
    <w:rsid w:val="00FB48B9"/>
    <w:rsid w:val="00FC11E0"/>
    <w:rsid w:val="00FD21CA"/>
    <w:rsid w:val="00FE2A0E"/>
    <w:rsid w:val="00FE638A"/>
    <w:rsid w:val="00FF1F70"/>
    <w:rsid w:val="05432BED"/>
    <w:rsid w:val="1F8A22F0"/>
    <w:rsid w:val="228B74BE"/>
    <w:rsid w:val="275EE5E1"/>
    <w:rsid w:val="444251DC"/>
    <w:rsid w:val="5D3C0D55"/>
    <w:rsid w:val="6125BDD7"/>
    <w:rsid w:val="77D5C2C7"/>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5D00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8B7F14"/>
    <w:pPr>
      <w:spacing w:after="120"/>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8B7F14"/>
    <w:pPr>
      <w:numPr>
        <w:ilvl w:val="1"/>
      </w:numPr>
      <w:spacing w:before="180"/>
      <w:outlineLvl w:val="1"/>
    </w:pPr>
    <w:rPr>
      <w:rFonts w:ascii="Calibri" w:hAnsi="Calibri"/>
      <w:b/>
      <w:sz w:val="32"/>
      <w:szCs w:val="24"/>
    </w:rPr>
  </w:style>
  <w:style w:type="paragraph" w:styleId="Heading3">
    <w:name w:val="heading 3"/>
    <w:basedOn w:val="Heading2"/>
    <w:next w:val="Normal"/>
    <w:link w:val="Heading3Char"/>
    <w:autoRedefine/>
    <w:uiPriority w:val="9"/>
    <w:qFormat/>
    <w:rsid w:val="006A57C5"/>
    <w:pPr>
      <w:numPr>
        <w:ilvl w:val="2"/>
      </w:numPr>
      <w:spacing w:before="120" w:after="0"/>
      <w:outlineLvl w:val="2"/>
    </w:pPr>
    <w:rPr>
      <w:sz w:val="24"/>
      <w:szCs w:val="20"/>
    </w:rPr>
  </w:style>
  <w:style w:type="paragraph" w:styleId="Heading4">
    <w:name w:val="heading 4"/>
    <w:basedOn w:val="Heading3"/>
    <w:next w:val="Normal"/>
    <w:link w:val="Heading4Char"/>
    <w:uiPriority w:val="9"/>
    <w:rsid w:val="00105CEF"/>
    <w:pPr>
      <w:numPr>
        <w:ilvl w:val="0"/>
      </w:numPr>
      <w:ind w:left="1134"/>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8B7F14"/>
    <w:rPr>
      <w:rFonts w:ascii="Calibri" w:hAnsi="Calibri" w:cs="Arial"/>
      <w:b/>
      <w:color w:val="1B365D"/>
      <w:sz w:val="32"/>
      <w:szCs w:val="24"/>
      <w:lang w:eastAsia="en-US"/>
    </w:rPr>
  </w:style>
  <w:style w:type="character" w:customStyle="1" w:styleId="Heading3Char">
    <w:name w:val="Heading 3 Char"/>
    <w:basedOn w:val="DefaultParagraphFont"/>
    <w:link w:val="Heading3"/>
    <w:uiPriority w:val="9"/>
    <w:locked/>
    <w:rsid w:val="006A57C5"/>
    <w:rPr>
      <w:rFonts w:ascii="Calibri" w:hAnsi="Calibri" w:cs="Arial"/>
      <w:b/>
      <w:color w:val="1B365D"/>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8B7F14"/>
    <w:pPr>
      <w:tabs>
        <w:tab w:val="left" w:pos="3402"/>
      </w:tabs>
      <w:spacing w:before="4440" w:after="2400"/>
      <w:ind w:left="1134" w:right="708"/>
    </w:pPr>
    <w:rPr>
      <w:rFonts w:ascii="Calibri Light" w:eastAsiaTheme="minorHAnsi" w:hAnsi="Calibri Light" w:cs="Times New Roman"/>
      <w:color w:val="1B365D"/>
      <w:sz w:val="72"/>
      <w:szCs w:val="96"/>
    </w:rPr>
  </w:style>
  <w:style w:type="paragraph" w:customStyle="1" w:styleId="CoverReportSubTitle">
    <w:name w:val="Cover Report Sub Title"/>
    <w:basedOn w:val="CoverReportTitle"/>
    <w:next w:val="Normal"/>
    <w:autoRedefine/>
    <w:qFormat/>
    <w:rsid w:val="001E0F47"/>
    <w:pPr>
      <w:spacing w:before="113" w:after="57"/>
    </w:pPr>
    <w:rPr>
      <w:rFonts w:ascii="Calibri" w:hAnsi="Calibri"/>
      <w:b/>
      <w:sz w:val="32"/>
    </w:rPr>
  </w:style>
  <w:style w:type="paragraph" w:customStyle="1" w:styleId="Bullet">
    <w:name w:val="Bullet"/>
    <w:basedOn w:val="Normal"/>
    <w:autoRedefine/>
    <w:qFormat/>
    <w:rsid w:val="001D7AC3"/>
    <w:pPr>
      <w:numPr>
        <w:numId w:val="6"/>
      </w:numPr>
      <w:spacing w:before="120" w:after="240" w:line="240" w:lineRule="exact"/>
      <w:ind w:left="641" w:right="284" w:hanging="357"/>
      <w:contextualSpacing/>
    </w:pPr>
    <w:rPr>
      <w:rFonts w:eastAsiaTheme="minorHAnsi" w:cs="Times New Roman"/>
      <w:szCs w:val="22"/>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rPr>
      <w:sz w:val="18"/>
      <w:szCs w:val="18"/>
    </w:rPr>
  </w:style>
  <w:style w:type="paragraph" w:customStyle="1" w:styleId="Calloutboxbullets">
    <w:name w:val="Callout box bullets"/>
    <w:basedOn w:val="Calloutbox"/>
    <w:link w:val="CalloutboxbulletsChar"/>
    <w:qFormat/>
    <w:rsid w:val="00244FEA"/>
    <w:pPr>
      <w:numPr>
        <w:numId w:val="7"/>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paragraph" w:styleId="Revision">
    <w:name w:val="Revision"/>
    <w:hidden/>
    <w:uiPriority w:val="99"/>
    <w:semiHidden/>
    <w:rsid w:val="006D3D1A"/>
    <w:rPr>
      <w:rFonts w:asciiTheme="minorHAnsi" w:hAnsiTheme="minorHAnsi" w:cs="Arial"/>
      <w:sz w:val="22"/>
      <w:szCs w:val="24"/>
      <w:lang w:eastAsia="en-US"/>
    </w:rPr>
  </w:style>
  <w:style w:type="character" w:styleId="UnresolvedMention">
    <w:name w:val="Unresolved Mention"/>
    <w:basedOn w:val="DefaultParagraphFont"/>
    <w:uiPriority w:val="99"/>
    <w:semiHidden/>
    <w:unhideWhenUsed/>
    <w:rsid w:val="008B7F14"/>
    <w:rPr>
      <w:color w:val="605E5C"/>
      <w:shd w:val="clear" w:color="auto" w:fill="E1DFDD"/>
    </w:rPr>
  </w:style>
  <w:style w:type="paragraph" w:customStyle="1" w:styleId="paragraph">
    <w:name w:val="paragraph"/>
    <w:basedOn w:val="Normal"/>
    <w:rsid w:val="00A70829"/>
    <w:pPr>
      <w:spacing w:before="100" w:beforeAutospacing="1" w:after="100" w:afterAutospacing="1"/>
    </w:pPr>
    <w:rPr>
      <w:rFonts w:ascii="Times New Roman" w:hAnsi="Times New Roman" w:cs="Times New Roman"/>
      <w:sz w:val="24"/>
      <w:lang w:eastAsia="en-AU"/>
    </w:rPr>
  </w:style>
  <w:style w:type="character" w:customStyle="1" w:styleId="normaltextrun">
    <w:name w:val="normaltextrun"/>
    <w:basedOn w:val="DefaultParagraphFont"/>
    <w:rsid w:val="00A70829"/>
  </w:style>
  <w:style w:type="character" w:customStyle="1" w:styleId="eop">
    <w:name w:val="eop"/>
    <w:basedOn w:val="DefaultParagraphFont"/>
    <w:rsid w:val="00A7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25358">
      <w:bodyDiv w:val="1"/>
      <w:marLeft w:val="0"/>
      <w:marRight w:val="0"/>
      <w:marTop w:val="0"/>
      <w:marBottom w:val="0"/>
      <w:divBdr>
        <w:top w:val="none" w:sz="0" w:space="0" w:color="auto"/>
        <w:left w:val="none" w:sz="0" w:space="0" w:color="auto"/>
        <w:bottom w:val="none" w:sz="0" w:space="0" w:color="auto"/>
        <w:right w:val="none" w:sz="0" w:space="0" w:color="auto"/>
      </w:divBdr>
    </w:div>
    <w:div w:id="1317295716">
      <w:bodyDiv w:val="1"/>
      <w:marLeft w:val="0"/>
      <w:marRight w:val="0"/>
      <w:marTop w:val="0"/>
      <w:marBottom w:val="0"/>
      <w:divBdr>
        <w:top w:val="none" w:sz="0" w:space="0" w:color="auto"/>
        <w:left w:val="none" w:sz="0" w:space="0" w:color="auto"/>
        <w:bottom w:val="none" w:sz="0" w:space="0" w:color="auto"/>
        <w:right w:val="none" w:sz="0" w:space="0" w:color="auto"/>
      </w:divBdr>
    </w:div>
    <w:div w:id="1730766502">
      <w:bodyDiv w:val="1"/>
      <w:marLeft w:val="0"/>
      <w:marRight w:val="0"/>
      <w:marTop w:val="0"/>
      <w:marBottom w:val="0"/>
      <w:divBdr>
        <w:top w:val="none" w:sz="0" w:space="0" w:color="auto"/>
        <w:left w:val="none" w:sz="0" w:space="0" w:color="auto"/>
        <w:bottom w:val="none" w:sz="0" w:space="0" w:color="auto"/>
        <w:right w:val="none" w:sz="0" w:space="0" w:color="auto"/>
      </w:divBdr>
      <w:divsChild>
        <w:div w:id="1560944264">
          <w:marLeft w:val="0"/>
          <w:marRight w:val="0"/>
          <w:marTop w:val="0"/>
          <w:marBottom w:val="0"/>
          <w:divBdr>
            <w:top w:val="none" w:sz="0" w:space="0" w:color="auto"/>
            <w:left w:val="none" w:sz="0" w:space="0" w:color="auto"/>
            <w:bottom w:val="none" w:sz="0" w:space="0" w:color="auto"/>
            <w:right w:val="none" w:sz="0" w:space="0" w:color="auto"/>
          </w:divBdr>
          <w:divsChild>
            <w:div w:id="1687556437">
              <w:marLeft w:val="0"/>
              <w:marRight w:val="0"/>
              <w:marTop w:val="0"/>
              <w:marBottom w:val="0"/>
              <w:divBdr>
                <w:top w:val="none" w:sz="0" w:space="0" w:color="auto"/>
                <w:left w:val="none" w:sz="0" w:space="0" w:color="auto"/>
                <w:bottom w:val="none" w:sz="0" w:space="0" w:color="auto"/>
                <w:right w:val="none" w:sz="0" w:space="0" w:color="auto"/>
              </w:divBdr>
            </w:div>
            <w:div w:id="1817838321">
              <w:marLeft w:val="0"/>
              <w:marRight w:val="0"/>
              <w:marTop w:val="0"/>
              <w:marBottom w:val="0"/>
              <w:divBdr>
                <w:top w:val="none" w:sz="0" w:space="0" w:color="auto"/>
                <w:left w:val="none" w:sz="0" w:space="0" w:color="auto"/>
                <w:bottom w:val="none" w:sz="0" w:space="0" w:color="auto"/>
                <w:right w:val="none" w:sz="0" w:space="0" w:color="auto"/>
              </w:divBdr>
            </w:div>
            <w:div w:id="1650475725">
              <w:marLeft w:val="0"/>
              <w:marRight w:val="0"/>
              <w:marTop w:val="0"/>
              <w:marBottom w:val="0"/>
              <w:divBdr>
                <w:top w:val="none" w:sz="0" w:space="0" w:color="auto"/>
                <w:left w:val="none" w:sz="0" w:space="0" w:color="auto"/>
                <w:bottom w:val="none" w:sz="0" w:space="0" w:color="auto"/>
                <w:right w:val="none" w:sz="0" w:space="0" w:color="auto"/>
              </w:divBdr>
            </w:div>
            <w:div w:id="972172171">
              <w:marLeft w:val="0"/>
              <w:marRight w:val="0"/>
              <w:marTop w:val="0"/>
              <w:marBottom w:val="0"/>
              <w:divBdr>
                <w:top w:val="none" w:sz="0" w:space="0" w:color="auto"/>
                <w:left w:val="none" w:sz="0" w:space="0" w:color="auto"/>
                <w:bottom w:val="none" w:sz="0" w:space="0" w:color="auto"/>
                <w:right w:val="none" w:sz="0" w:space="0" w:color="auto"/>
              </w:divBdr>
            </w:div>
            <w:div w:id="465585869">
              <w:marLeft w:val="0"/>
              <w:marRight w:val="0"/>
              <w:marTop w:val="0"/>
              <w:marBottom w:val="0"/>
              <w:divBdr>
                <w:top w:val="none" w:sz="0" w:space="0" w:color="auto"/>
                <w:left w:val="none" w:sz="0" w:space="0" w:color="auto"/>
                <w:bottom w:val="none" w:sz="0" w:space="0" w:color="auto"/>
                <w:right w:val="none" w:sz="0" w:space="0" w:color="auto"/>
              </w:divBdr>
            </w:div>
            <w:div w:id="1354961607">
              <w:marLeft w:val="0"/>
              <w:marRight w:val="0"/>
              <w:marTop w:val="0"/>
              <w:marBottom w:val="0"/>
              <w:divBdr>
                <w:top w:val="none" w:sz="0" w:space="0" w:color="auto"/>
                <w:left w:val="none" w:sz="0" w:space="0" w:color="auto"/>
                <w:bottom w:val="none" w:sz="0" w:space="0" w:color="auto"/>
                <w:right w:val="none" w:sz="0" w:space="0" w:color="auto"/>
              </w:divBdr>
            </w:div>
            <w:div w:id="132407598">
              <w:marLeft w:val="0"/>
              <w:marRight w:val="0"/>
              <w:marTop w:val="0"/>
              <w:marBottom w:val="0"/>
              <w:divBdr>
                <w:top w:val="none" w:sz="0" w:space="0" w:color="auto"/>
                <w:left w:val="none" w:sz="0" w:space="0" w:color="auto"/>
                <w:bottom w:val="none" w:sz="0" w:space="0" w:color="auto"/>
                <w:right w:val="none" w:sz="0" w:space="0" w:color="auto"/>
              </w:divBdr>
            </w:div>
            <w:div w:id="990714303">
              <w:marLeft w:val="0"/>
              <w:marRight w:val="0"/>
              <w:marTop w:val="0"/>
              <w:marBottom w:val="0"/>
              <w:divBdr>
                <w:top w:val="none" w:sz="0" w:space="0" w:color="auto"/>
                <w:left w:val="none" w:sz="0" w:space="0" w:color="auto"/>
                <w:bottom w:val="none" w:sz="0" w:space="0" w:color="auto"/>
                <w:right w:val="none" w:sz="0" w:space="0" w:color="auto"/>
              </w:divBdr>
            </w:div>
            <w:div w:id="2130472159">
              <w:marLeft w:val="0"/>
              <w:marRight w:val="0"/>
              <w:marTop w:val="0"/>
              <w:marBottom w:val="0"/>
              <w:divBdr>
                <w:top w:val="none" w:sz="0" w:space="0" w:color="auto"/>
                <w:left w:val="none" w:sz="0" w:space="0" w:color="auto"/>
                <w:bottom w:val="none" w:sz="0" w:space="0" w:color="auto"/>
                <w:right w:val="none" w:sz="0" w:space="0" w:color="auto"/>
              </w:divBdr>
            </w:div>
          </w:divsChild>
        </w:div>
        <w:div w:id="116393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sites/default/files/2025-01/a-guide-to-cooperation-agreement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uise.peters@fwo.gov.au" TargetMode="External"/><Relationship Id="rId4" Type="http://schemas.openxmlformats.org/officeDocument/2006/relationships/settings" Target="settings.xml"/><Relationship Id="rId9" Type="http://schemas.openxmlformats.org/officeDocument/2006/relationships/hyperlink" Target="file:///C:\Users\MF3037\Downloads\www.fairwork.gov.au\feedback"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airwork.gov.au/about-us/our-vision/compliance-and-enforcemen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A30D-2251-498B-A477-733D0919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FWO Media Policy</vt:lpstr>
    </vt:vector>
  </TitlesOfParts>
  <Manager/>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Media Policy</dc:title>
  <dc:subject>FWO Media Policy</dc:subject>
  <dc:creator/>
  <cp:keywords>Media Policy</cp:keywords>
  <cp:lastModifiedBy/>
  <cp:revision>1</cp:revision>
  <dcterms:created xsi:type="dcterms:W3CDTF">2025-05-06T04:33:00Z</dcterms:created>
  <dcterms:modified xsi:type="dcterms:W3CDTF">2025-05-06T04:33:00Z</dcterms:modified>
  <cp:category>Media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2025-05-06T04:31:06Z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35c27b08-3c8d-4303-b701-91d64d2a4fc8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