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E364" w14:textId="438B5D51" w:rsidR="00174429" w:rsidRDefault="006C124F" w:rsidP="002A65CC">
      <w:r>
        <w:rPr>
          <w:noProof/>
        </w:rPr>
        <w:drawing>
          <wp:anchor distT="0" distB="0" distL="114300" distR="114300" simplePos="0" relativeHeight="251658240" behindDoc="0" locked="0" layoutInCell="1" allowOverlap="1" wp14:anchorId="05E99570" wp14:editId="3647A149">
            <wp:simplePos x="0" y="0"/>
            <wp:positionH relativeFrom="margin">
              <wp:align>center</wp:align>
            </wp:positionH>
            <wp:positionV relativeFrom="paragraph">
              <wp:posOffset>-970915</wp:posOffset>
            </wp:positionV>
            <wp:extent cx="7591603" cy="10738445"/>
            <wp:effectExtent l="0" t="0" r="0" b="635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603" cy="1073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47999" w14:textId="77777777" w:rsidR="003C36DA" w:rsidRDefault="003C36DA">
      <w:pPr>
        <w:spacing w:after="0" w:line="240" w:lineRule="auto"/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4AA9CF9A" w14:textId="4CE27E32" w:rsidR="00AF74D9" w:rsidRPr="009C4EEF" w:rsidRDefault="007A1813" w:rsidP="00FD7C4E">
      <w:pPr>
        <w:pStyle w:val="Heading1"/>
      </w:pPr>
      <w:r>
        <w:lastRenderedPageBreak/>
        <w:t>Adelaide food precinct investigation</w:t>
      </w:r>
    </w:p>
    <w:p w14:paraId="6F8E2BDF" w14:textId="77777777" w:rsidR="00AF74D9" w:rsidRDefault="005D5A92" w:rsidP="00AF74D9">
      <w:pPr>
        <w:pStyle w:val="Heading2"/>
      </w:pPr>
      <w:r>
        <w:t>What we did and why</w:t>
      </w:r>
    </w:p>
    <w:p w14:paraId="2FFEFB1E" w14:textId="26A5CA7D" w:rsidR="0000682E" w:rsidRDefault="007458C6" w:rsidP="007458C6">
      <w:r>
        <w:t xml:space="preserve">In </w:t>
      </w:r>
      <w:r w:rsidR="001C0B64">
        <w:t xml:space="preserve">April 2021, we </w:t>
      </w:r>
      <w:r w:rsidR="007A1813">
        <w:t xml:space="preserve">investigated </w:t>
      </w:r>
      <w:r w:rsidR="00E06180">
        <w:t xml:space="preserve">58 businesses </w:t>
      </w:r>
      <w:r w:rsidR="00E06180" w:rsidRPr="003F42A1">
        <w:rPr>
          <w:rFonts w:cstheme="minorHAnsi"/>
        </w:rPr>
        <w:t>in Adelaide’s Chinatown and surrounding areas</w:t>
      </w:r>
      <w:r w:rsidR="00E06180">
        <w:rPr>
          <w:rFonts w:cstheme="minorHAnsi"/>
        </w:rPr>
        <w:t>.</w:t>
      </w:r>
      <w:r w:rsidR="00E06180" w:rsidRPr="00E06180">
        <w:t xml:space="preserve"> </w:t>
      </w:r>
      <w:r w:rsidR="00E06180" w:rsidRPr="002A6496">
        <w:t>Th</w:t>
      </w:r>
      <w:r w:rsidR="00E06180">
        <w:t>is</w:t>
      </w:r>
      <w:r w:rsidR="00E06180" w:rsidRPr="002A6496">
        <w:t xml:space="preserve"> proactive investigation </w:t>
      </w:r>
      <w:r w:rsidR="0000682E">
        <w:t xml:space="preserve">was </w:t>
      </w:r>
      <w:r>
        <w:t>part of a program examining non-compliance in popular ‘cheap eats’ food precincts</w:t>
      </w:r>
      <w:r w:rsidRPr="000951E5">
        <w:t xml:space="preserve"> </w:t>
      </w:r>
      <w:r>
        <w:t>that commenced in 2016.</w:t>
      </w:r>
      <w:r>
        <w:rPr>
          <w:rStyle w:val="FootnoteReference"/>
        </w:rPr>
        <w:footnoteReference w:id="2"/>
      </w:r>
      <w:r>
        <w:rPr>
          <w:rStyle w:val="FootnoteReference"/>
        </w:rPr>
        <w:footnoteReference w:id="3"/>
      </w:r>
      <w:r w:rsidR="00483B1A">
        <w:rPr>
          <w:rStyle w:val="FootnoteReference"/>
        </w:rPr>
        <w:footnoteReference w:id="4"/>
      </w:r>
      <w:r w:rsidR="0009754A">
        <w:rPr>
          <w:rStyle w:val="FootnoteReference"/>
        </w:rPr>
        <w:footnoteReference w:id="5"/>
      </w:r>
    </w:p>
    <w:p w14:paraId="70DB2F02" w14:textId="522DCE6B" w:rsidR="007458C6" w:rsidRDefault="007458C6" w:rsidP="007458C6">
      <w:r>
        <w:t>Fast food, Restaurants and Cafés (FRAC) sector businesses within these precincts typically employ a high proportion of young and migrant (temporary visa holder) workers. These workers can be vulnerable to exploitation, due to a lack of awareness or understanding of their entitlements, and an unwillingness to raise concerns with their employer or the FWO.</w:t>
      </w:r>
    </w:p>
    <w:p w14:paraId="467B7895" w14:textId="614F0D0D" w:rsidR="00ED278D" w:rsidRDefault="00ED278D" w:rsidP="00ED278D">
      <w:r>
        <w:t xml:space="preserve">Adelaide’s Chinatown has a diverse </w:t>
      </w:r>
      <w:r w:rsidR="00C12868">
        <w:t xml:space="preserve">mix </w:t>
      </w:r>
      <w:r>
        <w:t xml:space="preserve">of </w:t>
      </w:r>
      <w:r w:rsidR="00C12868">
        <w:t xml:space="preserve">businesses, </w:t>
      </w:r>
      <w:r>
        <w:t>employe</w:t>
      </w:r>
      <w:r w:rsidR="00C12868">
        <w:t>rs</w:t>
      </w:r>
      <w:r>
        <w:t xml:space="preserve"> and employe</w:t>
      </w:r>
      <w:r w:rsidR="00C12868">
        <w:t>e</w:t>
      </w:r>
      <w:r>
        <w:t xml:space="preserve">s. </w:t>
      </w:r>
      <w:r w:rsidR="00FC3CCD">
        <w:t xml:space="preserve">Anonymous tip offs from workers </w:t>
      </w:r>
      <w:r>
        <w:t>suggested non-compliance</w:t>
      </w:r>
      <w:r w:rsidR="00D4069E" w:rsidRPr="00D4069E">
        <w:t xml:space="preserve"> </w:t>
      </w:r>
      <w:r w:rsidR="00D4069E">
        <w:t xml:space="preserve">in restaurants and </w:t>
      </w:r>
      <w:proofErr w:type="gramStart"/>
      <w:r w:rsidR="00D4069E">
        <w:t>fast food</w:t>
      </w:r>
      <w:proofErr w:type="gramEnd"/>
      <w:r w:rsidR="00D4069E">
        <w:t xml:space="preserve"> outlets in the area</w:t>
      </w:r>
      <w:r>
        <w:t xml:space="preserve">.   </w:t>
      </w:r>
    </w:p>
    <w:p w14:paraId="23A74841" w14:textId="77777777" w:rsidR="007458C6" w:rsidRDefault="007458C6" w:rsidP="007458C6">
      <w:r>
        <w:t>We targeted businesses deemed to be at risk of non-compliance, based on one or more of the following characteristics:</w:t>
      </w:r>
    </w:p>
    <w:p w14:paraId="638BA813" w14:textId="77777777" w:rsidR="007458C6" w:rsidRDefault="007458C6" w:rsidP="007458C6">
      <w:pPr>
        <w:pStyle w:val="Bullet"/>
      </w:pPr>
      <w:r>
        <w:t>a history of non-compliance with the FWO</w:t>
      </w:r>
    </w:p>
    <w:p w14:paraId="7FBBBF29" w14:textId="2A34475C" w:rsidR="007458C6" w:rsidRDefault="007458C6" w:rsidP="007458C6">
      <w:pPr>
        <w:pStyle w:val="Bullet"/>
      </w:pPr>
      <w:r>
        <w:t xml:space="preserve">anonymous tip offs </w:t>
      </w:r>
      <w:r w:rsidR="007945E3">
        <w:t xml:space="preserve">and/or customer enquiries </w:t>
      </w:r>
      <w:r>
        <w:t>received about the business</w:t>
      </w:r>
    </w:p>
    <w:p w14:paraId="60A17510" w14:textId="77777777" w:rsidR="007458C6" w:rsidRDefault="007458C6" w:rsidP="007458C6">
      <w:pPr>
        <w:pStyle w:val="Bullet"/>
      </w:pPr>
      <w:r>
        <w:t>employing vulnerable migrant workers (</w:t>
      </w:r>
      <w:r w:rsidRPr="00871BC3">
        <w:t>confirmed using Home Affairs data</w:t>
      </w:r>
      <w:r>
        <w:t>).</w:t>
      </w:r>
    </w:p>
    <w:p w14:paraId="0BB670A7" w14:textId="0DFA0DB4" w:rsidR="0074057A" w:rsidRDefault="007458C6" w:rsidP="0074057A">
      <w:r w:rsidRPr="00783A7C">
        <w:t>Fair Work Inspectors</w:t>
      </w:r>
      <w:r>
        <w:t xml:space="preserve"> conducted unannounced site visits </w:t>
      </w:r>
      <w:r w:rsidR="0016451C">
        <w:t xml:space="preserve">at </w:t>
      </w:r>
      <w:r w:rsidR="007C5547">
        <w:t xml:space="preserve">58 </w:t>
      </w:r>
      <w:r w:rsidR="0074057A" w:rsidRPr="002A6496">
        <w:t>businesses</w:t>
      </w:r>
      <w:r w:rsidR="0074057A" w:rsidRPr="0074057A">
        <w:t xml:space="preserve"> </w:t>
      </w:r>
      <w:r w:rsidR="0074057A">
        <w:t xml:space="preserve">over </w:t>
      </w:r>
      <w:r w:rsidR="00060B82">
        <w:t>four</w:t>
      </w:r>
      <w:r w:rsidR="0074057A">
        <w:t xml:space="preserve"> days. </w:t>
      </w:r>
      <w:r w:rsidR="007E6780">
        <w:t>They:</w:t>
      </w:r>
    </w:p>
    <w:p w14:paraId="13EFAD26" w14:textId="77777777" w:rsidR="007458C6" w:rsidRDefault="007458C6" w:rsidP="007458C6">
      <w:pPr>
        <w:pStyle w:val="Bullet"/>
      </w:pPr>
      <w:r>
        <w:t>requested employment and payroll records</w:t>
      </w:r>
    </w:p>
    <w:p w14:paraId="6CD24279" w14:textId="77777777" w:rsidR="007458C6" w:rsidRDefault="007458C6" w:rsidP="007458C6">
      <w:pPr>
        <w:pStyle w:val="Bullet"/>
      </w:pPr>
      <w:r>
        <w:t>interviewed employers, managers and workers</w:t>
      </w:r>
    </w:p>
    <w:p w14:paraId="594D1A96" w14:textId="77777777" w:rsidR="007458C6" w:rsidRDefault="007458C6" w:rsidP="007458C6">
      <w:pPr>
        <w:pStyle w:val="Bullet"/>
      </w:pPr>
      <w:r>
        <w:t>observed work practices</w:t>
      </w:r>
    </w:p>
    <w:p w14:paraId="7E01C56E" w14:textId="77777777" w:rsidR="007458C6" w:rsidRDefault="007458C6" w:rsidP="007458C6">
      <w:pPr>
        <w:pStyle w:val="Bullet"/>
      </w:pPr>
      <w:r>
        <w:t>noted staff numbers to validate business records.</w:t>
      </w:r>
    </w:p>
    <w:p w14:paraId="24FFFE1B" w14:textId="77777777" w:rsidR="007458C6" w:rsidRDefault="007458C6" w:rsidP="007458C6">
      <w:r>
        <w:t xml:space="preserve">Pay slips and record-keeping practises were assessed against the requirements of the </w:t>
      </w:r>
      <w:r>
        <w:rPr>
          <w:i/>
        </w:rPr>
        <w:t>Fair Work Act 2009</w:t>
      </w:r>
      <w:r>
        <w:t xml:space="preserve">, the </w:t>
      </w:r>
      <w:r>
        <w:rPr>
          <w:i/>
        </w:rPr>
        <w:t>Fair Work Regulations 2009</w:t>
      </w:r>
      <w:r>
        <w:t xml:space="preserve">, and applicable awards or registered agreements. Most businesses were covered by the </w:t>
      </w:r>
      <w:r>
        <w:rPr>
          <w:i/>
        </w:rPr>
        <w:t>Restaurant Industry Award 2010</w:t>
      </w:r>
      <w:r>
        <w:t xml:space="preserve"> or </w:t>
      </w:r>
      <w:proofErr w:type="gramStart"/>
      <w:r>
        <w:rPr>
          <w:i/>
        </w:rPr>
        <w:t>Fast Food</w:t>
      </w:r>
      <w:proofErr w:type="gramEnd"/>
      <w:r>
        <w:rPr>
          <w:i/>
        </w:rPr>
        <w:t xml:space="preserve"> Industry Award 2010</w:t>
      </w:r>
      <w:r>
        <w:t>.</w:t>
      </w:r>
    </w:p>
    <w:p w14:paraId="7E4CE7A8" w14:textId="77777777" w:rsidR="00F94C5E" w:rsidRDefault="00F94C5E" w:rsidP="00F94C5E">
      <w:pPr>
        <w:pStyle w:val="Heading2"/>
      </w:pPr>
      <w:r>
        <w:lastRenderedPageBreak/>
        <w:t>Our findings</w:t>
      </w:r>
    </w:p>
    <w:p w14:paraId="35F1ED8A" w14:textId="303BF5A8" w:rsidR="00B46A1C" w:rsidRDefault="00B46A1C" w:rsidP="00B46A1C">
      <w:r>
        <w:t>4</w:t>
      </w:r>
      <w:r w:rsidR="00340053">
        <w:t>8</w:t>
      </w:r>
      <w:r>
        <w:t xml:space="preserve"> (8</w:t>
      </w:r>
      <w:r w:rsidR="00340053">
        <w:t>3</w:t>
      </w:r>
      <w:r>
        <w:t>%) of the 58 businesses investigated had breached workplace laws. Of those:</w:t>
      </w:r>
    </w:p>
    <w:p w14:paraId="652F3CE7" w14:textId="77777777" w:rsidR="00646CEF" w:rsidRPr="005C4D4D" w:rsidRDefault="00646CEF" w:rsidP="00646CEF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24</w:t>
      </w:r>
      <w:r w:rsidRPr="005C4D4D">
        <w:rPr>
          <w:rFonts w:ascii="Calibri" w:hAnsi="Calibri" w:cs="Calibri"/>
          <w:szCs w:val="22"/>
          <w:lang w:eastAsia="en-AU"/>
        </w:rPr>
        <w:t xml:space="preserve"> (</w:t>
      </w:r>
      <w:r>
        <w:rPr>
          <w:rFonts w:ascii="Calibri" w:hAnsi="Calibri" w:cs="Calibri"/>
          <w:szCs w:val="22"/>
          <w:lang w:eastAsia="en-AU"/>
        </w:rPr>
        <w:t>41</w:t>
      </w:r>
      <w:r w:rsidRPr="005C4D4D">
        <w:rPr>
          <w:rFonts w:ascii="Calibri" w:hAnsi="Calibri" w:cs="Calibri"/>
          <w:szCs w:val="22"/>
          <w:lang w:eastAsia="en-AU"/>
        </w:rPr>
        <w:t>%) were not paying staff correctly.</w:t>
      </w:r>
    </w:p>
    <w:p w14:paraId="60405118" w14:textId="77777777" w:rsidR="00646CEF" w:rsidRPr="005C4D4D" w:rsidRDefault="00646CEF" w:rsidP="00646CEF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 xml:space="preserve">6 </w:t>
      </w:r>
      <w:r w:rsidRPr="005C4D4D">
        <w:rPr>
          <w:rFonts w:ascii="Calibri" w:hAnsi="Calibri" w:cs="Calibri"/>
          <w:szCs w:val="22"/>
          <w:lang w:eastAsia="en-AU"/>
        </w:rPr>
        <w:t>(</w:t>
      </w:r>
      <w:r>
        <w:rPr>
          <w:rFonts w:ascii="Calibri" w:hAnsi="Calibri" w:cs="Calibri"/>
          <w:szCs w:val="22"/>
          <w:lang w:eastAsia="en-AU"/>
        </w:rPr>
        <w:t>10</w:t>
      </w:r>
      <w:r w:rsidRPr="005C4D4D">
        <w:rPr>
          <w:rFonts w:ascii="Calibri" w:hAnsi="Calibri" w:cs="Calibri"/>
          <w:szCs w:val="22"/>
          <w:lang w:eastAsia="en-AU"/>
        </w:rPr>
        <w:t>%) were non-compliant with pay slip and record-keeping requirements.</w:t>
      </w:r>
    </w:p>
    <w:p w14:paraId="1E73E421" w14:textId="77777777" w:rsidR="00646CEF" w:rsidRDefault="00646CEF" w:rsidP="00646CEF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18</w:t>
      </w:r>
      <w:r w:rsidRPr="005C4D4D">
        <w:rPr>
          <w:rFonts w:ascii="Calibri" w:hAnsi="Calibri" w:cs="Calibri"/>
          <w:szCs w:val="22"/>
          <w:lang w:eastAsia="en-AU"/>
        </w:rPr>
        <w:t xml:space="preserve"> (</w:t>
      </w:r>
      <w:r>
        <w:rPr>
          <w:rFonts w:ascii="Calibri" w:hAnsi="Calibri" w:cs="Calibri"/>
          <w:szCs w:val="22"/>
          <w:lang w:eastAsia="en-AU"/>
        </w:rPr>
        <w:t>31%</w:t>
      </w:r>
      <w:r w:rsidRPr="005C4D4D">
        <w:rPr>
          <w:rFonts w:ascii="Calibri" w:hAnsi="Calibri" w:cs="Calibri"/>
          <w:szCs w:val="22"/>
          <w:lang w:eastAsia="en-AU"/>
        </w:rPr>
        <w:t>) breached both their monetary and non-monetary obligations.</w:t>
      </w:r>
    </w:p>
    <w:p w14:paraId="6488AAD2" w14:textId="77777777" w:rsidR="00B46A1C" w:rsidRDefault="00B46A1C" w:rsidP="00B46A1C">
      <w:r>
        <w:t>The most common breaches were:</w:t>
      </w:r>
    </w:p>
    <w:p w14:paraId="728BEECE" w14:textId="77777777" w:rsidR="00726B50" w:rsidRPr="008F7D22" w:rsidRDefault="00726B50" w:rsidP="00726B50">
      <w:pPr>
        <w:pStyle w:val="ListParagraph"/>
        <w:numPr>
          <w:ilvl w:val="0"/>
          <w:numId w:val="34"/>
        </w:numPr>
        <w:spacing w:before="0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failure to pay penalty rates – 33 businesses (</w:t>
      </w:r>
      <w:r>
        <w:rPr>
          <w:rFonts w:asciiTheme="minorHAnsi" w:hAnsiTheme="minorHAnsi" w:cstheme="minorHAnsi"/>
          <w:szCs w:val="22"/>
        </w:rPr>
        <w:t>69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7D553B09" w14:textId="77777777" w:rsidR="00726B50" w:rsidRPr="008F7D22" w:rsidRDefault="00726B50" w:rsidP="00726B50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underpayment of the minimum hourly rate – 25 businesses (</w:t>
      </w:r>
      <w:r>
        <w:rPr>
          <w:rFonts w:asciiTheme="minorHAnsi" w:hAnsiTheme="minorHAnsi" w:cstheme="minorHAnsi"/>
          <w:szCs w:val="22"/>
        </w:rPr>
        <w:t>52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49C6BF2E" w14:textId="77777777" w:rsidR="00726B50" w:rsidRPr="008F7D22" w:rsidRDefault="00726B50" w:rsidP="00726B50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failure to make and keep employee records – 21 businesses (</w:t>
      </w:r>
      <w:r>
        <w:rPr>
          <w:rFonts w:asciiTheme="minorHAnsi" w:hAnsiTheme="minorHAnsi" w:cstheme="minorHAnsi"/>
          <w:szCs w:val="22"/>
        </w:rPr>
        <w:t>44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68A12BBD" w14:textId="77777777" w:rsidR="00726B50" w:rsidRPr="008F7D22" w:rsidRDefault="00726B50" w:rsidP="00726B50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payslips not containing the required information – 6 businesses (13%)</w:t>
      </w:r>
    </w:p>
    <w:p w14:paraId="0A17DE4F" w14:textId="77777777" w:rsidR="00726B50" w:rsidRPr="008F7D22" w:rsidRDefault="00726B50" w:rsidP="00726B50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failure to pay correct allowances – 3 businesses (</w:t>
      </w:r>
      <w:r>
        <w:rPr>
          <w:rFonts w:asciiTheme="minorHAnsi" w:hAnsiTheme="minorHAnsi" w:cstheme="minorHAnsi"/>
          <w:szCs w:val="22"/>
        </w:rPr>
        <w:t>6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3E443A84" w14:textId="77777777" w:rsidR="00F94C5E" w:rsidRDefault="00A31966" w:rsidP="006059E9">
      <w:pPr>
        <w:pStyle w:val="Heading2"/>
      </w:pPr>
      <w:r>
        <w:t>Action taken and next steps</w:t>
      </w:r>
    </w:p>
    <w:p w14:paraId="164BB14B" w14:textId="6B3AEC27" w:rsidR="00550B43" w:rsidRDefault="007538D8" w:rsidP="00550B43">
      <w:pPr>
        <w:spacing w:after="0" w:line="240" w:lineRule="auto"/>
        <w:rPr>
          <w:rFonts w:ascii="Calibri" w:hAnsi="Calibri" w:cs="Calibri"/>
          <w:szCs w:val="22"/>
          <w:lang w:eastAsia="en-AU"/>
        </w:rPr>
      </w:pPr>
      <w:r w:rsidRPr="00AF037B">
        <w:rPr>
          <w:rFonts w:ascii="Calibri" w:hAnsi="Calibri" w:cs="Calibri"/>
          <w:szCs w:val="22"/>
          <w:lang w:eastAsia="en-AU"/>
        </w:rPr>
        <w:t>We recovered</w:t>
      </w:r>
      <w:r w:rsidRPr="00AF037B">
        <w:rPr>
          <w:rFonts w:ascii="Calibri" w:hAnsi="Calibri" w:cs="Calibri"/>
          <w:sz w:val="20"/>
          <w:szCs w:val="20"/>
        </w:rPr>
        <w:t xml:space="preserve"> $</w:t>
      </w:r>
      <w:r w:rsidRPr="00AF037B">
        <w:rPr>
          <w:rFonts w:ascii="Calibri" w:hAnsi="Calibri" w:cs="Calibri"/>
          <w:szCs w:val="22"/>
          <w:lang w:eastAsia="en-AU"/>
        </w:rPr>
        <w:t>18</w:t>
      </w:r>
      <w:r w:rsidR="00B9209A">
        <w:rPr>
          <w:rFonts w:ascii="Calibri" w:hAnsi="Calibri" w:cs="Calibri"/>
          <w:szCs w:val="22"/>
          <w:lang w:eastAsia="en-AU"/>
        </w:rPr>
        <w:t>9,3</w:t>
      </w:r>
      <w:r w:rsidR="001B53A8">
        <w:rPr>
          <w:rFonts w:ascii="Calibri" w:hAnsi="Calibri" w:cs="Calibri"/>
          <w:szCs w:val="22"/>
          <w:lang w:eastAsia="en-AU"/>
        </w:rPr>
        <w:t>16</w:t>
      </w:r>
      <w:r w:rsidR="00B9209A">
        <w:rPr>
          <w:rFonts w:ascii="Calibri" w:hAnsi="Calibri" w:cs="Calibri"/>
          <w:szCs w:val="22"/>
          <w:lang w:eastAsia="en-AU"/>
        </w:rPr>
        <w:t xml:space="preserve"> </w:t>
      </w:r>
      <w:r w:rsidRPr="00AF037B">
        <w:rPr>
          <w:rFonts w:ascii="Calibri" w:hAnsi="Calibri" w:cs="Calibri"/>
          <w:szCs w:val="22"/>
          <w:lang w:eastAsia="en-AU"/>
        </w:rPr>
        <w:t>for 30</w:t>
      </w:r>
      <w:r w:rsidR="00EB7120">
        <w:rPr>
          <w:rFonts w:ascii="Calibri" w:hAnsi="Calibri" w:cs="Calibri"/>
          <w:szCs w:val="22"/>
          <w:lang w:eastAsia="en-AU"/>
        </w:rPr>
        <w:t>6</w:t>
      </w:r>
      <w:r w:rsidRPr="00AF037B">
        <w:rPr>
          <w:rFonts w:ascii="Calibri" w:hAnsi="Calibri" w:cs="Calibri"/>
          <w:szCs w:val="22"/>
          <w:lang w:eastAsia="en-AU"/>
        </w:rPr>
        <w:t xml:space="preserve"> employees from 4</w:t>
      </w:r>
      <w:r w:rsidR="00EB7120">
        <w:rPr>
          <w:rFonts w:ascii="Calibri" w:hAnsi="Calibri" w:cs="Calibri"/>
          <w:szCs w:val="22"/>
          <w:lang w:eastAsia="en-AU"/>
        </w:rPr>
        <w:t>2</w:t>
      </w:r>
      <w:r w:rsidRPr="00AF037B">
        <w:rPr>
          <w:rFonts w:ascii="Calibri" w:hAnsi="Calibri" w:cs="Calibri"/>
          <w:szCs w:val="22"/>
          <w:lang w:eastAsia="en-AU"/>
        </w:rPr>
        <w:t xml:space="preserve"> businesses.</w:t>
      </w:r>
      <w:r w:rsidR="00EB7120">
        <w:rPr>
          <w:rStyle w:val="FootnoteReference"/>
          <w:rFonts w:ascii="Calibri" w:hAnsi="Calibri"/>
          <w:szCs w:val="22"/>
          <w:lang w:eastAsia="en-AU"/>
        </w:rPr>
        <w:footnoteReference w:id="6"/>
      </w:r>
      <w:r w:rsidRPr="00AF037B">
        <w:rPr>
          <w:rFonts w:ascii="Calibri" w:hAnsi="Calibri" w:cs="Calibri"/>
          <w:szCs w:val="22"/>
          <w:lang w:eastAsia="en-AU"/>
        </w:rPr>
        <w:t xml:space="preserve"> </w:t>
      </w:r>
      <w:r>
        <w:rPr>
          <w:rFonts w:ascii="Calibri" w:hAnsi="Calibri" w:cs="Calibri"/>
          <w:szCs w:val="22"/>
          <w:lang w:eastAsia="en-AU"/>
        </w:rPr>
        <w:t>The largest recovery was $</w:t>
      </w:r>
      <w:r w:rsidRPr="00F40C6D">
        <w:rPr>
          <w:rFonts w:ascii="Calibri" w:hAnsi="Calibri" w:cs="Calibri"/>
          <w:color w:val="000000"/>
          <w:szCs w:val="22"/>
          <w:lang w:eastAsia="en-AU"/>
        </w:rPr>
        <w:t>32,835.50</w:t>
      </w:r>
      <w:r w:rsidR="00EB7120">
        <w:rPr>
          <w:rFonts w:ascii="Calibri" w:hAnsi="Calibri" w:cs="Calibri"/>
          <w:color w:val="000000"/>
          <w:szCs w:val="22"/>
          <w:lang w:eastAsia="en-AU"/>
        </w:rPr>
        <w:t xml:space="preserve"> </w:t>
      </w:r>
      <w:r w:rsidRPr="00AF037B">
        <w:rPr>
          <w:rFonts w:ascii="Calibri" w:hAnsi="Calibri" w:cs="Calibri"/>
          <w:szCs w:val="22"/>
          <w:lang w:eastAsia="en-AU"/>
        </w:rPr>
        <w:t xml:space="preserve">from </w:t>
      </w:r>
      <w:r>
        <w:rPr>
          <w:rFonts w:ascii="Calibri" w:hAnsi="Calibri" w:cs="Calibri"/>
          <w:szCs w:val="22"/>
          <w:lang w:eastAsia="en-AU"/>
        </w:rPr>
        <w:t>one business</w:t>
      </w:r>
      <w:r w:rsidR="00550B43">
        <w:rPr>
          <w:rFonts w:ascii="Calibri" w:hAnsi="Calibri" w:cs="Calibri"/>
          <w:szCs w:val="22"/>
          <w:lang w:eastAsia="en-AU"/>
        </w:rPr>
        <w:t>,</w:t>
      </w:r>
      <w:r>
        <w:rPr>
          <w:rFonts w:ascii="Calibri" w:hAnsi="Calibri" w:cs="Calibri"/>
          <w:szCs w:val="22"/>
          <w:lang w:eastAsia="en-AU"/>
        </w:rPr>
        <w:t xml:space="preserve"> for one employee</w:t>
      </w:r>
      <w:r w:rsidR="00550B43">
        <w:rPr>
          <w:rFonts w:ascii="Calibri" w:hAnsi="Calibri" w:cs="Calibri"/>
          <w:szCs w:val="22"/>
          <w:lang w:eastAsia="en-AU"/>
        </w:rPr>
        <w:t>,</w:t>
      </w:r>
      <w:r>
        <w:rPr>
          <w:rFonts w:ascii="Calibri" w:hAnsi="Calibri" w:cs="Calibri"/>
          <w:szCs w:val="22"/>
          <w:lang w:eastAsia="en-AU"/>
        </w:rPr>
        <w:t xml:space="preserve"> for an annualised salary issue.</w:t>
      </w:r>
      <w:r w:rsidR="00EB7120">
        <w:rPr>
          <w:rStyle w:val="FootnoteReference"/>
          <w:rFonts w:ascii="Calibri" w:hAnsi="Calibri"/>
          <w:szCs w:val="22"/>
          <w:lang w:eastAsia="en-AU"/>
        </w:rPr>
        <w:footnoteReference w:id="7"/>
      </w:r>
    </w:p>
    <w:p w14:paraId="7419C26B" w14:textId="77777777" w:rsidR="00550B43" w:rsidRDefault="00550B43" w:rsidP="00550B43">
      <w:pPr>
        <w:spacing w:after="0" w:line="240" w:lineRule="auto"/>
        <w:rPr>
          <w:rFonts w:ascii="Calibri" w:hAnsi="Calibri" w:cs="Calibri"/>
          <w:szCs w:val="22"/>
          <w:lang w:eastAsia="en-AU"/>
        </w:rPr>
      </w:pPr>
    </w:p>
    <w:p w14:paraId="054636D8" w14:textId="3CE03E58" w:rsidR="00282B8A" w:rsidRPr="00550B43" w:rsidRDefault="00550B43" w:rsidP="00282B8A">
      <w:r w:rsidRPr="00550B43">
        <w:t xml:space="preserve">Fair Work </w:t>
      </w:r>
      <w:r w:rsidR="00282B8A" w:rsidRPr="00550B43">
        <w:t>Inspectors issued:</w:t>
      </w:r>
    </w:p>
    <w:p w14:paraId="71B2C18D" w14:textId="5B46F87D" w:rsidR="00282B8A" w:rsidRPr="00397B2F" w:rsidRDefault="00282B8A" w:rsidP="00282B8A">
      <w:pPr>
        <w:numPr>
          <w:ilvl w:val="0"/>
          <w:numId w:val="35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 w:rsidRPr="00397B2F">
        <w:rPr>
          <w:rFonts w:ascii="Calibri" w:hAnsi="Calibri" w:cs="Calibri"/>
          <w:szCs w:val="22"/>
          <w:lang w:eastAsia="en-AU"/>
        </w:rPr>
        <w:t xml:space="preserve">43 </w:t>
      </w:r>
      <w:r>
        <w:rPr>
          <w:rFonts w:ascii="Calibri" w:hAnsi="Calibri" w:cs="Calibri"/>
          <w:szCs w:val="22"/>
          <w:lang w:eastAsia="en-AU"/>
        </w:rPr>
        <w:t>c</w:t>
      </w:r>
      <w:r w:rsidRPr="00397B2F">
        <w:rPr>
          <w:rFonts w:ascii="Calibri" w:hAnsi="Calibri" w:cs="Calibri"/>
          <w:szCs w:val="22"/>
          <w:lang w:eastAsia="en-AU"/>
        </w:rPr>
        <w:t xml:space="preserve">ompliance </w:t>
      </w:r>
      <w:r>
        <w:rPr>
          <w:rFonts w:ascii="Calibri" w:hAnsi="Calibri" w:cs="Calibri"/>
          <w:szCs w:val="22"/>
          <w:lang w:eastAsia="en-AU"/>
        </w:rPr>
        <w:t>n</w:t>
      </w:r>
      <w:r w:rsidRPr="00397B2F">
        <w:rPr>
          <w:rFonts w:ascii="Calibri" w:hAnsi="Calibri" w:cs="Calibri"/>
          <w:szCs w:val="22"/>
          <w:lang w:eastAsia="en-AU"/>
        </w:rPr>
        <w:t>otices (to 4</w:t>
      </w:r>
      <w:r>
        <w:rPr>
          <w:rFonts w:ascii="Calibri" w:hAnsi="Calibri" w:cs="Calibri"/>
          <w:szCs w:val="22"/>
          <w:lang w:eastAsia="en-AU"/>
        </w:rPr>
        <w:t>1</w:t>
      </w:r>
      <w:r w:rsidRPr="00397B2F">
        <w:rPr>
          <w:rFonts w:ascii="Calibri" w:hAnsi="Calibri" w:cs="Calibri"/>
          <w:szCs w:val="22"/>
          <w:lang w:eastAsia="en-AU"/>
        </w:rPr>
        <w:t xml:space="preserve"> businesses)</w:t>
      </w:r>
      <w:r>
        <w:rPr>
          <w:rFonts w:ascii="Calibri" w:hAnsi="Calibri" w:cs="Calibri"/>
          <w:szCs w:val="22"/>
          <w:lang w:eastAsia="en-AU"/>
        </w:rPr>
        <w:t>, recovering</w:t>
      </w:r>
      <w:r w:rsidRPr="00397B2F">
        <w:rPr>
          <w:rFonts w:ascii="Calibri" w:hAnsi="Calibri" w:cs="Calibri"/>
          <w:szCs w:val="22"/>
          <w:lang w:eastAsia="en-AU"/>
        </w:rPr>
        <w:t xml:space="preserve"> </w:t>
      </w:r>
      <w:r w:rsidRPr="00397B2F">
        <w:rPr>
          <w:rFonts w:ascii="Calibri" w:hAnsi="Calibri" w:cs="Calibri"/>
          <w:sz w:val="20"/>
          <w:szCs w:val="20"/>
        </w:rPr>
        <w:t>$</w:t>
      </w:r>
      <w:r w:rsidRPr="00397B2F">
        <w:rPr>
          <w:rFonts w:ascii="Calibri" w:hAnsi="Calibri" w:cs="Calibri"/>
          <w:szCs w:val="22"/>
          <w:lang w:eastAsia="en-AU"/>
        </w:rPr>
        <w:t>188,</w:t>
      </w:r>
      <w:r w:rsidR="00677E2B">
        <w:rPr>
          <w:rFonts w:ascii="Calibri" w:hAnsi="Calibri" w:cs="Calibri"/>
          <w:szCs w:val="22"/>
          <w:lang w:eastAsia="en-AU"/>
        </w:rPr>
        <w:t>54</w:t>
      </w:r>
      <w:r w:rsidR="00550B43">
        <w:rPr>
          <w:rFonts w:ascii="Calibri" w:hAnsi="Calibri" w:cs="Calibri"/>
          <w:szCs w:val="22"/>
          <w:lang w:eastAsia="en-AU"/>
        </w:rPr>
        <w:t>8</w:t>
      </w:r>
      <w:r w:rsidRPr="00397B2F">
        <w:rPr>
          <w:rFonts w:ascii="Calibri" w:hAnsi="Calibri" w:cs="Calibri"/>
          <w:szCs w:val="22"/>
          <w:lang w:eastAsia="en-AU"/>
        </w:rPr>
        <w:t xml:space="preserve"> for 301 employees</w:t>
      </w:r>
    </w:p>
    <w:p w14:paraId="71B82A31" w14:textId="3B471A12" w:rsidR="00282B8A" w:rsidRPr="00662B69" w:rsidRDefault="00282B8A" w:rsidP="00282B8A">
      <w:pPr>
        <w:numPr>
          <w:ilvl w:val="0"/>
          <w:numId w:val="35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 w:rsidRPr="00662B69">
        <w:rPr>
          <w:rFonts w:ascii="Calibri" w:hAnsi="Calibri" w:cs="Calibri"/>
          <w:szCs w:val="22"/>
          <w:lang w:eastAsia="en-AU"/>
        </w:rPr>
        <w:t>3</w:t>
      </w:r>
      <w:r>
        <w:rPr>
          <w:rFonts w:ascii="Calibri" w:hAnsi="Calibri" w:cs="Calibri"/>
          <w:szCs w:val="22"/>
          <w:lang w:eastAsia="en-AU"/>
        </w:rPr>
        <w:t>1</w:t>
      </w:r>
      <w:r w:rsidRPr="00662B69">
        <w:rPr>
          <w:rFonts w:ascii="Calibri" w:hAnsi="Calibri" w:cs="Calibri"/>
          <w:szCs w:val="22"/>
          <w:lang w:eastAsia="en-AU"/>
        </w:rPr>
        <w:t xml:space="preserve"> </w:t>
      </w:r>
      <w:r>
        <w:rPr>
          <w:rFonts w:ascii="Calibri" w:hAnsi="Calibri" w:cs="Calibri"/>
          <w:szCs w:val="22"/>
          <w:lang w:eastAsia="en-AU"/>
        </w:rPr>
        <w:t>i</w:t>
      </w:r>
      <w:r w:rsidRPr="00662B69">
        <w:rPr>
          <w:rFonts w:ascii="Calibri" w:hAnsi="Calibri" w:cs="Calibri"/>
          <w:szCs w:val="22"/>
          <w:lang w:eastAsia="en-AU"/>
        </w:rPr>
        <w:t xml:space="preserve">nfringement </w:t>
      </w:r>
      <w:r>
        <w:rPr>
          <w:rFonts w:ascii="Calibri" w:hAnsi="Calibri" w:cs="Calibri"/>
          <w:szCs w:val="22"/>
          <w:lang w:eastAsia="en-AU"/>
        </w:rPr>
        <w:t>n</w:t>
      </w:r>
      <w:r w:rsidRPr="00662B69">
        <w:rPr>
          <w:rFonts w:ascii="Calibri" w:hAnsi="Calibri" w:cs="Calibri"/>
          <w:szCs w:val="22"/>
          <w:lang w:eastAsia="en-AU"/>
        </w:rPr>
        <w:t xml:space="preserve">otices, </w:t>
      </w:r>
      <w:r>
        <w:rPr>
          <w:rFonts w:ascii="Calibri" w:hAnsi="Calibri" w:cs="Calibri"/>
          <w:szCs w:val="22"/>
          <w:lang w:eastAsia="en-AU"/>
        </w:rPr>
        <w:t>with</w:t>
      </w:r>
      <w:r w:rsidRPr="00662B69">
        <w:rPr>
          <w:rFonts w:ascii="Calibri" w:hAnsi="Calibri" w:cs="Calibri"/>
          <w:szCs w:val="22"/>
          <w:lang w:eastAsia="en-AU"/>
        </w:rPr>
        <w:t xml:space="preserve"> $31,</w:t>
      </w:r>
      <w:r w:rsidR="00AC6CD2">
        <w:rPr>
          <w:rFonts w:ascii="Calibri" w:hAnsi="Calibri" w:cs="Calibri"/>
          <w:szCs w:val="22"/>
          <w:lang w:eastAsia="en-AU"/>
        </w:rPr>
        <w:t>296</w:t>
      </w:r>
      <w:r w:rsidRPr="00662B69">
        <w:rPr>
          <w:rFonts w:ascii="Calibri" w:hAnsi="Calibri" w:cs="Calibri"/>
          <w:szCs w:val="22"/>
          <w:lang w:eastAsia="en-AU"/>
        </w:rPr>
        <w:t xml:space="preserve"> paid in fines</w:t>
      </w:r>
    </w:p>
    <w:p w14:paraId="41379043" w14:textId="77777777" w:rsidR="00282B8A" w:rsidRPr="00662B69" w:rsidRDefault="00282B8A" w:rsidP="00282B8A">
      <w:pPr>
        <w:numPr>
          <w:ilvl w:val="0"/>
          <w:numId w:val="35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3</w:t>
      </w:r>
      <w:r w:rsidRPr="00662B69">
        <w:rPr>
          <w:rFonts w:ascii="Calibri" w:hAnsi="Calibri" w:cs="Calibri"/>
          <w:szCs w:val="22"/>
          <w:lang w:eastAsia="en-AU"/>
        </w:rPr>
        <w:t xml:space="preserve"> </w:t>
      </w:r>
      <w:r>
        <w:rPr>
          <w:rFonts w:ascii="Calibri" w:hAnsi="Calibri" w:cs="Calibri"/>
          <w:szCs w:val="22"/>
          <w:lang w:eastAsia="en-AU"/>
        </w:rPr>
        <w:t>c</w:t>
      </w:r>
      <w:r w:rsidRPr="00662B69">
        <w:rPr>
          <w:rFonts w:ascii="Calibri" w:hAnsi="Calibri" w:cs="Calibri"/>
          <w:szCs w:val="22"/>
          <w:lang w:eastAsia="en-AU"/>
        </w:rPr>
        <w:t xml:space="preserve">ontravention </w:t>
      </w:r>
      <w:r>
        <w:rPr>
          <w:rFonts w:ascii="Calibri" w:hAnsi="Calibri" w:cs="Calibri"/>
          <w:szCs w:val="22"/>
          <w:lang w:eastAsia="en-AU"/>
        </w:rPr>
        <w:t>l</w:t>
      </w:r>
      <w:r w:rsidRPr="00662B69">
        <w:rPr>
          <w:rFonts w:ascii="Calibri" w:hAnsi="Calibri" w:cs="Calibri"/>
          <w:szCs w:val="22"/>
          <w:lang w:eastAsia="en-AU"/>
        </w:rPr>
        <w:t>etters</w:t>
      </w:r>
      <w:r>
        <w:rPr>
          <w:rFonts w:ascii="Calibri" w:hAnsi="Calibri" w:cs="Calibri"/>
          <w:szCs w:val="22"/>
          <w:lang w:eastAsia="en-AU"/>
        </w:rPr>
        <w:t>.</w:t>
      </w:r>
      <w:r w:rsidRPr="00662B69">
        <w:rPr>
          <w:rFonts w:ascii="Calibri" w:hAnsi="Calibri" w:cs="Calibri"/>
          <w:szCs w:val="22"/>
          <w:lang w:eastAsia="en-AU"/>
        </w:rPr>
        <w:t xml:space="preserve"> </w:t>
      </w:r>
    </w:p>
    <w:p w14:paraId="5A859E70" w14:textId="1774E53E" w:rsidR="00CE7A1A" w:rsidRPr="002A65CC" w:rsidRDefault="00D311A5" w:rsidP="00B46A1C">
      <w:pPr>
        <w:rPr>
          <w:lang w:eastAsia="en-AU"/>
        </w:rPr>
      </w:pPr>
      <w:r>
        <w:rPr>
          <w:lang w:eastAsia="en-AU"/>
        </w:rPr>
        <w:t>1 business</w:t>
      </w:r>
      <w:r w:rsidR="002655C8">
        <w:rPr>
          <w:lang w:eastAsia="en-AU"/>
        </w:rPr>
        <w:t xml:space="preserve"> is</w:t>
      </w:r>
      <w:r>
        <w:rPr>
          <w:lang w:eastAsia="en-AU"/>
        </w:rPr>
        <w:t xml:space="preserve"> </w:t>
      </w:r>
      <w:r w:rsidR="007C5547">
        <w:rPr>
          <w:lang w:eastAsia="en-AU"/>
        </w:rPr>
        <w:t xml:space="preserve">still under investigation </w:t>
      </w:r>
      <w:r>
        <w:rPr>
          <w:lang w:eastAsia="en-AU"/>
        </w:rPr>
        <w:t xml:space="preserve">for </w:t>
      </w:r>
      <w:r w:rsidR="002B19CC">
        <w:rPr>
          <w:lang w:eastAsia="en-AU"/>
        </w:rPr>
        <w:t xml:space="preserve">alleged </w:t>
      </w:r>
      <w:r w:rsidR="00060B82">
        <w:rPr>
          <w:lang w:eastAsia="en-AU"/>
        </w:rPr>
        <w:t xml:space="preserve">non-compliance with </w:t>
      </w:r>
      <w:r>
        <w:rPr>
          <w:lang w:eastAsia="en-AU"/>
        </w:rPr>
        <w:t>workplace laws.</w:t>
      </w:r>
    </w:p>
    <w:sectPr w:rsidR="00CE7A1A" w:rsidRPr="002A65CC" w:rsidSect="00DA1A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D93A7" w14:textId="77777777" w:rsidR="008743AA" w:rsidRDefault="008743AA" w:rsidP="00AB465A">
      <w:pPr>
        <w:spacing w:after="0" w:line="240" w:lineRule="auto"/>
      </w:pPr>
      <w:r>
        <w:separator/>
      </w:r>
    </w:p>
  </w:endnote>
  <w:endnote w:type="continuationSeparator" w:id="0">
    <w:p w14:paraId="4D4A607D" w14:textId="77777777" w:rsidR="008743AA" w:rsidRDefault="008743AA" w:rsidP="00AB465A">
      <w:pPr>
        <w:spacing w:after="0" w:line="240" w:lineRule="auto"/>
      </w:pPr>
      <w:r>
        <w:continuationSeparator/>
      </w:r>
    </w:p>
  </w:endnote>
  <w:endnote w:type="continuationNotice" w:id="1">
    <w:p w14:paraId="6114E5D7" w14:textId="77777777" w:rsidR="008743AA" w:rsidRDefault="00874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E6045" w14:textId="77777777" w:rsidR="00800ADB" w:rsidRDefault="00800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9D08" w14:textId="77777777" w:rsidR="00800ADB" w:rsidRPr="00D171E3" w:rsidRDefault="00800ADB" w:rsidP="003B0F99">
    <w:pPr>
      <w:pStyle w:val="Header"/>
      <w:rPr>
        <w:sz w:val="18"/>
        <w:szCs w:val="18"/>
      </w:rPr>
    </w:pPr>
    <w:r>
      <w:rPr>
        <w:sz w:val="18"/>
        <w:szCs w:val="18"/>
      </w:rPr>
      <w:t xml:space="preserve">Adelaide Food Precinct </w:t>
    </w:r>
    <w:r w:rsidRPr="00D171E3">
      <w:rPr>
        <w:rFonts w:ascii="Arial" w:hAnsi="Arial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9D0F85F" wp14:editId="1A793EBA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742510" id="Straight Connector 2" o:spid="_x0000_s1026" alt="&quot;&quot;" style="position:absolute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IWmFeABAAAOBAAADgAAAAAAAAAAAAAAAAAuAgAAZHJzL2Uyb0RvYy54bWxQSwECLQAUAAYA&#10;CAAAACEAcOZ3WdwAAAAKAQAADwAAAAAAAAAAAAAAAAA6BAAAZHJzL2Rvd25yZXYueG1sUEsFBgAA&#10;AAAEAAQA8wAAAEMFAAAAAA==&#10;" strokecolor="#ffb81c" strokeweight="1pt">
              <w10:wrap anchorx="margin" anchory="page"/>
            </v:line>
          </w:pict>
        </mc:Fallback>
      </mc:AlternateContent>
    </w:r>
    <w:r w:rsidRPr="00D171E3">
      <w:rPr>
        <w:rFonts w:cs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60BB7DB2" wp14:editId="386813F4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" name="Right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7C49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alt="&quot;&quot;" style="position:absolute;margin-left:525.85pt;margin-top:771.15pt;width:69.45pt;height:69.45pt;flip:x;z-index:-2516582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" fillcolor="#9bcbeb" stroked="f" strokeweight="2pt">
              <v:fill opacity="19789f"/>
              <w10:wrap anchorx="page" anchory="page"/>
            </v:shape>
          </w:pict>
        </mc:Fallback>
      </mc:AlternateContent>
    </w:r>
    <w:r>
      <w:rPr>
        <w:rFonts w:ascii="Arial" w:hAnsi="Arial"/>
        <w:noProof/>
        <w:sz w:val="18"/>
        <w:szCs w:val="18"/>
        <w:lang w:eastAsia="en-AU"/>
      </w:rPr>
      <w:t>proactive investigation report</w:t>
    </w:r>
  </w:p>
  <w:p w14:paraId="1E33B367" w14:textId="5D3336D6" w:rsidR="00800ADB" w:rsidRPr="00520458" w:rsidRDefault="00800ADB" w:rsidP="00DA1AD1">
    <w:pPr>
      <w:pStyle w:val="Header"/>
      <w:rPr>
        <w:rFonts w:cstheme="minorHAnsi"/>
        <w:sz w:val="18"/>
        <w:szCs w:val="18"/>
      </w:rPr>
    </w:pP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B9F8A42" wp14:editId="0BD23BD4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18F40" id="Straight Connector 81" o:spid="_x0000_s1026" alt="&quot;&quot;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EE4DD28" wp14:editId="1B4DF2BC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2B5B9" id="Right Triangle 82" o:spid="_x0000_s1026" type="#_x0000_t6" alt="&quot;&quot;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407641DF" w14:textId="77777777" w:rsidR="00800ADB" w:rsidRDefault="00800ADB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C9DE7B" w14:textId="77777777" w:rsidR="00800ADB" w:rsidRPr="00DA1AD1" w:rsidRDefault="00800ADB" w:rsidP="00DA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AC4B" w14:textId="6E347CC5" w:rsidR="00800ADB" w:rsidRDefault="00C66EE3" w:rsidP="00DA1AD1">
    <w:pPr>
      <w:pStyle w:val="Header"/>
    </w:pPr>
    <w:fldSimple w:instr=" DOCPROPERTY &quot;mvRef&quot; \* MERGEFORMAT ">
      <w:r w:rsidR="002A5DCC">
        <w:t>Compliance activity reports:DB-1674731/1.0</w:t>
      </w:r>
    </w:fldSimple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0610A" w14:textId="2B114142" w:rsidR="00800ADB" w:rsidRPr="00D171E3" w:rsidRDefault="00800ADB" w:rsidP="00DA1AD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 xml:space="preserve">Adelaide Food Precinct 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65FEE9A3" wp14:editId="5F1E2F79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4302B8" id="Straight Connector 39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D171E3">
          <w:rPr>
            <w:rFonts w:cstheme="minorHAnsi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200E1296" wp14:editId="24102FEB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D1E57BB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&quot;&quot;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rFonts w:ascii="Arial" w:hAnsi="Arial"/>
            <w:noProof/>
            <w:sz w:val="18"/>
            <w:szCs w:val="18"/>
            <w:lang w:eastAsia="en-AU"/>
          </w:rPr>
          <w:t>proactive investigation report</w:t>
        </w:r>
      </w:p>
      <w:p w14:paraId="0DA76FAA" w14:textId="77777777" w:rsidR="00800ADB" w:rsidRDefault="00800ADB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6B73749E" w14:textId="77777777" w:rsidR="00800ADB" w:rsidRPr="00DA1AD1" w:rsidRDefault="0013747D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0B0A5" w14:textId="77777777" w:rsidR="008743AA" w:rsidRDefault="008743AA" w:rsidP="00AB465A">
      <w:pPr>
        <w:spacing w:after="0" w:line="240" w:lineRule="auto"/>
      </w:pPr>
      <w:r>
        <w:separator/>
      </w:r>
    </w:p>
  </w:footnote>
  <w:footnote w:type="continuationSeparator" w:id="0">
    <w:p w14:paraId="204CC5BE" w14:textId="77777777" w:rsidR="008743AA" w:rsidRDefault="008743AA" w:rsidP="00AB465A">
      <w:pPr>
        <w:spacing w:after="0" w:line="240" w:lineRule="auto"/>
      </w:pPr>
      <w:r>
        <w:continuationSeparator/>
      </w:r>
    </w:p>
  </w:footnote>
  <w:footnote w:type="continuationNotice" w:id="1">
    <w:p w14:paraId="1F03533F" w14:textId="77777777" w:rsidR="008743AA" w:rsidRDefault="008743AA">
      <w:pPr>
        <w:spacing w:after="0" w:line="240" w:lineRule="auto"/>
      </w:pPr>
    </w:p>
  </w:footnote>
  <w:footnote w:id="2">
    <w:p w14:paraId="7BA98091" w14:textId="77777777" w:rsidR="00800ADB" w:rsidRPr="002A5DCC" w:rsidRDefault="00800ADB" w:rsidP="007458C6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Over-1.2-million-recovered-for-food-and-retail-workers– Media releases – Fair Work Ombudsman</w:t>
        </w:r>
      </w:hyperlink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30B62872" w14:textId="77777777" w:rsidR="00800ADB" w:rsidRPr="002A5DCC" w:rsidRDefault="00800ADB" w:rsidP="007458C6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 $300 000 returned to fast food, restaurant and café workers - Media releases - Fair Work Ombudsman</w:t>
        </w:r>
      </w:hyperlink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68FE71B1" w14:textId="49A0533B" w:rsidR="00800ADB" w:rsidRPr="002A5DCC" w:rsidRDefault="00800ADB" w:rsidP="00FA6775">
      <w:pPr>
        <w:pStyle w:val="FootnoteText"/>
        <w:spacing w:before="0" w:line="240" w:lineRule="auto"/>
        <w:rPr>
          <w:rStyle w:val="Hyperlink"/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hyperlink r:id="rId3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 $580,000 recovered for Hobart workers - Fair Work Ombudsman</w:t>
        </w:r>
      </w:hyperlink>
    </w:p>
  </w:footnote>
  <w:footnote w:id="5">
    <w:p w14:paraId="4155DEE6" w14:textId="47C8CAF4" w:rsidR="00800ADB" w:rsidRDefault="00800ADB" w:rsidP="00FA6775">
      <w:pPr>
        <w:pStyle w:val="FootnoteText"/>
        <w:spacing w:before="0" w:line="240" w:lineRule="auto"/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hyperlink r:id="rId4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More than $200,000 recovered for Gold Coast workers - Fair Work Ombudsman</w:t>
        </w:r>
      </w:hyperlink>
    </w:p>
  </w:footnote>
  <w:footnote w:id="6">
    <w:p w14:paraId="21750EE2" w14:textId="59DA531F" w:rsidR="00E97AF0" w:rsidRPr="002A5DCC" w:rsidRDefault="00E97AF0" w:rsidP="00550B43">
      <w:pPr>
        <w:pStyle w:val="FootnoteText"/>
        <w:spacing w:before="0" w:line="240" w:lineRule="auto"/>
        <w:rPr>
          <w:rStyle w:val="FootnoteReference"/>
          <w:rFonts w:asciiTheme="minorHAnsi" w:hAnsiTheme="minorHAnsi" w:cstheme="minorHAnsi"/>
          <w:sz w:val="18"/>
          <w:szCs w:val="18"/>
          <w:vertAlign w:val="baseline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r w:rsidRPr="002A5DCC">
        <w:rPr>
          <w:rStyle w:val="FootnoteReference"/>
          <w:rFonts w:asciiTheme="minorHAnsi" w:hAnsiTheme="minorHAnsi" w:cstheme="minorHAnsi"/>
          <w:sz w:val="18"/>
          <w:szCs w:val="18"/>
          <w:vertAlign w:val="baseline"/>
        </w:rPr>
        <w:t>One business rectified underpayments of $768 to 5 employees at the time of our site visits</w:t>
      </w:r>
      <w:r w:rsidR="00E00704">
        <w:rPr>
          <w:rFonts w:asciiTheme="minorHAnsi" w:hAnsiTheme="minorHAnsi" w:cstheme="minorHAnsi"/>
          <w:sz w:val="18"/>
          <w:szCs w:val="18"/>
        </w:rPr>
        <w:t>,</w:t>
      </w:r>
      <w:r w:rsidRPr="002A5DCC">
        <w:rPr>
          <w:rStyle w:val="FootnoteReference"/>
          <w:rFonts w:asciiTheme="minorHAnsi" w:hAnsiTheme="minorHAnsi" w:cstheme="minorHAnsi"/>
          <w:sz w:val="18"/>
          <w:szCs w:val="18"/>
          <w:vertAlign w:val="baseline"/>
        </w:rPr>
        <w:t xml:space="preserve"> without Fair Work inspectors needing to investigate further</w:t>
      </w:r>
    </w:p>
  </w:footnote>
  <w:footnote w:id="7">
    <w:p w14:paraId="52A76735" w14:textId="3A5B9FB6" w:rsidR="00E97AF0" w:rsidRDefault="00E97AF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8E1B9" w14:textId="77777777" w:rsidR="00800ADB" w:rsidRDefault="00800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99F3" w14:textId="77777777" w:rsidR="00800ADB" w:rsidRDefault="00800ADB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6" behindDoc="0" locked="0" layoutInCell="1" allowOverlap="1" wp14:anchorId="2DDFED37" wp14:editId="75034BA0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A35F5" w14:textId="77777777" w:rsidR="00800ADB" w:rsidRPr="00583EDF" w:rsidRDefault="00800ADB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18AA4D84" wp14:editId="1865CB0D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4876CE" wp14:editId="142B6068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2B1FA9" id="Rectangle 1" o:spid="_x0000_s1026" alt="&quot;&quot;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C14E0"/>
    <w:multiLevelType w:val="hybridMultilevel"/>
    <w:tmpl w:val="0F3E1AA0"/>
    <w:lvl w:ilvl="0" w:tplc="0C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43C8"/>
    <w:multiLevelType w:val="multilevel"/>
    <w:tmpl w:val="457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D3158"/>
    <w:multiLevelType w:val="hybridMultilevel"/>
    <w:tmpl w:val="5EAEA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F394D"/>
    <w:multiLevelType w:val="hybridMultilevel"/>
    <w:tmpl w:val="06F09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0AC4"/>
    <w:multiLevelType w:val="hybridMultilevel"/>
    <w:tmpl w:val="610A5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866F9"/>
    <w:multiLevelType w:val="multilevel"/>
    <w:tmpl w:val="744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4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3"/>
  </w:num>
  <w:num w:numId="7">
    <w:abstractNumId w:val="7"/>
  </w:num>
  <w:num w:numId="8">
    <w:abstractNumId w:val="13"/>
  </w:num>
  <w:num w:numId="9">
    <w:abstractNumId w:val="25"/>
  </w:num>
  <w:num w:numId="10">
    <w:abstractNumId w:val="24"/>
  </w:num>
  <w:num w:numId="11">
    <w:abstractNumId w:val="19"/>
  </w:num>
  <w:num w:numId="12">
    <w:abstractNumId w:val="26"/>
  </w:num>
  <w:num w:numId="13">
    <w:abstractNumId w:val="30"/>
  </w:num>
  <w:num w:numId="14">
    <w:abstractNumId w:val="0"/>
  </w:num>
  <w:num w:numId="15">
    <w:abstractNumId w:val="11"/>
  </w:num>
  <w:num w:numId="16">
    <w:abstractNumId w:val="28"/>
  </w:num>
  <w:num w:numId="17">
    <w:abstractNumId w:val="8"/>
  </w:num>
  <w:num w:numId="18">
    <w:abstractNumId w:val="1"/>
  </w:num>
  <w:num w:numId="19">
    <w:abstractNumId w:val="12"/>
  </w:num>
  <w:num w:numId="20">
    <w:abstractNumId w:val="5"/>
  </w:num>
  <w:num w:numId="21">
    <w:abstractNumId w:val="31"/>
  </w:num>
  <w:num w:numId="22">
    <w:abstractNumId w:val="2"/>
  </w:num>
  <w:num w:numId="23">
    <w:abstractNumId w:val="27"/>
  </w:num>
  <w:num w:numId="24">
    <w:abstractNumId w:val="9"/>
  </w:num>
  <w:num w:numId="25">
    <w:abstractNumId w:val="6"/>
  </w:num>
  <w:num w:numId="26">
    <w:abstractNumId w:val="16"/>
  </w:num>
  <w:num w:numId="27">
    <w:abstractNumId w:val="21"/>
  </w:num>
  <w:num w:numId="28">
    <w:abstractNumId w:val="17"/>
  </w:num>
  <w:num w:numId="29">
    <w:abstractNumId w:val="22"/>
  </w:num>
  <w:num w:numId="30">
    <w:abstractNumId w:val="29"/>
  </w:num>
  <w:num w:numId="31">
    <w:abstractNumId w:val="15"/>
  </w:num>
  <w:num w:numId="32">
    <w:abstractNumId w:val="10"/>
  </w:num>
  <w:num w:numId="33">
    <w:abstractNumId w:val="32"/>
  </w:num>
  <w:num w:numId="34">
    <w:abstractNumId w:val="2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B"/>
    <w:rsid w:val="0000570C"/>
    <w:rsid w:val="0000682E"/>
    <w:rsid w:val="00011400"/>
    <w:rsid w:val="00013275"/>
    <w:rsid w:val="00014C04"/>
    <w:rsid w:val="000318D5"/>
    <w:rsid w:val="00033E9B"/>
    <w:rsid w:val="00053693"/>
    <w:rsid w:val="00060B82"/>
    <w:rsid w:val="00063E0F"/>
    <w:rsid w:val="000732BA"/>
    <w:rsid w:val="0007401F"/>
    <w:rsid w:val="00091FB9"/>
    <w:rsid w:val="00093049"/>
    <w:rsid w:val="0009754A"/>
    <w:rsid w:val="000A0BB1"/>
    <w:rsid w:val="000A20FE"/>
    <w:rsid w:val="000A45F4"/>
    <w:rsid w:val="000B2A24"/>
    <w:rsid w:val="000B7D1C"/>
    <w:rsid w:val="000C0DF8"/>
    <w:rsid w:val="000C2CD2"/>
    <w:rsid w:val="000D46B8"/>
    <w:rsid w:val="000D7FC4"/>
    <w:rsid w:val="000E08E8"/>
    <w:rsid w:val="000E3C54"/>
    <w:rsid w:val="000F0284"/>
    <w:rsid w:val="00100FA4"/>
    <w:rsid w:val="0013747D"/>
    <w:rsid w:val="0014201D"/>
    <w:rsid w:val="0014640B"/>
    <w:rsid w:val="0016451C"/>
    <w:rsid w:val="00166274"/>
    <w:rsid w:val="0016641E"/>
    <w:rsid w:val="00174429"/>
    <w:rsid w:val="0018384F"/>
    <w:rsid w:val="001869C6"/>
    <w:rsid w:val="001B53A8"/>
    <w:rsid w:val="001C0B64"/>
    <w:rsid w:val="001C47EA"/>
    <w:rsid w:val="001C7CFE"/>
    <w:rsid w:val="001D3234"/>
    <w:rsid w:val="001D3773"/>
    <w:rsid w:val="001E0C0E"/>
    <w:rsid w:val="001F69CA"/>
    <w:rsid w:val="00232CA4"/>
    <w:rsid w:val="002424D0"/>
    <w:rsid w:val="002655C8"/>
    <w:rsid w:val="002666D5"/>
    <w:rsid w:val="0026797B"/>
    <w:rsid w:val="00282B8A"/>
    <w:rsid w:val="00291F51"/>
    <w:rsid w:val="002A5A4D"/>
    <w:rsid w:val="002A5DCC"/>
    <w:rsid w:val="002A65CC"/>
    <w:rsid w:val="002B19CC"/>
    <w:rsid w:val="002E0DB1"/>
    <w:rsid w:val="002E182A"/>
    <w:rsid w:val="002E28E8"/>
    <w:rsid w:val="002E78A5"/>
    <w:rsid w:val="002F7960"/>
    <w:rsid w:val="003224CC"/>
    <w:rsid w:val="00331519"/>
    <w:rsid w:val="00333193"/>
    <w:rsid w:val="00340053"/>
    <w:rsid w:val="0035400D"/>
    <w:rsid w:val="003545F4"/>
    <w:rsid w:val="00355CE4"/>
    <w:rsid w:val="00371024"/>
    <w:rsid w:val="00377962"/>
    <w:rsid w:val="003B0F99"/>
    <w:rsid w:val="003B31C0"/>
    <w:rsid w:val="003B39E2"/>
    <w:rsid w:val="003B5656"/>
    <w:rsid w:val="003C36DA"/>
    <w:rsid w:val="003D3891"/>
    <w:rsid w:val="0040178F"/>
    <w:rsid w:val="00440DF5"/>
    <w:rsid w:val="00456006"/>
    <w:rsid w:val="004654FA"/>
    <w:rsid w:val="00465E7E"/>
    <w:rsid w:val="0047012F"/>
    <w:rsid w:val="00483507"/>
    <w:rsid w:val="00483B1A"/>
    <w:rsid w:val="004852E9"/>
    <w:rsid w:val="00486F77"/>
    <w:rsid w:val="004874D2"/>
    <w:rsid w:val="004A1A32"/>
    <w:rsid w:val="004B5F95"/>
    <w:rsid w:val="004C1847"/>
    <w:rsid w:val="004D223B"/>
    <w:rsid w:val="004F0A17"/>
    <w:rsid w:val="00520458"/>
    <w:rsid w:val="005261A5"/>
    <w:rsid w:val="00550B43"/>
    <w:rsid w:val="0059216A"/>
    <w:rsid w:val="00593BFB"/>
    <w:rsid w:val="005D5A92"/>
    <w:rsid w:val="006059E9"/>
    <w:rsid w:val="00612470"/>
    <w:rsid w:val="006139FB"/>
    <w:rsid w:val="0062768F"/>
    <w:rsid w:val="00643C4B"/>
    <w:rsid w:val="00646CEF"/>
    <w:rsid w:val="00647D11"/>
    <w:rsid w:val="00650487"/>
    <w:rsid w:val="0067504D"/>
    <w:rsid w:val="00677E2B"/>
    <w:rsid w:val="0069313C"/>
    <w:rsid w:val="00694033"/>
    <w:rsid w:val="006A0CA9"/>
    <w:rsid w:val="006B1080"/>
    <w:rsid w:val="006C124F"/>
    <w:rsid w:val="006D19EE"/>
    <w:rsid w:val="006D4A6F"/>
    <w:rsid w:val="006E54F5"/>
    <w:rsid w:val="006F4DA6"/>
    <w:rsid w:val="00703886"/>
    <w:rsid w:val="0072110A"/>
    <w:rsid w:val="00726B50"/>
    <w:rsid w:val="00727206"/>
    <w:rsid w:val="00732D91"/>
    <w:rsid w:val="0074057A"/>
    <w:rsid w:val="007436F5"/>
    <w:rsid w:val="007458C6"/>
    <w:rsid w:val="007479AD"/>
    <w:rsid w:val="00750DF7"/>
    <w:rsid w:val="00752E5E"/>
    <w:rsid w:val="00753483"/>
    <w:rsid w:val="007538D8"/>
    <w:rsid w:val="00763A33"/>
    <w:rsid w:val="007729B7"/>
    <w:rsid w:val="007819E4"/>
    <w:rsid w:val="00786E3C"/>
    <w:rsid w:val="007900FB"/>
    <w:rsid w:val="00791AB0"/>
    <w:rsid w:val="007945E3"/>
    <w:rsid w:val="007A0B86"/>
    <w:rsid w:val="007A1813"/>
    <w:rsid w:val="007A6811"/>
    <w:rsid w:val="007A6D98"/>
    <w:rsid w:val="007B043E"/>
    <w:rsid w:val="007B5C9B"/>
    <w:rsid w:val="007B6AC8"/>
    <w:rsid w:val="007C01BA"/>
    <w:rsid w:val="007C2DA0"/>
    <w:rsid w:val="007C507C"/>
    <w:rsid w:val="007C5547"/>
    <w:rsid w:val="007D077A"/>
    <w:rsid w:val="007D19A1"/>
    <w:rsid w:val="007E5FAD"/>
    <w:rsid w:val="007E6780"/>
    <w:rsid w:val="00800ADB"/>
    <w:rsid w:val="00803A9A"/>
    <w:rsid w:val="00810E0C"/>
    <w:rsid w:val="008114FB"/>
    <w:rsid w:val="008258AC"/>
    <w:rsid w:val="0083679C"/>
    <w:rsid w:val="00840520"/>
    <w:rsid w:val="00856542"/>
    <w:rsid w:val="008743AA"/>
    <w:rsid w:val="008A1058"/>
    <w:rsid w:val="008A2053"/>
    <w:rsid w:val="008E7F6B"/>
    <w:rsid w:val="008F19AE"/>
    <w:rsid w:val="008F1B39"/>
    <w:rsid w:val="009060B0"/>
    <w:rsid w:val="00906409"/>
    <w:rsid w:val="009147FE"/>
    <w:rsid w:val="00932C9C"/>
    <w:rsid w:val="00940874"/>
    <w:rsid w:val="009470A4"/>
    <w:rsid w:val="009830B4"/>
    <w:rsid w:val="00993703"/>
    <w:rsid w:val="009946F6"/>
    <w:rsid w:val="00995EBE"/>
    <w:rsid w:val="00997DD8"/>
    <w:rsid w:val="009A294E"/>
    <w:rsid w:val="009C045F"/>
    <w:rsid w:val="009C0C7F"/>
    <w:rsid w:val="009C61A2"/>
    <w:rsid w:val="009D011B"/>
    <w:rsid w:val="009E2EF8"/>
    <w:rsid w:val="009E5D7B"/>
    <w:rsid w:val="009F4608"/>
    <w:rsid w:val="00A04703"/>
    <w:rsid w:val="00A1044D"/>
    <w:rsid w:val="00A25A80"/>
    <w:rsid w:val="00A267BA"/>
    <w:rsid w:val="00A31966"/>
    <w:rsid w:val="00A41C93"/>
    <w:rsid w:val="00A41FDB"/>
    <w:rsid w:val="00A841DA"/>
    <w:rsid w:val="00A97F48"/>
    <w:rsid w:val="00AA0244"/>
    <w:rsid w:val="00AA1953"/>
    <w:rsid w:val="00AA68DE"/>
    <w:rsid w:val="00AB465A"/>
    <w:rsid w:val="00AB5511"/>
    <w:rsid w:val="00AC6CD2"/>
    <w:rsid w:val="00AD4CF6"/>
    <w:rsid w:val="00AE4954"/>
    <w:rsid w:val="00AF0EAF"/>
    <w:rsid w:val="00AF74D9"/>
    <w:rsid w:val="00B02B68"/>
    <w:rsid w:val="00B03B2B"/>
    <w:rsid w:val="00B46A1C"/>
    <w:rsid w:val="00B474FA"/>
    <w:rsid w:val="00B478AD"/>
    <w:rsid w:val="00B50641"/>
    <w:rsid w:val="00B56C5A"/>
    <w:rsid w:val="00B60C88"/>
    <w:rsid w:val="00B7064F"/>
    <w:rsid w:val="00B746E5"/>
    <w:rsid w:val="00B775C1"/>
    <w:rsid w:val="00B8128F"/>
    <w:rsid w:val="00B91121"/>
    <w:rsid w:val="00B9209A"/>
    <w:rsid w:val="00BA5269"/>
    <w:rsid w:val="00BA59D7"/>
    <w:rsid w:val="00BA68A3"/>
    <w:rsid w:val="00BB492E"/>
    <w:rsid w:val="00BB53D7"/>
    <w:rsid w:val="00BB613F"/>
    <w:rsid w:val="00BC0303"/>
    <w:rsid w:val="00BE4671"/>
    <w:rsid w:val="00BF66C0"/>
    <w:rsid w:val="00C079AD"/>
    <w:rsid w:val="00C12868"/>
    <w:rsid w:val="00C208A3"/>
    <w:rsid w:val="00C30565"/>
    <w:rsid w:val="00C346A5"/>
    <w:rsid w:val="00C427F9"/>
    <w:rsid w:val="00C652DC"/>
    <w:rsid w:val="00C66EE3"/>
    <w:rsid w:val="00C70B6A"/>
    <w:rsid w:val="00C72594"/>
    <w:rsid w:val="00C757A3"/>
    <w:rsid w:val="00C93B8D"/>
    <w:rsid w:val="00C94F81"/>
    <w:rsid w:val="00CA3551"/>
    <w:rsid w:val="00CA39F1"/>
    <w:rsid w:val="00CD049C"/>
    <w:rsid w:val="00CD7795"/>
    <w:rsid w:val="00CE23C0"/>
    <w:rsid w:val="00CE6055"/>
    <w:rsid w:val="00CE6883"/>
    <w:rsid w:val="00CE72FC"/>
    <w:rsid w:val="00CE7A1A"/>
    <w:rsid w:val="00CE7CD4"/>
    <w:rsid w:val="00CF5AFE"/>
    <w:rsid w:val="00D0063F"/>
    <w:rsid w:val="00D11BC7"/>
    <w:rsid w:val="00D171E3"/>
    <w:rsid w:val="00D17674"/>
    <w:rsid w:val="00D20453"/>
    <w:rsid w:val="00D2094E"/>
    <w:rsid w:val="00D311A5"/>
    <w:rsid w:val="00D316FC"/>
    <w:rsid w:val="00D4069E"/>
    <w:rsid w:val="00D803E6"/>
    <w:rsid w:val="00D95B26"/>
    <w:rsid w:val="00D960E2"/>
    <w:rsid w:val="00DA1AD1"/>
    <w:rsid w:val="00DA65F4"/>
    <w:rsid w:val="00DA7095"/>
    <w:rsid w:val="00DB083C"/>
    <w:rsid w:val="00E00704"/>
    <w:rsid w:val="00E06180"/>
    <w:rsid w:val="00E13A01"/>
    <w:rsid w:val="00E31A99"/>
    <w:rsid w:val="00E3299B"/>
    <w:rsid w:val="00E33068"/>
    <w:rsid w:val="00E47482"/>
    <w:rsid w:val="00E52830"/>
    <w:rsid w:val="00E62AC7"/>
    <w:rsid w:val="00E64A10"/>
    <w:rsid w:val="00E65A3D"/>
    <w:rsid w:val="00E70539"/>
    <w:rsid w:val="00E75FD9"/>
    <w:rsid w:val="00E80136"/>
    <w:rsid w:val="00E83691"/>
    <w:rsid w:val="00E97AF0"/>
    <w:rsid w:val="00EA6B05"/>
    <w:rsid w:val="00EB5B6C"/>
    <w:rsid w:val="00EB6998"/>
    <w:rsid w:val="00EB7120"/>
    <w:rsid w:val="00EC654D"/>
    <w:rsid w:val="00ED278D"/>
    <w:rsid w:val="00EE6873"/>
    <w:rsid w:val="00EE6F1A"/>
    <w:rsid w:val="00EF0D4B"/>
    <w:rsid w:val="00F210A5"/>
    <w:rsid w:val="00F2468C"/>
    <w:rsid w:val="00F25090"/>
    <w:rsid w:val="00F53BF8"/>
    <w:rsid w:val="00F63E75"/>
    <w:rsid w:val="00F71CE1"/>
    <w:rsid w:val="00F8077E"/>
    <w:rsid w:val="00F83193"/>
    <w:rsid w:val="00F87CD3"/>
    <w:rsid w:val="00F941BF"/>
    <w:rsid w:val="00F94C5E"/>
    <w:rsid w:val="00FA6775"/>
    <w:rsid w:val="00FB30A9"/>
    <w:rsid w:val="00FB711F"/>
    <w:rsid w:val="00FC3CB8"/>
    <w:rsid w:val="00FC3CCD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C3B978"/>
  <w15:docId w15:val="{EB4FAAFB-CCEB-4C64-A4DD-8CD98666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qFormat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paragraph" w:customStyle="1" w:styleId="Body">
    <w:name w:val="Body"/>
    <w:basedOn w:val="Normal"/>
    <w:link w:val="BodyChar"/>
    <w:qFormat/>
    <w:rsid w:val="007A1813"/>
    <w:pPr>
      <w:spacing w:after="200" w:line="276" w:lineRule="auto"/>
      <w:ind w:left="357" w:hanging="357"/>
    </w:pPr>
    <w:rPr>
      <w:rFonts w:eastAsiaTheme="minorEastAsia" w:cstheme="minorBidi"/>
      <w:sz w:val="20"/>
      <w:szCs w:val="22"/>
      <w:lang w:eastAsia="en-AU"/>
    </w:rPr>
  </w:style>
  <w:style w:type="character" w:customStyle="1" w:styleId="BodyChar">
    <w:name w:val="Body Char"/>
    <w:basedOn w:val="DefaultParagraphFont"/>
    <w:link w:val="Body"/>
    <w:rsid w:val="007A1813"/>
    <w:rPr>
      <w:rFonts w:asciiTheme="minorHAnsi" w:eastAsiaTheme="minorEastAsia" w:hAnsiTheme="minorHAnsi" w:cstheme="minorBidi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F0284"/>
    <w:rPr>
      <w:color w:val="605E5C"/>
      <w:shd w:val="clear" w:color="auto" w:fill="E1DFDD"/>
    </w:rPr>
  </w:style>
  <w:style w:type="paragraph" w:customStyle="1" w:styleId="Calloutboxbullets">
    <w:name w:val="Callout box bullets"/>
    <w:basedOn w:val="Calloutbox"/>
    <w:qFormat/>
    <w:rsid w:val="00940874"/>
    <w:pPr>
      <w:numPr>
        <w:numId w:val="32"/>
      </w:numPr>
      <w:spacing w:before="120" w:after="240"/>
      <w:ind w:left="641" w:hanging="357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newsroom/media-releases/2021-media-releases/april-2021/210401-hobart-food-precincts-audits-media-release" TargetMode="External"/><Relationship Id="rId2" Type="http://schemas.openxmlformats.org/officeDocument/2006/relationships/hyperlink" Target="https://www.fairwork.gov.au/about-us/news-and-media-releases/2019-media-releases/december-2019/20191206-over-300-000-returned-to-fast-food-restaurant-and-cafe-workers" TargetMode="External"/><Relationship Id="rId1" Type="http://schemas.openxmlformats.org/officeDocument/2006/relationships/hyperlink" Target="https://www.fairwork.gov.au/about-us/news-and-media-releases/2020-media-releases/september-2020/20200904-food-precincts-melbourne-brisbane-and-food-retail-report-media-release" TargetMode="External"/><Relationship Id="rId4" Type="http://schemas.openxmlformats.org/officeDocument/2006/relationships/hyperlink" Target="https://www.fairwork.gov.au/newsroom/media-releases/2021-media-releases/september-2021/20210907-gold-coast-food-precincts-report-media-relea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d83770-f909-4c97-922b-a57a389c531c">DB-1674731</_dlc_DocId>
    <_dlc_DocIdUrl xmlns="1dd83770-f909-4c97-922b-a57a389c531c">
      <Url>http://fwocollaboration.hosts.application.enet/sites/b11/publications/_layouts/15/DocIdRedir.aspx?ID=DB-1674731</Url>
      <Description>DB-1674731</Description>
    </_dlc_DocIdUrl>
    <DocumentStatus xmlns="f89ab50b-9199-4134-9e87-cdf3a2d24282">Active</DocumentStatus>
    <FWO_DocumentTopicTaxHTField0 xmlns="f89ab50b-9199-4134-9e87-cdf3a2d24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fb5722fc-c914-4cdf-aec2-e1226de3646f</TermId>
        </TermInfo>
      </Terms>
    </FWO_DocumentTopicTaxHTField0>
    <FolderStatus xmlns="f89ab50b-9199-4134-9e87-cdf3a2d24282">Active</FolderStatus>
    <TaxCatchAll xmlns="1dd83770-f909-4c97-922b-a57a389c531c">
      <Value>146</Value>
    </TaxCatchAll>
  </documentManagement>
</p:properties>
</file>

<file path=customXml/item2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2CECE834FE34493E93D63902B7A06" ma:contentTypeVersion="3" ma:contentTypeDescription="Create a new document." ma:contentTypeScope="" ma:versionID="0f7a0ca3faf5f982dfc384e011dec5a9">
  <xsd:schema xmlns:xsd="http://www.w3.org/2001/XMLSchema" xmlns:xs="http://www.w3.org/2001/XMLSchema" xmlns:p="http://schemas.microsoft.com/office/2006/metadata/properties" xmlns:ns2="1dd83770-f909-4c97-922b-a57a389c531c" xmlns:ns3="f89ab50b-9199-4134-9e87-cdf3a2d24282" targetNamespace="http://schemas.microsoft.com/office/2006/metadata/properties" ma:root="true" ma:fieldsID="ad16a97c342ef9f6fee6d609ad4b5e3a" ns2:_="" ns3:_="">
    <xsd:import namespace="1dd83770-f909-4c97-922b-a57a389c531c"/>
    <xsd:import namespace="f89ab50b-9199-4134-9e87-cdf3a2d242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WO_DocumentTopicTaxHTField0" minOccurs="0"/>
                <xsd:element ref="ns2:TaxCatchAll" minOccurs="0"/>
                <xsd:element ref="ns2:TaxCatchAllLabel" minOccurs="0"/>
                <xsd:element ref="ns3:DocumentStatus" minOccurs="0"/>
                <xsd:element ref="ns3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83770-f909-4c97-922b-a57a389c53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4c3b631-51a0-45dc-82f4-16361778eaa0}" ma:internalName="TaxCatchAll" ma:showField="CatchAllData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4c3b631-51a0-45dc-82f4-16361778eaa0}" ma:internalName="TaxCatchAllLabel" ma:readOnly="true" ma:showField="CatchAllDataLabel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ab50b-9199-4134-9e87-cdf3a2d24282" elementFormDefault="qualified">
    <xsd:import namespace="http://schemas.microsoft.com/office/2006/documentManagement/types"/>
    <xsd:import namespace="http://schemas.microsoft.com/office/infopath/2007/PartnerControls"/>
    <xsd:element name="FWO_DocumentTopicTaxHTField0" ma:index="11" nillable="true" ma:taxonomy="true" ma:internalName="FWO_DocumentTopicTaxHTField0" ma:taxonomyFieldName="Document_x0020_Topic" ma:displayName="Document Topic" ma:readOnly="false" ma:fieldId="{be8a6a8f-4ccb-4a7f-9f80-cfecdc3ee9ad}" ma:sspId="4ecb7306-e2d5-494a-8c81-b8bbb5078f6a" ma:termSetId="edac41d1-1ecd-49d7-ad17-f5028d43d6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" ma:index="15" nillable="true" ma:displayName="DocumentStatus" ma:format="Dropdown" ma:internalName="DocumentStatus">
      <xsd:simpleType>
        <xsd:restriction base="dms:Choice">
          <xsd:enumeration value="Active"/>
          <xsd:enumeration value="Completed"/>
        </xsd:restriction>
      </xsd:simpleType>
    </xsd:element>
    <xsd:element name="FolderStatus" ma:index="16" nillable="true" ma:displayName="FolderStatus" ma:format="Dropdown" ma:internalName="FolderStatus">
      <xsd:simpleType>
        <xsd:restriction base="dms:Choice">
          <xsd:enumeration value="Active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C9CD9-7441-4C69-AAB8-C845B15CA553}">
  <ds:schemaRefs>
    <ds:schemaRef ds:uri="http://schemas.microsoft.com/office/2006/metadata/properties"/>
    <ds:schemaRef ds:uri="http://schemas.microsoft.com/office/infopath/2007/PartnerControls"/>
    <ds:schemaRef ds:uri="1dd83770-f909-4c97-922b-a57a389c531c"/>
    <ds:schemaRef ds:uri="f89ab50b-9199-4134-9e87-cdf3a2d24282"/>
  </ds:schemaRefs>
</ds:datastoreItem>
</file>

<file path=customXml/itemProps2.xml><?xml version="1.0" encoding="utf-8"?>
<ds:datastoreItem xmlns:ds="http://schemas.openxmlformats.org/officeDocument/2006/customXml" ds:itemID="{6FCA037C-F8E9-4762-99BE-3813625B57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D5E0A1-9597-4824-8E2A-AAFC287F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2F1F1-8BA7-44ED-ACF5-12F5DDE12B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FE4F01-9553-48AF-A579-CE70E0259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83770-f909-4c97-922b-a57a389c531c"/>
    <ds:schemaRef ds:uri="f89ab50b-9199-4134-9e87-cdf3a2d24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Adelaide Food Precinct proactive investigation report</vt:lpstr>
    </vt:vector>
  </TitlesOfParts>
  <Company>Australian Government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Adelaide Food Precinct proactive investigation report</dc:title>
  <dc:creator>BELL,Kathryn</dc:creator>
  <cp:lastModifiedBy>CUPPLES,Kerry</cp:lastModifiedBy>
  <cp:revision>3</cp:revision>
  <cp:lastPrinted>2020-01-14T05:03:00Z</cp:lastPrinted>
  <dcterms:created xsi:type="dcterms:W3CDTF">2021-12-17T04:34:00Z</dcterms:created>
  <dcterms:modified xsi:type="dcterms:W3CDTF">2021-12-20T06:02:00Z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0x010100AB02CECE834FE34493E93D63902B7A06</vt:lpwstr>
  </property>
  <property fmtid="{D5CDD505-2E9C-101B-9397-08002B2CF9AE}" pid="3" name="_dlc_DocIdItemGuid">
    <vt:lpwstr>6d3c21a8-1bd4-40d8-8e16-41e451943299</vt:lpwstr>
  </property>
  <property fmtid="{D5CDD505-2E9C-101B-9397-08002B2CF9AE}" pid="4" name="FWO_BCS">
    <vt:lpwstr>1;#Projects|aee93119-2e00-4848-a07d-951554e11976</vt:lpwstr>
  </property>
  <property fmtid="{D5CDD505-2E9C-101B-9397-08002B2CF9AE}" pid="5" name="FWO_DocumentTopic">
    <vt:lpwstr>104;#Templates|0f89b74f-97de-48f7-b823-7425491d9b49</vt:lpwstr>
  </property>
  <property fmtid="{D5CDD505-2E9C-101B-9397-08002B2CF9AE}" pid="6" name="FWO_EnterpriseKeyword">
    <vt:lpwstr/>
  </property>
  <property fmtid="{D5CDD505-2E9C-101B-9397-08002B2CF9AE}" pid="7" name="mvRef">
    <vt:lpwstr>Compliance activity reports:DB-1674731/1.0</vt:lpwstr>
  </property>
  <property fmtid="{D5CDD505-2E9C-101B-9397-08002B2CF9AE}" pid="8" name="Document Topic">
    <vt:lpwstr>146;#Report|fb5722fc-c914-4cdf-aec2-e1226de3646f</vt:lpwstr>
  </property>
</Properties>
</file>